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215D48" w14:paraId="08AE1D54" w14:textId="77777777" w:rsidTr="00346EC2">
        <w:trPr>
          <w:trHeight w:val="1558"/>
        </w:trPr>
        <w:tc>
          <w:tcPr>
            <w:tcW w:w="8720" w:type="dxa"/>
          </w:tcPr>
          <w:p w14:paraId="2538A211" w14:textId="0161DAB1" w:rsidR="00F02AEC" w:rsidRPr="00215D48" w:rsidRDefault="00346EC2" w:rsidP="005A56B2">
            <w:pPr>
              <w:pStyle w:val="Title"/>
            </w:pPr>
            <w:r w:rsidRPr="00346EC2">
              <w:t xml:space="preserve">Australian Public Assessment Report for </w:t>
            </w:r>
            <w:proofErr w:type="spellStart"/>
            <w:r w:rsidR="004F32CB">
              <w:t>P</w:t>
            </w:r>
            <w:r w:rsidR="00226017">
              <w:t>ombiliti</w:t>
            </w:r>
            <w:proofErr w:type="spellEnd"/>
          </w:p>
        </w:tc>
      </w:tr>
      <w:tr w:rsidR="00F02AEC" w:rsidRPr="00215D48" w14:paraId="318A40A3" w14:textId="77777777" w:rsidTr="00346EC2">
        <w:trPr>
          <w:trHeight w:val="995"/>
        </w:trPr>
        <w:tc>
          <w:tcPr>
            <w:tcW w:w="8720" w:type="dxa"/>
          </w:tcPr>
          <w:p w14:paraId="1AA7C701" w14:textId="2F2FA1F6" w:rsidR="00F02AEC" w:rsidRPr="00215D48" w:rsidRDefault="00346EC2" w:rsidP="007452E8">
            <w:pPr>
              <w:pStyle w:val="Subtitle"/>
              <w:ind w:left="0"/>
            </w:pPr>
            <w:r w:rsidRPr="00346EC2">
              <w:t>Active ingredient</w:t>
            </w:r>
            <w:r w:rsidR="00870254">
              <w:t xml:space="preserve">: </w:t>
            </w:r>
            <w:proofErr w:type="spellStart"/>
            <w:r w:rsidR="00502EA9">
              <w:t>C</w:t>
            </w:r>
            <w:r w:rsidR="00870254">
              <w:t>ipaglucosidase</w:t>
            </w:r>
            <w:proofErr w:type="spellEnd"/>
            <w:r w:rsidR="002D2C24">
              <w:t xml:space="preserve"> alfa</w:t>
            </w:r>
          </w:p>
        </w:tc>
      </w:tr>
      <w:tr w:rsidR="00346EC2" w:rsidRPr="00215D48" w14:paraId="362CCAE4" w14:textId="77777777" w:rsidTr="007452E8">
        <w:trPr>
          <w:trHeight w:val="1916"/>
        </w:trPr>
        <w:tc>
          <w:tcPr>
            <w:tcW w:w="8720" w:type="dxa"/>
          </w:tcPr>
          <w:p w14:paraId="709C45C0" w14:textId="2BB1C0C7" w:rsidR="00346EC2" w:rsidRPr="00215D48" w:rsidRDefault="00346EC2" w:rsidP="007452E8">
            <w:pPr>
              <w:pStyle w:val="Subtitle"/>
              <w:ind w:left="0"/>
            </w:pPr>
            <w:r w:rsidRPr="00346EC2">
              <w:t>Sponsor:</w:t>
            </w:r>
            <w:r w:rsidR="002E312C">
              <w:t xml:space="preserve"> </w:t>
            </w:r>
            <w:bookmarkStart w:id="0" w:name="_Hlk200456219"/>
            <w:r w:rsidR="002E312C">
              <w:t>Amicus Therapeutics Pty Ltd</w:t>
            </w:r>
            <w:bookmarkEnd w:id="0"/>
          </w:p>
        </w:tc>
      </w:tr>
      <w:tr w:rsidR="00F02AEC" w:rsidRPr="00215D48" w14:paraId="37F2AA1F" w14:textId="77777777" w:rsidTr="007452E8">
        <w:tc>
          <w:tcPr>
            <w:tcW w:w="8720" w:type="dxa"/>
          </w:tcPr>
          <w:p w14:paraId="1FDE8DCD" w14:textId="3EB173D9" w:rsidR="00F02AEC" w:rsidRPr="00215D48" w:rsidRDefault="00793C3C" w:rsidP="007452E8">
            <w:pPr>
              <w:pStyle w:val="Date"/>
            </w:pPr>
            <w:r>
              <w:t>June</w:t>
            </w:r>
            <w:r w:rsidR="005A56B2">
              <w:t xml:space="preserve"> 2025</w:t>
            </w:r>
          </w:p>
        </w:tc>
      </w:tr>
    </w:tbl>
    <w:p w14:paraId="73752706" w14:textId="77777777" w:rsidR="00F02AEC" w:rsidRPr="00215D48" w:rsidRDefault="00F02AEC" w:rsidP="007452E8">
      <w:pPr>
        <w:pStyle w:val="ListBullet"/>
        <w:numPr>
          <w:ilvl w:val="0"/>
          <w:numId w:val="0"/>
        </w:numPr>
        <w:sectPr w:rsidR="00F02AEC" w:rsidRPr="00215D48" w:rsidSect="00CB0550">
          <w:headerReference w:type="default" r:id="rId11"/>
          <w:footerReference w:type="default" r:id="rId12"/>
          <w:headerReference w:type="first" r:id="rId13"/>
          <w:footerReference w:type="first" r:id="rId14"/>
          <w:pgSz w:w="11906" w:h="16838"/>
          <w:pgMar w:top="1440" w:right="1440" w:bottom="1440" w:left="1440" w:header="708" w:footer="708" w:gutter="0"/>
          <w:cols w:space="708"/>
          <w:titlePg/>
          <w:docGrid w:linePitch="360"/>
        </w:sectPr>
      </w:pPr>
    </w:p>
    <w:p w14:paraId="2170A423" w14:textId="77777777" w:rsidR="00346EC2" w:rsidRPr="001F6CBA" w:rsidRDefault="00346EC2" w:rsidP="00346EC2">
      <w:pPr>
        <w:pStyle w:val="NonTOCHeading20"/>
      </w:pPr>
      <w:r w:rsidRPr="001F6CBA">
        <w:lastRenderedPageBreak/>
        <w:t>About the Therapeutic Goods Administration (TGA)</w:t>
      </w:r>
    </w:p>
    <w:p w14:paraId="79558AE9" w14:textId="77777777" w:rsidR="00346EC2" w:rsidRPr="00391B0C" w:rsidRDefault="00346EC2" w:rsidP="0056766D">
      <w:pPr>
        <w:pStyle w:val="ListBullet"/>
      </w:pPr>
      <w:r w:rsidRPr="00391B0C">
        <w:t xml:space="preserve">The Therapeutic Goods Administration (TGA) is part of the Australian Government </w:t>
      </w:r>
      <w:r w:rsidRPr="00C22214">
        <w:t>Department of Health and Aged Care</w:t>
      </w:r>
      <w:r>
        <w:t xml:space="preserve"> </w:t>
      </w:r>
      <w:r w:rsidRPr="00391B0C">
        <w:t>and is responsible for regulating therapeutic goods, including medicines, medical devices, and biologicals.</w:t>
      </w:r>
    </w:p>
    <w:p w14:paraId="61BEFDB6" w14:textId="77777777" w:rsidR="00346EC2" w:rsidRPr="00391B0C" w:rsidRDefault="00346EC2" w:rsidP="00346EC2">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77777777" w:rsidR="00346EC2" w:rsidRPr="003C6D1F" w:rsidRDefault="00346EC2" w:rsidP="00346EC2">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346EC2" w:rsidP="00346EC2">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1C976CB8" w:rsidR="00346EC2" w:rsidRDefault="00346EC2" w:rsidP="00346EC2">
      <w:pPr>
        <w:pStyle w:val="ListBullet"/>
      </w:pPr>
      <w:r w:rsidRPr="003C6D1F">
        <w:t xml:space="preserve">To report a problem with a </w:t>
      </w:r>
      <w:r>
        <w:t>therapeutic good</w:t>
      </w:r>
      <w:r w:rsidRPr="003C6D1F">
        <w:t xml:space="preserve">, please see the information on the </w:t>
      </w:r>
      <w:hyperlink r:id="rId15" w:history="1">
        <w:r w:rsidRPr="00A63C07">
          <w:rPr>
            <w:rStyle w:val="Hyperlink"/>
          </w:rPr>
          <w:t>TGA website</w:t>
        </w:r>
      </w:hyperlink>
      <w:r w:rsidRPr="003C6D1F">
        <w:t>.</w:t>
      </w:r>
    </w:p>
    <w:p w14:paraId="737B7A99" w14:textId="77777777" w:rsidR="00346EC2" w:rsidRDefault="00346EC2" w:rsidP="00346EC2">
      <w:pPr>
        <w:pStyle w:val="NonTOCHeading20"/>
      </w:pPr>
      <w:r>
        <w:t xml:space="preserve">About </w:t>
      </w:r>
      <w:proofErr w:type="spellStart"/>
      <w:r>
        <w:t>AusPARs</w:t>
      </w:r>
      <w:proofErr w:type="spellEnd"/>
    </w:p>
    <w:p w14:paraId="631B2209" w14:textId="010FE2EE" w:rsidR="00346EC2" w:rsidRPr="003C6D1F" w:rsidRDefault="00346EC2" w:rsidP="00346EC2">
      <w:pPr>
        <w:pStyle w:val="ListBullet"/>
      </w:pPr>
      <w:r>
        <w:t>The</w:t>
      </w:r>
      <w:r w:rsidRPr="003C6D1F">
        <w:t xml:space="preserve"> Australian Public Assessment Report (</w:t>
      </w:r>
      <w:proofErr w:type="spellStart"/>
      <w:r w:rsidRPr="003C6D1F">
        <w:t>AusPAR</w:t>
      </w:r>
      <w:proofErr w:type="spellEnd"/>
      <w:r w:rsidRPr="003C6D1F">
        <w:t>) provides information about the evaluation of a prescription medicine and the considerations that led the TGA to approve or not approve a prescription medicine submission.</w:t>
      </w:r>
      <w:r>
        <w:t xml:space="preserve"> Further information can be found in </w:t>
      </w:r>
      <w:hyperlink r:id="rId16" w:history="1">
        <w:r w:rsidRPr="005A2EB8">
          <w:rPr>
            <w:rStyle w:val="Hyperlink"/>
          </w:rPr>
          <w:t>Australian Public Assessment Report (</w:t>
        </w:r>
        <w:proofErr w:type="spellStart"/>
        <w:r w:rsidRPr="005A2EB8">
          <w:rPr>
            <w:rStyle w:val="Hyperlink"/>
          </w:rPr>
          <w:t>AusPAR</w:t>
        </w:r>
        <w:proofErr w:type="spellEnd"/>
        <w:r w:rsidRPr="005A2EB8">
          <w:rPr>
            <w:rStyle w:val="Hyperlink"/>
          </w:rPr>
          <w:t>) guidance</w:t>
        </w:r>
      </w:hyperlink>
      <w:r>
        <w:t>.</w:t>
      </w:r>
    </w:p>
    <w:p w14:paraId="22F5A730" w14:textId="77777777" w:rsidR="00346EC2" w:rsidRPr="003C6D1F" w:rsidRDefault="00346EC2" w:rsidP="00346EC2">
      <w:pPr>
        <w:pStyle w:val="ListBullet"/>
      </w:pPr>
      <w:proofErr w:type="spellStart"/>
      <w:r w:rsidRPr="003C6D1F">
        <w:t>AusPARs</w:t>
      </w:r>
      <w:proofErr w:type="spellEnd"/>
      <w:r w:rsidRPr="003C6D1F">
        <w:t xml:space="preserve"> are prepared and published by the TGA.</w:t>
      </w:r>
    </w:p>
    <w:p w14:paraId="451B8FD7" w14:textId="77777777" w:rsidR="00346EC2" w:rsidRPr="003C6D1F" w:rsidRDefault="00346EC2" w:rsidP="00346EC2">
      <w:pPr>
        <w:pStyle w:val="ListBullet"/>
      </w:pPr>
      <w:proofErr w:type="spellStart"/>
      <w:r w:rsidRPr="003C6D1F">
        <w:t>AusPAR</w:t>
      </w:r>
      <w:r>
        <w:t>s</w:t>
      </w:r>
      <w:proofErr w:type="spellEnd"/>
      <w:r>
        <w:t xml:space="preserve"> are </w:t>
      </w:r>
      <w:r w:rsidRPr="003C6D1F">
        <w:t>static document</w:t>
      </w:r>
      <w:r>
        <w:t xml:space="preserve">s that </w:t>
      </w:r>
      <w:r w:rsidRPr="003C6D1F">
        <w:t>provide information that relates to a submission at a particular point in time.</w:t>
      </w:r>
      <w:r>
        <w:t xml:space="preserve"> The publication of an </w:t>
      </w:r>
      <w:proofErr w:type="spellStart"/>
      <w:r>
        <w:t>AusPAR</w:t>
      </w:r>
      <w:proofErr w:type="spellEnd"/>
      <w:r>
        <w:t xml:space="preserve"> is an important part of the transparency of the TGA’s decision-making process.</w:t>
      </w:r>
    </w:p>
    <w:p w14:paraId="4D69F5CF" w14:textId="77777777" w:rsidR="00346EC2" w:rsidRPr="003C6D1F" w:rsidRDefault="00346EC2" w:rsidP="00346EC2">
      <w:pPr>
        <w:pStyle w:val="ListBullet"/>
      </w:pPr>
      <w:r w:rsidRPr="003C6D1F">
        <w:t xml:space="preserve">A new </w:t>
      </w:r>
      <w:proofErr w:type="spellStart"/>
      <w:r w:rsidRPr="003C6D1F">
        <w:t>AusPAR</w:t>
      </w:r>
      <w:proofErr w:type="spellEnd"/>
      <w:r w:rsidRPr="003C6D1F">
        <w:t xml:space="preserve"> </w:t>
      </w:r>
      <w:r>
        <w:t xml:space="preserve">may be provided </w:t>
      </w:r>
      <w:r w:rsidRPr="003C6D1F">
        <w:t>to reflect changes to indications or major variations to a prescription medicine subject to evaluation by the TGA.</w:t>
      </w:r>
    </w:p>
    <w:p w14:paraId="7067011F" w14:textId="510D5C5C" w:rsidR="00F02AEC" w:rsidRPr="00E1198B" w:rsidRDefault="00F02AEC" w:rsidP="00FE087C">
      <w:pPr>
        <w:pStyle w:val="LegalSubheading"/>
        <w:spacing w:before="3600"/>
      </w:pPr>
      <w:r w:rsidRPr="00BA0DFC">
        <w:t>Copyright</w:t>
      </w:r>
    </w:p>
    <w:p w14:paraId="170A8A5D" w14:textId="566BC01F" w:rsidR="00175CD8" w:rsidRPr="00346EC2" w:rsidRDefault="00F02AEC" w:rsidP="00346EC2">
      <w:pPr>
        <w:pStyle w:val="LegalCopy"/>
        <w:rPr>
          <w:rFonts w:cs="Arial"/>
        </w:rPr>
      </w:pPr>
      <w:r w:rsidRPr="00215D48">
        <w:rPr>
          <w:rFonts w:cs="Arial"/>
        </w:rPr>
        <w:t>© Commonwealth of Australia 20</w:t>
      </w:r>
      <w:r>
        <w:rPr>
          <w:rFonts w:cs="Arial"/>
        </w:rPr>
        <w:t>2</w:t>
      </w:r>
      <w:r w:rsidR="00E44926">
        <w:rPr>
          <w:rFonts w:cs="Arial"/>
        </w:rPr>
        <w:t>5</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w:t>
      </w:r>
      <w:r w:rsidR="00800683" w:rsidRPr="00215D48">
        <w:rPr>
          <w:rFonts w:cs="Arial"/>
        </w:rPr>
        <w:t>reserved,</w:t>
      </w:r>
      <w:r w:rsidRPr="00215D48">
        <w:rPr>
          <w:rFonts w:cs="Arial"/>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7" w:history="1">
        <w:r w:rsidRPr="00215D48">
          <w:rPr>
            <w:rStyle w:val="Hyperlink"/>
            <w:rFonts w:cs="Arial"/>
          </w:rPr>
          <w:t>tga.copyright@tga.gov.au</w:t>
        </w:r>
      </w:hyperlink>
      <w:r w:rsidRPr="00215D48">
        <w:rPr>
          <w:rFonts w:cs="Arial"/>
        </w:rPr>
        <w:t>&gt;.</w:t>
      </w:r>
    </w:p>
    <w:sdt>
      <w:sdtPr>
        <w:rPr>
          <w:rFonts w:ascii="Cambria" w:eastAsiaTheme="minorEastAsia" w:hAnsi="Cambria" w:cstheme="minorBidi"/>
          <w:b w:val="0"/>
          <w:color w:val="auto"/>
          <w:sz w:val="22"/>
          <w:szCs w:val="22"/>
        </w:rPr>
        <w:id w:val="21514769"/>
        <w:docPartObj>
          <w:docPartGallery w:val="Table of Contents"/>
          <w:docPartUnique/>
        </w:docPartObj>
      </w:sdtPr>
      <w:sdtEndPr>
        <w:rPr>
          <w:rFonts w:ascii="Arial" w:hAnsi="Arial"/>
          <w:b/>
          <w:color w:val="333F48"/>
          <w:sz w:val="25"/>
          <w:szCs w:val="25"/>
        </w:rPr>
      </w:sdtEndPr>
      <w:sdtContent>
        <w:p w14:paraId="0A6ADA2B" w14:textId="77777777" w:rsidR="00F02AEC" w:rsidRPr="00215D48" w:rsidRDefault="00F02AEC" w:rsidP="007452E8">
          <w:pPr>
            <w:pStyle w:val="NonTOCheading2"/>
          </w:pPr>
          <w:r w:rsidRPr="00215D48">
            <w:t>Contents</w:t>
          </w:r>
        </w:p>
        <w:p w14:paraId="3653B43E" w14:textId="20CE98A2" w:rsidR="00DA1244" w:rsidRDefault="00F02AEC">
          <w:pPr>
            <w:pStyle w:val="TOC1"/>
            <w:rPr>
              <w:rFonts w:asciiTheme="minorHAnsi" w:eastAsiaTheme="minorEastAsia" w:hAnsiTheme="minorHAnsi" w:cstheme="minorBidi"/>
              <w:b w:val="0"/>
              <w:noProof/>
              <w:color w:val="auto"/>
              <w:kern w:val="2"/>
              <w:sz w:val="24"/>
              <w:szCs w:val="24"/>
              <w:lang w:eastAsia="en-AU"/>
              <w14:ligatures w14:val="standardContextual"/>
            </w:rPr>
          </w:pPr>
          <w:r w:rsidRPr="00215D48">
            <w:fldChar w:fldCharType="begin"/>
          </w:r>
          <w:r w:rsidRPr="00215D48">
            <w:instrText xml:space="preserve"> TOC \h \z \u \t "Heading 2,1,Heading 3,2,Heading 4,3" </w:instrText>
          </w:r>
          <w:r w:rsidRPr="00215D48">
            <w:fldChar w:fldCharType="separate"/>
          </w:r>
          <w:hyperlink w:anchor="_Toc200457808" w:history="1">
            <w:r w:rsidR="00DA1244" w:rsidRPr="00E30788">
              <w:rPr>
                <w:rStyle w:val="Hyperlink"/>
                <w:noProof/>
              </w:rPr>
              <w:t>List of abbreviations</w:t>
            </w:r>
            <w:r w:rsidR="00DA1244">
              <w:rPr>
                <w:noProof/>
                <w:webHidden/>
              </w:rPr>
              <w:tab/>
            </w:r>
            <w:r w:rsidR="00DA1244">
              <w:rPr>
                <w:noProof/>
                <w:webHidden/>
              </w:rPr>
              <w:fldChar w:fldCharType="begin"/>
            </w:r>
            <w:r w:rsidR="00DA1244">
              <w:rPr>
                <w:noProof/>
                <w:webHidden/>
              </w:rPr>
              <w:instrText xml:space="preserve"> PAGEREF _Toc200457808 \h </w:instrText>
            </w:r>
            <w:r w:rsidR="00DA1244">
              <w:rPr>
                <w:noProof/>
                <w:webHidden/>
              </w:rPr>
            </w:r>
            <w:r w:rsidR="00DA1244">
              <w:rPr>
                <w:noProof/>
                <w:webHidden/>
              </w:rPr>
              <w:fldChar w:fldCharType="separate"/>
            </w:r>
            <w:r w:rsidR="00DA1244">
              <w:rPr>
                <w:noProof/>
                <w:webHidden/>
              </w:rPr>
              <w:t>4</w:t>
            </w:r>
            <w:r w:rsidR="00DA1244">
              <w:rPr>
                <w:noProof/>
                <w:webHidden/>
              </w:rPr>
              <w:fldChar w:fldCharType="end"/>
            </w:r>
          </w:hyperlink>
        </w:p>
        <w:p w14:paraId="44367E52" w14:textId="537C251C" w:rsidR="00DA1244" w:rsidRDefault="00DA1244">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00457809" w:history="1">
            <w:r w:rsidRPr="00E30788">
              <w:rPr>
                <w:rStyle w:val="Hyperlink"/>
                <w:noProof/>
              </w:rPr>
              <w:t>Product submission</w:t>
            </w:r>
            <w:r>
              <w:rPr>
                <w:noProof/>
                <w:webHidden/>
              </w:rPr>
              <w:tab/>
            </w:r>
            <w:r>
              <w:rPr>
                <w:noProof/>
                <w:webHidden/>
              </w:rPr>
              <w:fldChar w:fldCharType="begin"/>
            </w:r>
            <w:r>
              <w:rPr>
                <w:noProof/>
                <w:webHidden/>
              </w:rPr>
              <w:instrText xml:space="preserve"> PAGEREF _Toc200457809 \h </w:instrText>
            </w:r>
            <w:r>
              <w:rPr>
                <w:noProof/>
                <w:webHidden/>
              </w:rPr>
            </w:r>
            <w:r>
              <w:rPr>
                <w:noProof/>
                <w:webHidden/>
              </w:rPr>
              <w:fldChar w:fldCharType="separate"/>
            </w:r>
            <w:r>
              <w:rPr>
                <w:noProof/>
                <w:webHidden/>
              </w:rPr>
              <w:t>6</w:t>
            </w:r>
            <w:r>
              <w:rPr>
                <w:noProof/>
                <w:webHidden/>
              </w:rPr>
              <w:fldChar w:fldCharType="end"/>
            </w:r>
          </w:hyperlink>
        </w:p>
        <w:p w14:paraId="7998FAC9" w14:textId="44C71F97" w:rsidR="00DA1244" w:rsidRDefault="00DA1244">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0457810" w:history="1">
            <w:r w:rsidRPr="00E30788">
              <w:rPr>
                <w:rStyle w:val="Hyperlink"/>
                <w:noProof/>
                <w:lang w:eastAsia="en-AU"/>
              </w:rPr>
              <w:t>Submission details</w:t>
            </w:r>
            <w:r>
              <w:rPr>
                <w:noProof/>
                <w:webHidden/>
              </w:rPr>
              <w:tab/>
            </w:r>
            <w:r>
              <w:rPr>
                <w:noProof/>
                <w:webHidden/>
              </w:rPr>
              <w:fldChar w:fldCharType="begin"/>
            </w:r>
            <w:r>
              <w:rPr>
                <w:noProof/>
                <w:webHidden/>
              </w:rPr>
              <w:instrText xml:space="preserve"> PAGEREF _Toc200457810 \h </w:instrText>
            </w:r>
            <w:r>
              <w:rPr>
                <w:noProof/>
                <w:webHidden/>
              </w:rPr>
            </w:r>
            <w:r>
              <w:rPr>
                <w:noProof/>
                <w:webHidden/>
              </w:rPr>
              <w:fldChar w:fldCharType="separate"/>
            </w:r>
            <w:r>
              <w:rPr>
                <w:noProof/>
                <w:webHidden/>
              </w:rPr>
              <w:t>6</w:t>
            </w:r>
            <w:r>
              <w:rPr>
                <w:noProof/>
                <w:webHidden/>
              </w:rPr>
              <w:fldChar w:fldCharType="end"/>
            </w:r>
          </w:hyperlink>
        </w:p>
        <w:p w14:paraId="7CD9D98B" w14:textId="5A2DD061" w:rsidR="00DA1244" w:rsidRDefault="00DA1244">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0457811" w:history="1">
            <w:r w:rsidRPr="00E30788">
              <w:rPr>
                <w:rStyle w:val="Hyperlink"/>
                <w:noProof/>
              </w:rPr>
              <w:t>Product background</w:t>
            </w:r>
            <w:r>
              <w:rPr>
                <w:noProof/>
                <w:webHidden/>
              </w:rPr>
              <w:tab/>
            </w:r>
            <w:r>
              <w:rPr>
                <w:noProof/>
                <w:webHidden/>
              </w:rPr>
              <w:fldChar w:fldCharType="begin"/>
            </w:r>
            <w:r>
              <w:rPr>
                <w:noProof/>
                <w:webHidden/>
              </w:rPr>
              <w:instrText xml:space="preserve"> PAGEREF _Toc200457811 \h </w:instrText>
            </w:r>
            <w:r>
              <w:rPr>
                <w:noProof/>
                <w:webHidden/>
              </w:rPr>
            </w:r>
            <w:r>
              <w:rPr>
                <w:noProof/>
                <w:webHidden/>
              </w:rPr>
              <w:fldChar w:fldCharType="separate"/>
            </w:r>
            <w:r>
              <w:rPr>
                <w:noProof/>
                <w:webHidden/>
              </w:rPr>
              <w:t>7</w:t>
            </w:r>
            <w:r>
              <w:rPr>
                <w:noProof/>
                <w:webHidden/>
              </w:rPr>
              <w:fldChar w:fldCharType="end"/>
            </w:r>
          </w:hyperlink>
        </w:p>
        <w:p w14:paraId="4C7B9252" w14:textId="1DF86248" w:rsidR="00DA1244" w:rsidRDefault="00DA1244">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0457812" w:history="1">
            <w:r w:rsidRPr="00E30788">
              <w:rPr>
                <w:rStyle w:val="Hyperlink"/>
                <w:noProof/>
              </w:rPr>
              <w:t>Disease or condition</w:t>
            </w:r>
            <w:r>
              <w:rPr>
                <w:noProof/>
                <w:webHidden/>
              </w:rPr>
              <w:tab/>
            </w:r>
            <w:r>
              <w:rPr>
                <w:noProof/>
                <w:webHidden/>
              </w:rPr>
              <w:fldChar w:fldCharType="begin"/>
            </w:r>
            <w:r>
              <w:rPr>
                <w:noProof/>
                <w:webHidden/>
              </w:rPr>
              <w:instrText xml:space="preserve"> PAGEREF _Toc200457812 \h </w:instrText>
            </w:r>
            <w:r>
              <w:rPr>
                <w:noProof/>
                <w:webHidden/>
              </w:rPr>
            </w:r>
            <w:r>
              <w:rPr>
                <w:noProof/>
                <w:webHidden/>
              </w:rPr>
              <w:fldChar w:fldCharType="separate"/>
            </w:r>
            <w:r>
              <w:rPr>
                <w:noProof/>
                <w:webHidden/>
              </w:rPr>
              <w:t>7</w:t>
            </w:r>
            <w:r>
              <w:rPr>
                <w:noProof/>
                <w:webHidden/>
              </w:rPr>
              <w:fldChar w:fldCharType="end"/>
            </w:r>
          </w:hyperlink>
        </w:p>
        <w:p w14:paraId="3BA93220" w14:textId="6C5D718A" w:rsidR="00DA1244" w:rsidRDefault="00DA1244">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0457813" w:history="1">
            <w:r w:rsidRPr="00E30788">
              <w:rPr>
                <w:rStyle w:val="Hyperlink"/>
                <w:noProof/>
              </w:rPr>
              <w:t>Current treatment options</w:t>
            </w:r>
            <w:r>
              <w:rPr>
                <w:noProof/>
                <w:webHidden/>
              </w:rPr>
              <w:tab/>
            </w:r>
            <w:r>
              <w:rPr>
                <w:noProof/>
                <w:webHidden/>
              </w:rPr>
              <w:fldChar w:fldCharType="begin"/>
            </w:r>
            <w:r>
              <w:rPr>
                <w:noProof/>
                <w:webHidden/>
              </w:rPr>
              <w:instrText xml:space="preserve"> PAGEREF _Toc200457813 \h </w:instrText>
            </w:r>
            <w:r>
              <w:rPr>
                <w:noProof/>
                <w:webHidden/>
              </w:rPr>
            </w:r>
            <w:r>
              <w:rPr>
                <w:noProof/>
                <w:webHidden/>
              </w:rPr>
              <w:fldChar w:fldCharType="separate"/>
            </w:r>
            <w:r>
              <w:rPr>
                <w:noProof/>
                <w:webHidden/>
              </w:rPr>
              <w:t>8</w:t>
            </w:r>
            <w:r>
              <w:rPr>
                <w:noProof/>
                <w:webHidden/>
              </w:rPr>
              <w:fldChar w:fldCharType="end"/>
            </w:r>
          </w:hyperlink>
        </w:p>
        <w:p w14:paraId="64F4C366" w14:textId="765E3474" w:rsidR="00DA1244" w:rsidRDefault="00DA1244">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0457814" w:history="1">
            <w:r w:rsidRPr="00E30788">
              <w:rPr>
                <w:rStyle w:val="Hyperlink"/>
                <w:noProof/>
              </w:rPr>
              <w:t>Clinical rationale</w:t>
            </w:r>
            <w:r>
              <w:rPr>
                <w:noProof/>
                <w:webHidden/>
              </w:rPr>
              <w:tab/>
            </w:r>
            <w:r>
              <w:rPr>
                <w:noProof/>
                <w:webHidden/>
              </w:rPr>
              <w:fldChar w:fldCharType="begin"/>
            </w:r>
            <w:r>
              <w:rPr>
                <w:noProof/>
                <w:webHidden/>
              </w:rPr>
              <w:instrText xml:space="preserve"> PAGEREF _Toc200457814 \h </w:instrText>
            </w:r>
            <w:r>
              <w:rPr>
                <w:noProof/>
                <w:webHidden/>
              </w:rPr>
            </w:r>
            <w:r>
              <w:rPr>
                <w:noProof/>
                <w:webHidden/>
              </w:rPr>
              <w:fldChar w:fldCharType="separate"/>
            </w:r>
            <w:r>
              <w:rPr>
                <w:noProof/>
                <w:webHidden/>
              </w:rPr>
              <w:t>8</w:t>
            </w:r>
            <w:r>
              <w:rPr>
                <w:noProof/>
                <w:webHidden/>
              </w:rPr>
              <w:fldChar w:fldCharType="end"/>
            </w:r>
          </w:hyperlink>
        </w:p>
        <w:p w14:paraId="1CF90EBA" w14:textId="3A2CC2BF" w:rsidR="00DA1244" w:rsidRDefault="00DA1244">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0457815" w:history="1">
            <w:r w:rsidRPr="00E30788">
              <w:rPr>
                <w:rStyle w:val="Hyperlink"/>
                <w:noProof/>
              </w:rPr>
              <w:t>Regulatory status</w:t>
            </w:r>
            <w:r>
              <w:rPr>
                <w:noProof/>
                <w:webHidden/>
              </w:rPr>
              <w:tab/>
            </w:r>
            <w:r>
              <w:rPr>
                <w:noProof/>
                <w:webHidden/>
              </w:rPr>
              <w:fldChar w:fldCharType="begin"/>
            </w:r>
            <w:r>
              <w:rPr>
                <w:noProof/>
                <w:webHidden/>
              </w:rPr>
              <w:instrText xml:space="preserve"> PAGEREF _Toc200457815 \h </w:instrText>
            </w:r>
            <w:r>
              <w:rPr>
                <w:noProof/>
                <w:webHidden/>
              </w:rPr>
            </w:r>
            <w:r>
              <w:rPr>
                <w:noProof/>
                <w:webHidden/>
              </w:rPr>
              <w:fldChar w:fldCharType="separate"/>
            </w:r>
            <w:r>
              <w:rPr>
                <w:noProof/>
                <w:webHidden/>
              </w:rPr>
              <w:t>9</w:t>
            </w:r>
            <w:r>
              <w:rPr>
                <w:noProof/>
                <w:webHidden/>
              </w:rPr>
              <w:fldChar w:fldCharType="end"/>
            </w:r>
          </w:hyperlink>
        </w:p>
        <w:p w14:paraId="19B6B3EA" w14:textId="709828E7" w:rsidR="00DA1244" w:rsidRDefault="00DA1244">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0457816" w:history="1">
            <w:r w:rsidRPr="00E30788">
              <w:rPr>
                <w:rStyle w:val="Hyperlink"/>
                <w:noProof/>
              </w:rPr>
              <w:t>Australian regulatory status</w:t>
            </w:r>
            <w:r>
              <w:rPr>
                <w:noProof/>
                <w:webHidden/>
              </w:rPr>
              <w:tab/>
            </w:r>
            <w:r>
              <w:rPr>
                <w:noProof/>
                <w:webHidden/>
              </w:rPr>
              <w:fldChar w:fldCharType="begin"/>
            </w:r>
            <w:r>
              <w:rPr>
                <w:noProof/>
                <w:webHidden/>
              </w:rPr>
              <w:instrText xml:space="preserve"> PAGEREF _Toc200457816 \h </w:instrText>
            </w:r>
            <w:r>
              <w:rPr>
                <w:noProof/>
                <w:webHidden/>
              </w:rPr>
            </w:r>
            <w:r>
              <w:rPr>
                <w:noProof/>
                <w:webHidden/>
              </w:rPr>
              <w:fldChar w:fldCharType="separate"/>
            </w:r>
            <w:r>
              <w:rPr>
                <w:noProof/>
                <w:webHidden/>
              </w:rPr>
              <w:t>9</w:t>
            </w:r>
            <w:r>
              <w:rPr>
                <w:noProof/>
                <w:webHidden/>
              </w:rPr>
              <w:fldChar w:fldCharType="end"/>
            </w:r>
          </w:hyperlink>
        </w:p>
        <w:p w14:paraId="1120D048" w14:textId="2D48E8AC" w:rsidR="00DA1244" w:rsidRDefault="00DA1244">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0457817" w:history="1">
            <w:r w:rsidRPr="00E30788">
              <w:rPr>
                <w:rStyle w:val="Hyperlink"/>
                <w:noProof/>
              </w:rPr>
              <w:t>International regulatory status</w:t>
            </w:r>
            <w:r>
              <w:rPr>
                <w:noProof/>
                <w:webHidden/>
              </w:rPr>
              <w:tab/>
            </w:r>
            <w:r>
              <w:rPr>
                <w:noProof/>
                <w:webHidden/>
              </w:rPr>
              <w:fldChar w:fldCharType="begin"/>
            </w:r>
            <w:r>
              <w:rPr>
                <w:noProof/>
                <w:webHidden/>
              </w:rPr>
              <w:instrText xml:space="preserve"> PAGEREF _Toc200457817 \h </w:instrText>
            </w:r>
            <w:r>
              <w:rPr>
                <w:noProof/>
                <w:webHidden/>
              </w:rPr>
            </w:r>
            <w:r>
              <w:rPr>
                <w:noProof/>
                <w:webHidden/>
              </w:rPr>
              <w:fldChar w:fldCharType="separate"/>
            </w:r>
            <w:r>
              <w:rPr>
                <w:noProof/>
                <w:webHidden/>
              </w:rPr>
              <w:t>9</w:t>
            </w:r>
            <w:r>
              <w:rPr>
                <w:noProof/>
                <w:webHidden/>
              </w:rPr>
              <w:fldChar w:fldCharType="end"/>
            </w:r>
          </w:hyperlink>
        </w:p>
        <w:p w14:paraId="32E31D71" w14:textId="438E0C40" w:rsidR="00DA1244" w:rsidRDefault="00DA1244">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0457818" w:history="1">
            <w:r w:rsidRPr="00E30788">
              <w:rPr>
                <w:rStyle w:val="Hyperlink"/>
                <w:noProof/>
              </w:rPr>
              <w:t>Registration timeline</w:t>
            </w:r>
            <w:r>
              <w:rPr>
                <w:noProof/>
                <w:webHidden/>
              </w:rPr>
              <w:tab/>
            </w:r>
            <w:r>
              <w:rPr>
                <w:noProof/>
                <w:webHidden/>
              </w:rPr>
              <w:fldChar w:fldCharType="begin"/>
            </w:r>
            <w:r>
              <w:rPr>
                <w:noProof/>
                <w:webHidden/>
              </w:rPr>
              <w:instrText xml:space="preserve"> PAGEREF _Toc200457818 \h </w:instrText>
            </w:r>
            <w:r>
              <w:rPr>
                <w:noProof/>
                <w:webHidden/>
              </w:rPr>
            </w:r>
            <w:r>
              <w:rPr>
                <w:noProof/>
                <w:webHidden/>
              </w:rPr>
              <w:fldChar w:fldCharType="separate"/>
            </w:r>
            <w:r>
              <w:rPr>
                <w:noProof/>
                <w:webHidden/>
              </w:rPr>
              <w:t>10</w:t>
            </w:r>
            <w:r>
              <w:rPr>
                <w:noProof/>
                <w:webHidden/>
              </w:rPr>
              <w:fldChar w:fldCharType="end"/>
            </w:r>
          </w:hyperlink>
        </w:p>
        <w:p w14:paraId="4DED563C" w14:textId="0943D5F9" w:rsidR="00DA1244" w:rsidRDefault="00DA1244">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00457819" w:history="1">
            <w:r w:rsidRPr="00E30788">
              <w:rPr>
                <w:rStyle w:val="Hyperlink"/>
                <w:noProof/>
              </w:rPr>
              <w:t>Submission overview and risk/benefit assessment</w:t>
            </w:r>
            <w:r>
              <w:rPr>
                <w:noProof/>
                <w:webHidden/>
              </w:rPr>
              <w:tab/>
            </w:r>
            <w:r>
              <w:rPr>
                <w:noProof/>
                <w:webHidden/>
              </w:rPr>
              <w:fldChar w:fldCharType="begin"/>
            </w:r>
            <w:r>
              <w:rPr>
                <w:noProof/>
                <w:webHidden/>
              </w:rPr>
              <w:instrText xml:space="preserve"> PAGEREF _Toc200457819 \h </w:instrText>
            </w:r>
            <w:r>
              <w:rPr>
                <w:noProof/>
                <w:webHidden/>
              </w:rPr>
            </w:r>
            <w:r>
              <w:rPr>
                <w:noProof/>
                <w:webHidden/>
              </w:rPr>
              <w:fldChar w:fldCharType="separate"/>
            </w:r>
            <w:r>
              <w:rPr>
                <w:noProof/>
                <w:webHidden/>
              </w:rPr>
              <w:t>11</w:t>
            </w:r>
            <w:r>
              <w:rPr>
                <w:noProof/>
                <w:webHidden/>
              </w:rPr>
              <w:fldChar w:fldCharType="end"/>
            </w:r>
          </w:hyperlink>
        </w:p>
        <w:p w14:paraId="25122200" w14:textId="1BF6DDBA" w:rsidR="00DA1244" w:rsidRDefault="00DA1244">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0457820" w:history="1">
            <w:r w:rsidRPr="00E30788">
              <w:rPr>
                <w:rStyle w:val="Hyperlink"/>
                <w:noProof/>
              </w:rPr>
              <w:t>Quality evaluation summary</w:t>
            </w:r>
            <w:r>
              <w:rPr>
                <w:noProof/>
                <w:webHidden/>
              </w:rPr>
              <w:tab/>
            </w:r>
            <w:r>
              <w:rPr>
                <w:noProof/>
                <w:webHidden/>
              </w:rPr>
              <w:fldChar w:fldCharType="begin"/>
            </w:r>
            <w:r>
              <w:rPr>
                <w:noProof/>
                <w:webHidden/>
              </w:rPr>
              <w:instrText xml:space="preserve"> PAGEREF _Toc200457820 \h </w:instrText>
            </w:r>
            <w:r>
              <w:rPr>
                <w:noProof/>
                <w:webHidden/>
              </w:rPr>
            </w:r>
            <w:r>
              <w:rPr>
                <w:noProof/>
                <w:webHidden/>
              </w:rPr>
              <w:fldChar w:fldCharType="separate"/>
            </w:r>
            <w:r>
              <w:rPr>
                <w:noProof/>
                <w:webHidden/>
              </w:rPr>
              <w:t>11</w:t>
            </w:r>
            <w:r>
              <w:rPr>
                <w:noProof/>
                <w:webHidden/>
              </w:rPr>
              <w:fldChar w:fldCharType="end"/>
            </w:r>
          </w:hyperlink>
        </w:p>
        <w:p w14:paraId="43AF2A8C" w14:textId="0CF49831" w:rsidR="00DA1244" w:rsidRDefault="00DA1244">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0457821" w:history="1">
            <w:r w:rsidRPr="00E30788">
              <w:rPr>
                <w:rStyle w:val="Hyperlink"/>
                <w:noProof/>
              </w:rPr>
              <w:t>Nonclinical (toxicology) evaluation summary</w:t>
            </w:r>
            <w:r>
              <w:rPr>
                <w:noProof/>
                <w:webHidden/>
              </w:rPr>
              <w:tab/>
            </w:r>
            <w:r>
              <w:rPr>
                <w:noProof/>
                <w:webHidden/>
              </w:rPr>
              <w:fldChar w:fldCharType="begin"/>
            </w:r>
            <w:r>
              <w:rPr>
                <w:noProof/>
                <w:webHidden/>
              </w:rPr>
              <w:instrText xml:space="preserve"> PAGEREF _Toc200457821 \h </w:instrText>
            </w:r>
            <w:r>
              <w:rPr>
                <w:noProof/>
                <w:webHidden/>
              </w:rPr>
            </w:r>
            <w:r>
              <w:rPr>
                <w:noProof/>
                <w:webHidden/>
              </w:rPr>
              <w:fldChar w:fldCharType="separate"/>
            </w:r>
            <w:r>
              <w:rPr>
                <w:noProof/>
                <w:webHidden/>
              </w:rPr>
              <w:t>11</w:t>
            </w:r>
            <w:r>
              <w:rPr>
                <w:noProof/>
                <w:webHidden/>
              </w:rPr>
              <w:fldChar w:fldCharType="end"/>
            </w:r>
          </w:hyperlink>
        </w:p>
        <w:p w14:paraId="320020D1" w14:textId="3422BF06" w:rsidR="00DA1244" w:rsidRDefault="00DA1244">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0457822" w:history="1">
            <w:r w:rsidRPr="00E30788">
              <w:rPr>
                <w:rStyle w:val="Hyperlink"/>
                <w:noProof/>
              </w:rPr>
              <w:t>Clinical evaluation summary</w:t>
            </w:r>
            <w:r>
              <w:rPr>
                <w:noProof/>
                <w:webHidden/>
              </w:rPr>
              <w:tab/>
            </w:r>
            <w:r>
              <w:rPr>
                <w:noProof/>
                <w:webHidden/>
              </w:rPr>
              <w:fldChar w:fldCharType="begin"/>
            </w:r>
            <w:r>
              <w:rPr>
                <w:noProof/>
                <w:webHidden/>
              </w:rPr>
              <w:instrText xml:space="preserve"> PAGEREF _Toc200457822 \h </w:instrText>
            </w:r>
            <w:r>
              <w:rPr>
                <w:noProof/>
                <w:webHidden/>
              </w:rPr>
            </w:r>
            <w:r>
              <w:rPr>
                <w:noProof/>
                <w:webHidden/>
              </w:rPr>
              <w:fldChar w:fldCharType="separate"/>
            </w:r>
            <w:r>
              <w:rPr>
                <w:noProof/>
                <w:webHidden/>
              </w:rPr>
              <w:t>13</w:t>
            </w:r>
            <w:r>
              <w:rPr>
                <w:noProof/>
                <w:webHidden/>
              </w:rPr>
              <w:fldChar w:fldCharType="end"/>
            </w:r>
          </w:hyperlink>
        </w:p>
        <w:p w14:paraId="49F7B13D" w14:textId="63EC2DC4" w:rsidR="00DA1244" w:rsidRDefault="00DA1244">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0457823" w:history="1">
            <w:r w:rsidRPr="00E30788">
              <w:rPr>
                <w:rStyle w:val="Hyperlink"/>
                <w:noProof/>
              </w:rPr>
              <w:t>Pharmacology</w:t>
            </w:r>
            <w:r>
              <w:rPr>
                <w:noProof/>
                <w:webHidden/>
              </w:rPr>
              <w:tab/>
            </w:r>
            <w:r>
              <w:rPr>
                <w:noProof/>
                <w:webHidden/>
              </w:rPr>
              <w:fldChar w:fldCharType="begin"/>
            </w:r>
            <w:r>
              <w:rPr>
                <w:noProof/>
                <w:webHidden/>
              </w:rPr>
              <w:instrText xml:space="preserve"> PAGEREF _Toc200457823 \h </w:instrText>
            </w:r>
            <w:r>
              <w:rPr>
                <w:noProof/>
                <w:webHidden/>
              </w:rPr>
            </w:r>
            <w:r>
              <w:rPr>
                <w:noProof/>
                <w:webHidden/>
              </w:rPr>
              <w:fldChar w:fldCharType="separate"/>
            </w:r>
            <w:r>
              <w:rPr>
                <w:noProof/>
                <w:webHidden/>
              </w:rPr>
              <w:t>13</w:t>
            </w:r>
            <w:r>
              <w:rPr>
                <w:noProof/>
                <w:webHidden/>
              </w:rPr>
              <w:fldChar w:fldCharType="end"/>
            </w:r>
          </w:hyperlink>
        </w:p>
        <w:p w14:paraId="3E575DA8" w14:textId="3318568E" w:rsidR="00DA1244" w:rsidRDefault="00DA1244">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0457824" w:history="1">
            <w:r w:rsidRPr="00E30788">
              <w:rPr>
                <w:rStyle w:val="Hyperlink"/>
                <w:noProof/>
              </w:rPr>
              <w:t>Efficacy</w:t>
            </w:r>
            <w:r>
              <w:rPr>
                <w:noProof/>
                <w:webHidden/>
              </w:rPr>
              <w:tab/>
            </w:r>
            <w:r>
              <w:rPr>
                <w:noProof/>
                <w:webHidden/>
              </w:rPr>
              <w:fldChar w:fldCharType="begin"/>
            </w:r>
            <w:r>
              <w:rPr>
                <w:noProof/>
                <w:webHidden/>
              </w:rPr>
              <w:instrText xml:space="preserve"> PAGEREF _Toc200457824 \h </w:instrText>
            </w:r>
            <w:r>
              <w:rPr>
                <w:noProof/>
                <w:webHidden/>
              </w:rPr>
            </w:r>
            <w:r>
              <w:rPr>
                <w:noProof/>
                <w:webHidden/>
              </w:rPr>
              <w:fldChar w:fldCharType="separate"/>
            </w:r>
            <w:r>
              <w:rPr>
                <w:noProof/>
                <w:webHidden/>
              </w:rPr>
              <w:t>15</w:t>
            </w:r>
            <w:r>
              <w:rPr>
                <w:noProof/>
                <w:webHidden/>
              </w:rPr>
              <w:fldChar w:fldCharType="end"/>
            </w:r>
          </w:hyperlink>
        </w:p>
        <w:p w14:paraId="38B0D078" w14:textId="13CCDC6E" w:rsidR="00DA1244" w:rsidRDefault="00DA1244">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0457825" w:history="1">
            <w:r w:rsidRPr="00E30788">
              <w:rPr>
                <w:rStyle w:val="Hyperlink"/>
                <w:noProof/>
              </w:rPr>
              <w:t>Safety</w:t>
            </w:r>
            <w:r>
              <w:rPr>
                <w:noProof/>
                <w:webHidden/>
              </w:rPr>
              <w:tab/>
            </w:r>
            <w:r>
              <w:rPr>
                <w:noProof/>
                <w:webHidden/>
              </w:rPr>
              <w:fldChar w:fldCharType="begin"/>
            </w:r>
            <w:r>
              <w:rPr>
                <w:noProof/>
                <w:webHidden/>
              </w:rPr>
              <w:instrText xml:space="preserve"> PAGEREF _Toc200457825 \h </w:instrText>
            </w:r>
            <w:r>
              <w:rPr>
                <w:noProof/>
                <w:webHidden/>
              </w:rPr>
            </w:r>
            <w:r>
              <w:rPr>
                <w:noProof/>
                <w:webHidden/>
              </w:rPr>
              <w:fldChar w:fldCharType="separate"/>
            </w:r>
            <w:r>
              <w:rPr>
                <w:noProof/>
                <w:webHidden/>
              </w:rPr>
              <w:t>22</w:t>
            </w:r>
            <w:r>
              <w:rPr>
                <w:noProof/>
                <w:webHidden/>
              </w:rPr>
              <w:fldChar w:fldCharType="end"/>
            </w:r>
          </w:hyperlink>
        </w:p>
        <w:p w14:paraId="723A6EA5" w14:textId="576B5CB2" w:rsidR="00DA1244" w:rsidRDefault="00DA1244">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0457826" w:history="1">
            <w:r w:rsidRPr="00E30788">
              <w:rPr>
                <w:rStyle w:val="Hyperlink"/>
                <w:noProof/>
              </w:rPr>
              <w:t>Immunogenicity</w:t>
            </w:r>
            <w:r>
              <w:rPr>
                <w:noProof/>
                <w:webHidden/>
              </w:rPr>
              <w:tab/>
            </w:r>
            <w:r>
              <w:rPr>
                <w:noProof/>
                <w:webHidden/>
              </w:rPr>
              <w:fldChar w:fldCharType="begin"/>
            </w:r>
            <w:r>
              <w:rPr>
                <w:noProof/>
                <w:webHidden/>
              </w:rPr>
              <w:instrText xml:space="preserve"> PAGEREF _Toc200457826 \h </w:instrText>
            </w:r>
            <w:r>
              <w:rPr>
                <w:noProof/>
                <w:webHidden/>
              </w:rPr>
            </w:r>
            <w:r>
              <w:rPr>
                <w:noProof/>
                <w:webHidden/>
              </w:rPr>
              <w:fldChar w:fldCharType="separate"/>
            </w:r>
            <w:r>
              <w:rPr>
                <w:noProof/>
                <w:webHidden/>
              </w:rPr>
              <w:t>27</w:t>
            </w:r>
            <w:r>
              <w:rPr>
                <w:noProof/>
                <w:webHidden/>
              </w:rPr>
              <w:fldChar w:fldCharType="end"/>
            </w:r>
          </w:hyperlink>
        </w:p>
        <w:p w14:paraId="46B3B517" w14:textId="65296C7D" w:rsidR="00DA1244" w:rsidRDefault="00DA1244">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0457827" w:history="1">
            <w:r w:rsidRPr="00E30788">
              <w:rPr>
                <w:rStyle w:val="Hyperlink"/>
                <w:noProof/>
                <w:lang w:eastAsia="en-AU"/>
              </w:rPr>
              <w:t xml:space="preserve">Risk management plan </w:t>
            </w:r>
            <w:r w:rsidRPr="00E30788">
              <w:rPr>
                <w:rStyle w:val="Hyperlink"/>
                <w:noProof/>
              </w:rPr>
              <w:t>evaluation</w:t>
            </w:r>
            <w:r w:rsidRPr="00E30788">
              <w:rPr>
                <w:rStyle w:val="Hyperlink"/>
                <w:noProof/>
                <w:lang w:eastAsia="en-AU"/>
              </w:rPr>
              <w:t xml:space="preserve"> summary</w:t>
            </w:r>
            <w:r>
              <w:rPr>
                <w:noProof/>
                <w:webHidden/>
              </w:rPr>
              <w:tab/>
            </w:r>
            <w:r>
              <w:rPr>
                <w:noProof/>
                <w:webHidden/>
              </w:rPr>
              <w:fldChar w:fldCharType="begin"/>
            </w:r>
            <w:r>
              <w:rPr>
                <w:noProof/>
                <w:webHidden/>
              </w:rPr>
              <w:instrText xml:space="preserve"> PAGEREF _Toc200457827 \h </w:instrText>
            </w:r>
            <w:r>
              <w:rPr>
                <w:noProof/>
                <w:webHidden/>
              </w:rPr>
            </w:r>
            <w:r>
              <w:rPr>
                <w:noProof/>
                <w:webHidden/>
              </w:rPr>
              <w:fldChar w:fldCharType="separate"/>
            </w:r>
            <w:r>
              <w:rPr>
                <w:noProof/>
                <w:webHidden/>
              </w:rPr>
              <w:t>28</w:t>
            </w:r>
            <w:r>
              <w:rPr>
                <w:noProof/>
                <w:webHidden/>
              </w:rPr>
              <w:fldChar w:fldCharType="end"/>
            </w:r>
          </w:hyperlink>
        </w:p>
        <w:p w14:paraId="773704A6" w14:textId="050223BA" w:rsidR="00DA1244" w:rsidRDefault="00DA1244">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0457828" w:history="1">
            <w:r w:rsidRPr="00E30788">
              <w:rPr>
                <w:rStyle w:val="Hyperlink"/>
                <w:noProof/>
              </w:rPr>
              <w:t>Delegate’s considerations - Risk-benefit analysis</w:t>
            </w:r>
            <w:r>
              <w:rPr>
                <w:noProof/>
                <w:webHidden/>
              </w:rPr>
              <w:tab/>
            </w:r>
            <w:r>
              <w:rPr>
                <w:noProof/>
                <w:webHidden/>
              </w:rPr>
              <w:fldChar w:fldCharType="begin"/>
            </w:r>
            <w:r>
              <w:rPr>
                <w:noProof/>
                <w:webHidden/>
              </w:rPr>
              <w:instrText xml:space="preserve"> PAGEREF _Toc200457828 \h </w:instrText>
            </w:r>
            <w:r>
              <w:rPr>
                <w:noProof/>
                <w:webHidden/>
              </w:rPr>
            </w:r>
            <w:r>
              <w:rPr>
                <w:noProof/>
                <w:webHidden/>
              </w:rPr>
              <w:fldChar w:fldCharType="separate"/>
            </w:r>
            <w:r>
              <w:rPr>
                <w:noProof/>
                <w:webHidden/>
              </w:rPr>
              <w:t>28</w:t>
            </w:r>
            <w:r>
              <w:rPr>
                <w:noProof/>
                <w:webHidden/>
              </w:rPr>
              <w:fldChar w:fldCharType="end"/>
            </w:r>
          </w:hyperlink>
        </w:p>
        <w:p w14:paraId="14BA5795" w14:textId="55802A7E" w:rsidR="00DA1244" w:rsidRDefault="00DA1244">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0457829" w:history="1">
            <w:r w:rsidRPr="00E30788">
              <w:rPr>
                <w:rStyle w:val="Hyperlink"/>
                <w:noProof/>
              </w:rPr>
              <w:t>Questions for the sponsor</w:t>
            </w:r>
            <w:r>
              <w:rPr>
                <w:noProof/>
                <w:webHidden/>
              </w:rPr>
              <w:tab/>
            </w:r>
            <w:r>
              <w:rPr>
                <w:noProof/>
                <w:webHidden/>
              </w:rPr>
              <w:fldChar w:fldCharType="begin"/>
            </w:r>
            <w:r>
              <w:rPr>
                <w:noProof/>
                <w:webHidden/>
              </w:rPr>
              <w:instrText xml:space="preserve"> PAGEREF _Toc200457829 \h </w:instrText>
            </w:r>
            <w:r>
              <w:rPr>
                <w:noProof/>
                <w:webHidden/>
              </w:rPr>
            </w:r>
            <w:r>
              <w:rPr>
                <w:noProof/>
                <w:webHidden/>
              </w:rPr>
              <w:fldChar w:fldCharType="separate"/>
            </w:r>
            <w:r>
              <w:rPr>
                <w:noProof/>
                <w:webHidden/>
              </w:rPr>
              <w:t>30</w:t>
            </w:r>
            <w:r>
              <w:rPr>
                <w:noProof/>
                <w:webHidden/>
              </w:rPr>
              <w:fldChar w:fldCharType="end"/>
            </w:r>
          </w:hyperlink>
        </w:p>
        <w:p w14:paraId="4BBEAB98" w14:textId="72FC0008" w:rsidR="00DA1244" w:rsidRDefault="00DA1244">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00457830" w:history="1">
            <w:r w:rsidRPr="00E30788">
              <w:rPr>
                <w:rStyle w:val="Hyperlink"/>
                <w:noProof/>
              </w:rPr>
              <w:t>Regulatory decision (Outcome)</w:t>
            </w:r>
            <w:r>
              <w:rPr>
                <w:noProof/>
                <w:webHidden/>
              </w:rPr>
              <w:tab/>
            </w:r>
            <w:r>
              <w:rPr>
                <w:noProof/>
                <w:webHidden/>
              </w:rPr>
              <w:fldChar w:fldCharType="begin"/>
            </w:r>
            <w:r>
              <w:rPr>
                <w:noProof/>
                <w:webHidden/>
              </w:rPr>
              <w:instrText xml:space="preserve"> PAGEREF _Toc200457830 \h </w:instrText>
            </w:r>
            <w:r>
              <w:rPr>
                <w:noProof/>
                <w:webHidden/>
              </w:rPr>
            </w:r>
            <w:r>
              <w:rPr>
                <w:noProof/>
                <w:webHidden/>
              </w:rPr>
              <w:fldChar w:fldCharType="separate"/>
            </w:r>
            <w:r>
              <w:rPr>
                <w:noProof/>
                <w:webHidden/>
              </w:rPr>
              <w:t>31</w:t>
            </w:r>
            <w:r>
              <w:rPr>
                <w:noProof/>
                <w:webHidden/>
              </w:rPr>
              <w:fldChar w:fldCharType="end"/>
            </w:r>
          </w:hyperlink>
        </w:p>
        <w:p w14:paraId="6CC9D675" w14:textId="3F472E21" w:rsidR="00DA1244" w:rsidRDefault="00DA1244">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0457831" w:history="1">
            <w:r w:rsidRPr="00E30788">
              <w:rPr>
                <w:rStyle w:val="Hyperlink"/>
                <w:noProof/>
              </w:rPr>
              <w:t>Specific conditions of registration applying to Pombiliti</w:t>
            </w:r>
            <w:r>
              <w:rPr>
                <w:noProof/>
                <w:webHidden/>
              </w:rPr>
              <w:tab/>
            </w:r>
            <w:r>
              <w:rPr>
                <w:noProof/>
                <w:webHidden/>
              </w:rPr>
              <w:fldChar w:fldCharType="begin"/>
            </w:r>
            <w:r>
              <w:rPr>
                <w:noProof/>
                <w:webHidden/>
              </w:rPr>
              <w:instrText xml:space="preserve"> PAGEREF _Toc200457831 \h </w:instrText>
            </w:r>
            <w:r>
              <w:rPr>
                <w:noProof/>
                <w:webHidden/>
              </w:rPr>
            </w:r>
            <w:r>
              <w:rPr>
                <w:noProof/>
                <w:webHidden/>
              </w:rPr>
              <w:fldChar w:fldCharType="separate"/>
            </w:r>
            <w:r>
              <w:rPr>
                <w:noProof/>
                <w:webHidden/>
              </w:rPr>
              <w:t>31</w:t>
            </w:r>
            <w:r>
              <w:rPr>
                <w:noProof/>
                <w:webHidden/>
              </w:rPr>
              <w:fldChar w:fldCharType="end"/>
            </w:r>
          </w:hyperlink>
        </w:p>
        <w:p w14:paraId="16354A75" w14:textId="45637954" w:rsidR="00DA1244" w:rsidRDefault="00DA1244">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00457832" w:history="1">
            <w:r w:rsidRPr="00E30788">
              <w:rPr>
                <w:rStyle w:val="Hyperlink"/>
                <w:noProof/>
              </w:rPr>
              <w:t>Product Information and Consumer Medicines Information</w:t>
            </w:r>
            <w:r>
              <w:rPr>
                <w:noProof/>
                <w:webHidden/>
              </w:rPr>
              <w:tab/>
            </w:r>
            <w:r>
              <w:rPr>
                <w:noProof/>
                <w:webHidden/>
              </w:rPr>
              <w:fldChar w:fldCharType="begin"/>
            </w:r>
            <w:r>
              <w:rPr>
                <w:noProof/>
                <w:webHidden/>
              </w:rPr>
              <w:instrText xml:space="preserve"> PAGEREF _Toc200457832 \h </w:instrText>
            </w:r>
            <w:r>
              <w:rPr>
                <w:noProof/>
                <w:webHidden/>
              </w:rPr>
            </w:r>
            <w:r>
              <w:rPr>
                <w:noProof/>
                <w:webHidden/>
              </w:rPr>
              <w:fldChar w:fldCharType="separate"/>
            </w:r>
            <w:r>
              <w:rPr>
                <w:noProof/>
                <w:webHidden/>
              </w:rPr>
              <w:t>32</w:t>
            </w:r>
            <w:r>
              <w:rPr>
                <w:noProof/>
                <w:webHidden/>
              </w:rPr>
              <w:fldChar w:fldCharType="end"/>
            </w:r>
          </w:hyperlink>
        </w:p>
        <w:p w14:paraId="77659F2D" w14:textId="1576190A" w:rsidR="00F02AEC" w:rsidRPr="00215D48" w:rsidRDefault="00F02AEC" w:rsidP="00260671">
          <w:pPr>
            <w:pStyle w:val="TOC2"/>
          </w:pPr>
          <w:r w:rsidRPr="00215D48">
            <w:fldChar w:fldCharType="end"/>
          </w:r>
        </w:p>
      </w:sdtContent>
    </w:sdt>
    <w:p w14:paraId="43FADFED" w14:textId="77777777" w:rsidR="00DB4973" w:rsidRDefault="00DB4973" w:rsidP="008E5A67">
      <w:bookmarkStart w:id="1" w:name="_Toc98931917"/>
      <w:bookmarkStart w:id="2" w:name="_Toc103679287"/>
      <w:bookmarkStart w:id="3" w:name="_Toc323739589"/>
      <w:bookmarkStart w:id="4" w:name="_Toc356305216"/>
      <w:r>
        <w:br w:type="page"/>
      </w:r>
    </w:p>
    <w:p w14:paraId="1E73AB93" w14:textId="78432BF9" w:rsidR="00324B33" w:rsidRDefault="00324B33" w:rsidP="00324B33">
      <w:pPr>
        <w:pStyle w:val="Heading2"/>
      </w:pPr>
      <w:bookmarkStart w:id="5" w:name="_Toc200457808"/>
      <w:r>
        <w:lastRenderedPageBreak/>
        <w:t>List of abbreviations</w:t>
      </w:r>
      <w:bookmarkEnd w:id="1"/>
      <w:bookmarkEnd w:id="2"/>
      <w:bookmarkEnd w:id="5"/>
    </w:p>
    <w:tbl>
      <w:tblPr>
        <w:tblStyle w:val="TableTGAblue2023"/>
        <w:tblW w:w="5000" w:type="pct"/>
        <w:tblLook w:val="04A0" w:firstRow="1" w:lastRow="0" w:firstColumn="1" w:lastColumn="0" w:noHBand="0" w:noVBand="1"/>
      </w:tblPr>
      <w:tblGrid>
        <w:gridCol w:w="2174"/>
        <w:gridCol w:w="6886"/>
      </w:tblGrid>
      <w:tr w:rsidR="00324B33" w:rsidRPr="00D01DDB" w14:paraId="2117AEF6" w14:textId="77777777" w:rsidTr="00BD5DBD">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200" w:type="pct"/>
          </w:tcPr>
          <w:p w14:paraId="1207B6A7" w14:textId="67F7D360" w:rsidR="00324B33" w:rsidRPr="00D01DDB" w:rsidRDefault="00324B33" w:rsidP="00324B33">
            <w:pPr>
              <w:rPr>
                <w:szCs w:val="22"/>
              </w:rPr>
            </w:pPr>
            <w:r w:rsidRPr="00D01DDB">
              <w:rPr>
                <w:szCs w:val="22"/>
              </w:rPr>
              <w:t>Abbreviation</w:t>
            </w:r>
          </w:p>
        </w:tc>
        <w:tc>
          <w:tcPr>
            <w:tcW w:w="3800" w:type="pct"/>
          </w:tcPr>
          <w:p w14:paraId="4CF6D0CD" w14:textId="2974FA0B"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Meaning</w:t>
            </w:r>
          </w:p>
        </w:tc>
      </w:tr>
      <w:tr w:rsidR="003877EE" w:rsidRPr="00D01DDB" w14:paraId="592E6CE1" w14:textId="77777777" w:rsidTr="00396081">
        <w:trPr>
          <w:trHeight w:val="386"/>
        </w:trPr>
        <w:tc>
          <w:tcPr>
            <w:cnfStyle w:val="001000000000" w:firstRow="0" w:lastRow="0" w:firstColumn="1" w:lastColumn="0" w:oddVBand="0" w:evenVBand="0" w:oddHBand="0" w:evenHBand="0" w:firstRowFirstColumn="0" w:firstRowLastColumn="0" w:lastRowFirstColumn="0" w:lastRowLastColumn="0"/>
            <w:tcW w:w="1200" w:type="pct"/>
            <w:shd w:val="clear" w:color="auto" w:fill="auto"/>
          </w:tcPr>
          <w:p w14:paraId="7F79BF43" w14:textId="2602EF5B" w:rsidR="003877EE" w:rsidRPr="00D01DDB" w:rsidRDefault="003877EE" w:rsidP="003877EE">
            <w:pPr>
              <w:rPr>
                <w:szCs w:val="22"/>
              </w:rPr>
            </w:pPr>
            <w:r w:rsidRPr="00C7610A">
              <w:t>6MWD</w:t>
            </w:r>
          </w:p>
        </w:tc>
        <w:tc>
          <w:tcPr>
            <w:tcW w:w="3800" w:type="pct"/>
            <w:shd w:val="clear" w:color="auto" w:fill="auto"/>
          </w:tcPr>
          <w:p w14:paraId="7CAB782E" w14:textId="59A53F6A" w:rsidR="003877EE" w:rsidRPr="00D01DDB" w:rsidRDefault="003877EE" w:rsidP="003877EE">
            <w:pPr>
              <w:cnfStyle w:val="000000000000" w:firstRow="0" w:lastRow="0" w:firstColumn="0" w:lastColumn="0" w:oddVBand="0" w:evenVBand="0" w:oddHBand="0" w:evenHBand="0" w:firstRowFirstColumn="0" w:firstRowLastColumn="0" w:lastRowFirstColumn="0" w:lastRowLastColumn="0"/>
              <w:rPr>
                <w:szCs w:val="22"/>
              </w:rPr>
            </w:pPr>
            <w:r>
              <w:t>6-minute walk distance</w:t>
            </w:r>
          </w:p>
        </w:tc>
      </w:tr>
      <w:tr w:rsidR="003877EE" w:rsidRPr="00D01DDB" w14:paraId="1F0A1BDE" w14:textId="77777777" w:rsidTr="00396081">
        <w:trPr>
          <w:trHeight w:val="386"/>
        </w:trPr>
        <w:tc>
          <w:tcPr>
            <w:cnfStyle w:val="001000000000" w:firstRow="0" w:lastRow="0" w:firstColumn="1" w:lastColumn="0" w:oddVBand="0" w:evenVBand="0" w:oddHBand="0" w:evenHBand="0" w:firstRowFirstColumn="0" w:firstRowLastColumn="0" w:lastRowFirstColumn="0" w:lastRowLastColumn="0"/>
            <w:tcW w:w="1200" w:type="pct"/>
            <w:shd w:val="clear" w:color="auto" w:fill="auto"/>
          </w:tcPr>
          <w:p w14:paraId="51D2E8E9" w14:textId="337E98AE" w:rsidR="003877EE" w:rsidRPr="00D01DDB" w:rsidRDefault="003877EE" w:rsidP="003877EE">
            <w:pPr>
              <w:rPr>
                <w:szCs w:val="22"/>
              </w:rPr>
            </w:pPr>
            <w:r w:rsidRPr="00C7610A">
              <w:t>6MWT</w:t>
            </w:r>
          </w:p>
        </w:tc>
        <w:tc>
          <w:tcPr>
            <w:tcW w:w="3800" w:type="pct"/>
            <w:shd w:val="clear" w:color="auto" w:fill="auto"/>
          </w:tcPr>
          <w:p w14:paraId="233E1075" w14:textId="1AB41684" w:rsidR="003877EE" w:rsidRPr="00D01DDB" w:rsidRDefault="003877EE" w:rsidP="003877EE">
            <w:pPr>
              <w:cnfStyle w:val="000000000000" w:firstRow="0" w:lastRow="0" w:firstColumn="0" w:lastColumn="0" w:oddVBand="0" w:evenVBand="0" w:oddHBand="0" w:evenHBand="0" w:firstRowFirstColumn="0" w:firstRowLastColumn="0" w:lastRowFirstColumn="0" w:lastRowLastColumn="0"/>
              <w:rPr>
                <w:szCs w:val="22"/>
              </w:rPr>
            </w:pPr>
            <w:r>
              <w:t>6-minute walk time</w:t>
            </w:r>
          </w:p>
        </w:tc>
      </w:tr>
      <w:tr w:rsidR="003877EE" w:rsidRPr="00D01DDB" w14:paraId="16C5C8C5"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6DE09A4" w14:textId="07A94E9E" w:rsidR="003877EE" w:rsidRPr="00D01DDB" w:rsidRDefault="003877EE" w:rsidP="003877EE">
            <w:pPr>
              <w:rPr>
                <w:szCs w:val="22"/>
              </w:rPr>
            </w:pPr>
            <w:r w:rsidRPr="00D01DDB">
              <w:rPr>
                <w:szCs w:val="22"/>
              </w:rPr>
              <w:t>ACM</w:t>
            </w:r>
          </w:p>
        </w:tc>
        <w:tc>
          <w:tcPr>
            <w:tcW w:w="3800" w:type="pct"/>
          </w:tcPr>
          <w:p w14:paraId="4F24A873" w14:textId="0539B5FB" w:rsidR="003877EE" w:rsidRPr="00D01DDB" w:rsidRDefault="003877EE" w:rsidP="003877EE">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Advisory Committee on Medicines</w:t>
            </w:r>
          </w:p>
        </w:tc>
      </w:tr>
      <w:tr w:rsidR="00DC0FD7" w:rsidRPr="00D01DDB" w14:paraId="104FEB5B" w14:textId="77777777" w:rsidTr="00396081">
        <w:trPr>
          <w:trHeight w:val="386"/>
        </w:trPr>
        <w:tc>
          <w:tcPr>
            <w:cnfStyle w:val="001000000000" w:firstRow="0" w:lastRow="0" w:firstColumn="1" w:lastColumn="0" w:oddVBand="0" w:evenVBand="0" w:oddHBand="0" w:evenHBand="0" w:firstRowFirstColumn="0" w:firstRowLastColumn="0" w:lastRowFirstColumn="0" w:lastRowLastColumn="0"/>
            <w:tcW w:w="1200" w:type="pct"/>
            <w:shd w:val="clear" w:color="auto" w:fill="auto"/>
          </w:tcPr>
          <w:p w14:paraId="25E78751" w14:textId="3F51F5BF" w:rsidR="00DC0FD7" w:rsidRPr="00D01DDB" w:rsidRDefault="00DC0FD7" w:rsidP="00DC0FD7">
            <w:pPr>
              <w:rPr>
                <w:szCs w:val="22"/>
              </w:rPr>
            </w:pPr>
            <w:r w:rsidRPr="00747578">
              <w:t>ADA</w:t>
            </w:r>
          </w:p>
        </w:tc>
        <w:tc>
          <w:tcPr>
            <w:tcW w:w="3800" w:type="pct"/>
            <w:shd w:val="clear" w:color="auto" w:fill="auto"/>
          </w:tcPr>
          <w:p w14:paraId="3E3EF529" w14:textId="464D75E1" w:rsidR="00DC0FD7" w:rsidRPr="00D01DDB" w:rsidRDefault="00DC0FD7" w:rsidP="00DC0FD7">
            <w:pPr>
              <w:cnfStyle w:val="000000000000" w:firstRow="0" w:lastRow="0" w:firstColumn="0" w:lastColumn="0" w:oddVBand="0" w:evenVBand="0" w:oddHBand="0" w:evenHBand="0" w:firstRowFirstColumn="0" w:firstRowLastColumn="0" w:lastRowFirstColumn="0" w:lastRowLastColumn="0"/>
              <w:rPr>
                <w:szCs w:val="22"/>
              </w:rPr>
            </w:pPr>
            <w:r w:rsidRPr="00747578">
              <w:t>Anti-drug antibody</w:t>
            </w:r>
          </w:p>
        </w:tc>
      </w:tr>
      <w:tr w:rsidR="00DC0FD7" w:rsidRPr="00D01DDB" w14:paraId="623DF3D6" w14:textId="77777777" w:rsidTr="00396081">
        <w:trPr>
          <w:trHeight w:val="386"/>
        </w:trPr>
        <w:tc>
          <w:tcPr>
            <w:cnfStyle w:val="001000000000" w:firstRow="0" w:lastRow="0" w:firstColumn="1" w:lastColumn="0" w:oddVBand="0" w:evenVBand="0" w:oddHBand="0" w:evenHBand="0" w:firstRowFirstColumn="0" w:firstRowLastColumn="0" w:lastRowFirstColumn="0" w:lastRowLastColumn="0"/>
            <w:tcW w:w="1200" w:type="pct"/>
            <w:shd w:val="clear" w:color="auto" w:fill="auto"/>
          </w:tcPr>
          <w:p w14:paraId="53457B04" w14:textId="3F198C34" w:rsidR="00DC0FD7" w:rsidRPr="00D01DDB" w:rsidRDefault="00DC0FD7" w:rsidP="00DC0FD7">
            <w:pPr>
              <w:rPr>
                <w:szCs w:val="22"/>
              </w:rPr>
            </w:pPr>
            <w:r w:rsidRPr="00747578">
              <w:t>ANCOVA</w:t>
            </w:r>
          </w:p>
        </w:tc>
        <w:tc>
          <w:tcPr>
            <w:tcW w:w="3800" w:type="pct"/>
            <w:shd w:val="clear" w:color="auto" w:fill="auto"/>
          </w:tcPr>
          <w:p w14:paraId="2B8D2E82" w14:textId="52246ED2" w:rsidR="00DC0FD7" w:rsidRPr="00D01DDB" w:rsidRDefault="00DC0FD7" w:rsidP="00DC0FD7">
            <w:pPr>
              <w:cnfStyle w:val="000000000000" w:firstRow="0" w:lastRow="0" w:firstColumn="0" w:lastColumn="0" w:oddVBand="0" w:evenVBand="0" w:oddHBand="0" w:evenHBand="0" w:firstRowFirstColumn="0" w:firstRowLastColumn="0" w:lastRowFirstColumn="0" w:lastRowLastColumn="0"/>
              <w:rPr>
                <w:szCs w:val="22"/>
              </w:rPr>
            </w:pPr>
            <w:r w:rsidRPr="00747578">
              <w:t>Analysis of covariance</w:t>
            </w:r>
          </w:p>
        </w:tc>
      </w:tr>
      <w:tr w:rsidR="00DC0FD7" w:rsidRPr="00D01DDB" w14:paraId="6965466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43A7AEA" w14:textId="6D49EBE6" w:rsidR="00DC0FD7" w:rsidRPr="00D01DDB" w:rsidRDefault="00DC0FD7" w:rsidP="00DC0FD7">
            <w:pPr>
              <w:rPr>
                <w:szCs w:val="22"/>
              </w:rPr>
            </w:pPr>
            <w:r w:rsidRPr="00D01DDB">
              <w:rPr>
                <w:szCs w:val="22"/>
              </w:rPr>
              <w:t>ARTG</w:t>
            </w:r>
          </w:p>
        </w:tc>
        <w:tc>
          <w:tcPr>
            <w:tcW w:w="3800" w:type="pct"/>
          </w:tcPr>
          <w:p w14:paraId="228A203A" w14:textId="47EBCFA3" w:rsidR="00DC0FD7" w:rsidRPr="00D01DDB" w:rsidRDefault="00DC0FD7" w:rsidP="00DC0FD7">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Australian Register of Therapeutic Goods</w:t>
            </w:r>
          </w:p>
        </w:tc>
      </w:tr>
      <w:tr w:rsidR="00DC0FD7" w:rsidRPr="00D01DDB" w14:paraId="0536676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0516A80" w14:textId="1329E9D5" w:rsidR="00DC0FD7" w:rsidRPr="00D01DDB" w:rsidRDefault="00DC0FD7" w:rsidP="00DC0FD7">
            <w:pPr>
              <w:rPr>
                <w:szCs w:val="22"/>
              </w:rPr>
            </w:pPr>
            <w:r w:rsidRPr="00D01DDB">
              <w:rPr>
                <w:szCs w:val="22"/>
              </w:rPr>
              <w:t>ASA</w:t>
            </w:r>
          </w:p>
        </w:tc>
        <w:tc>
          <w:tcPr>
            <w:tcW w:w="3800" w:type="pct"/>
          </w:tcPr>
          <w:p w14:paraId="4E6F5284" w14:textId="21C063B1" w:rsidR="00DC0FD7" w:rsidRPr="00D01DDB" w:rsidRDefault="00DC0FD7" w:rsidP="00DC0FD7">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Australia</w:t>
            </w:r>
            <w:r>
              <w:rPr>
                <w:szCs w:val="22"/>
              </w:rPr>
              <w:noBreakHyphen/>
            </w:r>
            <w:r w:rsidRPr="00D01DDB">
              <w:rPr>
                <w:szCs w:val="22"/>
              </w:rPr>
              <w:t>specific annex</w:t>
            </w:r>
          </w:p>
        </w:tc>
      </w:tr>
      <w:tr w:rsidR="00A81A53" w:rsidRPr="00D01DDB" w14:paraId="3F81BB8D" w14:textId="77777777" w:rsidTr="00396081">
        <w:trPr>
          <w:trHeight w:val="386"/>
        </w:trPr>
        <w:tc>
          <w:tcPr>
            <w:cnfStyle w:val="001000000000" w:firstRow="0" w:lastRow="0" w:firstColumn="1" w:lastColumn="0" w:oddVBand="0" w:evenVBand="0" w:oddHBand="0" w:evenHBand="0" w:firstRowFirstColumn="0" w:firstRowLastColumn="0" w:lastRowFirstColumn="0" w:lastRowLastColumn="0"/>
            <w:tcW w:w="1200" w:type="pct"/>
            <w:shd w:val="clear" w:color="auto" w:fill="auto"/>
          </w:tcPr>
          <w:p w14:paraId="348291B7" w14:textId="5268895C" w:rsidR="00A81A53" w:rsidRPr="00D01DDB" w:rsidRDefault="00A81A53" w:rsidP="00A81A53">
            <w:pPr>
              <w:rPr>
                <w:szCs w:val="22"/>
              </w:rPr>
            </w:pPr>
            <w:r w:rsidRPr="00747578">
              <w:t>ATB200</w:t>
            </w:r>
          </w:p>
        </w:tc>
        <w:tc>
          <w:tcPr>
            <w:tcW w:w="3800" w:type="pct"/>
            <w:shd w:val="clear" w:color="auto" w:fill="auto"/>
          </w:tcPr>
          <w:p w14:paraId="101CE4C9" w14:textId="15C9B73B" w:rsidR="00A81A53" w:rsidRPr="00D01DDB" w:rsidRDefault="00A81A53" w:rsidP="00A81A53">
            <w:pPr>
              <w:cnfStyle w:val="000000000000" w:firstRow="0" w:lastRow="0" w:firstColumn="0" w:lastColumn="0" w:oddVBand="0" w:evenVBand="0" w:oddHBand="0" w:evenHBand="0" w:firstRowFirstColumn="0" w:firstRowLastColumn="0" w:lastRowFirstColumn="0" w:lastRowLastColumn="0"/>
              <w:rPr>
                <w:szCs w:val="22"/>
              </w:rPr>
            </w:pPr>
            <w:proofErr w:type="spellStart"/>
            <w:r w:rsidRPr="00747578">
              <w:t>Cipaglucosidase</w:t>
            </w:r>
            <w:proofErr w:type="spellEnd"/>
            <w:r w:rsidRPr="00747578">
              <w:t xml:space="preserve"> alfa; </w:t>
            </w:r>
            <w:proofErr w:type="spellStart"/>
            <w:r w:rsidR="00623FDB">
              <w:t>Pombiliti</w:t>
            </w:r>
            <w:proofErr w:type="spellEnd"/>
          </w:p>
        </w:tc>
      </w:tr>
      <w:tr w:rsidR="00A81A53" w:rsidRPr="00D01DDB" w14:paraId="6FB8820C" w14:textId="77777777" w:rsidTr="00396081">
        <w:trPr>
          <w:trHeight w:val="386"/>
        </w:trPr>
        <w:tc>
          <w:tcPr>
            <w:cnfStyle w:val="001000000000" w:firstRow="0" w:lastRow="0" w:firstColumn="1" w:lastColumn="0" w:oddVBand="0" w:evenVBand="0" w:oddHBand="0" w:evenHBand="0" w:firstRowFirstColumn="0" w:firstRowLastColumn="0" w:lastRowFirstColumn="0" w:lastRowLastColumn="0"/>
            <w:tcW w:w="1200" w:type="pct"/>
            <w:shd w:val="clear" w:color="auto" w:fill="auto"/>
          </w:tcPr>
          <w:p w14:paraId="7B822B98" w14:textId="03C95A81" w:rsidR="00A81A53" w:rsidRPr="00D01DDB" w:rsidRDefault="00A81A53" w:rsidP="00A81A53">
            <w:pPr>
              <w:rPr>
                <w:szCs w:val="22"/>
              </w:rPr>
            </w:pPr>
            <w:r w:rsidRPr="00747578">
              <w:t>AT2221</w:t>
            </w:r>
          </w:p>
        </w:tc>
        <w:tc>
          <w:tcPr>
            <w:tcW w:w="3800" w:type="pct"/>
            <w:shd w:val="clear" w:color="auto" w:fill="auto"/>
          </w:tcPr>
          <w:p w14:paraId="4BCF6DEA" w14:textId="39F32D49" w:rsidR="00A81A53" w:rsidRPr="00D01DDB" w:rsidRDefault="00A81A53" w:rsidP="00A81A53">
            <w:pPr>
              <w:cnfStyle w:val="000000000000" w:firstRow="0" w:lastRow="0" w:firstColumn="0" w:lastColumn="0" w:oddVBand="0" w:evenVBand="0" w:oddHBand="0" w:evenHBand="0" w:firstRowFirstColumn="0" w:firstRowLastColumn="0" w:lastRowFirstColumn="0" w:lastRowLastColumn="0"/>
              <w:rPr>
                <w:szCs w:val="22"/>
              </w:rPr>
            </w:pPr>
            <w:proofErr w:type="spellStart"/>
            <w:r w:rsidRPr="00747578">
              <w:t>Miglustat</w:t>
            </w:r>
            <w:proofErr w:type="spellEnd"/>
            <w:r w:rsidRPr="00747578">
              <w:t xml:space="preserve">; </w:t>
            </w:r>
            <w:proofErr w:type="spellStart"/>
            <w:r w:rsidR="00623FDB">
              <w:t>Opfolda</w:t>
            </w:r>
            <w:proofErr w:type="spellEnd"/>
          </w:p>
        </w:tc>
      </w:tr>
      <w:tr w:rsidR="00A81A53" w:rsidRPr="00D01DDB" w14:paraId="2C6769E6" w14:textId="77777777" w:rsidTr="00396081">
        <w:trPr>
          <w:trHeight w:val="386"/>
        </w:trPr>
        <w:tc>
          <w:tcPr>
            <w:cnfStyle w:val="001000000000" w:firstRow="0" w:lastRow="0" w:firstColumn="1" w:lastColumn="0" w:oddVBand="0" w:evenVBand="0" w:oddHBand="0" w:evenHBand="0" w:firstRowFirstColumn="0" w:firstRowLastColumn="0" w:lastRowFirstColumn="0" w:lastRowLastColumn="0"/>
            <w:tcW w:w="1200" w:type="pct"/>
            <w:shd w:val="clear" w:color="auto" w:fill="auto"/>
          </w:tcPr>
          <w:p w14:paraId="0BE3D4FB" w14:textId="7A9F2DFE" w:rsidR="00A81A53" w:rsidRPr="00D01DDB" w:rsidRDefault="00A81A53" w:rsidP="00A81A53">
            <w:pPr>
              <w:rPr>
                <w:szCs w:val="22"/>
              </w:rPr>
            </w:pPr>
            <w:r w:rsidRPr="00A86301">
              <w:t>AUC</w:t>
            </w:r>
          </w:p>
        </w:tc>
        <w:tc>
          <w:tcPr>
            <w:tcW w:w="3800" w:type="pct"/>
            <w:shd w:val="clear" w:color="auto" w:fill="auto"/>
          </w:tcPr>
          <w:p w14:paraId="3E6E66B8" w14:textId="47B46FD8" w:rsidR="00A81A53" w:rsidRPr="00D01DDB" w:rsidRDefault="00A81A53" w:rsidP="00A81A53">
            <w:pPr>
              <w:cnfStyle w:val="000000000000" w:firstRow="0" w:lastRow="0" w:firstColumn="0" w:lastColumn="0" w:oddVBand="0" w:evenVBand="0" w:oddHBand="0" w:evenHBand="0" w:firstRowFirstColumn="0" w:firstRowLastColumn="0" w:lastRowFirstColumn="0" w:lastRowLastColumn="0"/>
              <w:rPr>
                <w:szCs w:val="22"/>
              </w:rPr>
            </w:pPr>
            <w:r>
              <w:t>Area under the drug concentration-time curve</w:t>
            </w:r>
          </w:p>
        </w:tc>
      </w:tr>
      <w:tr w:rsidR="0017219C" w:rsidRPr="00D01DDB" w14:paraId="0C66D02C" w14:textId="77777777" w:rsidTr="00396081">
        <w:trPr>
          <w:trHeight w:val="386"/>
        </w:trPr>
        <w:tc>
          <w:tcPr>
            <w:cnfStyle w:val="001000000000" w:firstRow="0" w:lastRow="0" w:firstColumn="1" w:lastColumn="0" w:oddVBand="0" w:evenVBand="0" w:oddHBand="0" w:evenHBand="0" w:firstRowFirstColumn="0" w:firstRowLastColumn="0" w:lastRowFirstColumn="0" w:lastRowLastColumn="0"/>
            <w:tcW w:w="1200" w:type="pct"/>
            <w:shd w:val="clear" w:color="auto" w:fill="auto"/>
          </w:tcPr>
          <w:p w14:paraId="12D73CD4" w14:textId="61A62595" w:rsidR="0017219C" w:rsidRPr="00A86301" w:rsidRDefault="00754EB3" w:rsidP="00A81A53">
            <w:r w:rsidRPr="00754EB3">
              <w:t>AUC</w:t>
            </w:r>
            <w:r w:rsidRPr="00754EB3">
              <w:rPr>
                <w:vertAlign w:val="subscript"/>
              </w:rPr>
              <w:t>0-∞</w:t>
            </w:r>
          </w:p>
        </w:tc>
        <w:tc>
          <w:tcPr>
            <w:tcW w:w="3800" w:type="pct"/>
            <w:shd w:val="clear" w:color="auto" w:fill="auto"/>
          </w:tcPr>
          <w:p w14:paraId="664551FA" w14:textId="0491ED2D" w:rsidR="0017219C" w:rsidRDefault="00E2362E" w:rsidP="00A81A53">
            <w:pPr>
              <w:cnfStyle w:val="000000000000" w:firstRow="0" w:lastRow="0" w:firstColumn="0" w:lastColumn="0" w:oddVBand="0" w:evenVBand="0" w:oddHBand="0" w:evenHBand="0" w:firstRowFirstColumn="0" w:firstRowLastColumn="0" w:lastRowFirstColumn="0" w:lastRowLastColumn="0"/>
            </w:pPr>
            <w:r w:rsidRPr="00E2362E">
              <w:t>Area under the concentration time curve from time zero to infinity</w:t>
            </w:r>
          </w:p>
        </w:tc>
      </w:tr>
      <w:tr w:rsidR="008F6C39" w:rsidRPr="00D01DDB" w14:paraId="5C1879C1" w14:textId="77777777" w:rsidTr="00396081">
        <w:trPr>
          <w:trHeight w:val="386"/>
        </w:trPr>
        <w:tc>
          <w:tcPr>
            <w:cnfStyle w:val="001000000000" w:firstRow="0" w:lastRow="0" w:firstColumn="1" w:lastColumn="0" w:oddVBand="0" w:evenVBand="0" w:oddHBand="0" w:evenHBand="0" w:firstRowFirstColumn="0" w:firstRowLastColumn="0" w:lastRowFirstColumn="0" w:lastRowLastColumn="0"/>
            <w:tcW w:w="1200" w:type="pct"/>
            <w:shd w:val="clear" w:color="auto" w:fill="auto"/>
          </w:tcPr>
          <w:p w14:paraId="0136C98E" w14:textId="3906D08D" w:rsidR="008F6C39" w:rsidRPr="00A86301" w:rsidRDefault="008F6C39" w:rsidP="008F6C39">
            <w:r w:rsidRPr="00C7610A">
              <w:t>CER</w:t>
            </w:r>
          </w:p>
        </w:tc>
        <w:tc>
          <w:tcPr>
            <w:tcW w:w="3800" w:type="pct"/>
            <w:shd w:val="clear" w:color="auto" w:fill="auto"/>
          </w:tcPr>
          <w:p w14:paraId="2DDEEC35" w14:textId="557B8478" w:rsidR="008F6C39" w:rsidRDefault="008F6C39" w:rsidP="008F6C39">
            <w:pPr>
              <w:cnfStyle w:val="000000000000" w:firstRow="0" w:lastRow="0" w:firstColumn="0" w:lastColumn="0" w:oddVBand="0" w:evenVBand="0" w:oddHBand="0" w:evenHBand="0" w:firstRowFirstColumn="0" w:firstRowLastColumn="0" w:lastRowFirstColumn="0" w:lastRowLastColumn="0"/>
            </w:pPr>
            <w:r>
              <w:t>Clinical evaluation report</w:t>
            </w:r>
          </w:p>
        </w:tc>
      </w:tr>
      <w:tr w:rsidR="008F6C39" w:rsidRPr="00D01DDB" w14:paraId="4567D37E" w14:textId="77777777" w:rsidTr="00396081">
        <w:trPr>
          <w:trHeight w:val="386"/>
        </w:trPr>
        <w:tc>
          <w:tcPr>
            <w:cnfStyle w:val="001000000000" w:firstRow="0" w:lastRow="0" w:firstColumn="1" w:lastColumn="0" w:oddVBand="0" w:evenVBand="0" w:oddHBand="0" w:evenHBand="0" w:firstRowFirstColumn="0" w:firstRowLastColumn="0" w:lastRowFirstColumn="0" w:lastRowLastColumn="0"/>
            <w:tcW w:w="1200" w:type="pct"/>
            <w:shd w:val="clear" w:color="auto" w:fill="auto"/>
          </w:tcPr>
          <w:p w14:paraId="2B7A871C" w14:textId="7E95C1DD" w:rsidR="008F6C39" w:rsidRPr="00A86301" w:rsidRDefault="008F6C39" w:rsidP="008F6C39">
            <w:r w:rsidRPr="00747578">
              <w:t>CHMP</w:t>
            </w:r>
          </w:p>
        </w:tc>
        <w:tc>
          <w:tcPr>
            <w:tcW w:w="3800" w:type="pct"/>
            <w:shd w:val="clear" w:color="auto" w:fill="auto"/>
          </w:tcPr>
          <w:p w14:paraId="169DF90B" w14:textId="523B260F" w:rsidR="008F6C39" w:rsidRDefault="008F6C39" w:rsidP="008F6C39">
            <w:pPr>
              <w:cnfStyle w:val="000000000000" w:firstRow="0" w:lastRow="0" w:firstColumn="0" w:lastColumn="0" w:oddVBand="0" w:evenVBand="0" w:oddHBand="0" w:evenHBand="0" w:firstRowFirstColumn="0" w:firstRowLastColumn="0" w:lastRowFirstColumn="0" w:lastRowLastColumn="0"/>
            </w:pPr>
            <w:r w:rsidRPr="00747578">
              <w:rPr>
                <w:lang w:eastAsia="ja-JP"/>
              </w:rPr>
              <w:t>Committee for Medicinal Products for Human Use</w:t>
            </w:r>
          </w:p>
        </w:tc>
      </w:tr>
      <w:tr w:rsidR="008F6C39" w:rsidRPr="00D01DDB" w14:paraId="1783C39E" w14:textId="77777777" w:rsidTr="00396081">
        <w:trPr>
          <w:trHeight w:val="386"/>
        </w:trPr>
        <w:tc>
          <w:tcPr>
            <w:cnfStyle w:val="001000000000" w:firstRow="0" w:lastRow="0" w:firstColumn="1" w:lastColumn="0" w:oddVBand="0" w:evenVBand="0" w:oddHBand="0" w:evenHBand="0" w:firstRowFirstColumn="0" w:firstRowLastColumn="0" w:lastRowFirstColumn="0" w:lastRowLastColumn="0"/>
            <w:tcW w:w="1200" w:type="pct"/>
            <w:shd w:val="clear" w:color="auto" w:fill="auto"/>
          </w:tcPr>
          <w:p w14:paraId="25B1AE4A" w14:textId="422FE125" w:rsidR="008F6C39" w:rsidRPr="00A86301" w:rsidRDefault="008F6C39" w:rsidP="008F6C39">
            <w:r w:rsidRPr="00747578">
              <w:t>CI</w:t>
            </w:r>
          </w:p>
        </w:tc>
        <w:tc>
          <w:tcPr>
            <w:tcW w:w="3800" w:type="pct"/>
            <w:shd w:val="clear" w:color="auto" w:fill="auto"/>
          </w:tcPr>
          <w:p w14:paraId="2C782081" w14:textId="41DD1E29" w:rsidR="008F6C39" w:rsidRDefault="008F6C39" w:rsidP="008F6C39">
            <w:pPr>
              <w:cnfStyle w:val="000000000000" w:firstRow="0" w:lastRow="0" w:firstColumn="0" w:lastColumn="0" w:oddVBand="0" w:evenVBand="0" w:oddHBand="0" w:evenHBand="0" w:firstRowFirstColumn="0" w:firstRowLastColumn="0" w:lastRowFirstColumn="0" w:lastRowLastColumn="0"/>
            </w:pPr>
            <w:r w:rsidRPr="00747578">
              <w:rPr>
                <w:lang w:eastAsia="ja-JP"/>
              </w:rPr>
              <w:t>Confidence interval</w:t>
            </w:r>
          </w:p>
        </w:tc>
      </w:tr>
      <w:tr w:rsidR="008F6C39" w:rsidRPr="00D01DDB" w14:paraId="15A8A44C" w14:textId="77777777" w:rsidTr="00396081">
        <w:trPr>
          <w:trHeight w:val="386"/>
        </w:trPr>
        <w:tc>
          <w:tcPr>
            <w:cnfStyle w:val="001000000000" w:firstRow="0" w:lastRow="0" w:firstColumn="1" w:lastColumn="0" w:oddVBand="0" w:evenVBand="0" w:oddHBand="0" w:evenHBand="0" w:firstRowFirstColumn="0" w:firstRowLastColumn="0" w:lastRowFirstColumn="0" w:lastRowLastColumn="0"/>
            <w:tcW w:w="1200" w:type="pct"/>
            <w:shd w:val="clear" w:color="auto" w:fill="auto"/>
          </w:tcPr>
          <w:p w14:paraId="08B36375" w14:textId="5ADADCF1" w:rsidR="008F6C39" w:rsidRPr="00A86301" w:rsidRDefault="008F6C39" w:rsidP="008F6C39">
            <w:r w:rsidRPr="00747578">
              <w:t>CI-MPR</w:t>
            </w:r>
          </w:p>
        </w:tc>
        <w:tc>
          <w:tcPr>
            <w:tcW w:w="3800" w:type="pct"/>
            <w:shd w:val="clear" w:color="auto" w:fill="auto"/>
          </w:tcPr>
          <w:p w14:paraId="64FB3EE4" w14:textId="195ADF6C" w:rsidR="008F6C39" w:rsidRDefault="008F6C39" w:rsidP="008F6C39">
            <w:pPr>
              <w:cnfStyle w:val="000000000000" w:firstRow="0" w:lastRow="0" w:firstColumn="0" w:lastColumn="0" w:oddVBand="0" w:evenVBand="0" w:oddHBand="0" w:evenHBand="0" w:firstRowFirstColumn="0" w:firstRowLastColumn="0" w:lastRowFirstColumn="0" w:lastRowLastColumn="0"/>
            </w:pPr>
            <w:r w:rsidRPr="00747578">
              <w:t>Cation-independent mannose 6 phosphate receptor</w:t>
            </w:r>
          </w:p>
        </w:tc>
      </w:tr>
      <w:tr w:rsidR="008F6C39" w:rsidRPr="00D01DDB" w14:paraId="234A4987" w14:textId="77777777" w:rsidTr="00396081">
        <w:trPr>
          <w:trHeight w:val="386"/>
        </w:trPr>
        <w:tc>
          <w:tcPr>
            <w:cnfStyle w:val="001000000000" w:firstRow="0" w:lastRow="0" w:firstColumn="1" w:lastColumn="0" w:oddVBand="0" w:evenVBand="0" w:oddHBand="0" w:evenHBand="0" w:firstRowFirstColumn="0" w:firstRowLastColumn="0" w:lastRowFirstColumn="0" w:lastRowLastColumn="0"/>
            <w:tcW w:w="1200" w:type="pct"/>
            <w:shd w:val="clear" w:color="auto" w:fill="auto"/>
          </w:tcPr>
          <w:p w14:paraId="4F78942B" w14:textId="4E39EBDB" w:rsidR="008F6C39" w:rsidRPr="00A86301" w:rsidRDefault="008F6C39" w:rsidP="008F6C39">
            <w:r w:rsidRPr="00747578">
              <w:t>CK</w:t>
            </w:r>
          </w:p>
        </w:tc>
        <w:tc>
          <w:tcPr>
            <w:tcW w:w="3800" w:type="pct"/>
            <w:shd w:val="clear" w:color="auto" w:fill="auto"/>
          </w:tcPr>
          <w:p w14:paraId="5FD902B8" w14:textId="1F19FE30" w:rsidR="008F6C39" w:rsidRDefault="008F6C39" w:rsidP="008F6C39">
            <w:pPr>
              <w:cnfStyle w:val="000000000000" w:firstRow="0" w:lastRow="0" w:firstColumn="0" w:lastColumn="0" w:oddVBand="0" w:evenVBand="0" w:oddHBand="0" w:evenHBand="0" w:firstRowFirstColumn="0" w:firstRowLastColumn="0" w:lastRowFirstColumn="0" w:lastRowLastColumn="0"/>
            </w:pPr>
            <w:r w:rsidRPr="00747578">
              <w:t>Creatine kinase</w:t>
            </w:r>
          </w:p>
        </w:tc>
      </w:tr>
      <w:tr w:rsidR="008F6C39" w:rsidRPr="00D01DDB" w14:paraId="44B44008" w14:textId="77777777" w:rsidTr="00396081">
        <w:trPr>
          <w:trHeight w:val="386"/>
        </w:trPr>
        <w:tc>
          <w:tcPr>
            <w:cnfStyle w:val="001000000000" w:firstRow="0" w:lastRow="0" w:firstColumn="1" w:lastColumn="0" w:oddVBand="0" w:evenVBand="0" w:oddHBand="0" w:evenHBand="0" w:firstRowFirstColumn="0" w:firstRowLastColumn="0" w:lastRowFirstColumn="0" w:lastRowLastColumn="0"/>
            <w:tcW w:w="1200" w:type="pct"/>
            <w:shd w:val="clear" w:color="auto" w:fill="auto"/>
          </w:tcPr>
          <w:p w14:paraId="66108C1B" w14:textId="433931CF" w:rsidR="008F6C39" w:rsidRPr="00A86301" w:rsidRDefault="008F6C39" w:rsidP="008F6C39">
            <w:proofErr w:type="spellStart"/>
            <w:r w:rsidRPr="006B20E1">
              <w:t>C</w:t>
            </w:r>
            <w:r w:rsidRPr="00800683">
              <w:rPr>
                <w:vertAlign w:val="subscript"/>
              </w:rPr>
              <w:t>max</w:t>
            </w:r>
            <w:proofErr w:type="spellEnd"/>
          </w:p>
        </w:tc>
        <w:tc>
          <w:tcPr>
            <w:tcW w:w="3800" w:type="pct"/>
            <w:shd w:val="clear" w:color="auto" w:fill="auto"/>
          </w:tcPr>
          <w:p w14:paraId="23DBDCD9" w14:textId="043898C9" w:rsidR="008F6C39" w:rsidRDefault="008F6C39" w:rsidP="008F6C39">
            <w:pPr>
              <w:cnfStyle w:val="000000000000" w:firstRow="0" w:lastRow="0" w:firstColumn="0" w:lastColumn="0" w:oddVBand="0" w:evenVBand="0" w:oddHBand="0" w:evenHBand="0" w:firstRowFirstColumn="0" w:firstRowLastColumn="0" w:lastRowFirstColumn="0" w:lastRowLastColumn="0"/>
            </w:pPr>
            <w:r>
              <w:t>Maximum observed plasma concentration</w:t>
            </w:r>
          </w:p>
        </w:tc>
      </w:tr>
      <w:tr w:rsidR="008F6C39" w:rsidRPr="00D01DDB" w14:paraId="7694A4E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AC18809" w14:textId="14711A93" w:rsidR="008F6C39" w:rsidRPr="00D01DDB" w:rsidRDefault="008F6C39" w:rsidP="008F6C39">
            <w:pPr>
              <w:rPr>
                <w:szCs w:val="22"/>
              </w:rPr>
            </w:pPr>
            <w:r w:rsidRPr="00D01DDB">
              <w:rPr>
                <w:szCs w:val="22"/>
              </w:rPr>
              <w:t>CMI</w:t>
            </w:r>
          </w:p>
        </w:tc>
        <w:tc>
          <w:tcPr>
            <w:tcW w:w="3800" w:type="pct"/>
          </w:tcPr>
          <w:p w14:paraId="5D8C9DF5" w14:textId="60C23379" w:rsidR="008F6C39" w:rsidRPr="00D01DDB" w:rsidRDefault="008F6C39" w:rsidP="008F6C39">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Consumer Medicines Information</w:t>
            </w:r>
          </w:p>
        </w:tc>
      </w:tr>
      <w:tr w:rsidR="00966CD8" w:rsidRPr="00D01DDB" w14:paraId="75FE974A" w14:textId="77777777" w:rsidTr="00396081">
        <w:trPr>
          <w:trHeight w:val="386"/>
        </w:trPr>
        <w:tc>
          <w:tcPr>
            <w:cnfStyle w:val="001000000000" w:firstRow="0" w:lastRow="0" w:firstColumn="1" w:lastColumn="0" w:oddVBand="0" w:evenVBand="0" w:oddHBand="0" w:evenHBand="0" w:firstRowFirstColumn="0" w:firstRowLastColumn="0" w:lastRowFirstColumn="0" w:lastRowLastColumn="0"/>
            <w:tcW w:w="1200" w:type="pct"/>
            <w:shd w:val="clear" w:color="auto" w:fill="auto"/>
          </w:tcPr>
          <w:p w14:paraId="23667181" w14:textId="2899BC7F" w:rsidR="00966CD8" w:rsidRPr="00D01DDB" w:rsidRDefault="00966CD8" w:rsidP="00966CD8">
            <w:pPr>
              <w:rPr>
                <w:szCs w:val="22"/>
              </w:rPr>
            </w:pPr>
            <w:r w:rsidRPr="00747578">
              <w:t>CYP</w:t>
            </w:r>
          </w:p>
        </w:tc>
        <w:tc>
          <w:tcPr>
            <w:tcW w:w="3800" w:type="pct"/>
            <w:shd w:val="clear" w:color="auto" w:fill="auto"/>
          </w:tcPr>
          <w:p w14:paraId="2C1D2AC5" w14:textId="2CE1230A" w:rsidR="00966CD8" w:rsidRPr="00D01DDB" w:rsidRDefault="00966CD8" w:rsidP="00966CD8">
            <w:pPr>
              <w:cnfStyle w:val="000000000000" w:firstRow="0" w:lastRow="0" w:firstColumn="0" w:lastColumn="0" w:oddVBand="0" w:evenVBand="0" w:oddHBand="0" w:evenHBand="0" w:firstRowFirstColumn="0" w:firstRowLastColumn="0" w:lastRowFirstColumn="0" w:lastRowLastColumn="0"/>
              <w:rPr>
                <w:szCs w:val="22"/>
              </w:rPr>
            </w:pPr>
            <w:r w:rsidRPr="00747578">
              <w:t>Cytochrome P450</w:t>
            </w:r>
          </w:p>
        </w:tc>
      </w:tr>
      <w:tr w:rsidR="00966CD8" w:rsidRPr="00D01DDB" w14:paraId="7B873773"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CE05B04" w14:textId="0D6731AA" w:rsidR="00966CD8" w:rsidRPr="00D01DDB" w:rsidRDefault="00966CD8" w:rsidP="00966CD8">
            <w:pPr>
              <w:rPr>
                <w:szCs w:val="22"/>
              </w:rPr>
            </w:pPr>
            <w:r w:rsidRPr="00D01DDB">
              <w:rPr>
                <w:szCs w:val="22"/>
              </w:rPr>
              <w:t>DLP</w:t>
            </w:r>
          </w:p>
        </w:tc>
        <w:tc>
          <w:tcPr>
            <w:tcW w:w="3800" w:type="pct"/>
          </w:tcPr>
          <w:p w14:paraId="26109D0B" w14:textId="4AE8F60A" w:rsidR="00966CD8" w:rsidRPr="00D01DDB" w:rsidRDefault="00966CD8" w:rsidP="00966CD8">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Data lock point</w:t>
            </w:r>
          </w:p>
        </w:tc>
      </w:tr>
      <w:tr w:rsidR="00116B6E" w:rsidRPr="00D01DDB" w14:paraId="75E2D134" w14:textId="77777777" w:rsidTr="00396081">
        <w:trPr>
          <w:trHeight w:val="386"/>
        </w:trPr>
        <w:tc>
          <w:tcPr>
            <w:cnfStyle w:val="001000000000" w:firstRow="0" w:lastRow="0" w:firstColumn="1" w:lastColumn="0" w:oddVBand="0" w:evenVBand="0" w:oddHBand="0" w:evenHBand="0" w:firstRowFirstColumn="0" w:firstRowLastColumn="0" w:lastRowFirstColumn="0" w:lastRowLastColumn="0"/>
            <w:tcW w:w="1200" w:type="pct"/>
            <w:shd w:val="clear" w:color="auto" w:fill="auto"/>
          </w:tcPr>
          <w:p w14:paraId="78DECFEA" w14:textId="363FCAC6" w:rsidR="00116B6E" w:rsidRPr="00D01DDB" w:rsidRDefault="00116B6E" w:rsidP="00116B6E">
            <w:pPr>
              <w:rPr>
                <w:szCs w:val="22"/>
              </w:rPr>
            </w:pPr>
            <w:r w:rsidRPr="00747578">
              <w:t>ERT</w:t>
            </w:r>
          </w:p>
        </w:tc>
        <w:tc>
          <w:tcPr>
            <w:tcW w:w="3800" w:type="pct"/>
            <w:shd w:val="clear" w:color="auto" w:fill="auto"/>
          </w:tcPr>
          <w:p w14:paraId="16DB4B42" w14:textId="4852D5F0" w:rsidR="00116B6E" w:rsidRPr="00D01DDB" w:rsidRDefault="00116B6E" w:rsidP="00116B6E">
            <w:pPr>
              <w:cnfStyle w:val="000000000000" w:firstRow="0" w:lastRow="0" w:firstColumn="0" w:lastColumn="0" w:oddVBand="0" w:evenVBand="0" w:oddHBand="0" w:evenHBand="0" w:firstRowFirstColumn="0" w:firstRowLastColumn="0" w:lastRowFirstColumn="0" w:lastRowLastColumn="0"/>
              <w:rPr>
                <w:szCs w:val="22"/>
              </w:rPr>
            </w:pPr>
            <w:r w:rsidRPr="00747578">
              <w:t>Enzyme replacement therapy</w:t>
            </w:r>
          </w:p>
        </w:tc>
      </w:tr>
      <w:tr w:rsidR="00116B6E" w:rsidRPr="00D01DDB" w14:paraId="744F2063" w14:textId="77777777" w:rsidTr="00396081">
        <w:trPr>
          <w:trHeight w:val="386"/>
        </w:trPr>
        <w:tc>
          <w:tcPr>
            <w:cnfStyle w:val="001000000000" w:firstRow="0" w:lastRow="0" w:firstColumn="1" w:lastColumn="0" w:oddVBand="0" w:evenVBand="0" w:oddHBand="0" w:evenHBand="0" w:firstRowFirstColumn="0" w:firstRowLastColumn="0" w:lastRowFirstColumn="0" w:lastRowLastColumn="0"/>
            <w:tcW w:w="1200" w:type="pct"/>
            <w:shd w:val="clear" w:color="auto" w:fill="auto"/>
          </w:tcPr>
          <w:p w14:paraId="17E3918E" w14:textId="2CE62105" w:rsidR="00116B6E" w:rsidRPr="00D01DDB" w:rsidRDefault="00116B6E" w:rsidP="00116B6E">
            <w:pPr>
              <w:rPr>
                <w:szCs w:val="22"/>
              </w:rPr>
            </w:pPr>
            <w:r w:rsidRPr="00747578">
              <w:t>EU</w:t>
            </w:r>
          </w:p>
        </w:tc>
        <w:tc>
          <w:tcPr>
            <w:tcW w:w="3800" w:type="pct"/>
            <w:shd w:val="clear" w:color="auto" w:fill="auto"/>
          </w:tcPr>
          <w:p w14:paraId="1053A78A" w14:textId="138D8593" w:rsidR="00116B6E" w:rsidRPr="00D01DDB" w:rsidRDefault="00116B6E" w:rsidP="00116B6E">
            <w:pPr>
              <w:cnfStyle w:val="000000000000" w:firstRow="0" w:lastRow="0" w:firstColumn="0" w:lastColumn="0" w:oddVBand="0" w:evenVBand="0" w:oddHBand="0" w:evenHBand="0" w:firstRowFirstColumn="0" w:firstRowLastColumn="0" w:lastRowFirstColumn="0" w:lastRowLastColumn="0"/>
              <w:rPr>
                <w:szCs w:val="22"/>
              </w:rPr>
            </w:pPr>
            <w:r w:rsidRPr="00747578">
              <w:t>European Union</w:t>
            </w:r>
          </w:p>
        </w:tc>
      </w:tr>
      <w:tr w:rsidR="00116B6E" w:rsidRPr="00D01DDB" w14:paraId="3E6A616C" w14:textId="77777777" w:rsidTr="00396081">
        <w:trPr>
          <w:trHeight w:val="386"/>
        </w:trPr>
        <w:tc>
          <w:tcPr>
            <w:cnfStyle w:val="001000000000" w:firstRow="0" w:lastRow="0" w:firstColumn="1" w:lastColumn="0" w:oddVBand="0" w:evenVBand="0" w:oddHBand="0" w:evenHBand="0" w:firstRowFirstColumn="0" w:firstRowLastColumn="0" w:lastRowFirstColumn="0" w:lastRowLastColumn="0"/>
            <w:tcW w:w="1200" w:type="pct"/>
            <w:shd w:val="clear" w:color="auto" w:fill="auto"/>
          </w:tcPr>
          <w:p w14:paraId="6879DB16" w14:textId="374A1A31" w:rsidR="00116B6E" w:rsidRPr="00D01DDB" w:rsidRDefault="00116B6E" w:rsidP="00116B6E">
            <w:pPr>
              <w:rPr>
                <w:szCs w:val="22"/>
              </w:rPr>
            </w:pPr>
            <w:r w:rsidRPr="00747578">
              <w:t>FAS</w:t>
            </w:r>
          </w:p>
        </w:tc>
        <w:tc>
          <w:tcPr>
            <w:tcW w:w="3800" w:type="pct"/>
            <w:shd w:val="clear" w:color="auto" w:fill="auto"/>
          </w:tcPr>
          <w:p w14:paraId="25D6D9B3" w14:textId="30DB8FB6" w:rsidR="00116B6E" w:rsidRPr="00D01DDB" w:rsidRDefault="00116B6E" w:rsidP="00116B6E">
            <w:pPr>
              <w:cnfStyle w:val="000000000000" w:firstRow="0" w:lastRow="0" w:firstColumn="0" w:lastColumn="0" w:oddVBand="0" w:evenVBand="0" w:oddHBand="0" w:evenHBand="0" w:firstRowFirstColumn="0" w:firstRowLastColumn="0" w:lastRowFirstColumn="0" w:lastRowLastColumn="0"/>
              <w:rPr>
                <w:szCs w:val="22"/>
              </w:rPr>
            </w:pPr>
            <w:r w:rsidRPr="00747578">
              <w:t>Full Analysis Set</w:t>
            </w:r>
          </w:p>
        </w:tc>
      </w:tr>
      <w:tr w:rsidR="00116B6E" w:rsidRPr="00D01DDB" w14:paraId="6079FFAC" w14:textId="77777777" w:rsidTr="00396081">
        <w:trPr>
          <w:trHeight w:val="386"/>
        </w:trPr>
        <w:tc>
          <w:tcPr>
            <w:cnfStyle w:val="001000000000" w:firstRow="0" w:lastRow="0" w:firstColumn="1" w:lastColumn="0" w:oddVBand="0" w:evenVBand="0" w:oddHBand="0" w:evenHBand="0" w:firstRowFirstColumn="0" w:firstRowLastColumn="0" w:lastRowFirstColumn="0" w:lastRowLastColumn="0"/>
            <w:tcW w:w="1200" w:type="pct"/>
            <w:shd w:val="clear" w:color="auto" w:fill="auto"/>
          </w:tcPr>
          <w:p w14:paraId="2185E47B" w14:textId="7224FEA6" w:rsidR="00116B6E" w:rsidRPr="00D01DDB" w:rsidRDefault="00116B6E" w:rsidP="00116B6E">
            <w:pPr>
              <w:rPr>
                <w:szCs w:val="22"/>
              </w:rPr>
            </w:pPr>
            <w:r w:rsidRPr="00747578">
              <w:t>FDA</w:t>
            </w:r>
          </w:p>
        </w:tc>
        <w:tc>
          <w:tcPr>
            <w:tcW w:w="3800" w:type="pct"/>
            <w:shd w:val="clear" w:color="auto" w:fill="auto"/>
          </w:tcPr>
          <w:p w14:paraId="289B14CF" w14:textId="104A15BA" w:rsidR="00116B6E" w:rsidRPr="00D01DDB" w:rsidRDefault="00116B6E" w:rsidP="00116B6E">
            <w:pPr>
              <w:cnfStyle w:val="000000000000" w:firstRow="0" w:lastRow="0" w:firstColumn="0" w:lastColumn="0" w:oddVBand="0" w:evenVBand="0" w:oddHBand="0" w:evenHBand="0" w:firstRowFirstColumn="0" w:firstRowLastColumn="0" w:lastRowFirstColumn="0" w:lastRowLastColumn="0"/>
              <w:rPr>
                <w:szCs w:val="22"/>
              </w:rPr>
            </w:pPr>
            <w:r w:rsidRPr="00747578">
              <w:t>Food and Drug Administration</w:t>
            </w:r>
          </w:p>
        </w:tc>
      </w:tr>
      <w:tr w:rsidR="00116B6E" w:rsidRPr="00D01DDB" w14:paraId="53CDBE6D" w14:textId="77777777" w:rsidTr="00396081">
        <w:trPr>
          <w:trHeight w:val="386"/>
        </w:trPr>
        <w:tc>
          <w:tcPr>
            <w:cnfStyle w:val="001000000000" w:firstRow="0" w:lastRow="0" w:firstColumn="1" w:lastColumn="0" w:oddVBand="0" w:evenVBand="0" w:oddHBand="0" w:evenHBand="0" w:firstRowFirstColumn="0" w:firstRowLastColumn="0" w:lastRowFirstColumn="0" w:lastRowLastColumn="0"/>
            <w:tcW w:w="1200" w:type="pct"/>
            <w:shd w:val="clear" w:color="auto" w:fill="auto"/>
          </w:tcPr>
          <w:p w14:paraId="638ED0A4" w14:textId="41CB5FAF" w:rsidR="00116B6E" w:rsidRPr="00D01DDB" w:rsidRDefault="00116B6E" w:rsidP="00116B6E">
            <w:pPr>
              <w:rPr>
                <w:szCs w:val="22"/>
              </w:rPr>
            </w:pPr>
            <w:r w:rsidRPr="00747578">
              <w:t>FVC</w:t>
            </w:r>
          </w:p>
        </w:tc>
        <w:tc>
          <w:tcPr>
            <w:tcW w:w="3800" w:type="pct"/>
            <w:shd w:val="clear" w:color="auto" w:fill="auto"/>
          </w:tcPr>
          <w:p w14:paraId="78E712EB" w14:textId="32228B40" w:rsidR="00116B6E" w:rsidRPr="00D01DDB" w:rsidRDefault="00116B6E" w:rsidP="00116B6E">
            <w:pPr>
              <w:cnfStyle w:val="000000000000" w:firstRow="0" w:lastRow="0" w:firstColumn="0" w:lastColumn="0" w:oddVBand="0" w:evenVBand="0" w:oddHBand="0" w:evenHBand="0" w:firstRowFirstColumn="0" w:firstRowLastColumn="0" w:lastRowFirstColumn="0" w:lastRowLastColumn="0"/>
              <w:rPr>
                <w:szCs w:val="22"/>
              </w:rPr>
            </w:pPr>
            <w:r w:rsidRPr="00747578">
              <w:t>Forced vital capacity</w:t>
            </w:r>
          </w:p>
        </w:tc>
      </w:tr>
      <w:tr w:rsidR="00116B6E" w:rsidRPr="00D01DDB" w14:paraId="05A10517" w14:textId="77777777" w:rsidTr="00396081">
        <w:trPr>
          <w:trHeight w:val="386"/>
        </w:trPr>
        <w:tc>
          <w:tcPr>
            <w:cnfStyle w:val="001000000000" w:firstRow="0" w:lastRow="0" w:firstColumn="1" w:lastColumn="0" w:oddVBand="0" w:evenVBand="0" w:oddHBand="0" w:evenHBand="0" w:firstRowFirstColumn="0" w:firstRowLastColumn="0" w:lastRowFirstColumn="0" w:lastRowLastColumn="0"/>
            <w:tcW w:w="1200" w:type="pct"/>
            <w:shd w:val="clear" w:color="auto" w:fill="auto"/>
          </w:tcPr>
          <w:p w14:paraId="34C783A5" w14:textId="7244E572" w:rsidR="00116B6E" w:rsidRPr="00D01DDB" w:rsidRDefault="00116B6E" w:rsidP="00116B6E">
            <w:pPr>
              <w:rPr>
                <w:szCs w:val="22"/>
              </w:rPr>
            </w:pPr>
            <w:r w:rsidRPr="00747578">
              <w:t>GAA</w:t>
            </w:r>
          </w:p>
        </w:tc>
        <w:tc>
          <w:tcPr>
            <w:tcW w:w="3800" w:type="pct"/>
            <w:shd w:val="clear" w:color="auto" w:fill="auto"/>
          </w:tcPr>
          <w:p w14:paraId="65122EF9" w14:textId="58234664" w:rsidR="00116B6E" w:rsidRPr="00D01DDB" w:rsidRDefault="00116B6E" w:rsidP="00116B6E">
            <w:pPr>
              <w:cnfStyle w:val="000000000000" w:firstRow="0" w:lastRow="0" w:firstColumn="0" w:lastColumn="0" w:oddVBand="0" w:evenVBand="0" w:oddHBand="0" w:evenHBand="0" w:firstRowFirstColumn="0" w:firstRowLastColumn="0" w:lastRowFirstColumn="0" w:lastRowLastColumn="0"/>
              <w:rPr>
                <w:szCs w:val="22"/>
              </w:rPr>
            </w:pPr>
            <w:r w:rsidRPr="00747578">
              <w:t>Acid alfa-glucosidase</w:t>
            </w:r>
          </w:p>
        </w:tc>
      </w:tr>
      <w:tr w:rsidR="00E4106C" w:rsidRPr="00D01DDB" w14:paraId="3CBAEB2B" w14:textId="77777777" w:rsidTr="00396081">
        <w:trPr>
          <w:trHeight w:val="386"/>
        </w:trPr>
        <w:tc>
          <w:tcPr>
            <w:cnfStyle w:val="001000000000" w:firstRow="0" w:lastRow="0" w:firstColumn="1" w:lastColumn="0" w:oddVBand="0" w:evenVBand="0" w:oddHBand="0" w:evenHBand="0" w:firstRowFirstColumn="0" w:firstRowLastColumn="0" w:lastRowFirstColumn="0" w:lastRowLastColumn="0"/>
            <w:tcW w:w="1200" w:type="pct"/>
            <w:shd w:val="clear" w:color="auto" w:fill="auto"/>
          </w:tcPr>
          <w:p w14:paraId="4FC32F47" w14:textId="638322B8" w:rsidR="00E4106C" w:rsidRPr="00E4106C" w:rsidRDefault="00E4106C" w:rsidP="00116B6E">
            <w:r w:rsidRPr="00E4106C">
              <w:t>GLP</w:t>
            </w:r>
          </w:p>
        </w:tc>
        <w:tc>
          <w:tcPr>
            <w:tcW w:w="3800" w:type="pct"/>
            <w:shd w:val="clear" w:color="auto" w:fill="auto"/>
          </w:tcPr>
          <w:p w14:paraId="0DF9A1A5" w14:textId="59102630" w:rsidR="00E4106C" w:rsidRPr="00E4106C" w:rsidRDefault="00E4106C" w:rsidP="00116B6E">
            <w:pPr>
              <w:cnfStyle w:val="000000000000" w:firstRow="0" w:lastRow="0" w:firstColumn="0" w:lastColumn="0" w:oddVBand="0" w:evenVBand="0" w:oddHBand="0" w:evenHBand="0" w:firstRowFirstColumn="0" w:firstRowLastColumn="0" w:lastRowFirstColumn="0" w:lastRowLastColumn="0"/>
            </w:pPr>
            <w:r w:rsidRPr="00E4106C">
              <w:t>Good Laboratory Practices</w:t>
            </w:r>
          </w:p>
        </w:tc>
      </w:tr>
      <w:tr w:rsidR="000928C7" w:rsidRPr="00D01DDB" w14:paraId="26767499" w14:textId="77777777" w:rsidTr="00396081">
        <w:trPr>
          <w:trHeight w:val="386"/>
        </w:trPr>
        <w:tc>
          <w:tcPr>
            <w:cnfStyle w:val="001000000000" w:firstRow="0" w:lastRow="0" w:firstColumn="1" w:lastColumn="0" w:oddVBand="0" w:evenVBand="0" w:oddHBand="0" w:evenHBand="0" w:firstRowFirstColumn="0" w:firstRowLastColumn="0" w:lastRowFirstColumn="0" w:lastRowLastColumn="0"/>
            <w:tcW w:w="1200" w:type="pct"/>
            <w:shd w:val="clear" w:color="auto" w:fill="auto"/>
          </w:tcPr>
          <w:p w14:paraId="74D467C4" w14:textId="32511B21" w:rsidR="000928C7" w:rsidRPr="00D01DDB" w:rsidRDefault="000928C7" w:rsidP="000928C7">
            <w:pPr>
              <w:rPr>
                <w:szCs w:val="22"/>
              </w:rPr>
            </w:pPr>
            <w:r w:rsidRPr="00747578">
              <w:t>GSGC</w:t>
            </w:r>
          </w:p>
        </w:tc>
        <w:tc>
          <w:tcPr>
            <w:tcW w:w="3800" w:type="pct"/>
            <w:shd w:val="clear" w:color="auto" w:fill="auto"/>
          </w:tcPr>
          <w:p w14:paraId="139DC40A" w14:textId="6C8A8386" w:rsidR="000928C7" w:rsidRPr="00D01DDB" w:rsidRDefault="000928C7" w:rsidP="000928C7">
            <w:pPr>
              <w:cnfStyle w:val="000000000000" w:firstRow="0" w:lastRow="0" w:firstColumn="0" w:lastColumn="0" w:oddVBand="0" w:evenVBand="0" w:oddHBand="0" w:evenHBand="0" w:firstRowFirstColumn="0" w:firstRowLastColumn="0" w:lastRowFirstColumn="0" w:lastRowLastColumn="0"/>
              <w:rPr>
                <w:szCs w:val="22"/>
              </w:rPr>
            </w:pPr>
            <w:r w:rsidRPr="00747578">
              <w:rPr>
                <w:lang w:eastAsia="ja-JP"/>
              </w:rPr>
              <w:t xml:space="preserve">Gait, Stairs, Gowers’ manoeuvre, and Chair </w:t>
            </w:r>
          </w:p>
        </w:tc>
      </w:tr>
      <w:tr w:rsidR="000928C7" w:rsidRPr="00D01DDB" w14:paraId="72F9E0E3" w14:textId="77777777" w:rsidTr="00396081">
        <w:trPr>
          <w:trHeight w:val="386"/>
        </w:trPr>
        <w:tc>
          <w:tcPr>
            <w:cnfStyle w:val="001000000000" w:firstRow="0" w:lastRow="0" w:firstColumn="1" w:lastColumn="0" w:oddVBand="0" w:evenVBand="0" w:oddHBand="0" w:evenHBand="0" w:firstRowFirstColumn="0" w:firstRowLastColumn="0" w:lastRowFirstColumn="0" w:lastRowLastColumn="0"/>
            <w:tcW w:w="1200" w:type="pct"/>
            <w:shd w:val="clear" w:color="auto" w:fill="auto"/>
          </w:tcPr>
          <w:p w14:paraId="281D7CAB" w14:textId="18E490E9" w:rsidR="000928C7" w:rsidRPr="00D01DDB" w:rsidRDefault="000928C7" w:rsidP="000928C7">
            <w:pPr>
              <w:rPr>
                <w:szCs w:val="22"/>
              </w:rPr>
            </w:pPr>
            <w:r w:rsidRPr="00747578">
              <w:t>Hex4</w:t>
            </w:r>
          </w:p>
        </w:tc>
        <w:tc>
          <w:tcPr>
            <w:tcW w:w="3800" w:type="pct"/>
            <w:shd w:val="clear" w:color="auto" w:fill="auto"/>
          </w:tcPr>
          <w:p w14:paraId="0E4472EF" w14:textId="1397FD69" w:rsidR="000928C7" w:rsidRPr="00D01DDB" w:rsidRDefault="000928C7" w:rsidP="000928C7">
            <w:pPr>
              <w:cnfStyle w:val="000000000000" w:firstRow="0" w:lastRow="0" w:firstColumn="0" w:lastColumn="0" w:oddVBand="0" w:evenVBand="0" w:oddHBand="0" w:evenHBand="0" w:firstRowFirstColumn="0" w:firstRowLastColumn="0" w:lastRowFirstColumn="0" w:lastRowLastColumn="0"/>
              <w:rPr>
                <w:szCs w:val="22"/>
              </w:rPr>
            </w:pPr>
            <w:r w:rsidRPr="00747578">
              <w:rPr>
                <w:lang w:eastAsia="ja-JP"/>
              </w:rPr>
              <w:t xml:space="preserve">Hexose </w:t>
            </w:r>
            <w:proofErr w:type="spellStart"/>
            <w:r w:rsidRPr="00747578">
              <w:rPr>
                <w:lang w:eastAsia="ja-JP"/>
              </w:rPr>
              <w:t>tetrasaccharide</w:t>
            </w:r>
            <w:proofErr w:type="spellEnd"/>
          </w:p>
        </w:tc>
      </w:tr>
      <w:tr w:rsidR="000928C7" w:rsidRPr="00D01DDB" w14:paraId="7E2488F3" w14:textId="77777777" w:rsidTr="00396081">
        <w:trPr>
          <w:trHeight w:val="386"/>
        </w:trPr>
        <w:tc>
          <w:tcPr>
            <w:cnfStyle w:val="001000000000" w:firstRow="0" w:lastRow="0" w:firstColumn="1" w:lastColumn="0" w:oddVBand="0" w:evenVBand="0" w:oddHBand="0" w:evenHBand="0" w:firstRowFirstColumn="0" w:firstRowLastColumn="0" w:lastRowFirstColumn="0" w:lastRowLastColumn="0"/>
            <w:tcW w:w="1200" w:type="pct"/>
            <w:shd w:val="clear" w:color="auto" w:fill="auto"/>
          </w:tcPr>
          <w:p w14:paraId="013910A3" w14:textId="48E1528D" w:rsidR="000928C7" w:rsidRPr="00D01DDB" w:rsidRDefault="000928C7" w:rsidP="000928C7">
            <w:pPr>
              <w:rPr>
                <w:szCs w:val="22"/>
              </w:rPr>
            </w:pPr>
            <w:r w:rsidRPr="00747578">
              <w:t>IAR</w:t>
            </w:r>
          </w:p>
        </w:tc>
        <w:tc>
          <w:tcPr>
            <w:tcW w:w="3800" w:type="pct"/>
            <w:shd w:val="clear" w:color="auto" w:fill="auto"/>
          </w:tcPr>
          <w:p w14:paraId="053FDD96" w14:textId="0728C7EA" w:rsidR="000928C7" w:rsidRPr="00D01DDB" w:rsidRDefault="000928C7" w:rsidP="000928C7">
            <w:pPr>
              <w:cnfStyle w:val="000000000000" w:firstRow="0" w:lastRow="0" w:firstColumn="0" w:lastColumn="0" w:oddVBand="0" w:evenVBand="0" w:oddHBand="0" w:evenHBand="0" w:firstRowFirstColumn="0" w:firstRowLastColumn="0" w:lastRowFirstColumn="0" w:lastRowLastColumn="0"/>
              <w:rPr>
                <w:szCs w:val="22"/>
              </w:rPr>
            </w:pPr>
            <w:r w:rsidRPr="00747578">
              <w:t>Infusion-associated reaction</w:t>
            </w:r>
          </w:p>
        </w:tc>
      </w:tr>
      <w:tr w:rsidR="000928C7" w:rsidRPr="00D01DDB" w14:paraId="574CF6E8" w14:textId="77777777" w:rsidTr="00396081">
        <w:trPr>
          <w:trHeight w:val="386"/>
        </w:trPr>
        <w:tc>
          <w:tcPr>
            <w:cnfStyle w:val="001000000000" w:firstRow="0" w:lastRow="0" w:firstColumn="1" w:lastColumn="0" w:oddVBand="0" w:evenVBand="0" w:oddHBand="0" w:evenHBand="0" w:firstRowFirstColumn="0" w:firstRowLastColumn="0" w:lastRowFirstColumn="0" w:lastRowLastColumn="0"/>
            <w:tcW w:w="1200" w:type="pct"/>
            <w:shd w:val="clear" w:color="auto" w:fill="auto"/>
          </w:tcPr>
          <w:p w14:paraId="6414DE96" w14:textId="7D717C9D" w:rsidR="000928C7" w:rsidRPr="00D01DDB" w:rsidRDefault="000928C7" w:rsidP="000928C7">
            <w:pPr>
              <w:rPr>
                <w:szCs w:val="22"/>
              </w:rPr>
            </w:pPr>
            <w:r w:rsidRPr="00747578">
              <w:t>Ig</w:t>
            </w:r>
          </w:p>
        </w:tc>
        <w:tc>
          <w:tcPr>
            <w:tcW w:w="3800" w:type="pct"/>
            <w:shd w:val="clear" w:color="auto" w:fill="auto"/>
          </w:tcPr>
          <w:p w14:paraId="0FAC1276" w14:textId="05C698C9" w:rsidR="000928C7" w:rsidRPr="00D01DDB" w:rsidRDefault="000928C7" w:rsidP="000928C7">
            <w:pPr>
              <w:cnfStyle w:val="000000000000" w:firstRow="0" w:lastRow="0" w:firstColumn="0" w:lastColumn="0" w:oddVBand="0" w:evenVBand="0" w:oddHBand="0" w:evenHBand="0" w:firstRowFirstColumn="0" w:firstRowLastColumn="0" w:lastRowFirstColumn="0" w:lastRowLastColumn="0"/>
              <w:rPr>
                <w:szCs w:val="22"/>
              </w:rPr>
            </w:pPr>
            <w:r w:rsidRPr="00747578">
              <w:t>Immunoglobulin</w:t>
            </w:r>
          </w:p>
        </w:tc>
      </w:tr>
      <w:tr w:rsidR="000928C7" w:rsidRPr="00D01DDB" w14:paraId="7F32174E" w14:textId="77777777" w:rsidTr="00396081">
        <w:trPr>
          <w:trHeight w:val="386"/>
        </w:trPr>
        <w:tc>
          <w:tcPr>
            <w:cnfStyle w:val="001000000000" w:firstRow="0" w:lastRow="0" w:firstColumn="1" w:lastColumn="0" w:oddVBand="0" w:evenVBand="0" w:oddHBand="0" w:evenHBand="0" w:firstRowFirstColumn="0" w:firstRowLastColumn="0" w:lastRowFirstColumn="0" w:lastRowLastColumn="0"/>
            <w:tcW w:w="1200" w:type="pct"/>
            <w:shd w:val="clear" w:color="auto" w:fill="auto"/>
          </w:tcPr>
          <w:p w14:paraId="0E703C4C" w14:textId="2EE01357" w:rsidR="000928C7" w:rsidRPr="00D01DDB" w:rsidRDefault="000928C7" w:rsidP="000928C7">
            <w:pPr>
              <w:rPr>
                <w:szCs w:val="22"/>
              </w:rPr>
            </w:pPr>
            <w:r w:rsidRPr="00747578">
              <w:t>IOPD</w:t>
            </w:r>
          </w:p>
        </w:tc>
        <w:tc>
          <w:tcPr>
            <w:tcW w:w="3800" w:type="pct"/>
            <w:shd w:val="clear" w:color="auto" w:fill="auto"/>
          </w:tcPr>
          <w:p w14:paraId="02C5F419" w14:textId="6552AC8C" w:rsidR="000928C7" w:rsidRPr="00D01DDB" w:rsidRDefault="000928C7" w:rsidP="000928C7">
            <w:pPr>
              <w:cnfStyle w:val="000000000000" w:firstRow="0" w:lastRow="0" w:firstColumn="0" w:lastColumn="0" w:oddVBand="0" w:evenVBand="0" w:oddHBand="0" w:evenHBand="0" w:firstRowFirstColumn="0" w:firstRowLastColumn="0" w:lastRowFirstColumn="0" w:lastRowLastColumn="0"/>
              <w:rPr>
                <w:szCs w:val="22"/>
              </w:rPr>
            </w:pPr>
            <w:r w:rsidRPr="00747578">
              <w:t>Infantile-onset Pome disease</w:t>
            </w:r>
          </w:p>
        </w:tc>
      </w:tr>
      <w:tr w:rsidR="00CF1A7F" w:rsidRPr="00D01DDB" w14:paraId="66DB684A" w14:textId="77777777" w:rsidTr="00396081">
        <w:trPr>
          <w:trHeight w:val="386"/>
        </w:trPr>
        <w:tc>
          <w:tcPr>
            <w:cnfStyle w:val="001000000000" w:firstRow="0" w:lastRow="0" w:firstColumn="1" w:lastColumn="0" w:oddVBand="0" w:evenVBand="0" w:oddHBand="0" w:evenHBand="0" w:firstRowFirstColumn="0" w:firstRowLastColumn="0" w:lastRowFirstColumn="0" w:lastRowLastColumn="0"/>
            <w:tcW w:w="1200" w:type="pct"/>
            <w:shd w:val="clear" w:color="auto" w:fill="auto"/>
          </w:tcPr>
          <w:p w14:paraId="780D5AEB" w14:textId="66D9F985" w:rsidR="00CF1A7F" w:rsidRPr="00747578" w:rsidRDefault="00CF1A7F" w:rsidP="00CF1A7F">
            <w:r w:rsidRPr="00747578">
              <w:lastRenderedPageBreak/>
              <w:t>ITT</w:t>
            </w:r>
          </w:p>
        </w:tc>
        <w:tc>
          <w:tcPr>
            <w:tcW w:w="3800" w:type="pct"/>
            <w:shd w:val="clear" w:color="auto" w:fill="auto"/>
          </w:tcPr>
          <w:p w14:paraId="3365E3A8" w14:textId="534648B2" w:rsidR="00CF1A7F" w:rsidRPr="00747578" w:rsidRDefault="00CF1A7F" w:rsidP="00CF1A7F">
            <w:pPr>
              <w:cnfStyle w:val="000000000000" w:firstRow="0" w:lastRow="0" w:firstColumn="0" w:lastColumn="0" w:oddVBand="0" w:evenVBand="0" w:oddHBand="0" w:evenHBand="0" w:firstRowFirstColumn="0" w:firstRowLastColumn="0" w:lastRowFirstColumn="0" w:lastRowLastColumn="0"/>
              <w:rPr>
                <w:lang w:eastAsia="ja-JP"/>
              </w:rPr>
            </w:pPr>
            <w:r w:rsidRPr="00747578">
              <w:rPr>
                <w:lang w:eastAsia="ja-JP"/>
              </w:rPr>
              <w:t>Intent-to-treat</w:t>
            </w:r>
          </w:p>
        </w:tc>
      </w:tr>
      <w:tr w:rsidR="00CF1A7F" w:rsidRPr="00D01DDB" w14:paraId="42A9DD0F" w14:textId="77777777" w:rsidTr="00396081">
        <w:trPr>
          <w:trHeight w:val="386"/>
        </w:trPr>
        <w:tc>
          <w:tcPr>
            <w:cnfStyle w:val="001000000000" w:firstRow="0" w:lastRow="0" w:firstColumn="1" w:lastColumn="0" w:oddVBand="0" w:evenVBand="0" w:oddHBand="0" w:evenHBand="0" w:firstRowFirstColumn="0" w:firstRowLastColumn="0" w:lastRowFirstColumn="0" w:lastRowLastColumn="0"/>
            <w:tcW w:w="1200" w:type="pct"/>
            <w:shd w:val="clear" w:color="auto" w:fill="auto"/>
          </w:tcPr>
          <w:p w14:paraId="65F4E4F3" w14:textId="4A5FBC4A" w:rsidR="00CF1A7F" w:rsidRPr="00747578" w:rsidRDefault="00CF1A7F" w:rsidP="00CF1A7F">
            <w:r w:rsidRPr="00C7610A">
              <w:t>ITT-LOCF</w:t>
            </w:r>
          </w:p>
        </w:tc>
        <w:tc>
          <w:tcPr>
            <w:tcW w:w="3800" w:type="pct"/>
            <w:shd w:val="clear" w:color="auto" w:fill="auto"/>
          </w:tcPr>
          <w:p w14:paraId="7F001EC8" w14:textId="55C744BD" w:rsidR="00CF1A7F" w:rsidRPr="00747578" w:rsidRDefault="00CF1A7F" w:rsidP="00CF1A7F">
            <w:pPr>
              <w:cnfStyle w:val="000000000000" w:firstRow="0" w:lastRow="0" w:firstColumn="0" w:lastColumn="0" w:oddVBand="0" w:evenVBand="0" w:oddHBand="0" w:evenHBand="0" w:firstRowFirstColumn="0" w:firstRowLastColumn="0" w:lastRowFirstColumn="0" w:lastRowLastColumn="0"/>
              <w:rPr>
                <w:lang w:eastAsia="ja-JP"/>
              </w:rPr>
            </w:pPr>
            <w:r w:rsidRPr="00265FF2">
              <w:rPr>
                <w:lang w:eastAsia="ja-JP"/>
              </w:rPr>
              <w:t>ITT-last observation carried forward</w:t>
            </w:r>
          </w:p>
        </w:tc>
      </w:tr>
      <w:tr w:rsidR="00CF1A7F" w:rsidRPr="00D01DDB" w14:paraId="3ECD553E" w14:textId="77777777" w:rsidTr="00396081">
        <w:trPr>
          <w:trHeight w:val="386"/>
        </w:trPr>
        <w:tc>
          <w:tcPr>
            <w:cnfStyle w:val="001000000000" w:firstRow="0" w:lastRow="0" w:firstColumn="1" w:lastColumn="0" w:oddVBand="0" w:evenVBand="0" w:oddHBand="0" w:evenHBand="0" w:firstRowFirstColumn="0" w:firstRowLastColumn="0" w:lastRowFirstColumn="0" w:lastRowLastColumn="0"/>
            <w:tcW w:w="1200" w:type="pct"/>
            <w:shd w:val="clear" w:color="auto" w:fill="auto"/>
          </w:tcPr>
          <w:p w14:paraId="4975CEF7" w14:textId="58A4E90A" w:rsidR="00CF1A7F" w:rsidRPr="00747578" w:rsidRDefault="00CF1A7F" w:rsidP="00CF1A7F">
            <w:r w:rsidRPr="00747578">
              <w:t>ITT-OBS</w:t>
            </w:r>
          </w:p>
        </w:tc>
        <w:tc>
          <w:tcPr>
            <w:tcW w:w="3800" w:type="pct"/>
            <w:shd w:val="clear" w:color="auto" w:fill="auto"/>
          </w:tcPr>
          <w:p w14:paraId="4791C8B3" w14:textId="498D116E" w:rsidR="00CF1A7F" w:rsidRPr="00747578" w:rsidRDefault="00CF1A7F" w:rsidP="00CF1A7F">
            <w:pPr>
              <w:cnfStyle w:val="000000000000" w:firstRow="0" w:lastRow="0" w:firstColumn="0" w:lastColumn="0" w:oddVBand="0" w:evenVBand="0" w:oddHBand="0" w:evenHBand="0" w:firstRowFirstColumn="0" w:firstRowLastColumn="0" w:lastRowFirstColumn="0" w:lastRowLastColumn="0"/>
              <w:rPr>
                <w:lang w:eastAsia="ja-JP"/>
              </w:rPr>
            </w:pPr>
            <w:r w:rsidRPr="00747578">
              <w:rPr>
                <w:lang w:eastAsia="ja-JP"/>
              </w:rPr>
              <w:t>ITT-observed</w:t>
            </w:r>
          </w:p>
        </w:tc>
      </w:tr>
      <w:tr w:rsidR="00CF1A7F" w:rsidRPr="00D01DDB" w14:paraId="6BBE9520" w14:textId="77777777" w:rsidTr="00396081">
        <w:trPr>
          <w:trHeight w:val="386"/>
        </w:trPr>
        <w:tc>
          <w:tcPr>
            <w:cnfStyle w:val="001000000000" w:firstRow="0" w:lastRow="0" w:firstColumn="1" w:lastColumn="0" w:oddVBand="0" w:evenVBand="0" w:oddHBand="0" w:evenHBand="0" w:firstRowFirstColumn="0" w:firstRowLastColumn="0" w:lastRowFirstColumn="0" w:lastRowLastColumn="0"/>
            <w:tcW w:w="1200" w:type="pct"/>
            <w:shd w:val="clear" w:color="auto" w:fill="auto"/>
          </w:tcPr>
          <w:p w14:paraId="4F452F62" w14:textId="43E278E9" w:rsidR="00CF1A7F" w:rsidRPr="00747578" w:rsidRDefault="00CF1A7F" w:rsidP="00CF1A7F">
            <w:r w:rsidRPr="00747578">
              <w:t>IV</w:t>
            </w:r>
          </w:p>
        </w:tc>
        <w:tc>
          <w:tcPr>
            <w:tcW w:w="3800" w:type="pct"/>
            <w:shd w:val="clear" w:color="auto" w:fill="auto"/>
          </w:tcPr>
          <w:p w14:paraId="2C379792" w14:textId="62455537" w:rsidR="00CF1A7F" w:rsidRPr="00747578" w:rsidRDefault="00CF1A7F" w:rsidP="00CF1A7F">
            <w:pPr>
              <w:cnfStyle w:val="000000000000" w:firstRow="0" w:lastRow="0" w:firstColumn="0" w:lastColumn="0" w:oddVBand="0" w:evenVBand="0" w:oddHBand="0" w:evenHBand="0" w:firstRowFirstColumn="0" w:firstRowLastColumn="0" w:lastRowFirstColumn="0" w:lastRowLastColumn="0"/>
              <w:rPr>
                <w:lang w:eastAsia="ja-JP"/>
              </w:rPr>
            </w:pPr>
            <w:r w:rsidRPr="00747578">
              <w:t>Intravenous</w:t>
            </w:r>
          </w:p>
        </w:tc>
      </w:tr>
      <w:tr w:rsidR="00CF1A7F" w:rsidRPr="00D01DDB" w14:paraId="160523F0" w14:textId="77777777" w:rsidTr="00396081">
        <w:trPr>
          <w:trHeight w:val="386"/>
        </w:trPr>
        <w:tc>
          <w:tcPr>
            <w:cnfStyle w:val="001000000000" w:firstRow="0" w:lastRow="0" w:firstColumn="1" w:lastColumn="0" w:oddVBand="0" w:evenVBand="0" w:oddHBand="0" w:evenHBand="0" w:firstRowFirstColumn="0" w:firstRowLastColumn="0" w:lastRowFirstColumn="0" w:lastRowLastColumn="0"/>
            <w:tcW w:w="1200" w:type="pct"/>
            <w:shd w:val="clear" w:color="auto" w:fill="auto"/>
          </w:tcPr>
          <w:p w14:paraId="1E05D2FE" w14:textId="18E2FF44" w:rsidR="00CF1A7F" w:rsidRPr="00747578" w:rsidRDefault="00CF1A7F" w:rsidP="00CF1A7F">
            <w:r w:rsidRPr="00747578">
              <w:t>LOPD</w:t>
            </w:r>
          </w:p>
        </w:tc>
        <w:tc>
          <w:tcPr>
            <w:tcW w:w="3800" w:type="pct"/>
            <w:shd w:val="clear" w:color="auto" w:fill="auto"/>
          </w:tcPr>
          <w:p w14:paraId="607C2786" w14:textId="576796D6" w:rsidR="00CF1A7F" w:rsidRPr="00747578" w:rsidRDefault="00CF1A7F" w:rsidP="00CF1A7F">
            <w:pPr>
              <w:cnfStyle w:val="000000000000" w:firstRow="0" w:lastRow="0" w:firstColumn="0" w:lastColumn="0" w:oddVBand="0" w:evenVBand="0" w:oddHBand="0" w:evenHBand="0" w:firstRowFirstColumn="0" w:firstRowLastColumn="0" w:lastRowFirstColumn="0" w:lastRowLastColumn="0"/>
              <w:rPr>
                <w:lang w:eastAsia="ja-JP"/>
              </w:rPr>
            </w:pPr>
            <w:r w:rsidRPr="00747578">
              <w:t>Late-onset Pompe disease</w:t>
            </w:r>
          </w:p>
        </w:tc>
      </w:tr>
      <w:tr w:rsidR="00CF1A7F" w:rsidRPr="00D01DDB" w14:paraId="0BBCE4C1" w14:textId="77777777" w:rsidTr="00396081">
        <w:trPr>
          <w:trHeight w:val="386"/>
        </w:trPr>
        <w:tc>
          <w:tcPr>
            <w:cnfStyle w:val="001000000000" w:firstRow="0" w:lastRow="0" w:firstColumn="1" w:lastColumn="0" w:oddVBand="0" w:evenVBand="0" w:oddHBand="0" w:evenHBand="0" w:firstRowFirstColumn="0" w:firstRowLastColumn="0" w:lastRowFirstColumn="0" w:lastRowLastColumn="0"/>
            <w:tcW w:w="1200" w:type="pct"/>
            <w:shd w:val="clear" w:color="auto" w:fill="auto"/>
          </w:tcPr>
          <w:p w14:paraId="50A260F0" w14:textId="310649E1" w:rsidR="00CF1A7F" w:rsidRPr="00747578" w:rsidRDefault="00CF1A7F" w:rsidP="00CF1A7F">
            <w:r w:rsidRPr="00747578">
              <w:t>M6P</w:t>
            </w:r>
          </w:p>
        </w:tc>
        <w:tc>
          <w:tcPr>
            <w:tcW w:w="3800" w:type="pct"/>
            <w:shd w:val="clear" w:color="auto" w:fill="auto"/>
          </w:tcPr>
          <w:p w14:paraId="006DB4C7" w14:textId="594D015F" w:rsidR="00CF1A7F" w:rsidRPr="00747578" w:rsidRDefault="00CF1A7F" w:rsidP="00CF1A7F">
            <w:pPr>
              <w:cnfStyle w:val="000000000000" w:firstRow="0" w:lastRow="0" w:firstColumn="0" w:lastColumn="0" w:oddVBand="0" w:evenVBand="0" w:oddHBand="0" w:evenHBand="0" w:firstRowFirstColumn="0" w:firstRowLastColumn="0" w:lastRowFirstColumn="0" w:lastRowLastColumn="0"/>
              <w:rPr>
                <w:lang w:eastAsia="ja-JP"/>
              </w:rPr>
            </w:pPr>
            <w:r w:rsidRPr="00747578">
              <w:t>Mannose 6-phosphate</w:t>
            </w:r>
          </w:p>
        </w:tc>
      </w:tr>
      <w:tr w:rsidR="00CF1A7F" w:rsidRPr="00D01DDB" w14:paraId="53348494" w14:textId="77777777" w:rsidTr="00396081">
        <w:trPr>
          <w:trHeight w:val="386"/>
        </w:trPr>
        <w:tc>
          <w:tcPr>
            <w:cnfStyle w:val="001000000000" w:firstRow="0" w:lastRow="0" w:firstColumn="1" w:lastColumn="0" w:oddVBand="0" w:evenVBand="0" w:oddHBand="0" w:evenHBand="0" w:firstRowFirstColumn="0" w:firstRowLastColumn="0" w:lastRowFirstColumn="0" w:lastRowLastColumn="0"/>
            <w:tcW w:w="1200" w:type="pct"/>
            <w:shd w:val="clear" w:color="auto" w:fill="auto"/>
          </w:tcPr>
          <w:p w14:paraId="43B69031" w14:textId="34F1A342" w:rsidR="00CF1A7F" w:rsidRPr="00747578" w:rsidRDefault="00CF1A7F" w:rsidP="00CF1A7F">
            <w:r w:rsidRPr="00747578">
              <w:t>MEP</w:t>
            </w:r>
          </w:p>
        </w:tc>
        <w:tc>
          <w:tcPr>
            <w:tcW w:w="3800" w:type="pct"/>
            <w:shd w:val="clear" w:color="auto" w:fill="auto"/>
          </w:tcPr>
          <w:p w14:paraId="4DC6804A" w14:textId="3510F3D8" w:rsidR="00CF1A7F" w:rsidRPr="00747578" w:rsidRDefault="00CF1A7F" w:rsidP="00CF1A7F">
            <w:pPr>
              <w:cnfStyle w:val="000000000000" w:firstRow="0" w:lastRow="0" w:firstColumn="0" w:lastColumn="0" w:oddVBand="0" w:evenVBand="0" w:oddHBand="0" w:evenHBand="0" w:firstRowFirstColumn="0" w:firstRowLastColumn="0" w:lastRowFirstColumn="0" w:lastRowLastColumn="0"/>
              <w:rPr>
                <w:lang w:eastAsia="ja-JP"/>
              </w:rPr>
            </w:pPr>
            <w:r w:rsidRPr="00747578">
              <w:t>Maximum expiratory pressure</w:t>
            </w:r>
          </w:p>
        </w:tc>
      </w:tr>
      <w:tr w:rsidR="006B58FC" w:rsidRPr="00D01DDB" w14:paraId="132CA0E1" w14:textId="77777777" w:rsidTr="00396081">
        <w:trPr>
          <w:trHeight w:val="386"/>
        </w:trPr>
        <w:tc>
          <w:tcPr>
            <w:cnfStyle w:val="001000000000" w:firstRow="0" w:lastRow="0" w:firstColumn="1" w:lastColumn="0" w:oddVBand="0" w:evenVBand="0" w:oddHBand="0" w:evenHBand="0" w:firstRowFirstColumn="0" w:firstRowLastColumn="0" w:lastRowFirstColumn="0" w:lastRowLastColumn="0"/>
            <w:tcW w:w="1200" w:type="pct"/>
            <w:shd w:val="clear" w:color="auto" w:fill="auto"/>
          </w:tcPr>
          <w:p w14:paraId="0F82D0AA" w14:textId="42F5984D" w:rsidR="006B58FC" w:rsidRPr="00747578" w:rsidRDefault="006B58FC" w:rsidP="006B58FC">
            <w:r w:rsidRPr="00747578">
              <w:t>MIP</w:t>
            </w:r>
          </w:p>
        </w:tc>
        <w:tc>
          <w:tcPr>
            <w:tcW w:w="3800" w:type="pct"/>
            <w:shd w:val="clear" w:color="auto" w:fill="auto"/>
          </w:tcPr>
          <w:p w14:paraId="288BB85D" w14:textId="62E0AB8B" w:rsidR="006B58FC" w:rsidRPr="00747578" w:rsidRDefault="006B58FC" w:rsidP="006B58FC">
            <w:pPr>
              <w:cnfStyle w:val="000000000000" w:firstRow="0" w:lastRow="0" w:firstColumn="0" w:lastColumn="0" w:oddVBand="0" w:evenVBand="0" w:oddHBand="0" w:evenHBand="0" w:firstRowFirstColumn="0" w:firstRowLastColumn="0" w:lastRowFirstColumn="0" w:lastRowLastColumn="0"/>
            </w:pPr>
            <w:r w:rsidRPr="00747578">
              <w:t>Maximum inspiratory pressure</w:t>
            </w:r>
          </w:p>
        </w:tc>
      </w:tr>
      <w:tr w:rsidR="006B58FC" w:rsidRPr="00D01DDB" w14:paraId="72532764" w14:textId="77777777" w:rsidTr="00396081">
        <w:trPr>
          <w:trHeight w:val="386"/>
        </w:trPr>
        <w:tc>
          <w:tcPr>
            <w:cnfStyle w:val="001000000000" w:firstRow="0" w:lastRow="0" w:firstColumn="1" w:lastColumn="0" w:oddVBand="0" w:evenVBand="0" w:oddHBand="0" w:evenHBand="0" w:firstRowFirstColumn="0" w:firstRowLastColumn="0" w:lastRowFirstColumn="0" w:lastRowLastColumn="0"/>
            <w:tcW w:w="1200" w:type="pct"/>
            <w:shd w:val="clear" w:color="auto" w:fill="auto"/>
          </w:tcPr>
          <w:p w14:paraId="12845A0A" w14:textId="6021F113" w:rsidR="006B58FC" w:rsidRPr="00747578" w:rsidRDefault="006B58FC" w:rsidP="006B58FC">
            <w:r w:rsidRPr="00747578">
              <w:t>MMRM</w:t>
            </w:r>
          </w:p>
        </w:tc>
        <w:tc>
          <w:tcPr>
            <w:tcW w:w="3800" w:type="pct"/>
            <w:shd w:val="clear" w:color="auto" w:fill="auto"/>
          </w:tcPr>
          <w:p w14:paraId="7A7EECE6" w14:textId="112A503B" w:rsidR="006B58FC" w:rsidRPr="00747578" w:rsidRDefault="006B58FC" w:rsidP="006B58FC">
            <w:pPr>
              <w:cnfStyle w:val="000000000000" w:firstRow="0" w:lastRow="0" w:firstColumn="0" w:lastColumn="0" w:oddVBand="0" w:evenVBand="0" w:oddHBand="0" w:evenHBand="0" w:firstRowFirstColumn="0" w:firstRowLastColumn="0" w:lastRowFirstColumn="0" w:lastRowLastColumn="0"/>
            </w:pPr>
            <w:r w:rsidRPr="00747578">
              <w:rPr>
                <w:lang w:eastAsia="ja-JP"/>
              </w:rPr>
              <w:t>Mixed-effect model for repeated measures</w:t>
            </w:r>
          </w:p>
        </w:tc>
      </w:tr>
      <w:tr w:rsidR="006B58FC" w:rsidRPr="00D01DDB" w14:paraId="48EEBC3D" w14:textId="77777777" w:rsidTr="00396081">
        <w:trPr>
          <w:trHeight w:val="386"/>
        </w:trPr>
        <w:tc>
          <w:tcPr>
            <w:cnfStyle w:val="001000000000" w:firstRow="0" w:lastRow="0" w:firstColumn="1" w:lastColumn="0" w:oddVBand="0" w:evenVBand="0" w:oddHBand="0" w:evenHBand="0" w:firstRowFirstColumn="0" w:firstRowLastColumn="0" w:lastRowFirstColumn="0" w:lastRowLastColumn="0"/>
            <w:tcW w:w="1200" w:type="pct"/>
            <w:shd w:val="clear" w:color="auto" w:fill="auto"/>
          </w:tcPr>
          <w:p w14:paraId="15A5DEAD" w14:textId="1F54913F" w:rsidR="006B58FC" w:rsidRPr="00747578" w:rsidRDefault="006B58FC" w:rsidP="006B58FC">
            <w:r w:rsidRPr="00747578">
              <w:t>MMT</w:t>
            </w:r>
          </w:p>
        </w:tc>
        <w:tc>
          <w:tcPr>
            <w:tcW w:w="3800" w:type="pct"/>
            <w:shd w:val="clear" w:color="auto" w:fill="auto"/>
          </w:tcPr>
          <w:p w14:paraId="175C3F22" w14:textId="0A54DF01" w:rsidR="006B58FC" w:rsidRPr="00747578" w:rsidRDefault="006B58FC" w:rsidP="006B58FC">
            <w:pPr>
              <w:cnfStyle w:val="000000000000" w:firstRow="0" w:lastRow="0" w:firstColumn="0" w:lastColumn="0" w:oddVBand="0" w:evenVBand="0" w:oddHBand="0" w:evenHBand="0" w:firstRowFirstColumn="0" w:firstRowLastColumn="0" w:lastRowFirstColumn="0" w:lastRowLastColumn="0"/>
            </w:pPr>
            <w:r w:rsidRPr="00747578">
              <w:rPr>
                <w:lang w:eastAsia="ja-JP"/>
              </w:rPr>
              <w:t>Manual muscle test</w:t>
            </w:r>
          </w:p>
        </w:tc>
      </w:tr>
      <w:tr w:rsidR="006B58FC" w:rsidRPr="00D01DDB" w14:paraId="0B207912" w14:textId="77777777" w:rsidTr="00396081">
        <w:trPr>
          <w:trHeight w:val="386"/>
        </w:trPr>
        <w:tc>
          <w:tcPr>
            <w:cnfStyle w:val="001000000000" w:firstRow="0" w:lastRow="0" w:firstColumn="1" w:lastColumn="0" w:oddVBand="0" w:evenVBand="0" w:oddHBand="0" w:evenHBand="0" w:firstRowFirstColumn="0" w:firstRowLastColumn="0" w:lastRowFirstColumn="0" w:lastRowLastColumn="0"/>
            <w:tcW w:w="1200" w:type="pct"/>
            <w:shd w:val="clear" w:color="auto" w:fill="auto"/>
          </w:tcPr>
          <w:p w14:paraId="2A3641B3" w14:textId="74FBD6EB" w:rsidR="006B58FC" w:rsidRPr="00747578" w:rsidRDefault="006B58FC" w:rsidP="006B58FC">
            <w:proofErr w:type="spellStart"/>
            <w:r w:rsidRPr="00747578">
              <w:t>NAb</w:t>
            </w:r>
            <w:proofErr w:type="spellEnd"/>
          </w:p>
        </w:tc>
        <w:tc>
          <w:tcPr>
            <w:tcW w:w="3800" w:type="pct"/>
            <w:shd w:val="clear" w:color="auto" w:fill="auto"/>
          </w:tcPr>
          <w:p w14:paraId="7E8338A1" w14:textId="7C70DFFE" w:rsidR="006B58FC" w:rsidRPr="00747578" w:rsidRDefault="006B58FC" w:rsidP="006B58FC">
            <w:pPr>
              <w:cnfStyle w:val="000000000000" w:firstRow="0" w:lastRow="0" w:firstColumn="0" w:lastColumn="0" w:oddVBand="0" w:evenVBand="0" w:oddHBand="0" w:evenHBand="0" w:firstRowFirstColumn="0" w:firstRowLastColumn="0" w:lastRowFirstColumn="0" w:lastRowLastColumn="0"/>
            </w:pPr>
            <w:r w:rsidRPr="00747578">
              <w:rPr>
                <w:lang w:eastAsia="ja-JP"/>
              </w:rPr>
              <w:t>Neutralising antibody</w:t>
            </w:r>
          </w:p>
        </w:tc>
      </w:tr>
      <w:tr w:rsidR="006B58FC" w:rsidRPr="00D01DDB" w14:paraId="1F82081E" w14:textId="77777777" w:rsidTr="00396081">
        <w:trPr>
          <w:trHeight w:val="386"/>
        </w:trPr>
        <w:tc>
          <w:tcPr>
            <w:cnfStyle w:val="001000000000" w:firstRow="0" w:lastRow="0" w:firstColumn="1" w:lastColumn="0" w:oddVBand="0" w:evenVBand="0" w:oddHBand="0" w:evenHBand="0" w:firstRowFirstColumn="0" w:firstRowLastColumn="0" w:lastRowFirstColumn="0" w:lastRowLastColumn="0"/>
            <w:tcW w:w="1200" w:type="pct"/>
            <w:shd w:val="clear" w:color="auto" w:fill="auto"/>
          </w:tcPr>
          <w:p w14:paraId="08137E2F" w14:textId="08D4EED7" w:rsidR="006B58FC" w:rsidRPr="00747578" w:rsidRDefault="006B58FC" w:rsidP="006B58FC">
            <w:r w:rsidRPr="00747578">
              <w:t>OLE-ES</w:t>
            </w:r>
          </w:p>
        </w:tc>
        <w:tc>
          <w:tcPr>
            <w:tcW w:w="3800" w:type="pct"/>
            <w:shd w:val="clear" w:color="auto" w:fill="auto"/>
          </w:tcPr>
          <w:p w14:paraId="6EDC9661" w14:textId="6BDB60AE" w:rsidR="006B58FC" w:rsidRPr="00747578" w:rsidRDefault="006B58FC" w:rsidP="006B58FC">
            <w:pPr>
              <w:cnfStyle w:val="000000000000" w:firstRow="0" w:lastRow="0" w:firstColumn="0" w:lastColumn="0" w:oddVBand="0" w:evenVBand="0" w:oddHBand="0" w:evenHBand="0" w:firstRowFirstColumn="0" w:firstRowLastColumn="0" w:lastRowFirstColumn="0" w:lastRowLastColumn="0"/>
            </w:pPr>
            <w:r w:rsidRPr="00747578">
              <w:t>Open-label extension-enrolled subjects</w:t>
            </w:r>
          </w:p>
        </w:tc>
      </w:tr>
      <w:tr w:rsidR="0027603B" w:rsidRPr="00D01DDB" w14:paraId="1F55A5AE" w14:textId="77777777" w:rsidTr="00396081">
        <w:trPr>
          <w:trHeight w:val="386"/>
        </w:trPr>
        <w:tc>
          <w:tcPr>
            <w:cnfStyle w:val="001000000000" w:firstRow="0" w:lastRow="0" w:firstColumn="1" w:lastColumn="0" w:oddVBand="0" w:evenVBand="0" w:oddHBand="0" w:evenHBand="0" w:firstRowFirstColumn="0" w:firstRowLastColumn="0" w:lastRowFirstColumn="0" w:lastRowLastColumn="0"/>
            <w:tcW w:w="1200" w:type="pct"/>
            <w:shd w:val="clear" w:color="auto" w:fill="auto"/>
          </w:tcPr>
          <w:p w14:paraId="4E40D903" w14:textId="7A4FD6F0" w:rsidR="0027603B" w:rsidRPr="00747578" w:rsidRDefault="0027603B" w:rsidP="0027603B">
            <w:r w:rsidRPr="00747578">
              <w:t>PD</w:t>
            </w:r>
          </w:p>
        </w:tc>
        <w:tc>
          <w:tcPr>
            <w:tcW w:w="3800" w:type="pct"/>
            <w:shd w:val="clear" w:color="auto" w:fill="auto"/>
          </w:tcPr>
          <w:p w14:paraId="28D21AAA" w14:textId="63F5BD8E" w:rsidR="0027603B" w:rsidRPr="00747578" w:rsidRDefault="0027603B" w:rsidP="0027603B">
            <w:pPr>
              <w:cnfStyle w:val="000000000000" w:firstRow="0" w:lastRow="0" w:firstColumn="0" w:lastColumn="0" w:oddVBand="0" w:evenVBand="0" w:oddHBand="0" w:evenHBand="0" w:firstRowFirstColumn="0" w:firstRowLastColumn="0" w:lastRowFirstColumn="0" w:lastRowLastColumn="0"/>
            </w:pPr>
            <w:r w:rsidRPr="00747578">
              <w:t>Pharmacodynamic</w:t>
            </w:r>
          </w:p>
        </w:tc>
      </w:tr>
      <w:tr w:rsidR="0027603B" w:rsidRPr="00D01DDB" w14:paraId="3EB551E9" w14:textId="77777777" w:rsidTr="00396081">
        <w:trPr>
          <w:trHeight w:val="386"/>
        </w:trPr>
        <w:tc>
          <w:tcPr>
            <w:cnfStyle w:val="001000000000" w:firstRow="0" w:lastRow="0" w:firstColumn="1" w:lastColumn="0" w:oddVBand="0" w:evenVBand="0" w:oddHBand="0" w:evenHBand="0" w:firstRowFirstColumn="0" w:firstRowLastColumn="0" w:lastRowFirstColumn="0" w:lastRowLastColumn="0"/>
            <w:tcW w:w="1200" w:type="pct"/>
            <w:shd w:val="clear" w:color="auto" w:fill="auto"/>
          </w:tcPr>
          <w:p w14:paraId="26A03C01" w14:textId="589A0CA7" w:rsidR="0027603B" w:rsidRPr="00747578" w:rsidRDefault="0027603B" w:rsidP="0027603B">
            <w:r w:rsidRPr="00747578">
              <w:t>PGIC</w:t>
            </w:r>
          </w:p>
        </w:tc>
        <w:tc>
          <w:tcPr>
            <w:tcW w:w="3800" w:type="pct"/>
            <w:shd w:val="clear" w:color="auto" w:fill="auto"/>
          </w:tcPr>
          <w:p w14:paraId="6C2ABD84" w14:textId="28E454A3" w:rsidR="0027603B" w:rsidRPr="00747578" w:rsidRDefault="0027603B" w:rsidP="0027603B">
            <w:pPr>
              <w:cnfStyle w:val="000000000000" w:firstRow="0" w:lastRow="0" w:firstColumn="0" w:lastColumn="0" w:oddVBand="0" w:evenVBand="0" w:oddHBand="0" w:evenHBand="0" w:firstRowFirstColumn="0" w:firstRowLastColumn="0" w:lastRowFirstColumn="0" w:lastRowLastColumn="0"/>
            </w:pPr>
            <w:r w:rsidRPr="00747578">
              <w:t>Physician Global Impression of Change</w:t>
            </w:r>
          </w:p>
        </w:tc>
      </w:tr>
      <w:tr w:rsidR="0027603B" w:rsidRPr="00D01DDB" w14:paraId="2B3FE5A3" w14:textId="77777777" w:rsidTr="00396081">
        <w:trPr>
          <w:trHeight w:val="386"/>
        </w:trPr>
        <w:tc>
          <w:tcPr>
            <w:cnfStyle w:val="001000000000" w:firstRow="0" w:lastRow="0" w:firstColumn="1" w:lastColumn="0" w:oddVBand="0" w:evenVBand="0" w:oddHBand="0" w:evenHBand="0" w:firstRowFirstColumn="0" w:firstRowLastColumn="0" w:lastRowFirstColumn="0" w:lastRowLastColumn="0"/>
            <w:tcW w:w="1200" w:type="pct"/>
            <w:shd w:val="clear" w:color="auto" w:fill="auto"/>
          </w:tcPr>
          <w:p w14:paraId="7C51178D" w14:textId="5A8FAF41" w:rsidR="0027603B" w:rsidRPr="00747578" w:rsidRDefault="0027603B" w:rsidP="0027603B">
            <w:r w:rsidRPr="00747578">
              <w:t>P-</w:t>
            </w:r>
            <w:proofErr w:type="spellStart"/>
            <w:r w:rsidRPr="00747578">
              <w:t>gp</w:t>
            </w:r>
            <w:proofErr w:type="spellEnd"/>
          </w:p>
        </w:tc>
        <w:tc>
          <w:tcPr>
            <w:tcW w:w="3800" w:type="pct"/>
            <w:shd w:val="clear" w:color="auto" w:fill="auto"/>
          </w:tcPr>
          <w:p w14:paraId="4E01845E" w14:textId="554339BD" w:rsidR="0027603B" w:rsidRPr="00747578" w:rsidRDefault="0027603B" w:rsidP="0027603B">
            <w:pPr>
              <w:cnfStyle w:val="000000000000" w:firstRow="0" w:lastRow="0" w:firstColumn="0" w:lastColumn="0" w:oddVBand="0" w:evenVBand="0" w:oddHBand="0" w:evenHBand="0" w:firstRowFirstColumn="0" w:firstRowLastColumn="0" w:lastRowFirstColumn="0" w:lastRowLastColumn="0"/>
            </w:pPr>
            <w:r w:rsidRPr="00747578">
              <w:t>P-glycoprotein</w:t>
            </w:r>
          </w:p>
        </w:tc>
      </w:tr>
      <w:tr w:rsidR="0027603B" w:rsidRPr="00D01DDB" w14:paraId="2756B6F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2AA960E" w14:textId="72403C37" w:rsidR="0027603B" w:rsidRPr="00D01DDB" w:rsidRDefault="0027603B" w:rsidP="0027603B">
            <w:pPr>
              <w:rPr>
                <w:szCs w:val="22"/>
              </w:rPr>
            </w:pPr>
            <w:r w:rsidRPr="00D01DDB">
              <w:rPr>
                <w:szCs w:val="22"/>
              </w:rPr>
              <w:t>PI</w:t>
            </w:r>
          </w:p>
        </w:tc>
        <w:tc>
          <w:tcPr>
            <w:tcW w:w="3800" w:type="pct"/>
          </w:tcPr>
          <w:p w14:paraId="354B5DB5" w14:textId="3DAE38C1" w:rsidR="0027603B" w:rsidRPr="00D01DDB" w:rsidRDefault="0027603B" w:rsidP="0027603B">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Product Information</w:t>
            </w:r>
          </w:p>
        </w:tc>
      </w:tr>
      <w:tr w:rsidR="007B26CB" w:rsidRPr="00D01DDB" w14:paraId="39AAD58A" w14:textId="77777777" w:rsidTr="00396081">
        <w:trPr>
          <w:trHeight w:val="386"/>
        </w:trPr>
        <w:tc>
          <w:tcPr>
            <w:cnfStyle w:val="001000000000" w:firstRow="0" w:lastRow="0" w:firstColumn="1" w:lastColumn="0" w:oddVBand="0" w:evenVBand="0" w:oddHBand="0" w:evenHBand="0" w:firstRowFirstColumn="0" w:firstRowLastColumn="0" w:lastRowFirstColumn="0" w:lastRowLastColumn="0"/>
            <w:tcW w:w="1200" w:type="pct"/>
            <w:shd w:val="clear" w:color="auto" w:fill="auto"/>
          </w:tcPr>
          <w:p w14:paraId="24C1B0FF" w14:textId="2DB5262B" w:rsidR="007B26CB" w:rsidRPr="00D01DDB" w:rsidRDefault="007B26CB" w:rsidP="007B26CB">
            <w:pPr>
              <w:rPr>
                <w:szCs w:val="22"/>
              </w:rPr>
            </w:pPr>
            <w:r w:rsidRPr="00747578">
              <w:t>PK</w:t>
            </w:r>
          </w:p>
        </w:tc>
        <w:tc>
          <w:tcPr>
            <w:tcW w:w="3800" w:type="pct"/>
            <w:shd w:val="clear" w:color="auto" w:fill="auto"/>
          </w:tcPr>
          <w:p w14:paraId="35AFF084" w14:textId="1985FABE" w:rsidR="007B26CB" w:rsidRPr="00D01DDB" w:rsidRDefault="007B26CB" w:rsidP="007B26CB">
            <w:pPr>
              <w:cnfStyle w:val="000000000000" w:firstRow="0" w:lastRow="0" w:firstColumn="0" w:lastColumn="0" w:oddVBand="0" w:evenVBand="0" w:oddHBand="0" w:evenHBand="0" w:firstRowFirstColumn="0" w:firstRowLastColumn="0" w:lastRowFirstColumn="0" w:lastRowLastColumn="0"/>
              <w:rPr>
                <w:szCs w:val="22"/>
              </w:rPr>
            </w:pPr>
            <w:r w:rsidRPr="00747578">
              <w:t>Pharmacokinetic</w:t>
            </w:r>
          </w:p>
        </w:tc>
      </w:tr>
      <w:tr w:rsidR="007B26CB" w:rsidRPr="00D01DDB" w14:paraId="65271FC4" w14:textId="77777777" w:rsidTr="00396081">
        <w:trPr>
          <w:trHeight w:val="386"/>
        </w:trPr>
        <w:tc>
          <w:tcPr>
            <w:cnfStyle w:val="001000000000" w:firstRow="0" w:lastRow="0" w:firstColumn="1" w:lastColumn="0" w:oddVBand="0" w:evenVBand="0" w:oddHBand="0" w:evenHBand="0" w:firstRowFirstColumn="0" w:firstRowLastColumn="0" w:lastRowFirstColumn="0" w:lastRowLastColumn="0"/>
            <w:tcW w:w="1200" w:type="pct"/>
            <w:shd w:val="clear" w:color="auto" w:fill="auto"/>
          </w:tcPr>
          <w:p w14:paraId="33A6322D" w14:textId="43F10A90" w:rsidR="007B26CB" w:rsidRPr="00D01DDB" w:rsidRDefault="007B26CB" w:rsidP="007B26CB">
            <w:pPr>
              <w:rPr>
                <w:szCs w:val="22"/>
              </w:rPr>
            </w:pPr>
            <w:proofErr w:type="spellStart"/>
            <w:r w:rsidRPr="00747578">
              <w:t>PopPK</w:t>
            </w:r>
            <w:proofErr w:type="spellEnd"/>
          </w:p>
        </w:tc>
        <w:tc>
          <w:tcPr>
            <w:tcW w:w="3800" w:type="pct"/>
            <w:shd w:val="clear" w:color="auto" w:fill="auto"/>
          </w:tcPr>
          <w:p w14:paraId="09DFAE1C" w14:textId="112F115B" w:rsidR="007B26CB" w:rsidRPr="00D01DDB" w:rsidRDefault="007B26CB" w:rsidP="007B26CB">
            <w:pPr>
              <w:cnfStyle w:val="000000000000" w:firstRow="0" w:lastRow="0" w:firstColumn="0" w:lastColumn="0" w:oddVBand="0" w:evenVBand="0" w:oddHBand="0" w:evenHBand="0" w:firstRowFirstColumn="0" w:firstRowLastColumn="0" w:lastRowFirstColumn="0" w:lastRowLastColumn="0"/>
              <w:rPr>
                <w:szCs w:val="22"/>
              </w:rPr>
            </w:pPr>
            <w:r w:rsidRPr="00747578">
              <w:t>Population pharmacokinetics</w:t>
            </w:r>
          </w:p>
        </w:tc>
      </w:tr>
      <w:tr w:rsidR="00074427" w:rsidRPr="00D01DDB" w14:paraId="519D36A0" w14:textId="77777777" w:rsidTr="00396081">
        <w:trPr>
          <w:trHeight w:val="386"/>
        </w:trPr>
        <w:tc>
          <w:tcPr>
            <w:cnfStyle w:val="001000000000" w:firstRow="0" w:lastRow="0" w:firstColumn="1" w:lastColumn="0" w:oddVBand="0" w:evenVBand="0" w:oddHBand="0" w:evenHBand="0" w:firstRowFirstColumn="0" w:firstRowLastColumn="0" w:lastRowFirstColumn="0" w:lastRowLastColumn="0"/>
            <w:tcW w:w="1200" w:type="pct"/>
            <w:shd w:val="clear" w:color="auto" w:fill="auto"/>
          </w:tcPr>
          <w:p w14:paraId="3AE2AB25" w14:textId="3B6C30BF" w:rsidR="00074427" w:rsidRPr="00C7610A" w:rsidRDefault="00074427" w:rsidP="00074427">
            <w:r w:rsidRPr="00747578">
              <w:t>PRO</w:t>
            </w:r>
          </w:p>
        </w:tc>
        <w:tc>
          <w:tcPr>
            <w:tcW w:w="3800" w:type="pct"/>
            <w:shd w:val="clear" w:color="auto" w:fill="auto"/>
          </w:tcPr>
          <w:p w14:paraId="24CC6DCE" w14:textId="4096D5BF" w:rsidR="00074427" w:rsidRDefault="00074427" w:rsidP="00074427">
            <w:pPr>
              <w:cnfStyle w:val="000000000000" w:firstRow="0" w:lastRow="0" w:firstColumn="0" w:lastColumn="0" w:oddVBand="0" w:evenVBand="0" w:oddHBand="0" w:evenHBand="0" w:firstRowFirstColumn="0" w:firstRowLastColumn="0" w:lastRowFirstColumn="0" w:lastRowLastColumn="0"/>
            </w:pPr>
            <w:r w:rsidRPr="00747578">
              <w:t>Patient-reported outcome</w:t>
            </w:r>
          </w:p>
        </w:tc>
      </w:tr>
      <w:tr w:rsidR="00074427" w:rsidRPr="00D01DDB" w14:paraId="3CCD5B42" w14:textId="77777777" w:rsidTr="00396081">
        <w:trPr>
          <w:trHeight w:val="386"/>
        </w:trPr>
        <w:tc>
          <w:tcPr>
            <w:cnfStyle w:val="001000000000" w:firstRow="0" w:lastRow="0" w:firstColumn="1" w:lastColumn="0" w:oddVBand="0" w:evenVBand="0" w:oddHBand="0" w:evenHBand="0" w:firstRowFirstColumn="0" w:firstRowLastColumn="0" w:lastRowFirstColumn="0" w:lastRowLastColumn="0"/>
            <w:tcW w:w="1200" w:type="pct"/>
            <w:shd w:val="clear" w:color="auto" w:fill="auto"/>
          </w:tcPr>
          <w:p w14:paraId="2ECF8484" w14:textId="7592C95D" w:rsidR="00074427" w:rsidRPr="00C7610A" w:rsidRDefault="00074427" w:rsidP="00074427">
            <w:r w:rsidRPr="00747578">
              <w:t>PROMIS</w:t>
            </w:r>
          </w:p>
        </w:tc>
        <w:tc>
          <w:tcPr>
            <w:tcW w:w="3800" w:type="pct"/>
            <w:shd w:val="clear" w:color="auto" w:fill="auto"/>
          </w:tcPr>
          <w:p w14:paraId="6A1B8515" w14:textId="1B43F1D8" w:rsidR="00074427" w:rsidRDefault="00074427" w:rsidP="00074427">
            <w:pPr>
              <w:cnfStyle w:val="000000000000" w:firstRow="0" w:lastRow="0" w:firstColumn="0" w:lastColumn="0" w:oddVBand="0" w:evenVBand="0" w:oddHBand="0" w:evenHBand="0" w:firstRowFirstColumn="0" w:firstRowLastColumn="0" w:lastRowFirstColumn="0" w:lastRowLastColumn="0"/>
            </w:pPr>
            <w:r w:rsidRPr="00747578">
              <w:rPr>
                <w:lang w:eastAsia="ja-JP"/>
              </w:rPr>
              <w:t>Patient-reported Outcomes Measurement Information System</w:t>
            </w:r>
          </w:p>
        </w:tc>
      </w:tr>
      <w:tr w:rsidR="000B1F45" w:rsidRPr="00D01DDB" w14:paraId="30F6FFA1" w14:textId="77777777" w:rsidTr="00396081">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439E3E4" w14:textId="66DA0C32" w:rsidR="000B1F45" w:rsidRPr="00747578" w:rsidRDefault="000B1F45" w:rsidP="000B1F45">
            <w:r w:rsidRPr="00D01DDB">
              <w:rPr>
                <w:szCs w:val="22"/>
              </w:rPr>
              <w:t>PSUR</w:t>
            </w:r>
          </w:p>
        </w:tc>
        <w:tc>
          <w:tcPr>
            <w:tcW w:w="3800" w:type="pct"/>
          </w:tcPr>
          <w:p w14:paraId="4BE87C57" w14:textId="5612D0C6" w:rsidR="000B1F45" w:rsidRPr="00747578" w:rsidRDefault="000B1F45" w:rsidP="000B1F45">
            <w:pPr>
              <w:cnfStyle w:val="000000000000" w:firstRow="0" w:lastRow="0" w:firstColumn="0" w:lastColumn="0" w:oddVBand="0" w:evenVBand="0" w:oddHBand="0" w:evenHBand="0" w:firstRowFirstColumn="0" w:firstRowLastColumn="0" w:lastRowFirstColumn="0" w:lastRowLastColumn="0"/>
              <w:rPr>
                <w:lang w:eastAsia="ja-JP"/>
              </w:rPr>
            </w:pPr>
            <w:r w:rsidRPr="00D01DDB">
              <w:rPr>
                <w:szCs w:val="22"/>
              </w:rPr>
              <w:t>Periodic safety update report</w:t>
            </w:r>
          </w:p>
        </w:tc>
      </w:tr>
      <w:tr w:rsidR="000B1F45" w:rsidRPr="00D01DDB" w14:paraId="0AD2EFC2" w14:textId="77777777" w:rsidTr="00396081">
        <w:trPr>
          <w:trHeight w:val="386"/>
        </w:trPr>
        <w:tc>
          <w:tcPr>
            <w:cnfStyle w:val="001000000000" w:firstRow="0" w:lastRow="0" w:firstColumn="1" w:lastColumn="0" w:oddVBand="0" w:evenVBand="0" w:oddHBand="0" w:evenHBand="0" w:firstRowFirstColumn="0" w:firstRowLastColumn="0" w:lastRowFirstColumn="0" w:lastRowLastColumn="0"/>
            <w:tcW w:w="1200" w:type="pct"/>
            <w:shd w:val="clear" w:color="auto" w:fill="auto"/>
          </w:tcPr>
          <w:p w14:paraId="534B534E" w14:textId="18A1A517" w:rsidR="000B1F45" w:rsidRPr="00C7610A" w:rsidRDefault="000B1F45" w:rsidP="000B1F45">
            <w:r w:rsidRPr="00747578">
              <w:t>PT</w:t>
            </w:r>
          </w:p>
        </w:tc>
        <w:tc>
          <w:tcPr>
            <w:tcW w:w="3800" w:type="pct"/>
            <w:shd w:val="clear" w:color="auto" w:fill="auto"/>
          </w:tcPr>
          <w:p w14:paraId="0BC7CB67" w14:textId="0C4730FC" w:rsidR="000B1F45" w:rsidRDefault="000B1F45" w:rsidP="000B1F45">
            <w:pPr>
              <w:cnfStyle w:val="000000000000" w:firstRow="0" w:lastRow="0" w:firstColumn="0" w:lastColumn="0" w:oddVBand="0" w:evenVBand="0" w:oddHBand="0" w:evenHBand="0" w:firstRowFirstColumn="0" w:firstRowLastColumn="0" w:lastRowFirstColumn="0" w:lastRowLastColumn="0"/>
            </w:pPr>
            <w:r w:rsidRPr="00747578">
              <w:rPr>
                <w:lang w:eastAsia="ja-JP"/>
              </w:rPr>
              <w:t>Preferred term</w:t>
            </w:r>
          </w:p>
        </w:tc>
      </w:tr>
      <w:tr w:rsidR="000B1F45" w:rsidRPr="00D01DDB" w14:paraId="7339F600" w14:textId="77777777" w:rsidTr="00396081">
        <w:trPr>
          <w:trHeight w:val="386"/>
        </w:trPr>
        <w:tc>
          <w:tcPr>
            <w:cnfStyle w:val="001000000000" w:firstRow="0" w:lastRow="0" w:firstColumn="1" w:lastColumn="0" w:oddVBand="0" w:evenVBand="0" w:oddHBand="0" w:evenHBand="0" w:firstRowFirstColumn="0" w:firstRowLastColumn="0" w:lastRowFirstColumn="0" w:lastRowLastColumn="0"/>
            <w:tcW w:w="1200" w:type="pct"/>
            <w:shd w:val="clear" w:color="auto" w:fill="auto"/>
          </w:tcPr>
          <w:p w14:paraId="5EECBA70" w14:textId="222EEDEB" w:rsidR="000B1F45" w:rsidRPr="00C7610A" w:rsidRDefault="000B1F45" w:rsidP="000B1F45">
            <w:proofErr w:type="spellStart"/>
            <w:r w:rsidRPr="00747578">
              <w:t>rhGAA</w:t>
            </w:r>
            <w:proofErr w:type="spellEnd"/>
          </w:p>
        </w:tc>
        <w:tc>
          <w:tcPr>
            <w:tcW w:w="3800" w:type="pct"/>
            <w:shd w:val="clear" w:color="auto" w:fill="auto"/>
          </w:tcPr>
          <w:p w14:paraId="3AB9568B" w14:textId="7D6A16F3" w:rsidR="000B1F45" w:rsidRDefault="000B1F45" w:rsidP="000B1F45">
            <w:pPr>
              <w:cnfStyle w:val="000000000000" w:firstRow="0" w:lastRow="0" w:firstColumn="0" w:lastColumn="0" w:oddVBand="0" w:evenVBand="0" w:oddHBand="0" w:evenHBand="0" w:firstRowFirstColumn="0" w:firstRowLastColumn="0" w:lastRowFirstColumn="0" w:lastRowLastColumn="0"/>
            </w:pPr>
            <w:r w:rsidRPr="00747578">
              <w:t>Recombinant human acid α-glucosidase</w:t>
            </w:r>
          </w:p>
        </w:tc>
      </w:tr>
      <w:tr w:rsidR="00314B42" w:rsidRPr="00D01DDB" w14:paraId="3E522680" w14:textId="77777777" w:rsidTr="00396081">
        <w:trPr>
          <w:trHeight w:val="386"/>
        </w:trPr>
        <w:tc>
          <w:tcPr>
            <w:cnfStyle w:val="001000000000" w:firstRow="0" w:lastRow="0" w:firstColumn="1" w:lastColumn="0" w:oddVBand="0" w:evenVBand="0" w:oddHBand="0" w:evenHBand="0" w:firstRowFirstColumn="0" w:firstRowLastColumn="0" w:lastRowFirstColumn="0" w:lastRowLastColumn="0"/>
            <w:tcW w:w="1200" w:type="pct"/>
            <w:shd w:val="clear" w:color="auto" w:fill="auto"/>
          </w:tcPr>
          <w:p w14:paraId="22AE503A" w14:textId="4AE34802" w:rsidR="00314B42" w:rsidRPr="00747578" w:rsidRDefault="00314B42" w:rsidP="00314B42">
            <w:r w:rsidRPr="00747578">
              <w:t>RMP</w:t>
            </w:r>
          </w:p>
        </w:tc>
        <w:tc>
          <w:tcPr>
            <w:tcW w:w="3800" w:type="pct"/>
            <w:shd w:val="clear" w:color="auto" w:fill="auto"/>
          </w:tcPr>
          <w:p w14:paraId="14488CE7" w14:textId="0C4E4594" w:rsidR="00314B42" w:rsidRPr="00747578" w:rsidRDefault="00314B42" w:rsidP="00314B42">
            <w:pPr>
              <w:cnfStyle w:val="000000000000" w:firstRow="0" w:lastRow="0" w:firstColumn="0" w:lastColumn="0" w:oddVBand="0" w:evenVBand="0" w:oddHBand="0" w:evenHBand="0" w:firstRowFirstColumn="0" w:firstRowLastColumn="0" w:lastRowFirstColumn="0" w:lastRowLastColumn="0"/>
            </w:pPr>
            <w:r w:rsidRPr="00747578">
              <w:t>Risk management plan</w:t>
            </w:r>
          </w:p>
        </w:tc>
      </w:tr>
      <w:tr w:rsidR="00314B42" w:rsidRPr="00D01DDB" w14:paraId="318C1B66" w14:textId="77777777" w:rsidTr="00396081">
        <w:trPr>
          <w:trHeight w:val="386"/>
        </w:trPr>
        <w:tc>
          <w:tcPr>
            <w:cnfStyle w:val="001000000000" w:firstRow="0" w:lastRow="0" w:firstColumn="1" w:lastColumn="0" w:oddVBand="0" w:evenVBand="0" w:oddHBand="0" w:evenHBand="0" w:firstRowFirstColumn="0" w:firstRowLastColumn="0" w:lastRowFirstColumn="0" w:lastRowLastColumn="0"/>
            <w:tcW w:w="1200" w:type="pct"/>
            <w:shd w:val="clear" w:color="auto" w:fill="auto"/>
          </w:tcPr>
          <w:p w14:paraId="2097EEE0" w14:textId="42D3741A" w:rsidR="00314B42" w:rsidRPr="00747578" w:rsidRDefault="00314B42" w:rsidP="00314B42">
            <w:r w:rsidRPr="00747578">
              <w:t>SAE</w:t>
            </w:r>
          </w:p>
        </w:tc>
        <w:tc>
          <w:tcPr>
            <w:tcW w:w="3800" w:type="pct"/>
            <w:shd w:val="clear" w:color="auto" w:fill="auto"/>
          </w:tcPr>
          <w:p w14:paraId="7FB3D8AB" w14:textId="4519D5CC" w:rsidR="00314B42" w:rsidRPr="00747578" w:rsidRDefault="00314B42" w:rsidP="00314B42">
            <w:pPr>
              <w:cnfStyle w:val="000000000000" w:firstRow="0" w:lastRow="0" w:firstColumn="0" w:lastColumn="0" w:oddVBand="0" w:evenVBand="0" w:oddHBand="0" w:evenHBand="0" w:firstRowFirstColumn="0" w:firstRowLastColumn="0" w:lastRowFirstColumn="0" w:lastRowLastColumn="0"/>
            </w:pPr>
            <w:r w:rsidRPr="00747578">
              <w:t>Serious adverse event</w:t>
            </w:r>
          </w:p>
        </w:tc>
      </w:tr>
      <w:tr w:rsidR="00314B42" w:rsidRPr="00D01DDB" w14:paraId="09F8E124" w14:textId="77777777" w:rsidTr="00396081">
        <w:trPr>
          <w:trHeight w:val="386"/>
        </w:trPr>
        <w:tc>
          <w:tcPr>
            <w:cnfStyle w:val="001000000000" w:firstRow="0" w:lastRow="0" w:firstColumn="1" w:lastColumn="0" w:oddVBand="0" w:evenVBand="0" w:oddHBand="0" w:evenHBand="0" w:firstRowFirstColumn="0" w:firstRowLastColumn="0" w:lastRowFirstColumn="0" w:lastRowLastColumn="0"/>
            <w:tcW w:w="1200" w:type="pct"/>
            <w:shd w:val="clear" w:color="auto" w:fill="auto"/>
          </w:tcPr>
          <w:p w14:paraId="7F7D6FFC" w14:textId="237E121C" w:rsidR="00314B42" w:rsidRPr="00D01DDB" w:rsidRDefault="00314B42" w:rsidP="00314B42">
            <w:pPr>
              <w:rPr>
                <w:szCs w:val="22"/>
              </w:rPr>
            </w:pPr>
            <w:r w:rsidRPr="00747578">
              <w:t>SD</w:t>
            </w:r>
          </w:p>
        </w:tc>
        <w:tc>
          <w:tcPr>
            <w:tcW w:w="3800" w:type="pct"/>
            <w:shd w:val="clear" w:color="auto" w:fill="auto"/>
          </w:tcPr>
          <w:p w14:paraId="0A3E1002" w14:textId="3689860D" w:rsidR="00314B42" w:rsidRPr="00D01DDB" w:rsidRDefault="00314B42" w:rsidP="00314B42">
            <w:pPr>
              <w:cnfStyle w:val="000000000000" w:firstRow="0" w:lastRow="0" w:firstColumn="0" w:lastColumn="0" w:oddVBand="0" w:evenVBand="0" w:oddHBand="0" w:evenHBand="0" w:firstRowFirstColumn="0" w:firstRowLastColumn="0" w:lastRowFirstColumn="0" w:lastRowLastColumn="0"/>
              <w:rPr>
                <w:szCs w:val="22"/>
              </w:rPr>
            </w:pPr>
            <w:r w:rsidRPr="00747578">
              <w:t>Standard deviation</w:t>
            </w:r>
          </w:p>
        </w:tc>
      </w:tr>
      <w:tr w:rsidR="00314B42" w:rsidRPr="00D01DDB" w14:paraId="13A155F3" w14:textId="77777777" w:rsidTr="00396081">
        <w:trPr>
          <w:trHeight w:val="386"/>
        </w:trPr>
        <w:tc>
          <w:tcPr>
            <w:cnfStyle w:val="001000000000" w:firstRow="0" w:lastRow="0" w:firstColumn="1" w:lastColumn="0" w:oddVBand="0" w:evenVBand="0" w:oddHBand="0" w:evenHBand="0" w:firstRowFirstColumn="0" w:firstRowLastColumn="0" w:lastRowFirstColumn="0" w:lastRowLastColumn="0"/>
            <w:tcW w:w="1200" w:type="pct"/>
            <w:shd w:val="clear" w:color="auto" w:fill="auto"/>
          </w:tcPr>
          <w:p w14:paraId="6A507719" w14:textId="54E87E4F" w:rsidR="00314B42" w:rsidRPr="00D01DDB" w:rsidRDefault="00314B42" w:rsidP="00314B42">
            <w:pPr>
              <w:rPr>
                <w:szCs w:val="22"/>
              </w:rPr>
            </w:pPr>
            <w:r w:rsidRPr="00747578">
              <w:t>SE</w:t>
            </w:r>
          </w:p>
        </w:tc>
        <w:tc>
          <w:tcPr>
            <w:tcW w:w="3800" w:type="pct"/>
            <w:shd w:val="clear" w:color="auto" w:fill="auto"/>
          </w:tcPr>
          <w:p w14:paraId="2BF5E6BB" w14:textId="76427184" w:rsidR="00314B42" w:rsidRPr="00D01DDB" w:rsidRDefault="00314B42" w:rsidP="00314B42">
            <w:pPr>
              <w:cnfStyle w:val="000000000000" w:firstRow="0" w:lastRow="0" w:firstColumn="0" w:lastColumn="0" w:oddVBand="0" w:evenVBand="0" w:oddHBand="0" w:evenHBand="0" w:firstRowFirstColumn="0" w:firstRowLastColumn="0" w:lastRowFirstColumn="0" w:lastRowLastColumn="0"/>
              <w:rPr>
                <w:szCs w:val="22"/>
              </w:rPr>
            </w:pPr>
            <w:r w:rsidRPr="00747578">
              <w:t>Standard error</w:t>
            </w:r>
          </w:p>
        </w:tc>
      </w:tr>
      <w:tr w:rsidR="0038236C" w:rsidRPr="00D01DDB" w14:paraId="2534182F" w14:textId="77777777" w:rsidTr="00396081">
        <w:trPr>
          <w:trHeight w:val="386"/>
        </w:trPr>
        <w:tc>
          <w:tcPr>
            <w:cnfStyle w:val="001000000000" w:firstRow="0" w:lastRow="0" w:firstColumn="1" w:lastColumn="0" w:oddVBand="0" w:evenVBand="0" w:oddHBand="0" w:evenHBand="0" w:firstRowFirstColumn="0" w:firstRowLastColumn="0" w:lastRowFirstColumn="0" w:lastRowLastColumn="0"/>
            <w:tcW w:w="1200" w:type="pct"/>
            <w:shd w:val="clear" w:color="auto" w:fill="auto"/>
          </w:tcPr>
          <w:p w14:paraId="6D6443DA" w14:textId="0F6AD7A0" w:rsidR="0038236C" w:rsidRPr="00747578" w:rsidRDefault="0038236C" w:rsidP="0038236C">
            <w:r w:rsidRPr="00747578">
              <w:t>TEAE</w:t>
            </w:r>
          </w:p>
        </w:tc>
        <w:tc>
          <w:tcPr>
            <w:tcW w:w="3800" w:type="pct"/>
            <w:shd w:val="clear" w:color="auto" w:fill="auto"/>
          </w:tcPr>
          <w:p w14:paraId="3A8BEDF1" w14:textId="10DEDDF5" w:rsidR="0038236C" w:rsidRPr="00747578" w:rsidRDefault="0038236C" w:rsidP="0038236C">
            <w:pPr>
              <w:cnfStyle w:val="000000000000" w:firstRow="0" w:lastRow="0" w:firstColumn="0" w:lastColumn="0" w:oddVBand="0" w:evenVBand="0" w:oddHBand="0" w:evenHBand="0" w:firstRowFirstColumn="0" w:firstRowLastColumn="0" w:lastRowFirstColumn="0" w:lastRowLastColumn="0"/>
            </w:pPr>
            <w:r w:rsidRPr="00747578">
              <w:t>Treatment-emergent adverse event</w:t>
            </w:r>
          </w:p>
        </w:tc>
      </w:tr>
      <w:tr w:rsidR="0038236C" w:rsidRPr="00D01DDB" w14:paraId="254AC9B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74FC2A0" w14:textId="41297C79" w:rsidR="0038236C" w:rsidRPr="00D01DDB" w:rsidRDefault="0038236C" w:rsidP="0038236C">
            <w:pPr>
              <w:rPr>
                <w:szCs w:val="22"/>
              </w:rPr>
            </w:pPr>
            <w:r w:rsidRPr="00D01DDB">
              <w:rPr>
                <w:szCs w:val="22"/>
              </w:rPr>
              <w:t>TGA</w:t>
            </w:r>
          </w:p>
        </w:tc>
        <w:tc>
          <w:tcPr>
            <w:tcW w:w="3800" w:type="pct"/>
          </w:tcPr>
          <w:p w14:paraId="29EA6BA3" w14:textId="6F99059F" w:rsidR="0038236C" w:rsidRPr="00D01DDB" w:rsidRDefault="0038236C" w:rsidP="0038236C">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Therapeutic Goods Administration</w:t>
            </w:r>
          </w:p>
        </w:tc>
      </w:tr>
      <w:tr w:rsidR="00A725D0" w:rsidRPr="00D01DDB" w14:paraId="4BDC33D2" w14:textId="77777777" w:rsidTr="00396081">
        <w:trPr>
          <w:trHeight w:val="386"/>
        </w:trPr>
        <w:tc>
          <w:tcPr>
            <w:cnfStyle w:val="001000000000" w:firstRow="0" w:lastRow="0" w:firstColumn="1" w:lastColumn="0" w:oddVBand="0" w:evenVBand="0" w:oddHBand="0" w:evenHBand="0" w:firstRowFirstColumn="0" w:firstRowLastColumn="0" w:lastRowFirstColumn="0" w:lastRowLastColumn="0"/>
            <w:tcW w:w="1200" w:type="pct"/>
            <w:shd w:val="clear" w:color="auto" w:fill="auto"/>
          </w:tcPr>
          <w:p w14:paraId="61819C5F" w14:textId="3972566D" w:rsidR="00A725D0" w:rsidRPr="00D01DDB" w:rsidRDefault="00A725D0" w:rsidP="00A725D0">
            <w:pPr>
              <w:rPr>
                <w:szCs w:val="22"/>
              </w:rPr>
            </w:pPr>
            <w:proofErr w:type="spellStart"/>
            <w:r w:rsidRPr="00742269">
              <w:t>t</w:t>
            </w:r>
            <w:r w:rsidRPr="00742269">
              <w:rPr>
                <w:vertAlign w:val="subscript"/>
              </w:rPr>
              <w:t>max</w:t>
            </w:r>
            <w:proofErr w:type="spellEnd"/>
          </w:p>
        </w:tc>
        <w:tc>
          <w:tcPr>
            <w:tcW w:w="3800" w:type="pct"/>
            <w:shd w:val="clear" w:color="auto" w:fill="auto"/>
          </w:tcPr>
          <w:p w14:paraId="4458E485" w14:textId="726A5622" w:rsidR="00A725D0" w:rsidRPr="00D01DDB" w:rsidRDefault="00A725D0" w:rsidP="00A725D0">
            <w:pPr>
              <w:cnfStyle w:val="000000000000" w:firstRow="0" w:lastRow="0" w:firstColumn="0" w:lastColumn="0" w:oddVBand="0" w:evenVBand="0" w:oddHBand="0" w:evenHBand="0" w:firstRowFirstColumn="0" w:firstRowLastColumn="0" w:lastRowFirstColumn="0" w:lastRowLastColumn="0"/>
              <w:rPr>
                <w:szCs w:val="22"/>
              </w:rPr>
            </w:pPr>
            <w:r>
              <w:t>T</w:t>
            </w:r>
            <w:r w:rsidRPr="00742269">
              <w:t>ime to maximum plasma concentration</w:t>
            </w:r>
          </w:p>
        </w:tc>
      </w:tr>
    </w:tbl>
    <w:p w14:paraId="7378F926" w14:textId="77777777" w:rsidR="00324B33" w:rsidRDefault="00324B33" w:rsidP="008E5A67"/>
    <w:p w14:paraId="44C2A39C" w14:textId="77777777" w:rsidR="00324B33" w:rsidRDefault="00324B33" w:rsidP="00324B33">
      <w:pPr>
        <w:pStyle w:val="Heading2"/>
      </w:pPr>
      <w:bookmarkStart w:id="6" w:name="_Toc103679288"/>
      <w:bookmarkStart w:id="7" w:name="_Toc200457809"/>
      <w:r>
        <w:lastRenderedPageBreak/>
        <w:t>Product submission</w:t>
      </w:r>
      <w:bookmarkEnd w:id="6"/>
      <w:bookmarkEnd w:id="7"/>
    </w:p>
    <w:p w14:paraId="21D559DF" w14:textId="77777777" w:rsidR="00324B33" w:rsidRDefault="00324B33" w:rsidP="00324B33">
      <w:pPr>
        <w:pStyle w:val="Heading3"/>
        <w:rPr>
          <w:lang w:eastAsia="en-AU"/>
        </w:rPr>
      </w:pPr>
      <w:bookmarkStart w:id="8" w:name="_Toc247691502"/>
      <w:bookmarkStart w:id="9" w:name="_Toc314842483"/>
      <w:bookmarkStart w:id="10" w:name="_Toc103679289"/>
      <w:bookmarkStart w:id="11" w:name="_Toc200457810"/>
      <w:r>
        <w:rPr>
          <w:lang w:eastAsia="en-AU"/>
        </w:rPr>
        <w:t>Submission details</w:t>
      </w:r>
      <w:bookmarkEnd w:id="8"/>
      <w:bookmarkEnd w:id="9"/>
      <w:bookmarkEnd w:id="10"/>
      <w:bookmarkEnd w:id="11"/>
    </w:p>
    <w:tbl>
      <w:tblPr>
        <w:tblW w:w="5000" w:type="pct"/>
        <w:tblLook w:val="01E0" w:firstRow="1" w:lastRow="1" w:firstColumn="1" w:lastColumn="1" w:noHBand="0" w:noVBand="0"/>
      </w:tblPr>
      <w:tblGrid>
        <w:gridCol w:w="2861"/>
        <w:gridCol w:w="6209"/>
      </w:tblGrid>
      <w:tr w:rsidR="00324B33" w:rsidRPr="00BD5DBD" w14:paraId="77D11C95" w14:textId="77777777" w:rsidTr="00F865A7">
        <w:tc>
          <w:tcPr>
            <w:tcW w:w="1577" w:type="pct"/>
          </w:tcPr>
          <w:p w14:paraId="10E57D62" w14:textId="4146D8CC" w:rsidR="00324B33" w:rsidRPr="00BD5DBD" w:rsidRDefault="00324B33" w:rsidP="007452E8">
            <w:pPr>
              <w:rPr>
                <w:i/>
                <w:szCs w:val="22"/>
              </w:rPr>
            </w:pPr>
            <w:r w:rsidRPr="00BD5DBD">
              <w:rPr>
                <w:i/>
                <w:szCs w:val="22"/>
              </w:rPr>
              <w:t>Type of submission:</w:t>
            </w:r>
          </w:p>
        </w:tc>
        <w:tc>
          <w:tcPr>
            <w:tcW w:w="3423" w:type="pct"/>
          </w:tcPr>
          <w:p w14:paraId="4F07C303" w14:textId="101FC4FF" w:rsidR="00324B33" w:rsidRPr="00BD5DBD" w:rsidRDefault="00324B33" w:rsidP="007452E8">
            <w:pPr>
              <w:rPr>
                <w:szCs w:val="22"/>
              </w:rPr>
            </w:pPr>
            <w:bookmarkStart w:id="12" w:name="_Hlk200456249"/>
            <w:r w:rsidRPr="00BD5DBD">
              <w:rPr>
                <w:szCs w:val="22"/>
              </w:rPr>
              <w:t xml:space="preserve">New </w:t>
            </w:r>
            <w:r w:rsidR="0099275E">
              <w:rPr>
                <w:szCs w:val="22"/>
              </w:rPr>
              <w:t>biological</w:t>
            </w:r>
            <w:r w:rsidRPr="00BD5DBD">
              <w:rPr>
                <w:szCs w:val="22"/>
              </w:rPr>
              <w:t xml:space="preserve"> entity</w:t>
            </w:r>
            <w:bookmarkEnd w:id="12"/>
          </w:p>
        </w:tc>
      </w:tr>
      <w:tr w:rsidR="00324B33" w:rsidRPr="00BD5DBD" w14:paraId="13482B61" w14:textId="77777777" w:rsidTr="00F865A7">
        <w:tc>
          <w:tcPr>
            <w:tcW w:w="1577" w:type="pct"/>
          </w:tcPr>
          <w:p w14:paraId="2C427FCF" w14:textId="1C672110" w:rsidR="00324B33" w:rsidRPr="00BD5DBD" w:rsidRDefault="00324B33" w:rsidP="007452E8">
            <w:pPr>
              <w:rPr>
                <w:i/>
                <w:szCs w:val="22"/>
              </w:rPr>
            </w:pPr>
            <w:r w:rsidRPr="00BD5DBD">
              <w:rPr>
                <w:i/>
                <w:szCs w:val="22"/>
              </w:rPr>
              <w:t>Product name:</w:t>
            </w:r>
          </w:p>
        </w:tc>
        <w:tc>
          <w:tcPr>
            <w:tcW w:w="3423" w:type="pct"/>
          </w:tcPr>
          <w:p w14:paraId="0E2DEF76" w14:textId="572881B0" w:rsidR="00324B33" w:rsidRPr="00BD5DBD" w:rsidRDefault="004F32CB" w:rsidP="007452E8">
            <w:pPr>
              <w:rPr>
                <w:szCs w:val="22"/>
              </w:rPr>
            </w:pPr>
            <w:proofErr w:type="spellStart"/>
            <w:r>
              <w:rPr>
                <w:szCs w:val="22"/>
              </w:rPr>
              <w:t>Pombiliti</w:t>
            </w:r>
            <w:proofErr w:type="spellEnd"/>
          </w:p>
        </w:tc>
      </w:tr>
      <w:tr w:rsidR="00324B33" w:rsidRPr="00BD5DBD" w14:paraId="01255B5B" w14:textId="77777777" w:rsidTr="00F865A7">
        <w:tc>
          <w:tcPr>
            <w:tcW w:w="1577" w:type="pct"/>
          </w:tcPr>
          <w:p w14:paraId="52B4F3D7" w14:textId="232113CE" w:rsidR="00324B33" w:rsidRPr="00BD5DBD" w:rsidRDefault="00324B33" w:rsidP="007452E8">
            <w:pPr>
              <w:rPr>
                <w:i/>
                <w:szCs w:val="22"/>
              </w:rPr>
            </w:pPr>
            <w:r w:rsidRPr="00BD5DBD">
              <w:rPr>
                <w:i/>
                <w:szCs w:val="22"/>
              </w:rPr>
              <w:t>Active ingredien</w:t>
            </w:r>
            <w:r w:rsidR="0022197E">
              <w:rPr>
                <w:i/>
                <w:szCs w:val="22"/>
              </w:rPr>
              <w:t>t</w:t>
            </w:r>
            <w:r w:rsidRPr="00BD5DBD">
              <w:rPr>
                <w:i/>
                <w:szCs w:val="22"/>
              </w:rPr>
              <w:t>:</w:t>
            </w:r>
          </w:p>
        </w:tc>
        <w:tc>
          <w:tcPr>
            <w:tcW w:w="3423" w:type="pct"/>
          </w:tcPr>
          <w:p w14:paraId="02FB6383" w14:textId="50B4EA36" w:rsidR="00324B33" w:rsidRPr="00BD5DBD" w:rsidRDefault="00AC64ED" w:rsidP="007452E8">
            <w:pPr>
              <w:rPr>
                <w:szCs w:val="22"/>
              </w:rPr>
            </w:pPr>
            <w:proofErr w:type="spellStart"/>
            <w:r>
              <w:rPr>
                <w:szCs w:val="22"/>
              </w:rPr>
              <w:t>c</w:t>
            </w:r>
            <w:r w:rsidR="00BD1E4F">
              <w:rPr>
                <w:szCs w:val="22"/>
              </w:rPr>
              <w:t>ip</w:t>
            </w:r>
            <w:r w:rsidR="00FA5DE8">
              <w:rPr>
                <w:szCs w:val="22"/>
              </w:rPr>
              <w:t>aglucosidase</w:t>
            </w:r>
            <w:proofErr w:type="spellEnd"/>
            <w:r w:rsidR="00FA5DE8">
              <w:rPr>
                <w:szCs w:val="22"/>
              </w:rPr>
              <w:t xml:space="preserve"> alfa</w:t>
            </w:r>
          </w:p>
        </w:tc>
      </w:tr>
      <w:tr w:rsidR="00324B33" w:rsidRPr="00BD5DBD" w14:paraId="219A281B" w14:textId="77777777" w:rsidTr="00F865A7">
        <w:tc>
          <w:tcPr>
            <w:tcW w:w="1577" w:type="pct"/>
          </w:tcPr>
          <w:p w14:paraId="112E5F78" w14:textId="77777777" w:rsidR="00324B33" w:rsidRPr="00BD5DBD" w:rsidRDefault="00324B33" w:rsidP="007452E8">
            <w:pPr>
              <w:rPr>
                <w:i/>
                <w:szCs w:val="22"/>
              </w:rPr>
            </w:pPr>
            <w:r w:rsidRPr="00BD5DBD">
              <w:rPr>
                <w:i/>
                <w:szCs w:val="22"/>
              </w:rPr>
              <w:t>Decision:</w:t>
            </w:r>
          </w:p>
        </w:tc>
        <w:tc>
          <w:tcPr>
            <w:tcW w:w="3423" w:type="pct"/>
          </w:tcPr>
          <w:p w14:paraId="3B114BEA" w14:textId="2945F579" w:rsidR="00324B33" w:rsidRPr="00BD5DBD" w:rsidRDefault="00324B33" w:rsidP="007452E8">
            <w:pPr>
              <w:rPr>
                <w:szCs w:val="22"/>
              </w:rPr>
            </w:pPr>
            <w:r w:rsidRPr="00BD5DBD">
              <w:rPr>
                <w:szCs w:val="22"/>
              </w:rPr>
              <w:t>Appro</w:t>
            </w:r>
            <w:r w:rsidR="00DC117D">
              <w:rPr>
                <w:szCs w:val="22"/>
              </w:rPr>
              <w:t>ved</w:t>
            </w:r>
            <w:r w:rsidRPr="00BD5DBD">
              <w:rPr>
                <w:szCs w:val="22"/>
              </w:rPr>
              <w:t xml:space="preserve"> </w:t>
            </w:r>
          </w:p>
        </w:tc>
      </w:tr>
      <w:tr w:rsidR="00AE1947" w:rsidRPr="00BD5DBD" w14:paraId="32B72632" w14:textId="77777777" w:rsidTr="00F865A7">
        <w:tc>
          <w:tcPr>
            <w:tcW w:w="1577" w:type="pct"/>
          </w:tcPr>
          <w:p w14:paraId="332A5CD5" w14:textId="65682B5F" w:rsidR="00AE1947" w:rsidRPr="00BD5DBD" w:rsidRDefault="00AE1947" w:rsidP="007F1E37">
            <w:r w:rsidRPr="00BD5DBD">
              <w:rPr>
                <w:i/>
                <w:szCs w:val="22"/>
              </w:rPr>
              <w:t>Date of decision:</w:t>
            </w:r>
          </w:p>
        </w:tc>
        <w:tc>
          <w:tcPr>
            <w:tcW w:w="3423" w:type="pct"/>
          </w:tcPr>
          <w:p w14:paraId="7B381CD6" w14:textId="533C3CDF" w:rsidR="00AE1947" w:rsidRPr="00BD5DBD" w:rsidRDefault="00D265DB" w:rsidP="00396081">
            <w:pPr>
              <w:rPr>
                <w:szCs w:val="22"/>
              </w:rPr>
            </w:pPr>
            <w:r>
              <w:rPr>
                <w:szCs w:val="22"/>
              </w:rPr>
              <w:t>10 February 2025</w:t>
            </w:r>
          </w:p>
        </w:tc>
      </w:tr>
      <w:tr w:rsidR="00324B33" w:rsidRPr="00BD5DBD" w14:paraId="60A25F5A" w14:textId="77777777" w:rsidTr="00F865A7">
        <w:tc>
          <w:tcPr>
            <w:tcW w:w="1577" w:type="pct"/>
          </w:tcPr>
          <w:p w14:paraId="5C5E4CBA" w14:textId="77777777" w:rsidR="00324B33" w:rsidRPr="00BD5DBD" w:rsidRDefault="00324B33" w:rsidP="007452E8">
            <w:pPr>
              <w:rPr>
                <w:i/>
                <w:szCs w:val="22"/>
              </w:rPr>
            </w:pPr>
            <w:r w:rsidRPr="00BD5DBD">
              <w:rPr>
                <w:i/>
                <w:szCs w:val="22"/>
              </w:rPr>
              <w:t>Date of entry onto ARTG:</w:t>
            </w:r>
          </w:p>
        </w:tc>
        <w:tc>
          <w:tcPr>
            <w:tcW w:w="3423" w:type="pct"/>
          </w:tcPr>
          <w:p w14:paraId="28B270E9" w14:textId="75E81BEB" w:rsidR="00324B33" w:rsidRPr="00BD5DBD" w:rsidRDefault="00FA5DE8" w:rsidP="007452E8">
            <w:pPr>
              <w:rPr>
                <w:szCs w:val="22"/>
              </w:rPr>
            </w:pPr>
            <w:r>
              <w:rPr>
                <w:szCs w:val="22"/>
              </w:rPr>
              <w:t>17 Febru</w:t>
            </w:r>
            <w:r w:rsidR="005619C3">
              <w:rPr>
                <w:szCs w:val="22"/>
              </w:rPr>
              <w:t>ary 2025</w:t>
            </w:r>
          </w:p>
        </w:tc>
      </w:tr>
      <w:tr w:rsidR="00324B33" w:rsidRPr="00BD5DBD" w14:paraId="547E08D7" w14:textId="77777777" w:rsidTr="00F865A7">
        <w:tc>
          <w:tcPr>
            <w:tcW w:w="1577" w:type="pct"/>
          </w:tcPr>
          <w:p w14:paraId="5030EF30" w14:textId="5FB5A02F" w:rsidR="00324B33" w:rsidRPr="00BD5DBD" w:rsidRDefault="00324B33" w:rsidP="007452E8">
            <w:pPr>
              <w:rPr>
                <w:i/>
                <w:szCs w:val="22"/>
              </w:rPr>
            </w:pPr>
            <w:r w:rsidRPr="00BD5DBD">
              <w:rPr>
                <w:i/>
                <w:szCs w:val="22"/>
              </w:rPr>
              <w:t>ARTG number:</w:t>
            </w:r>
          </w:p>
        </w:tc>
        <w:tc>
          <w:tcPr>
            <w:tcW w:w="3423" w:type="pct"/>
          </w:tcPr>
          <w:p w14:paraId="0054E912" w14:textId="2A6D8BAC" w:rsidR="00324B33" w:rsidRPr="00BD5DBD" w:rsidRDefault="00DD78B7" w:rsidP="00226B6D">
            <w:pPr>
              <w:rPr>
                <w:szCs w:val="22"/>
              </w:rPr>
            </w:pPr>
            <w:r w:rsidRPr="00DD78B7">
              <w:rPr>
                <w:szCs w:val="22"/>
              </w:rPr>
              <w:t>430450</w:t>
            </w:r>
          </w:p>
        </w:tc>
      </w:tr>
      <w:tr w:rsidR="00324B33" w:rsidRPr="00BD5DBD" w14:paraId="7618393F" w14:textId="77777777" w:rsidTr="00F865A7">
        <w:tc>
          <w:tcPr>
            <w:tcW w:w="1577" w:type="pct"/>
          </w:tcPr>
          <w:p w14:paraId="02260DE2" w14:textId="6767F086" w:rsidR="00324B33" w:rsidRPr="00BD5DBD" w:rsidRDefault="00324B33" w:rsidP="0097408C">
            <w:pPr>
              <w:rPr>
                <w:i/>
                <w:szCs w:val="22"/>
              </w:rPr>
            </w:pPr>
            <w:r w:rsidRPr="00BD5DBD">
              <w:rPr>
                <w:rFonts w:ascii="Wingdings 3" w:hAnsi="Wingdings 3"/>
                <w:szCs w:val="22"/>
                <w:lang w:eastAsia="en-AU"/>
              </w:rPr>
              <w:t></w:t>
            </w:r>
            <w:hyperlink r:id="rId18" w:history="1">
              <w:r w:rsidRPr="00BD5DBD">
                <w:rPr>
                  <w:rStyle w:val="Hyperlink"/>
                  <w:i/>
                  <w:szCs w:val="22"/>
                </w:rPr>
                <w:t>Black Triangle Scheme</w:t>
              </w:r>
            </w:hyperlink>
          </w:p>
        </w:tc>
        <w:tc>
          <w:tcPr>
            <w:tcW w:w="3423" w:type="pct"/>
          </w:tcPr>
          <w:p w14:paraId="6FF3C6A2" w14:textId="66647101" w:rsidR="00324B33" w:rsidRPr="00BD5DBD" w:rsidRDefault="00324B33" w:rsidP="007452E8">
            <w:pPr>
              <w:rPr>
                <w:szCs w:val="22"/>
              </w:rPr>
            </w:pPr>
            <w:r w:rsidRPr="00BD5DBD">
              <w:rPr>
                <w:szCs w:val="22"/>
              </w:rPr>
              <w:t>Yes</w:t>
            </w:r>
          </w:p>
        </w:tc>
      </w:tr>
      <w:tr w:rsidR="002E5295" w:rsidRPr="00BD5DBD" w14:paraId="714D96C1" w14:textId="77777777" w:rsidTr="00F865A7">
        <w:tc>
          <w:tcPr>
            <w:tcW w:w="1577" w:type="pct"/>
          </w:tcPr>
          <w:p w14:paraId="38E2F189" w14:textId="207677BB" w:rsidR="002E5295" w:rsidRPr="00BD5DBD" w:rsidRDefault="002E5295" w:rsidP="007452E8">
            <w:pPr>
              <w:rPr>
                <w:rFonts w:ascii="Wingdings 3" w:hAnsi="Wingdings 3"/>
                <w:szCs w:val="22"/>
                <w:lang w:eastAsia="en-AU"/>
              </w:rPr>
            </w:pPr>
            <w:r w:rsidRPr="00BD5DBD">
              <w:rPr>
                <w:i/>
                <w:szCs w:val="22"/>
              </w:rPr>
              <w:t>for the current submission:</w:t>
            </w:r>
          </w:p>
        </w:tc>
        <w:tc>
          <w:tcPr>
            <w:tcW w:w="3423" w:type="pct"/>
          </w:tcPr>
          <w:p w14:paraId="7558F8CC" w14:textId="55F6712F" w:rsidR="002E5295" w:rsidRPr="00E876DF" w:rsidRDefault="002E5295" w:rsidP="007D1091">
            <w:pPr>
              <w:rPr>
                <w:szCs w:val="22"/>
              </w:rPr>
            </w:pPr>
            <w:proofErr w:type="spellStart"/>
            <w:r w:rsidRPr="00E876DF">
              <w:rPr>
                <w:szCs w:val="22"/>
              </w:rPr>
              <w:t>Pombiliti</w:t>
            </w:r>
            <w:proofErr w:type="spellEnd"/>
            <w:r w:rsidRPr="00E876DF">
              <w:rPr>
                <w:szCs w:val="22"/>
              </w:rPr>
              <w:t xml:space="preserve"> (</w:t>
            </w:r>
            <w:proofErr w:type="spellStart"/>
            <w:r w:rsidRPr="00E876DF">
              <w:rPr>
                <w:szCs w:val="22"/>
              </w:rPr>
              <w:t>cipaglucosidase</w:t>
            </w:r>
            <w:proofErr w:type="spellEnd"/>
            <w:r w:rsidRPr="00E876DF">
              <w:rPr>
                <w:szCs w:val="22"/>
              </w:rPr>
              <w:t xml:space="preserve"> alfa) is to be included in the Black Triangle Scheme. The PI and CMI for </w:t>
            </w:r>
            <w:proofErr w:type="spellStart"/>
            <w:r w:rsidRPr="00E876DF">
              <w:rPr>
                <w:szCs w:val="22"/>
              </w:rPr>
              <w:t>Pombiliti</w:t>
            </w:r>
            <w:proofErr w:type="spellEnd"/>
            <w:r w:rsidRPr="00E876DF">
              <w:rPr>
                <w:szCs w:val="22"/>
              </w:rPr>
              <w:t xml:space="preserve"> must include the black triangle symbol and mandatory accompanying text for five years, which starts from the date of first supply of the product.</w:t>
            </w:r>
          </w:p>
        </w:tc>
      </w:tr>
      <w:tr w:rsidR="00324B33" w:rsidRPr="00BD5DBD" w14:paraId="179E09FE" w14:textId="77777777" w:rsidTr="00F865A7">
        <w:tc>
          <w:tcPr>
            <w:tcW w:w="1577" w:type="pct"/>
          </w:tcPr>
          <w:p w14:paraId="1A592498" w14:textId="77777777" w:rsidR="00324B33" w:rsidRPr="00BD5DBD" w:rsidRDefault="00324B33" w:rsidP="007452E8">
            <w:pPr>
              <w:rPr>
                <w:i/>
                <w:szCs w:val="22"/>
              </w:rPr>
            </w:pPr>
            <w:r w:rsidRPr="00BD5DBD">
              <w:rPr>
                <w:i/>
                <w:szCs w:val="22"/>
              </w:rPr>
              <w:t>Sponsor’s name and address:</w:t>
            </w:r>
          </w:p>
        </w:tc>
        <w:tc>
          <w:tcPr>
            <w:tcW w:w="3423" w:type="pct"/>
          </w:tcPr>
          <w:p w14:paraId="7EFC0D25" w14:textId="3E83B2C5" w:rsidR="0049274F" w:rsidRDefault="0049274F" w:rsidP="00797BC5">
            <w:pPr>
              <w:spacing w:after="0"/>
            </w:pPr>
            <w:r w:rsidRPr="0049274F">
              <w:t>Amicus Therapeutics Pty Ltd</w:t>
            </w:r>
          </w:p>
          <w:p w14:paraId="1CB938FE" w14:textId="5D6E0BBA" w:rsidR="0049274F" w:rsidRDefault="0049274F" w:rsidP="00797BC5">
            <w:pPr>
              <w:spacing w:after="0"/>
            </w:pPr>
            <w:r w:rsidRPr="0049274F">
              <w:t>Level 10, 20 Martin Place</w:t>
            </w:r>
          </w:p>
          <w:p w14:paraId="690898F9" w14:textId="61C4C871" w:rsidR="0049274F" w:rsidRDefault="0049274F" w:rsidP="00797BC5">
            <w:pPr>
              <w:spacing w:after="0"/>
            </w:pPr>
            <w:r w:rsidRPr="0049274F">
              <w:t>Sydney NSW 2000</w:t>
            </w:r>
          </w:p>
          <w:p w14:paraId="68DD94B0" w14:textId="64BE0667" w:rsidR="00324B33" w:rsidRPr="00BD5DBD" w:rsidRDefault="0049274F" w:rsidP="00797BC5">
            <w:r w:rsidRPr="0049274F">
              <w:t>Australia</w:t>
            </w:r>
          </w:p>
        </w:tc>
      </w:tr>
      <w:tr w:rsidR="00324B33" w:rsidRPr="00BD5DBD" w14:paraId="5322B989" w14:textId="77777777" w:rsidTr="00F865A7">
        <w:tc>
          <w:tcPr>
            <w:tcW w:w="1577" w:type="pct"/>
          </w:tcPr>
          <w:p w14:paraId="24F217E3" w14:textId="64A6E558" w:rsidR="00324B33" w:rsidRPr="00BD5DBD" w:rsidRDefault="00324B33" w:rsidP="007452E8">
            <w:pPr>
              <w:rPr>
                <w:i/>
                <w:szCs w:val="22"/>
              </w:rPr>
            </w:pPr>
            <w:r w:rsidRPr="00BD5DBD">
              <w:rPr>
                <w:i/>
                <w:szCs w:val="22"/>
              </w:rPr>
              <w:t>Dose form:</w:t>
            </w:r>
          </w:p>
        </w:tc>
        <w:tc>
          <w:tcPr>
            <w:tcW w:w="3423" w:type="pct"/>
          </w:tcPr>
          <w:p w14:paraId="768B254C" w14:textId="54432E8A" w:rsidR="00324B33" w:rsidRPr="00BD5DBD" w:rsidRDefault="00B73289" w:rsidP="00230D71">
            <w:r w:rsidRPr="00B73289">
              <w:t>105 mg/</w:t>
            </w:r>
            <w:r w:rsidR="000806F0">
              <w:t xml:space="preserve"> </w:t>
            </w:r>
            <w:r w:rsidRPr="00B73289">
              <w:t>7 mL powder for injection.</w:t>
            </w:r>
          </w:p>
        </w:tc>
      </w:tr>
      <w:tr w:rsidR="00324B33" w:rsidRPr="00BD5DBD" w14:paraId="115243E6" w14:textId="77777777" w:rsidTr="00F865A7">
        <w:tc>
          <w:tcPr>
            <w:tcW w:w="1577" w:type="pct"/>
          </w:tcPr>
          <w:p w14:paraId="7634B062" w14:textId="0348F3DF" w:rsidR="00324B33" w:rsidRPr="00BD5DBD" w:rsidRDefault="00324B33" w:rsidP="007452E8">
            <w:pPr>
              <w:rPr>
                <w:i/>
                <w:szCs w:val="22"/>
              </w:rPr>
            </w:pPr>
            <w:r w:rsidRPr="00BD5DBD">
              <w:rPr>
                <w:i/>
                <w:szCs w:val="22"/>
              </w:rPr>
              <w:t>Strength:</w:t>
            </w:r>
          </w:p>
        </w:tc>
        <w:tc>
          <w:tcPr>
            <w:tcW w:w="3423" w:type="pct"/>
          </w:tcPr>
          <w:p w14:paraId="5E5F83DB" w14:textId="620E49A7" w:rsidR="00324B33" w:rsidRPr="00BD5DBD" w:rsidRDefault="00411F60" w:rsidP="00230D71">
            <w:r w:rsidRPr="00411F60">
              <w:t>After reconstitution of each vial, the concentrated solution contains 15 mg</w:t>
            </w:r>
            <w:r w:rsidR="00EF7324">
              <w:t xml:space="preserve"> / ml</w:t>
            </w:r>
            <w:r w:rsidRPr="00411F60">
              <w:t xml:space="preserve"> of </w:t>
            </w:r>
            <w:proofErr w:type="spellStart"/>
            <w:r w:rsidRPr="00411F60">
              <w:t>cipaglucosidase</w:t>
            </w:r>
            <w:proofErr w:type="spellEnd"/>
            <w:r w:rsidRPr="00411F60">
              <w:t xml:space="preserve"> alfa</w:t>
            </w:r>
            <w:r w:rsidR="00EF7324">
              <w:t>.</w:t>
            </w:r>
          </w:p>
        </w:tc>
      </w:tr>
      <w:tr w:rsidR="00324B33" w:rsidRPr="00BD5DBD" w14:paraId="34B07BA6" w14:textId="77777777" w:rsidTr="00F865A7">
        <w:tc>
          <w:tcPr>
            <w:tcW w:w="1577" w:type="pct"/>
          </w:tcPr>
          <w:p w14:paraId="1C039224" w14:textId="617C40E8" w:rsidR="00324B33" w:rsidRPr="00BD5DBD" w:rsidRDefault="00324B33" w:rsidP="007452E8">
            <w:pPr>
              <w:rPr>
                <w:i/>
                <w:szCs w:val="22"/>
              </w:rPr>
            </w:pPr>
            <w:r w:rsidRPr="00BD5DBD">
              <w:rPr>
                <w:i/>
                <w:szCs w:val="22"/>
              </w:rPr>
              <w:t>Container:</w:t>
            </w:r>
          </w:p>
        </w:tc>
        <w:tc>
          <w:tcPr>
            <w:tcW w:w="3423" w:type="pct"/>
          </w:tcPr>
          <w:p w14:paraId="500A42C6" w14:textId="529E7D8B" w:rsidR="00324B33" w:rsidRPr="00BD5DBD" w:rsidRDefault="00E24BE4" w:rsidP="00230D71">
            <w:r>
              <w:t>N</w:t>
            </w:r>
            <w:r w:rsidR="00FE5BBA" w:rsidRPr="00FE5BBA">
              <w:t>eutral clear glass vial</w:t>
            </w:r>
            <w:r w:rsidR="00EF7324">
              <w:t>.</w:t>
            </w:r>
            <w:r w:rsidR="00FE5BBA" w:rsidRPr="00FE5BBA">
              <w:t xml:space="preserve"> </w:t>
            </w:r>
          </w:p>
        </w:tc>
      </w:tr>
      <w:tr w:rsidR="00324B33" w:rsidRPr="00BD5DBD" w14:paraId="176B6773" w14:textId="77777777" w:rsidTr="00F865A7">
        <w:tc>
          <w:tcPr>
            <w:tcW w:w="1577" w:type="pct"/>
          </w:tcPr>
          <w:p w14:paraId="71846159" w14:textId="17182977" w:rsidR="00324B33" w:rsidRPr="00BD5DBD" w:rsidRDefault="00324B33" w:rsidP="007452E8">
            <w:pPr>
              <w:rPr>
                <w:i/>
                <w:szCs w:val="22"/>
              </w:rPr>
            </w:pPr>
            <w:r w:rsidRPr="00BD5DBD">
              <w:rPr>
                <w:i/>
                <w:szCs w:val="22"/>
              </w:rPr>
              <w:t>Pack sizes:</w:t>
            </w:r>
          </w:p>
        </w:tc>
        <w:tc>
          <w:tcPr>
            <w:tcW w:w="3423" w:type="pct"/>
          </w:tcPr>
          <w:p w14:paraId="7E978F8F" w14:textId="5561B74C" w:rsidR="00324B33" w:rsidRPr="00BD5DBD" w:rsidRDefault="00E24408" w:rsidP="00230D71">
            <w:r w:rsidRPr="00E24408">
              <w:t>Packs containing 1, 10, and 25 vials.</w:t>
            </w:r>
          </w:p>
        </w:tc>
      </w:tr>
      <w:tr w:rsidR="00324B33" w:rsidRPr="00BD5DBD" w14:paraId="19A2544A" w14:textId="77777777" w:rsidTr="00F865A7">
        <w:tc>
          <w:tcPr>
            <w:tcW w:w="1577" w:type="pct"/>
          </w:tcPr>
          <w:p w14:paraId="0E6C5C0E" w14:textId="7DB3FC66" w:rsidR="00324B33" w:rsidRPr="00BD5DBD" w:rsidRDefault="00324B33" w:rsidP="007452E8">
            <w:pPr>
              <w:rPr>
                <w:i/>
                <w:szCs w:val="22"/>
              </w:rPr>
            </w:pPr>
            <w:r w:rsidRPr="00BD5DBD">
              <w:rPr>
                <w:i/>
                <w:szCs w:val="22"/>
              </w:rPr>
              <w:t>Approved therapeutic use</w:t>
            </w:r>
            <w:r w:rsidR="00E47E0C" w:rsidRPr="00BD5DBD">
              <w:rPr>
                <w:i/>
                <w:szCs w:val="22"/>
              </w:rPr>
              <w:t xml:space="preserve"> </w:t>
            </w:r>
            <w:r w:rsidR="007B04DE" w:rsidRPr="00BD5DBD">
              <w:rPr>
                <w:i/>
                <w:szCs w:val="22"/>
              </w:rPr>
              <w:t>for the current</w:t>
            </w:r>
            <w:r w:rsidR="00E47E0C" w:rsidRPr="00BD5DBD">
              <w:rPr>
                <w:i/>
                <w:szCs w:val="22"/>
              </w:rPr>
              <w:t xml:space="preserve"> submission</w:t>
            </w:r>
            <w:r w:rsidRPr="00BD5DBD">
              <w:rPr>
                <w:i/>
                <w:szCs w:val="22"/>
              </w:rPr>
              <w:t>:</w:t>
            </w:r>
          </w:p>
        </w:tc>
        <w:tc>
          <w:tcPr>
            <w:tcW w:w="3423" w:type="pct"/>
          </w:tcPr>
          <w:p w14:paraId="6E143E2E" w14:textId="29CCD7B3" w:rsidR="00324B33" w:rsidRPr="00780CAC" w:rsidRDefault="004F32CB" w:rsidP="00230D71">
            <w:pPr>
              <w:rPr>
                <w:i/>
                <w:iCs/>
              </w:rPr>
            </w:pPr>
            <w:proofErr w:type="spellStart"/>
            <w:r w:rsidRPr="00780CAC">
              <w:rPr>
                <w:i/>
                <w:iCs/>
              </w:rPr>
              <w:t>Pombiliti</w:t>
            </w:r>
            <w:proofErr w:type="spellEnd"/>
            <w:r w:rsidR="00B620E3" w:rsidRPr="00780CAC">
              <w:rPr>
                <w:i/>
                <w:iCs/>
              </w:rPr>
              <w:t xml:space="preserve"> (</w:t>
            </w:r>
            <w:proofErr w:type="spellStart"/>
            <w:r w:rsidR="00B620E3" w:rsidRPr="00780CAC">
              <w:rPr>
                <w:i/>
                <w:iCs/>
              </w:rPr>
              <w:t>cipaglucosidase</w:t>
            </w:r>
            <w:proofErr w:type="spellEnd"/>
            <w:r w:rsidR="00B620E3" w:rsidRPr="00780CAC">
              <w:rPr>
                <w:i/>
                <w:iCs/>
              </w:rPr>
              <w:t xml:space="preserve"> alfa) is a long-term enzyme replacement therapy used in combination with the enzyme stabiliser </w:t>
            </w:r>
            <w:proofErr w:type="spellStart"/>
            <w:r w:rsidR="00B620E3" w:rsidRPr="00780CAC">
              <w:rPr>
                <w:i/>
                <w:iCs/>
              </w:rPr>
              <w:t>miglustat</w:t>
            </w:r>
            <w:proofErr w:type="spellEnd"/>
            <w:r w:rsidR="00B620E3" w:rsidRPr="00780CAC">
              <w:rPr>
                <w:i/>
                <w:iCs/>
              </w:rPr>
              <w:t xml:space="preserve"> for the treatment of adults with late onset</w:t>
            </w:r>
            <w:r w:rsidR="00A61AE5" w:rsidRPr="00780CAC">
              <w:rPr>
                <w:i/>
                <w:iCs/>
              </w:rPr>
              <w:t xml:space="preserve"> </w:t>
            </w:r>
            <w:r w:rsidR="00B620E3" w:rsidRPr="00780CAC">
              <w:rPr>
                <w:i/>
                <w:iCs/>
              </w:rPr>
              <w:t>Pompe disease (acid α-glucosidase [GAA] deficiency).</w:t>
            </w:r>
          </w:p>
        </w:tc>
      </w:tr>
      <w:tr w:rsidR="00324B33" w:rsidRPr="00BD5DBD" w14:paraId="5AFDEED3" w14:textId="77777777" w:rsidTr="00F865A7">
        <w:tc>
          <w:tcPr>
            <w:tcW w:w="1577" w:type="pct"/>
          </w:tcPr>
          <w:p w14:paraId="03884BD1" w14:textId="59EE2144" w:rsidR="00324B33" w:rsidRPr="00BD5DBD" w:rsidRDefault="00324B33" w:rsidP="007452E8">
            <w:pPr>
              <w:rPr>
                <w:i/>
                <w:szCs w:val="22"/>
              </w:rPr>
            </w:pPr>
            <w:r w:rsidRPr="00BD5DBD">
              <w:rPr>
                <w:i/>
                <w:szCs w:val="22"/>
              </w:rPr>
              <w:t>Route of administration:</w:t>
            </w:r>
          </w:p>
        </w:tc>
        <w:tc>
          <w:tcPr>
            <w:tcW w:w="3423" w:type="pct"/>
          </w:tcPr>
          <w:p w14:paraId="1ED1357E" w14:textId="473EA832" w:rsidR="00324B33" w:rsidRPr="00BD5DBD" w:rsidRDefault="00B62F50" w:rsidP="00230D71">
            <w:r>
              <w:t>Intravenous infusion</w:t>
            </w:r>
            <w:r w:rsidR="00AA5E39">
              <w:t xml:space="preserve"> (IV)</w:t>
            </w:r>
          </w:p>
        </w:tc>
      </w:tr>
      <w:tr w:rsidR="00324B33" w:rsidRPr="00BD5DBD" w14:paraId="70D7E9FA" w14:textId="77777777" w:rsidTr="00F865A7">
        <w:tc>
          <w:tcPr>
            <w:tcW w:w="1577" w:type="pct"/>
          </w:tcPr>
          <w:p w14:paraId="5ABFFC80" w14:textId="77777777" w:rsidR="00324B33" w:rsidRPr="00BD5DBD" w:rsidRDefault="00324B33" w:rsidP="007452E8">
            <w:pPr>
              <w:rPr>
                <w:i/>
                <w:szCs w:val="22"/>
              </w:rPr>
            </w:pPr>
            <w:r w:rsidRPr="00BD5DBD">
              <w:rPr>
                <w:i/>
                <w:szCs w:val="22"/>
              </w:rPr>
              <w:t>Dosage:</w:t>
            </w:r>
          </w:p>
        </w:tc>
        <w:tc>
          <w:tcPr>
            <w:tcW w:w="3423" w:type="pct"/>
          </w:tcPr>
          <w:p w14:paraId="41617A16" w14:textId="6CD75B86" w:rsidR="00847FFE" w:rsidRDefault="00EF7324" w:rsidP="00847FFE">
            <w:r>
              <w:t xml:space="preserve">The recommended dose of </w:t>
            </w:r>
            <w:proofErr w:type="spellStart"/>
            <w:r>
              <w:t>P</w:t>
            </w:r>
            <w:r w:rsidR="00847FFE">
              <w:t>ombiliti</w:t>
            </w:r>
            <w:proofErr w:type="spellEnd"/>
            <w:r>
              <w:t xml:space="preserve"> is 20 mg/kg body weight administered every other week as an intravenous solution for IV administration. </w:t>
            </w:r>
          </w:p>
          <w:p w14:paraId="0FBCDD58" w14:textId="38EAF24C" w:rsidR="00EF7324" w:rsidRDefault="00EF7324" w:rsidP="00847FFE">
            <w:proofErr w:type="spellStart"/>
            <w:r>
              <w:t>P</w:t>
            </w:r>
            <w:r w:rsidR="00847FFE">
              <w:t>ombiliti</w:t>
            </w:r>
            <w:proofErr w:type="spellEnd"/>
            <w:r>
              <w:t xml:space="preserve"> must be used in combination with </w:t>
            </w:r>
            <w:proofErr w:type="spellStart"/>
            <w:r>
              <w:t>miglustat</w:t>
            </w:r>
            <w:proofErr w:type="spellEnd"/>
            <w:r>
              <w:t xml:space="preserve"> 65 mg capsules. The prescribing information for </w:t>
            </w:r>
            <w:proofErr w:type="spellStart"/>
            <w:r>
              <w:t>miglustat</w:t>
            </w:r>
            <w:proofErr w:type="spellEnd"/>
            <w:r>
              <w:t xml:space="preserve"> 65 mg capsules should be consulted before prescribing </w:t>
            </w:r>
            <w:proofErr w:type="spellStart"/>
            <w:r>
              <w:t>P</w:t>
            </w:r>
            <w:r w:rsidR="00847FFE">
              <w:t>ombiliti</w:t>
            </w:r>
            <w:proofErr w:type="spellEnd"/>
            <w:r>
              <w:t>.</w:t>
            </w:r>
          </w:p>
          <w:p w14:paraId="6B335305" w14:textId="6AE2E665" w:rsidR="00EF7324" w:rsidRDefault="00EF7324" w:rsidP="00847FFE">
            <w:r>
              <w:t>Treatment should be supervised by a physician experienced in the management of patients with Pompe disease or other inherited metabolic or neuromuscular diseases.</w:t>
            </w:r>
          </w:p>
          <w:p w14:paraId="3D0B2D5C" w14:textId="6E29920D" w:rsidR="00324B33" w:rsidRPr="00BD5DBD" w:rsidRDefault="00324B33" w:rsidP="00847FFE">
            <w:r w:rsidRPr="00BD5DBD">
              <w:lastRenderedPageBreak/>
              <w:t xml:space="preserve">For further information regarding dosage, </w:t>
            </w:r>
            <w:r w:rsidR="006B7126">
              <w:t xml:space="preserve">such as dosage modifications to manage adverse reactions, </w:t>
            </w:r>
            <w:r w:rsidRPr="00BD5DBD">
              <w:t>refer to the Product Information.</w:t>
            </w:r>
          </w:p>
        </w:tc>
      </w:tr>
      <w:tr w:rsidR="0017005C" w:rsidRPr="00BD5DBD" w14:paraId="7B7BB6AE" w14:textId="77777777" w:rsidTr="00F865A7">
        <w:tc>
          <w:tcPr>
            <w:tcW w:w="1577" w:type="pct"/>
          </w:tcPr>
          <w:p w14:paraId="3A76AFF7" w14:textId="7C436DD9" w:rsidR="0017005C" w:rsidRPr="00F8083B" w:rsidRDefault="0070330F" w:rsidP="0017005C">
            <w:r w:rsidRPr="00BD5DBD">
              <w:rPr>
                <w:i/>
                <w:szCs w:val="22"/>
              </w:rPr>
              <w:lastRenderedPageBreak/>
              <w:t>Pregnancy category:</w:t>
            </w:r>
          </w:p>
        </w:tc>
        <w:tc>
          <w:tcPr>
            <w:tcW w:w="3423" w:type="pct"/>
          </w:tcPr>
          <w:p w14:paraId="003D55A5" w14:textId="6A6984C2" w:rsidR="009F3128" w:rsidRPr="009F3128" w:rsidRDefault="009F3128" w:rsidP="00230D71">
            <w:r w:rsidRPr="009F3128">
              <w:t>Category D</w:t>
            </w:r>
          </w:p>
          <w:p w14:paraId="5F25CC35" w14:textId="50F76999" w:rsidR="00000E6E" w:rsidRDefault="009F3128" w:rsidP="00230D71">
            <w:pPr>
              <w:rPr>
                <w:rFonts w:cs="Cambria"/>
              </w:rPr>
            </w:pPr>
            <w:r w:rsidRPr="009F3128">
              <w:rPr>
                <w:rFonts w:cs="Cambria"/>
              </w:rPr>
              <w:t xml:space="preserve">There are no clinical data for the use of </w:t>
            </w:r>
            <w:proofErr w:type="spellStart"/>
            <w:r w:rsidR="004F32CB">
              <w:rPr>
                <w:rFonts w:cs="Cambria"/>
              </w:rPr>
              <w:t>Pombiliti</w:t>
            </w:r>
            <w:proofErr w:type="spellEnd"/>
            <w:r w:rsidRPr="009F3128">
              <w:rPr>
                <w:rFonts w:cs="Cambria"/>
              </w:rPr>
              <w:t xml:space="preserve"> in combination with </w:t>
            </w:r>
            <w:proofErr w:type="spellStart"/>
            <w:r w:rsidRPr="009F3128">
              <w:rPr>
                <w:rFonts w:cs="Cambria"/>
              </w:rPr>
              <w:t>O</w:t>
            </w:r>
            <w:r w:rsidR="005A514B">
              <w:rPr>
                <w:rFonts w:cs="Cambria"/>
              </w:rPr>
              <w:t>pfolda</w:t>
            </w:r>
            <w:proofErr w:type="spellEnd"/>
            <w:r w:rsidRPr="009F3128">
              <w:rPr>
                <w:rFonts w:cs="Cambria"/>
              </w:rPr>
              <w:t xml:space="preserve"> in pregnant</w:t>
            </w:r>
            <w:r w:rsidR="00226B6D">
              <w:rPr>
                <w:rFonts w:cs="Cambria"/>
              </w:rPr>
              <w:t xml:space="preserve"> </w:t>
            </w:r>
            <w:r w:rsidRPr="009F3128">
              <w:rPr>
                <w:rFonts w:cs="Cambria"/>
              </w:rPr>
              <w:t>women.</w:t>
            </w:r>
          </w:p>
          <w:p w14:paraId="21FBC9DF" w14:textId="62B024BC" w:rsidR="00E16832" w:rsidRDefault="00E16832" w:rsidP="00230D71">
            <w:r w:rsidRPr="00E16832">
              <w:t>Reliable contraceptive measures must be used by women of childbearing potential during</w:t>
            </w:r>
            <w:r w:rsidR="00281EC8">
              <w:t xml:space="preserve"> </w:t>
            </w:r>
            <w:r w:rsidRPr="00E16832">
              <w:t xml:space="preserve">treatment with </w:t>
            </w:r>
            <w:proofErr w:type="spellStart"/>
            <w:r w:rsidR="004F32CB">
              <w:t>Pombiliti</w:t>
            </w:r>
            <w:proofErr w:type="spellEnd"/>
            <w:r w:rsidRPr="00E16832">
              <w:t xml:space="preserve"> in combination with </w:t>
            </w:r>
            <w:proofErr w:type="spellStart"/>
            <w:r w:rsidRPr="00E16832">
              <w:t>O</w:t>
            </w:r>
            <w:r w:rsidR="004F32CB">
              <w:t>pfolda</w:t>
            </w:r>
            <w:proofErr w:type="spellEnd"/>
            <w:r w:rsidRPr="00E16832">
              <w:t>, and for 4 weeks after the last dose. The medicinal product is not recommended in women of childbearing</w:t>
            </w:r>
            <w:r w:rsidR="001949DD">
              <w:t xml:space="preserve"> </w:t>
            </w:r>
            <w:r w:rsidRPr="00E16832">
              <w:t>potential not using reliable contraception.</w:t>
            </w:r>
          </w:p>
          <w:p w14:paraId="76497789" w14:textId="537C3E50" w:rsidR="0017005C" w:rsidRPr="00BD5DBD" w:rsidRDefault="0070330F" w:rsidP="00230D71">
            <w:r w:rsidRPr="00BD5DBD">
              <w:t xml:space="preserve">The use of any medicine during pregnancy requires careful consideration of both risks and benefits by the treating health professional. </w:t>
            </w:r>
            <w:r w:rsidR="00721059">
              <w:t xml:space="preserve">The </w:t>
            </w:r>
            <w:hyperlink r:id="rId19" w:history="1">
              <w:r w:rsidR="00721059" w:rsidRPr="00065FDF">
                <w:rPr>
                  <w:rStyle w:val="Hyperlink"/>
                  <w:szCs w:val="22"/>
                </w:rPr>
                <w:t>pregnancy database</w:t>
              </w:r>
            </w:hyperlink>
            <w:r w:rsidR="00387984">
              <w:t xml:space="preserve"> </w:t>
            </w:r>
            <w:r w:rsidRPr="00BD5DBD">
              <w:t xml:space="preserve">must not be used as the sole basis of decision making in the use of medicines during pregnancy. The TGA does not provide advice on the use of medicines in pregnancy for specific cases. More information is available from </w:t>
            </w:r>
            <w:hyperlink r:id="rId20" w:history="1">
              <w:r w:rsidRPr="00C059D0">
                <w:rPr>
                  <w:rStyle w:val="Hyperlink"/>
                  <w:szCs w:val="22"/>
                </w:rPr>
                <w:t>obstetric drug information services</w:t>
              </w:r>
            </w:hyperlink>
            <w:r w:rsidRPr="00BD5DBD">
              <w:t xml:space="preserve"> in your </w:t>
            </w:r>
            <w:r w:rsidR="00306E72">
              <w:t>s</w:t>
            </w:r>
            <w:r w:rsidRPr="00BD5DBD">
              <w:t xml:space="preserve">tate or </w:t>
            </w:r>
            <w:r w:rsidR="00306E72">
              <w:t>t</w:t>
            </w:r>
            <w:r w:rsidRPr="00BD5DBD">
              <w:t>erritory.</w:t>
            </w:r>
          </w:p>
        </w:tc>
      </w:tr>
    </w:tbl>
    <w:p w14:paraId="51F2479F" w14:textId="26560594" w:rsidR="00324B33" w:rsidRDefault="00324B33" w:rsidP="008E5A67">
      <w:pPr>
        <w:pStyle w:val="Heading3"/>
      </w:pPr>
      <w:bookmarkStart w:id="13" w:name="_Toc247691503"/>
      <w:bookmarkStart w:id="14" w:name="_Toc314842484"/>
      <w:bookmarkStart w:id="15" w:name="_Toc103679290"/>
      <w:bookmarkStart w:id="16" w:name="_Toc200457811"/>
      <w:r w:rsidRPr="008E5A67">
        <w:t>Product</w:t>
      </w:r>
      <w:r>
        <w:t xml:space="preserve"> background</w:t>
      </w:r>
      <w:bookmarkEnd w:id="13"/>
      <w:bookmarkEnd w:id="14"/>
      <w:bookmarkEnd w:id="15"/>
      <w:bookmarkEnd w:id="16"/>
    </w:p>
    <w:p w14:paraId="23D8ED73" w14:textId="7EB1CC31" w:rsidR="00324B33" w:rsidRDefault="00324B33" w:rsidP="008E5A67">
      <w:r w:rsidRPr="00065839">
        <w:t xml:space="preserve">This </w:t>
      </w:r>
      <w:proofErr w:type="spellStart"/>
      <w:r w:rsidRPr="00065839">
        <w:t>AusPAR</w:t>
      </w:r>
      <w:proofErr w:type="spellEnd"/>
      <w:r w:rsidRPr="00065839">
        <w:t xml:space="preserve"> describes the submission by </w:t>
      </w:r>
      <w:r w:rsidR="00E641B9" w:rsidRPr="00E641B9">
        <w:t xml:space="preserve">Amicus Therapeutics </w:t>
      </w:r>
      <w:r w:rsidRPr="00065839">
        <w:t xml:space="preserve">to register </w:t>
      </w:r>
      <w:proofErr w:type="spellStart"/>
      <w:r w:rsidR="00AC64ED">
        <w:t>Pombiliti</w:t>
      </w:r>
      <w:proofErr w:type="spellEnd"/>
      <w:r w:rsidR="00AC64ED">
        <w:t xml:space="preserve"> (</w:t>
      </w:r>
      <w:proofErr w:type="spellStart"/>
      <w:r w:rsidR="00AC64ED">
        <w:t>c</w:t>
      </w:r>
      <w:r w:rsidR="00190415">
        <w:t>ipaglucosidase</w:t>
      </w:r>
      <w:proofErr w:type="spellEnd"/>
      <w:r w:rsidR="00190415">
        <w:t xml:space="preserve"> alf</w:t>
      </w:r>
      <w:r w:rsidR="00646E8F">
        <w:t>a</w:t>
      </w:r>
      <w:r w:rsidR="00190415">
        <w:t xml:space="preserve">) </w:t>
      </w:r>
      <w:r w:rsidR="002C16D8">
        <w:t xml:space="preserve">105mg powder for injection </w:t>
      </w:r>
      <w:r w:rsidR="00646E8F">
        <w:t xml:space="preserve">vial </w:t>
      </w:r>
      <w:r w:rsidRPr="00065839">
        <w:t xml:space="preserve">for the following proposed </w:t>
      </w:r>
      <w:r w:rsidR="007B7688">
        <w:t>indication</w:t>
      </w:r>
      <w:r w:rsidR="0046009D">
        <w:t xml:space="preserve"> -</w:t>
      </w:r>
    </w:p>
    <w:p w14:paraId="449A2904" w14:textId="2EDD4FF5" w:rsidR="00603FD5" w:rsidRPr="008E5A67" w:rsidRDefault="002E67FF" w:rsidP="008E5A67">
      <w:pPr>
        <w:ind w:left="720"/>
        <w:rPr>
          <w:i/>
          <w:iCs/>
        </w:rPr>
      </w:pPr>
      <w:proofErr w:type="spellStart"/>
      <w:r w:rsidRPr="008E5A67">
        <w:rPr>
          <w:i/>
          <w:iCs/>
        </w:rPr>
        <w:t>P</w:t>
      </w:r>
      <w:r w:rsidR="0046009D" w:rsidRPr="008E5A67">
        <w:rPr>
          <w:i/>
          <w:iCs/>
        </w:rPr>
        <w:t>ombiliti</w:t>
      </w:r>
      <w:proofErr w:type="spellEnd"/>
      <w:r w:rsidRPr="008E5A67">
        <w:rPr>
          <w:i/>
          <w:iCs/>
        </w:rPr>
        <w:t xml:space="preserve"> (</w:t>
      </w:r>
      <w:proofErr w:type="spellStart"/>
      <w:r w:rsidRPr="008E5A67">
        <w:rPr>
          <w:i/>
          <w:iCs/>
        </w:rPr>
        <w:t>cipaglucosidase</w:t>
      </w:r>
      <w:proofErr w:type="spellEnd"/>
      <w:r w:rsidRPr="008E5A67">
        <w:rPr>
          <w:i/>
          <w:iCs/>
        </w:rPr>
        <w:t xml:space="preserve"> alfa) is a long-term enzyme replacement therapy used in</w:t>
      </w:r>
      <w:r w:rsidR="005935D2" w:rsidRPr="008E5A67">
        <w:rPr>
          <w:i/>
          <w:iCs/>
        </w:rPr>
        <w:t xml:space="preserve"> </w:t>
      </w:r>
      <w:r w:rsidRPr="008E5A67">
        <w:rPr>
          <w:i/>
          <w:iCs/>
        </w:rPr>
        <w:t xml:space="preserve">combination with the enzyme stabiliser </w:t>
      </w:r>
      <w:proofErr w:type="spellStart"/>
      <w:r w:rsidRPr="008E5A67">
        <w:rPr>
          <w:i/>
          <w:iCs/>
        </w:rPr>
        <w:t>miglustat</w:t>
      </w:r>
      <w:proofErr w:type="spellEnd"/>
      <w:r w:rsidRPr="008E5A67">
        <w:rPr>
          <w:i/>
          <w:iCs/>
        </w:rPr>
        <w:t xml:space="preserve"> </w:t>
      </w:r>
      <w:r w:rsidR="009B6B58" w:rsidRPr="008E5A67">
        <w:rPr>
          <w:i/>
          <w:iCs/>
          <w:vertAlign w:val="superscript"/>
        </w:rPr>
        <w:footnoteReference w:id="2"/>
      </w:r>
      <w:r w:rsidR="009B6B58" w:rsidRPr="008E5A67">
        <w:rPr>
          <w:i/>
          <w:iCs/>
        </w:rPr>
        <w:t xml:space="preserve"> </w:t>
      </w:r>
      <w:r w:rsidRPr="008E5A67">
        <w:rPr>
          <w:i/>
          <w:iCs/>
        </w:rPr>
        <w:t>for the treatment of adults with late</w:t>
      </w:r>
      <w:r w:rsidR="00E60B80" w:rsidRPr="008E5A67">
        <w:rPr>
          <w:i/>
          <w:iCs/>
        </w:rPr>
        <w:t xml:space="preserve"> </w:t>
      </w:r>
      <w:r w:rsidRPr="008E5A67">
        <w:rPr>
          <w:i/>
          <w:iCs/>
        </w:rPr>
        <w:t>onset</w:t>
      </w:r>
      <w:r w:rsidR="0046009D" w:rsidRPr="008E5A67">
        <w:rPr>
          <w:i/>
          <w:iCs/>
        </w:rPr>
        <w:t xml:space="preserve"> </w:t>
      </w:r>
      <w:r w:rsidRPr="008E5A67">
        <w:rPr>
          <w:i/>
          <w:iCs/>
        </w:rPr>
        <w:t>Pompe disease (acid α-glucosidase [GAA] deficiency).</w:t>
      </w:r>
    </w:p>
    <w:p w14:paraId="1E63A2AE" w14:textId="0FDBAB3B" w:rsidR="00CB6813" w:rsidRDefault="00797BC5" w:rsidP="00CB6813">
      <w:pPr>
        <w:pStyle w:val="Heading4"/>
      </w:pPr>
      <w:bookmarkStart w:id="17" w:name="_Toc314842485"/>
      <w:bookmarkStart w:id="18" w:name="_Toc247691504"/>
      <w:bookmarkStart w:id="19" w:name="_Toc200457812"/>
      <w:r>
        <w:t>D</w:t>
      </w:r>
      <w:r w:rsidR="00CB6813" w:rsidRPr="00C12D65">
        <w:t>isease</w:t>
      </w:r>
      <w:r w:rsidR="00235500">
        <w:t xml:space="preserve"> or condition</w:t>
      </w:r>
      <w:bookmarkEnd w:id="19"/>
    </w:p>
    <w:p w14:paraId="5C1A83C3" w14:textId="104B6F93" w:rsidR="00E91187" w:rsidRPr="00E91187" w:rsidRDefault="00E91187" w:rsidP="00C56AA3">
      <w:r w:rsidRPr="00E91187">
        <w:t>Pompe disease is a rare autosomal recessive genetic disorder caused by mutations in the gene that encodes human acid α-glucosidase (GAA), an enzyme responsible for the breakdown of lysosomal glycogen.</w:t>
      </w:r>
      <w:r w:rsidR="00127DF6">
        <w:t xml:space="preserve"> </w:t>
      </w:r>
      <w:r w:rsidRPr="00E91187">
        <w:t>Impaired function of this enzyme results in lysosomal glycogen accumulation, leading to progressive disruption of cellular function, particularly in the heart, skeletal muscle, and liver.</w:t>
      </w:r>
    </w:p>
    <w:p w14:paraId="003DB61F" w14:textId="6A44F18A" w:rsidR="00E91187" w:rsidRPr="00E91187" w:rsidRDefault="00E91187" w:rsidP="008E5A67">
      <w:r w:rsidRPr="00E91187">
        <w:t>Symptoms of Pompe disease can first appear at any age.</w:t>
      </w:r>
      <w:r w:rsidR="00127DF6">
        <w:t xml:space="preserve"> </w:t>
      </w:r>
      <w:r w:rsidRPr="00E91187">
        <w:t>The age at onset of clinical manifestations, severity of signs and symptoms, and degree of organ/muscular involvement largely depend on the severity of the mutation and the residual enzyme activity.</w:t>
      </w:r>
    </w:p>
    <w:p w14:paraId="5A80746A" w14:textId="30DF19B1" w:rsidR="00E91187" w:rsidRPr="00E91187" w:rsidRDefault="00E91187" w:rsidP="008E5A67">
      <w:r w:rsidRPr="00E91187">
        <w:t>Pompe disease is now considered to be a continuous spectrum of phenotypes.</w:t>
      </w:r>
      <w:r w:rsidR="00127DF6">
        <w:t xml:space="preserve"> </w:t>
      </w:r>
      <w:r w:rsidRPr="00E91187">
        <w:t>The most severe, rapidly progressive phenotype is infantile-onset Pompe disease (IOPD), which appears in the first 3 months of life and is characterised by muscle weakness, cardiomyopathy, and respiratory dysfunction, with life expectancy ∼2 years.</w:t>
      </w:r>
      <w:r w:rsidR="00127DF6">
        <w:t xml:space="preserve"> </w:t>
      </w:r>
      <w:r w:rsidR="00FA5BB5" w:rsidRPr="00FA5BB5">
        <w:t xml:space="preserve">Late-onset Pompe disease </w:t>
      </w:r>
      <w:r w:rsidR="00FA5BB5">
        <w:t>(</w:t>
      </w:r>
      <w:r w:rsidRPr="00E91187">
        <w:t>LOPD</w:t>
      </w:r>
      <w:r w:rsidR="00FA5BB5">
        <w:t>)</w:t>
      </w:r>
      <w:r w:rsidRPr="00E91187">
        <w:t xml:space="preserve"> can present in childhood or adulthood and is not characterised by cardiomyopathy.</w:t>
      </w:r>
      <w:r w:rsidR="00127DF6">
        <w:t xml:space="preserve"> </w:t>
      </w:r>
      <w:r w:rsidRPr="00E91187">
        <w:t>LOPD in paediatric patients is also referred to as juvenile-onset Pompe disease.</w:t>
      </w:r>
      <w:r w:rsidR="00127DF6">
        <w:t xml:space="preserve"> </w:t>
      </w:r>
      <w:r w:rsidRPr="00E91187">
        <w:t xml:space="preserve">LOPD has a slower rate of progression than IOPD, with patients typically experiencing progressive limb-girdle weakness </w:t>
      </w:r>
      <w:r w:rsidRPr="00E91187">
        <w:lastRenderedPageBreak/>
        <w:t>and respiratory failure due to involvement of muscles in the proximal lower and upper limbs, paraspinal muscles, and diaphragm.</w:t>
      </w:r>
      <w:r w:rsidR="00127DF6">
        <w:t xml:space="preserve"> </w:t>
      </w:r>
      <w:r w:rsidRPr="00E91187">
        <w:t>Clinical manifestations include difficulty walking and climbing stairs and progressive limitations of motor activities of daily living with progression to a need for ambulatory support followed by wheelchair dependence.</w:t>
      </w:r>
      <w:r w:rsidR="00127DF6">
        <w:t xml:space="preserve"> </w:t>
      </w:r>
      <w:r w:rsidRPr="00E91187">
        <w:t>The progressive nature of LOPD generally results in the need for mechanically assisted ventilation.</w:t>
      </w:r>
      <w:r w:rsidR="00127DF6">
        <w:t xml:space="preserve"> </w:t>
      </w:r>
      <w:r w:rsidRPr="00E91187">
        <w:t>Life expectancy for patients with LOPD can range from childhood to late adulthood, depending on the age of onset, the rate of disease progression, the extent of respiratory muscle involvement, and the presence of comorbidities.</w:t>
      </w:r>
    </w:p>
    <w:p w14:paraId="0CFEE659" w14:textId="77777777" w:rsidR="00E91187" w:rsidRPr="00E91187" w:rsidRDefault="00E91187" w:rsidP="008E5A67">
      <w:r w:rsidRPr="00E91187">
        <w:t xml:space="preserve">Diagnostic testing for Pompe disease includes deficiency of GAA enzyme activity in white blood cells or dried blood spots (or muscle or skin fibroblasts), genetic testing for disease-causing mutations in the GAA gene, and elevated urinary </w:t>
      </w:r>
      <w:proofErr w:type="spellStart"/>
      <w:r w:rsidRPr="00E91187">
        <w:t>tetrasaccharides</w:t>
      </w:r>
      <w:proofErr w:type="spellEnd"/>
      <w:r w:rsidRPr="00E91187">
        <w:t>.</w:t>
      </w:r>
    </w:p>
    <w:p w14:paraId="255E083A" w14:textId="77777777" w:rsidR="00CB6813" w:rsidRDefault="00CB6813" w:rsidP="00CB6813">
      <w:pPr>
        <w:pStyle w:val="Heading4"/>
      </w:pPr>
      <w:bookmarkStart w:id="20" w:name="_Toc200457813"/>
      <w:r>
        <w:t>Current treatment options</w:t>
      </w:r>
      <w:bookmarkEnd w:id="20"/>
    </w:p>
    <w:p w14:paraId="4365B5F3" w14:textId="20FDEE5C" w:rsidR="00B742DD" w:rsidRPr="00B742DD" w:rsidRDefault="00B742DD" w:rsidP="008E5A67">
      <w:r w:rsidRPr="00B742DD">
        <w:t>The current approved treatments for Pompe disease in Australia are enzyme replacement</w:t>
      </w:r>
      <w:r w:rsidR="00223147">
        <w:t xml:space="preserve"> </w:t>
      </w:r>
      <w:r w:rsidRPr="00B742DD">
        <w:t>therapies (ERTs) with a recombinant human acid α-glucosidase (</w:t>
      </w:r>
      <w:proofErr w:type="spellStart"/>
      <w:r w:rsidRPr="00B742DD">
        <w:t>rhGAA</w:t>
      </w:r>
      <w:proofErr w:type="spellEnd"/>
      <w:r w:rsidRPr="00B742DD">
        <w:t>) to provide an</w:t>
      </w:r>
      <w:r w:rsidR="00223147">
        <w:t xml:space="preserve"> </w:t>
      </w:r>
      <w:r w:rsidRPr="00B742DD">
        <w:t>exogenous supply of enzyme to treat the enzyme deficit. Enzyme replacement therapy with</w:t>
      </w:r>
      <w:r w:rsidR="00223147">
        <w:t xml:space="preserve"> </w:t>
      </w:r>
      <w:proofErr w:type="spellStart"/>
      <w:r w:rsidRPr="00B742DD">
        <w:t>alglucosidase</w:t>
      </w:r>
      <w:proofErr w:type="spellEnd"/>
      <w:r w:rsidRPr="00B742DD">
        <w:t xml:space="preserve"> alfa (</w:t>
      </w:r>
      <w:proofErr w:type="spellStart"/>
      <w:r w:rsidRPr="00B742DD">
        <w:t>Myozyme</w:t>
      </w:r>
      <w:proofErr w:type="spellEnd"/>
      <w:r w:rsidRPr="00B742DD">
        <w:t>) is indicated for the long-term treatment of patients with a</w:t>
      </w:r>
      <w:r w:rsidR="00223147">
        <w:t xml:space="preserve"> </w:t>
      </w:r>
      <w:r w:rsidRPr="00B742DD">
        <w:t xml:space="preserve">confirmed diagnosis of Pompe disease. A second enzyme, </w:t>
      </w:r>
      <w:proofErr w:type="spellStart"/>
      <w:r w:rsidRPr="00B742DD">
        <w:t>avalglucosidase</w:t>
      </w:r>
      <w:proofErr w:type="spellEnd"/>
      <w:r w:rsidRPr="00B742DD">
        <w:t xml:space="preserve"> alfa (</w:t>
      </w:r>
      <w:proofErr w:type="spellStart"/>
      <w:r w:rsidRPr="00B742DD">
        <w:t>Nexviazyme</w:t>
      </w:r>
      <w:proofErr w:type="spellEnd"/>
      <w:r w:rsidRPr="00B742DD">
        <w:t>),</w:t>
      </w:r>
      <w:r w:rsidR="00223147">
        <w:t xml:space="preserve"> </w:t>
      </w:r>
      <w:r w:rsidRPr="00B742DD">
        <w:t>was approved in 2021 as a long-term treatment for patients with Pompe disease.</w:t>
      </w:r>
    </w:p>
    <w:p w14:paraId="1BEFD7D3" w14:textId="6E06E1D3" w:rsidR="00B742DD" w:rsidRDefault="00B742DD" w:rsidP="00C56AA3">
      <w:r w:rsidRPr="00B742DD">
        <w:t xml:space="preserve">Treatment with </w:t>
      </w:r>
      <w:proofErr w:type="spellStart"/>
      <w:r w:rsidRPr="00B742DD">
        <w:t>alglucosidase</w:t>
      </w:r>
      <w:proofErr w:type="spellEnd"/>
      <w:r w:rsidRPr="00B742DD">
        <w:t xml:space="preserve"> alfa provides an initial modest improvement/stabilisation of the</w:t>
      </w:r>
      <w:r w:rsidR="00223147">
        <w:t xml:space="preserve"> </w:t>
      </w:r>
      <w:r w:rsidRPr="00B742DD">
        <w:t>disease progression, usually for several years, followed by a slow decline in muscle function.</w:t>
      </w:r>
      <w:r w:rsidR="00223147">
        <w:t xml:space="preserve"> </w:t>
      </w:r>
      <w:r w:rsidRPr="00B742DD">
        <w:t>Despite ERT, the burden of disease in individuals with Pompe disease remains high, substantial</w:t>
      </w:r>
      <w:r w:rsidR="00223147">
        <w:t xml:space="preserve"> </w:t>
      </w:r>
      <w:r w:rsidRPr="00B742DD">
        <w:t>morbidity persists, and many patients continue to progress, requiring ambulatory and ventilatory</w:t>
      </w:r>
      <w:r w:rsidR="00306867">
        <w:t xml:space="preserve"> </w:t>
      </w:r>
      <w:r w:rsidRPr="00B742DD">
        <w:t>support. Therefore, there remains an unmet medical need for more effective treatments with</w:t>
      </w:r>
      <w:r w:rsidR="00C73CBA">
        <w:t xml:space="preserve"> </w:t>
      </w:r>
      <w:r w:rsidRPr="00B742DD">
        <w:t>longer-term benefits for Pompe disease.</w:t>
      </w:r>
    </w:p>
    <w:p w14:paraId="37C47E09" w14:textId="14D3762D" w:rsidR="00CB6813" w:rsidRDefault="00CB6813" w:rsidP="00CB6813">
      <w:pPr>
        <w:pStyle w:val="Heading4"/>
      </w:pPr>
      <w:bookmarkStart w:id="21" w:name="_Toc200457814"/>
      <w:r>
        <w:t>C</w:t>
      </w:r>
      <w:r w:rsidRPr="00DE1344">
        <w:t>linical rational</w:t>
      </w:r>
      <w:r w:rsidR="0025785B">
        <w:t>e</w:t>
      </w:r>
      <w:bookmarkEnd w:id="21"/>
    </w:p>
    <w:p w14:paraId="32E6D3F9" w14:textId="0910A452" w:rsidR="005E4647" w:rsidRPr="00FE5F63" w:rsidRDefault="005E4647" w:rsidP="00C56AA3">
      <w:proofErr w:type="spellStart"/>
      <w:r w:rsidRPr="00FE5F63">
        <w:t>Cipaglucosidase</w:t>
      </w:r>
      <w:proofErr w:type="spellEnd"/>
      <w:r w:rsidRPr="00FE5F63">
        <w:t xml:space="preserve"> alfa is a new biological entity developed as a next generation ERT for Pompe disease, which has the same mechanism of action as </w:t>
      </w:r>
      <w:proofErr w:type="spellStart"/>
      <w:r w:rsidRPr="00FE5F63">
        <w:t>alglucosidase</w:t>
      </w:r>
      <w:proofErr w:type="spellEnd"/>
      <w:r w:rsidRPr="00FE5F63">
        <w:t xml:space="preserve"> </w:t>
      </w:r>
      <w:r w:rsidR="005F43EE" w:rsidRPr="00FE5F63">
        <w:t>alfa but</w:t>
      </w:r>
      <w:r w:rsidRPr="00FE5F63">
        <w:t xml:space="preserve"> differs structurally based on its post translational N-linked oligosaccharide structures</w:t>
      </w:r>
      <w:r w:rsidRPr="00FE5F63">
        <w:rPr>
          <w:rStyle w:val="FootnoteReference"/>
        </w:rPr>
        <w:footnoteReference w:id="3"/>
      </w:r>
      <w:r w:rsidRPr="00FE5F63">
        <w:t xml:space="preserve">. </w:t>
      </w:r>
      <w:proofErr w:type="spellStart"/>
      <w:r w:rsidRPr="00FE5F63">
        <w:t>Cipaglucosidase</w:t>
      </w:r>
      <w:proofErr w:type="spellEnd"/>
      <w:r w:rsidRPr="00FE5F63">
        <w:t xml:space="preserve"> alfa contains higher amounts of mannose 6-phosphate (M6P), which is the natural motif for identifying and transporting soluble lysosomal enzymes to lysosomes, than </w:t>
      </w:r>
      <w:proofErr w:type="spellStart"/>
      <w:r w:rsidRPr="00FE5F63">
        <w:t>alglucosidase</w:t>
      </w:r>
      <w:proofErr w:type="spellEnd"/>
      <w:r w:rsidRPr="00FE5F63">
        <w:t xml:space="preserve"> alfa. </w:t>
      </w:r>
      <w:proofErr w:type="spellStart"/>
      <w:r w:rsidRPr="00FE5F63">
        <w:t>Cipaglucosidase</w:t>
      </w:r>
      <w:proofErr w:type="spellEnd"/>
      <w:r w:rsidRPr="00FE5F63">
        <w:t xml:space="preserve"> alfa contains bis-phosphorylated high mannose (bis-M6P) oligosaccharide structures, which are known to have the highest affinity of all known carbohydrates for the CI-MPR. This leads to substantially better binding to the CI-MPR</w:t>
      </w:r>
      <w:r w:rsidRPr="00FE5F63">
        <w:rPr>
          <w:rStyle w:val="FootnoteReference"/>
        </w:rPr>
        <w:footnoteReference w:id="4"/>
      </w:r>
      <w:r w:rsidRPr="00FE5F63">
        <w:t xml:space="preserve"> on cell surfaces, mediating the internalisation and delivery of exogenous </w:t>
      </w:r>
      <w:proofErr w:type="spellStart"/>
      <w:r w:rsidRPr="00FE5F63">
        <w:t>rhGAA</w:t>
      </w:r>
      <w:proofErr w:type="spellEnd"/>
      <w:r w:rsidRPr="00FE5F63">
        <w:t xml:space="preserve"> to lysosomes, particularly at low enzyme concentrations in muscles post-dosing.</w:t>
      </w:r>
    </w:p>
    <w:p w14:paraId="2E6AEB25" w14:textId="194A1533" w:rsidR="0090050D" w:rsidRPr="00FE5F63" w:rsidRDefault="0090050D" w:rsidP="00C56AA3">
      <w:proofErr w:type="spellStart"/>
      <w:r w:rsidRPr="00FE5F63">
        <w:t>Cipaglucosidase</w:t>
      </w:r>
      <w:proofErr w:type="spellEnd"/>
      <w:r w:rsidRPr="00FE5F63">
        <w:t xml:space="preserve"> alfa is unstable at neutral pH and can be denatured and inactivated in the bloodstream following IV infusion. </w:t>
      </w:r>
      <w:proofErr w:type="spellStart"/>
      <w:r w:rsidRPr="00FE5F63">
        <w:t>Miglustat</w:t>
      </w:r>
      <w:proofErr w:type="spellEnd"/>
      <w:r w:rsidRPr="00FE5F63">
        <w:t xml:space="preserve"> (</w:t>
      </w:r>
      <w:proofErr w:type="spellStart"/>
      <w:r w:rsidRPr="00FE5F63">
        <w:t>O</w:t>
      </w:r>
      <w:r>
        <w:t>pfolda</w:t>
      </w:r>
      <w:proofErr w:type="spellEnd"/>
      <w:r w:rsidR="00C66294">
        <w:t>)</w:t>
      </w:r>
      <w:r>
        <w:t xml:space="preserve"> </w:t>
      </w:r>
      <w:r w:rsidRPr="00FE5F63">
        <w:t xml:space="preserve">is a small molecule enzyme stabiliser that binds to and prevents inactivation of the </w:t>
      </w:r>
      <w:proofErr w:type="spellStart"/>
      <w:r w:rsidRPr="00FE5F63">
        <w:t>rhGAA</w:t>
      </w:r>
      <w:proofErr w:type="spellEnd"/>
      <w:r w:rsidRPr="00FE5F63">
        <w:t xml:space="preserve"> enzyme in blood. This selective binding between </w:t>
      </w:r>
      <w:proofErr w:type="spellStart"/>
      <w:r w:rsidRPr="00FE5F63">
        <w:t>cipaglucosidase</w:t>
      </w:r>
      <w:proofErr w:type="spellEnd"/>
      <w:r w:rsidRPr="00FE5F63">
        <w:t xml:space="preserve"> alfa and </w:t>
      </w:r>
      <w:proofErr w:type="spellStart"/>
      <w:r w:rsidRPr="00FE5F63">
        <w:t>miglustat</w:t>
      </w:r>
      <w:proofErr w:type="spellEnd"/>
      <w:r w:rsidRPr="00FE5F63">
        <w:t xml:space="preserve"> is transient, with dissociation of </w:t>
      </w:r>
      <w:proofErr w:type="spellStart"/>
      <w:r w:rsidRPr="00FE5F63">
        <w:t>cipaglucosidase</w:t>
      </w:r>
      <w:proofErr w:type="spellEnd"/>
      <w:r w:rsidRPr="00FE5F63">
        <w:t xml:space="preserve"> alfa-</w:t>
      </w:r>
      <w:proofErr w:type="spellStart"/>
      <w:r w:rsidRPr="00FE5F63">
        <w:t>miglustat</w:t>
      </w:r>
      <w:proofErr w:type="spellEnd"/>
      <w:r w:rsidRPr="00FE5F63">
        <w:t xml:space="preserve"> strongly favoured in the acidic environment of the lysosome. </w:t>
      </w:r>
      <w:proofErr w:type="spellStart"/>
      <w:r w:rsidRPr="00FE5F63">
        <w:t>Miglustat</w:t>
      </w:r>
      <w:proofErr w:type="spellEnd"/>
      <w:r w:rsidRPr="00FE5F63">
        <w:t xml:space="preserve"> alone has no specific effects on glycogen reduction in Pompe disease.</w:t>
      </w:r>
    </w:p>
    <w:p w14:paraId="613C994B" w14:textId="33CE187D" w:rsidR="005110B2" w:rsidRPr="00FE5F63" w:rsidRDefault="005110B2" w:rsidP="00C56AA3">
      <w:r>
        <w:lastRenderedPageBreak/>
        <w:t>T</w:t>
      </w:r>
      <w:r w:rsidRPr="00FE5F63">
        <w:t xml:space="preserve">he applications for approval of </w:t>
      </w:r>
      <w:proofErr w:type="spellStart"/>
      <w:r w:rsidRPr="00FE5F63">
        <w:t>cipaglucosidase</w:t>
      </w:r>
      <w:proofErr w:type="spellEnd"/>
      <w:r w:rsidRPr="00FE5F63">
        <w:t xml:space="preserve"> alfa/</w:t>
      </w:r>
      <w:proofErr w:type="spellStart"/>
      <w:r w:rsidRPr="00FE5F63">
        <w:t>miglustat</w:t>
      </w:r>
      <w:proofErr w:type="spellEnd"/>
      <w:r w:rsidRPr="00FE5F63">
        <w:t xml:space="preserve"> for the treatment of adults with LOPD are based on the following clinical evidence:</w:t>
      </w:r>
    </w:p>
    <w:p w14:paraId="6CD1BCCB" w14:textId="5043E7FF" w:rsidR="005110B2" w:rsidRPr="00C56AA3" w:rsidRDefault="005110B2" w:rsidP="00C56AA3">
      <w:pPr>
        <w:pStyle w:val="ListBullet"/>
      </w:pPr>
      <w:r w:rsidRPr="00C56AA3">
        <w:t xml:space="preserve">Efficacy and safety data from the pivotal Study ATB200-03 </w:t>
      </w:r>
      <w:r w:rsidR="00E3732C" w:rsidRPr="00C56AA3">
        <w:t xml:space="preserve">that </w:t>
      </w:r>
      <w:r w:rsidRPr="00C56AA3">
        <w:t xml:space="preserve">compared </w:t>
      </w:r>
      <w:proofErr w:type="spellStart"/>
      <w:r w:rsidRPr="00C56AA3">
        <w:t>cipaglucosidase</w:t>
      </w:r>
      <w:proofErr w:type="spellEnd"/>
      <w:r w:rsidRPr="00C56AA3">
        <w:t xml:space="preserve"> alfa/</w:t>
      </w:r>
      <w:proofErr w:type="spellStart"/>
      <w:r w:rsidRPr="00C56AA3">
        <w:t>miglustat</w:t>
      </w:r>
      <w:proofErr w:type="spellEnd"/>
      <w:r w:rsidRPr="00C56AA3">
        <w:t xml:space="preserve"> with approved therapy (</w:t>
      </w:r>
      <w:proofErr w:type="spellStart"/>
      <w:r w:rsidRPr="00C56AA3">
        <w:t>alglucosidase</w:t>
      </w:r>
      <w:proofErr w:type="spellEnd"/>
      <w:r w:rsidRPr="00C56AA3">
        <w:t xml:space="preserve"> alfa).</w:t>
      </w:r>
    </w:p>
    <w:p w14:paraId="45449CD3" w14:textId="77777777" w:rsidR="005110B2" w:rsidRPr="00C56AA3" w:rsidRDefault="005110B2" w:rsidP="008E5A67">
      <w:pPr>
        <w:pStyle w:val="ListBullet"/>
      </w:pPr>
      <w:r w:rsidRPr="00C56AA3">
        <w:t xml:space="preserve">Efficacy, safety, and pharmacokinetic (PK) data from Study ATB200-02 and historical data on </w:t>
      </w:r>
      <w:proofErr w:type="spellStart"/>
      <w:r w:rsidRPr="00C56AA3">
        <w:t>alglucosidase</w:t>
      </w:r>
      <w:proofErr w:type="spellEnd"/>
      <w:r w:rsidRPr="00C56AA3">
        <w:t xml:space="preserve"> alfa from the literature providing supportive evidence of clinical benefit.</w:t>
      </w:r>
    </w:p>
    <w:p w14:paraId="744125D6" w14:textId="77777777" w:rsidR="005110B2" w:rsidRPr="00C56AA3" w:rsidRDefault="005110B2" w:rsidP="00C56AA3">
      <w:pPr>
        <w:pStyle w:val="ListBullet"/>
      </w:pPr>
      <w:r w:rsidRPr="00C56AA3">
        <w:t>Population PK/pharmacodynamic (PD) based on pooled data from Studies ATB200-02 and ATB200-03, with exposure-response assessments of efficacy, safety, and biomarker data supporting the proposed dosing regimen.</w:t>
      </w:r>
    </w:p>
    <w:p w14:paraId="5013EAC2" w14:textId="77777777" w:rsidR="00405C24" w:rsidRPr="00C56AA3" w:rsidRDefault="005110B2" w:rsidP="008E5A67">
      <w:pPr>
        <w:pStyle w:val="ListBullet"/>
      </w:pPr>
      <w:r w:rsidRPr="00C56AA3">
        <w:t xml:space="preserve">Long-term efficacy data from Study ATB200-02 </w:t>
      </w:r>
      <w:r w:rsidRPr="008E5A67">
        <w:t>and</w:t>
      </w:r>
      <w:r w:rsidRPr="00C56AA3">
        <w:t xml:space="preserve"> studies ATB200-03 and ATB200-07.</w:t>
      </w:r>
    </w:p>
    <w:p w14:paraId="25E0ABD6" w14:textId="147B0FA5" w:rsidR="005110B2" w:rsidRPr="00C56AA3" w:rsidRDefault="005110B2" w:rsidP="00C56AA3">
      <w:pPr>
        <w:pStyle w:val="ListBullet"/>
      </w:pPr>
      <w:r w:rsidRPr="00C56AA3">
        <w:t>Analyses of immunogenicity, which demonstrated no clinically meaningful impact upon PK, PD, safety, and efficacy.</w:t>
      </w:r>
    </w:p>
    <w:p w14:paraId="0D615854" w14:textId="30347505" w:rsidR="00324B33" w:rsidRPr="003F31A2" w:rsidRDefault="00324B33" w:rsidP="008E5A67">
      <w:pPr>
        <w:pStyle w:val="Heading3"/>
      </w:pPr>
      <w:bookmarkStart w:id="22" w:name="_Toc103679291"/>
      <w:bookmarkStart w:id="23" w:name="_Toc200457815"/>
      <w:r>
        <w:t>Regulatory status</w:t>
      </w:r>
      <w:bookmarkEnd w:id="17"/>
      <w:bookmarkEnd w:id="18"/>
      <w:bookmarkEnd w:id="22"/>
      <w:bookmarkEnd w:id="23"/>
    </w:p>
    <w:p w14:paraId="72C889D6" w14:textId="7E200950" w:rsidR="0017005C" w:rsidRPr="00BD5DBD" w:rsidRDefault="0017005C" w:rsidP="00741AB9">
      <w:pPr>
        <w:pStyle w:val="Heading4"/>
      </w:pPr>
      <w:bookmarkStart w:id="24" w:name="_Toc200457816"/>
      <w:r w:rsidRPr="00BD5DBD">
        <w:t>Australian regulatory</w:t>
      </w:r>
      <w:r>
        <w:t xml:space="preserve"> sta</w:t>
      </w:r>
      <w:r w:rsidR="0025785B">
        <w:t>t</w:t>
      </w:r>
      <w:r>
        <w:t>us</w:t>
      </w:r>
      <w:bookmarkEnd w:id="24"/>
    </w:p>
    <w:p w14:paraId="76E0F4C5" w14:textId="5B203FD9" w:rsidR="003749CF" w:rsidRPr="008E5A67" w:rsidRDefault="00324B33" w:rsidP="008E5A67">
      <w:r w:rsidRPr="00BD5DBD">
        <w:t>This product is considered a new chemical</w:t>
      </w:r>
      <w:r w:rsidR="008C754C" w:rsidRPr="00BD5DBD">
        <w:t xml:space="preserve"> entity</w:t>
      </w:r>
      <w:r w:rsidRPr="00BD5DBD">
        <w:t xml:space="preserve"> for Australian regulatory purposes</w:t>
      </w:r>
      <w:r w:rsidR="00BA1B29">
        <w:t>.</w:t>
      </w:r>
    </w:p>
    <w:p w14:paraId="546C1031" w14:textId="45A8594F" w:rsidR="0017005C" w:rsidRDefault="005A2C29" w:rsidP="0017005C">
      <w:pPr>
        <w:pStyle w:val="Heading4"/>
      </w:pPr>
      <w:bookmarkStart w:id="25" w:name="_Toc200457817"/>
      <w:r>
        <w:t xml:space="preserve">International </w:t>
      </w:r>
      <w:r w:rsidR="0017005C" w:rsidRPr="00BD5DBD">
        <w:t>regulatory</w:t>
      </w:r>
      <w:r w:rsidR="0017005C">
        <w:t xml:space="preserve"> status</w:t>
      </w:r>
      <w:bookmarkEnd w:id="25"/>
    </w:p>
    <w:p w14:paraId="29E12191" w14:textId="0A09713B" w:rsidR="003341D7" w:rsidRPr="00CE1E16" w:rsidRDefault="008F4A62" w:rsidP="008E5A67">
      <w:pPr>
        <w:rPr>
          <w:i/>
          <w:color w:val="007099"/>
        </w:rPr>
      </w:pPr>
      <w:r>
        <w:t xml:space="preserve">At the time the TGA considered this submission, similar </w:t>
      </w:r>
      <w:r w:rsidR="00DD7E5C">
        <w:t>applications had been s</w:t>
      </w:r>
      <w:r>
        <w:t>ubmi</w:t>
      </w:r>
      <w:r w:rsidR="00DD7E5C">
        <w:t>tted</w:t>
      </w:r>
      <w:r>
        <w:t xml:space="preserve"> </w:t>
      </w:r>
      <w:r w:rsidR="00DD7E5C">
        <w:t>to</w:t>
      </w:r>
      <w:r>
        <w:t xml:space="preserve"> other regulatory agencies</w:t>
      </w:r>
      <w:r w:rsidR="00C153F9" w:rsidRPr="57529186">
        <w:rPr>
          <w:rFonts w:eastAsia="MS Mincho"/>
        </w:rPr>
        <w:t xml:space="preserve"> </w:t>
      </w:r>
      <w:r w:rsidR="00BC1DBD">
        <w:t>in the</w:t>
      </w:r>
      <w:r w:rsidR="00C153F9">
        <w:t xml:space="preserve"> USA, UK, EU and Switzerland.</w:t>
      </w:r>
      <w:r w:rsidR="00127DF6">
        <w:t xml:space="preserve"> </w:t>
      </w:r>
      <w:r w:rsidR="00C153F9">
        <w:t>The application has been approved by USFDA (Sep 2023), EU (Mar 2023) and UK (Jun 2023)</w:t>
      </w:r>
      <w:r w:rsidR="00BC1DBD">
        <w:t>, as per t</w:t>
      </w:r>
      <w:r>
        <w:t>he following table</w:t>
      </w:r>
      <w:r w:rsidR="00BC1DBD">
        <w:t>.</w:t>
      </w:r>
    </w:p>
    <w:p w14:paraId="19B9E0AC" w14:textId="61A31825" w:rsidR="00324B33" w:rsidRDefault="00324B33" w:rsidP="00324B33">
      <w:pPr>
        <w:pStyle w:val="TableTitle"/>
      </w:pPr>
      <w:bookmarkStart w:id="26" w:name="_Ref99705479"/>
      <w:r>
        <w:t xml:space="preserve">Table </w:t>
      </w:r>
      <w:r w:rsidR="008B1CB5">
        <w:fldChar w:fldCharType="begin"/>
      </w:r>
      <w:r w:rsidR="008B1CB5">
        <w:instrText xml:space="preserve"> SEQ Table \* ARABIC </w:instrText>
      </w:r>
      <w:r w:rsidR="008B1CB5">
        <w:fldChar w:fldCharType="separate"/>
      </w:r>
      <w:r w:rsidR="008B1CB5">
        <w:rPr>
          <w:noProof/>
        </w:rPr>
        <w:t>1</w:t>
      </w:r>
      <w:r w:rsidR="008B1CB5">
        <w:rPr>
          <w:noProof/>
        </w:rPr>
        <w:fldChar w:fldCharType="end"/>
      </w:r>
      <w:bookmarkEnd w:id="26"/>
      <w:r>
        <w:t>: International regulatory status</w:t>
      </w:r>
    </w:p>
    <w:tbl>
      <w:tblPr>
        <w:tblStyle w:val="TableTGAblue2023"/>
        <w:tblW w:w="5000" w:type="pct"/>
        <w:tblLook w:val="04A0" w:firstRow="1" w:lastRow="0" w:firstColumn="1" w:lastColumn="0" w:noHBand="0" w:noVBand="1"/>
      </w:tblPr>
      <w:tblGrid>
        <w:gridCol w:w="1525"/>
        <w:gridCol w:w="1765"/>
        <w:gridCol w:w="1765"/>
        <w:gridCol w:w="4005"/>
      </w:tblGrid>
      <w:tr w:rsidR="007D36BB" w:rsidRPr="00D01DDB" w14:paraId="405E5D78" w14:textId="16839333" w:rsidTr="007D36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2" w:type="pct"/>
          </w:tcPr>
          <w:p w14:paraId="185B099B" w14:textId="7A4C0E6C" w:rsidR="007D36BB" w:rsidRPr="00D01DDB" w:rsidRDefault="007D36BB" w:rsidP="00324B33">
            <w:pPr>
              <w:rPr>
                <w:szCs w:val="22"/>
              </w:rPr>
            </w:pPr>
            <w:r w:rsidRPr="00D01DDB">
              <w:rPr>
                <w:szCs w:val="22"/>
              </w:rPr>
              <w:t>Region</w:t>
            </w:r>
          </w:p>
        </w:tc>
        <w:tc>
          <w:tcPr>
            <w:tcW w:w="974" w:type="pct"/>
          </w:tcPr>
          <w:p w14:paraId="13F1E680" w14:textId="7B6AB018" w:rsidR="007D36BB" w:rsidRPr="00D01DDB" w:rsidRDefault="00B47C9E" w:rsidP="00324B33">
            <w:pPr>
              <w:cnfStyle w:val="100000000000" w:firstRow="1" w:lastRow="0" w:firstColumn="0" w:lastColumn="0" w:oddVBand="0" w:evenVBand="0" w:oddHBand="0" w:evenHBand="0" w:firstRowFirstColumn="0" w:firstRowLastColumn="0" w:lastRowFirstColumn="0" w:lastRowLastColumn="0"/>
              <w:rPr>
                <w:szCs w:val="22"/>
              </w:rPr>
            </w:pPr>
            <w:r>
              <w:rPr>
                <w:szCs w:val="22"/>
              </w:rPr>
              <w:t>Submission Date</w:t>
            </w:r>
          </w:p>
        </w:tc>
        <w:tc>
          <w:tcPr>
            <w:tcW w:w="974" w:type="pct"/>
          </w:tcPr>
          <w:p w14:paraId="58F81584" w14:textId="2726BB73" w:rsidR="007D36BB" w:rsidRPr="00D01DDB" w:rsidRDefault="007D36BB"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Status</w:t>
            </w:r>
          </w:p>
        </w:tc>
        <w:tc>
          <w:tcPr>
            <w:tcW w:w="2210" w:type="pct"/>
          </w:tcPr>
          <w:p w14:paraId="50B2D435" w14:textId="560588D2" w:rsidR="007D36BB" w:rsidRPr="00D01DDB" w:rsidRDefault="007D36BB"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Approved indications</w:t>
            </w:r>
          </w:p>
        </w:tc>
      </w:tr>
      <w:tr w:rsidR="007D36BB" w:rsidRPr="00D01DDB" w14:paraId="38D24E86" w14:textId="77777777" w:rsidTr="007D36BB">
        <w:tc>
          <w:tcPr>
            <w:cnfStyle w:val="001000000000" w:firstRow="0" w:lastRow="0" w:firstColumn="1" w:lastColumn="0" w:oddVBand="0" w:evenVBand="0" w:oddHBand="0" w:evenHBand="0" w:firstRowFirstColumn="0" w:firstRowLastColumn="0" w:lastRowFirstColumn="0" w:lastRowLastColumn="0"/>
            <w:tcW w:w="842" w:type="pct"/>
          </w:tcPr>
          <w:p w14:paraId="4C540DE5" w14:textId="1D2C6C96" w:rsidR="007D36BB" w:rsidRPr="00D01DDB" w:rsidRDefault="007D36BB" w:rsidP="00A65E3F">
            <w:r>
              <w:t>Europe Union (EU)</w:t>
            </w:r>
          </w:p>
        </w:tc>
        <w:tc>
          <w:tcPr>
            <w:tcW w:w="974" w:type="pct"/>
          </w:tcPr>
          <w:p w14:paraId="09928AE3" w14:textId="5B2E39D1" w:rsidR="007D36BB" w:rsidRPr="00D01DDB" w:rsidRDefault="00B47C9E" w:rsidP="00A65E3F">
            <w:pPr>
              <w:cnfStyle w:val="000000000000" w:firstRow="0" w:lastRow="0" w:firstColumn="0" w:lastColumn="0" w:oddVBand="0" w:evenVBand="0" w:oddHBand="0" w:evenHBand="0" w:firstRowFirstColumn="0" w:firstRowLastColumn="0" w:lastRowFirstColumn="0" w:lastRowLastColumn="0"/>
            </w:pPr>
            <w:r>
              <w:t>5 November 2021</w:t>
            </w:r>
          </w:p>
        </w:tc>
        <w:tc>
          <w:tcPr>
            <w:tcW w:w="974" w:type="pct"/>
          </w:tcPr>
          <w:p w14:paraId="44DC0EA3" w14:textId="4224670F" w:rsidR="007D36BB" w:rsidRDefault="007D36BB" w:rsidP="00A65E3F">
            <w:pPr>
              <w:cnfStyle w:val="000000000000" w:firstRow="0" w:lastRow="0" w:firstColumn="0" w:lastColumn="0" w:oddVBand="0" w:evenVBand="0" w:oddHBand="0" w:evenHBand="0" w:firstRowFirstColumn="0" w:firstRowLastColumn="0" w:lastRowFirstColumn="0" w:lastRowLastColumn="0"/>
            </w:pPr>
            <w:r w:rsidRPr="00D01DDB">
              <w:t>Approved</w:t>
            </w:r>
          </w:p>
          <w:p w14:paraId="29358393" w14:textId="492A4AEC" w:rsidR="007D36BB" w:rsidRPr="00D01DDB" w:rsidRDefault="007D36BB" w:rsidP="00A65E3F">
            <w:pPr>
              <w:cnfStyle w:val="000000000000" w:firstRow="0" w:lastRow="0" w:firstColumn="0" w:lastColumn="0" w:oddVBand="0" w:evenVBand="0" w:oddHBand="0" w:evenHBand="0" w:firstRowFirstColumn="0" w:firstRowLastColumn="0" w:lastRowFirstColumn="0" w:lastRowLastColumn="0"/>
            </w:pPr>
            <w:r>
              <w:t>20 March 2023</w:t>
            </w:r>
          </w:p>
        </w:tc>
        <w:tc>
          <w:tcPr>
            <w:tcW w:w="2210" w:type="pct"/>
          </w:tcPr>
          <w:p w14:paraId="05055674" w14:textId="1E0BD722" w:rsidR="007D36BB" w:rsidRPr="00D01DDB" w:rsidRDefault="007D36BB" w:rsidP="00A65E3F">
            <w:pPr>
              <w:cnfStyle w:val="000000000000" w:firstRow="0" w:lastRow="0" w:firstColumn="0" w:lastColumn="0" w:oddVBand="0" w:evenVBand="0" w:oddHBand="0" w:evenHBand="0" w:firstRowFirstColumn="0" w:firstRowLastColumn="0" w:lastRowFirstColumn="0" w:lastRowLastColumn="0"/>
            </w:pPr>
            <w:proofErr w:type="spellStart"/>
            <w:r w:rsidRPr="00BD2036">
              <w:t>Pombiliti</w:t>
            </w:r>
            <w:proofErr w:type="spellEnd"/>
            <w:r w:rsidRPr="00BD2036">
              <w:t xml:space="preserve"> (</w:t>
            </w:r>
            <w:proofErr w:type="spellStart"/>
            <w:r w:rsidRPr="00BD2036">
              <w:t>cipaglucosidase</w:t>
            </w:r>
            <w:proofErr w:type="spellEnd"/>
            <w:r w:rsidRPr="00BD2036">
              <w:t xml:space="preserve"> alfa) is a long-term enzyme replacement therapy used in combination with the enzyme stabiliser </w:t>
            </w:r>
            <w:proofErr w:type="spellStart"/>
            <w:r w:rsidRPr="00BD2036">
              <w:t>miglustat</w:t>
            </w:r>
            <w:proofErr w:type="spellEnd"/>
            <w:r w:rsidRPr="00BD2036">
              <w:t xml:space="preserve"> for the treatment of adults with late-onset Pompe disease (acid α-glucosidase [GAA] deficiency).</w:t>
            </w:r>
          </w:p>
        </w:tc>
      </w:tr>
      <w:tr w:rsidR="007D36BB" w:rsidRPr="00D01DDB" w14:paraId="097E2B17" w14:textId="77777777" w:rsidTr="007D36BB">
        <w:tc>
          <w:tcPr>
            <w:cnfStyle w:val="001000000000" w:firstRow="0" w:lastRow="0" w:firstColumn="1" w:lastColumn="0" w:oddVBand="0" w:evenVBand="0" w:oddHBand="0" w:evenHBand="0" w:firstRowFirstColumn="0" w:firstRowLastColumn="0" w:lastRowFirstColumn="0" w:lastRowLastColumn="0"/>
            <w:tcW w:w="842" w:type="pct"/>
          </w:tcPr>
          <w:p w14:paraId="67F7B705" w14:textId="16B7D95A" w:rsidR="007D36BB" w:rsidRDefault="007D36BB" w:rsidP="00A65E3F">
            <w:r>
              <w:t>United Kingdom (UK)</w:t>
            </w:r>
          </w:p>
        </w:tc>
        <w:tc>
          <w:tcPr>
            <w:tcW w:w="974" w:type="pct"/>
          </w:tcPr>
          <w:p w14:paraId="12F3735B" w14:textId="53EBDE2D" w:rsidR="007D36BB" w:rsidRDefault="00B47C9E" w:rsidP="00A65E3F">
            <w:pPr>
              <w:cnfStyle w:val="000000000000" w:firstRow="0" w:lastRow="0" w:firstColumn="0" w:lastColumn="0" w:oddVBand="0" w:evenVBand="0" w:oddHBand="0" w:evenHBand="0" w:firstRowFirstColumn="0" w:firstRowLastColumn="0" w:lastRowFirstColumn="0" w:lastRowLastColumn="0"/>
            </w:pPr>
            <w:r>
              <w:t>19 December 2022</w:t>
            </w:r>
          </w:p>
        </w:tc>
        <w:tc>
          <w:tcPr>
            <w:tcW w:w="974" w:type="pct"/>
          </w:tcPr>
          <w:p w14:paraId="6C02F29F" w14:textId="55E6D12C" w:rsidR="007D36BB" w:rsidRDefault="007D36BB" w:rsidP="00A65E3F">
            <w:pPr>
              <w:cnfStyle w:val="000000000000" w:firstRow="0" w:lastRow="0" w:firstColumn="0" w:lastColumn="0" w:oddVBand="0" w:evenVBand="0" w:oddHBand="0" w:evenHBand="0" w:firstRowFirstColumn="0" w:firstRowLastColumn="0" w:lastRowFirstColumn="0" w:lastRowLastColumn="0"/>
            </w:pPr>
            <w:r>
              <w:t xml:space="preserve">Approved </w:t>
            </w:r>
          </w:p>
          <w:p w14:paraId="4276A977" w14:textId="2080106D" w:rsidR="007D36BB" w:rsidRDefault="007D36BB" w:rsidP="00A65E3F">
            <w:pPr>
              <w:cnfStyle w:val="000000000000" w:firstRow="0" w:lastRow="0" w:firstColumn="0" w:lastColumn="0" w:oddVBand="0" w:evenVBand="0" w:oddHBand="0" w:evenHBand="0" w:firstRowFirstColumn="0" w:firstRowLastColumn="0" w:lastRowFirstColumn="0" w:lastRowLastColumn="0"/>
            </w:pPr>
            <w:r>
              <w:t>30 June 2023</w:t>
            </w:r>
          </w:p>
          <w:p w14:paraId="0548AA73" w14:textId="72BEDB24" w:rsidR="007D36BB" w:rsidRPr="00D01DDB" w:rsidRDefault="007D36BB" w:rsidP="00A65E3F">
            <w:pPr>
              <w:cnfStyle w:val="000000000000" w:firstRow="0" w:lastRow="0" w:firstColumn="0" w:lastColumn="0" w:oddVBand="0" w:evenVBand="0" w:oddHBand="0" w:evenHBand="0" w:firstRowFirstColumn="0" w:firstRowLastColumn="0" w:lastRowFirstColumn="0" w:lastRowLastColumn="0"/>
            </w:pPr>
          </w:p>
        </w:tc>
        <w:tc>
          <w:tcPr>
            <w:tcW w:w="2210" w:type="pct"/>
          </w:tcPr>
          <w:p w14:paraId="4FBFBB38" w14:textId="317EFAE7" w:rsidR="007D36BB" w:rsidRPr="00BD2036" w:rsidRDefault="007D36BB" w:rsidP="00A65E3F">
            <w:pPr>
              <w:cnfStyle w:val="000000000000" w:firstRow="0" w:lastRow="0" w:firstColumn="0" w:lastColumn="0" w:oddVBand="0" w:evenVBand="0" w:oddHBand="0" w:evenHBand="0" w:firstRowFirstColumn="0" w:firstRowLastColumn="0" w:lastRowFirstColumn="0" w:lastRowLastColumn="0"/>
            </w:pPr>
            <w:proofErr w:type="spellStart"/>
            <w:r w:rsidRPr="00696D17">
              <w:t>Pombiliti</w:t>
            </w:r>
            <w:proofErr w:type="spellEnd"/>
            <w:r w:rsidRPr="00696D17">
              <w:t xml:space="preserve"> (</w:t>
            </w:r>
            <w:proofErr w:type="spellStart"/>
            <w:r w:rsidRPr="00696D17">
              <w:t>cipaglucosidase</w:t>
            </w:r>
            <w:proofErr w:type="spellEnd"/>
            <w:r w:rsidRPr="00696D17">
              <w:t xml:space="preserve"> alfa) is a long-term enzyme replacement therapy used in combination with the enzyme stabiliser </w:t>
            </w:r>
            <w:proofErr w:type="spellStart"/>
            <w:r w:rsidRPr="00696D17">
              <w:t>miglustat</w:t>
            </w:r>
            <w:proofErr w:type="spellEnd"/>
            <w:r w:rsidRPr="00696D17">
              <w:t xml:space="preserve"> for the treatment of adults with late-onset Pompe disease (acid α-glucosidase [GAA] deficiency).</w:t>
            </w:r>
          </w:p>
        </w:tc>
      </w:tr>
      <w:tr w:rsidR="007D36BB" w:rsidRPr="00D01DDB" w14:paraId="5EEB0C6E" w14:textId="77777777" w:rsidTr="007D36BB">
        <w:tc>
          <w:tcPr>
            <w:cnfStyle w:val="001000000000" w:firstRow="0" w:lastRow="0" w:firstColumn="1" w:lastColumn="0" w:oddVBand="0" w:evenVBand="0" w:oddHBand="0" w:evenHBand="0" w:firstRowFirstColumn="0" w:firstRowLastColumn="0" w:lastRowFirstColumn="0" w:lastRowLastColumn="0"/>
            <w:tcW w:w="842" w:type="pct"/>
          </w:tcPr>
          <w:p w14:paraId="0E974EA5" w14:textId="18212F5F" w:rsidR="007D36BB" w:rsidRDefault="007D36BB" w:rsidP="00A65E3F">
            <w:r>
              <w:lastRenderedPageBreak/>
              <w:t>Switzerland</w:t>
            </w:r>
          </w:p>
        </w:tc>
        <w:tc>
          <w:tcPr>
            <w:tcW w:w="974" w:type="pct"/>
          </w:tcPr>
          <w:p w14:paraId="49B61D95" w14:textId="30FBDF0B" w:rsidR="007D36BB" w:rsidRDefault="00B47C9E" w:rsidP="00A65E3F">
            <w:pPr>
              <w:cnfStyle w:val="000000000000" w:firstRow="0" w:lastRow="0" w:firstColumn="0" w:lastColumn="0" w:oddVBand="0" w:evenVBand="0" w:oddHBand="0" w:evenHBand="0" w:firstRowFirstColumn="0" w:firstRowLastColumn="0" w:lastRowFirstColumn="0" w:lastRowLastColumn="0"/>
            </w:pPr>
            <w:r>
              <w:t>9 June 2023</w:t>
            </w:r>
          </w:p>
        </w:tc>
        <w:tc>
          <w:tcPr>
            <w:tcW w:w="974" w:type="pct"/>
          </w:tcPr>
          <w:p w14:paraId="60A2099C" w14:textId="209D32E4" w:rsidR="007D36BB" w:rsidRDefault="007D36BB" w:rsidP="00A65E3F">
            <w:pPr>
              <w:cnfStyle w:val="000000000000" w:firstRow="0" w:lastRow="0" w:firstColumn="0" w:lastColumn="0" w:oddVBand="0" w:evenVBand="0" w:oddHBand="0" w:evenHBand="0" w:firstRowFirstColumn="0" w:firstRowLastColumn="0" w:lastRowFirstColumn="0" w:lastRowLastColumn="0"/>
            </w:pPr>
            <w:r>
              <w:t xml:space="preserve">Approved </w:t>
            </w:r>
          </w:p>
          <w:p w14:paraId="66867FED" w14:textId="77777777" w:rsidR="007D36BB" w:rsidRDefault="007D36BB" w:rsidP="00A65E3F">
            <w:pPr>
              <w:cnfStyle w:val="000000000000" w:firstRow="0" w:lastRow="0" w:firstColumn="0" w:lastColumn="0" w:oddVBand="0" w:evenVBand="0" w:oddHBand="0" w:evenHBand="0" w:firstRowFirstColumn="0" w:firstRowLastColumn="0" w:lastRowFirstColumn="0" w:lastRowLastColumn="0"/>
            </w:pPr>
            <w:r>
              <w:t>4 July 2024</w:t>
            </w:r>
          </w:p>
          <w:p w14:paraId="63791831" w14:textId="24B2EDAD" w:rsidR="007D36BB" w:rsidRPr="00D01DDB" w:rsidRDefault="007D36BB" w:rsidP="00A65E3F">
            <w:pPr>
              <w:cnfStyle w:val="000000000000" w:firstRow="0" w:lastRow="0" w:firstColumn="0" w:lastColumn="0" w:oddVBand="0" w:evenVBand="0" w:oddHBand="0" w:evenHBand="0" w:firstRowFirstColumn="0" w:firstRowLastColumn="0" w:lastRowFirstColumn="0" w:lastRowLastColumn="0"/>
            </w:pPr>
          </w:p>
        </w:tc>
        <w:tc>
          <w:tcPr>
            <w:tcW w:w="2210" w:type="pct"/>
          </w:tcPr>
          <w:p w14:paraId="37A20D75" w14:textId="4614C11A" w:rsidR="007D36BB" w:rsidRPr="00BD2036" w:rsidRDefault="007D36BB" w:rsidP="00A65E3F">
            <w:pPr>
              <w:cnfStyle w:val="000000000000" w:firstRow="0" w:lastRow="0" w:firstColumn="0" w:lastColumn="0" w:oddVBand="0" w:evenVBand="0" w:oddHBand="0" w:evenHBand="0" w:firstRowFirstColumn="0" w:firstRowLastColumn="0" w:lastRowFirstColumn="0" w:lastRowLastColumn="0"/>
            </w:pPr>
            <w:proofErr w:type="spellStart"/>
            <w:r w:rsidRPr="00AC414E">
              <w:t>Pombiliti</w:t>
            </w:r>
            <w:proofErr w:type="spellEnd"/>
            <w:r w:rsidRPr="00AC414E">
              <w:t xml:space="preserve"> (</w:t>
            </w:r>
            <w:proofErr w:type="spellStart"/>
            <w:r w:rsidRPr="00AC414E">
              <w:t>cipaglucosidase</w:t>
            </w:r>
            <w:proofErr w:type="spellEnd"/>
            <w:r w:rsidRPr="00AC414E">
              <w:t xml:space="preserve"> alfa) is a long-term enzyme replacement therapy used in combination with the enzyme stabiliser </w:t>
            </w:r>
            <w:proofErr w:type="spellStart"/>
            <w:r w:rsidRPr="00AC414E">
              <w:t>miglustat</w:t>
            </w:r>
            <w:proofErr w:type="spellEnd"/>
            <w:r w:rsidRPr="00AC414E">
              <w:t xml:space="preserve"> for the treatment of adults with late-onset Pompe disease (acid α-glucosidase [GAA] deficiency).</w:t>
            </w:r>
          </w:p>
        </w:tc>
      </w:tr>
      <w:tr w:rsidR="007D36BB" w:rsidRPr="00D01DDB" w14:paraId="37B8F37C" w14:textId="77777777" w:rsidTr="007D36BB">
        <w:tc>
          <w:tcPr>
            <w:cnfStyle w:val="001000000000" w:firstRow="0" w:lastRow="0" w:firstColumn="1" w:lastColumn="0" w:oddVBand="0" w:evenVBand="0" w:oddHBand="0" w:evenHBand="0" w:firstRowFirstColumn="0" w:firstRowLastColumn="0" w:lastRowFirstColumn="0" w:lastRowLastColumn="0"/>
            <w:tcW w:w="842" w:type="pct"/>
          </w:tcPr>
          <w:p w14:paraId="1F94B1D2" w14:textId="64BD4352" w:rsidR="007D36BB" w:rsidRDefault="007D36BB" w:rsidP="00D70041">
            <w:pPr>
              <w:pStyle w:val="TableText"/>
            </w:pPr>
            <w:r>
              <w:t>United States of America</w:t>
            </w:r>
          </w:p>
        </w:tc>
        <w:tc>
          <w:tcPr>
            <w:tcW w:w="974" w:type="pct"/>
          </w:tcPr>
          <w:p w14:paraId="28322111" w14:textId="202A2029" w:rsidR="007D36BB" w:rsidRDefault="00B47C9E" w:rsidP="00D70041">
            <w:pPr>
              <w:pStyle w:val="TableText"/>
              <w:cnfStyle w:val="000000000000" w:firstRow="0" w:lastRow="0" w:firstColumn="0" w:lastColumn="0" w:oddVBand="0" w:evenVBand="0" w:oddHBand="0" w:evenHBand="0" w:firstRowFirstColumn="0" w:firstRowLastColumn="0" w:lastRowFirstColumn="0" w:lastRowLastColumn="0"/>
              <w:rPr>
                <w:lang w:val="en-US"/>
              </w:rPr>
            </w:pPr>
            <w:r>
              <w:rPr>
                <w:lang w:val="en-US"/>
              </w:rPr>
              <w:t>20 November 2020</w:t>
            </w:r>
          </w:p>
        </w:tc>
        <w:tc>
          <w:tcPr>
            <w:tcW w:w="974" w:type="pct"/>
          </w:tcPr>
          <w:p w14:paraId="704309D7" w14:textId="6A99C547" w:rsidR="007D36BB" w:rsidRDefault="007D36BB" w:rsidP="00D70041">
            <w:pPr>
              <w:pStyle w:val="TableText"/>
              <w:cnfStyle w:val="000000000000" w:firstRow="0" w:lastRow="0" w:firstColumn="0" w:lastColumn="0" w:oddVBand="0" w:evenVBand="0" w:oddHBand="0" w:evenHBand="0" w:firstRowFirstColumn="0" w:firstRowLastColumn="0" w:lastRowFirstColumn="0" w:lastRowLastColumn="0"/>
              <w:rPr>
                <w:lang w:val="en-US"/>
              </w:rPr>
            </w:pPr>
            <w:r>
              <w:rPr>
                <w:lang w:val="en-US"/>
              </w:rPr>
              <w:t>A</w:t>
            </w:r>
            <w:r w:rsidRPr="005E20BF">
              <w:rPr>
                <w:color w:val="000000"/>
                <w:lang w:val="en-US"/>
              </w:rPr>
              <w:t xml:space="preserve">pproved </w:t>
            </w:r>
          </w:p>
          <w:p w14:paraId="198AEE6A" w14:textId="6F532EC8" w:rsidR="007D36BB" w:rsidRPr="005E20BF" w:rsidRDefault="007D36BB" w:rsidP="00D70041">
            <w:pPr>
              <w:pStyle w:val="TableText"/>
              <w:cnfStyle w:val="000000000000" w:firstRow="0" w:lastRow="0" w:firstColumn="0" w:lastColumn="0" w:oddVBand="0" w:evenVBand="0" w:oddHBand="0" w:evenHBand="0" w:firstRowFirstColumn="0" w:firstRowLastColumn="0" w:lastRowFirstColumn="0" w:lastRowLastColumn="0"/>
              <w:rPr>
                <w:color w:val="000000"/>
                <w:lang w:val="en-US"/>
              </w:rPr>
            </w:pPr>
            <w:r w:rsidRPr="005E20BF">
              <w:rPr>
                <w:color w:val="000000"/>
                <w:lang w:val="en-US"/>
              </w:rPr>
              <w:t>28 September 2023.</w:t>
            </w:r>
          </w:p>
          <w:p w14:paraId="2F1CCE2A" w14:textId="77777777" w:rsidR="007D36BB" w:rsidRPr="00D01DDB" w:rsidRDefault="007D36BB" w:rsidP="00D70041">
            <w:pPr>
              <w:pStyle w:val="TableText"/>
              <w:cnfStyle w:val="000000000000" w:firstRow="0" w:lastRow="0" w:firstColumn="0" w:lastColumn="0" w:oddVBand="0" w:evenVBand="0" w:oddHBand="0" w:evenHBand="0" w:firstRowFirstColumn="0" w:firstRowLastColumn="0" w:lastRowFirstColumn="0" w:lastRowLastColumn="0"/>
            </w:pPr>
          </w:p>
        </w:tc>
        <w:tc>
          <w:tcPr>
            <w:tcW w:w="2210" w:type="pct"/>
          </w:tcPr>
          <w:p w14:paraId="7F1DDD1F" w14:textId="3539CA79" w:rsidR="007D36BB" w:rsidRPr="00BD2036" w:rsidRDefault="007D36BB" w:rsidP="00A65E3F">
            <w:pPr>
              <w:cnfStyle w:val="000000000000" w:firstRow="0" w:lastRow="0" w:firstColumn="0" w:lastColumn="0" w:oddVBand="0" w:evenVBand="0" w:oddHBand="0" w:evenHBand="0" w:firstRowFirstColumn="0" w:firstRowLastColumn="0" w:lastRowFirstColumn="0" w:lastRowLastColumn="0"/>
            </w:pPr>
            <w:proofErr w:type="spellStart"/>
            <w:r>
              <w:t>Pombiliti</w:t>
            </w:r>
            <w:proofErr w:type="spellEnd"/>
            <w:r w:rsidRPr="00827177">
              <w:t xml:space="preserve"> is indicated, in combination with </w:t>
            </w:r>
            <w:proofErr w:type="spellStart"/>
            <w:r w:rsidRPr="00827177">
              <w:t>Opfolda</w:t>
            </w:r>
            <w:proofErr w:type="spellEnd"/>
            <w:r w:rsidRPr="00827177">
              <w:t>, for the treatment of adult patients with late-onset Pompe disease (lysosomal acid alpha-glucosidase [GAA] deficiency) weighing ≥40 kg and who are not improving on their current enzyme replacement therapy (ERT).</w:t>
            </w:r>
          </w:p>
        </w:tc>
      </w:tr>
    </w:tbl>
    <w:p w14:paraId="6D92589C" w14:textId="09786CEF" w:rsidR="00324B33" w:rsidRDefault="00324B33" w:rsidP="00513ACB">
      <w:pPr>
        <w:pStyle w:val="Heading4"/>
      </w:pPr>
      <w:bookmarkStart w:id="27" w:name="_Toc504480011"/>
      <w:bookmarkStart w:id="28" w:name="_Toc103679293"/>
      <w:bookmarkStart w:id="29" w:name="_Toc200457818"/>
      <w:r>
        <w:t>Registration timeline</w:t>
      </w:r>
      <w:bookmarkEnd w:id="27"/>
      <w:bookmarkEnd w:id="28"/>
      <w:bookmarkEnd w:id="29"/>
    </w:p>
    <w:p w14:paraId="225E3D87" w14:textId="1F3070CE" w:rsidR="00324B33" w:rsidRPr="00BD5DBD" w:rsidRDefault="00324B33" w:rsidP="00324B33">
      <w:pPr>
        <w:rPr>
          <w:szCs w:val="22"/>
        </w:rPr>
      </w:pPr>
      <w:r w:rsidRPr="00BD5DBD">
        <w:rPr>
          <w:szCs w:val="22"/>
        </w:rPr>
        <w:t>The following table captures the key steps and dates for this submission.</w:t>
      </w:r>
    </w:p>
    <w:p w14:paraId="6BB76942" w14:textId="49C62989" w:rsidR="00477C4E" w:rsidRPr="00BD5DBD" w:rsidRDefault="00477C4E" w:rsidP="00324B33">
      <w:pPr>
        <w:rPr>
          <w:szCs w:val="22"/>
        </w:rPr>
      </w:pPr>
      <w:r w:rsidRPr="00BD5DBD">
        <w:rPr>
          <w:szCs w:val="22"/>
        </w:rPr>
        <w:t xml:space="preserve">This submission was evaluated under the </w:t>
      </w:r>
      <w:hyperlink r:id="rId21" w:history="1">
        <w:r w:rsidRPr="00BD5DBD">
          <w:rPr>
            <w:rStyle w:val="Hyperlink"/>
            <w:szCs w:val="22"/>
          </w:rPr>
          <w:t>standard prescription medicines registration process</w:t>
        </w:r>
      </w:hyperlink>
      <w:r w:rsidRPr="00BD5DBD">
        <w:rPr>
          <w:szCs w:val="22"/>
        </w:rPr>
        <w:t>.</w:t>
      </w:r>
    </w:p>
    <w:p w14:paraId="44628C5F" w14:textId="4CBBDF0A" w:rsidR="00324B33" w:rsidRDefault="00324B33" w:rsidP="002C1232">
      <w:pPr>
        <w:pStyle w:val="TableTitle"/>
      </w:pPr>
      <w:r w:rsidRPr="002C1232">
        <w:t xml:space="preserve">Table </w:t>
      </w:r>
      <w:r w:rsidR="008B1CB5">
        <w:fldChar w:fldCharType="begin"/>
      </w:r>
      <w:r w:rsidR="008B1CB5">
        <w:instrText xml:space="preserve"> SEQ Table \* ARABIC </w:instrText>
      </w:r>
      <w:r w:rsidR="008B1CB5">
        <w:fldChar w:fldCharType="separate"/>
      </w:r>
      <w:r w:rsidR="008B1CB5" w:rsidRPr="002C1232">
        <w:t>2</w:t>
      </w:r>
      <w:r w:rsidR="008B1CB5">
        <w:fldChar w:fldCharType="end"/>
      </w:r>
      <w:r w:rsidRPr="002C1232">
        <w:t>: Timeline for Submission PM-202</w:t>
      </w:r>
      <w:r w:rsidR="009838DD">
        <w:t>3</w:t>
      </w:r>
      <w:r w:rsidRPr="002C1232">
        <w:t>-</w:t>
      </w:r>
      <w:r w:rsidR="009838DD">
        <w:t>05418</w:t>
      </w:r>
      <w:r w:rsidRPr="002C1232">
        <w:t>-1-</w:t>
      </w:r>
      <w:r w:rsidR="009838DD">
        <w:t>3</w:t>
      </w:r>
    </w:p>
    <w:tbl>
      <w:tblPr>
        <w:tblStyle w:val="TableTGAblue2023"/>
        <w:tblW w:w="8642" w:type="dxa"/>
        <w:tblLook w:val="04A0" w:firstRow="1" w:lastRow="0" w:firstColumn="1" w:lastColumn="0" w:noHBand="0" w:noVBand="1"/>
      </w:tblPr>
      <w:tblGrid>
        <w:gridCol w:w="5665"/>
        <w:gridCol w:w="2977"/>
      </w:tblGrid>
      <w:tr w:rsidR="00324B33" w:rsidRPr="00D01DDB" w14:paraId="6C59BE9C" w14:textId="77777777" w:rsidTr="000D78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16D80E78" w14:textId="3EC0CCAF" w:rsidR="00324B33" w:rsidRPr="00D01DDB" w:rsidRDefault="00324B33" w:rsidP="00324B33">
            <w:pPr>
              <w:rPr>
                <w:szCs w:val="22"/>
              </w:rPr>
            </w:pPr>
            <w:r w:rsidRPr="00D01DDB">
              <w:rPr>
                <w:szCs w:val="22"/>
              </w:rPr>
              <w:t>Description</w:t>
            </w:r>
          </w:p>
        </w:tc>
        <w:tc>
          <w:tcPr>
            <w:tcW w:w="2977" w:type="dxa"/>
          </w:tcPr>
          <w:p w14:paraId="79AFDC4B" w14:textId="05792035"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Date</w:t>
            </w:r>
          </w:p>
        </w:tc>
      </w:tr>
      <w:tr w:rsidR="00324B33" w:rsidRPr="00D01DDB" w14:paraId="23610C53"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759D2A12" w14:textId="0D705F83" w:rsidR="00324B33" w:rsidRPr="00E679D1" w:rsidRDefault="00324B33" w:rsidP="00355D68">
            <w:r w:rsidRPr="00E679D1">
              <w:t>Submission dossier accepted and first round evaluation commenced</w:t>
            </w:r>
          </w:p>
        </w:tc>
        <w:tc>
          <w:tcPr>
            <w:tcW w:w="2977" w:type="dxa"/>
          </w:tcPr>
          <w:p w14:paraId="2963D9D8" w14:textId="374CFFF3" w:rsidR="00324B33" w:rsidRPr="00D01DDB" w:rsidRDefault="00BE1804" w:rsidP="00355D68">
            <w:pPr>
              <w:cnfStyle w:val="000000000000" w:firstRow="0" w:lastRow="0" w:firstColumn="0" w:lastColumn="0" w:oddVBand="0" w:evenVBand="0" w:oddHBand="0" w:evenHBand="0" w:firstRowFirstColumn="0" w:firstRowLastColumn="0" w:lastRowFirstColumn="0" w:lastRowLastColumn="0"/>
              <w:rPr>
                <w:szCs w:val="22"/>
              </w:rPr>
            </w:pPr>
            <w:r>
              <w:rPr>
                <w:szCs w:val="22"/>
              </w:rPr>
              <w:t>31 January 2024</w:t>
            </w:r>
          </w:p>
        </w:tc>
      </w:tr>
      <w:tr w:rsidR="00324B33" w:rsidRPr="00D01DDB" w14:paraId="53437815"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4C037D4E" w14:textId="2B0CE255" w:rsidR="00324B33" w:rsidRPr="00E679D1" w:rsidRDefault="00324B33" w:rsidP="00355D68">
            <w:r w:rsidRPr="00E679D1">
              <w:t>First round evaluation completed</w:t>
            </w:r>
          </w:p>
        </w:tc>
        <w:tc>
          <w:tcPr>
            <w:tcW w:w="2977" w:type="dxa"/>
          </w:tcPr>
          <w:p w14:paraId="3CEAFAAB" w14:textId="25E8F766" w:rsidR="00324B33" w:rsidRPr="00D01DDB" w:rsidRDefault="002A17CA" w:rsidP="00355D68">
            <w:pPr>
              <w:cnfStyle w:val="000000000000" w:firstRow="0" w:lastRow="0" w:firstColumn="0" w:lastColumn="0" w:oddVBand="0" w:evenVBand="0" w:oddHBand="0" w:evenHBand="0" w:firstRowFirstColumn="0" w:firstRowLastColumn="0" w:lastRowFirstColumn="0" w:lastRowLastColumn="0"/>
              <w:rPr>
                <w:szCs w:val="22"/>
              </w:rPr>
            </w:pPr>
            <w:r>
              <w:rPr>
                <w:szCs w:val="22"/>
              </w:rPr>
              <w:t xml:space="preserve">6 June </w:t>
            </w:r>
            <w:r w:rsidR="00390E3C">
              <w:rPr>
                <w:szCs w:val="22"/>
              </w:rPr>
              <w:t>2024</w:t>
            </w:r>
          </w:p>
        </w:tc>
      </w:tr>
      <w:tr w:rsidR="00324B33" w:rsidRPr="00D01DDB" w14:paraId="60DA57CC"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02EA1147" w14:textId="2853A422" w:rsidR="00324B33" w:rsidRPr="00E679D1" w:rsidRDefault="00324B33" w:rsidP="00355D68">
            <w:r w:rsidRPr="00E679D1">
              <w:t>Sponsor provides responses on questions raised in first round evaluation</w:t>
            </w:r>
          </w:p>
        </w:tc>
        <w:tc>
          <w:tcPr>
            <w:tcW w:w="2977" w:type="dxa"/>
          </w:tcPr>
          <w:p w14:paraId="68A577C1" w14:textId="37FC3F1F" w:rsidR="00324B33" w:rsidRPr="00D01DDB" w:rsidRDefault="00634C1A" w:rsidP="00355D68">
            <w:pPr>
              <w:cnfStyle w:val="000000000000" w:firstRow="0" w:lastRow="0" w:firstColumn="0" w:lastColumn="0" w:oddVBand="0" w:evenVBand="0" w:oddHBand="0" w:evenHBand="0" w:firstRowFirstColumn="0" w:firstRowLastColumn="0" w:lastRowFirstColumn="0" w:lastRowLastColumn="0"/>
              <w:rPr>
                <w:szCs w:val="22"/>
              </w:rPr>
            </w:pPr>
            <w:r>
              <w:rPr>
                <w:szCs w:val="22"/>
              </w:rPr>
              <w:t>13 September</w:t>
            </w:r>
          </w:p>
        </w:tc>
      </w:tr>
      <w:tr w:rsidR="00324B33" w:rsidRPr="00D01DDB" w14:paraId="767E33A4"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4AFC5B50" w14:textId="2BCC6A3E" w:rsidR="00324B33" w:rsidRPr="00E679D1" w:rsidRDefault="00324B33" w:rsidP="00355D68">
            <w:r w:rsidRPr="00E679D1">
              <w:t>Second round evaluation completed</w:t>
            </w:r>
          </w:p>
        </w:tc>
        <w:tc>
          <w:tcPr>
            <w:tcW w:w="2977" w:type="dxa"/>
          </w:tcPr>
          <w:p w14:paraId="4E47DF62" w14:textId="23B645EA" w:rsidR="00324B33" w:rsidRPr="00D01DDB" w:rsidRDefault="002A17CA" w:rsidP="00355D68">
            <w:pPr>
              <w:cnfStyle w:val="000000000000" w:firstRow="0" w:lastRow="0" w:firstColumn="0" w:lastColumn="0" w:oddVBand="0" w:evenVBand="0" w:oddHBand="0" w:evenHBand="0" w:firstRowFirstColumn="0" w:firstRowLastColumn="0" w:lastRowFirstColumn="0" w:lastRowLastColumn="0"/>
              <w:rPr>
                <w:szCs w:val="22"/>
              </w:rPr>
            </w:pPr>
            <w:r>
              <w:rPr>
                <w:szCs w:val="22"/>
              </w:rPr>
              <w:t>2 October 2024</w:t>
            </w:r>
          </w:p>
        </w:tc>
      </w:tr>
      <w:tr w:rsidR="00324B33" w:rsidRPr="00D01DDB" w14:paraId="302FCB45"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716E9DC1" w14:textId="630E4D0B" w:rsidR="00324B33" w:rsidRPr="00D01DDB" w:rsidRDefault="00324B33" w:rsidP="00355D68">
            <w:pPr>
              <w:rPr>
                <w:szCs w:val="22"/>
              </w:rPr>
            </w:pPr>
            <w:r w:rsidRPr="00D01DDB">
              <w:rPr>
                <w:szCs w:val="22"/>
              </w:rPr>
              <w:t>Delegate’s</w:t>
            </w:r>
            <w:r w:rsidR="00500D68">
              <w:rPr>
                <w:rStyle w:val="FootnoteReference"/>
                <w:szCs w:val="22"/>
              </w:rPr>
              <w:footnoteReference w:id="5"/>
            </w:r>
            <w:r w:rsidRPr="00D01DDB">
              <w:rPr>
                <w:szCs w:val="22"/>
              </w:rPr>
              <w:t xml:space="preserve"> Overall benefit-risk assessment </w:t>
            </w:r>
          </w:p>
        </w:tc>
        <w:tc>
          <w:tcPr>
            <w:tcW w:w="2977" w:type="dxa"/>
          </w:tcPr>
          <w:p w14:paraId="3BA6EF79" w14:textId="54467695" w:rsidR="00324B33" w:rsidRPr="00D01DDB" w:rsidRDefault="0063736D" w:rsidP="00355D68">
            <w:pPr>
              <w:cnfStyle w:val="000000000000" w:firstRow="0" w:lastRow="0" w:firstColumn="0" w:lastColumn="0" w:oddVBand="0" w:evenVBand="0" w:oddHBand="0" w:evenHBand="0" w:firstRowFirstColumn="0" w:firstRowLastColumn="0" w:lastRowFirstColumn="0" w:lastRowLastColumn="0"/>
              <w:rPr>
                <w:szCs w:val="22"/>
              </w:rPr>
            </w:pPr>
            <w:r>
              <w:rPr>
                <w:szCs w:val="22"/>
              </w:rPr>
              <w:t>5 November 2024</w:t>
            </w:r>
          </w:p>
        </w:tc>
      </w:tr>
      <w:tr w:rsidR="00324B33" w:rsidRPr="00D01DDB" w14:paraId="6E5D32FE"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4E95C44C" w14:textId="7A91C710" w:rsidR="00324B33" w:rsidRPr="00E679D1" w:rsidRDefault="00324B33" w:rsidP="00355D68">
            <w:r w:rsidRPr="00E679D1">
              <w:t>Registration decision (Outcome)</w:t>
            </w:r>
          </w:p>
        </w:tc>
        <w:tc>
          <w:tcPr>
            <w:tcW w:w="2977" w:type="dxa"/>
          </w:tcPr>
          <w:p w14:paraId="62987ABD" w14:textId="7D12C294" w:rsidR="00324B33" w:rsidRPr="00D01DDB" w:rsidRDefault="00C87F01" w:rsidP="00355D68">
            <w:pPr>
              <w:cnfStyle w:val="000000000000" w:firstRow="0" w:lastRow="0" w:firstColumn="0" w:lastColumn="0" w:oddVBand="0" w:evenVBand="0" w:oddHBand="0" w:evenHBand="0" w:firstRowFirstColumn="0" w:firstRowLastColumn="0" w:lastRowFirstColumn="0" w:lastRowLastColumn="0"/>
              <w:rPr>
                <w:szCs w:val="22"/>
              </w:rPr>
            </w:pPr>
            <w:r>
              <w:rPr>
                <w:szCs w:val="22"/>
              </w:rPr>
              <w:t>10 February 2025</w:t>
            </w:r>
          </w:p>
        </w:tc>
      </w:tr>
      <w:tr w:rsidR="00324B33" w:rsidRPr="00D01DDB" w14:paraId="6DDCDDA4"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192FD19D" w14:textId="3612A2E7" w:rsidR="00324B33" w:rsidRPr="00E679D1" w:rsidRDefault="0013132F" w:rsidP="00355D68">
            <w:r w:rsidRPr="00E679D1">
              <w:t xml:space="preserve">Administrative activities and registration </w:t>
            </w:r>
            <w:r w:rsidR="005C4B46" w:rsidRPr="00E679D1">
              <w:t xml:space="preserve">in </w:t>
            </w:r>
            <w:r w:rsidRPr="00E679D1">
              <w:t>the ARTG completed</w:t>
            </w:r>
          </w:p>
        </w:tc>
        <w:tc>
          <w:tcPr>
            <w:tcW w:w="2977" w:type="dxa"/>
          </w:tcPr>
          <w:p w14:paraId="5A8923FD" w14:textId="4936B91C" w:rsidR="00324B33" w:rsidRPr="00D01DDB" w:rsidRDefault="00C87F01" w:rsidP="00355D68">
            <w:pPr>
              <w:cnfStyle w:val="000000000000" w:firstRow="0" w:lastRow="0" w:firstColumn="0" w:lastColumn="0" w:oddVBand="0" w:evenVBand="0" w:oddHBand="0" w:evenHBand="0" w:firstRowFirstColumn="0" w:firstRowLastColumn="0" w:lastRowFirstColumn="0" w:lastRowLastColumn="0"/>
              <w:rPr>
                <w:szCs w:val="22"/>
              </w:rPr>
            </w:pPr>
            <w:r>
              <w:rPr>
                <w:szCs w:val="22"/>
              </w:rPr>
              <w:t>17 February 2025</w:t>
            </w:r>
          </w:p>
        </w:tc>
      </w:tr>
      <w:tr w:rsidR="00324B33" w:rsidRPr="00D01DDB" w14:paraId="56D922E2"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787FD8DD" w14:textId="0E0CF97F" w:rsidR="00324B33" w:rsidRPr="00E679D1" w:rsidRDefault="00324B33" w:rsidP="00355D68">
            <w:r w:rsidRPr="00E679D1">
              <w:t>Number of working days from submission dossier acceptance to registration decision*</w:t>
            </w:r>
          </w:p>
        </w:tc>
        <w:tc>
          <w:tcPr>
            <w:tcW w:w="2977" w:type="dxa"/>
          </w:tcPr>
          <w:p w14:paraId="5BAF9FA1" w14:textId="67C930BD" w:rsidR="00324B33" w:rsidRPr="00D01DDB" w:rsidRDefault="004705E3" w:rsidP="00355D68">
            <w:pPr>
              <w:cnfStyle w:val="000000000000" w:firstRow="0" w:lastRow="0" w:firstColumn="0" w:lastColumn="0" w:oddVBand="0" w:evenVBand="0" w:oddHBand="0" w:evenHBand="0" w:firstRowFirstColumn="0" w:firstRowLastColumn="0" w:lastRowFirstColumn="0" w:lastRowLastColumn="0"/>
              <w:rPr>
                <w:szCs w:val="22"/>
              </w:rPr>
            </w:pPr>
            <w:r>
              <w:rPr>
                <w:szCs w:val="22"/>
              </w:rPr>
              <w:t>191</w:t>
            </w:r>
          </w:p>
        </w:tc>
      </w:tr>
    </w:tbl>
    <w:p w14:paraId="7B02554C" w14:textId="4373E6E4" w:rsidR="00433318" w:rsidRDefault="00433318" w:rsidP="00433318">
      <w:pPr>
        <w:pStyle w:val="TableDescription"/>
      </w:pPr>
      <w:r>
        <w:t>*</w:t>
      </w:r>
      <w:r w:rsidRPr="00BF3774">
        <w:t xml:space="preserve">Statutory </w:t>
      </w:r>
      <w:r>
        <w:t>timeframe for standard submissions is 255 working days</w:t>
      </w:r>
    </w:p>
    <w:p w14:paraId="220925F1" w14:textId="77777777" w:rsidR="00C22214" w:rsidRPr="00792A32" w:rsidRDefault="00C22214" w:rsidP="00C22214">
      <w:pPr>
        <w:pStyle w:val="Heading2"/>
      </w:pPr>
      <w:bookmarkStart w:id="30" w:name="_Toc196046504"/>
      <w:bookmarkStart w:id="31" w:name="_Toc247691527"/>
      <w:bookmarkStart w:id="32" w:name="_Toc314842510"/>
      <w:bookmarkStart w:id="33" w:name="_Toc103679294"/>
      <w:bookmarkStart w:id="34" w:name="_Toc200457819"/>
      <w:r w:rsidRPr="00006FAB">
        <w:lastRenderedPageBreak/>
        <w:t xml:space="preserve">Submission overview </w:t>
      </w:r>
      <w:r w:rsidRPr="00792A32">
        <w:t xml:space="preserve">and </w:t>
      </w:r>
      <w:r>
        <w:t>r</w:t>
      </w:r>
      <w:r w:rsidRPr="00792A32">
        <w:t>isk/</w:t>
      </w:r>
      <w:r>
        <w:t>b</w:t>
      </w:r>
      <w:r w:rsidRPr="00792A32">
        <w:t xml:space="preserve">enefit </w:t>
      </w:r>
      <w:r>
        <w:t>a</w:t>
      </w:r>
      <w:r w:rsidRPr="00792A32">
        <w:t>ssessment</w:t>
      </w:r>
      <w:bookmarkEnd w:id="30"/>
      <w:bookmarkEnd w:id="31"/>
      <w:bookmarkEnd w:id="32"/>
      <w:bookmarkEnd w:id="33"/>
      <w:bookmarkEnd w:id="34"/>
    </w:p>
    <w:p w14:paraId="37F5A1C0" w14:textId="457285BB" w:rsidR="00C22214" w:rsidRDefault="00C22214" w:rsidP="00C22214">
      <w:pPr>
        <w:pStyle w:val="Heading3"/>
      </w:pPr>
      <w:bookmarkStart w:id="35" w:name="_Toc247691528"/>
      <w:bookmarkStart w:id="36" w:name="_Toc314842511"/>
      <w:bookmarkStart w:id="37" w:name="_Toc103679295"/>
      <w:bookmarkStart w:id="38" w:name="_Toc200457820"/>
      <w:r>
        <w:t>Qu</w:t>
      </w:r>
      <w:r w:rsidR="00BA2742">
        <w:t>a</w:t>
      </w:r>
      <w:r>
        <w:t>lity</w:t>
      </w:r>
      <w:bookmarkEnd w:id="35"/>
      <w:bookmarkEnd w:id="36"/>
      <w:bookmarkEnd w:id="37"/>
      <w:r w:rsidR="00FF0D30">
        <w:t xml:space="preserve"> evaluation summary</w:t>
      </w:r>
      <w:bookmarkEnd w:id="38"/>
    </w:p>
    <w:p w14:paraId="611749B9" w14:textId="1E0F52CA" w:rsidR="00F664BD" w:rsidRPr="00F664BD" w:rsidRDefault="000E7A2F" w:rsidP="008E5A67">
      <w:proofErr w:type="spellStart"/>
      <w:r w:rsidRPr="00090985">
        <w:t>Cipaglucosidase</w:t>
      </w:r>
      <w:proofErr w:type="spellEnd"/>
      <w:r w:rsidRPr="00090985">
        <w:t xml:space="preserve"> alfa is a human recombinant acid α-glucosidase derived from a recombinant Chinese hamster ovary (CHO) cell culture. </w:t>
      </w:r>
      <w:proofErr w:type="spellStart"/>
      <w:r w:rsidR="00F664BD" w:rsidRPr="00F664BD">
        <w:t>Cipaglucosidase</w:t>
      </w:r>
      <w:proofErr w:type="spellEnd"/>
      <w:r w:rsidR="00F664BD" w:rsidRPr="00F664BD">
        <w:t xml:space="preserve"> alfa is intended to replace the absent or impaired endogenous enzyme. </w:t>
      </w:r>
      <w:proofErr w:type="spellStart"/>
      <w:r w:rsidR="00F664BD" w:rsidRPr="00F664BD">
        <w:t>Cipaglucosidase</w:t>
      </w:r>
      <w:proofErr w:type="spellEnd"/>
      <w:r w:rsidR="00F664BD" w:rsidRPr="00F664BD">
        <w:t xml:space="preserve"> alfa is stabilised by </w:t>
      </w:r>
      <w:proofErr w:type="spellStart"/>
      <w:r w:rsidR="00480B2D">
        <w:t>Opfolda</w:t>
      </w:r>
      <w:proofErr w:type="spellEnd"/>
      <w:r w:rsidR="00480B2D">
        <w:t xml:space="preserve"> (</w:t>
      </w:r>
      <w:proofErr w:type="spellStart"/>
      <w:r w:rsidR="00F664BD" w:rsidRPr="00F664BD">
        <w:t>miglustat</w:t>
      </w:r>
      <w:proofErr w:type="spellEnd"/>
      <w:r w:rsidR="00480B2D">
        <w:t>)</w:t>
      </w:r>
      <w:r w:rsidR="00F664BD" w:rsidRPr="00F664BD">
        <w:t xml:space="preserve"> minimising the loss of enzyme activity in the blood during infusion of this hydrolytic glycogen-specific enzyme with bis-M6P N-glycans for high affinity cation-independent mannose-6-phosphate receptor (CI-MPR) binding. After binding, it is internalised in the lysosome where it undergoes proteolytic cleavage and N-glycan trimming which are both required to yield the most mature and active form of the GAA enzyme, 7- to 10-fold more active than the precursor enzyme. The enzyme activity reduces intramuscular glycogen and ameliorates tissue damage.</w:t>
      </w:r>
    </w:p>
    <w:p w14:paraId="043BF2D9" w14:textId="7A470187" w:rsidR="007E001F" w:rsidRDefault="00E4410F" w:rsidP="00355D68">
      <w:r w:rsidRPr="00E4410F">
        <w:t xml:space="preserve">The recommended dose of </w:t>
      </w:r>
      <w:proofErr w:type="spellStart"/>
      <w:r w:rsidR="00ED4811">
        <w:t>c</w:t>
      </w:r>
      <w:r w:rsidR="00ED4811" w:rsidRPr="00ED4811">
        <w:t>ipaglucosidase</w:t>
      </w:r>
      <w:proofErr w:type="spellEnd"/>
      <w:r w:rsidR="00ED4811" w:rsidRPr="00ED4811">
        <w:t xml:space="preserve"> alfa</w:t>
      </w:r>
      <w:r w:rsidRPr="00E4410F">
        <w:t xml:space="preserve"> is 20 mg/kg body weight administered every other week by intravenous (IV) infusion. The infusion can be administered in the hospital, clinic, or home, after a comprehensive evaluation of infusion-associated reactions (IARs) risks, under the supervision of a healthcare professional.</w:t>
      </w:r>
      <w:r w:rsidR="00ED4811">
        <w:t xml:space="preserve"> </w:t>
      </w:r>
      <w:proofErr w:type="spellStart"/>
      <w:r w:rsidR="002E5FC5">
        <w:t>Opfolda</w:t>
      </w:r>
      <w:proofErr w:type="spellEnd"/>
      <w:r w:rsidR="002E5FC5">
        <w:t xml:space="preserve"> (</w:t>
      </w:r>
      <w:proofErr w:type="spellStart"/>
      <w:r w:rsidR="002E5FC5">
        <w:t>m</w:t>
      </w:r>
      <w:r w:rsidR="00874B09">
        <w:t>iglustat</w:t>
      </w:r>
      <w:proofErr w:type="spellEnd"/>
      <w:r w:rsidR="002E5FC5">
        <w:t>)</w:t>
      </w:r>
      <w:r w:rsidRPr="00E4410F">
        <w:t xml:space="preserve"> must be used in combination with </w:t>
      </w:r>
      <w:proofErr w:type="spellStart"/>
      <w:r w:rsidRPr="00E4410F">
        <w:t>P</w:t>
      </w:r>
      <w:r w:rsidR="00874B09">
        <w:t>ombiliti</w:t>
      </w:r>
      <w:proofErr w:type="spellEnd"/>
      <w:r w:rsidRPr="00E4410F">
        <w:t>.</w:t>
      </w:r>
    </w:p>
    <w:p w14:paraId="4ABFD548" w14:textId="6D7D3DC3" w:rsidR="00972754" w:rsidRDefault="003552F5" w:rsidP="008E5A67">
      <w:proofErr w:type="spellStart"/>
      <w:r>
        <w:t>C</w:t>
      </w:r>
      <w:r w:rsidRPr="003552F5">
        <w:t>ipaglucosidase</w:t>
      </w:r>
      <w:proofErr w:type="spellEnd"/>
      <w:r w:rsidRPr="003552F5">
        <w:t xml:space="preserve"> alfa</w:t>
      </w:r>
      <w:r w:rsidR="00602936">
        <w:t xml:space="preserve"> is a </w:t>
      </w:r>
      <w:r>
        <w:t xml:space="preserve">colourless to slightly </w:t>
      </w:r>
      <w:r w:rsidR="00635C9A">
        <w:t>yellowish</w:t>
      </w:r>
      <w:r w:rsidR="00602936">
        <w:t xml:space="preserve"> liquid that appears</w:t>
      </w:r>
      <w:r w:rsidR="00635C9A">
        <w:t xml:space="preserve"> clear to </w:t>
      </w:r>
      <w:r w:rsidR="00E70401">
        <w:t xml:space="preserve">opalescent. </w:t>
      </w:r>
      <w:r w:rsidR="00E4410F" w:rsidRPr="00E4410F">
        <w:t xml:space="preserve">The </w:t>
      </w:r>
      <w:proofErr w:type="spellStart"/>
      <w:r w:rsidR="002E5FC5">
        <w:t>Opfolda</w:t>
      </w:r>
      <w:proofErr w:type="spellEnd"/>
      <w:r w:rsidR="00E4410F" w:rsidRPr="00E4410F">
        <w:t xml:space="preserve"> 65 mg hard capsules are to be taken on an empty stomach and swallowed whole with</w:t>
      </w:r>
      <w:r w:rsidR="00D3550E">
        <w:t xml:space="preserve"> </w:t>
      </w:r>
      <w:r w:rsidR="00EE6D01">
        <w:t>water</w:t>
      </w:r>
      <w:r w:rsidR="00E4410F" w:rsidRPr="00E4410F">
        <w:t>.</w:t>
      </w:r>
      <w:r w:rsidR="00E05BF1" w:rsidRPr="00E05BF1">
        <w:rPr>
          <w:rFonts w:cs="Cambria"/>
          <w:szCs w:val="22"/>
        </w:rPr>
        <w:t xml:space="preserve"> </w:t>
      </w:r>
      <w:r w:rsidR="00E05BF1" w:rsidRPr="00E05BF1">
        <w:t xml:space="preserve">One 20 mL vial contains 105 mg of </w:t>
      </w:r>
      <w:proofErr w:type="spellStart"/>
      <w:r w:rsidR="00E05BF1" w:rsidRPr="00E05BF1">
        <w:t>cipaglucosidase</w:t>
      </w:r>
      <w:proofErr w:type="spellEnd"/>
      <w:r w:rsidR="00E05BF1" w:rsidRPr="00E05BF1">
        <w:t xml:space="preserve"> alfa. It is supplied in a neutral borosilicate</w:t>
      </w:r>
      <w:r w:rsidR="00E05BF1">
        <w:t xml:space="preserve"> </w:t>
      </w:r>
      <w:r w:rsidR="00E05BF1" w:rsidRPr="00E05BF1">
        <w:t xml:space="preserve">clear glass vial sealed with a 20 mm </w:t>
      </w:r>
      <w:proofErr w:type="spellStart"/>
      <w:r w:rsidR="00E05BF1" w:rsidRPr="00E05BF1">
        <w:t>chlorobutyl</w:t>
      </w:r>
      <w:proofErr w:type="spellEnd"/>
      <w:r w:rsidR="00E05BF1" w:rsidRPr="00E05BF1">
        <w:t xml:space="preserve"> rubber stopper with an aluminium over</w:t>
      </w:r>
      <w:r w:rsidR="00E4106C">
        <w:t>-</w:t>
      </w:r>
      <w:r w:rsidR="00E05BF1" w:rsidRPr="00E05BF1">
        <w:t>seal</w:t>
      </w:r>
      <w:r w:rsidR="00E05BF1">
        <w:t xml:space="preserve"> </w:t>
      </w:r>
      <w:r w:rsidR="00E05BF1" w:rsidRPr="00E05BF1">
        <w:t>with a dark grey flip-off cap.</w:t>
      </w:r>
    </w:p>
    <w:p w14:paraId="10C44CA2" w14:textId="3B96AAF8" w:rsidR="000E7A2F" w:rsidRDefault="000E7A2F" w:rsidP="00671F09">
      <w:bookmarkStart w:id="39" w:name="_Hlk136434672"/>
      <w:r>
        <w:t xml:space="preserve">There are no issues </w:t>
      </w:r>
      <w:r w:rsidRPr="00E03D57">
        <w:t xml:space="preserve">pertaining to </w:t>
      </w:r>
      <w:r w:rsidR="001628CA">
        <w:t xml:space="preserve">the </w:t>
      </w:r>
      <w:r w:rsidRPr="00E03D57">
        <w:t xml:space="preserve">stability </w:t>
      </w:r>
      <w:r w:rsidRPr="00847FFE">
        <w:t xml:space="preserve">of </w:t>
      </w:r>
      <w:r w:rsidR="001628CA">
        <w:t xml:space="preserve">the </w:t>
      </w:r>
      <w:r w:rsidR="00847FFE" w:rsidRPr="001628CA">
        <w:t xml:space="preserve">drug substance </w:t>
      </w:r>
      <w:r w:rsidRPr="001628CA">
        <w:t>or</w:t>
      </w:r>
      <w:r w:rsidR="00847FFE" w:rsidRPr="00847FFE">
        <w:t xml:space="preserve"> drug</w:t>
      </w:r>
      <w:r w:rsidR="00847FFE">
        <w:t xml:space="preserve"> product</w:t>
      </w:r>
      <w:r w:rsidRPr="00E03D57">
        <w:t>.</w:t>
      </w:r>
      <w:r w:rsidR="00127DF6">
        <w:t xml:space="preserve"> </w:t>
      </w:r>
      <w:r w:rsidRPr="001628CA">
        <w:t xml:space="preserve">The recommended shelf life for the </w:t>
      </w:r>
      <w:r w:rsidR="001628CA">
        <w:t>drug product</w:t>
      </w:r>
      <w:r w:rsidRPr="001628CA">
        <w:t xml:space="preserve"> is 36 months when stored at</w:t>
      </w:r>
      <w:r w:rsidRPr="00C2783B">
        <w:t xml:space="preserve"> 2˚C to 8˚C</w:t>
      </w:r>
      <w:r>
        <w:t>, p</w:t>
      </w:r>
      <w:r w:rsidRPr="00C2783B">
        <w:t>rotect from light</w:t>
      </w:r>
      <w:r>
        <w:t>, r</w:t>
      </w:r>
      <w:r w:rsidRPr="00C2783B">
        <w:t>efrigerate.</w:t>
      </w:r>
      <w:r w:rsidR="00127DF6">
        <w:t xml:space="preserve"> </w:t>
      </w:r>
      <w:r w:rsidR="00B62336" w:rsidRPr="00B62336">
        <w:t xml:space="preserve">After reconstituting the vial, the solution should be diluted with sodium chloride 0.9% solution for injection and then stored in an infusion bag. Once reconstituted and diluted, </w:t>
      </w:r>
      <w:proofErr w:type="spellStart"/>
      <w:r w:rsidR="00B62336" w:rsidRPr="00B62336">
        <w:t>cipaglucosidase</w:t>
      </w:r>
      <w:proofErr w:type="spellEnd"/>
      <w:r w:rsidR="00B62336" w:rsidRPr="00B62336">
        <w:t xml:space="preserve"> alfa solution should be administered without delay. </w:t>
      </w:r>
      <w:r w:rsidR="00B647D7" w:rsidRPr="00B647D7">
        <w:t>If it is not possible to start the infusion following dilution, the reconstituted and diluted solution</w:t>
      </w:r>
      <w:r w:rsidR="00B647D7">
        <w:t xml:space="preserve"> </w:t>
      </w:r>
      <w:r w:rsidR="00B647D7" w:rsidRPr="00B647D7">
        <w:t xml:space="preserve">is stable for up to </w:t>
      </w:r>
      <w:r w:rsidR="008E6CEB">
        <w:t>24</w:t>
      </w:r>
      <w:r w:rsidR="008E6CEB" w:rsidRPr="00B647D7">
        <w:t xml:space="preserve"> </w:t>
      </w:r>
      <w:r w:rsidR="00B647D7" w:rsidRPr="00B647D7">
        <w:t>hours refrigerated at 2°C to 8°C. Storage at room temperature is not</w:t>
      </w:r>
      <w:r w:rsidR="00B647D7">
        <w:t xml:space="preserve"> </w:t>
      </w:r>
      <w:r w:rsidR="00535F21">
        <w:t>r</w:t>
      </w:r>
      <w:r w:rsidR="00B647D7" w:rsidRPr="00B647D7">
        <w:t>ecommended, refer to the in-use stability storage conditions. Do not freeze or shake.</w:t>
      </w:r>
    </w:p>
    <w:p w14:paraId="2BE90AAE" w14:textId="73232E5A" w:rsidR="00C22214" w:rsidRDefault="00C22214" w:rsidP="00C22214">
      <w:pPr>
        <w:pStyle w:val="Heading3"/>
      </w:pPr>
      <w:bookmarkStart w:id="40" w:name="_Toc314842512"/>
      <w:bookmarkStart w:id="41" w:name="_Toc103679296"/>
      <w:bookmarkStart w:id="42" w:name="_Toc200457821"/>
      <w:bookmarkEnd w:id="39"/>
      <w:r>
        <w:t>Nonclinical</w:t>
      </w:r>
      <w:bookmarkEnd w:id="40"/>
      <w:bookmarkEnd w:id="41"/>
      <w:r w:rsidR="007A639B">
        <w:t xml:space="preserve"> </w:t>
      </w:r>
      <w:r w:rsidR="00797BC5">
        <w:t xml:space="preserve">(toxicology) </w:t>
      </w:r>
      <w:r w:rsidR="007A639B">
        <w:t>evaluation</w:t>
      </w:r>
      <w:r w:rsidR="00FF0D30">
        <w:t xml:space="preserve"> summary</w:t>
      </w:r>
      <w:bookmarkEnd w:id="42"/>
    </w:p>
    <w:p w14:paraId="3C7C33A9" w14:textId="553683CB" w:rsidR="001F202B" w:rsidRPr="008E04FD" w:rsidRDefault="002B0AC8" w:rsidP="008E5A67">
      <w:r>
        <w:t xml:space="preserve">The submitted dossier </w:t>
      </w:r>
      <w:r w:rsidR="001F202B">
        <w:t xml:space="preserve">contained data for </w:t>
      </w:r>
      <w:proofErr w:type="spellStart"/>
      <w:r w:rsidR="001F202B">
        <w:t>cipaglucosidase</w:t>
      </w:r>
      <w:proofErr w:type="spellEnd"/>
      <w:r w:rsidR="001F202B">
        <w:t xml:space="preserve"> alfa alone and in combination with </w:t>
      </w:r>
      <w:proofErr w:type="spellStart"/>
      <w:r w:rsidR="00C711AF">
        <w:t>miglustat</w:t>
      </w:r>
      <w:proofErr w:type="spellEnd"/>
      <w:r w:rsidR="00C711AF">
        <w:t xml:space="preserve"> and</w:t>
      </w:r>
      <w:r w:rsidR="003D4748">
        <w:t xml:space="preserve"> </w:t>
      </w:r>
      <w:r w:rsidR="001F202B" w:rsidRPr="008E04FD">
        <w:t>was in accordance with the relevant ICH guideline for the non</w:t>
      </w:r>
      <w:r w:rsidR="001F202B">
        <w:t>-</w:t>
      </w:r>
      <w:r w:rsidR="001F202B" w:rsidRPr="008E04FD">
        <w:t>clinical assessment of biological medicines (ICH S6(R1)).</w:t>
      </w:r>
      <w:r w:rsidR="00127DF6">
        <w:t xml:space="preserve"> </w:t>
      </w:r>
      <w:r w:rsidR="001F202B" w:rsidRPr="008E04FD">
        <w:t>The overall quality of the non</w:t>
      </w:r>
      <w:r w:rsidR="001F202B">
        <w:t>-</w:t>
      </w:r>
      <w:r w:rsidR="001F202B" w:rsidRPr="008E04FD">
        <w:t>clinical dossier was high.</w:t>
      </w:r>
      <w:r w:rsidR="00127DF6">
        <w:t xml:space="preserve"> </w:t>
      </w:r>
      <w:r w:rsidR="001F202B" w:rsidRPr="008E04FD">
        <w:t>All pivotal safety-related studies were GLP</w:t>
      </w:r>
      <w:r w:rsidR="00E4106C">
        <w:rPr>
          <w:rStyle w:val="FootnoteReference"/>
        </w:rPr>
        <w:footnoteReference w:id="6"/>
      </w:r>
      <w:r w:rsidR="001F202B" w:rsidRPr="008E04FD">
        <w:t xml:space="preserve"> compliant.</w:t>
      </w:r>
    </w:p>
    <w:p w14:paraId="03D6AC72" w14:textId="5AD0A167" w:rsidR="001F202B" w:rsidRPr="00D15A83" w:rsidRDefault="001F202B" w:rsidP="00127DF6">
      <w:r w:rsidRPr="00D15A83">
        <w:rPr>
          <w:i/>
        </w:rPr>
        <w:t>In vitro</w:t>
      </w:r>
      <w:r w:rsidRPr="00D15A83">
        <w:t xml:space="preserve">, </w:t>
      </w:r>
      <w:proofErr w:type="spellStart"/>
      <w:r w:rsidRPr="00D15A83">
        <w:t>cipaglucosidase</w:t>
      </w:r>
      <w:proofErr w:type="spellEnd"/>
      <w:r w:rsidRPr="00D15A83">
        <w:t xml:space="preserve"> alfa contains a higher percentage of bis-phosphorylated mannose-6-phosphate (bis-M6P) than </w:t>
      </w:r>
      <w:proofErr w:type="spellStart"/>
      <w:r w:rsidRPr="00D15A83">
        <w:t>alglucosidase</w:t>
      </w:r>
      <w:proofErr w:type="spellEnd"/>
      <w:r w:rsidRPr="00D15A83">
        <w:t xml:space="preserve"> alfa resulting in binding to the cation-independent M6P receptor (CI-MPR)</w:t>
      </w:r>
      <w:r>
        <w:t xml:space="preserve"> </w:t>
      </w:r>
      <w:r w:rsidRPr="007118FD">
        <w:t xml:space="preserve">with a higher affinity than </w:t>
      </w:r>
      <w:proofErr w:type="spellStart"/>
      <w:r w:rsidRPr="007118FD">
        <w:t>alglucosidase</w:t>
      </w:r>
      <w:proofErr w:type="spellEnd"/>
      <w:r w:rsidRPr="007118FD">
        <w:t xml:space="preserve"> alfa.</w:t>
      </w:r>
      <w:r w:rsidR="00127DF6">
        <w:t xml:space="preserve"> </w:t>
      </w:r>
      <w:proofErr w:type="spellStart"/>
      <w:r w:rsidRPr="00D15A83">
        <w:t>Cipaglucosidase</w:t>
      </w:r>
      <w:proofErr w:type="spellEnd"/>
      <w:r w:rsidRPr="00D15A83">
        <w:t xml:space="preserve"> alfa was internalised, </w:t>
      </w:r>
      <w:r w:rsidRPr="00D15A83">
        <w:rPr>
          <w:i/>
        </w:rPr>
        <w:t>via</w:t>
      </w:r>
      <w:r w:rsidRPr="00D15A83">
        <w:t xml:space="preserve"> CI-MPR, into Pompe patient fibroblasts.</w:t>
      </w:r>
      <w:r w:rsidR="00127DF6">
        <w:t xml:space="preserve"> </w:t>
      </w:r>
      <w:proofErr w:type="spellStart"/>
      <w:r w:rsidRPr="00D15A83">
        <w:t>Miglustat</w:t>
      </w:r>
      <w:proofErr w:type="spellEnd"/>
      <w:r w:rsidRPr="00D15A83">
        <w:t xml:space="preserve"> stabilised </w:t>
      </w:r>
      <w:proofErr w:type="spellStart"/>
      <w:r w:rsidRPr="00D15A83">
        <w:t>cipaglucosidase</w:t>
      </w:r>
      <w:proofErr w:type="spellEnd"/>
      <w:r w:rsidRPr="00D15A83">
        <w:t xml:space="preserve"> alfa and preserved its activity in human blood.</w:t>
      </w:r>
    </w:p>
    <w:p w14:paraId="5DA240EB" w14:textId="2F052A2C" w:rsidR="001F202B" w:rsidRPr="004979D4" w:rsidRDefault="001F202B" w:rsidP="005D573C">
      <w:r w:rsidRPr="004979D4">
        <w:lastRenderedPageBreak/>
        <w:t xml:space="preserve">In </w:t>
      </w:r>
      <w:r w:rsidRPr="004979D4">
        <w:rPr>
          <w:i/>
        </w:rPr>
        <w:t>in vivo</w:t>
      </w:r>
      <w:r w:rsidRPr="004979D4">
        <w:t xml:space="preserve"> studies conducted in acid α-glucosidase (GAA) knockout mice</w:t>
      </w:r>
      <w:r>
        <w:t>,</w:t>
      </w:r>
      <w:r w:rsidRPr="004979D4">
        <w:t xml:space="preserve"> treat</w:t>
      </w:r>
      <w:r>
        <w:t>ment</w:t>
      </w:r>
      <w:r w:rsidRPr="004979D4">
        <w:t xml:space="preserve"> with </w:t>
      </w:r>
      <w:proofErr w:type="spellStart"/>
      <w:r w:rsidRPr="004979D4">
        <w:t>cipaglucosidase</w:t>
      </w:r>
      <w:proofErr w:type="spellEnd"/>
      <w:r w:rsidRPr="004979D4">
        <w:t xml:space="preserve"> alfa reduced glycogen content in the heart and skeletal muscle (quadriceps, triceps and gastrocnemius)</w:t>
      </w:r>
      <w:r>
        <w:t xml:space="preserve">, </w:t>
      </w:r>
      <w:r w:rsidRPr="004979D4">
        <w:t>improved muscle function</w:t>
      </w:r>
      <w:r>
        <w:t xml:space="preserve"> (grip strength) and reduced autophagic buildup</w:t>
      </w:r>
      <w:r w:rsidRPr="004979D4">
        <w:t>.</w:t>
      </w:r>
      <w:r w:rsidR="00127DF6">
        <w:t xml:space="preserve"> </w:t>
      </w:r>
      <w:proofErr w:type="spellStart"/>
      <w:r w:rsidRPr="004979D4">
        <w:t>Miglustat</w:t>
      </w:r>
      <w:proofErr w:type="spellEnd"/>
      <w:r w:rsidRPr="004979D4">
        <w:t xml:space="preserve"> co</w:t>
      </w:r>
      <w:r>
        <w:t>-</w:t>
      </w:r>
      <w:r w:rsidRPr="004979D4">
        <w:t xml:space="preserve">administration did not convincingly improve these outcomes compared to </w:t>
      </w:r>
      <w:proofErr w:type="spellStart"/>
      <w:r w:rsidRPr="004979D4">
        <w:t>cipaglucosidase</w:t>
      </w:r>
      <w:proofErr w:type="spellEnd"/>
      <w:r w:rsidRPr="004979D4">
        <w:t xml:space="preserve"> alfa alone.</w:t>
      </w:r>
      <w:r w:rsidR="00127DF6">
        <w:t xml:space="preserve"> </w:t>
      </w:r>
      <w:r w:rsidRPr="004979D4">
        <w:t xml:space="preserve">Nevertheless, the combination of </w:t>
      </w:r>
      <w:proofErr w:type="spellStart"/>
      <w:r w:rsidRPr="004979D4">
        <w:t>cipaglucosidase</w:t>
      </w:r>
      <w:proofErr w:type="spellEnd"/>
      <w:r w:rsidRPr="004979D4">
        <w:t xml:space="preserve"> alfa plus </w:t>
      </w:r>
      <w:proofErr w:type="spellStart"/>
      <w:r w:rsidRPr="004979D4">
        <w:t>miglustat</w:t>
      </w:r>
      <w:proofErr w:type="spellEnd"/>
      <w:r w:rsidRPr="004979D4">
        <w:t xml:space="preserve"> was consistently superior to the current standard of care, </w:t>
      </w:r>
      <w:proofErr w:type="spellStart"/>
      <w:r w:rsidRPr="004979D4">
        <w:t>alglucosidase</w:t>
      </w:r>
      <w:proofErr w:type="spellEnd"/>
      <w:r w:rsidRPr="004979D4">
        <w:t xml:space="preserve"> alfa.</w:t>
      </w:r>
    </w:p>
    <w:p w14:paraId="34A1575B" w14:textId="3387E818" w:rsidR="001F202B" w:rsidRPr="00965C37" w:rsidRDefault="001F202B" w:rsidP="005D573C">
      <w:r w:rsidRPr="00C20AEE">
        <w:t xml:space="preserve">No secondary pharmacodynamics or pharmacodynamic drug interaction studies were conducted with </w:t>
      </w:r>
      <w:proofErr w:type="spellStart"/>
      <w:r>
        <w:t>cipaglucosidase</w:t>
      </w:r>
      <w:proofErr w:type="spellEnd"/>
      <w:r w:rsidRPr="00C20AEE">
        <w:t xml:space="preserve"> alfa, which is reasonable, given it is an enzyme replacement therapy.</w:t>
      </w:r>
    </w:p>
    <w:p w14:paraId="2CA10BB0" w14:textId="43DECBA0" w:rsidR="001F202B" w:rsidRPr="000E3B4A" w:rsidRDefault="001F202B" w:rsidP="00127DF6">
      <w:r w:rsidRPr="00C20AEE">
        <w:t>No dedicated safety pharmacology studies were conducted.</w:t>
      </w:r>
      <w:r w:rsidR="00127DF6">
        <w:t xml:space="preserve"> </w:t>
      </w:r>
      <w:r w:rsidRPr="00C20AEE">
        <w:t xml:space="preserve">Cardiovascular, respiratory, and central nervous system evaluations were included in the </w:t>
      </w:r>
      <w:r>
        <w:t xml:space="preserve">repeat-dose </w:t>
      </w:r>
      <w:r w:rsidRPr="00C20AEE">
        <w:t xml:space="preserve">toxicity study in </w:t>
      </w:r>
      <w:r>
        <w:t xml:space="preserve">rats and </w:t>
      </w:r>
      <w:r w:rsidRPr="00C20AEE">
        <w:t>monkeys.</w:t>
      </w:r>
      <w:r w:rsidR="00127DF6">
        <w:t xml:space="preserve"> </w:t>
      </w:r>
      <w:r>
        <w:t>These studies</w:t>
      </w:r>
      <w:r w:rsidRPr="000E3B4A">
        <w:t xml:space="preserve"> revealed no adverse effects of </w:t>
      </w:r>
      <w:proofErr w:type="spellStart"/>
      <w:r w:rsidRPr="000E3B4A">
        <w:t>cipaglucosidase</w:t>
      </w:r>
      <w:proofErr w:type="spellEnd"/>
      <w:r w:rsidRPr="000E3B4A">
        <w:t xml:space="preserve"> alfa or </w:t>
      </w:r>
      <w:proofErr w:type="spellStart"/>
      <w:r w:rsidRPr="000E3B4A">
        <w:t>miglustat</w:t>
      </w:r>
      <w:proofErr w:type="spellEnd"/>
      <w:r w:rsidRPr="000E3B4A">
        <w:t>, alone or in combination, on the cardiovascular, central nervous, or respiratory systems.</w:t>
      </w:r>
    </w:p>
    <w:p w14:paraId="394A194F" w14:textId="3EC09A45" w:rsidR="001F202B" w:rsidRPr="00965C37" w:rsidRDefault="001F202B" w:rsidP="00127DF6">
      <w:r w:rsidRPr="00965C37">
        <w:t xml:space="preserve">The </w:t>
      </w:r>
      <w:r w:rsidR="00095C5D">
        <w:t xml:space="preserve">pharmacokinetic </w:t>
      </w:r>
      <w:r w:rsidR="00993D27">
        <w:t>(</w:t>
      </w:r>
      <w:r>
        <w:t>PK</w:t>
      </w:r>
      <w:r w:rsidR="00993D27">
        <w:t>)</w:t>
      </w:r>
      <w:r w:rsidRPr="00965C37">
        <w:t xml:space="preserve"> profile of </w:t>
      </w:r>
      <w:proofErr w:type="spellStart"/>
      <w:r w:rsidRPr="00965C37">
        <w:t>cipaglucosidase</w:t>
      </w:r>
      <w:proofErr w:type="spellEnd"/>
      <w:r w:rsidRPr="00965C37">
        <w:t xml:space="preserve"> alfa was linear with dose-proportional increases in exposure.</w:t>
      </w:r>
      <w:r w:rsidR="00127DF6">
        <w:t xml:space="preserve"> </w:t>
      </w:r>
      <w:r w:rsidRPr="00965C37">
        <w:t xml:space="preserve">Plasma half-life was short (&lt;1.5 h) in laboratory animals and humans. </w:t>
      </w:r>
      <w:proofErr w:type="spellStart"/>
      <w:r w:rsidRPr="00965C37">
        <w:t>Cipaglucosidase</w:t>
      </w:r>
      <w:proofErr w:type="spellEnd"/>
      <w:r w:rsidRPr="00965C37">
        <w:t xml:space="preserve"> alfa half-life and exposure were approximately half that of </w:t>
      </w:r>
      <w:proofErr w:type="spellStart"/>
      <w:r w:rsidRPr="00965C37">
        <w:t>alglucosidase</w:t>
      </w:r>
      <w:proofErr w:type="spellEnd"/>
      <w:r w:rsidRPr="00965C37">
        <w:t xml:space="preserve"> alfa, reflecting greater muscle uptake of the former versus the latter.</w:t>
      </w:r>
      <w:r w:rsidR="00127DF6">
        <w:t xml:space="preserve"> </w:t>
      </w:r>
      <w:proofErr w:type="spellStart"/>
      <w:r w:rsidRPr="00965C37">
        <w:t>Miglustat</w:t>
      </w:r>
      <w:proofErr w:type="spellEnd"/>
      <w:r w:rsidRPr="00965C37">
        <w:t xml:space="preserve"> exposure was also dose-proportional, with short half-life (30 minutes) in mice and longer (5-7h) in </w:t>
      </w:r>
      <w:r w:rsidRPr="007E00E0">
        <w:t>cynomolgus monkeys and humans.</w:t>
      </w:r>
      <w:r w:rsidR="00127DF6">
        <w:t xml:space="preserve"> </w:t>
      </w:r>
      <w:r w:rsidRPr="007E00E0">
        <w:t xml:space="preserve">The half-life of </w:t>
      </w:r>
      <w:proofErr w:type="spellStart"/>
      <w:r w:rsidRPr="007E00E0">
        <w:t>cipaglucosidase</w:t>
      </w:r>
      <w:proofErr w:type="spellEnd"/>
      <w:r w:rsidRPr="007E00E0">
        <w:t xml:space="preserve"> alfa in muscle is </w:t>
      </w:r>
      <w:r w:rsidRPr="007E00E0">
        <w:rPr>
          <w:rFonts w:cs="Cambria Math"/>
        </w:rPr>
        <w:t>∼</w:t>
      </w:r>
      <w:r w:rsidRPr="007E00E0">
        <w:t>58.1-87.3 hours.</w:t>
      </w:r>
      <w:r w:rsidR="00127DF6">
        <w:t xml:space="preserve"> </w:t>
      </w:r>
      <w:r w:rsidRPr="007E00E0">
        <w:rPr>
          <w:lang w:val="en-US" w:eastAsia="de-CH"/>
        </w:rPr>
        <w:t>There were no sex differences in PK parameters in mice, rats or monkeys.</w:t>
      </w:r>
      <w:r w:rsidR="00127DF6">
        <w:rPr>
          <w:lang w:val="en-US" w:eastAsia="de-CH"/>
        </w:rPr>
        <w:t xml:space="preserve"> </w:t>
      </w:r>
      <w:r w:rsidRPr="007E00E0">
        <w:t xml:space="preserve">Co-administration of </w:t>
      </w:r>
      <w:proofErr w:type="spellStart"/>
      <w:r w:rsidRPr="007E00E0">
        <w:t>cipag</w:t>
      </w:r>
      <w:r w:rsidRPr="00965C37">
        <w:t>lucosidase</w:t>
      </w:r>
      <w:proofErr w:type="spellEnd"/>
      <w:r w:rsidRPr="00965C37">
        <w:t xml:space="preserve"> alfa did not affect </w:t>
      </w:r>
      <w:proofErr w:type="spellStart"/>
      <w:r w:rsidRPr="00965C37">
        <w:t>miglustat</w:t>
      </w:r>
      <w:proofErr w:type="spellEnd"/>
      <w:r w:rsidRPr="00965C37">
        <w:t xml:space="preserve"> exposure, however </w:t>
      </w:r>
      <w:proofErr w:type="spellStart"/>
      <w:r w:rsidRPr="00965C37">
        <w:t>miglustat</w:t>
      </w:r>
      <w:proofErr w:type="spellEnd"/>
      <w:r w:rsidRPr="00965C37">
        <w:t xml:space="preserve"> oral co</w:t>
      </w:r>
      <w:r>
        <w:t>-</w:t>
      </w:r>
      <w:r w:rsidRPr="00965C37">
        <w:t xml:space="preserve">administration increased </w:t>
      </w:r>
      <w:proofErr w:type="spellStart"/>
      <w:r w:rsidRPr="00965C37">
        <w:t>cipaglucosidase</w:t>
      </w:r>
      <w:proofErr w:type="spellEnd"/>
      <w:r w:rsidRPr="00965C37">
        <w:t xml:space="preserve"> alfa half-life and AUC by approximately 2-fold in cynomolgus monkeys.</w:t>
      </w:r>
      <w:r w:rsidR="00127DF6">
        <w:t xml:space="preserve"> </w:t>
      </w:r>
      <w:r w:rsidRPr="00965C37">
        <w:t>Overall, the non</w:t>
      </w:r>
      <w:r>
        <w:t>-</w:t>
      </w:r>
      <w:r w:rsidRPr="00965C37">
        <w:t xml:space="preserve">clinical </w:t>
      </w:r>
      <w:r>
        <w:t>PK</w:t>
      </w:r>
      <w:r w:rsidRPr="00965C37">
        <w:t xml:space="preserve"> data suggest that the animal models are sufficient to act as appropriate models for the assessment of </w:t>
      </w:r>
      <w:proofErr w:type="spellStart"/>
      <w:r w:rsidRPr="00965C37">
        <w:t>cipaglucosidase</w:t>
      </w:r>
      <w:proofErr w:type="spellEnd"/>
      <w:r w:rsidRPr="00965C37">
        <w:t xml:space="preserve"> alfa and </w:t>
      </w:r>
      <w:proofErr w:type="spellStart"/>
      <w:r w:rsidRPr="00965C37">
        <w:t>miglustat</w:t>
      </w:r>
      <w:proofErr w:type="spellEnd"/>
      <w:r w:rsidRPr="00965C37">
        <w:t xml:space="preserve"> toxicity in humans.</w:t>
      </w:r>
    </w:p>
    <w:p w14:paraId="27CD3A54" w14:textId="37CD7E6B" w:rsidR="001F202B" w:rsidRPr="00821FA3" w:rsidRDefault="001F202B" w:rsidP="005D573C">
      <w:proofErr w:type="spellStart"/>
      <w:r w:rsidRPr="00821FA3">
        <w:t>Cipaglucosidase</w:t>
      </w:r>
      <w:proofErr w:type="spellEnd"/>
      <w:r w:rsidRPr="00821FA3">
        <w:t xml:space="preserve"> alfa had a low order of acute oral toxicity in rats and cynomolgus monkeys.</w:t>
      </w:r>
      <w:r w:rsidR="002A76F8">
        <w:t xml:space="preserve"> </w:t>
      </w:r>
      <w:r w:rsidRPr="007F6936">
        <w:t xml:space="preserve">Repeat-dose toxicity studies by the IV route were conducted with </w:t>
      </w:r>
      <w:proofErr w:type="spellStart"/>
      <w:r w:rsidRPr="007F6936">
        <w:t>cipaglucosidase</w:t>
      </w:r>
      <w:proofErr w:type="spellEnd"/>
      <w:r w:rsidRPr="007F6936">
        <w:t xml:space="preserve"> alfa in rats and cynomolgus monkeys (26 weeks), and with </w:t>
      </w:r>
      <w:proofErr w:type="spellStart"/>
      <w:r w:rsidRPr="007F6936">
        <w:t>cipaglucosidase</w:t>
      </w:r>
      <w:proofErr w:type="spellEnd"/>
      <w:r w:rsidRPr="007F6936">
        <w:t xml:space="preserve"> alfa</w:t>
      </w:r>
      <w:r w:rsidRPr="000D409A">
        <w:t xml:space="preserve"> in combination with oral </w:t>
      </w:r>
      <w:proofErr w:type="spellStart"/>
      <w:r w:rsidRPr="007F6936">
        <w:t>miglustat</w:t>
      </w:r>
      <w:proofErr w:type="spellEnd"/>
      <w:r w:rsidRPr="007F6936">
        <w:t xml:space="preserve"> in cynomolgus monkeys (13 weeks).</w:t>
      </w:r>
      <w:r w:rsidR="00127DF6">
        <w:t xml:space="preserve"> </w:t>
      </w:r>
      <w:r w:rsidRPr="007F6936">
        <w:t>Maximum exposures (AUC) were moderate in both species.</w:t>
      </w:r>
      <w:r w:rsidR="00127DF6">
        <w:t xml:space="preserve"> </w:t>
      </w:r>
      <w:r w:rsidRPr="007F6936">
        <w:t xml:space="preserve">No adverse effects were observed at any dose. </w:t>
      </w:r>
      <w:r w:rsidRPr="00821FA3">
        <w:t>No genotoxicity or carcinogenicity studies were submitted, which is acceptable.</w:t>
      </w:r>
      <w:r w:rsidR="00127DF6">
        <w:t xml:space="preserve"> </w:t>
      </w:r>
      <w:r>
        <w:t xml:space="preserve">As a recombinant glycoprotein, </w:t>
      </w:r>
      <w:proofErr w:type="spellStart"/>
      <w:r>
        <w:t>cipaglucosidase</w:t>
      </w:r>
      <w:proofErr w:type="spellEnd"/>
      <w:r>
        <w:t xml:space="preserve"> alfa is not expected to exhibit carcinogenic potential</w:t>
      </w:r>
      <w:r w:rsidR="002A76F8">
        <w:t>.</w:t>
      </w:r>
    </w:p>
    <w:p w14:paraId="07436330" w14:textId="2454F408" w:rsidR="001F202B" w:rsidRDefault="001F202B" w:rsidP="005D573C">
      <w:pPr>
        <w:rPr>
          <w:rFonts w:cs="Cambria"/>
        </w:rPr>
      </w:pPr>
      <w:r w:rsidRPr="009443FE">
        <w:t xml:space="preserve">Fertility was unaffected in male and female rats treated with </w:t>
      </w:r>
      <w:proofErr w:type="spellStart"/>
      <w:r w:rsidRPr="009443FE">
        <w:t>cipaglucosidase</w:t>
      </w:r>
      <w:proofErr w:type="spellEnd"/>
      <w:r w:rsidRPr="009443FE">
        <w:t xml:space="preserve"> alfa every other day at exposure levels ≥</w:t>
      </w:r>
      <w:r>
        <w:t>28</w:t>
      </w:r>
      <w:r w:rsidRPr="009443FE">
        <w:t> times the clinical AUC</w:t>
      </w:r>
      <w:r w:rsidRPr="000D409A">
        <w:t>.</w:t>
      </w:r>
      <w:r w:rsidR="00127DF6">
        <w:t xml:space="preserve"> </w:t>
      </w:r>
      <w:r w:rsidRPr="000D409A">
        <w:t xml:space="preserve">No adverse effects were seen in embryofetal development studies in rats dosed with </w:t>
      </w:r>
      <w:proofErr w:type="spellStart"/>
      <w:r w:rsidRPr="000D409A">
        <w:t>cipaglucosidase</w:t>
      </w:r>
      <w:proofErr w:type="spellEnd"/>
      <w:r w:rsidRPr="000D409A">
        <w:t xml:space="preserve"> alfa alone or in combination with </w:t>
      </w:r>
      <w:proofErr w:type="spellStart"/>
      <w:r w:rsidRPr="000D409A">
        <w:t>miglustat</w:t>
      </w:r>
      <w:proofErr w:type="spellEnd"/>
      <w:r w:rsidRPr="000D409A">
        <w:t xml:space="preserve"> (</w:t>
      </w:r>
      <w:r>
        <w:t>~19-</w:t>
      </w:r>
      <w:r w:rsidRPr="000D409A">
        <w:t xml:space="preserve"> and 4.1-fold the clinical exposure for </w:t>
      </w:r>
      <w:proofErr w:type="spellStart"/>
      <w:r w:rsidRPr="000D409A">
        <w:t>cipaglucosidase</w:t>
      </w:r>
      <w:proofErr w:type="spellEnd"/>
      <w:r w:rsidRPr="000D409A">
        <w:t xml:space="preserve"> alfa and </w:t>
      </w:r>
      <w:proofErr w:type="spellStart"/>
      <w:r w:rsidRPr="000D409A">
        <w:t>miglustat</w:t>
      </w:r>
      <w:proofErr w:type="spellEnd"/>
      <w:r w:rsidRPr="000D409A">
        <w:t>, respectively).</w:t>
      </w:r>
      <w:r w:rsidR="00127DF6">
        <w:t xml:space="preserve"> </w:t>
      </w:r>
      <w:r w:rsidRPr="000D409A">
        <w:t xml:space="preserve">However, rabbits dosed with </w:t>
      </w:r>
      <w:proofErr w:type="spellStart"/>
      <w:r w:rsidRPr="000D409A">
        <w:t>cipaglucosidase</w:t>
      </w:r>
      <w:proofErr w:type="spellEnd"/>
      <w:r w:rsidRPr="000D409A">
        <w:t xml:space="preserve"> alfa plus </w:t>
      </w:r>
      <w:proofErr w:type="spellStart"/>
      <w:r w:rsidRPr="000D409A">
        <w:t>miglustat</w:t>
      </w:r>
      <w:proofErr w:type="spellEnd"/>
      <w:r w:rsidRPr="000D409A">
        <w:t xml:space="preserve"> displayed an increase in cardiac and great vessel malformations (</w:t>
      </w:r>
      <w:r>
        <w:t>16-</w:t>
      </w:r>
      <w:r w:rsidRPr="000D409A">
        <w:t xml:space="preserve"> and 3-fold the clinical exposure for </w:t>
      </w:r>
      <w:proofErr w:type="spellStart"/>
      <w:r w:rsidRPr="000D409A">
        <w:t>cipaglucosidase</w:t>
      </w:r>
      <w:proofErr w:type="spellEnd"/>
      <w:r w:rsidRPr="000D409A">
        <w:t xml:space="preserve"> alfa and </w:t>
      </w:r>
      <w:proofErr w:type="spellStart"/>
      <w:r w:rsidRPr="000D409A">
        <w:t>miglustat</w:t>
      </w:r>
      <w:proofErr w:type="spellEnd"/>
      <w:r w:rsidRPr="000D409A">
        <w:t xml:space="preserve">, respectively), suggesting that co-administration could impart risk to the </w:t>
      </w:r>
      <w:r w:rsidR="004F3C17" w:rsidRPr="000D409A">
        <w:t>foetus</w:t>
      </w:r>
      <w:r w:rsidRPr="000D409A">
        <w:t>.</w:t>
      </w:r>
      <w:r w:rsidR="00127DF6">
        <w:t xml:space="preserve"> </w:t>
      </w:r>
      <w:r w:rsidRPr="000D409A">
        <w:t>In pre</w:t>
      </w:r>
      <w:r>
        <w:t>-</w:t>
      </w:r>
      <w:r w:rsidRPr="000D409A">
        <w:t>/post</w:t>
      </w:r>
      <w:r>
        <w:t>-</w:t>
      </w:r>
      <w:r w:rsidRPr="000D409A">
        <w:t xml:space="preserve">natal studies in rats, increased maternal and pup mortality was observed following treatment with </w:t>
      </w:r>
      <w:proofErr w:type="spellStart"/>
      <w:r w:rsidRPr="000D409A">
        <w:t>cipaglucosidase</w:t>
      </w:r>
      <w:proofErr w:type="spellEnd"/>
      <w:r w:rsidRPr="000D409A">
        <w:t xml:space="preserve"> alfa </w:t>
      </w:r>
      <w:r w:rsidRPr="000D409A">
        <w:rPr>
          <w:rFonts w:cs="Cambria"/>
        </w:rPr>
        <w:t xml:space="preserve">alone at a dose of 150 mg/kg every second day (5-fold the clinical exposure) and in combination with </w:t>
      </w:r>
      <w:proofErr w:type="spellStart"/>
      <w:r w:rsidRPr="000D409A">
        <w:rPr>
          <w:rFonts w:cs="Cambria"/>
        </w:rPr>
        <w:t>miglustat</w:t>
      </w:r>
      <w:proofErr w:type="spellEnd"/>
      <w:r w:rsidRPr="000D409A">
        <w:rPr>
          <w:rFonts w:cs="Cambria"/>
        </w:rPr>
        <w:t xml:space="preserve"> at doses of 400 mg/kg for </w:t>
      </w:r>
      <w:proofErr w:type="spellStart"/>
      <w:r w:rsidRPr="000D409A">
        <w:rPr>
          <w:rFonts w:cs="Cambria"/>
        </w:rPr>
        <w:t>cipaglucosidase</w:t>
      </w:r>
      <w:proofErr w:type="spellEnd"/>
      <w:r w:rsidRPr="000D409A">
        <w:rPr>
          <w:rFonts w:cs="Cambria"/>
        </w:rPr>
        <w:t xml:space="preserve"> alfa and 60 mg/kg </w:t>
      </w:r>
      <w:proofErr w:type="spellStart"/>
      <w:r w:rsidRPr="000D409A">
        <w:rPr>
          <w:rFonts w:cs="Cambria"/>
        </w:rPr>
        <w:t>miglustat</w:t>
      </w:r>
      <w:proofErr w:type="spellEnd"/>
      <w:r w:rsidRPr="000D409A">
        <w:rPr>
          <w:rFonts w:cs="Cambria"/>
        </w:rPr>
        <w:t xml:space="preserve"> every second day (20-fold and 4.1-fold the clinical exposure for </w:t>
      </w:r>
      <w:proofErr w:type="spellStart"/>
      <w:r w:rsidRPr="000D409A">
        <w:rPr>
          <w:rFonts w:cs="Cambria"/>
        </w:rPr>
        <w:t>cipaglucosidase</w:t>
      </w:r>
      <w:proofErr w:type="spellEnd"/>
      <w:r w:rsidRPr="000D409A">
        <w:rPr>
          <w:rFonts w:cs="Cambria"/>
        </w:rPr>
        <w:t xml:space="preserve"> alfa and </w:t>
      </w:r>
      <w:proofErr w:type="spellStart"/>
      <w:r w:rsidRPr="000D409A">
        <w:rPr>
          <w:rFonts w:cs="Cambria"/>
        </w:rPr>
        <w:t>miglustat</w:t>
      </w:r>
      <w:proofErr w:type="spellEnd"/>
      <w:r w:rsidRPr="000D409A">
        <w:rPr>
          <w:rFonts w:cs="Cambria"/>
        </w:rPr>
        <w:t>, respectively).</w:t>
      </w:r>
      <w:r w:rsidR="00127DF6">
        <w:rPr>
          <w:rFonts w:cs="Cambria"/>
        </w:rPr>
        <w:t xml:space="preserve"> </w:t>
      </w:r>
      <w:r w:rsidRPr="000D409A">
        <w:rPr>
          <w:rFonts w:cs="Cambria"/>
        </w:rPr>
        <w:t>Decreased pup weight was also observed following treatment with the combination at this dose.</w:t>
      </w:r>
      <w:r w:rsidR="00127DF6">
        <w:t xml:space="preserve"> </w:t>
      </w:r>
      <w:r w:rsidRPr="000D409A">
        <w:rPr>
          <w:rFonts w:cs="Cambria"/>
        </w:rPr>
        <w:t xml:space="preserve">Evaluation of milk in rats from the combination treatment group showed </w:t>
      </w:r>
      <w:r w:rsidR="00533A2F">
        <w:rPr>
          <w:rFonts w:cs="Cambria"/>
        </w:rPr>
        <w:t>secretion</w:t>
      </w:r>
      <w:r w:rsidR="00533A2F" w:rsidRPr="000D409A">
        <w:rPr>
          <w:rFonts w:cs="Cambria"/>
        </w:rPr>
        <w:t xml:space="preserve"> </w:t>
      </w:r>
      <w:r w:rsidRPr="000D409A">
        <w:rPr>
          <w:rFonts w:cs="Cambria"/>
        </w:rPr>
        <w:t xml:space="preserve">of </w:t>
      </w:r>
      <w:proofErr w:type="spellStart"/>
      <w:r w:rsidR="003E0839">
        <w:rPr>
          <w:rFonts w:cs="Cambria"/>
        </w:rPr>
        <w:t>miglustat</w:t>
      </w:r>
      <w:proofErr w:type="spellEnd"/>
      <w:r w:rsidR="003E0839">
        <w:rPr>
          <w:rFonts w:cs="Cambria"/>
        </w:rPr>
        <w:t xml:space="preserve"> and excretion of </w:t>
      </w:r>
      <w:proofErr w:type="spellStart"/>
      <w:r w:rsidRPr="000D409A">
        <w:rPr>
          <w:rFonts w:cs="Cambria"/>
        </w:rPr>
        <w:t>cipaglucosidase</w:t>
      </w:r>
      <w:proofErr w:type="spellEnd"/>
      <w:r w:rsidRPr="000D409A">
        <w:rPr>
          <w:rFonts w:cs="Cambria"/>
        </w:rPr>
        <w:t xml:space="preserve"> alfa in rat milk.</w:t>
      </w:r>
      <w:r w:rsidR="00127DF6">
        <w:t xml:space="preserve"> </w:t>
      </w:r>
      <w:r w:rsidRPr="001C5A64">
        <w:t xml:space="preserve">The proposed Pregnancy </w:t>
      </w:r>
      <w:r w:rsidRPr="00E12F30">
        <w:t>Category D</w:t>
      </w:r>
      <w:r w:rsidRPr="00BF0A18">
        <w:t xml:space="preserve"> is </w:t>
      </w:r>
      <w:r>
        <w:t xml:space="preserve">considered </w:t>
      </w:r>
      <w:r w:rsidRPr="00BF0A18">
        <w:t xml:space="preserve">appropriate for the combination of </w:t>
      </w:r>
      <w:proofErr w:type="spellStart"/>
      <w:r w:rsidRPr="00E12F30">
        <w:t>cipaglucosidase</w:t>
      </w:r>
      <w:proofErr w:type="spellEnd"/>
      <w:r w:rsidRPr="00E12F30">
        <w:t xml:space="preserve"> alfa and </w:t>
      </w:r>
      <w:proofErr w:type="spellStart"/>
      <w:r w:rsidR="004F3C17" w:rsidRPr="00E12F30">
        <w:t>miglustat</w:t>
      </w:r>
      <w:proofErr w:type="spellEnd"/>
      <w:r w:rsidR="004F3C17" w:rsidRPr="00E12F30">
        <w:t xml:space="preserve"> and</w:t>
      </w:r>
      <w:r w:rsidRPr="00E12F30">
        <w:t xml:space="preserve"> is consistent with the </w:t>
      </w:r>
      <w:r w:rsidRPr="00BF0A18">
        <w:t>pregnancy category</w:t>
      </w:r>
      <w:r w:rsidRPr="00E12F30">
        <w:t xml:space="preserve"> of </w:t>
      </w:r>
      <w:proofErr w:type="spellStart"/>
      <w:r w:rsidRPr="00E12F30">
        <w:t>miglustat</w:t>
      </w:r>
      <w:proofErr w:type="spellEnd"/>
      <w:r w:rsidRPr="00E12F30">
        <w:t>.</w:t>
      </w:r>
    </w:p>
    <w:p w14:paraId="3F40E488" w14:textId="5E79FD9F" w:rsidR="001F202B" w:rsidRPr="00490F54" w:rsidRDefault="001F202B" w:rsidP="005D573C">
      <w:pPr>
        <w:rPr>
          <w:kern w:val="2"/>
        </w:rPr>
      </w:pPr>
      <w:r w:rsidRPr="00F2597A">
        <w:rPr>
          <w:kern w:val="2"/>
        </w:rPr>
        <w:t xml:space="preserve">There </w:t>
      </w:r>
      <w:r>
        <w:rPr>
          <w:kern w:val="2"/>
        </w:rPr>
        <w:t>is</w:t>
      </w:r>
      <w:r w:rsidRPr="00F2597A">
        <w:rPr>
          <w:kern w:val="2"/>
        </w:rPr>
        <w:t xml:space="preserve"> no non</w:t>
      </w:r>
      <w:r>
        <w:rPr>
          <w:kern w:val="2"/>
        </w:rPr>
        <w:t>-</w:t>
      </w:r>
      <w:r w:rsidRPr="00F2597A">
        <w:rPr>
          <w:kern w:val="2"/>
        </w:rPr>
        <w:t xml:space="preserve">clinical objection to the registration </w:t>
      </w:r>
      <w:r w:rsidR="00B24D8B">
        <w:rPr>
          <w:kern w:val="2"/>
        </w:rPr>
        <w:t xml:space="preserve">of </w:t>
      </w:r>
      <w:proofErr w:type="spellStart"/>
      <w:r w:rsidR="00B24D8B">
        <w:rPr>
          <w:kern w:val="2"/>
        </w:rPr>
        <w:t>Pombiliti</w:t>
      </w:r>
      <w:proofErr w:type="spellEnd"/>
      <w:r>
        <w:rPr>
          <w:kern w:val="2"/>
        </w:rPr>
        <w:t xml:space="preserve"> for the proposed indication.</w:t>
      </w:r>
      <w:r w:rsidR="00127DF6">
        <w:rPr>
          <w:kern w:val="2"/>
        </w:rPr>
        <w:t xml:space="preserve"> </w:t>
      </w:r>
    </w:p>
    <w:p w14:paraId="35B580A5" w14:textId="664DFB8B" w:rsidR="00C22214" w:rsidRPr="004B40CA" w:rsidRDefault="00C22214" w:rsidP="004B40CA">
      <w:pPr>
        <w:pStyle w:val="Heading3"/>
      </w:pPr>
      <w:bookmarkStart w:id="43" w:name="_Toc247691530"/>
      <w:bookmarkStart w:id="44" w:name="_Toc314842513"/>
      <w:bookmarkStart w:id="45" w:name="_Toc103679297"/>
      <w:bookmarkStart w:id="46" w:name="_Toc200457822"/>
      <w:r w:rsidRPr="004B40CA">
        <w:lastRenderedPageBreak/>
        <w:t>Clinical</w:t>
      </w:r>
      <w:bookmarkEnd w:id="43"/>
      <w:bookmarkEnd w:id="44"/>
      <w:bookmarkEnd w:id="45"/>
      <w:r w:rsidR="00D15F5C" w:rsidRPr="004B40CA">
        <w:t xml:space="preserve"> evaluation</w:t>
      </w:r>
      <w:r w:rsidR="00454041">
        <w:t xml:space="preserve"> summary</w:t>
      </w:r>
      <w:bookmarkEnd w:id="46"/>
    </w:p>
    <w:p w14:paraId="60D0A994" w14:textId="3AA83A25" w:rsidR="00FD2B82" w:rsidRDefault="00FD2B82" w:rsidP="00FD2B82">
      <w:pPr>
        <w:pStyle w:val="Heading4"/>
      </w:pPr>
      <w:bookmarkStart w:id="47" w:name="_Toc200457823"/>
      <w:r w:rsidRPr="00AA53F4">
        <w:t>Pharmacology</w:t>
      </w:r>
      <w:bookmarkEnd w:id="47"/>
    </w:p>
    <w:p w14:paraId="66B01AE5" w14:textId="77777777" w:rsidR="000F0F73" w:rsidRPr="000F0F73" w:rsidRDefault="000F0F73" w:rsidP="000F0F73">
      <w:r w:rsidRPr="000F0F73">
        <w:t xml:space="preserve">The clinical development program of </w:t>
      </w:r>
      <w:proofErr w:type="spellStart"/>
      <w:r w:rsidRPr="000F0F73">
        <w:t>cipaglucosidase</w:t>
      </w:r>
      <w:proofErr w:type="spellEnd"/>
      <w:r w:rsidRPr="000F0F73">
        <w:t xml:space="preserve"> alfa/</w:t>
      </w:r>
      <w:proofErr w:type="spellStart"/>
      <w:r w:rsidRPr="000F0F73">
        <w:t>miglustat</w:t>
      </w:r>
      <w:proofErr w:type="spellEnd"/>
      <w:r w:rsidRPr="000F0F73">
        <w:t xml:space="preserve"> for the treatment of adults with LOPD comprises 4 studies:</w:t>
      </w:r>
    </w:p>
    <w:p w14:paraId="0D04C139" w14:textId="574AA67F" w:rsidR="000F0F73" w:rsidRPr="000F0F73" w:rsidRDefault="000F0F73" w:rsidP="00127DF6">
      <w:pPr>
        <w:pStyle w:val="ListBullet"/>
      </w:pPr>
      <w:r w:rsidRPr="000F0F73">
        <w:t xml:space="preserve">AT2221-01: Phase 1 study in </w:t>
      </w:r>
      <w:r w:rsidRPr="00127DF6">
        <w:t>healthy</w:t>
      </w:r>
      <w:r w:rsidRPr="000F0F73">
        <w:t xml:space="preserve"> volunteers.</w:t>
      </w:r>
    </w:p>
    <w:p w14:paraId="0A756F1E" w14:textId="77777777" w:rsidR="000F0F73" w:rsidRPr="000F0F73" w:rsidRDefault="000F0F73" w:rsidP="000F0F73">
      <w:pPr>
        <w:pStyle w:val="ListBullet"/>
      </w:pPr>
      <w:r w:rsidRPr="000F0F73">
        <w:t>ATB200-02: Phase 1/2 study with long-term extension.</w:t>
      </w:r>
    </w:p>
    <w:p w14:paraId="56348958" w14:textId="65E23046" w:rsidR="000F0F73" w:rsidRPr="000F0F73" w:rsidRDefault="000F0F73" w:rsidP="000F0F73">
      <w:pPr>
        <w:pStyle w:val="ListBullet"/>
      </w:pPr>
      <w:r w:rsidRPr="000F0F73">
        <w:t>ATB200-03: Pivotal Phase 3 double-blind, randomised, active-controlled study.</w:t>
      </w:r>
    </w:p>
    <w:p w14:paraId="3885DEB1" w14:textId="77777777" w:rsidR="000F0F73" w:rsidRPr="000F0F73" w:rsidRDefault="000F0F73" w:rsidP="00127DF6">
      <w:pPr>
        <w:pStyle w:val="ListBullet"/>
      </w:pPr>
      <w:r w:rsidRPr="000F0F73">
        <w:t>ATB200-07: Phase 3 long-term extension (subjects who complete Study ATB200-03).</w:t>
      </w:r>
    </w:p>
    <w:p w14:paraId="02BD1175" w14:textId="36F13198" w:rsidR="000F0F73" w:rsidRPr="000F0F73" w:rsidRDefault="000F0F73" w:rsidP="00127DF6">
      <w:r w:rsidRPr="000F0F73">
        <w:t xml:space="preserve">These studies are supported by </w:t>
      </w:r>
      <w:proofErr w:type="spellStart"/>
      <w:r w:rsidRPr="000F0F73">
        <w:t>PopPK</w:t>
      </w:r>
      <w:proofErr w:type="spellEnd"/>
      <w:r w:rsidRPr="000F0F73">
        <w:t xml:space="preserve"> analyses, modelling and simulations, immunogenicity analyses, cardiac safety analyses, integrated summaries, and </w:t>
      </w:r>
      <w:r w:rsidR="002241A8">
        <w:t xml:space="preserve">non-company </w:t>
      </w:r>
      <w:r w:rsidRPr="000F0F73">
        <w:t xml:space="preserve">studies involving </w:t>
      </w:r>
      <w:proofErr w:type="spellStart"/>
      <w:r w:rsidRPr="000F0F73">
        <w:t>Zavesca</w:t>
      </w:r>
      <w:proofErr w:type="spellEnd"/>
      <w:r w:rsidRPr="000F0F73">
        <w:t>.</w:t>
      </w:r>
    </w:p>
    <w:p w14:paraId="4006851B" w14:textId="77777777" w:rsidR="00FD2B82" w:rsidRDefault="00FD2B82" w:rsidP="00FD2B82">
      <w:pPr>
        <w:pStyle w:val="Heading5"/>
      </w:pPr>
      <w:r w:rsidRPr="00AA53F4">
        <w:t>Pharmacokinetics (PK)</w:t>
      </w:r>
    </w:p>
    <w:p w14:paraId="552D3DB1" w14:textId="77777777" w:rsidR="00FD2B82" w:rsidRDefault="00FD2B82" w:rsidP="00FD2B82">
      <w:pPr>
        <w:pStyle w:val="Heading6"/>
      </w:pPr>
      <w:proofErr w:type="spellStart"/>
      <w:r>
        <w:t>Cipaglucosidase</w:t>
      </w:r>
      <w:proofErr w:type="spellEnd"/>
      <w:r>
        <w:t xml:space="preserve"> alfa</w:t>
      </w:r>
    </w:p>
    <w:p w14:paraId="43A483D2" w14:textId="422B1C92" w:rsidR="00FD2B82" w:rsidRDefault="00FD2B82" w:rsidP="005D573C">
      <w:pPr>
        <w:rPr>
          <w:lang w:eastAsia="ja-JP"/>
        </w:rPr>
      </w:pPr>
      <w:r>
        <w:rPr>
          <w:lang w:eastAsia="ja-JP"/>
        </w:rPr>
        <w:t xml:space="preserve">The PK of </w:t>
      </w:r>
      <w:proofErr w:type="spellStart"/>
      <w:r>
        <w:rPr>
          <w:lang w:eastAsia="ja-JP"/>
        </w:rPr>
        <w:t>cipaglucosidase</w:t>
      </w:r>
      <w:proofErr w:type="spellEnd"/>
      <w:r>
        <w:rPr>
          <w:lang w:eastAsia="ja-JP"/>
        </w:rPr>
        <w:t xml:space="preserve"> alfa has been well characterised. Findings from ATB200-02 demonstrate a </w:t>
      </w:r>
      <w:proofErr w:type="spellStart"/>
      <w:r>
        <w:rPr>
          <w:lang w:eastAsia="ja-JP"/>
        </w:rPr>
        <w:t>t</w:t>
      </w:r>
      <w:r>
        <w:rPr>
          <w:vertAlign w:val="subscript"/>
          <w:lang w:eastAsia="ja-JP"/>
        </w:rPr>
        <w:t>max</w:t>
      </w:r>
      <w:proofErr w:type="spellEnd"/>
      <w:r>
        <w:rPr>
          <w:lang w:eastAsia="ja-JP"/>
        </w:rPr>
        <w:t xml:space="preserve"> of ∼4 hours, and a mean 44% increase in AUCt</w:t>
      </w:r>
      <w:r>
        <w:rPr>
          <w:vertAlign w:val="subscript"/>
          <w:lang w:eastAsia="ja-JP"/>
        </w:rPr>
        <w:t>max-24h</w:t>
      </w:r>
      <w:r>
        <w:rPr>
          <w:lang w:eastAsia="ja-JP"/>
        </w:rPr>
        <w:t xml:space="preserve"> exposures following 20 mg/kg </w:t>
      </w:r>
      <w:proofErr w:type="spellStart"/>
      <w:r>
        <w:rPr>
          <w:lang w:eastAsia="ja-JP"/>
        </w:rPr>
        <w:t>cipaglucosidase</w:t>
      </w:r>
      <w:proofErr w:type="spellEnd"/>
      <w:r>
        <w:rPr>
          <w:lang w:eastAsia="ja-JP"/>
        </w:rPr>
        <w:t xml:space="preserve"> alfa + 260 mg </w:t>
      </w:r>
      <w:proofErr w:type="spellStart"/>
      <w:r>
        <w:rPr>
          <w:lang w:eastAsia="ja-JP"/>
        </w:rPr>
        <w:t>miglustat</w:t>
      </w:r>
      <w:proofErr w:type="spellEnd"/>
      <w:r>
        <w:rPr>
          <w:lang w:eastAsia="ja-JP"/>
        </w:rPr>
        <w:t xml:space="preserve"> co-administration relative to 20 mg/kg </w:t>
      </w:r>
      <w:proofErr w:type="spellStart"/>
      <w:r>
        <w:rPr>
          <w:lang w:eastAsia="ja-JP"/>
        </w:rPr>
        <w:t>cipaglucosidase</w:t>
      </w:r>
      <w:proofErr w:type="spellEnd"/>
      <w:r>
        <w:rPr>
          <w:lang w:eastAsia="ja-JP"/>
        </w:rPr>
        <w:t xml:space="preserve"> alfa alone.</w:t>
      </w:r>
      <w:r w:rsidR="00127DF6">
        <w:rPr>
          <w:lang w:eastAsia="ja-JP"/>
        </w:rPr>
        <w:t xml:space="preserve"> </w:t>
      </w:r>
      <w:r>
        <w:rPr>
          <w:lang w:eastAsia="ja-JP"/>
        </w:rPr>
        <w:t xml:space="preserve">Co-administration of </w:t>
      </w:r>
      <w:proofErr w:type="spellStart"/>
      <w:r>
        <w:rPr>
          <w:lang w:eastAsia="ja-JP"/>
        </w:rPr>
        <w:t>miglustat</w:t>
      </w:r>
      <w:proofErr w:type="spellEnd"/>
      <w:r>
        <w:rPr>
          <w:lang w:eastAsia="ja-JP"/>
        </w:rPr>
        <w:t xml:space="preserve"> with </w:t>
      </w:r>
      <w:proofErr w:type="spellStart"/>
      <w:r>
        <w:rPr>
          <w:lang w:eastAsia="ja-JP"/>
        </w:rPr>
        <w:t>cipaglucosidase</w:t>
      </w:r>
      <w:proofErr w:type="spellEnd"/>
      <w:r>
        <w:rPr>
          <w:lang w:eastAsia="ja-JP"/>
        </w:rPr>
        <w:t xml:space="preserve"> alfa did not alter </w:t>
      </w:r>
      <w:proofErr w:type="spellStart"/>
      <w:r>
        <w:rPr>
          <w:lang w:eastAsia="ja-JP"/>
        </w:rPr>
        <w:t>C</w:t>
      </w:r>
      <w:r>
        <w:rPr>
          <w:vertAlign w:val="subscript"/>
          <w:lang w:eastAsia="ja-JP"/>
        </w:rPr>
        <w:t>max</w:t>
      </w:r>
      <w:proofErr w:type="spellEnd"/>
      <w:r>
        <w:rPr>
          <w:lang w:eastAsia="ja-JP"/>
        </w:rPr>
        <w:t xml:space="preserve"> compared to </w:t>
      </w:r>
      <w:proofErr w:type="spellStart"/>
      <w:r>
        <w:rPr>
          <w:lang w:eastAsia="ja-JP"/>
        </w:rPr>
        <w:t>cipaglucosidase</w:t>
      </w:r>
      <w:proofErr w:type="spellEnd"/>
      <w:r>
        <w:rPr>
          <w:lang w:eastAsia="ja-JP"/>
        </w:rPr>
        <w:t xml:space="preserve"> alfa monotherapy.</w:t>
      </w:r>
      <w:r w:rsidR="00127DF6">
        <w:rPr>
          <w:lang w:eastAsia="ja-JP"/>
        </w:rPr>
        <w:t xml:space="preserve"> </w:t>
      </w:r>
      <w:r>
        <w:rPr>
          <w:lang w:eastAsia="ja-JP"/>
        </w:rPr>
        <w:t xml:space="preserve">The addition of 260 mg </w:t>
      </w:r>
      <w:proofErr w:type="spellStart"/>
      <w:r>
        <w:rPr>
          <w:lang w:eastAsia="ja-JP"/>
        </w:rPr>
        <w:t>miglustat</w:t>
      </w:r>
      <w:proofErr w:type="spellEnd"/>
      <w:r>
        <w:rPr>
          <w:lang w:eastAsia="ja-JP"/>
        </w:rPr>
        <w:t xml:space="preserve"> to 20 mg/kg </w:t>
      </w:r>
      <w:proofErr w:type="spellStart"/>
      <w:r>
        <w:rPr>
          <w:lang w:eastAsia="ja-JP"/>
        </w:rPr>
        <w:t>cipaglucosidase</w:t>
      </w:r>
      <w:proofErr w:type="spellEnd"/>
      <w:r>
        <w:rPr>
          <w:lang w:eastAsia="ja-JP"/>
        </w:rPr>
        <w:t xml:space="preserve"> alfa increased distribution half-life by 48%.</w:t>
      </w:r>
      <w:r w:rsidR="00127DF6">
        <w:rPr>
          <w:lang w:eastAsia="ja-JP"/>
        </w:rPr>
        <w:t xml:space="preserve"> </w:t>
      </w:r>
      <w:r w:rsidRPr="00FE5F63">
        <w:t xml:space="preserve">No unexpected accumulation </w:t>
      </w:r>
      <w:r>
        <w:t>wa</w:t>
      </w:r>
      <w:r w:rsidRPr="00FE5F63">
        <w:t>s observed after once every 2 weeks dosing</w:t>
      </w:r>
      <w:r>
        <w:t>.</w:t>
      </w:r>
    </w:p>
    <w:p w14:paraId="1961E4EF" w14:textId="456BE657" w:rsidR="00FD2B82" w:rsidRDefault="00FD2B82" w:rsidP="005D573C">
      <w:pPr>
        <w:rPr>
          <w:lang w:eastAsia="ja-JP"/>
        </w:rPr>
      </w:pPr>
      <w:r>
        <w:t xml:space="preserve">As a glycoprotein, </w:t>
      </w:r>
      <w:proofErr w:type="spellStart"/>
      <w:r>
        <w:t>cipaglucosidase</w:t>
      </w:r>
      <w:proofErr w:type="spellEnd"/>
      <w:r>
        <w:t xml:space="preserve"> alfa is expected to be metabolised into small peptides and amino acids via catabolic pathways</w:t>
      </w:r>
      <w:r w:rsidRPr="00160687">
        <w:t>.</w:t>
      </w:r>
      <w:r w:rsidR="00127DF6">
        <w:rPr>
          <w:lang w:eastAsia="ja-JP"/>
        </w:rPr>
        <w:t xml:space="preserve"> </w:t>
      </w:r>
      <w:r>
        <w:rPr>
          <w:lang w:eastAsia="ja-JP"/>
        </w:rPr>
        <w:t xml:space="preserve">Study ATB200-02 demonstrated a mean terminal elimination half-life for </w:t>
      </w:r>
      <w:proofErr w:type="spellStart"/>
      <w:r>
        <w:rPr>
          <w:lang w:eastAsia="ja-JP"/>
        </w:rPr>
        <w:t>cipaglucosidase</w:t>
      </w:r>
      <w:proofErr w:type="spellEnd"/>
      <w:r>
        <w:rPr>
          <w:lang w:eastAsia="ja-JP"/>
        </w:rPr>
        <w:t xml:space="preserve"> alfa when given in combination with 260 mg </w:t>
      </w:r>
      <w:proofErr w:type="spellStart"/>
      <w:r>
        <w:rPr>
          <w:lang w:eastAsia="ja-JP"/>
        </w:rPr>
        <w:t>miglustat</w:t>
      </w:r>
      <w:proofErr w:type="spellEnd"/>
      <w:r>
        <w:rPr>
          <w:lang w:eastAsia="ja-JP"/>
        </w:rPr>
        <w:t xml:space="preserve"> of ∼2.2 hours, and a 27% decrease in clearance of </w:t>
      </w:r>
      <w:proofErr w:type="spellStart"/>
      <w:r>
        <w:rPr>
          <w:lang w:eastAsia="ja-JP"/>
        </w:rPr>
        <w:t>cipaglucosidase</w:t>
      </w:r>
      <w:proofErr w:type="spellEnd"/>
      <w:r>
        <w:rPr>
          <w:lang w:eastAsia="ja-JP"/>
        </w:rPr>
        <w:t xml:space="preserve"> alfa when co-administered with 260 mg </w:t>
      </w:r>
      <w:proofErr w:type="spellStart"/>
      <w:r>
        <w:rPr>
          <w:lang w:eastAsia="ja-JP"/>
        </w:rPr>
        <w:t>miglustat</w:t>
      </w:r>
      <w:proofErr w:type="spellEnd"/>
      <w:r>
        <w:rPr>
          <w:lang w:eastAsia="ja-JP"/>
        </w:rPr>
        <w:t>.</w:t>
      </w:r>
    </w:p>
    <w:p w14:paraId="5B986FE7" w14:textId="4F253B88" w:rsidR="00FD2B82" w:rsidRDefault="00FD2B82" w:rsidP="005D573C">
      <w:r>
        <w:rPr>
          <w:lang w:eastAsia="ja-JP"/>
        </w:rPr>
        <w:t>No studies have been conducted in subjects with renal or hepatic impairment.</w:t>
      </w:r>
      <w:r w:rsidR="00127DF6">
        <w:rPr>
          <w:lang w:eastAsia="ja-JP"/>
        </w:rPr>
        <w:t xml:space="preserve"> </w:t>
      </w:r>
      <w:r>
        <w:rPr>
          <w:lang w:eastAsia="ja-JP"/>
        </w:rPr>
        <w:t xml:space="preserve">No drug interaction studies were conducted but CYP450 mediated drug interactions are not expected with </w:t>
      </w:r>
      <w:proofErr w:type="spellStart"/>
      <w:r>
        <w:rPr>
          <w:lang w:eastAsia="ja-JP"/>
        </w:rPr>
        <w:t>cipaglucosidase</w:t>
      </w:r>
      <w:proofErr w:type="spellEnd"/>
      <w:r>
        <w:rPr>
          <w:lang w:eastAsia="ja-JP"/>
        </w:rPr>
        <w:t xml:space="preserve"> alfa because it is a recombinant human protein.</w:t>
      </w:r>
    </w:p>
    <w:p w14:paraId="0209CAE9" w14:textId="7235DFDF" w:rsidR="00FD2B82" w:rsidRDefault="00FD2B82" w:rsidP="00127DF6">
      <w:pPr>
        <w:rPr>
          <w:lang w:eastAsia="ja-JP"/>
        </w:rPr>
      </w:pPr>
      <w:proofErr w:type="spellStart"/>
      <w:r>
        <w:t>PopPK</w:t>
      </w:r>
      <w:proofErr w:type="spellEnd"/>
      <w:r>
        <w:t xml:space="preserve"> study AMC0206 demonstrated no meaningful effect of age, race, ERT-history, and sex on </w:t>
      </w:r>
      <w:proofErr w:type="spellStart"/>
      <w:r>
        <w:t>cipaglucosidase</w:t>
      </w:r>
      <w:proofErr w:type="spellEnd"/>
      <w:r>
        <w:t xml:space="preserve"> alfa </w:t>
      </w:r>
      <w:r w:rsidRPr="0030356D">
        <w:rPr>
          <w:lang w:eastAsia="ja-JP"/>
        </w:rPr>
        <w:t xml:space="preserve">AUC and </w:t>
      </w:r>
      <w:proofErr w:type="spellStart"/>
      <w:r w:rsidRPr="0030356D">
        <w:rPr>
          <w:lang w:eastAsia="ja-JP"/>
        </w:rPr>
        <w:t>C</w:t>
      </w:r>
      <w:r w:rsidRPr="0030356D">
        <w:rPr>
          <w:vertAlign w:val="subscript"/>
          <w:lang w:eastAsia="ja-JP"/>
        </w:rPr>
        <w:t>max</w:t>
      </w:r>
      <w:proofErr w:type="spellEnd"/>
      <w:r>
        <w:t>.</w:t>
      </w:r>
      <w:r w:rsidR="00127DF6">
        <w:t xml:space="preserve"> </w:t>
      </w:r>
      <w:r>
        <w:t xml:space="preserve">Body weight appeared to be a covariate for </w:t>
      </w:r>
      <w:proofErr w:type="spellStart"/>
      <w:r>
        <w:t>cipaglucosidase</w:t>
      </w:r>
      <w:proofErr w:type="spellEnd"/>
      <w:r>
        <w:t xml:space="preserve"> alfa clearance.</w:t>
      </w:r>
      <w:r w:rsidR="00127DF6">
        <w:t xml:space="preserve"> </w:t>
      </w:r>
      <w:proofErr w:type="spellStart"/>
      <w:r>
        <w:t>C</w:t>
      </w:r>
      <w:r w:rsidRPr="00B34C47">
        <w:t>ipaglucosidase</w:t>
      </w:r>
      <w:proofErr w:type="spellEnd"/>
      <w:r w:rsidRPr="00B34C47">
        <w:t xml:space="preserve"> alfa AUC in a 104 kg subject was approximately 26% higher than that in a 70 kg reference subject</w:t>
      </w:r>
      <w:r>
        <w:t>.</w:t>
      </w:r>
      <w:r w:rsidR="00127DF6">
        <w:t xml:space="preserve"> </w:t>
      </w:r>
      <w:r>
        <w:t>O</w:t>
      </w:r>
      <w:r>
        <w:rPr>
          <w:lang w:eastAsia="ja-JP"/>
        </w:rPr>
        <w:t>ver the weight range examined (51 – 104 kg) this was not considered to be clinically relevant.</w:t>
      </w:r>
      <w:r w:rsidR="00127DF6">
        <w:rPr>
          <w:lang w:eastAsia="ja-JP"/>
        </w:rPr>
        <w:t xml:space="preserve"> </w:t>
      </w:r>
      <w:r>
        <w:rPr>
          <w:lang w:eastAsia="ja-JP"/>
        </w:rPr>
        <w:t xml:space="preserve">Simulations in varying degrees of renal impairment predicted no meaningful impact on </w:t>
      </w:r>
      <w:proofErr w:type="spellStart"/>
      <w:r>
        <w:rPr>
          <w:lang w:eastAsia="ja-JP"/>
        </w:rPr>
        <w:t>cipaglucosidase</w:t>
      </w:r>
      <w:proofErr w:type="spellEnd"/>
      <w:r>
        <w:rPr>
          <w:lang w:eastAsia="ja-JP"/>
        </w:rPr>
        <w:t xml:space="preserve"> alfa exposures.</w:t>
      </w:r>
    </w:p>
    <w:p w14:paraId="4CBA05E4" w14:textId="17DA58A3" w:rsidR="00FD2B82" w:rsidRDefault="00FD2B82" w:rsidP="00FD2B82">
      <w:pPr>
        <w:pStyle w:val="Heading6"/>
      </w:pPr>
      <w:proofErr w:type="spellStart"/>
      <w:r>
        <w:t>Miglustat</w:t>
      </w:r>
      <w:proofErr w:type="spellEnd"/>
    </w:p>
    <w:p w14:paraId="1780CCFB" w14:textId="5C9B9D88" w:rsidR="00FD2B82" w:rsidRDefault="00FD2B82" w:rsidP="005D573C">
      <w:r>
        <w:t xml:space="preserve">The PK of </w:t>
      </w:r>
      <w:proofErr w:type="spellStart"/>
      <w:r>
        <w:t>miglustat</w:t>
      </w:r>
      <w:proofErr w:type="spellEnd"/>
      <w:r>
        <w:t xml:space="preserve"> (</w:t>
      </w:r>
      <w:proofErr w:type="spellStart"/>
      <w:r w:rsidR="00623FDB">
        <w:t>Zavesca</w:t>
      </w:r>
      <w:proofErr w:type="spellEnd"/>
      <w:r>
        <w:t>) is well characterised.</w:t>
      </w:r>
      <w:r w:rsidR="00127DF6">
        <w:t xml:space="preserve"> </w:t>
      </w:r>
      <w:r>
        <w:t xml:space="preserve">PK data following a single dose was compared for </w:t>
      </w:r>
      <w:proofErr w:type="spellStart"/>
      <w:r w:rsidR="00623FDB">
        <w:t>Opfolda</w:t>
      </w:r>
      <w:proofErr w:type="spellEnd"/>
      <w:r>
        <w:t xml:space="preserve"> (65 mg capsule) and </w:t>
      </w:r>
      <w:proofErr w:type="spellStart"/>
      <w:r w:rsidR="00623FDB">
        <w:t>Zavesca</w:t>
      </w:r>
      <w:proofErr w:type="spellEnd"/>
      <w:r>
        <w:t xml:space="preserve"> (100 mg capsule) to provide a bridge to the general PK properties of </w:t>
      </w:r>
      <w:proofErr w:type="spellStart"/>
      <w:r w:rsidR="00623FDB">
        <w:t>Zavesca</w:t>
      </w:r>
      <w:proofErr w:type="spellEnd"/>
      <w:r>
        <w:t>.</w:t>
      </w:r>
      <w:r w:rsidR="00127DF6">
        <w:t xml:space="preserve"> </w:t>
      </w:r>
      <w:r>
        <w:t xml:space="preserve">Dose-normalised data showed comparable PK for </w:t>
      </w:r>
      <w:proofErr w:type="spellStart"/>
      <w:r w:rsidR="00623FDB">
        <w:t>Opfolda</w:t>
      </w:r>
      <w:proofErr w:type="spellEnd"/>
      <w:r>
        <w:t xml:space="preserve"> and </w:t>
      </w:r>
      <w:proofErr w:type="spellStart"/>
      <w:r w:rsidR="00623FDB">
        <w:t>Zavesca</w:t>
      </w:r>
      <w:proofErr w:type="spellEnd"/>
      <w:r>
        <w:t xml:space="preserve"> (dose-normalised plasma </w:t>
      </w:r>
      <w:proofErr w:type="spellStart"/>
      <w:r>
        <w:t>miglustat</w:t>
      </w:r>
      <w:proofErr w:type="spellEnd"/>
      <w:r>
        <w:t xml:space="preserve"> </w:t>
      </w:r>
      <w:proofErr w:type="spellStart"/>
      <w:r>
        <w:t>C</w:t>
      </w:r>
      <w:r>
        <w:rPr>
          <w:vertAlign w:val="subscript"/>
        </w:rPr>
        <w:t>max</w:t>
      </w:r>
      <w:proofErr w:type="spellEnd"/>
      <w:r>
        <w:t xml:space="preserve"> and AUC</w:t>
      </w:r>
      <w:r>
        <w:rPr>
          <w:vertAlign w:val="subscript"/>
        </w:rPr>
        <w:t>0-∞</w:t>
      </w:r>
      <w:r>
        <w:t xml:space="preserve"> were within 80-125% bioequivalence margins).</w:t>
      </w:r>
    </w:p>
    <w:p w14:paraId="434478CC" w14:textId="74E000BC" w:rsidR="00FD2B82" w:rsidRDefault="00FD2B82" w:rsidP="005D573C">
      <w:pPr>
        <w:rPr>
          <w:lang w:eastAsia="en-AU"/>
        </w:rPr>
      </w:pPr>
      <w:r>
        <w:lastRenderedPageBreak/>
        <w:t>T</w:t>
      </w:r>
      <w:r w:rsidRPr="0030356D">
        <w:t>he time to maximum plasma concentration (</w:t>
      </w:r>
      <w:proofErr w:type="spellStart"/>
      <w:r w:rsidRPr="0030356D">
        <w:t>t</w:t>
      </w:r>
      <w:r w:rsidRPr="0030356D">
        <w:rPr>
          <w:vertAlign w:val="subscript"/>
        </w:rPr>
        <w:t>max</w:t>
      </w:r>
      <w:proofErr w:type="spellEnd"/>
      <w:r w:rsidRPr="0030356D">
        <w:t xml:space="preserve">) of </w:t>
      </w:r>
      <w:proofErr w:type="spellStart"/>
      <w:r w:rsidRPr="0030356D">
        <w:t>miglustat</w:t>
      </w:r>
      <w:proofErr w:type="spellEnd"/>
      <w:r w:rsidRPr="0030356D">
        <w:t xml:space="preserve"> is ~2 to 3 hours.</w:t>
      </w:r>
      <w:r w:rsidR="00127DF6">
        <w:t xml:space="preserve"> </w:t>
      </w:r>
      <w:r>
        <w:t xml:space="preserve">The PK of </w:t>
      </w:r>
      <w:proofErr w:type="spellStart"/>
      <w:r>
        <w:t>m</w:t>
      </w:r>
      <w:r w:rsidRPr="0030356D">
        <w:t>iglustat</w:t>
      </w:r>
      <w:proofErr w:type="spellEnd"/>
      <w:r w:rsidRPr="0030356D">
        <w:t xml:space="preserve"> </w:t>
      </w:r>
      <w:r>
        <w:t>is</w:t>
      </w:r>
      <w:r w:rsidRPr="0030356D">
        <w:t xml:space="preserve"> dose proportional</w:t>
      </w:r>
      <w:r>
        <w:t>.</w:t>
      </w:r>
      <w:r w:rsidR="00127DF6">
        <w:t xml:space="preserve"> </w:t>
      </w:r>
      <w:r w:rsidRPr="0030356D">
        <w:rPr>
          <w:lang w:eastAsia="en-AU"/>
        </w:rPr>
        <w:t xml:space="preserve">When taken with a high-fat meal, plasma </w:t>
      </w:r>
      <w:proofErr w:type="spellStart"/>
      <w:r w:rsidRPr="0030356D">
        <w:rPr>
          <w:lang w:eastAsia="en-AU"/>
        </w:rPr>
        <w:t>miglustat</w:t>
      </w:r>
      <w:proofErr w:type="spellEnd"/>
      <w:r w:rsidRPr="0030356D">
        <w:rPr>
          <w:lang w:eastAsia="en-AU"/>
        </w:rPr>
        <w:t xml:space="preserve"> </w:t>
      </w:r>
      <w:proofErr w:type="spellStart"/>
      <w:r w:rsidRPr="0030356D">
        <w:rPr>
          <w:lang w:eastAsia="en-AU"/>
        </w:rPr>
        <w:t>C</w:t>
      </w:r>
      <w:r w:rsidRPr="0030356D">
        <w:rPr>
          <w:vertAlign w:val="subscript"/>
          <w:lang w:eastAsia="en-AU"/>
        </w:rPr>
        <w:t>max</w:t>
      </w:r>
      <w:proofErr w:type="spellEnd"/>
      <w:r w:rsidRPr="0030356D">
        <w:rPr>
          <w:lang w:eastAsia="en-AU"/>
        </w:rPr>
        <w:t xml:space="preserve"> was decreased by 36%, </w:t>
      </w:r>
      <w:bookmarkStart w:id="48" w:name="_Hlk173237528"/>
      <w:r w:rsidRPr="0030356D">
        <w:rPr>
          <w:lang w:eastAsia="en-AU"/>
        </w:rPr>
        <w:t>AUC</w:t>
      </w:r>
      <w:r w:rsidRPr="0030356D">
        <w:rPr>
          <w:vertAlign w:val="subscript"/>
          <w:lang w:eastAsia="en-AU"/>
        </w:rPr>
        <w:t>0-∞</w:t>
      </w:r>
      <w:bookmarkEnd w:id="48"/>
      <w:r>
        <w:rPr>
          <w:lang w:eastAsia="en-AU"/>
        </w:rPr>
        <w:t xml:space="preserve"> </w:t>
      </w:r>
      <w:r w:rsidRPr="0030356D">
        <w:rPr>
          <w:lang w:eastAsia="en-AU"/>
        </w:rPr>
        <w:t xml:space="preserve">was decreased by 14%, and </w:t>
      </w:r>
      <w:proofErr w:type="spellStart"/>
      <w:r w:rsidRPr="0030356D">
        <w:rPr>
          <w:lang w:eastAsia="en-AU"/>
        </w:rPr>
        <w:t>t</w:t>
      </w:r>
      <w:r w:rsidRPr="0030356D">
        <w:rPr>
          <w:vertAlign w:val="subscript"/>
          <w:lang w:eastAsia="en-AU"/>
        </w:rPr>
        <w:t>max</w:t>
      </w:r>
      <w:proofErr w:type="spellEnd"/>
      <w:r w:rsidRPr="0030356D">
        <w:rPr>
          <w:lang w:eastAsia="en-AU"/>
        </w:rPr>
        <w:t xml:space="preserve"> was delayed by </w:t>
      </w:r>
      <w:r>
        <w:rPr>
          <w:lang w:eastAsia="en-AU"/>
        </w:rPr>
        <w:t>∼</w:t>
      </w:r>
      <w:r w:rsidRPr="0030356D">
        <w:rPr>
          <w:lang w:eastAsia="en-AU"/>
        </w:rPr>
        <w:t>2 hours when compared to dosing in a fasted state.</w:t>
      </w:r>
    </w:p>
    <w:p w14:paraId="34DB0C1E" w14:textId="499BA74D" w:rsidR="00FD2B82" w:rsidRDefault="00FD2B82" w:rsidP="00127DF6">
      <w:proofErr w:type="spellStart"/>
      <w:r w:rsidRPr="0030356D">
        <w:t>Miglustat</w:t>
      </w:r>
      <w:proofErr w:type="spellEnd"/>
      <w:r w:rsidRPr="0030356D">
        <w:t xml:space="preserve"> does not bind to plasma proteins</w:t>
      </w:r>
      <w:r>
        <w:t>.</w:t>
      </w:r>
      <w:r w:rsidR="00127DF6">
        <w:t xml:space="preserve"> </w:t>
      </w:r>
      <w:r w:rsidRPr="0030356D">
        <w:t xml:space="preserve">The terminal phase volume of distribution </w:t>
      </w:r>
      <w:r>
        <w:t>i</w:t>
      </w:r>
      <w:r w:rsidRPr="0030356D">
        <w:t xml:space="preserve">s </w:t>
      </w:r>
      <w:r>
        <w:t>∼</w:t>
      </w:r>
      <w:r w:rsidRPr="0030356D">
        <w:t>90 L</w:t>
      </w:r>
      <w:r>
        <w:t>.</w:t>
      </w:r>
      <w:r w:rsidR="00127DF6">
        <w:t xml:space="preserve"> </w:t>
      </w:r>
      <w:proofErr w:type="spellStart"/>
      <w:r w:rsidRPr="0030356D">
        <w:t>Miglustat</w:t>
      </w:r>
      <w:proofErr w:type="spellEnd"/>
      <w:r w:rsidRPr="0030356D">
        <w:t xml:space="preserve"> is largely </w:t>
      </w:r>
      <w:proofErr w:type="spellStart"/>
      <w:r>
        <w:t>unmetabolised</w:t>
      </w:r>
      <w:proofErr w:type="spellEnd"/>
      <w:r w:rsidRPr="0030356D">
        <w:t>, with urinary recovery of unchanged drug accounting for 70-80% of the dose</w:t>
      </w:r>
      <w:r>
        <w:t>.</w:t>
      </w:r>
      <w:r w:rsidR="00127DF6">
        <w:t xml:space="preserve"> </w:t>
      </w:r>
      <w:r w:rsidRPr="0030356D">
        <w:t xml:space="preserve">Several metabolites were identified in urine and faeces; the most abundant metabolite in urine was </w:t>
      </w:r>
      <w:proofErr w:type="spellStart"/>
      <w:r w:rsidRPr="0030356D">
        <w:t>miglustat</w:t>
      </w:r>
      <w:proofErr w:type="spellEnd"/>
      <w:r w:rsidRPr="0030356D">
        <w:t xml:space="preserve"> glucuronide accounting for 5% of the dose</w:t>
      </w:r>
      <w:r>
        <w:t>.</w:t>
      </w:r>
      <w:r w:rsidR="00127DF6">
        <w:t xml:space="preserve"> </w:t>
      </w:r>
      <w:proofErr w:type="spellStart"/>
      <w:r w:rsidRPr="0030356D">
        <w:t>Miglustat</w:t>
      </w:r>
      <w:proofErr w:type="spellEnd"/>
      <w:r w:rsidRPr="0030356D">
        <w:t xml:space="preserve"> is mainly eliminated by renal excretion</w:t>
      </w:r>
      <w:r>
        <w:t>.</w:t>
      </w:r>
      <w:r w:rsidR="00127DF6">
        <w:t xml:space="preserve"> </w:t>
      </w:r>
      <w:r>
        <w:t>C</w:t>
      </w:r>
      <w:r w:rsidRPr="0030356D">
        <w:t xml:space="preserve">learance was approximately 10.5 L/h, independent of the dose administered and whether </w:t>
      </w:r>
      <w:proofErr w:type="spellStart"/>
      <w:r w:rsidRPr="0030356D">
        <w:t>miglustat</w:t>
      </w:r>
      <w:proofErr w:type="spellEnd"/>
      <w:r w:rsidRPr="0030356D">
        <w:t xml:space="preserve"> was co-administered with </w:t>
      </w:r>
      <w:proofErr w:type="spellStart"/>
      <w:r w:rsidRPr="0030356D">
        <w:t>cipaglucosidase</w:t>
      </w:r>
      <w:proofErr w:type="spellEnd"/>
      <w:r w:rsidRPr="0030356D">
        <w:t xml:space="preserve"> alfa</w:t>
      </w:r>
      <w:r>
        <w:t>.</w:t>
      </w:r>
      <w:r w:rsidR="00127DF6">
        <w:t xml:space="preserve"> </w:t>
      </w:r>
      <w:r w:rsidRPr="0030356D">
        <w:t xml:space="preserve">The terminal elimination half-life </w:t>
      </w:r>
      <w:r>
        <w:t xml:space="preserve">of </w:t>
      </w:r>
      <w:proofErr w:type="spellStart"/>
      <w:r>
        <w:t>miglustat</w:t>
      </w:r>
      <w:proofErr w:type="spellEnd"/>
      <w:r>
        <w:t xml:space="preserve"> </w:t>
      </w:r>
      <w:r w:rsidRPr="0030356D">
        <w:t xml:space="preserve">was </w:t>
      </w:r>
      <w:r>
        <w:t>∼</w:t>
      </w:r>
      <w:r w:rsidRPr="0030356D">
        <w:t>6 hours</w:t>
      </w:r>
      <w:r>
        <w:t>.</w:t>
      </w:r>
    </w:p>
    <w:p w14:paraId="06514D74" w14:textId="77777777" w:rsidR="00FD2B82" w:rsidRDefault="00FD2B82" w:rsidP="00FD2B82">
      <w:pPr>
        <w:pStyle w:val="Heading5"/>
      </w:pPr>
      <w:r w:rsidRPr="00AA53F4">
        <w:t>Pharmacodynamics (PD)</w:t>
      </w:r>
    </w:p>
    <w:p w14:paraId="7815004D" w14:textId="5EEDA23C" w:rsidR="00FD2B82" w:rsidRDefault="00FD2B82" w:rsidP="00127DF6">
      <w:r>
        <w:rPr>
          <w:lang w:eastAsia="ja-JP"/>
        </w:rPr>
        <w:t>S</w:t>
      </w:r>
      <w:r w:rsidRPr="00FE5F63">
        <w:rPr>
          <w:lang w:eastAsia="ja-JP"/>
        </w:rPr>
        <w:t>tudies ATB200-02, ATB200-03, and ATB200-07</w:t>
      </w:r>
      <w:r w:rsidRPr="00FE5F63">
        <w:t xml:space="preserve"> evaluated creatine kinase (CK), an indicator of muscle damage in Pompe disease, and urine hexose </w:t>
      </w:r>
      <w:proofErr w:type="spellStart"/>
      <w:r w:rsidRPr="00FE5F63">
        <w:t>tetrasaccharide</w:t>
      </w:r>
      <w:proofErr w:type="spellEnd"/>
      <w:r w:rsidRPr="00FE5F63">
        <w:t xml:space="preserve"> (Hex4), which is produced by intravascular degradation of glycogen released from damaged tissues.</w:t>
      </w:r>
      <w:r w:rsidR="00127DF6">
        <w:t xml:space="preserve"> </w:t>
      </w:r>
      <w:r>
        <w:t>S</w:t>
      </w:r>
      <w:r w:rsidRPr="00FE5F63">
        <w:t>tudy ATB200-02</w:t>
      </w:r>
      <w:r>
        <w:t xml:space="preserve"> also assessed</w:t>
      </w:r>
      <w:r w:rsidRPr="00FE5F63">
        <w:t xml:space="preserve"> plasma GAA activity.</w:t>
      </w:r>
    </w:p>
    <w:p w14:paraId="58B98DC5" w14:textId="77777777" w:rsidR="00FD2B82" w:rsidRPr="00FE5F63" w:rsidRDefault="00FD2B82" w:rsidP="005D573C">
      <w:pPr>
        <w:rPr>
          <w:lang w:eastAsia="ja-JP"/>
        </w:rPr>
      </w:pPr>
      <w:r>
        <w:t>S</w:t>
      </w:r>
      <w:r w:rsidRPr="00FE5F63">
        <w:t>tudy ATB200-02</w:t>
      </w:r>
      <w:r>
        <w:t xml:space="preserve"> demonstrated dose-dependent increases in plasma GAA activity following single ascending doses of </w:t>
      </w:r>
      <w:proofErr w:type="spellStart"/>
      <w:r>
        <w:t>cipaglucosidase</w:t>
      </w:r>
      <w:proofErr w:type="spellEnd"/>
      <w:r>
        <w:t xml:space="preserve"> alfa, and the addition of 130 mg or 260 mg </w:t>
      </w:r>
      <w:proofErr w:type="spellStart"/>
      <w:r>
        <w:t>miglustat</w:t>
      </w:r>
      <w:proofErr w:type="spellEnd"/>
      <w:r>
        <w:t xml:space="preserve"> resulted in dose-dependent increases in plasma GAA activity during the distribution phase.</w:t>
      </w:r>
    </w:p>
    <w:p w14:paraId="6180ABE3" w14:textId="774477E6" w:rsidR="00FD2B82" w:rsidRDefault="00FD2B82" w:rsidP="00127DF6">
      <w:r w:rsidRPr="00FE5F63">
        <w:rPr>
          <w:lang w:eastAsia="ja-JP"/>
        </w:rPr>
        <w:t xml:space="preserve">In the pivotal efficacy </w:t>
      </w:r>
      <w:r>
        <w:rPr>
          <w:lang w:eastAsia="ja-JP"/>
        </w:rPr>
        <w:t>s</w:t>
      </w:r>
      <w:r w:rsidRPr="00FE5F63">
        <w:rPr>
          <w:lang w:eastAsia="ja-JP"/>
        </w:rPr>
        <w:t>tudy ATB200-03, i</w:t>
      </w:r>
      <w:r w:rsidRPr="00FE5F63">
        <w:t xml:space="preserve">n all 3 populations (the overall population, the ERT-experienced </w:t>
      </w:r>
      <w:r>
        <w:t>p</w:t>
      </w:r>
      <w:r w:rsidRPr="00FE5F63">
        <w:t xml:space="preserve">opulation, and the ERT-naïve </w:t>
      </w:r>
      <w:r>
        <w:t>p</w:t>
      </w:r>
      <w:r w:rsidRPr="00FE5F63">
        <w:t xml:space="preserve">opulation), reductions in biomarkers of muscle damage (CK) and disease substrate (Hex4) were significantly greater with </w:t>
      </w:r>
      <w:proofErr w:type="spellStart"/>
      <w:r w:rsidRPr="00FE5F63">
        <w:t>cipaglucosidase</w:t>
      </w:r>
      <w:proofErr w:type="spellEnd"/>
      <w:r w:rsidRPr="00FE5F63">
        <w:t xml:space="preserve"> alfa/</w:t>
      </w:r>
      <w:proofErr w:type="spellStart"/>
      <w:r w:rsidRPr="00FE5F63">
        <w:t>miglustat</w:t>
      </w:r>
      <w:proofErr w:type="spellEnd"/>
      <w:r w:rsidRPr="00FE5F63">
        <w:t xml:space="preserve"> compared to </w:t>
      </w:r>
      <w:proofErr w:type="spellStart"/>
      <w:r w:rsidRPr="00FE5F63">
        <w:t>alglucosidase</w:t>
      </w:r>
      <w:proofErr w:type="spellEnd"/>
      <w:r w:rsidRPr="00FE5F63">
        <w:t xml:space="preserve"> alfa/placebo</w:t>
      </w:r>
      <w:r>
        <w:t xml:space="preserve"> (</w:t>
      </w:r>
      <w:r w:rsidRPr="00FE5F63">
        <w:t>nominal p-values &lt; 0.001</w:t>
      </w:r>
      <w:r>
        <w:t>)</w:t>
      </w:r>
      <w:r w:rsidRPr="00FE5F63">
        <w:t>.</w:t>
      </w:r>
      <w:r w:rsidR="00127DF6">
        <w:t xml:space="preserve"> </w:t>
      </w:r>
      <w:r w:rsidRPr="00FE5F63">
        <w:t xml:space="preserve">Results from the long-term Study ATB200-07 </w:t>
      </w:r>
      <w:r>
        <w:t>showed</w:t>
      </w:r>
      <w:r w:rsidRPr="00FE5F63">
        <w:t xml:space="preserve"> that CK and Hex4 levels remain</w:t>
      </w:r>
      <w:r>
        <w:t>ed</w:t>
      </w:r>
      <w:r w:rsidRPr="00FE5F63">
        <w:t xml:space="preserve"> stable during continued treatment with </w:t>
      </w:r>
      <w:proofErr w:type="spellStart"/>
      <w:r w:rsidR="00623FDB">
        <w:t>Pombiliti</w:t>
      </w:r>
      <w:proofErr w:type="spellEnd"/>
      <w:r w:rsidRPr="00FE5F63">
        <w:t>/</w:t>
      </w:r>
      <w:proofErr w:type="spellStart"/>
      <w:r w:rsidR="00623FDB">
        <w:t>Opfolda</w:t>
      </w:r>
      <w:proofErr w:type="spellEnd"/>
      <w:r>
        <w:t xml:space="preserve"> from Week 52 to Week 104</w:t>
      </w:r>
      <w:r w:rsidRPr="00FE5F63">
        <w:t>.</w:t>
      </w:r>
    </w:p>
    <w:p w14:paraId="204EFDD5" w14:textId="0E3BBF34" w:rsidR="00FD2B82" w:rsidRDefault="00FD2B82" w:rsidP="00127DF6">
      <w:r w:rsidRPr="00FE5F63">
        <w:t>Exposure-response modelling of Hex4 and CK levels in Study AMC-0206 was consistent with the results from Study ATB200-03.</w:t>
      </w:r>
      <w:r w:rsidR="00127DF6">
        <w:t xml:space="preserve"> </w:t>
      </w:r>
      <w:r w:rsidRPr="00FE5F63">
        <w:t xml:space="preserve">Effects of </w:t>
      </w:r>
      <w:proofErr w:type="spellStart"/>
      <w:r w:rsidRPr="00FE5F63">
        <w:t>cipaglucosidase</w:t>
      </w:r>
      <w:proofErr w:type="spellEnd"/>
      <w:r w:rsidRPr="00FE5F63">
        <w:t xml:space="preserve"> alfa and </w:t>
      </w:r>
      <w:proofErr w:type="spellStart"/>
      <w:r w:rsidRPr="00FE5F63">
        <w:t>alglucosidase</w:t>
      </w:r>
      <w:proofErr w:type="spellEnd"/>
      <w:r w:rsidRPr="00FE5F63">
        <w:t xml:space="preserve"> alfa on </w:t>
      </w:r>
      <w:r>
        <w:t>Hex4 and CK</w:t>
      </w:r>
      <w:r w:rsidRPr="00FE5F63">
        <w:t xml:space="preserve"> were lower in ERT-experienced subjects.</w:t>
      </w:r>
    </w:p>
    <w:p w14:paraId="116C8A1B" w14:textId="77777777" w:rsidR="00FD2B82" w:rsidRDefault="00FD2B82" w:rsidP="00FD2B82">
      <w:pPr>
        <w:pStyle w:val="Heading5"/>
      </w:pPr>
      <w:r>
        <w:t>Dose selection for the pivotal study</w:t>
      </w:r>
    </w:p>
    <w:p w14:paraId="0BFAEA5B" w14:textId="00B41A85" w:rsidR="00FD2B82" w:rsidRDefault="00FD2B82" w:rsidP="00127DF6">
      <w:pPr>
        <w:rPr>
          <w:lang w:eastAsia="ja-JP"/>
        </w:rPr>
      </w:pPr>
      <w:r w:rsidRPr="00FE5F63">
        <w:rPr>
          <w:lang w:eastAsia="ja-JP"/>
        </w:rPr>
        <w:t>Dose-finding data were initially generated through preclinical PK/PD translational modelling and allometric scaling in Study AMIC-PCS-102, which informed the clinical dose-finding evaluation conducted as part of the Phase 1/2 Study ATB200-02.</w:t>
      </w:r>
      <w:r w:rsidR="00127DF6">
        <w:rPr>
          <w:lang w:eastAsia="ja-JP"/>
        </w:rPr>
        <w:t xml:space="preserve"> </w:t>
      </w:r>
      <w:r>
        <w:rPr>
          <w:lang w:eastAsia="ja-JP"/>
        </w:rPr>
        <w:t xml:space="preserve">In </w:t>
      </w:r>
      <w:r w:rsidRPr="00FE5F63">
        <w:rPr>
          <w:lang w:eastAsia="ja-JP"/>
        </w:rPr>
        <w:t>Study ATB200-02</w:t>
      </w:r>
      <w:r>
        <w:rPr>
          <w:lang w:eastAsia="ja-JP"/>
        </w:rPr>
        <w:t xml:space="preserve">, </w:t>
      </w:r>
      <w:proofErr w:type="spellStart"/>
      <w:r>
        <w:rPr>
          <w:lang w:eastAsia="ja-JP"/>
        </w:rPr>
        <w:t>cipaglucosidase</w:t>
      </w:r>
      <w:proofErr w:type="spellEnd"/>
      <w:r>
        <w:rPr>
          <w:lang w:eastAsia="ja-JP"/>
        </w:rPr>
        <w:t xml:space="preserve"> alfa exposures and </w:t>
      </w:r>
      <w:r w:rsidRPr="00FE5F63">
        <w:t xml:space="preserve">plasma total GAA protein concentrations and activity increased in a dose-dependent manner after single ascending doses of 5 mg/kg, 10 mg/kg, and 20 mg/kg </w:t>
      </w:r>
      <w:proofErr w:type="spellStart"/>
      <w:r w:rsidRPr="00FE5F63">
        <w:t>cipaglucosidase</w:t>
      </w:r>
      <w:proofErr w:type="spellEnd"/>
      <w:r w:rsidRPr="00FE5F63">
        <w:t xml:space="preserve"> alfa, and after multiple doses of 20 mg/kg </w:t>
      </w:r>
      <w:proofErr w:type="spellStart"/>
      <w:r w:rsidRPr="00FE5F63">
        <w:t>cipaglucosidase</w:t>
      </w:r>
      <w:proofErr w:type="spellEnd"/>
      <w:r w:rsidRPr="00FE5F63">
        <w:t xml:space="preserve"> alfa + 130 mg </w:t>
      </w:r>
      <w:proofErr w:type="spellStart"/>
      <w:r w:rsidRPr="00FE5F63">
        <w:t>miglustat</w:t>
      </w:r>
      <w:proofErr w:type="spellEnd"/>
      <w:r w:rsidRPr="00FE5F63">
        <w:t xml:space="preserve"> and 20 mg/kg </w:t>
      </w:r>
      <w:proofErr w:type="spellStart"/>
      <w:r w:rsidRPr="00FE5F63">
        <w:t>cipaglucosidase</w:t>
      </w:r>
      <w:proofErr w:type="spellEnd"/>
      <w:r w:rsidRPr="00FE5F63">
        <w:t xml:space="preserve"> alfa + 260 mg </w:t>
      </w:r>
      <w:proofErr w:type="spellStart"/>
      <w:r w:rsidRPr="00FE5F63">
        <w:t>miglustat</w:t>
      </w:r>
      <w:proofErr w:type="spellEnd"/>
      <w:r w:rsidRPr="00FE5F63">
        <w:t>.</w:t>
      </w:r>
      <w:r w:rsidR="00127DF6">
        <w:t xml:space="preserve"> </w:t>
      </w:r>
      <w:r>
        <w:t xml:space="preserve">In Cohort 1, </w:t>
      </w:r>
      <w:r w:rsidRPr="00FE5F63">
        <w:t>AUC</w:t>
      </w:r>
      <w:r w:rsidRPr="00FE5F63">
        <w:rPr>
          <w:vertAlign w:val="subscript"/>
        </w:rPr>
        <w:t>0-∞</w:t>
      </w:r>
      <w:r w:rsidRPr="00FE5F63">
        <w:t xml:space="preserve"> increased by 16.3% and 28.5% following co-administration of </w:t>
      </w:r>
      <w:proofErr w:type="spellStart"/>
      <w:r w:rsidRPr="00FE5F63">
        <w:t>cipaglucosidase</w:t>
      </w:r>
      <w:proofErr w:type="spellEnd"/>
      <w:r w:rsidRPr="00FE5F63">
        <w:t xml:space="preserve"> alfa with 130 mg and 260 mg </w:t>
      </w:r>
      <w:proofErr w:type="spellStart"/>
      <w:r w:rsidRPr="00FE5F63">
        <w:t>miglustat</w:t>
      </w:r>
      <w:proofErr w:type="spellEnd"/>
      <w:r>
        <w:t>, respectively,</w:t>
      </w:r>
      <w:r w:rsidRPr="00FE5F63">
        <w:t xml:space="preserve"> compared to </w:t>
      </w:r>
      <w:proofErr w:type="spellStart"/>
      <w:r w:rsidRPr="00FE5F63">
        <w:t>cipaglucosidase</w:t>
      </w:r>
      <w:proofErr w:type="spellEnd"/>
      <w:r w:rsidRPr="00FE5F63">
        <w:t xml:space="preserve"> alfa alone; </w:t>
      </w:r>
      <w:proofErr w:type="spellStart"/>
      <w:r w:rsidRPr="00FE5F63">
        <w:t>C</w:t>
      </w:r>
      <w:r w:rsidRPr="00FE5F63">
        <w:rPr>
          <w:vertAlign w:val="subscript"/>
        </w:rPr>
        <w:t>max</w:t>
      </w:r>
      <w:proofErr w:type="spellEnd"/>
      <w:r w:rsidRPr="00FE5F63">
        <w:t xml:space="preserve"> was not appreciably altered.</w:t>
      </w:r>
      <w:r w:rsidR="00127DF6">
        <w:t xml:space="preserve"> </w:t>
      </w:r>
      <w:r w:rsidRPr="00FE5F63">
        <w:t xml:space="preserve">The increased AUC during the early terminal elimination phase suggests improved stabilisation of </w:t>
      </w:r>
      <w:proofErr w:type="spellStart"/>
      <w:r w:rsidRPr="00FE5F63">
        <w:t>cipaglucosidase</w:t>
      </w:r>
      <w:proofErr w:type="spellEnd"/>
      <w:r w:rsidRPr="00FE5F63">
        <w:t xml:space="preserve"> alfa in circulation with co-administration of </w:t>
      </w:r>
      <w:proofErr w:type="spellStart"/>
      <w:r w:rsidRPr="00FE5F63">
        <w:t>miglustat</w:t>
      </w:r>
      <w:proofErr w:type="spellEnd"/>
      <w:r w:rsidRPr="00FE5F63">
        <w:t>.</w:t>
      </w:r>
    </w:p>
    <w:p w14:paraId="33FD4F8B" w14:textId="5E2CB051" w:rsidR="00FD2B82" w:rsidRPr="00FA420E" w:rsidRDefault="00FD2B82" w:rsidP="005D573C">
      <w:r w:rsidRPr="00FE5F63">
        <w:t xml:space="preserve">Study ATB200-02 concluded that exposures from single dose administration with 20 mg/kg </w:t>
      </w:r>
      <w:proofErr w:type="spellStart"/>
      <w:r w:rsidRPr="00FE5F63">
        <w:t>cipaglucosidase</w:t>
      </w:r>
      <w:proofErr w:type="spellEnd"/>
      <w:r w:rsidRPr="00FE5F63">
        <w:t xml:space="preserve"> alfa confirmed preclinical models that targeted 20 mg/kg as the optimised dose level.</w:t>
      </w:r>
      <w:r w:rsidR="00127DF6">
        <w:t xml:space="preserve"> </w:t>
      </w:r>
      <w:r w:rsidRPr="00FE5F63">
        <w:t>Additionally, the observed increases in total GAA protein and activity</w:t>
      </w:r>
      <w:r>
        <w:t xml:space="preserve"> when co-administered with </w:t>
      </w:r>
      <w:proofErr w:type="spellStart"/>
      <w:r>
        <w:t>miglustat</w:t>
      </w:r>
      <w:proofErr w:type="spellEnd"/>
      <w:r w:rsidRPr="00FE5F63">
        <w:t xml:space="preserve">, particularly the 260 mg dose, </w:t>
      </w:r>
      <w:r>
        <w:t>supported the proposed combination regimen</w:t>
      </w:r>
      <w:r w:rsidRPr="00FE5F63">
        <w:t>.</w:t>
      </w:r>
      <w:r w:rsidR="00127DF6">
        <w:t xml:space="preserve"> </w:t>
      </w:r>
      <w:r w:rsidRPr="00FE5F63">
        <w:rPr>
          <w:lang w:eastAsia="ja-JP"/>
        </w:rPr>
        <w:t>The</w:t>
      </w:r>
      <w:r>
        <w:rPr>
          <w:lang w:eastAsia="ja-JP"/>
        </w:rPr>
        <w:t>se</w:t>
      </w:r>
      <w:r w:rsidRPr="00FE5F63">
        <w:rPr>
          <w:lang w:eastAsia="ja-JP"/>
        </w:rPr>
        <w:t xml:space="preserve"> </w:t>
      </w:r>
      <w:r>
        <w:rPr>
          <w:lang w:eastAsia="ja-JP"/>
        </w:rPr>
        <w:t xml:space="preserve">findings </w:t>
      </w:r>
      <w:r w:rsidRPr="00FE5F63">
        <w:rPr>
          <w:lang w:eastAsia="ja-JP"/>
        </w:rPr>
        <w:t xml:space="preserve">informed the selection of 20 mg/kg </w:t>
      </w:r>
      <w:proofErr w:type="spellStart"/>
      <w:r w:rsidRPr="00FE5F63">
        <w:rPr>
          <w:lang w:eastAsia="ja-JP"/>
        </w:rPr>
        <w:t>cipaglucosidase</w:t>
      </w:r>
      <w:proofErr w:type="spellEnd"/>
      <w:r w:rsidRPr="00FE5F63">
        <w:rPr>
          <w:lang w:eastAsia="ja-JP"/>
        </w:rPr>
        <w:t xml:space="preserve"> alfa </w:t>
      </w:r>
      <w:r>
        <w:rPr>
          <w:lang w:eastAsia="ja-JP"/>
        </w:rPr>
        <w:t>(intravenous infusion) in combination with</w:t>
      </w:r>
      <w:r w:rsidRPr="00FE5F63">
        <w:rPr>
          <w:lang w:eastAsia="ja-JP"/>
        </w:rPr>
        <w:t xml:space="preserve"> 260 mg or 195 mg </w:t>
      </w:r>
      <w:proofErr w:type="spellStart"/>
      <w:r w:rsidRPr="00FE5F63">
        <w:rPr>
          <w:lang w:eastAsia="ja-JP"/>
        </w:rPr>
        <w:t>miglustat</w:t>
      </w:r>
      <w:proofErr w:type="spellEnd"/>
      <w:r>
        <w:rPr>
          <w:lang w:eastAsia="ja-JP"/>
        </w:rPr>
        <w:t xml:space="preserve"> (oral)</w:t>
      </w:r>
      <w:r w:rsidRPr="00FE5F63">
        <w:rPr>
          <w:lang w:eastAsia="ja-JP"/>
        </w:rPr>
        <w:t xml:space="preserve"> for the pivotal clinical study</w:t>
      </w:r>
      <w:r>
        <w:rPr>
          <w:lang w:eastAsia="ja-JP"/>
        </w:rPr>
        <w:t>.</w:t>
      </w:r>
    </w:p>
    <w:p w14:paraId="17E160F7" w14:textId="77777777" w:rsidR="00FD2B82" w:rsidRDefault="00FD2B82" w:rsidP="00FD2B82">
      <w:pPr>
        <w:pStyle w:val="Heading4"/>
      </w:pPr>
      <w:bookmarkStart w:id="49" w:name="_Toc200457824"/>
      <w:r w:rsidRPr="00AA53F4">
        <w:lastRenderedPageBreak/>
        <w:t>Efficacy</w:t>
      </w:r>
      <w:bookmarkEnd w:id="49"/>
    </w:p>
    <w:p w14:paraId="3C519290" w14:textId="77777777" w:rsidR="00FD2B82" w:rsidRDefault="00FD2B82" w:rsidP="00FD2B82">
      <w:pPr>
        <w:pStyle w:val="Heading5"/>
      </w:pPr>
      <w:r>
        <w:t>Study ATB200-03 (Pivotal study)</w:t>
      </w:r>
    </w:p>
    <w:p w14:paraId="207065F2" w14:textId="525F2145" w:rsidR="00FD2B82" w:rsidRDefault="00FD2B82" w:rsidP="00127DF6">
      <w:r w:rsidRPr="00FE5F63">
        <w:rPr>
          <w:lang w:eastAsia="ja-JP"/>
        </w:rPr>
        <w:t>This was a</w:t>
      </w:r>
      <w:r w:rsidRPr="00FE5F63">
        <w:t xml:space="preserve"> randomised, </w:t>
      </w:r>
      <w:r>
        <w:t xml:space="preserve">double-blind, </w:t>
      </w:r>
      <w:r w:rsidRPr="00FE5F63">
        <w:t>multicentre, international study</w:t>
      </w:r>
      <w:r w:rsidRPr="00FE5F63">
        <w:rPr>
          <w:lang w:eastAsia="ja-JP"/>
        </w:rPr>
        <w:t xml:space="preserve"> </w:t>
      </w:r>
      <w:r w:rsidRPr="00FE5F63">
        <w:t xml:space="preserve">designed to evaluate the efficacy, PD, PK, immunogenicity, safety and tolerability of </w:t>
      </w:r>
      <w:proofErr w:type="spellStart"/>
      <w:r w:rsidRPr="00FE5F63">
        <w:t>cipaglucosidase</w:t>
      </w:r>
      <w:proofErr w:type="spellEnd"/>
      <w:r w:rsidRPr="00FE5F63">
        <w:t xml:space="preserve"> alfa co-administered with </w:t>
      </w:r>
      <w:proofErr w:type="spellStart"/>
      <w:r w:rsidRPr="00FE5F63">
        <w:t>miglustat</w:t>
      </w:r>
      <w:proofErr w:type="spellEnd"/>
      <w:r w:rsidRPr="00FE5F63">
        <w:t xml:space="preserve"> compared with </w:t>
      </w:r>
      <w:proofErr w:type="spellStart"/>
      <w:r w:rsidRPr="00FE5F63">
        <w:t>alglucosidase</w:t>
      </w:r>
      <w:proofErr w:type="spellEnd"/>
      <w:r w:rsidRPr="00FE5F63">
        <w:t xml:space="preserve"> alfa co-administered with placebo in adult subjects with LOPD.</w:t>
      </w:r>
      <w:r w:rsidR="00127DF6">
        <w:t xml:space="preserve"> </w:t>
      </w:r>
      <w:r w:rsidRPr="00FE5F63">
        <w:rPr>
          <w:lang w:eastAsia="ja-JP"/>
        </w:rPr>
        <w:t>The study was conducted at 62 sites in 24 countries, including 4 sites in Australia. The first subject enrolled on 3 December 2018 and the last subject completed on 15 December 2020.</w:t>
      </w:r>
      <w:r w:rsidR="00127DF6">
        <w:rPr>
          <w:lang w:eastAsia="ja-JP"/>
        </w:rPr>
        <w:t xml:space="preserve"> </w:t>
      </w:r>
      <w:r w:rsidRPr="00FE5F63">
        <w:t xml:space="preserve">The study consisted of a 30-day screening period, a 12-month </w:t>
      </w:r>
      <w:r>
        <w:t>double-blind</w:t>
      </w:r>
      <w:r w:rsidRPr="00FE5F63">
        <w:t xml:space="preserve"> treatment period, and a 30-day follow-up period.</w:t>
      </w:r>
      <w:r w:rsidR="00127DF6">
        <w:t xml:space="preserve"> </w:t>
      </w:r>
      <w:r>
        <w:t>Key inclusion criteria were:</w:t>
      </w:r>
    </w:p>
    <w:p w14:paraId="1303C145" w14:textId="77777777" w:rsidR="00FD2B82" w:rsidRPr="00FE5F63" w:rsidRDefault="00FD2B82" w:rsidP="00127DF6">
      <w:pPr>
        <w:pStyle w:val="ListBullet"/>
      </w:pPr>
      <w:r w:rsidRPr="00FE5F63">
        <w:t xml:space="preserve">Men and women aged ≥ 18 years old and weighing ≥ 40 kg at </w:t>
      </w:r>
      <w:r w:rsidRPr="00127DF6">
        <w:t>screening</w:t>
      </w:r>
    </w:p>
    <w:p w14:paraId="121A2B11" w14:textId="77777777" w:rsidR="00FD2B82" w:rsidRPr="00FE5F63" w:rsidRDefault="00FD2B82" w:rsidP="002D465E">
      <w:pPr>
        <w:pStyle w:val="ListBullet"/>
      </w:pPr>
      <w:r w:rsidRPr="00FE5F63">
        <w:t>Diagnosis of LOPD based on documented deficiency of GAA enzyme activity or by GAA genotyping</w:t>
      </w:r>
    </w:p>
    <w:p w14:paraId="10F2EB18" w14:textId="77777777" w:rsidR="00FD2B82" w:rsidRPr="00FE5F63" w:rsidRDefault="00FD2B82" w:rsidP="002D465E">
      <w:pPr>
        <w:pStyle w:val="ListBullet"/>
      </w:pPr>
      <w:r w:rsidRPr="00FE5F63">
        <w:t>Sitting FVC ≥ 30% of the predicted value for healthy adults</w:t>
      </w:r>
    </w:p>
    <w:p w14:paraId="5231A8DF" w14:textId="77777777" w:rsidR="00FD2B82" w:rsidRPr="00FE5F63" w:rsidRDefault="00FD2B82" w:rsidP="002D465E">
      <w:pPr>
        <w:pStyle w:val="ListBullet"/>
      </w:pPr>
      <w:r w:rsidRPr="00FE5F63">
        <w:t xml:space="preserve">Performance of two 6MWTs at screening that were valid, as determined by the clinical evaluator, and that met </w:t>
      </w:r>
      <w:proofErr w:type="gramStart"/>
      <w:r w:rsidRPr="00FE5F63">
        <w:t>all of</w:t>
      </w:r>
      <w:proofErr w:type="gramEnd"/>
      <w:r w:rsidRPr="00FE5F63">
        <w:t xml:space="preserve"> the following criteria:</w:t>
      </w:r>
    </w:p>
    <w:p w14:paraId="562852D8" w14:textId="6134C0E6" w:rsidR="00FD2B82" w:rsidRPr="00FE5F63" w:rsidRDefault="00FD2B82" w:rsidP="00127DF6">
      <w:pPr>
        <w:pStyle w:val="ListBullet2"/>
      </w:pPr>
      <w:r w:rsidRPr="00FE5F63">
        <w:t xml:space="preserve">both screening values of </w:t>
      </w:r>
      <w:r w:rsidRPr="00127DF6">
        <w:t>6MWD</w:t>
      </w:r>
      <w:r w:rsidRPr="00FE5F63">
        <w:t xml:space="preserve"> were ≥ 75 </w:t>
      </w:r>
      <w:proofErr w:type="gramStart"/>
      <w:r w:rsidRPr="00FE5F63">
        <w:t>m;</w:t>
      </w:r>
      <w:proofErr w:type="gramEnd"/>
    </w:p>
    <w:p w14:paraId="63FF0E85" w14:textId="7E5BB445" w:rsidR="00FD2B82" w:rsidRPr="00FE5F63" w:rsidRDefault="00FD2B82" w:rsidP="002D465E">
      <w:pPr>
        <w:pStyle w:val="ListBullet2"/>
      </w:pPr>
      <w:r w:rsidRPr="00FE5F63">
        <w:t xml:space="preserve">both screening values of 6MWD were ≤ 90% of the predicted value for healthy </w:t>
      </w:r>
      <w:proofErr w:type="gramStart"/>
      <w:r w:rsidRPr="00FE5F63">
        <w:t>adults;</w:t>
      </w:r>
      <w:proofErr w:type="gramEnd"/>
    </w:p>
    <w:p w14:paraId="4ADCED4A" w14:textId="380627FA" w:rsidR="00FD2B82" w:rsidRPr="00FE5F63" w:rsidRDefault="00FD2B82" w:rsidP="002D465E">
      <w:pPr>
        <w:pStyle w:val="ListBullet2"/>
      </w:pPr>
      <w:r w:rsidRPr="00FE5F63">
        <w:t>the lower value of 6MWD was within 20% of the higher value of 6MWD</w:t>
      </w:r>
      <w:r w:rsidR="002241A8">
        <w:t>.</w:t>
      </w:r>
    </w:p>
    <w:p w14:paraId="18881C15" w14:textId="6D145491" w:rsidR="00FD2B82" w:rsidRDefault="00FD2B82" w:rsidP="00127DF6">
      <w:r>
        <w:t>The study recruited ERT-naïve (never received investigational or commercially available ERT) and ERT-experienced (</w:t>
      </w:r>
      <w:proofErr w:type="spellStart"/>
      <w:r>
        <w:t>alglucosidase</w:t>
      </w:r>
      <w:proofErr w:type="spellEnd"/>
      <w:r>
        <w:t xml:space="preserve"> alfa 20 mg/kg Q2W for ≥2 years) subjects.</w:t>
      </w:r>
      <w:r w:rsidR="00127DF6">
        <w:t xml:space="preserve"> </w:t>
      </w:r>
      <w:r w:rsidRPr="00FE5F63">
        <w:t xml:space="preserve">ERT-experienced subjects continued to take </w:t>
      </w:r>
      <w:proofErr w:type="spellStart"/>
      <w:r w:rsidRPr="00FE5F63">
        <w:t>alglucosidase</w:t>
      </w:r>
      <w:proofErr w:type="spellEnd"/>
      <w:r w:rsidRPr="00FE5F63">
        <w:t xml:space="preserve"> alfa during the screening period</w:t>
      </w:r>
      <w:r>
        <w:t xml:space="preserve"> and subsequently switched to randomised treatment on the same schedule without interruption</w:t>
      </w:r>
      <w:r w:rsidRPr="00FE5F63">
        <w:t>.</w:t>
      </w:r>
    </w:p>
    <w:p w14:paraId="57E88CDF" w14:textId="2A83E067" w:rsidR="00644E10" w:rsidRDefault="00FD2B82" w:rsidP="00127DF6">
      <w:r>
        <w:rPr>
          <w:lang w:eastAsia="ja-JP"/>
        </w:rPr>
        <w:t>Subjec</w:t>
      </w:r>
      <w:r w:rsidRPr="00FE5F63">
        <w:rPr>
          <w:lang w:eastAsia="ja-JP"/>
        </w:rPr>
        <w:t>ts were random</w:t>
      </w:r>
      <w:r>
        <w:rPr>
          <w:lang w:eastAsia="ja-JP"/>
        </w:rPr>
        <w:t>ised</w:t>
      </w:r>
      <w:r w:rsidRPr="00FE5F63">
        <w:rPr>
          <w:lang w:eastAsia="ja-JP"/>
        </w:rPr>
        <w:t xml:space="preserve"> 2:1 to receive</w:t>
      </w:r>
      <w:r>
        <w:rPr>
          <w:lang w:eastAsia="ja-JP"/>
        </w:rPr>
        <w:t xml:space="preserve"> treatment with </w:t>
      </w:r>
      <w:proofErr w:type="spellStart"/>
      <w:r w:rsidRPr="00FE5F63">
        <w:rPr>
          <w:lang w:eastAsia="ja-JP"/>
        </w:rPr>
        <w:t>cipaglucosidase</w:t>
      </w:r>
      <w:proofErr w:type="spellEnd"/>
      <w:r w:rsidRPr="00FE5F63">
        <w:rPr>
          <w:lang w:eastAsia="ja-JP"/>
        </w:rPr>
        <w:t xml:space="preserve"> alfa </w:t>
      </w:r>
      <w:r>
        <w:rPr>
          <w:lang w:eastAsia="ja-JP"/>
        </w:rPr>
        <w:t xml:space="preserve">and </w:t>
      </w:r>
      <w:proofErr w:type="spellStart"/>
      <w:r w:rsidRPr="00FE5F63">
        <w:rPr>
          <w:lang w:eastAsia="ja-JP"/>
        </w:rPr>
        <w:t>miglustat</w:t>
      </w:r>
      <w:proofErr w:type="spellEnd"/>
      <w:r>
        <w:t xml:space="preserve">, or </w:t>
      </w:r>
      <w:proofErr w:type="spellStart"/>
      <w:r w:rsidRPr="00FE5F63">
        <w:rPr>
          <w:lang w:eastAsia="ja-JP"/>
        </w:rPr>
        <w:t>alglucosidase</w:t>
      </w:r>
      <w:proofErr w:type="spellEnd"/>
      <w:r w:rsidRPr="00FE5F63">
        <w:rPr>
          <w:lang w:eastAsia="ja-JP"/>
        </w:rPr>
        <w:t xml:space="preserve"> alfa</w:t>
      </w:r>
      <w:r>
        <w:rPr>
          <w:rStyle w:val="FootnoteReference"/>
          <w:lang w:eastAsia="ja-JP"/>
        </w:rPr>
        <w:footnoteReference w:id="7"/>
      </w:r>
      <w:r>
        <w:t xml:space="preserve"> and </w:t>
      </w:r>
      <w:r w:rsidRPr="00FE5F63">
        <w:rPr>
          <w:lang w:eastAsia="ja-JP"/>
        </w:rPr>
        <w:t>placebo</w:t>
      </w:r>
      <w:r>
        <w:rPr>
          <w:lang w:eastAsia="ja-JP"/>
        </w:rPr>
        <w:t>, with r</w:t>
      </w:r>
      <w:r w:rsidRPr="00FE5F63">
        <w:rPr>
          <w:lang w:eastAsia="ja-JP"/>
        </w:rPr>
        <w:t xml:space="preserve">andomisation stratified by ERT status (ERT-experienced </w:t>
      </w:r>
      <w:r>
        <w:rPr>
          <w:lang w:eastAsia="ja-JP"/>
        </w:rPr>
        <w:t>or</w:t>
      </w:r>
      <w:r w:rsidRPr="00FE5F63">
        <w:rPr>
          <w:lang w:eastAsia="ja-JP"/>
        </w:rPr>
        <w:t xml:space="preserve"> </w:t>
      </w:r>
      <w:r>
        <w:rPr>
          <w:lang w:eastAsia="ja-JP"/>
        </w:rPr>
        <w:t>ERT-</w:t>
      </w:r>
      <w:r w:rsidRPr="00FE5F63">
        <w:rPr>
          <w:lang w:eastAsia="ja-JP"/>
        </w:rPr>
        <w:t>naïve) and baseline</w:t>
      </w:r>
      <w:r w:rsidRPr="00FE5F63">
        <w:t xml:space="preserve"> </w:t>
      </w:r>
      <w:r w:rsidRPr="00FE5F63">
        <w:rPr>
          <w:lang w:eastAsia="ja-JP"/>
        </w:rPr>
        <w:t>6MWD (75 to &lt; 150 m, 150 to &lt; 400 m, or ≥ 400 m).</w:t>
      </w:r>
      <w:r w:rsidR="00127DF6">
        <w:rPr>
          <w:lang w:eastAsia="ja-JP"/>
        </w:rPr>
        <w:t xml:space="preserve"> </w:t>
      </w:r>
      <w:proofErr w:type="spellStart"/>
      <w:r>
        <w:t>C</w:t>
      </w:r>
      <w:r w:rsidRPr="00FE5F63">
        <w:t>ipaglucosidase</w:t>
      </w:r>
      <w:proofErr w:type="spellEnd"/>
      <w:r w:rsidRPr="00FE5F63">
        <w:t xml:space="preserve"> alfa </w:t>
      </w:r>
      <w:r>
        <w:t>and</w:t>
      </w:r>
      <w:r w:rsidRPr="00FE5F63">
        <w:t xml:space="preserve"> </w:t>
      </w:r>
      <w:proofErr w:type="spellStart"/>
      <w:r w:rsidRPr="00FE5F63">
        <w:t>alglucosidase</w:t>
      </w:r>
      <w:proofErr w:type="spellEnd"/>
      <w:r w:rsidRPr="00FE5F63">
        <w:t xml:space="preserve"> alfa were dosed at 20 mg/kg body weight and administered every 2 weeks as a 4-hour IV infusion.</w:t>
      </w:r>
      <w:r w:rsidR="00127DF6">
        <w:t xml:space="preserve"> </w:t>
      </w:r>
      <w:r w:rsidRPr="00FE5F63">
        <w:t xml:space="preserve">The dose of </w:t>
      </w:r>
      <w:proofErr w:type="spellStart"/>
      <w:r w:rsidRPr="00FE5F63">
        <w:t>miglustat</w:t>
      </w:r>
      <w:proofErr w:type="spellEnd"/>
      <w:r w:rsidRPr="00FE5F63">
        <w:t xml:space="preserve"> was 260 mg (4 x 65 mg capsules) for subjects weighing ≥ 50 kg</w:t>
      </w:r>
      <w:r>
        <w:t>,</w:t>
      </w:r>
      <w:r w:rsidRPr="00FE5F63">
        <w:t xml:space="preserve"> or 195 mg (3 x 65 mg capsules) for subjects weighing ≥ 40 kg to &lt; 50 kg.</w:t>
      </w:r>
      <w:r w:rsidR="00127DF6">
        <w:t xml:space="preserve"> </w:t>
      </w:r>
      <w:proofErr w:type="spellStart"/>
      <w:r w:rsidRPr="00FE5F63">
        <w:rPr>
          <w:lang w:eastAsia="ja-JP"/>
        </w:rPr>
        <w:t>Miglustat</w:t>
      </w:r>
      <w:proofErr w:type="spellEnd"/>
      <w:r>
        <w:rPr>
          <w:lang w:eastAsia="ja-JP"/>
        </w:rPr>
        <w:t xml:space="preserve"> or matching </w:t>
      </w:r>
      <w:r w:rsidRPr="00FE5F63">
        <w:rPr>
          <w:lang w:eastAsia="ja-JP"/>
        </w:rPr>
        <w:t xml:space="preserve">placebo were administered orally approximately 1 hour before </w:t>
      </w:r>
      <w:r>
        <w:rPr>
          <w:lang w:eastAsia="ja-JP"/>
        </w:rPr>
        <w:t>the infusion</w:t>
      </w:r>
      <w:r w:rsidRPr="00FE5F63">
        <w:rPr>
          <w:lang w:eastAsia="ja-JP"/>
        </w:rPr>
        <w:t>.</w:t>
      </w:r>
      <w:r w:rsidR="00127DF6">
        <w:rPr>
          <w:lang w:eastAsia="ja-JP"/>
        </w:rPr>
        <w:t xml:space="preserve"> </w:t>
      </w:r>
      <w:r w:rsidRPr="00FE5F63">
        <w:rPr>
          <w:lang w:eastAsia="ja-JP"/>
        </w:rPr>
        <w:t xml:space="preserve">Subjects were fasted for at least 2 hours before and 2 hours after administration of </w:t>
      </w:r>
      <w:proofErr w:type="spellStart"/>
      <w:r w:rsidRPr="00FE5F63">
        <w:rPr>
          <w:lang w:eastAsia="ja-JP"/>
        </w:rPr>
        <w:t>miglustat</w:t>
      </w:r>
      <w:proofErr w:type="spellEnd"/>
      <w:r>
        <w:rPr>
          <w:lang w:eastAsia="ja-JP"/>
        </w:rPr>
        <w:t>/</w:t>
      </w:r>
      <w:r w:rsidRPr="00FE5F63">
        <w:rPr>
          <w:lang w:eastAsia="ja-JP"/>
        </w:rPr>
        <w:t>placebo.</w:t>
      </w:r>
      <w:r w:rsidR="00127DF6">
        <w:rPr>
          <w:lang w:eastAsia="ja-JP"/>
        </w:rPr>
        <w:t xml:space="preserve"> </w:t>
      </w:r>
      <w:r w:rsidRPr="00FE5F63">
        <w:t>In general, study drug administration was performed at a hospital or study site</w:t>
      </w:r>
      <w:r>
        <w:t>, but</w:t>
      </w:r>
      <w:r w:rsidRPr="00FE5F63">
        <w:t xml:space="preserve"> subjects may have been eligible for administration at home after participating in the study for 6 months.</w:t>
      </w:r>
    </w:p>
    <w:p w14:paraId="6F3C1B56" w14:textId="094C8720" w:rsidR="00FD2B82" w:rsidRPr="00FE5F63" w:rsidRDefault="00FD2B82" w:rsidP="005D573C">
      <w:r w:rsidRPr="00FE5F63">
        <w:t>Efficacy assessments were performed at baseline and every 12 weeks and included functional assessments</w:t>
      </w:r>
      <w:r w:rsidRPr="00FE5F63">
        <w:rPr>
          <w:rStyle w:val="FootnoteReference"/>
        </w:rPr>
        <w:footnoteReference w:id="8"/>
      </w:r>
      <w:r w:rsidRPr="00FE5F63">
        <w:t xml:space="preserve"> and patient-reported outcomes</w:t>
      </w:r>
      <w:r>
        <w:t xml:space="preserve"> (PROs)</w:t>
      </w:r>
      <w:r w:rsidRPr="00FE5F63">
        <w:rPr>
          <w:rStyle w:val="FootnoteReference"/>
        </w:rPr>
        <w:footnoteReference w:id="9"/>
      </w:r>
      <w:r w:rsidRPr="00FE5F63">
        <w:t>.</w:t>
      </w:r>
    </w:p>
    <w:p w14:paraId="6FF1B5E3" w14:textId="055A77F0" w:rsidR="00FD2B82" w:rsidRPr="00FE5F63" w:rsidRDefault="00FD2B82" w:rsidP="00127DF6">
      <w:pPr>
        <w:rPr>
          <w:lang w:eastAsia="ja-JP"/>
        </w:rPr>
      </w:pPr>
      <w:r w:rsidRPr="00FE5F63">
        <w:rPr>
          <w:lang w:eastAsia="ja-JP"/>
        </w:rPr>
        <w:lastRenderedPageBreak/>
        <w:t>The primary efficacy endpoint was the change in 6MWD (the distance walked in the 6MWT, in metres) from baseline to Week 52.</w:t>
      </w:r>
      <w:r w:rsidR="00127DF6">
        <w:rPr>
          <w:lang w:eastAsia="ja-JP"/>
        </w:rPr>
        <w:t xml:space="preserve"> </w:t>
      </w:r>
      <w:r w:rsidRPr="00FE5F63">
        <w:rPr>
          <w:lang w:eastAsia="ja-JP"/>
        </w:rPr>
        <w:t xml:space="preserve">Key secondary efficacy endpoints in </w:t>
      </w:r>
      <w:r>
        <w:rPr>
          <w:lang w:eastAsia="ja-JP"/>
        </w:rPr>
        <w:t xml:space="preserve">sequential </w:t>
      </w:r>
      <w:r w:rsidRPr="00FE5F63">
        <w:rPr>
          <w:lang w:eastAsia="ja-JP"/>
        </w:rPr>
        <w:t>order were:</w:t>
      </w:r>
    </w:p>
    <w:p w14:paraId="26DBCB37" w14:textId="77777777" w:rsidR="00FD2B82" w:rsidRPr="00FE5F63" w:rsidRDefault="00FD2B82" w:rsidP="00127DF6">
      <w:pPr>
        <w:pStyle w:val="ListBullet"/>
      </w:pPr>
      <w:bookmarkStart w:id="50" w:name="_Hlk169689687"/>
      <w:r w:rsidRPr="00FE5F63">
        <w:t xml:space="preserve">Change in sitting FVC (% </w:t>
      </w:r>
      <w:r w:rsidRPr="00127DF6">
        <w:t>predicted</w:t>
      </w:r>
      <w:r w:rsidRPr="00FE5F63">
        <w:t>) from baseline to Week 52</w:t>
      </w:r>
    </w:p>
    <w:bookmarkEnd w:id="50"/>
    <w:p w14:paraId="590FB94C" w14:textId="77777777" w:rsidR="00FD2B82" w:rsidRPr="00FE5F63" w:rsidRDefault="00FD2B82" w:rsidP="00644E10">
      <w:pPr>
        <w:pStyle w:val="ListBullet"/>
      </w:pPr>
      <w:r w:rsidRPr="00FE5F63">
        <w:t>Change in the manual muscle test (MMT) lower extremity score from baseline to Week 52</w:t>
      </w:r>
    </w:p>
    <w:p w14:paraId="4B447AEA" w14:textId="77777777" w:rsidR="00FD2B82" w:rsidRPr="00FE5F63" w:rsidRDefault="00FD2B82" w:rsidP="00644E10">
      <w:pPr>
        <w:pStyle w:val="ListBullet"/>
      </w:pPr>
      <w:r w:rsidRPr="00FE5F63">
        <w:t>Change in 6MWD from baseline to Week 26</w:t>
      </w:r>
    </w:p>
    <w:p w14:paraId="1D2C48D6" w14:textId="77777777" w:rsidR="00FD2B82" w:rsidRPr="00FE5F63" w:rsidRDefault="00FD2B82" w:rsidP="00644E10">
      <w:pPr>
        <w:pStyle w:val="ListBullet"/>
      </w:pPr>
      <w:r w:rsidRPr="00FE5F63">
        <w:t>Change in the Patient-</w:t>
      </w:r>
      <w:r>
        <w:t>R</w:t>
      </w:r>
      <w:r w:rsidRPr="00FE5F63">
        <w:t>eported Outcomes Measurement Information System (PROMIS)-Physical Function total score from baseline to Week 52</w:t>
      </w:r>
    </w:p>
    <w:p w14:paraId="46F30DD0" w14:textId="77777777" w:rsidR="00FD2B82" w:rsidRPr="00FE5F63" w:rsidRDefault="00FD2B82" w:rsidP="00644E10">
      <w:pPr>
        <w:pStyle w:val="ListBullet"/>
      </w:pPr>
      <w:r w:rsidRPr="00FE5F63">
        <w:t>Change in the PROMIS-Fatigue total score from baseline to Week 52</w:t>
      </w:r>
    </w:p>
    <w:p w14:paraId="7565B6C2" w14:textId="77777777" w:rsidR="00FD2B82" w:rsidRPr="00FE5F63" w:rsidRDefault="00FD2B82" w:rsidP="00644E10">
      <w:pPr>
        <w:pStyle w:val="ListBullet"/>
      </w:pPr>
      <w:r w:rsidRPr="00FE5F63">
        <w:t>Change in the Gait, Stairs, Gowers’ manoeuvre, and Chair (GSGC) total score from baseline to Week 52</w:t>
      </w:r>
      <w:r>
        <w:t>.</w:t>
      </w:r>
    </w:p>
    <w:p w14:paraId="5A211448" w14:textId="5D890A4F" w:rsidR="00FD2B82" w:rsidRDefault="00FD2B82" w:rsidP="00127DF6">
      <w:r w:rsidRPr="005D573C">
        <w:t>The ITT population consisted of all randomised subjects who received at least 1 dose of study drug.</w:t>
      </w:r>
      <w:r w:rsidR="00127DF6">
        <w:t xml:space="preserve"> </w:t>
      </w:r>
      <w:r w:rsidRPr="005D573C">
        <w:t>The primary efficacy endpoint (change in 6MWD from baseline to Week 52) was analysed using an MMRM model to compare between treatment and control on the ITT-OBS Population.</w:t>
      </w:r>
      <w:r w:rsidR="00127DF6">
        <w:t xml:space="preserve"> </w:t>
      </w:r>
      <w:r w:rsidRPr="005D573C">
        <w:t>Each key secondary endpoint was analysed using an analysis of covariance (ANCOVA) model on the ITT-LOCF Population.</w:t>
      </w:r>
      <w:r w:rsidR="00127DF6">
        <w:t xml:space="preserve"> </w:t>
      </w:r>
      <w:r w:rsidRPr="005D573C">
        <w:t>The test for the primary endpoint was conducted first at the 1-sided 0.025 significance level, and if significant, the key secondary endpoints were tested sequentially at the same significance level.</w:t>
      </w:r>
      <w:r w:rsidR="00127DF6">
        <w:t xml:space="preserve"> </w:t>
      </w:r>
      <w:r w:rsidRPr="005D573C">
        <w:t>If at any point the null hypothesis failed to be rejected, then that comparison and any other comparison below it could not be claimed as statistically significant</w:t>
      </w:r>
      <w:r>
        <w:t xml:space="preserve"> </w:t>
      </w:r>
      <w:r w:rsidR="003A72B7">
        <w:t>o</w:t>
      </w:r>
      <w:r>
        <w:t>n superiority, and subsequent analyses would be to assess for nominal significance on superiority.</w:t>
      </w:r>
    </w:p>
    <w:p w14:paraId="4213E5E6" w14:textId="10ACC321" w:rsidR="00FD2B82" w:rsidRDefault="00FD2B82" w:rsidP="00127DF6">
      <w:pPr>
        <w:rPr>
          <w:lang w:eastAsia="ja-JP"/>
        </w:rPr>
      </w:pPr>
      <w:r w:rsidRPr="00FE5F63">
        <w:t xml:space="preserve">123 subjects (95 ERT-experienced and 28 ERT-naïve) were enrolled in the study and </w:t>
      </w:r>
      <w:r>
        <w:t>received study treatment (</w:t>
      </w:r>
      <w:r w:rsidRPr="00FE5F63">
        <w:t xml:space="preserve">85 received </w:t>
      </w:r>
      <w:proofErr w:type="spellStart"/>
      <w:r w:rsidRPr="00FE5F63">
        <w:t>cipaglucosidase</w:t>
      </w:r>
      <w:proofErr w:type="spellEnd"/>
      <w:r w:rsidRPr="00FE5F63">
        <w:t xml:space="preserve"> alfa/</w:t>
      </w:r>
      <w:proofErr w:type="spellStart"/>
      <w:r w:rsidRPr="00FE5F63">
        <w:t>miglustat</w:t>
      </w:r>
      <w:proofErr w:type="spellEnd"/>
      <w:r w:rsidRPr="00FE5F63">
        <w:t xml:space="preserve"> and 38 received </w:t>
      </w:r>
      <w:proofErr w:type="spellStart"/>
      <w:r w:rsidRPr="00FE5F63">
        <w:t>alglucosidase</w:t>
      </w:r>
      <w:proofErr w:type="spellEnd"/>
      <w:r w:rsidRPr="00FE5F63">
        <w:t xml:space="preserve"> alfa/placebo</w:t>
      </w:r>
      <w:r>
        <w:t>).</w:t>
      </w:r>
      <w:r w:rsidR="00127DF6">
        <w:t xml:space="preserve"> </w:t>
      </w:r>
      <w:r w:rsidRPr="00FE5F63">
        <w:t xml:space="preserve">117 subjects completed the study (94.1% in the </w:t>
      </w:r>
      <w:proofErr w:type="spellStart"/>
      <w:r w:rsidRPr="00FE5F63">
        <w:t>cipaglucosidase</w:t>
      </w:r>
      <w:proofErr w:type="spellEnd"/>
      <w:r w:rsidRPr="00FE5F63">
        <w:t xml:space="preserve"> alfa/</w:t>
      </w:r>
      <w:proofErr w:type="spellStart"/>
      <w:r w:rsidRPr="00FE5F63">
        <w:t>miglustat</w:t>
      </w:r>
      <w:proofErr w:type="spellEnd"/>
      <w:r w:rsidRPr="00FE5F63">
        <w:t xml:space="preserve"> group and 97.4% in the </w:t>
      </w:r>
      <w:proofErr w:type="spellStart"/>
      <w:r w:rsidRPr="00FE5F63">
        <w:t>alglucosidase</w:t>
      </w:r>
      <w:proofErr w:type="spellEnd"/>
      <w:r w:rsidRPr="00FE5F63">
        <w:t xml:space="preserve"> alfa/placebo group)</w:t>
      </w:r>
      <w:r>
        <w:t>.</w:t>
      </w:r>
      <w:r w:rsidR="00127DF6">
        <w:t xml:space="preserve"> </w:t>
      </w:r>
      <w:r w:rsidRPr="00FE5F63">
        <w:t>The median age was 47 years, 54.5% of the subjects were women, and 84.6% were White.</w:t>
      </w:r>
      <w:r w:rsidR="00127DF6">
        <w:t xml:space="preserve"> </w:t>
      </w:r>
      <w:r w:rsidRPr="00FE5F63">
        <w:rPr>
          <w:lang w:eastAsia="ja-JP"/>
        </w:rPr>
        <w:t>The median age at diagnosis of LOPD was 40 years</w:t>
      </w:r>
      <w:r>
        <w:rPr>
          <w:lang w:eastAsia="ja-JP"/>
        </w:rPr>
        <w:t>, and median 6MWD at baseline was 359.5 m.</w:t>
      </w:r>
    </w:p>
    <w:p w14:paraId="106776EF" w14:textId="30F4EF25" w:rsidR="00FD2B82" w:rsidRDefault="00FD2B82" w:rsidP="00127DF6">
      <w:r>
        <w:rPr>
          <w:lang w:eastAsia="ja-JP"/>
        </w:rPr>
        <w:t xml:space="preserve">For the primary endpoint, the change (improvement) in 6MWD was numerically greater in the </w:t>
      </w:r>
      <w:proofErr w:type="spellStart"/>
      <w:r>
        <w:rPr>
          <w:lang w:eastAsia="ja-JP"/>
        </w:rPr>
        <w:t>cipaglucosidase</w:t>
      </w:r>
      <w:proofErr w:type="spellEnd"/>
      <w:r>
        <w:rPr>
          <w:lang w:eastAsia="ja-JP"/>
        </w:rPr>
        <w:t xml:space="preserve"> alfa/</w:t>
      </w:r>
      <w:proofErr w:type="spellStart"/>
      <w:r>
        <w:rPr>
          <w:lang w:eastAsia="ja-JP"/>
        </w:rPr>
        <w:t>miglustat</w:t>
      </w:r>
      <w:proofErr w:type="spellEnd"/>
      <w:r>
        <w:rPr>
          <w:lang w:eastAsia="ja-JP"/>
        </w:rPr>
        <w:t xml:space="preserve"> group compared to the </w:t>
      </w:r>
      <w:proofErr w:type="spellStart"/>
      <w:r>
        <w:rPr>
          <w:lang w:eastAsia="ja-JP"/>
        </w:rPr>
        <w:t>alglucosidase</w:t>
      </w:r>
      <w:proofErr w:type="spellEnd"/>
      <w:r>
        <w:rPr>
          <w:lang w:eastAsia="ja-JP"/>
        </w:rPr>
        <w:t xml:space="preserve"> alfa/placebo group</w:t>
      </w:r>
      <w:r>
        <w:rPr>
          <w:rStyle w:val="FootnoteReference"/>
          <w:lang w:eastAsia="ja-JP"/>
        </w:rPr>
        <w:footnoteReference w:id="10"/>
      </w:r>
      <w:r>
        <w:rPr>
          <w:lang w:eastAsia="ja-JP"/>
        </w:rPr>
        <w:t>, but statistical superiority was not demonstrated (</w:t>
      </w:r>
      <w:r>
        <w:rPr>
          <w:lang w:eastAsia="ja-JP"/>
        </w:rPr>
        <w:fldChar w:fldCharType="begin"/>
      </w:r>
      <w:r>
        <w:rPr>
          <w:lang w:eastAsia="ja-JP"/>
        </w:rPr>
        <w:instrText xml:space="preserve"> REF _Ref174974034 \h </w:instrText>
      </w:r>
      <w:r w:rsidR="00644E10">
        <w:rPr>
          <w:lang w:eastAsia="ja-JP"/>
        </w:rPr>
        <w:instrText xml:space="preserve"> \* MERGEFORMAT </w:instrText>
      </w:r>
      <w:r>
        <w:rPr>
          <w:lang w:eastAsia="ja-JP"/>
        </w:rPr>
      </w:r>
      <w:r>
        <w:rPr>
          <w:lang w:eastAsia="ja-JP"/>
        </w:rPr>
        <w:fldChar w:fldCharType="separate"/>
      </w:r>
      <w:r>
        <w:t xml:space="preserve">Table </w:t>
      </w:r>
      <w:r>
        <w:rPr>
          <w:noProof/>
        </w:rPr>
        <w:t>3</w:t>
      </w:r>
      <w:r>
        <w:rPr>
          <w:lang w:eastAsia="ja-JP"/>
        </w:rPr>
        <w:fldChar w:fldCharType="end"/>
      </w:r>
      <w:r>
        <w:rPr>
          <w:lang w:eastAsia="ja-JP"/>
        </w:rPr>
        <w:t>).</w:t>
      </w:r>
      <w:r w:rsidR="00127DF6">
        <w:rPr>
          <w:lang w:eastAsia="ja-JP"/>
        </w:rPr>
        <w:t xml:space="preserve"> </w:t>
      </w:r>
      <w:r>
        <w:t xml:space="preserve">From a formal statistical perspective, no further confirmatory conclusions were possible, but findings for the key secondary endpoints numerically favoured </w:t>
      </w:r>
      <w:proofErr w:type="spellStart"/>
      <w:r>
        <w:t>cipaglucosidase</w:t>
      </w:r>
      <w:proofErr w:type="spellEnd"/>
      <w:r>
        <w:t xml:space="preserve"> alfa/</w:t>
      </w:r>
      <w:proofErr w:type="spellStart"/>
      <w:r>
        <w:t>miglustat</w:t>
      </w:r>
      <w:proofErr w:type="spellEnd"/>
      <w:r>
        <w:t xml:space="preserve"> over </w:t>
      </w:r>
      <w:proofErr w:type="spellStart"/>
      <w:r>
        <w:t>alglucosidase</w:t>
      </w:r>
      <w:proofErr w:type="spellEnd"/>
      <w:r>
        <w:t xml:space="preserve"> alfa/placebo (</w:t>
      </w:r>
      <w:r>
        <w:fldChar w:fldCharType="begin"/>
      </w:r>
      <w:r>
        <w:instrText xml:space="preserve"> REF _Ref174974034 \h </w:instrText>
      </w:r>
      <w:r w:rsidR="00644E10">
        <w:instrText xml:space="preserve"> \* MERGEFORMAT </w:instrText>
      </w:r>
      <w:r>
        <w:fldChar w:fldCharType="separate"/>
      </w:r>
      <w:r>
        <w:t xml:space="preserve">Table </w:t>
      </w:r>
      <w:r>
        <w:rPr>
          <w:noProof/>
        </w:rPr>
        <w:t>3</w:t>
      </w:r>
      <w:r>
        <w:fldChar w:fldCharType="end"/>
      </w:r>
      <w:r>
        <w:t>).</w:t>
      </w:r>
    </w:p>
    <w:p w14:paraId="6C4A6226" w14:textId="3FC3A822" w:rsidR="00FD2B82" w:rsidRDefault="00FD2B82" w:rsidP="005D573C">
      <w:pPr>
        <w:rPr>
          <w:lang w:eastAsia="ja-JP"/>
        </w:rPr>
      </w:pPr>
      <w:r w:rsidRPr="00FE5F63">
        <w:rPr>
          <w:lang w:eastAsia="ja-JP"/>
        </w:rPr>
        <w:t xml:space="preserve">A prespecified </w:t>
      </w:r>
      <w:r>
        <w:rPr>
          <w:lang w:eastAsia="ja-JP"/>
        </w:rPr>
        <w:t>analys</w:t>
      </w:r>
      <w:r w:rsidRPr="00FE5F63">
        <w:rPr>
          <w:lang w:eastAsia="ja-JP"/>
        </w:rPr>
        <w:t xml:space="preserve">is of 6MWD in the overall ITT Population that excluded </w:t>
      </w:r>
      <w:r>
        <w:rPr>
          <w:lang w:eastAsia="ja-JP"/>
        </w:rPr>
        <w:t>outlier</w:t>
      </w:r>
      <w:r w:rsidRPr="00FE5F63">
        <w:rPr>
          <w:lang w:eastAsia="ja-JP"/>
        </w:rPr>
        <w:t>s with externally studentised residuals &gt;3 in magnitude was performed.</w:t>
      </w:r>
      <w:r w:rsidR="00127DF6">
        <w:rPr>
          <w:lang w:eastAsia="ja-JP"/>
        </w:rPr>
        <w:t xml:space="preserve"> </w:t>
      </w:r>
      <w:r>
        <w:rPr>
          <w:lang w:eastAsia="ja-JP"/>
        </w:rPr>
        <w:t>In thi</w:t>
      </w:r>
      <w:r w:rsidRPr="00FE5F63">
        <w:rPr>
          <w:lang w:eastAsia="ja-JP"/>
        </w:rPr>
        <w:t>s analysis</w:t>
      </w:r>
      <w:r>
        <w:rPr>
          <w:lang w:eastAsia="ja-JP"/>
        </w:rPr>
        <w:t xml:space="preserve">, the difference in LS means was 13.96 m in favour of </w:t>
      </w:r>
      <w:proofErr w:type="spellStart"/>
      <w:r w:rsidRPr="00FE5F63">
        <w:rPr>
          <w:lang w:eastAsia="ja-JP"/>
        </w:rPr>
        <w:t>cipaglucosidase</w:t>
      </w:r>
      <w:proofErr w:type="spellEnd"/>
      <w:r w:rsidRPr="00FE5F63">
        <w:rPr>
          <w:lang w:eastAsia="ja-JP"/>
        </w:rPr>
        <w:t xml:space="preserve"> alfa/</w:t>
      </w:r>
      <w:proofErr w:type="spellStart"/>
      <w:r w:rsidRPr="00FE5F63">
        <w:rPr>
          <w:lang w:eastAsia="ja-JP"/>
        </w:rPr>
        <w:t>miglustat</w:t>
      </w:r>
      <w:proofErr w:type="spellEnd"/>
      <w:r w:rsidRPr="00FE5F63">
        <w:rPr>
          <w:lang w:eastAsia="ja-JP"/>
        </w:rPr>
        <w:t xml:space="preserve">, </w:t>
      </w:r>
      <w:r>
        <w:rPr>
          <w:lang w:eastAsia="ja-JP"/>
        </w:rPr>
        <w:t xml:space="preserve">but </w:t>
      </w:r>
      <w:r w:rsidRPr="00FE5F63">
        <w:rPr>
          <w:lang w:eastAsia="ja-JP"/>
        </w:rPr>
        <w:t>statistical superiority was not demonstrated</w:t>
      </w:r>
      <w:r>
        <w:rPr>
          <w:lang w:eastAsia="ja-JP"/>
        </w:rPr>
        <w:t xml:space="preserve"> (</w:t>
      </w:r>
      <w:r>
        <w:rPr>
          <w:lang w:eastAsia="ja-JP"/>
        </w:rPr>
        <w:fldChar w:fldCharType="begin"/>
      </w:r>
      <w:r>
        <w:rPr>
          <w:lang w:eastAsia="ja-JP"/>
        </w:rPr>
        <w:instrText xml:space="preserve"> REF _Ref175121671 \h </w:instrText>
      </w:r>
      <w:r w:rsidR="00644E10">
        <w:rPr>
          <w:lang w:eastAsia="ja-JP"/>
        </w:rPr>
        <w:instrText xml:space="preserve"> \* MERGEFORMAT </w:instrText>
      </w:r>
      <w:r>
        <w:rPr>
          <w:lang w:eastAsia="ja-JP"/>
        </w:rPr>
      </w:r>
      <w:r>
        <w:rPr>
          <w:lang w:eastAsia="ja-JP"/>
        </w:rPr>
        <w:fldChar w:fldCharType="separate"/>
      </w:r>
      <w:r>
        <w:t xml:space="preserve">Table </w:t>
      </w:r>
      <w:r>
        <w:rPr>
          <w:noProof/>
        </w:rPr>
        <w:t>4</w:t>
      </w:r>
      <w:r>
        <w:rPr>
          <w:lang w:eastAsia="ja-JP"/>
        </w:rPr>
        <w:fldChar w:fldCharType="end"/>
      </w:r>
      <w:r>
        <w:rPr>
          <w:lang w:eastAsia="ja-JP"/>
        </w:rPr>
        <w:t>).</w:t>
      </w:r>
    </w:p>
    <w:p w14:paraId="7CA435E6" w14:textId="50A0FEEE" w:rsidR="00FD2B82" w:rsidRPr="00644E10" w:rsidRDefault="00FD2B82" w:rsidP="00127DF6">
      <w:pPr>
        <w:pStyle w:val="TableTitle"/>
      </w:pPr>
      <w:bookmarkStart w:id="51" w:name="_Ref174974034"/>
      <w:r w:rsidRPr="00A214B5">
        <w:lastRenderedPageBreak/>
        <w:t xml:space="preserve">Table </w:t>
      </w:r>
      <w:r w:rsidRPr="00A214B5">
        <w:fldChar w:fldCharType="begin"/>
      </w:r>
      <w:r w:rsidRPr="00A214B5">
        <w:instrText xml:space="preserve"> SEQ Table \* ARABIC </w:instrText>
      </w:r>
      <w:r w:rsidRPr="00A214B5">
        <w:fldChar w:fldCharType="separate"/>
      </w:r>
      <w:r w:rsidRPr="00A214B5">
        <w:t>3</w:t>
      </w:r>
      <w:r w:rsidRPr="00A214B5">
        <w:fldChar w:fldCharType="end"/>
      </w:r>
      <w:bookmarkEnd w:id="51"/>
      <w:r w:rsidR="00F9004B" w:rsidRPr="00A214B5">
        <w:t>:</w:t>
      </w:r>
      <w:r w:rsidRPr="00A214B5">
        <w:t xml:space="preserve"> Study ATB200-03: Summary of Primary and Key Secondary Endpoints</w:t>
      </w:r>
      <w:r w:rsidRPr="00644E10">
        <w:t xml:space="preserve"> </w:t>
      </w:r>
    </w:p>
    <w:p w14:paraId="66787BCD" w14:textId="77777777" w:rsidR="00127DF6" w:rsidRDefault="00FD2B82" w:rsidP="00127DF6">
      <w:r>
        <w:rPr>
          <w:noProof/>
        </w:rPr>
        <w:drawing>
          <wp:inline distT="0" distB="0" distL="0" distR="0" wp14:anchorId="66505A27" wp14:editId="0B8272DF">
            <wp:extent cx="5195624" cy="4143375"/>
            <wp:effectExtent l="0" t="0" r="5080" b="0"/>
            <wp:docPr id="1" name="Picture 1" descr="Table 3: Study ATB200-03: Summary of Primary and Key Secondary Endpoi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 3: Study ATB200-03: Summary of Primary and Key Secondary Endpoints "/>
                    <pic:cNvPicPr/>
                  </pic:nvPicPr>
                  <pic:blipFill>
                    <a:blip r:embed="rId22"/>
                    <a:stretch>
                      <a:fillRect/>
                    </a:stretch>
                  </pic:blipFill>
                  <pic:spPr>
                    <a:xfrm>
                      <a:off x="0" y="0"/>
                      <a:ext cx="5211338" cy="4155907"/>
                    </a:xfrm>
                    <a:prstGeom prst="rect">
                      <a:avLst/>
                    </a:prstGeom>
                  </pic:spPr>
                </pic:pic>
              </a:graphicData>
            </a:graphic>
          </wp:inline>
        </w:drawing>
      </w:r>
    </w:p>
    <w:p w14:paraId="42B4C08D" w14:textId="21C64048" w:rsidR="00FD2B82" w:rsidRDefault="00FD2B82" w:rsidP="00127DF6">
      <w:pPr>
        <w:pStyle w:val="TableDescription"/>
      </w:pPr>
      <w:r w:rsidRPr="00DE59B5">
        <w:t>6MWD= 6-minute walk distance; CHG= change from baseline; CI = confidence interval; FVC = forced vital capacity; GSGC = Gait, Stairs, Gowers’ manoeuvre, and Chair; ITT = Intent-to-Treat; ITT-LOCF= Intent-to-Treat-Last Observation Carried Forward; ITT-OBS= Intent-to-Treat–Observed; LS= least squares; MMT = manual muscle testing; PROMIS = Patient-reported Outcomes Measurement Information System; SE = standard error.</w:t>
      </w:r>
      <w:r w:rsidR="00127DF6">
        <w:t xml:space="preserve"> </w:t>
      </w:r>
      <w:r w:rsidRPr="00DE59B5">
        <w:t xml:space="preserve">a </w:t>
      </w:r>
      <w:proofErr w:type="spellStart"/>
      <w:r w:rsidRPr="00DE59B5">
        <w:t>Cipaglucosidase</w:t>
      </w:r>
      <w:proofErr w:type="spellEnd"/>
      <w:r w:rsidRPr="00DE59B5">
        <w:t xml:space="preserve"> alfa/</w:t>
      </w:r>
      <w:proofErr w:type="spellStart"/>
      <w:r w:rsidRPr="00DE59B5">
        <w:t>miglustat</w:t>
      </w:r>
      <w:proofErr w:type="spellEnd"/>
      <w:r w:rsidRPr="00DE59B5">
        <w:t xml:space="preserve"> – </w:t>
      </w:r>
      <w:proofErr w:type="spellStart"/>
      <w:r w:rsidRPr="00DE59B5">
        <w:t>alglucosidase</w:t>
      </w:r>
      <w:proofErr w:type="spellEnd"/>
      <w:r w:rsidRPr="00DE59B5">
        <w:t xml:space="preserve"> alfa/placebo.</w:t>
      </w:r>
      <w:r w:rsidR="00127DF6">
        <w:t xml:space="preserve"> </w:t>
      </w:r>
      <w:r w:rsidRPr="00DE59B5">
        <w:t xml:space="preserve"> b Mixed-effect model for repeated measures approach was used for the primary analysis of the primary endpoint based on the ITT-OBS Population.</w:t>
      </w:r>
      <w:r w:rsidR="00127DF6">
        <w:t xml:space="preserve"> </w:t>
      </w:r>
      <w:r w:rsidRPr="00DE59B5">
        <w:t>c Analysis of covariance model was used for the primary analysis of the key secondary endpoints based on the ITT-LOCF Population.</w:t>
      </w:r>
      <w:r w:rsidR="00127DF6">
        <w:t xml:space="preserve"> </w:t>
      </w:r>
      <w:r w:rsidRPr="00DE59B5">
        <w:t xml:space="preserve">d </w:t>
      </w:r>
      <w:proofErr w:type="gramStart"/>
      <w:r w:rsidRPr="00DE59B5">
        <w:t>The</w:t>
      </w:r>
      <w:proofErr w:type="gramEnd"/>
      <w:r w:rsidRPr="00DE59B5">
        <w:t xml:space="preserve"> total score for the MMT lower extremity strength included the following 8 body parts: right/left hip flexion, right/left hip abduction, right/left knee flexion, and right/left knee extension. Total score ranged from 0 to 40, with the lower score indicating weaker muscle strength.</w:t>
      </w:r>
      <w:r w:rsidR="00127DF6">
        <w:t xml:space="preserve"> </w:t>
      </w:r>
      <w:r w:rsidRPr="00DE59B5">
        <w:t xml:space="preserve">e </w:t>
      </w:r>
      <w:proofErr w:type="gramStart"/>
      <w:r w:rsidRPr="00DE59B5">
        <w:t>The</w:t>
      </w:r>
      <w:proofErr w:type="gramEnd"/>
      <w:r w:rsidRPr="00DE59B5">
        <w:t xml:space="preserve"> total score was calculated by summing scores (1 to 5) across all items. f GSGC total score was the sum of 4 tests and ranged from a minimum of 4 points (normal performance) to a maximum of 27 points (worst score).</w:t>
      </w:r>
    </w:p>
    <w:p w14:paraId="2B4BAEC6" w14:textId="4B60D47D" w:rsidR="00FD2B82" w:rsidRDefault="00FD2B82" w:rsidP="00127DF6">
      <w:pPr>
        <w:pStyle w:val="TableTitle"/>
      </w:pPr>
      <w:bookmarkStart w:id="52" w:name="_Ref175121671"/>
      <w:r>
        <w:t xml:space="preserve">Table </w:t>
      </w:r>
      <w:r>
        <w:fldChar w:fldCharType="begin"/>
      </w:r>
      <w:r>
        <w:instrText xml:space="preserve"> SEQ Table \* ARABIC </w:instrText>
      </w:r>
      <w:r>
        <w:fldChar w:fldCharType="separate"/>
      </w:r>
      <w:r>
        <w:rPr>
          <w:noProof/>
        </w:rPr>
        <w:t>4</w:t>
      </w:r>
      <w:r>
        <w:rPr>
          <w:noProof/>
        </w:rPr>
        <w:fldChar w:fldCharType="end"/>
      </w:r>
      <w:bookmarkEnd w:id="52"/>
      <w:r w:rsidR="00F9004B">
        <w:t>:</w:t>
      </w:r>
      <w:r>
        <w:t xml:space="preserve"> </w:t>
      </w:r>
      <w:r w:rsidRPr="00FE5F63">
        <w:t>Study ATB200-03: Sensitivity Analysis for Primary Endpoint: ANCOVA for Change from Baseline in 6MWD (m) at Week 52 - ITT-LOCF Population Excluding Outliers with Externally Studentized Residuals &gt; 3</w:t>
      </w:r>
    </w:p>
    <w:p w14:paraId="69CD15DF" w14:textId="77777777" w:rsidR="00127DF6" w:rsidRDefault="00FD2B82" w:rsidP="00127DF6">
      <w:pPr>
        <w:rPr>
          <w:sz w:val="16"/>
          <w:szCs w:val="16"/>
          <w:lang w:eastAsia="ja-JP"/>
        </w:rPr>
      </w:pPr>
      <w:r w:rsidRPr="00FE5F63">
        <w:rPr>
          <w:noProof/>
          <w:lang w:eastAsia="ja-JP"/>
        </w:rPr>
        <w:drawing>
          <wp:inline distT="0" distB="0" distL="0" distR="0" wp14:anchorId="062B22A0" wp14:editId="72584B53">
            <wp:extent cx="5351145" cy="1953928"/>
            <wp:effectExtent l="0" t="0" r="1905" b="8255"/>
            <wp:docPr id="55" name="Picture 55" descr="Table 4: Study ATB200-03: Sensitivity Analysis for Primary Endpoint: ANCOVA for Change from Baseline in 6MWD (m) at Week 52 - ITT-LOCF Population Excluding Outliers with Externally Studentized Residuals &g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Table 4: Study ATB200-03: Sensitivity Analysis for Primary Endpoint: ANCOVA for Change from Baseline in 6MWD (m) at Week 52 - ITT-LOCF Population Excluding Outliers with Externally Studentized Residuals &gt; 3"/>
                    <pic:cNvPicPr/>
                  </pic:nvPicPr>
                  <pic:blipFill>
                    <a:blip r:embed="rId23"/>
                    <a:stretch>
                      <a:fillRect/>
                    </a:stretch>
                  </pic:blipFill>
                  <pic:spPr>
                    <a:xfrm>
                      <a:off x="0" y="0"/>
                      <a:ext cx="5382043" cy="1965210"/>
                    </a:xfrm>
                    <a:prstGeom prst="rect">
                      <a:avLst/>
                    </a:prstGeom>
                  </pic:spPr>
                </pic:pic>
              </a:graphicData>
            </a:graphic>
          </wp:inline>
        </w:drawing>
      </w:r>
    </w:p>
    <w:p w14:paraId="117CBBB2" w14:textId="7BCCFEB9" w:rsidR="00FD2B82" w:rsidRPr="00127DF6" w:rsidRDefault="00FD2B82" w:rsidP="00127DF6">
      <w:pPr>
        <w:pStyle w:val="TableDescription"/>
      </w:pPr>
      <w:r w:rsidRPr="00127DF6">
        <w:t>Note: ANCOVA was based on ITT-LOCF excluding outliers with externally studentized residuals &gt; 3 in magnitude (absolute value).</w:t>
      </w:r>
    </w:p>
    <w:p w14:paraId="7939665D" w14:textId="3BF9C7A6" w:rsidR="00FD2B82" w:rsidRPr="00127DF6" w:rsidRDefault="00FD2B82" w:rsidP="00127DF6">
      <w:pPr>
        <w:pStyle w:val="TableDescription"/>
      </w:pPr>
      <w:proofErr w:type="spellStart"/>
      <w:r w:rsidRPr="00127DF6">
        <w:t>a</w:t>
      </w:r>
      <w:proofErr w:type="spellEnd"/>
      <w:r w:rsidRPr="00127DF6">
        <w:t xml:space="preserve"> All estimates were obtained from the ANCOVA model including terms for treatment, baseline 6MWD, age, height, weight (all as continuous covariates), ERT-status (ERT-naive versus ERT-experienced), and gender.</w:t>
      </w:r>
    </w:p>
    <w:p w14:paraId="2A1901A9" w14:textId="63E7A700" w:rsidR="00FD2B82" w:rsidRDefault="00FD2B82" w:rsidP="00127DF6">
      <w:r>
        <w:lastRenderedPageBreak/>
        <w:t xml:space="preserve">After the database was locked and treatment assignments were unblinded, an outlier subject was identified whose baseline 6MWD result may have been adversely affected by his use of </w:t>
      </w:r>
      <w:proofErr w:type="spellStart"/>
      <w:r>
        <w:t>ostarine</w:t>
      </w:r>
      <w:proofErr w:type="spellEnd"/>
      <w:r>
        <w:t>, an investigational anabolic steroid, prior to study enrolment.</w:t>
      </w:r>
      <w:r w:rsidR="00127DF6">
        <w:t xml:space="preserve"> </w:t>
      </w:r>
      <w:proofErr w:type="spellStart"/>
      <w:r>
        <w:t>Ostarine</w:t>
      </w:r>
      <w:proofErr w:type="spellEnd"/>
      <w:r>
        <w:t xml:space="preserve"> was discontinued ∼2 to 4 weeks before enrolling in Study ATB200-03.</w:t>
      </w:r>
      <w:r w:rsidR="00127DF6">
        <w:t xml:space="preserve"> </w:t>
      </w:r>
      <w:r>
        <w:t xml:space="preserve">After data base lock, this subject admitted to intentionally underperforming during the baseline assessment to </w:t>
      </w:r>
      <w:proofErr w:type="gramStart"/>
      <w:r>
        <w:t>gain entry into</w:t>
      </w:r>
      <w:proofErr w:type="gramEnd"/>
      <w:r>
        <w:t xml:space="preserve"> the study.</w:t>
      </w:r>
      <w:r w:rsidR="00127DF6">
        <w:t xml:space="preserve"> </w:t>
      </w:r>
      <w:r>
        <w:t>His study Screening Visits on 5 and 6 August 2019 showed a 6MWD average of 320 meters and a percent predicted FVC of 83.5%.</w:t>
      </w:r>
      <w:r w:rsidR="00127DF6">
        <w:t xml:space="preserve"> </w:t>
      </w:r>
      <w:r>
        <w:t>Previous history shows a percent predicted FVC on 4 December 2018 of 93% and a 6MWD result on 15 April 2019 of 585 meters.</w:t>
      </w:r>
      <w:r w:rsidR="00127DF6">
        <w:t xml:space="preserve"> </w:t>
      </w:r>
      <w:r>
        <w:t>The aberrant data points from this subject alone accounted for approximately 56% of the mean change from baseline at Week 52 in the comparator arm.</w:t>
      </w:r>
      <w:r w:rsidR="00127DF6">
        <w:t xml:space="preserve"> </w:t>
      </w:r>
      <w:r>
        <w:t xml:space="preserve">Analysis of the primary endpoint excluding this subject is shown in </w:t>
      </w:r>
      <w:r>
        <w:fldChar w:fldCharType="begin"/>
      </w:r>
      <w:r>
        <w:instrText xml:space="preserve"> REF _Ref174978477 \h </w:instrText>
      </w:r>
      <w:r w:rsidR="0028310E">
        <w:instrText xml:space="preserve"> \* MERGEFORMAT </w:instrText>
      </w:r>
      <w:r>
        <w:fldChar w:fldCharType="separate"/>
      </w:r>
      <w:r>
        <w:t xml:space="preserve">Table </w:t>
      </w:r>
      <w:r>
        <w:rPr>
          <w:noProof/>
        </w:rPr>
        <w:t>5</w:t>
      </w:r>
      <w:r>
        <w:fldChar w:fldCharType="end"/>
      </w:r>
      <w:r>
        <w:t>.</w:t>
      </w:r>
      <w:r w:rsidR="00127DF6">
        <w:t xml:space="preserve"> </w:t>
      </w:r>
      <w:r>
        <w:t xml:space="preserve">The difference in LS Means was 14.21 m in this analysis, </w:t>
      </w:r>
      <w:r>
        <w:rPr>
          <w:lang w:eastAsia="ja-JP"/>
        </w:rPr>
        <w:t xml:space="preserve">and </w:t>
      </w:r>
      <w:r w:rsidRPr="00FE5F63">
        <w:rPr>
          <w:lang w:eastAsia="ja-JP"/>
        </w:rPr>
        <w:t>statistical superiority was not demonstrated</w:t>
      </w:r>
      <w:r>
        <w:t>.</w:t>
      </w:r>
    </w:p>
    <w:p w14:paraId="1C617E3F" w14:textId="1C630FEA" w:rsidR="00FD2B82" w:rsidRDefault="00FD2B82" w:rsidP="00127DF6">
      <w:pPr>
        <w:pStyle w:val="TableTitle"/>
      </w:pPr>
      <w:bookmarkStart w:id="53" w:name="_Ref174978477"/>
      <w:r>
        <w:t xml:space="preserve">Table </w:t>
      </w:r>
      <w:r>
        <w:fldChar w:fldCharType="begin"/>
      </w:r>
      <w:r>
        <w:instrText xml:space="preserve"> SEQ Table \* ARABIC </w:instrText>
      </w:r>
      <w:r>
        <w:fldChar w:fldCharType="separate"/>
      </w:r>
      <w:r>
        <w:rPr>
          <w:noProof/>
        </w:rPr>
        <w:t>5</w:t>
      </w:r>
      <w:r>
        <w:rPr>
          <w:noProof/>
        </w:rPr>
        <w:fldChar w:fldCharType="end"/>
      </w:r>
      <w:bookmarkEnd w:id="53"/>
      <w:r w:rsidR="00F9004B">
        <w:t>:</w:t>
      </w:r>
      <w:r>
        <w:t xml:space="preserve"> </w:t>
      </w:r>
      <w:r w:rsidRPr="00127DF6">
        <w:t>Study</w:t>
      </w:r>
      <w:r w:rsidRPr="00FE5F63">
        <w:t xml:space="preserve"> ATB200-03: Results for the primary </w:t>
      </w:r>
      <w:r w:rsidRPr="00127DF6">
        <w:t>efficacy</w:t>
      </w:r>
      <w:r w:rsidRPr="00FE5F63">
        <w:t xml:space="preserve"> endpoint by MMRM analysis (ITT-OBS Population) and nonparametric ANCOVA (ITT-LOCF Population) excluding </w:t>
      </w:r>
      <w:r w:rsidR="00A31C00">
        <w:t xml:space="preserve">Outlier </w:t>
      </w:r>
      <w:r w:rsidRPr="00FE5F63">
        <w:t>Subject</w:t>
      </w:r>
    </w:p>
    <w:p w14:paraId="5AC6665C" w14:textId="77777777" w:rsidR="00127DF6" w:rsidRDefault="00FD2B82" w:rsidP="00127DF6">
      <w:pPr>
        <w:rPr>
          <w:lang w:eastAsia="ja-JP"/>
        </w:rPr>
      </w:pPr>
      <w:r>
        <w:rPr>
          <w:noProof/>
        </w:rPr>
        <w:drawing>
          <wp:inline distT="0" distB="0" distL="0" distR="0" wp14:anchorId="766FF860" wp14:editId="068A528E">
            <wp:extent cx="5303520" cy="314960"/>
            <wp:effectExtent l="0" t="0" r="0" b="8890"/>
            <wp:docPr id="5" name="Picture 5" descr="Table 5: Study ATB200-03: Results for the primary efficacy endpoint by MMRM analysis (ITT-OBS Population) and nonparametric ANCOVA (ITT-LOCF Population) excluding Outlier Subje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 5: Study ATB200-03: Results for the primary efficacy endpoint by MMRM analysis (ITT-OBS Population) and nonparametric ANCOVA (ITT-LOCF Population) excluding Outlier Subject "/>
                    <pic:cNvPicPr/>
                  </pic:nvPicPr>
                  <pic:blipFill>
                    <a:blip r:embed="rId24"/>
                    <a:stretch>
                      <a:fillRect/>
                    </a:stretch>
                  </pic:blipFill>
                  <pic:spPr>
                    <a:xfrm>
                      <a:off x="0" y="0"/>
                      <a:ext cx="5474436" cy="325110"/>
                    </a:xfrm>
                    <a:prstGeom prst="rect">
                      <a:avLst/>
                    </a:prstGeom>
                  </pic:spPr>
                </pic:pic>
              </a:graphicData>
            </a:graphic>
          </wp:inline>
        </w:drawing>
      </w:r>
      <w:r>
        <w:rPr>
          <w:lang w:eastAsia="ja-JP"/>
        </w:rPr>
        <w:br/>
      </w:r>
      <w:r>
        <w:rPr>
          <w:noProof/>
        </w:rPr>
        <w:drawing>
          <wp:inline distT="0" distB="0" distL="0" distR="0" wp14:anchorId="3174E585" wp14:editId="0B6F9BE7">
            <wp:extent cx="5295900" cy="2711904"/>
            <wp:effectExtent l="0" t="0" r="0" b="0"/>
            <wp:docPr id="6" name="Picture 6" descr="Table 5: Study ATB200-03: Results for the primary efficacy endpoint by MMRM analysis (ITT-OBS Population) and nonparametric ANCOVA (ITT-LOCF Population) excluding Outlier Subje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 5: Study ATB200-03: Results for the primary efficacy endpoint by MMRM analysis (ITT-OBS Population) and nonparametric ANCOVA (ITT-LOCF Population) excluding Outlier Subject "/>
                    <pic:cNvPicPr/>
                  </pic:nvPicPr>
                  <pic:blipFill>
                    <a:blip r:embed="rId25"/>
                    <a:stretch>
                      <a:fillRect/>
                    </a:stretch>
                  </pic:blipFill>
                  <pic:spPr>
                    <a:xfrm>
                      <a:off x="0" y="0"/>
                      <a:ext cx="5314070" cy="2721209"/>
                    </a:xfrm>
                    <a:prstGeom prst="rect">
                      <a:avLst/>
                    </a:prstGeom>
                  </pic:spPr>
                </pic:pic>
              </a:graphicData>
            </a:graphic>
          </wp:inline>
        </w:drawing>
      </w:r>
    </w:p>
    <w:p w14:paraId="63350629" w14:textId="20CD3C05" w:rsidR="00FD2B82" w:rsidRDefault="00FD2B82" w:rsidP="00127DF6">
      <w:pPr>
        <w:pStyle w:val="TableDescription"/>
        <w:rPr>
          <w:lang w:eastAsia="ja-JP"/>
        </w:rPr>
      </w:pPr>
      <w:r w:rsidRPr="00125DFA">
        <w:t>b The MMRM approach (using restricted maximum likelihood estimation) was used for analysis. The model included terms for treatment, baseline 6MWD, age, height, weight (all as continuous covariates), ERT status (ERT-naïve versus ERT-experienced), gender, time, and treatment-by-time interaction. Time was used as a repeated measure, and an unstructured</w:t>
      </w:r>
      <w:r>
        <w:t xml:space="preserve"> </w:t>
      </w:r>
      <w:r w:rsidRPr="00125DFA">
        <w:t>covariance approach was applied. c Nonparametric ANCOVA compared between the treatment groups, adjusting for baseline 6MWD, age, height, weight (all as continuous covariates), ERT status (ERT-naïve versus ERT-experienced) as strata, and gender.</w:t>
      </w:r>
    </w:p>
    <w:p w14:paraId="043A337B" w14:textId="40F76FA8" w:rsidR="00FD2B82" w:rsidRDefault="00FD2B82" w:rsidP="00127DF6">
      <w:r>
        <w:t>A</w:t>
      </w:r>
      <w:r w:rsidRPr="00FE5F63">
        <w:t xml:space="preserve">dditional analyses were conducted </w:t>
      </w:r>
      <w:r>
        <w:t>at the</w:t>
      </w:r>
      <w:r w:rsidRPr="00FE5F63">
        <w:t xml:space="preserve"> request </w:t>
      </w:r>
      <w:r>
        <w:t>of</w:t>
      </w:r>
      <w:r w:rsidRPr="00FE5F63">
        <w:t xml:space="preserve"> the </w:t>
      </w:r>
      <w:r>
        <w:t xml:space="preserve">EU </w:t>
      </w:r>
      <w:r w:rsidRPr="00FE5F63">
        <w:t xml:space="preserve">CHMP, using an MMRM model with actual time point of assessments </w:t>
      </w:r>
      <w:r>
        <w:t xml:space="preserve">in the </w:t>
      </w:r>
      <w:r w:rsidRPr="00FE5F63">
        <w:t>ITT-OBS Population excluding the outlying subject</w:t>
      </w:r>
      <w:r>
        <w:t xml:space="preserve"> (</w:t>
      </w:r>
      <w:r>
        <w:fldChar w:fldCharType="begin"/>
      </w:r>
      <w:r>
        <w:instrText xml:space="preserve"> REF _Ref175057473 \h </w:instrText>
      </w:r>
      <w:r w:rsidR="0028310E">
        <w:instrText xml:space="preserve"> \* MERGEFORMAT </w:instrText>
      </w:r>
      <w:r>
        <w:fldChar w:fldCharType="separate"/>
      </w:r>
      <w:r>
        <w:t xml:space="preserve">Table </w:t>
      </w:r>
      <w:r>
        <w:rPr>
          <w:noProof/>
        </w:rPr>
        <w:t>6</w:t>
      </w:r>
      <w:r>
        <w:fldChar w:fldCharType="end"/>
      </w:r>
      <w:r>
        <w:t>)</w:t>
      </w:r>
      <w:r w:rsidRPr="00FE5F63">
        <w:t>.</w:t>
      </w:r>
    </w:p>
    <w:p w14:paraId="47D5AE54" w14:textId="5EEA66CB" w:rsidR="00FD2B82" w:rsidRPr="00FE5F63" w:rsidRDefault="00FD2B82" w:rsidP="00127DF6">
      <w:pPr>
        <w:pStyle w:val="TableTitle"/>
      </w:pPr>
      <w:bookmarkStart w:id="54" w:name="_Ref175057473"/>
      <w:r>
        <w:t xml:space="preserve">Table </w:t>
      </w:r>
      <w:r>
        <w:fldChar w:fldCharType="begin"/>
      </w:r>
      <w:r>
        <w:instrText xml:space="preserve"> SEQ Table \* ARABIC </w:instrText>
      </w:r>
      <w:r>
        <w:fldChar w:fldCharType="separate"/>
      </w:r>
      <w:r>
        <w:rPr>
          <w:noProof/>
        </w:rPr>
        <w:t>6</w:t>
      </w:r>
      <w:r>
        <w:rPr>
          <w:noProof/>
        </w:rPr>
        <w:fldChar w:fldCharType="end"/>
      </w:r>
      <w:bookmarkEnd w:id="54"/>
      <w:r w:rsidR="00F9004B">
        <w:t>:</w:t>
      </w:r>
      <w:r>
        <w:t xml:space="preserve"> </w:t>
      </w:r>
      <w:r w:rsidRPr="00FE5F63">
        <w:t xml:space="preserve">Study ATB200-03: </w:t>
      </w:r>
      <w:r w:rsidRPr="00127DF6">
        <w:t>Summary</w:t>
      </w:r>
      <w:r w:rsidRPr="00FE5F63">
        <w:t xml:space="preserve"> of Results on 6MWD Based on MMRM Model, Actual Time Point of Assessments - ITT-OBS Population Excluding </w:t>
      </w:r>
      <w:r w:rsidR="00560005">
        <w:t xml:space="preserve">Outlier </w:t>
      </w:r>
      <w:r w:rsidRPr="00FE5F63">
        <w:t xml:space="preserve">Subject </w:t>
      </w:r>
    </w:p>
    <w:p w14:paraId="6D7AFC2C" w14:textId="77777777" w:rsidR="00127DF6" w:rsidRDefault="00FD2B82" w:rsidP="00127DF6">
      <w:pPr>
        <w:rPr>
          <w:lang w:eastAsia="en-AU"/>
        </w:rPr>
      </w:pPr>
      <w:r w:rsidRPr="00FE5F63">
        <w:rPr>
          <w:noProof/>
        </w:rPr>
        <w:drawing>
          <wp:inline distT="0" distB="0" distL="0" distR="0" wp14:anchorId="4C9ED214" wp14:editId="06268D6B">
            <wp:extent cx="5701366" cy="766482"/>
            <wp:effectExtent l="0" t="0" r="0" b="0"/>
            <wp:docPr id="10" name="Picture 10" descr="Table 6: Study ATB200-03: Summary of Results on 6MWD Based on MMRM Model, Actual Time Point of Assessments - ITT-OBS Population Excluding Outlier Subje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 6: Study ATB200-03: Summary of Results on 6MWD Based on MMRM Model, Actual Time Point of Assessments - ITT-OBS Population Excluding Outlier Subject "/>
                    <pic:cNvPicPr/>
                  </pic:nvPicPr>
                  <pic:blipFill>
                    <a:blip r:embed="rId26"/>
                    <a:stretch>
                      <a:fillRect/>
                    </a:stretch>
                  </pic:blipFill>
                  <pic:spPr>
                    <a:xfrm>
                      <a:off x="0" y="0"/>
                      <a:ext cx="5723429" cy="769448"/>
                    </a:xfrm>
                    <a:prstGeom prst="rect">
                      <a:avLst/>
                    </a:prstGeom>
                  </pic:spPr>
                </pic:pic>
              </a:graphicData>
            </a:graphic>
          </wp:inline>
        </w:drawing>
      </w:r>
    </w:p>
    <w:p w14:paraId="6B8DB2A4" w14:textId="6362A415" w:rsidR="00FD2B82" w:rsidRPr="00DF2274" w:rsidRDefault="00FD2B82" w:rsidP="00127DF6">
      <w:pPr>
        <w:pStyle w:val="TableDescription"/>
        <w:rPr>
          <w:lang w:eastAsia="en-AU"/>
        </w:rPr>
      </w:pPr>
      <w:r w:rsidRPr="00543FF7">
        <w:t>Abbreviations: 6MWD = 6-minute walk distance; CHG = change from baseline; CI = confidence interval; ERT = enzyme replacement therapy; ITT-OBS = Intent-to-Treat Population that includes all available, observed data without any missing data imputation at Week 52; LS = least squares; MMRM = mixed-effect model for repeated measures</w:t>
      </w:r>
      <w:r>
        <w:t>.</w:t>
      </w:r>
      <w:r w:rsidR="00127DF6">
        <w:t xml:space="preserve"> </w:t>
      </w:r>
      <w:r>
        <w:t xml:space="preserve"> </w:t>
      </w:r>
      <w:r w:rsidRPr="00543FF7">
        <w:t xml:space="preserve">a difference = </w:t>
      </w:r>
      <w:proofErr w:type="spellStart"/>
      <w:r w:rsidRPr="00543FF7">
        <w:t>cipaglucosidase</w:t>
      </w:r>
      <w:proofErr w:type="spellEnd"/>
      <w:r w:rsidRPr="00543FF7">
        <w:t xml:space="preserve"> alfa/</w:t>
      </w:r>
      <w:proofErr w:type="spellStart"/>
      <w:r w:rsidRPr="00543FF7">
        <w:t>miglustat</w:t>
      </w:r>
      <w:proofErr w:type="spellEnd"/>
      <w:r w:rsidRPr="00543FF7">
        <w:t xml:space="preserve"> – </w:t>
      </w:r>
      <w:proofErr w:type="spellStart"/>
      <w:r w:rsidRPr="00543FF7">
        <w:t>alglucosidase</w:t>
      </w:r>
      <w:proofErr w:type="spellEnd"/>
      <w:r w:rsidRPr="00543FF7">
        <w:t xml:space="preserve"> alfa/placebo</w:t>
      </w:r>
      <w:r>
        <w:t>.</w:t>
      </w:r>
      <w:r w:rsidR="00127DF6">
        <w:t xml:space="preserve"> </w:t>
      </w:r>
      <w:r>
        <w:t xml:space="preserve"> </w:t>
      </w:r>
      <w:r w:rsidRPr="00543FF7">
        <w:t xml:space="preserve">b MMRM model is used for the analysis based on the ITT-OBS population. The model includes terms for </w:t>
      </w:r>
      <w:r w:rsidRPr="00543FF7">
        <w:lastRenderedPageBreak/>
        <w:t>treatment, assessment time, treatment by assessment time interaction, baseline 6MWD value, age, height, weight (all as continuous covariates), ERT-status (ERT-naïve versus ERT-experienced), and gender.</w:t>
      </w:r>
    </w:p>
    <w:p w14:paraId="360B2D86" w14:textId="5090A32B" w:rsidR="00FD2B82" w:rsidRPr="007A0670" w:rsidRDefault="00FD2B82" w:rsidP="00127DF6">
      <w:r>
        <w:t xml:space="preserve">A summary of all efficacy endpoints, with green shading indicating the treatment group favoured, is presented in </w:t>
      </w:r>
      <w:r>
        <w:fldChar w:fldCharType="begin"/>
      </w:r>
      <w:r>
        <w:instrText xml:space="preserve"> REF _Ref175059120 \h </w:instrText>
      </w:r>
      <w:r w:rsidR="0028310E">
        <w:instrText xml:space="preserve"> \* MERGEFORMAT </w:instrText>
      </w:r>
      <w:r>
        <w:fldChar w:fldCharType="separate"/>
      </w:r>
      <w:r>
        <w:t xml:space="preserve">Table </w:t>
      </w:r>
      <w:r>
        <w:rPr>
          <w:noProof/>
        </w:rPr>
        <w:t>7</w:t>
      </w:r>
      <w:r>
        <w:fldChar w:fldCharType="end"/>
      </w:r>
      <w:r>
        <w:t>.</w:t>
      </w:r>
      <w:r w:rsidR="00127DF6">
        <w:t xml:space="preserve"> </w:t>
      </w:r>
      <w:r w:rsidRPr="00FE5F63">
        <w:t xml:space="preserve">Results for ERT-experienced </w:t>
      </w:r>
      <w:r>
        <w:t>subjects</w:t>
      </w:r>
      <w:r w:rsidRPr="00FE5F63">
        <w:t xml:space="preserve"> were similar, with </w:t>
      </w:r>
      <w:proofErr w:type="gramStart"/>
      <w:r w:rsidRPr="00FE5F63">
        <w:t>the majority of</w:t>
      </w:r>
      <w:proofErr w:type="gramEnd"/>
      <w:r w:rsidRPr="00FE5F63">
        <w:t xml:space="preserve"> endpoints improved at Week 52 and directionally favouring </w:t>
      </w:r>
      <w:proofErr w:type="spellStart"/>
      <w:r w:rsidRPr="00FE5F63">
        <w:t>cipaglucosidase</w:t>
      </w:r>
      <w:proofErr w:type="spellEnd"/>
      <w:r w:rsidRPr="00FE5F63">
        <w:t xml:space="preserve"> alfa/</w:t>
      </w:r>
      <w:proofErr w:type="spellStart"/>
      <w:r w:rsidRPr="00FE5F63">
        <w:t>miglustat</w:t>
      </w:r>
      <w:proofErr w:type="spellEnd"/>
      <w:r w:rsidRPr="00FE5F63">
        <w:t xml:space="preserve"> over </w:t>
      </w:r>
      <w:proofErr w:type="spellStart"/>
      <w:r w:rsidRPr="00FE5F63">
        <w:t>alglucosidase</w:t>
      </w:r>
      <w:proofErr w:type="spellEnd"/>
      <w:r w:rsidRPr="00FE5F63">
        <w:t xml:space="preserve"> alfa/placebo</w:t>
      </w:r>
      <w:r>
        <w:t xml:space="preserve"> (</w:t>
      </w:r>
      <w:r>
        <w:fldChar w:fldCharType="begin"/>
      </w:r>
      <w:r>
        <w:instrText xml:space="preserve"> REF _Ref175583193 \h </w:instrText>
      </w:r>
      <w:r w:rsidR="0028310E">
        <w:instrText xml:space="preserve"> \* MERGEFORMAT </w:instrText>
      </w:r>
      <w:r>
        <w:fldChar w:fldCharType="separate"/>
      </w:r>
      <w:r>
        <w:t xml:space="preserve">Table </w:t>
      </w:r>
      <w:r>
        <w:rPr>
          <w:noProof/>
        </w:rPr>
        <w:t>8</w:t>
      </w:r>
      <w:r>
        <w:fldChar w:fldCharType="end"/>
      </w:r>
      <w:r>
        <w:t>).</w:t>
      </w:r>
      <w:r w:rsidR="00127DF6">
        <w:t xml:space="preserve"> </w:t>
      </w:r>
      <w:r>
        <w:t xml:space="preserve">Analyses of </w:t>
      </w:r>
      <w:r w:rsidRPr="00FE5F63">
        <w:t>ERT-naïve subjects</w:t>
      </w:r>
      <w:r>
        <w:t xml:space="preserve"> were limited by the small sample size (n=27)</w:t>
      </w:r>
      <w:r w:rsidRPr="00FE5F63">
        <w:t xml:space="preserve">, </w:t>
      </w:r>
      <w:r>
        <w:t xml:space="preserve">but </w:t>
      </w:r>
      <w:r w:rsidRPr="00FE5F63">
        <w:t>most endpoints showed improvement</w:t>
      </w:r>
      <w:r>
        <w:t xml:space="preserve"> from baseline</w:t>
      </w:r>
      <w:r w:rsidRPr="00FE5F63">
        <w:t xml:space="preserve"> in both treatment groups, with some endpoints numerically favouring </w:t>
      </w:r>
      <w:proofErr w:type="spellStart"/>
      <w:r w:rsidRPr="00FE5F63">
        <w:t>cipaglucosidase</w:t>
      </w:r>
      <w:proofErr w:type="spellEnd"/>
      <w:r w:rsidRPr="00FE5F63">
        <w:t xml:space="preserve"> alfa/</w:t>
      </w:r>
      <w:proofErr w:type="spellStart"/>
      <w:r w:rsidRPr="00FE5F63">
        <w:t>miglustat</w:t>
      </w:r>
      <w:proofErr w:type="spellEnd"/>
      <w:r w:rsidRPr="00FE5F63">
        <w:t xml:space="preserve"> and some endpoints numerically favouring </w:t>
      </w:r>
      <w:proofErr w:type="spellStart"/>
      <w:r w:rsidRPr="00FE5F63">
        <w:t>alglucosidase</w:t>
      </w:r>
      <w:proofErr w:type="spellEnd"/>
      <w:r w:rsidRPr="00FE5F63">
        <w:t xml:space="preserve"> alfa/placebo</w:t>
      </w:r>
      <w:r>
        <w:t xml:space="preserve"> (</w:t>
      </w:r>
      <w:r>
        <w:fldChar w:fldCharType="begin"/>
      </w:r>
      <w:r>
        <w:instrText xml:space="preserve"> REF _Ref175583205 \h </w:instrText>
      </w:r>
      <w:r w:rsidR="0028310E">
        <w:instrText xml:space="preserve"> \* MERGEFORMAT </w:instrText>
      </w:r>
      <w:r>
        <w:fldChar w:fldCharType="separate"/>
      </w:r>
      <w:r>
        <w:t xml:space="preserve">Table </w:t>
      </w:r>
      <w:r>
        <w:rPr>
          <w:noProof/>
        </w:rPr>
        <w:t>9</w:t>
      </w:r>
      <w:r>
        <w:fldChar w:fldCharType="end"/>
      </w:r>
      <w:r>
        <w:t>)</w:t>
      </w:r>
      <w:r w:rsidRPr="00FE5F63">
        <w:t>.</w:t>
      </w:r>
    </w:p>
    <w:p w14:paraId="65DE2F8A" w14:textId="4E8C9205" w:rsidR="00FD2B82" w:rsidRPr="00FE5F63" w:rsidRDefault="00FD2B82" w:rsidP="00127DF6">
      <w:pPr>
        <w:pStyle w:val="TableTitle"/>
      </w:pPr>
      <w:bookmarkStart w:id="55" w:name="_Ref175059120"/>
      <w:r>
        <w:t xml:space="preserve">Table </w:t>
      </w:r>
      <w:r>
        <w:fldChar w:fldCharType="begin"/>
      </w:r>
      <w:r>
        <w:instrText xml:space="preserve"> SEQ Table \* ARABIC </w:instrText>
      </w:r>
      <w:r>
        <w:fldChar w:fldCharType="separate"/>
      </w:r>
      <w:r>
        <w:rPr>
          <w:noProof/>
        </w:rPr>
        <w:t>7</w:t>
      </w:r>
      <w:r>
        <w:rPr>
          <w:noProof/>
        </w:rPr>
        <w:fldChar w:fldCharType="end"/>
      </w:r>
      <w:bookmarkEnd w:id="55"/>
      <w:r w:rsidR="00C94F43">
        <w:t>:</w:t>
      </w:r>
      <w:r>
        <w:t xml:space="preserve"> </w:t>
      </w:r>
      <w:r w:rsidRPr="00FE5F63">
        <w:t xml:space="preserve">Study ATB200-03: Summary of All Endpoints for the ITT Population Excluding </w:t>
      </w:r>
      <w:r w:rsidR="00A31C00">
        <w:t xml:space="preserve">Outlier </w:t>
      </w:r>
      <w:r w:rsidRPr="00127DF6">
        <w:t>Subject</w:t>
      </w:r>
      <w:r w:rsidRPr="00FE5F63">
        <w:t xml:space="preserve"> </w:t>
      </w:r>
    </w:p>
    <w:p w14:paraId="7395EF6E" w14:textId="77777777" w:rsidR="00127DF6" w:rsidRDefault="00FD2B82" w:rsidP="00127DF6">
      <w:pPr>
        <w:rPr>
          <w:sz w:val="16"/>
          <w:szCs w:val="16"/>
        </w:rPr>
      </w:pPr>
      <w:r w:rsidRPr="00FE5F63">
        <w:rPr>
          <w:noProof/>
        </w:rPr>
        <w:drawing>
          <wp:inline distT="0" distB="0" distL="0" distR="0" wp14:anchorId="634C82E4" wp14:editId="73086DE9">
            <wp:extent cx="5595430" cy="4191000"/>
            <wp:effectExtent l="0" t="0" r="5715" b="0"/>
            <wp:docPr id="72" name="Picture 72" descr="Table 7: Study ATB200-03: Summary of All Endpoints for the ITT Population Excluding Outlier Subje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Table 7: Study ATB200-03: Summary of All Endpoints for the ITT Population Excluding Outlier Subject "/>
                    <pic:cNvPicPr/>
                  </pic:nvPicPr>
                  <pic:blipFill>
                    <a:blip r:embed="rId27"/>
                    <a:stretch>
                      <a:fillRect/>
                    </a:stretch>
                  </pic:blipFill>
                  <pic:spPr>
                    <a:xfrm>
                      <a:off x="0" y="0"/>
                      <a:ext cx="5619278" cy="4208862"/>
                    </a:xfrm>
                    <a:prstGeom prst="rect">
                      <a:avLst/>
                    </a:prstGeom>
                  </pic:spPr>
                </pic:pic>
              </a:graphicData>
            </a:graphic>
          </wp:inline>
        </w:drawing>
      </w:r>
    </w:p>
    <w:p w14:paraId="279E9E45" w14:textId="6461E069" w:rsidR="00FD2B82" w:rsidRPr="00DF14A5" w:rsidRDefault="00FD2B82" w:rsidP="00127DF6">
      <w:pPr>
        <w:pStyle w:val="TableDescription"/>
      </w:pPr>
      <w:r>
        <w:t xml:space="preserve">CFBL = change from baseline; </w:t>
      </w:r>
      <w:bookmarkStart w:id="56" w:name="_Hlk172971984"/>
      <w:r w:rsidRPr="00FE5F63">
        <w:t>TUG = Timed Up and Go</w:t>
      </w:r>
      <w:bookmarkEnd w:id="56"/>
      <w:r>
        <w:t>;</w:t>
      </w:r>
      <w:r w:rsidRPr="00FE5F63">
        <w:t xml:space="preserve"> SVC = slow vital capacity; MEP = maximum expiratory pressure; MIP = maximum inspiratory pressure; </w:t>
      </w:r>
      <w:r>
        <w:t xml:space="preserve">MMT = manual muscle testing; </w:t>
      </w:r>
      <w:r w:rsidRPr="00FE5F63">
        <w:t>QMT = Quantitative Muscle Testing; QoL = quality of life</w:t>
      </w:r>
      <w:r>
        <w:t>.</w:t>
      </w:r>
      <w:r w:rsidR="00127DF6">
        <w:t xml:space="preserve"> </w:t>
      </w:r>
      <w:r w:rsidRPr="00FE5F63">
        <w:t xml:space="preserve">Note: Blue font = CFBL improved; red font = CFBL worsened. </w:t>
      </w:r>
      <w:r>
        <w:br/>
      </w:r>
      <w:r w:rsidRPr="00FE5F63">
        <w:t>Green shading indicates treatment group favoured. P-values are nominal and based on ANCOVA except for 6MWD, which is based on nonparametric randomi</w:t>
      </w:r>
      <w:r>
        <w:t>s</w:t>
      </w:r>
      <w:r w:rsidRPr="00FE5F63">
        <w:t>ation-based ANCOVA. Bold p-values indicate the superiority test of the specified endpoint (e.g., 6MWD) in that specified population (e.g., overall, or ERT-experienced) was nominally significant</w:t>
      </w:r>
      <w:r>
        <w:t>.</w:t>
      </w:r>
    </w:p>
    <w:p w14:paraId="0B2A744B" w14:textId="628CB82D" w:rsidR="00FD2B82" w:rsidRPr="00862929" w:rsidRDefault="00FD2B82" w:rsidP="00127DF6">
      <w:pPr>
        <w:pStyle w:val="TableTitle"/>
        <w:rPr>
          <w:bCs/>
        </w:rPr>
      </w:pPr>
      <w:bookmarkStart w:id="57" w:name="_Ref175583193"/>
      <w:r>
        <w:t xml:space="preserve">Table </w:t>
      </w:r>
      <w:r>
        <w:fldChar w:fldCharType="begin"/>
      </w:r>
      <w:r>
        <w:instrText xml:space="preserve"> SEQ Table \* ARABIC </w:instrText>
      </w:r>
      <w:r>
        <w:fldChar w:fldCharType="separate"/>
      </w:r>
      <w:r>
        <w:rPr>
          <w:noProof/>
        </w:rPr>
        <w:t>8</w:t>
      </w:r>
      <w:r>
        <w:rPr>
          <w:noProof/>
        </w:rPr>
        <w:fldChar w:fldCharType="end"/>
      </w:r>
      <w:bookmarkEnd w:id="57"/>
      <w:r w:rsidR="00C206A0">
        <w:t>:</w:t>
      </w:r>
      <w:r>
        <w:t xml:space="preserve"> Study ATB200-03: Summary of All Endpoints for the ERT-experienced Population</w:t>
      </w:r>
    </w:p>
    <w:p w14:paraId="70554913" w14:textId="77777777" w:rsidR="00127DF6" w:rsidRDefault="00FD2B82" w:rsidP="00127DF6">
      <w:pPr>
        <w:rPr>
          <w:lang w:eastAsia="ja-JP"/>
        </w:rPr>
      </w:pPr>
      <w:r>
        <w:rPr>
          <w:noProof/>
        </w:rPr>
        <w:drawing>
          <wp:inline distT="0" distB="0" distL="0" distR="0" wp14:anchorId="690C9EB4" wp14:editId="3DEAFD82">
            <wp:extent cx="5733681" cy="3790950"/>
            <wp:effectExtent l="0" t="0" r="635" b="0"/>
            <wp:docPr id="75" name="Picture 75" descr="Table 8: Study ATB200-03: Summary of All Endpoints for the ERT-experienced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Table 8: Study ATB200-03: Summary of All Endpoints for the ERT-experienced Population "/>
                    <pic:cNvPicPr/>
                  </pic:nvPicPr>
                  <pic:blipFill>
                    <a:blip r:embed="rId28"/>
                    <a:stretch>
                      <a:fillRect/>
                    </a:stretch>
                  </pic:blipFill>
                  <pic:spPr>
                    <a:xfrm>
                      <a:off x="0" y="0"/>
                      <a:ext cx="5743739" cy="3797600"/>
                    </a:xfrm>
                    <a:prstGeom prst="rect">
                      <a:avLst/>
                    </a:prstGeom>
                  </pic:spPr>
                </pic:pic>
              </a:graphicData>
            </a:graphic>
          </wp:inline>
        </w:drawing>
      </w:r>
      <w:bookmarkStart w:id="58" w:name="_Hlk169704717"/>
    </w:p>
    <w:p w14:paraId="76BC0FB3" w14:textId="4C57F457" w:rsidR="00FD2B82" w:rsidRPr="00B64D7B" w:rsidRDefault="00FD2B82" w:rsidP="00127DF6">
      <w:pPr>
        <w:pStyle w:val="TableDescription"/>
        <w:rPr>
          <w:sz w:val="20"/>
          <w:lang w:eastAsia="ja-JP"/>
        </w:rPr>
      </w:pPr>
      <w:r w:rsidRPr="00B64D7B">
        <w:rPr>
          <w:lang w:eastAsia="ja-JP"/>
        </w:rPr>
        <w:t xml:space="preserve">Refer to </w:t>
      </w:r>
      <w:r w:rsidRPr="00B64D7B">
        <w:rPr>
          <w:lang w:eastAsia="ja-JP"/>
        </w:rPr>
        <w:fldChar w:fldCharType="begin"/>
      </w:r>
      <w:r w:rsidRPr="00B64D7B">
        <w:rPr>
          <w:lang w:eastAsia="ja-JP"/>
        </w:rPr>
        <w:instrText xml:space="preserve"> REF _Ref175059120 \h  \* MERGEFORMAT </w:instrText>
      </w:r>
      <w:r w:rsidRPr="00B64D7B">
        <w:rPr>
          <w:lang w:eastAsia="ja-JP"/>
        </w:rPr>
      </w:r>
      <w:r w:rsidRPr="00B64D7B">
        <w:rPr>
          <w:lang w:eastAsia="ja-JP"/>
        </w:rPr>
        <w:fldChar w:fldCharType="separate"/>
      </w:r>
      <w:r w:rsidRPr="00AE3AA4">
        <w:t xml:space="preserve">Table </w:t>
      </w:r>
      <w:r w:rsidRPr="00AE3AA4">
        <w:rPr>
          <w:noProof/>
        </w:rPr>
        <w:t>7</w:t>
      </w:r>
      <w:r w:rsidRPr="00B64D7B">
        <w:rPr>
          <w:lang w:eastAsia="ja-JP"/>
        </w:rPr>
        <w:fldChar w:fldCharType="end"/>
      </w:r>
      <w:r w:rsidRPr="00B64D7B">
        <w:rPr>
          <w:lang w:eastAsia="ja-JP"/>
        </w:rPr>
        <w:t xml:space="preserve"> for definitions</w:t>
      </w:r>
      <w:r w:rsidRPr="00B64D7B">
        <w:rPr>
          <w:sz w:val="20"/>
          <w:lang w:eastAsia="ja-JP"/>
        </w:rPr>
        <w:t>.</w:t>
      </w:r>
    </w:p>
    <w:p w14:paraId="27B3378C" w14:textId="618C0753" w:rsidR="00FD2B82" w:rsidRDefault="00FD2B82" w:rsidP="00127DF6">
      <w:pPr>
        <w:pStyle w:val="TableTitle"/>
      </w:pPr>
      <w:bookmarkStart w:id="59" w:name="_Ref175583205"/>
      <w:bookmarkEnd w:id="58"/>
      <w:r>
        <w:t xml:space="preserve">Table </w:t>
      </w:r>
      <w:r>
        <w:fldChar w:fldCharType="begin"/>
      </w:r>
      <w:r>
        <w:instrText xml:space="preserve"> SEQ Table \* ARABIC </w:instrText>
      </w:r>
      <w:r>
        <w:fldChar w:fldCharType="separate"/>
      </w:r>
      <w:r>
        <w:rPr>
          <w:noProof/>
        </w:rPr>
        <w:t>9</w:t>
      </w:r>
      <w:r>
        <w:rPr>
          <w:noProof/>
        </w:rPr>
        <w:fldChar w:fldCharType="end"/>
      </w:r>
      <w:bookmarkEnd w:id="59"/>
      <w:r w:rsidR="00C206A0">
        <w:t>:</w:t>
      </w:r>
      <w:r>
        <w:t xml:space="preserve"> Study ATB200-03: </w:t>
      </w:r>
      <w:r w:rsidRPr="00127DF6">
        <w:t>Summary</w:t>
      </w:r>
      <w:r>
        <w:t xml:space="preserve"> of All Endpoints for the ERT-naïve Population excl </w:t>
      </w:r>
      <w:r w:rsidR="00A31C00">
        <w:t xml:space="preserve">Outlier </w:t>
      </w:r>
      <w:r>
        <w:t>Subject</w:t>
      </w:r>
    </w:p>
    <w:p w14:paraId="286C8C42" w14:textId="77777777" w:rsidR="00127DF6" w:rsidRDefault="00FD2B82" w:rsidP="00127DF6">
      <w:pPr>
        <w:rPr>
          <w:sz w:val="16"/>
          <w:szCs w:val="16"/>
          <w:lang w:eastAsia="ja-JP"/>
        </w:rPr>
      </w:pPr>
      <w:r>
        <w:rPr>
          <w:noProof/>
        </w:rPr>
        <w:drawing>
          <wp:inline distT="0" distB="0" distL="0" distR="0" wp14:anchorId="1047D448" wp14:editId="0D236DDF">
            <wp:extent cx="5752730" cy="3982659"/>
            <wp:effectExtent l="0" t="0" r="635" b="0"/>
            <wp:docPr id="76" name="Picture 76" descr="Table 9: Study ATB200-03: Summary of All Endpoints for the ERT-naïve Population excl Outlier Subjec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Table 9: Study ATB200-03: Summary of All Endpoints for the ERT-naïve Population excl Outlier Subject &#10;"/>
                    <pic:cNvPicPr/>
                  </pic:nvPicPr>
                  <pic:blipFill>
                    <a:blip r:embed="rId29"/>
                    <a:stretch>
                      <a:fillRect/>
                    </a:stretch>
                  </pic:blipFill>
                  <pic:spPr>
                    <a:xfrm>
                      <a:off x="0" y="0"/>
                      <a:ext cx="5762359" cy="3989325"/>
                    </a:xfrm>
                    <a:prstGeom prst="rect">
                      <a:avLst/>
                    </a:prstGeom>
                  </pic:spPr>
                </pic:pic>
              </a:graphicData>
            </a:graphic>
          </wp:inline>
        </w:drawing>
      </w:r>
    </w:p>
    <w:p w14:paraId="2166B088" w14:textId="535B73B4" w:rsidR="00FD2B82" w:rsidRPr="00D60E66" w:rsidRDefault="00FD2B82" w:rsidP="00127DF6">
      <w:pPr>
        <w:pStyle w:val="TableDescription"/>
      </w:pPr>
      <w:r w:rsidRPr="00B64D7B">
        <w:rPr>
          <w:lang w:eastAsia="ja-JP"/>
        </w:rPr>
        <w:t xml:space="preserve">Refer to </w:t>
      </w:r>
      <w:r w:rsidRPr="00B64D7B">
        <w:rPr>
          <w:lang w:eastAsia="ja-JP"/>
        </w:rPr>
        <w:fldChar w:fldCharType="begin"/>
      </w:r>
      <w:r w:rsidRPr="00B64D7B">
        <w:rPr>
          <w:lang w:eastAsia="ja-JP"/>
        </w:rPr>
        <w:instrText xml:space="preserve"> REF _Ref175059120 \h  \* MERGEFORMAT </w:instrText>
      </w:r>
      <w:r w:rsidRPr="00B64D7B">
        <w:rPr>
          <w:lang w:eastAsia="ja-JP"/>
        </w:rPr>
      </w:r>
      <w:r w:rsidRPr="00B64D7B">
        <w:rPr>
          <w:lang w:eastAsia="ja-JP"/>
        </w:rPr>
        <w:fldChar w:fldCharType="separate"/>
      </w:r>
      <w:r w:rsidRPr="00AE3AA4">
        <w:t xml:space="preserve">Table </w:t>
      </w:r>
      <w:r w:rsidRPr="00AE3AA4">
        <w:rPr>
          <w:noProof/>
        </w:rPr>
        <w:t>7</w:t>
      </w:r>
      <w:r w:rsidRPr="00B64D7B">
        <w:rPr>
          <w:lang w:eastAsia="ja-JP"/>
        </w:rPr>
        <w:fldChar w:fldCharType="end"/>
      </w:r>
      <w:r w:rsidRPr="00B64D7B">
        <w:rPr>
          <w:lang w:eastAsia="ja-JP"/>
        </w:rPr>
        <w:t xml:space="preserve"> for definitions</w:t>
      </w:r>
      <w:r w:rsidRPr="00B64D7B">
        <w:rPr>
          <w:sz w:val="20"/>
          <w:lang w:eastAsia="ja-JP"/>
        </w:rPr>
        <w:t>.</w:t>
      </w:r>
    </w:p>
    <w:p w14:paraId="7B8F0D7F" w14:textId="77777777" w:rsidR="00FD2B82" w:rsidRDefault="00FD2B82" w:rsidP="00FD2B82">
      <w:pPr>
        <w:pStyle w:val="Heading5"/>
      </w:pPr>
      <w:r>
        <w:lastRenderedPageBreak/>
        <w:t>Study ATB200-07 (Long-term extension)</w:t>
      </w:r>
    </w:p>
    <w:p w14:paraId="3A05B4E7" w14:textId="79D5D6A3" w:rsidR="00FD2B82" w:rsidRPr="00FE5F63" w:rsidRDefault="00FD2B82" w:rsidP="00127DF6">
      <w:r>
        <w:rPr>
          <w:lang w:eastAsia="ja-JP"/>
        </w:rPr>
        <w:t xml:space="preserve">This </w:t>
      </w:r>
      <w:r w:rsidRPr="00FE5F63">
        <w:rPr>
          <w:lang w:eastAsia="ja-JP"/>
        </w:rPr>
        <w:t xml:space="preserve">is an ongoing Phase 3, open-label extension study in which </w:t>
      </w:r>
      <w:proofErr w:type="spellStart"/>
      <w:r w:rsidR="00623FDB">
        <w:rPr>
          <w:lang w:eastAsia="ja-JP"/>
        </w:rPr>
        <w:t>Pombiliti</w:t>
      </w:r>
      <w:proofErr w:type="spellEnd"/>
      <w:r w:rsidRPr="00FE5F63">
        <w:rPr>
          <w:lang w:eastAsia="ja-JP"/>
        </w:rPr>
        <w:t xml:space="preserve"> 20 mg/kg IV was co-administered with oral </w:t>
      </w:r>
      <w:proofErr w:type="spellStart"/>
      <w:r w:rsidR="00623FDB">
        <w:rPr>
          <w:lang w:eastAsia="ja-JP"/>
        </w:rPr>
        <w:t>Opfolda</w:t>
      </w:r>
      <w:proofErr w:type="spellEnd"/>
      <w:r w:rsidRPr="00FE5F63">
        <w:rPr>
          <w:lang w:eastAsia="ja-JP"/>
        </w:rPr>
        <w:t xml:space="preserve"> 260 mg (or 195 mg if body weight was ≥ 40 kg to &lt; 50 kg) every 2 weeks in adult subjects with LOPD who had completed the pivotal Study ATB200-03.</w:t>
      </w:r>
      <w:r w:rsidR="00127DF6">
        <w:t xml:space="preserve"> </w:t>
      </w:r>
      <w:r w:rsidRPr="00FE5F63">
        <w:t xml:space="preserve">The primary objective is to assess the long-term safety and tolerability of </w:t>
      </w:r>
      <w:proofErr w:type="spellStart"/>
      <w:r w:rsidRPr="00FE5F63">
        <w:t>cipaglucosidase</w:t>
      </w:r>
      <w:proofErr w:type="spellEnd"/>
      <w:r w:rsidRPr="00FE5F63">
        <w:t xml:space="preserve"> alfa/</w:t>
      </w:r>
      <w:proofErr w:type="spellStart"/>
      <w:r w:rsidRPr="00FE5F63">
        <w:t>miglustat</w:t>
      </w:r>
      <w:proofErr w:type="spellEnd"/>
      <w:r w:rsidRPr="00FE5F63">
        <w:t xml:space="preserve"> co-administration.</w:t>
      </w:r>
      <w:r w:rsidR="00127DF6">
        <w:t xml:space="preserve"> </w:t>
      </w:r>
      <w:r w:rsidRPr="00FE5F63">
        <w:t xml:space="preserve">There are multiple secondary objectives assessing efficacy using endpoints including 6MWT, sitting FVC, MMTs, and </w:t>
      </w:r>
      <w:proofErr w:type="spellStart"/>
      <w:r w:rsidRPr="00FE5F63">
        <w:t>PROs.</w:t>
      </w:r>
      <w:proofErr w:type="spellEnd"/>
      <w:r w:rsidR="00127DF6">
        <w:t xml:space="preserve"> </w:t>
      </w:r>
      <w:r>
        <w:t>T</w:t>
      </w:r>
      <w:r w:rsidRPr="00FE5F63">
        <w:t>he first patient was enrolled on 18 December 2019</w:t>
      </w:r>
      <w:r>
        <w:t xml:space="preserve"> and </w:t>
      </w:r>
      <w:r w:rsidRPr="00FE5F63">
        <w:t>interim efficacy results to Week 52</w:t>
      </w:r>
      <w:r>
        <w:t xml:space="preserve"> of the OLE are presented</w:t>
      </w:r>
      <w:r w:rsidRPr="00FE5F63">
        <w:t>.</w:t>
      </w:r>
    </w:p>
    <w:p w14:paraId="07F9CDD3" w14:textId="365C49EA" w:rsidR="00FD2B82" w:rsidRDefault="00FD2B82" w:rsidP="00567252">
      <w:r w:rsidRPr="00FE5F63">
        <w:rPr>
          <w:lang w:eastAsia="ja-JP"/>
        </w:rPr>
        <w:t xml:space="preserve">Subjects were eligible for treatment with fortnightly </w:t>
      </w:r>
      <w:proofErr w:type="spellStart"/>
      <w:r w:rsidRPr="00FE5F63">
        <w:rPr>
          <w:lang w:eastAsia="ja-JP"/>
        </w:rPr>
        <w:t>cipaglucosidase</w:t>
      </w:r>
      <w:proofErr w:type="spellEnd"/>
      <w:r w:rsidRPr="00FE5F63">
        <w:rPr>
          <w:lang w:eastAsia="ja-JP"/>
        </w:rPr>
        <w:t xml:space="preserve"> alfa/</w:t>
      </w:r>
      <w:proofErr w:type="spellStart"/>
      <w:r w:rsidRPr="00FE5F63">
        <w:rPr>
          <w:lang w:eastAsia="ja-JP"/>
        </w:rPr>
        <w:t>miglustat</w:t>
      </w:r>
      <w:proofErr w:type="spellEnd"/>
      <w:r w:rsidRPr="00FE5F63">
        <w:rPr>
          <w:lang w:eastAsia="ja-JP"/>
        </w:rPr>
        <w:t xml:space="preserve"> irrespective of which treatment they had received in Study ATB200-03.</w:t>
      </w:r>
      <w:r w:rsidR="00127DF6">
        <w:rPr>
          <w:lang w:eastAsia="ja-JP"/>
        </w:rPr>
        <w:t xml:space="preserve"> </w:t>
      </w:r>
      <w:r w:rsidRPr="00FE5F63">
        <w:rPr>
          <w:lang w:eastAsia="ja-JP"/>
        </w:rPr>
        <w:t xml:space="preserve">After 3 months in the study without any moderate to severe IARs, subjects may have been eligible for administration of study drug at their home in countries/sites where home administration of </w:t>
      </w:r>
      <w:proofErr w:type="spellStart"/>
      <w:r w:rsidRPr="00FE5F63">
        <w:rPr>
          <w:lang w:eastAsia="ja-JP"/>
        </w:rPr>
        <w:t>alglucosidase</w:t>
      </w:r>
      <w:proofErr w:type="spellEnd"/>
      <w:r w:rsidRPr="00FE5F63">
        <w:rPr>
          <w:lang w:eastAsia="ja-JP"/>
        </w:rPr>
        <w:t xml:space="preserve"> alfa is permitted.</w:t>
      </w:r>
    </w:p>
    <w:p w14:paraId="1559CB35" w14:textId="7CDD658E" w:rsidR="00FD2B82" w:rsidRDefault="00FD2B82" w:rsidP="00567252">
      <w:pPr>
        <w:rPr>
          <w:lang w:eastAsia="ja-JP"/>
        </w:rPr>
      </w:pPr>
      <w:r w:rsidRPr="00FE5F63">
        <w:rPr>
          <w:lang w:eastAsia="ja-JP"/>
        </w:rPr>
        <w:t>119 subjects enrolled and 11</w:t>
      </w:r>
      <w:r w:rsidR="00A31C00">
        <w:rPr>
          <w:lang w:eastAsia="ja-JP"/>
        </w:rPr>
        <w:t>6</w:t>
      </w:r>
      <w:r w:rsidRPr="00FE5F63">
        <w:rPr>
          <w:lang w:eastAsia="ja-JP"/>
        </w:rPr>
        <w:t xml:space="preserve"> subjects </w:t>
      </w:r>
      <w:r>
        <w:rPr>
          <w:lang w:eastAsia="ja-JP"/>
        </w:rPr>
        <w:t xml:space="preserve">were </w:t>
      </w:r>
      <w:r w:rsidRPr="00FE5F63">
        <w:rPr>
          <w:lang w:eastAsia="ja-JP"/>
        </w:rPr>
        <w:t>eligible for inclusion in the Full Analysis Set (FAS), of whom 3</w:t>
      </w:r>
      <w:r w:rsidR="00A31C00">
        <w:rPr>
          <w:lang w:eastAsia="ja-JP"/>
        </w:rPr>
        <w:t>6</w:t>
      </w:r>
      <w:r w:rsidRPr="00FE5F63">
        <w:rPr>
          <w:lang w:eastAsia="ja-JP"/>
        </w:rPr>
        <w:t xml:space="preserve"> (31%) had received </w:t>
      </w:r>
      <w:proofErr w:type="spellStart"/>
      <w:r w:rsidRPr="00FE5F63">
        <w:rPr>
          <w:lang w:eastAsia="ja-JP"/>
        </w:rPr>
        <w:t>alglucosidase</w:t>
      </w:r>
      <w:proofErr w:type="spellEnd"/>
      <w:r w:rsidRPr="00FE5F63">
        <w:rPr>
          <w:lang w:eastAsia="ja-JP"/>
        </w:rPr>
        <w:t xml:space="preserve"> alfa/placebo and 80 (69%) had received </w:t>
      </w:r>
      <w:proofErr w:type="spellStart"/>
      <w:r w:rsidRPr="00FE5F63">
        <w:rPr>
          <w:lang w:eastAsia="ja-JP"/>
        </w:rPr>
        <w:t>cipaglucosidase</w:t>
      </w:r>
      <w:proofErr w:type="spellEnd"/>
      <w:r w:rsidRPr="00FE5F63">
        <w:rPr>
          <w:lang w:eastAsia="ja-JP"/>
        </w:rPr>
        <w:t xml:space="preserve"> alfa/</w:t>
      </w:r>
      <w:proofErr w:type="spellStart"/>
      <w:r w:rsidRPr="00FE5F63">
        <w:rPr>
          <w:lang w:eastAsia="ja-JP"/>
        </w:rPr>
        <w:t>miglustat</w:t>
      </w:r>
      <w:proofErr w:type="spellEnd"/>
      <w:r w:rsidRPr="00C17D80">
        <w:rPr>
          <w:lang w:eastAsia="ja-JP"/>
        </w:rPr>
        <w:t xml:space="preserve"> </w:t>
      </w:r>
      <w:r w:rsidRPr="00FE5F63">
        <w:rPr>
          <w:lang w:eastAsia="ja-JP"/>
        </w:rPr>
        <w:t>in Study ATB200-03.</w:t>
      </w:r>
    </w:p>
    <w:p w14:paraId="30D56288" w14:textId="2DAF0275" w:rsidR="00FD2B82" w:rsidRDefault="00FD2B82" w:rsidP="00127DF6">
      <w:r>
        <w:rPr>
          <w:lang w:eastAsia="ja-JP"/>
        </w:rPr>
        <w:t>Effects on 6MWD and FVC observed in</w:t>
      </w:r>
      <w:r w:rsidRPr="00FE5F63">
        <w:rPr>
          <w:lang w:eastAsia="ja-JP"/>
        </w:rPr>
        <w:t xml:space="preserve"> Study ATB200-03 (to Week 52) </w:t>
      </w:r>
      <w:r>
        <w:rPr>
          <w:lang w:eastAsia="ja-JP"/>
        </w:rPr>
        <w:t>were generally</w:t>
      </w:r>
      <w:r w:rsidRPr="00FE5F63">
        <w:rPr>
          <w:lang w:eastAsia="ja-JP"/>
        </w:rPr>
        <w:t xml:space="preserve"> maintained through Week 104</w:t>
      </w:r>
      <w:r>
        <w:rPr>
          <w:lang w:eastAsia="ja-JP"/>
        </w:rPr>
        <w:t xml:space="preserve"> of the OLE (</w:t>
      </w:r>
      <w:r>
        <w:rPr>
          <w:lang w:eastAsia="ja-JP"/>
        </w:rPr>
        <w:fldChar w:fldCharType="begin"/>
      </w:r>
      <w:r>
        <w:rPr>
          <w:lang w:eastAsia="ja-JP"/>
        </w:rPr>
        <w:instrText xml:space="preserve"> REF _Ref175585413 \h </w:instrText>
      </w:r>
      <w:r w:rsidR="00567252">
        <w:rPr>
          <w:lang w:eastAsia="ja-JP"/>
        </w:rPr>
        <w:instrText xml:space="preserve"> \* MERGEFORMAT </w:instrText>
      </w:r>
      <w:r>
        <w:rPr>
          <w:lang w:eastAsia="ja-JP"/>
        </w:rPr>
      </w:r>
      <w:r>
        <w:rPr>
          <w:lang w:eastAsia="ja-JP"/>
        </w:rPr>
        <w:fldChar w:fldCharType="separate"/>
      </w:r>
      <w:r>
        <w:t xml:space="preserve">Figure </w:t>
      </w:r>
      <w:r>
        <w:rPr>
          <w:noProof/>
        </w:rPr>
        <w:t>1</w:t>
      </w:r>
      <w:r>
        <w:rPr>
          <w:lang w:eastAsia="ja-JP"/>
        </w:rPr>
        <w:fldChar w:fldCharType="end"/>
      </w:r>
      <w:r>
        <w:rPr>
          <w:lang w:eastAsia="ja-JP"/>
        </w:rPr>
        <w:t xml:space="preserve"> and </w:t>
      </w:r>
      <w:r>
        <w:rPr>
          <w:lang w:eastAsia="ja-JP"/>
        </w:rPr>
        <w:fldChar w:fldCharType="begin"/>
      </w:r>
      <w:r>
        <w:rPr>
          <w:lang w:eastAsia="ja-JP"/>
        </w:rPr>
        <w:instrText xml:space="preserve"> REF _Ref175585632 \h </w:instrText>
      </w:r>
      <w:r w:rsidR="00567252">
        <w:rPr>
          <w:lang w:eastAsia="ja-JP"/>
        </w:rPr>
        <w:instrText xml:space="preserve"> \* MERGEFORMAT </w:instrText>
      </w:r>
      <w:r>
        <w:rPr>
          <w:lang w:eastAsia="ja-JP"/>
        </w:rPr>
      </w:r>
      <w:r>
        <w:rPr>
          <w:lang w:eastAsia="ja-JP"/>
        </w:rPr>
        <w:fldChar w:fldCharType="separate"/>
      </w:r>
      <w:r>
        <w:t xml:space="preserve">Figure </w:t>
      </w:r>
      <w:r>
        <w:rPr>
          <w:noProof/>
        </w:rPr>
        <w:t>2</w:t>
      </w:r>
      <w:r>
        <w:rPr>
          <w:lang w:eastAsia="ja-JP"/>
        </w:rPr>
        <w:fldChar w:fldCharType="end"/>
      </w:r>
      <w:r>
        <w:rPr>
          <w:lang w:eastAsia="ja-JP"/>
        </w:rPr>
        <w:t>, respectively).</w:t>
      </w:r>
      <w:r w:rsidR="00127DF6">
        <w:rPr>
          <w:lang w:eastAsia="ja-JP"/>
        </w:rPr>
        <w:t xml:space="preserve"> </w:t>
      </w:r>
      <w:r>
        <w:rPr>
          <w:lang w:eastAsia="ja-JP"/>
        </w:rPr>
        <w:t>Findings</w:t>
      </w:r>
      <w:r w:rsidRPr="00FE5F63">
        <w:rPr>
          <w:lang w:eastAsia="ja-JP"/>
        </w:rPr>
        <w:t xml:space="preserve"> </w:t>
      </w:r>
      <w:r>
        <w:rPr>
          <w:lang w:eastAsia="ja-JP"/>
        </w:rPr>
        <w:t xml:space="preserve">for </w:t>
      </w:r>
      <w:r w:rsidRPr="00FE5F63">
        <w:rPr>
          <w:lang w:eastAsia="ja-JP"/>
        </w:rPr>
        <w:t>MMT lower extremity, PROMIS-Physical Function, PROMIS-Fatigue, and GSGC were generally consistent with those observed for 6MWD.</w:t>
      </w:r>
      <w:r w:rsidR="00127DF6">
        <w:rPr>
          <w:lang w:eastAsia="ja-JP"/>
        </w:rPr>
        <w:t xml:space="preserve"> </w:t>
      </w:r>
      <w:r>
        <w:t>A</w:t>
      </w:r>
      <w:r w:rsidRPr="00FE5F63">
        <w:t xml:space="preserve">nalyses of ERT-experienced and ERT-naïve subjects </w:t>
      </w:r>
      <w:r>
        <w:t xml:space="preserve">were consistent with </w:t>
      </w:r>
      <w:r w:rsidRPr="00FE5F63">
        <w:t>the overall population.</w:t>
      </w:r>
    </w:p>
    <w:p w14:paraId="0531D0AE" w14:textId="4851973A" w:rsidR="00FD2B82" w:rsidRPr="00FE5F63" w:rsidRDefault="00FD2B82" w:rsidP="00127DF6">
      <w:pPr>
        <w:pStyle w:val="FigureTitle"/>
      </w:pPr>
      <w:bookmarkStart w:id="60" w:name="_Ref175585413"/>
      <w:r>
        <w:t xml:space="preserve">Figure </w:t>
      </w:r>
      <w:r>
        <w:fldChar w:fldCharType="begin"/>
      </w:r>
      <w:r>
        <w:instrText xml:space="preserve"> SEQ Figure \* ARABIC </w:instrText>
      </w:r>
      <w:r>
        <w:fldChar w:fldCharType="separate"/>
      </w:r>
      <w:r>
        <w:rPr>
          <w:noProof/>
        </w:rPr>
        <w:t>1</w:t>
      </w:r>
      <w:r>
        <w:rPr>
          <w:noProof/>
        </w:rPr>
        <w:fldChar w:fldCharType="end"/>
      </w:r>
      <w:bookmarkEnd w:id="60"/>
      <w:r w:rsidR="00C206A0">
        <w:t>:</w:t>
      </w:r>
      <w:r>
        <w:t xml:space="preserve"> </w:t>
      </w:r>
      <w:r w:rsidRPr="00FE5F63">
        <w:t>Studies ATB200-03 and ATB200-07: Line Chart for Mean (± SE) of Change from Study ATB200-03 Baseline over Time in 6MWD (</w:t>
      </w:r>
      <w:r w:rsidRPr="00127DF6">
        <w:t>meters</w:t>
      </w:r>
      <w:r w:rsidRPr="00FE5F63">
        <w:t>) - OLE-ES Population</w:t>
      </w:r>
      <w:r w:rsidRPr="00FE5F63">
        <w:rPr>
          <w:vertAlign w:val="superscript"/>
        </w:rPr>
        <w:footnoteReference w:id="11"/>
      </w:r>
      <w:r w:rsidRPr="00FE5F63">
        <w:t xml:space="preserve"> Excluding </w:t>
      </w:r>
      <w:r w:rsidR="008339C3">
        <w:t xml:space="preserve">Outlier </w:t>
      </w:r>
      <w:r w:rsidRPr="00FE5F63">
        <w:t xml:space="preserve">Subject </w:t>
      </w:r>
    </w:p>
    <w:p w14:paraId="7B98E843" w14:textId="5550F267" w:rsidR="00FD2B82" w:rsidRPr="00FE5F63" w:rsidRDefault="00FD2B82" w:rsidP="00127DF6">
      <w:pPr>
        <w:rPr>
          <w:lang w:eastAsia="ja-JP"/>
        </w:rPr>
      </w:pPr>
      <w:r w:rsidRPr="00FE5F63">
        <w:rPr>
          <w:noProof/>
          <w:lang w:eastAsia="ja-JP"/>
        </w:rPr>
        <w:drawing>
          <wp:inline distT="0" distB="0" distL="0" distR="0" wp14:anchorId="6A224129" wp14:editId="550DA6CB">
            <wp:extent cx="5620774" cy="2877670"/>
            <wp:effectExtent l="0" t="0" r="0" b="0"/>
            <wp:docPr id="16" name="Picture 16" descr="Figure 1: Studies ATB200-03 and ATB200-07: Line Chart for Mean (± SE) of Change from Study ATB200-03 Baseline over Time in 6MWD (meters) - OLE-ES Population  Excluding Outlier Subje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igure 1: Studies ATB200-03 and ATB200-07: Line Chart for Mean (± SE) of Change from Study ATB200-03 Baseline over Time in 6MWD (meters) - OLE-ES Population  Excluding Outlier Subject "/>
                    <pic:cNvPicPr/>
                  </pic:nvPicPr>
                  <pic:blipFill>
                    <a:blip r:embed="rId30"/>
                    <a:stretch>
                      <a:fillRect/>
                    </a:stretch>
                  </pic:blipFill>
                  <pic:spPr>
                    <a:xfrm>
                      <a:off x="0" y="0"/>
                      <a:ext cx="5628233" cy="2881489"/>
                    </a:xfrm>
                    <a:prstGeom prst="rect">
                      <a:avLst/>
                    </a:prstGeom>
                  </pic:spPr>
                </pic:pic>
              </a:graphicData>
            </a:graphic>
          </wp:inline>
        </w:drawing>
      </w:r>
    </w:p>
    <w:p w14:paraId="34134761" w14:textId="4A414A46" w:rsidR="00FD2B82" w:rsidRPr="00FE5F63" w:rsidRDefault="00FD2B82" w:rsidP="00127DF6">
      <w:pPr>
        <w:pStyle w:val="FigureTitle"/>
      </w:pPr>
      <w:bookmarkStart w:id="61" w:name="_Ref175585632"/>
      <w:r>
        <w:lastRenderedPageBreak/>
        <w:t xml:space="preserve">Figure </w:t>
      </w:r>
      <w:r>
        <w:fldChar w:fldCharType="begin"/>
      </w:r>
      <w:r>
        <w:instrText xml:space="preserve"> SEQ Figure \* ARABIC </w:instrText>
      </w:r>
      <w:r>
        <w:fldChar w:fldCharType="separate"/>
      </w:r>
      <w:r>
        <w:rPr>
          <w:noProof/>
        </w:rPr>
        <w:t>2</w:t>
      </w:r>
      <w:r>
        <w:rPr>
          <w:noProof/>
        </w:rPr>
        <w:fldChar w:fldCharType="end"/>
      </w:r>
      <w:bookmarkEnd w:id="61"/>
      <w:r w:rsidR="005C247E">
        <w:t>:</w:t>
      </w:r>
      <w:r>
        <w:t xml:space="preserve"> </w:t>
      </w:r>
      <w:r w:rsidRPr="00FE5F63">
        <w:t>Studies ATB200-03 and ATB200-07: Line Chart for Mean (± SE) of Change from Study ATB200-03 Baseline over Time in Sitting % Predicted FVC - OLE-ES Population Excluding Subject 4005-2511</w:t>
      </w:r>
    </w:p>
    <w:p w14:paraId="62A62396" w14:textId="77777777" w:rsidR="00FD2B82" w:rsidRPr="00FE5F63" w:rsidRDefault="00FD2B82" w:rsidP="00127DF6">
      <w:pPr>
        <w:rPr>
          <w:lang w:eastAsia="ja-JP"/>
        </w:rPr>
      </w:pPr>
      <w:r w:rsidRPr="00FE5F63">
        <w:rPr>
          <w:noProof/>
          <w:lang w:eastAsia="ja-JP"/>
        </w:rPr>
        <w:drawing>
          <wp:inline distT="0" distB="0" distL="0" distR="0" wp14:anchorId="646B2183" wp14:editId="605225D1">
            <wp:extent cx="5683143" cy="2877671"/>
            <wp:effectExtent l="0" t="0" r="2540" b="6350"/>
            <wp:docPr id="20" name="Picture 20" descr="Figure 2: Studies ATB200-03 and ATB200-07: Line Chart for Mean (± SE) of Change from Study ATB200-03 Baseline over Time in Sitting % Predicted FVC - OLE-ES Population Excluding Subject 4005-2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Figure 2: Studies ATB200-03 and ATB200-07: Line Chart for Mean (± SE) of Change from Study ATB200-03 Baseline over Time in Sitting % Predicted FVC - OLE-ES Population Excluding Subject 4005-2511"/>
                    <pic:cNvPicPr/>
                  </pic:nvPicPr>
                  <pic:blipFill>
                    <a:blip r:embed="rId31"/>
                    <a:stretch>
                      <a:fillRect/>
                    </a:stretch>
                  </pic:blipFill>
                  <pic:spPr>
                    <a:xfrm>
                      <a:off x="0" y="0"/>
                      <a:ext cx="5683143" cy="2877671"/>
                    </a:xfrm>
                    <a:prstGeom prst="rect">
                      <a:avLst/>
                    </a:prstGeom>
                  </pic:spPr>
                </pic:pic>
              </a:graphicData>
            </a:graphic>
          </wp:inline>
        </w:drawing>
      </w:r>
    </w:p>
    <w:p w14:paraId="70BD95E2" w14:textId="77777777" w:rsidR="00FD2B82" w:rsidRDefault="00FD2B82" w:rsidP="00FD2B82">
      <w:pPr>
        <w:pStyle w:val="Heading4"/>
      </w:pPr>
      <w:bookmarkStart w:id="62" w:name="_Toc200457825"/>
      <w:r w:rsidRPr="00AA53F4">
        <w:t>Safety</w:t>
      </w:r>
      <w:bookmarkEnd w:id="62"/>
    </w:p>
    <w:p w14:paraId="342BE59B" w14:textId="77777777" w:rsidR="00FD2B82" w:rsidRDefault="00FD2B82" w:rsidP="00FD2B82">
      <w:pPr>
        <w:rPr>
          <w:lang w:eastAsia="ja-JP"/>
        </w:rPr>
      </w:pPr>
      <w:r>
        <w:rPr>
          <w:lang w:eastAsia="ja-JP"/>
        </w:rPr>
        <w:t>The safety evaluation focussed on two pools of safety data:</w:t>
      </w:r>
    </w:p>
    <w:p w14:paraId="1314315F" w14:textId="77777777" w:rsidR="00FD2B82" w:rsidRPr="00C47B7D" w:rsidRDefault="00FD2B82" w:rsidP="00127DF6">
      <w:pPr>
        <w:pStyle w:val="ListBullet"/>
      </w:pPr>
      <w:r w:rsidRPr="00127DF6">
        <w:t>Pool</w:t>
      </w:r>
      <w:r w:rsidRPr="00C47B7D">
        <w:t xml:space="preserve"> 1 included participants in the pivotal Study ATB200-03 who received either </w:t>
      </w:r>
      <w:proofErr w:type="spellStart"/>
      <w:r w:rsidRPr="00C47B7D">
        <w:t>cipaglucosidase</w:t>
      </w:r>
      <w:proofErr w:type="spellEnd"/>
      <w:r w:rsidRPr="00C47B7D">
        <w:t xml:space="preserve"> alfa/</w:t>
      </w:r>
      <w:proofErr w:type="spellStart"/>
      <w:r w:rsidRPr="00C47B7D">
        <w:t>miglustat</w:t>
      </w:r>
      <w:proofErr w:type="spellEnd"/>
      <w:r w:rsidRPr="00C47B7D">
        <w:t xml:space="preserve"> or </w:t>
      </w:r>
      <w:proofErr w:type="spellStart"/>
      <w:r w:rsidRPr="00C47B7D">
        <w:t>alglucosidase</w:t>
      </w:r>
      <w:proofErr w:type="spellEnd"/>
      <w:r w:rsidRPr="00C47B7D">
        <w:t xml:space="preserve"> alfa/placebo.</w:t>
      </w:r>
    </w:p>
    <w:p w14:paraId="08B6B69F" w14:textId="77777777" w:rsidR="00FD2B82" w:rsidRPr="00C47B7D" w:rsidRDefault="00FD2B82" w:rsidP="00127DF6">
      <w:pPr>
        <w:pStyle w:val="ListBullet"/>
      </w:pPr>
      <w:r w:rsidRPr="00C47B7D">
        <w:t xml:space="preserve">Pool 2 included subjects in </w:t>
      </w:r>
      <w:r w:rsidRPr="00127DF6">
        <w:t>studies</w:t>
      </w:r>
      <w:r w:rsidRPr="00C47B7D">
        <w:t xml:space="preserve"> ATB200-02, ATB200-03, and ATB200-07 who received </w:t>
      </w:r>
      <w:proofErr w:type="spellStart"/>
      <w:r w:rsidRPr="00C47B7D">
        <w:t>cipaglucosidase</w:t>
      </w:r>
      <w:proofErr w:type="spellEnd"/>
      <w:r w:rsidRPr="00C47B7D">
        <w:t xml:space="preserve"> alfa/</w:t>
      </w:r>
      <w:proofErr w:type="spellStart"/>
      <w:r w:rsidRPr="00C47B7D">
        <w:t>miglustat</w:t>
      </w:r>
      <w:proofErr w:type="spellEnd"/>
      <w:r w:rsidRPr="00C47B7D">
        <w:t>.</w:t>
      </w:r>
    </w:p>
    <w:p w14:paraId="6488B293" w14:textId="46F65725" w:rsidR="00FD2B82" w:rsidRDefault="00FD2B82" w:rsidP="00127DF6">
      <w:r>
        <w:t xml:space="preserve">Duration of exposure in the pivotal study (Pool 1) is summarised in </w:t>
      </w:r>
      <w:r>
        <w:fldChar w:fldCharType="begin"/>
      </w:r>
      <w:r>
        <w:instrText xml:space="preserve"> REF _Ref175813792 \h </w:instrText>
      </w:r>
      <w:r>
        <w:fldChar w:fldCharType="separate"/>
      </w:r>
      <w:r>
        <w:t xml:space="preserve">Table </w:t>
      </w:r>
      <w:r>
        <w:rPr>
          <w:noProof/>
        </w:rPr>
        <w:t>10</w:t>
      </w:r>
      <w:r>
        <w:fldChar w:fldCharType="end"/>
      </w:r>
      <w:r>
        <w:t>.</w:t>
      </w:r>
    </w:p>
    <w:p w14:paraId="6B378FCF" w14:textId="46734410" w:rsidR="00FD2B82" w:rsidRPr="0066084B" w:rsidRDefault="00FD2B82" w:rsidP="00127DF6">
      <w:pPr>
        <w:pStyle w:val="TableTitle"/>
      </w:pPr>
      <w:bookmarkStart w:id="63" w:name="_Ref175813792"/>
      <w:r>
        <w:t xml:space="preserve">Table </w:t>
      </w:r>
      <w:r>
        <w:fldChar w:fldCharType="begin"/>
      </w:r>
      <w:r>
        <w:instrText xml:space="preserve"> SEQ Table \* ARABIC </w:instrText>
      </w:r>
      <w:r>
        <w:fldChar w:fldCharType="separate"/>
      </w:r>
      <w:r>
        <w:rPr>
          <w:noProof/>
        </w:rPr>
        <w:t>10</w:t>
      </w:r>
      <w:r>
        <w:rPr>
          <w:noProof/>
        </w:rPr>
        <w:fldChar w:fldCharType="end"/>
      </w:r>
      <w:bookmarkEnd w:id="63"/>
      <w:r w:rsidR="004164B6">
        <w:t>:</w:t>
      </w:r>
      <w:r>
        <w:t xml:space="preserve"> </w:t>
      </w:r>
      <w:r w:rsidRPr="00127DF6">
        <w:t>Study</w:t>
      </w:r>
      <w:r w:rsidRPr="0066084B">
        <w:t xml:space="preserve"> ATB200-03: Study Drug Exposure Overall - Safety Population</w:t>
      </w:r>
    </w:p>
    <w:p w14:paraId="153A0AA4" w14:textId="77777777" w:rsidR="00127DF6" w:rsidRDefault="00FD2B82" w:rsidP="00127DF6">
      <w:r w:rsidRPr="0066084B">
        <w:rPr>
          <w:noProof/>
        </w:rPr>
        <w:drawing>
          <wp:inline distT="0" distB="0" distL="0" distR="0" wp14:anchorId="5BCA6A66" wp14:editId="2FCCBAF5">
            <wp:extent cx="5731510" cy="2880995"/>
            <wp:effectExtent l="0" t="0" r="2540" b="0"/>
            <wp:docPr id="87" name="Picture 87" descr="Table 10: Study ATB200-03: Study Drug Exposure Overall -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Table 10: Study ATB200-03: Study Drug Exposure Overall - Safety Population."/>
                    <pic:cNvPicPr/>
                  </pic:nvPicPr>
                  <pic:blipFill>
                    <a:blip r:embed="rId32"/>
                    <a:stretch>
                      <a:fillRect/>
                    </a:stretch>
                  </pic:blipFill>
                  <pic:spPr>
                    <a:xfrm>
                      <a:off x="0" y="0"/>
                      <a:ext cx="5731510" cy="2880995"/>
                    </a:xfrm>
                    <a:prstGeom prst="rect">
                      <a:avLst/>
                    </a:prstGeom>
                  </pic:spPr>
                </pic:pic>
              </a:graphicData>
            </a:graphic>
          </wp:inline>
        </w:drawing>
      </w:r>
    </w:p>
    <w:p w14:paraId="6646E1F5" w14:textId="42F7D90D" w:rsidR="00FD2B82" w:rsidRDefault="00FD2B82" w:rsidP="00127DF6">
      <w:r>
        <w:t xml:space="preserve">The safety population in Pool 2 comprised </w:t>
      </w:r>
      <w:r w:rsidRPr="0066084B">
        <w:t xml:space="preserve">151 subjects </w:t>
      </w:r>
      <w:r>
        <w:t>treated with</w:t>
      </w:r>
      <w:r w:rsidRPr="0066084B">
        <w:t xml:space="preserve"> </w:t>
      </w:r>
      <w:proofErr w:type="spellStart"/>
      <w:r w:rsidRPr="0066084B">
        <w:t>cipaglucosidase</w:t>
      </w:r>
      <w:proofErr w:type="spellEnd"/>
      <w:r w:rsidRPr="0066084B">
        <w:t xml:space="preserve"> alfa/</w:t>
      </w:r>
      <w:proofErr w:type="spellStart"/>
      <w:r w:rsidRPr="0066084B">
        <w:t>miglustat</w:t>
      </w:r>
      <w:proofErr w:type="spellEnd"/>
      <w:r>
        <w:t xml:space="preserve"> (</w:t>
      </w:r>
      <w:r>
        <w:fldChar w:fldCharType="begin"/>
      </w:r>
      <w:r>
        <w:instrText xml:space="preserve"> REF _Ref175813305 \h </w:instrText>
      </w:r>
      <w:r w:rsidR="00C777B5">
        <w:instrText xml:space="preserve"> \* MERGEFORMAT </w:instrText>
      </w:r>
      <w:r>
        <w:fldChar w:fldCharType="separate"/>
      </w:r>
      <w:r>
        <w:t xml:space="preserve">Table </w:t>
      </w:r>
      <w:r>
        <w:rPr>
          <w:noProof/>
        </w:rPr>
        <w:t>11</w:t>
      </w:r>
      <w:r>
        <w:fldChar w:fldCharType="end"/>
      </w:r>
      <w:r>
        <w:t>).</w:t>
      </w:r>
      <w:r w:rsidR="00127DF6">
        <w:t xml:space="preserve"> </w:t>
      </w:r>
      <w:r>
        <w:t xml:space="preserve">In Pool 2, </w:t>
      </w:r>
      <w:proofErr w:type="gramStart"/>
      <w:r>
        <w:t>the majority of</w:t>
      </w:r>
      <w:proofErr w:type="gramEnd"/>
      <w:r>
        <w:t xml:space="preserve"> subjects were female, had a mean (SD) age of 46.9 (13.42) years, and were White (80.1% of subjects).</w:t>
      </w:r>
      <w:r w:rsidR="00127DF6">
        <w:t xml:space="preserve"> </w:t>
      </w:r>
      <w:r>
        <w:t>17 (11.3%) subjects were ≥ 65 years of age.</w:t>
      </w:r>
      <w:r w:rsidR="00127DF6">
        <w:t xml:space="preserve"> </w:t>
      </w:r>
      <w:r>
        <w:t>Most subjects (77.5%) were ERT-experienced at the time of enrolment in studies ATB200-02 or ATB200-03, with a mean (SD) ERT treatment duration of 7.7 (3.49) years.</w:t>
      </w:r>
      <w:r w:rsidR="00127DF6">
        <w:t xml:space="preserve"> </w:t>
      </w:r>
      <w:r>
        <w:t>25.2% of subjects had a history of infusion-associated reactions (IARs).</w:t>
      </w:r>
      <w:r w:rsidR="00127DF6">
        <w:t xml:space="preserve"> </w:t>
      </w:r>
    </w:p>
    <w:p w14:paraId="4857600D" w14:textId="20CA4974" w:rsidR="00FD2B82" w:rsidRPr="0066084B" w:rsidRDefault="00FD2B82" w:rsidP="00127DF6">
      <w:pPr>
        <w:pStyle w:val="TableTitle"/>
      </w:pPr>
      <w:bookmarkStart w:id="64" w:name="_Ref175813305"/>
      <w:r>
        <w:t xml:space="preserve">Table </w:t>
      </w:r>
      <w:r>
        <w:fldChar w:fldCharType="begin"/>
      </w:r>
      <w:r>
        <w:instrText xml:space="preserve"> SEQ Table \* ARABIC </w:instrText>
      </w:r>
      <w:r>
        <w:fldChar w:fldCharType="separate"/>
      </w:r>
      <w:r>
        <w:rPr>
          <w:noProof/>
        </w:rPr>
        <w:t>11</w:t>
      </w:r>
      <w:r>
        <w:rPr>
          <w:noProof/>
        </w:rPr>
        <w:fldChar w:fldCharType="end"/>
      </w:r>
      <w:bookmarkEnd w:id="64"/>
      <w:r w:rsidR="004164B6">
        <w:t>:</w:t>
      </w:r>
      <w:r>
        <w:t xml:space="preserve"> </w:t>
      </w:r>
      <w:r w:rsidRPr="0066084B">
        <w:t xml:space="preserve">Studies </w:t>
      </w:r>
      <w:r w:rsidRPr="00127DF6">
        <w:t>ATB200</w:t>
      </w:r>
      <w:r w:rsidRPr="0066084B">
        <w:t>-02/03/07: Study Drug Exposure Overall – Pool 2 - Safety Population</w:t>
      </w:r>
    </w:p>
    <w:p w14:paraId="5B0CA9B7" w14:textId="734577FD" w:rsidR="00FD2B82" w:rsidRDefault="00FD2B82" w:rsidP="00127DF6">
      <w:r w:rsidRPr="0066084B">
        <w:rPr>
          <w:noProof/>
        </w:rPr>
        <w:drawing>
          <wp:inline distT="0" distB="0" distL="0" distR="0" wp14:anchorId="3E2C029E" wp14:editId="0E2F445E">
            <wp:extent cx="5353050" cy="2494146"/>
            <wp:effectExtent l="0" t="0" r="0" b="1905"/>
            <wp:docPr id="60" name="Picture 60" descr="Table 11: Studies ATB200-02/03/07: Study Drug Exposure Overall – Pool 2 -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Table 11: Studies ATB200-02/03/07: Study Drug Exposure Overall – Pool 2 - Safety Population"/>
                    <pic:cNvPicPr/>
                  </pic:nvPicPr>
                  <pic:blipFill>
                    <a:blip r:embed="rId33"/>
                    <a:stretch>
                      <a:fillRect/>
                    </a:stretch>
                  </pic:blipFill>
                  <pic:spPr>
                    <a:xfrm>
                      <a:off x="0" y="0"/>
                      <a:ext cx="5365443" cy="2499920"/>
                    </a:xfrm>
                    <a:prstGeom prst="rect">
                      <a:avLst/>
                    </a:prstGeom>
                  </pic:spPr>
                </pic:pic>
              </a:graphicData>
            </a:graphic>
          </wp:inline>
        </w:drawing>
      </w:r>
      <w:r>
        <w:t xml:space="preserve"> </w:t>
      </w:r>
    </w:p>
    <w:p w14:paraId="0FD7A6E7" w14:textId="77777777" w:rsidR="00FD2B82" w:rsidRDefault="00FD2B82" w:rsidP="00FD2B82">
      <w:pPr>
        <w:pStyle w:val="Heading5"/>
      </w:pPr>
      <w:r>
        <w:t>Study ATB200-03 (Pool 1)</w:t>
      </w:r>
    </w:p>
    <w:p w14:paraId="5F2AA217" w14:textId="5438319F" w:rsidR="00FD2B82" w:rsidRDefault="00FD2B82" w:rsidP="00127DF6">
      <w:r>
        <w:t>A summary of</w:t>
      </w:r>
      <w:r w:rsidRPr="000F4ACE">
        <w:t xml:space="preserve"> </w:t>
      </w:r>
      <w:r w:rsidR="00A332EE">
        <w:t>t</w:t>
      </w:r>
      <w:r w:rsidR="00A332EE" w:rsidRPr="00A332EE">
        <w:t xml:space="preserve">reatment-emergent adverse event </w:t>
      </w:r>
      <w:r w:rsidR="00A332EE">
        <w:t>(</w:t>
      </w:r>
      <w:r w:rsidRPr="000F4ACE">
        <w:t>TEAE</w:t>
      </w:r>
      <w:r>
        <w:t>s</w:t>
      </w:r>
      <w:r w:rsidR="00A332EE">
        <w:t>)</w:t>
      </w:r>
      <w:r>
        <w:t xml:space="preserve"> in</w:t>
      </w:r>
      <w:r w:rsidRPr="005C628E">
        <w:t xml:space="preserve"> </w:t>
      </w:r>
      <w:r>
        <w:t xml:space="preserve">Study ATB200-03 is presented in </w:t>
      </w:r>
      <w:r>
        <w:fldChar w:fldCharType="begin"/>
      </w:r>
      <w:r>
        <w:instrText xml:space="preserve"> REF _Ref175814781 \h </w:instrText>
      </w:r>
      <w:r>
        <w:fldChar w:fldCharType="separate"/>
      </w:r>
      <w:r>
        <w:t xml:space="preserve">Table </w:t>
      </w:r>
      <w:r>
        <w:rPr>
          <w:noProof/>
        </w:rPr>
        <w:t>12</w:t>
      </w:r>
      <w:r>
        <w:fldChar w:fldCharType="end"/>
      </w:r>
      <w:r>
        <w:t>.</w:t>
      </w:r>
      <w:r w:rsidR="00127DF6">
        <w:t xml:space="preserve"> </w:t>
      </w:r>
      <w:r>
        <w:t xml:space="preserve">The two TEAEs </w:t>
      </w:r>
      <w:r w:rsidRPr="00403CD9">
        <w:t>leading to study drug discontinuation</w:t>
      </w:r>
      <w:r>
        <w:t xml:space="preserve"> i</w:t>
      </w:r>
      <w:r w:rsidRPr="00403CD9">
        <w:t xml:space="preserve">n the </w:t>
      </w:r>
      <w:proofErr w:type="spellStart"/>
      <w:r w:rsidRPr="00403CD9">
        <w:t>cipaglucosidase</w:t>
      </w:r>
      <w:proofErr w:type="spellEnd"/>
      <w:r w:rsidRPr="00403CD9">
        <w:t xml:space="preserve"> alfa/</w:t>
      </w:r>
      <w:proofErr w:type="spellStart"/>
      <w:r w:rsidRPr="00403CD9">
        <w:t>miglustat</w:t>
      </w:r>
      <w:proofErr w:type="spellEnd"/>
      <w:r w:rsidRPr="00403CD9">
        <w:t xml:space="preserve"> group</w:t>
      </w:r>
      <w:r w:rsidRPr="000F4ACE">
        <w:t xml:space="preserve"> </w:t>
      </w:r>
      <w:r w:rsidRPr="00403CD9">
        <w:t>(anaphylactic reaction</w:t>
      </w:r>
      <w:r>
        <w:t>,</w:t>
      </w:r>
      <w:r w:rsidRPr="00403CD9">
        <w:t xml:space="preserve"> chills</w:t>
      </w:r>
      <w:r>
        <w:t>) were both assessed as treatment-related IARs.</w:t>
      </w:r>
      <w:r w:rsidR="00127DF6">
        <w:t xml:space="preserve"> </w:t>
      </w:r>
      <w:r w:rsidRPr="000F4ACE">
        <w:t xml:space="preserve">The incidence of TEAEs by </w:t>
      </w:r>
      <w:r>
        <w:t>Preferred Term (</w:t>
      </w:r>
      <w:r w:rsidRPr="000F4ACE">
        <w:t>PT</w:t>
      </w:r>
      <w:r>
        <w:t>)</w:t>
      </w:r>
      <w:r w:rsidRPr="000F4ACE">
        <w:t xml:space="preserve"> was generally similar between the</w:t>
      </w:r>
      <w:r>
        <w:t xml:space="preserve"> treatment groups </w:t>
      </w:r>
      <w:proofErr w:type="gramStart"/>
      <w:r>
        <w:t>with the exception of</w:t>
      </w:r>
      <w:proofErr w:type="gramEnd"/>
      <w:r>
        <w:t xml:space="preserve"> nasopharyngitis and urinary tract infection (</w:t>
      </w:r>
      <w:r>
        <w:fldChar w:fldCharType="begin"/>
      </w:r>
      <w:r>
        <w:instrText xml:space="preserve"> REF _Ref175815526 \h </w:instrText>
      </w:r>
      <w:r>
        <w:fldChar w:fldCharType="separate"/>
      </w:r>
      <w:r>
        <w:t xml:space="preserve">Table </w:t>
      </w:r>
      <w:r>
        <w:rPr>
          <w:noProof/>
        </w:rPr>
        <w:t>13</w:t>
      </w:r>
      <w:r>
        <w:fldChar w:fldCharType="end"/>
      </w:r>
      <w:r>
        <w:t xml:space="preserve">), which occurred more frequently in the </w:t>
      </w:r>
      <w:proofErr w:type="spellStart"/>
      <w:r w:rsidRPr="00053B16">
        <w:t>cipaglucosidase</w:t>
      </w:r>
      <w:proofErr w:type="spellEnd"/>
      <w:r w:rsidRPr="00053B16">
        <w:t xml:space="preserve"> alfa/</w:t>
      </w:r>
      <w:proofErr w:type="spellStart"/>
      <w:r w:rsidRPr="0066084B">
        <w:t>miglustat</w:t>
      </w:r>
      <w:proofErr w:type="spellEnd"/>
      <w:r w:rsidRPr="0066084B">
        <w:t xml:space="preserve"> group than in the </w:t>
      </w:r>
      <w:proofErr w:type="spellStart"/>
      <w:r w:rsidRPr="0066084B">
        <w:t>alglucosidase</w:t>
      </w:r>
      <w:proofErr w:type="spellEnd"/>
      <w:r w:rsidRPr="0066084B">
        <w:t xml:space="preserve"> alfa/placebo group</w:t>
      </w:r>
      <w:r>
        <w:t>.</w:t>
      </w:r>
      <w:r w:rsidR="00127DF6">
        <w:t xml:space="preserve"> </w:t>
      </w:r>
      <w:r w:rsidRPr="0066084B">
        <w:t>Most TEAEs during the study were mild or moderate in severity.</w:t>
      </w:r>
      <w:r w:rsidR="00127DF6">
        <w:t xml:space="preserve"> </w:t>
      </w:r>
      <w:r w:rsidRPr="0066084B">
        <w:t>There were no TEAEs that led to death.</w:t>
      </w:r>
      <w:r w:rsidR="00127DF6">
        <w:t xml:space="preserve"> </w:t>
      </w:r>
      <w:r>
        <w:rPr>
          <w:lang w:eastAsia="ja-JP"/>
        </w:rPr>
        <w:t xml:space="preserve">Serious TEAEs were reported by 9.4% of subjects in the </w:t>
      </w:r>
      <w:proofErr w:type="spellStart"/>
      <w:r w:rsidRPr="00053B16">
        <w:t>cipaglucosidase</w:t>
      </w:r>
      <w:proofErr w:type="spellEnd"/>
      <w:r w:rsidRPr="00053B16">
        <w:t xml:space="preserve"> alfa/</w:t>
      </w:r>
      <w:proofErr w:type="spellStart"/>
      <w:r w:rsidRPr="0066084B">
        <w:t>miglustat</w:t>
      </w:r>
      <w:proofErr w:type="spellEnd"/>
      <w:r w:rsidRPr="0066084B">
        <w:t xml:space="preserve"> group</w:t>
      </w:r>
      <w:r>
        <w:rPr>
          <w:lang w:eastAsia="ja-JP"/>
        </w:rPr>
        <w:t xml:space="preserve"> and in 2.6% of subjects in the </w:t>
      </w:r>
      <w:proofErr w:type="spellStart"/>
      <w:r>
        <w:rPr>
          <w:lang w:eastAsia="ja-JP"/>
        </w:rPr>
        <w:t>alglucosidase</w:t>
      </w:r>
      <w:proofErr w:type="spellEnd"/>
      <w:r>
        <w:rPr>
          <w:lang w:eastAsia="ja-JP"/>
        </w:rPr>
        <w:t xml:space="preserve"> alfa/placebo group, but only 1 SAE in the </w:t>
      </w:r>
      <w:proofErr w:type="spellStart"/>
      <w:r w:rsidRPr="00053B16">
        <w:t>cipaglucosidase</w:t>
      </w:r>
      <w:proofErr w:type="spellEnd"/>
      <w:r w:rsidRPr="00053B16">
        <w:t xml:space="preserve"> alfa/</w:t>
      </w:r>
      <w:proofErr w:type="spellStart"/>
      <w:r w:rsidRPr="0066084B">
        <w:t>miglustat</w:t>
      </w:r>
      <w:proofErr w:type="spellEnd"/>
      <w:r w:rsidRPr="0066084B">
        <w:t xml:space="preserve"> group</w:t>
      </w:r>
      <w:r>
        <w:rPr>
          <w:lang w:eastAsia="ja-JP"/>
        </w:rPr>
        <w:t xml:space="preserve"> (anaphylactoid reaction) was assessed as related to study treatment.</w:t>
      </w:r>
    </w:p>
    <w:p w14:paraId="019932B6" w14:textId="4C49D73B" w:rsidR="00FD2B82" w:rsidRDefault="00FD2B82" w:rsidP="00127DF6">
      <w:pPr>
        <w:pStyle w:val="TableTitle"/>
      </w:pPr>
      <w:bookmarkStart w:id="65" w:name="_Ref175814781"/>
      <w:r>
        <w:lastRenderedPageBreak/>
        <w:t xml:space="preserve">Table </w:t>
      </w:r>
      <w:r>
        <w:fldChar w:fldCharType="begin"/>
      </w:r>
      <w:r>
        <w:instrText xml:space="preserve"> SEQ Table \* ARABIC </w:instrText>
      </w:r>
      <w:r>
        <w:fldChar w:fldCharType="separate"/>
      </w:r>
      <w:r>
        <w:rPr>
          <w:noProof/>
        </w:rPr>
        <w:t>12</w:t>
      </w:r>
      <w:r>
        <w:rPr>
          <w:noProof/>
        </w:rPr>
        <w:fldChar w:fldCharType="end"/>
      </w:r>
      <w:bookmarkEnd w:id="65"/>
      <w:r w:rsidR="004164B6">
        <w:t>:</w:t>
      </w:r>
      <w:r>
        <w:t xml:space="preserve"> Overall Summary of </w:t>
      </w:r>
      <w:r w:rsidR="00C06348" w:rsidRPr="00127DF6">
        <w:t>treatment</w:t>
      </w:r>
      <w:r w:rsidR="00C06348" w:rsidRPr="00C06348">
        <w:t xml:space="preserve">-emergent adverse event </w:t>
      </w:r>
      <w:r w:rsidR="00C06348">
        <w:t>(</w:t>
      </w:r>
      <w:r>
        <w:t>TEAEs</w:t>
      </w:r>
      <w:r w:rsidR="00C06348">
        <w:t>)</w:t>
      </w:r>
      <w:r>
        <w:t xml:space="preserve"> (Safety Population)</w:t>
      </w:r>
    </w:p>
    <w:p w14:paraId="4FD24784" w14:textId="77777777" w:rsidR="00DA1244" w:rsidRDefault="00FD2B82" w:rsidP="00DA1244">
      <w:r>
        <w:rPr>
          <w:noProof/>
        </w:rPr>
        <w:drawing>
          <wp:inline distT="0" distB="0" distL="0" distR="0" wp14:anchorId="2D16ADBC" wp14:editId="6B207CB8">
            <wp:extent cx="5731510" cy="2978785"/>
            <wp:effectExtent l="0" t="0" r="2540" b="0"/>
            <wp:docPr id="1059933351" name="Picture 1" descr="Table 12: Overall Summary of treatment-emergent adverse event (TEAEs)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933351" name="Picture 1" descr="Table 12: Overall Summary of treatment-emergent adverse event (TEAEs) (Safety Population)"/>
                    <pic:cNvPicPr/>
                  </pic:nvPicPr>
                  <pic:blipFill>
                    <a:blip r:embed="rId34"/>
                    <a:stretch>
                      <a:fillRect/>
                    </a:stretch>
                  </pic:blipFill>
                  <pic:spPr>
                    <a:xfrm>
                      <a:off x="0" y="0"/>
                      <a:ext cx="5731510" cy="2978785"/>
                    </a:xfrm>
                    <a:prstGeom prst="rect">
                      <a:avLst/>
                    </a:prstGeom>
                  </pic:spPr>
                </pic:pic>
              </a:graphicData>
            </a:graphic>
          </wp:inline>
        </w:drawing>
      </w:r>
    </w:p>
    <w:p w14:paraId="118387E0" w14:textId="1CAB710B" w:rsidR="00FD2B82" w:rsidRDefault="00FD2B82" w:rsidP="00127DF6">
      <w:pPr>
        <w:pStyle w:val="TableTitle"/>
      </w:pPr>
      <w:bookmarkStart w:id="66" w:name="_Ref175815526"/>
      <w:r>
        <w:t xml:space="preserve">Table </w:t>
      </w:r>
      <w:r>
        <w:fldChar w:fldCharType="begin"/>
      </w:r>
      <w:r>
        <w:instrText xml:space="preserve"> SEQ Table \* ARABIC </w:instrText>
      </w:r>
      <w:r>
        <w:fldChar w:fldCharType="separate"/>
      </w:r>
      <w:r>
        <w:rPr>
          <w:noProof/>
        </w:rPr>
        <w:t>13</w:t>
      </w:r>
      <w:r>
        <w:rPr>
          <w:noProof/>
        </w:rPr>
        <w:fldChar w:fldCharType="end"/>
      </w:r>
      <w:bookmarkEnd w:id="66"/>
      <w:r w:rsidR="004164B6">
        <w:t>:</w:t>
      </w:r>
      <w:r>
        <w:t xml:space="preserve"> </w:t>
      </w:r>
      <w:r w:rsidRPr="0066084B">
        <w:t>Study ATB200-03: Incidence of TEAEs ≥ 10% Subjects (in any Group) by PT - Safety Population</w:t>
      </w:r>
    </w:p>
    <w:p w14:paraId="2821531F" w14:textId="77777777" w:rsidR="00DA1244" w:rsidRDefault="00FD2B82" w:rsidP="00DA1244">
      <w:r>
        <w:rPr>
          <w:noProof/>
        </w:rPr>
        <w:drawing>
          <wp:inline distT="0" distB="0" distL="0" distR="0" wp14:anchorId="438CFF9E" wp14:editId="596D1635">
            <wp:extent cx="5667375" cy="3019425"/>
            <wp:effectExtent l="0" t="0" r="9525" b="9525"/>
            <wp:docPr id="1405418012" name="Picture 1" descr="Table 13: Study ATB200-03: Incidence of TEAEs ≥ 10% Subjects (in any Group) by PT -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418012" name="Picture 1" descr="Table 13: Study ATB200-03: Incidence of TEAEs ≥ 10% Subjects (in any Group) by PT - Safety Population"/>
                    <pic:cNvPicPr/>
                  </pic:nvPicPr>
                  <pic:blipFill>
                    <a:blip r:embed="rId35"/>
                    <a:stretch>
                      <a:fillRect/>
                    </a:stretch>
                  </pic:blipFill>
                  <pic:spPr>
                    <a:xfrm>
                      <a:off x="0" y="0"/>
                      <a:ext cx="5667375" cy="3019425"/>
                    </a:xfrm>
                    <a:prstGeom prst="rect">
                      <a:avLst/>
                    </a:prstGeom>
                  </pic:spPr>
                </pic:pic>
              </a:graphicData>
            </a:graphic>
          </wp:inline>
        </w:drawing>
      </w:r>
      <w:r>
        <w:rPr>
          <w:noProof/>
        </w:rPr>
        <w:drawing>
          <wp:inline distT="0" distB="0" distL="0" distR="0" wp14:anchorId="44C9C9F0" wp14:editId="52D48689">
            <wp:extent cx="5676900" cy="444691"/>
            <wp:effectExtent l="0" t="0" r="0" b="0"/>
            <wp:docPr id="1371350715" name="Picture 1" descr="Table 13: Study ATB200-03: Incidence of TEAEs ≥ 10% Subjects (in any Group) by PT -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350715" name="Picture 1" descr="Table 13: Study ATB200-03: Incidence of TEAEs ≥ 10% Subjects (in any Group) by PT - Safety Population"/>
                    <pic:cNvPicPr/>
                  </pic:nvPicPr>
                  <pic:blipFill>
                    <a:blip r:embed="rId36"/>
                    <a:stretch>
                      <a:fillRect/>
                    </a:stretch>
                  </pic:blipFill>
                  <pic:spPr>
                    <a:xfrm>
                      <a:off x="0" y="0"/>
                      <a:ext cx="5680348" cy="444961"/>
                    </a:xfrm>
                    <a:prstGeom prst="rect">
                      <a:avLst/>
                    </a:prstGeom>
                  </pic:spPr>
                </pic:pic>
              </a:graphicData>
            </a:graphic>
          </wp:inline>
        </w:drawing>
      </w:r>
    </w:p>
    <w:p w14:paraId="70A1C639" w14:textId="06A29667" w:rsidR="00FD2B82" w:rsidRDefault="00FD2B82" w:rsidP="00DA1244">
      <w:pPr>
        <w:rPr>
          <w:lang w:eastAsia="ja-JP"/>
        </w:rPr>
      </w:pPr>
      <w:r>
        <w:t>Adverse events of special interest (AESI) included anaphylactic reaction and hypersensitivity, and IARs.</w:t>
      </w:r>
      <w:r w:rsidR="00127DF6">
        <w:t xml:space="preserve"> </w:t>
      </w:r>
      <w:r w:rsidRPr="00403CD9">
        <w:rPr>
          <w:lang w:eastAsia="ja-JP"/>
        </w:rPr>
        <w:t>IARs were defined as adverse</w:t>
      </w:r>
      <w:r>
        <w:rPr>
          <w:lang w:eastAsia="ja-JP"/>
        </w:rPr>
        <w:t xml:space="preserve"> reactions occurring during or within hours following </w:t>
      </w:r>
      <w:r w:rsidR="004164B6">
        <w:rPr>
          <w:lang w:eastAsia="ja-JP"/>
        </w:rPr>
        <w:t>infusion and</w:t>
      </w:r>
      <w:r>
        <w:rPr>
          <w:lang w:eastAsia="ja-JP"/>
        </w:rPr>
        <w:t xml:space="preserve"> could include life-threatening anaphylaxis or other severe allergic responses.</w:t>
      </w:r>
    </w:p>
    <w:p w14:paraId="093E61D6" w14:textId="58FB096F" w:rsidR="00FD2B82" w:rsidRDefault="00FD2B82" w:rsidP="00DA1244">
      <w:r>
        <w:rPr>
          <w:lang w:eastAsia="ja-JP"/>
        </w:rPr>
        <w:t>H</w:t>
      </w:r>
      <w:r w:rsidRPr="00403CD9">
        <w:t>ypersensitivity</w:t>
      </w:r>
      <w:r>
        <w:t>/</w:t>
      </w:r>
      <w:r w:rsidRPr="00403CD9">
        <w:t xml:space="preserve">anaphylactic reaction TEAEs </w:t>
      </w:r>
      <w:r>
        <w:t xml:space="preserve">were reported in </w:t>
      </w:r>
      <w:r w:rsidRPr="00403CD9">
        <w:t xml:space="preserve">25.9% of </w:t>
      </w:r>
      <w:proofErr w:type="spellStart"/>
      <w:r w:rsidRPr="00403CD9">
        <w:t>cipaglucosidase</w:t>
      </w:r>
      <w:proofErr w:type="spellEnd"/>
      <w:r w:rsidRPr="00403CD9">
        <w:t xml:space="preserve"> alfa/</w:t>
      </w:r>
      <w:proofErr w:type="spellStart"/>
      <w:r w:rsidRPr="00403CD9">
        <w:t>miglustat</w:t>
      </w:r>
      <w:proofErr w:type="spellEnd"/>
      <w:r w:rsidRPr="00403CD9">
        <w:t xml:space="preserve"> subjects and 39.5% of </w:t>
      </w:r>
      <w:proofErr w:type="spellStart"/>
      <w:r w:rsidRPr="00403CD9">
        <w:t>alglucosidase</w:t>
      </w:r>
      <w:proofErr w:type="spellEnd"/>
      <w:r w:rsidRPr="00403CD9">
        <w:t xml:space="preserve"> alfa</w:t>
      </w:r>
      <w:r>
        <w:t>/placebo</w:t>
      </w:r>
      <w:r w:rsidRPr="00403CD9">
        <w:t xml:space="preserve"> subjects.</w:t>
      </w:r>
      <w:r w:rsidR="00127DF6">
        <w:t xml:space="preserve"> </w:t>
      </w:r>
      <w:r>
        <w:t xml:space="preserve">The proportion of </w:t>
      </w:r>
      <w:proofErr w:type="spellStart"/>
      <w:r>
        <w:t>cipaglucosidase</w:t>
      </w:r>
      <w:proofErr w:type="spellEnd"/>
      <w:r>
        <w:t xml:space="preserve"> alfa/</w:t>
      </w:r>
      <w:proofErr w:type="spellStart"/>
      <w:r>
        <w:t>miglustat</w:t>
      </w:r>
      <w:proofErr w:type="spellEnd"/>
      <w:r>
        <w:t xml:space="preserve">-treated subjects who experienced hypersensitivity/anaphylactic reaction TEAEs was similar between ERT-experienced </w:t>
      </w:r>
      <w:r w:rsidRPr="005A06C5">
        <w:t>(</w:t>
      </w:r>
      <w:r>
        <w:t>24</w:t>
      </w:r>
      <w:r w:rsidRPr="005A06C5">
        <w:t>.</w:t>
      </w:r>
      <w:r>
        <w:t>6</w:t>
      </w:r>
      <w:r w:rsidRPr="005A06C5">
        <w:t>%</w:t>
      </w:r>
      <w:r>
        <w:t>)</w:t>
      </w:r>
      <w:r w:rsidRPr="005A06C5">
        <w:t xml:space="preserve"> </w:t>
      </w:r>
      <w:r>
        <w:t>and ERT-naïve subjects</w:t>
      </w:r>
      <w:r w:rsidRPr="005A06C5">
        <w:t xml:space="preserve"> </w:t>
      </w:r>
      <w:r>
        <w:t>(30</w:t>
      </w:r>
      <w:r w:rsidRPr="005A06C5">
        <w:t>.</w:t>
      </w:r>
      <w:r>
        <w:t>0</w:t>
      </w:r>
      <w:r w:rsidRPr="005A06C5">
        <w:t>%</w:t>
      </w:r>
      <w:r>
        <w:t>)</w:t>
      </w:r>
      <w:r w:rsidRPr="005A06C5">
        <w:t>.</w:t>
      </w:r>
      <w:r w:rsidR="00127DF6">
        <w:t xml:space="preserve"> </w:t>
      </w:r>
      <w:r w:rsidRPr="00403CD9">
        <w:t>The most frequent</w:t>
      </w:r>
      <w:r>
        <w:t xml:space="preserve"> events by PT were dyspnoea (7.1%), cough (4.7%), and conjunctivitis, flushing, mouth ulceration, pruritus, and rash (2.4% each).</w:t>
      </w:r>
      <w:r w:rsidR="00127DF6">
        <w:t xml:space="preserve"> </w:t>
      </w:r>
      <w:r w:rsidRPr="00BE7A77">
        <w:t>Most of the hypersensitivity/anaphylactic reaction TEAEs were no</w:t>
      </w:r>
      <w:r>
        <w:t>n-serious</w:t>
      </w:r>
      <w:r w:rsidRPr="00BE7A77">
        <w:t xml:space="preserve"> and did not lead to discontinuation of study drug</w:t>
      </w:r>
      <w:r>
        <w:t>, but o</w:t>
      </w:r>
      <w:r w:rsidRPr="00BE7A77">
        <w:t>ne</w:t>
      </w:r>
      <w:r>
        <w:t xml:space="preserve"> </w:t>
      </w:r>
      <w:proofErr w:type="spellStart"/>
      <w:r w:rsidRPr="00BE7A77">
        <w:t>cipaglucosidase</w:t>
      </w:r>
      <w:proofErr w:type="spellEnd"/>
      <w:r w:rsidRPr="00BE7A77">
        <w:t xml:space="preserve"> alfa/</w:t>
      </w:r>
      <w:proofErr w:type="spellStart"/>
      <w:r w:rsidRPr="00BE7A77">
        <w:t>miglustat</w:t>
      </w:r>
      <w:proofErr w:type="spellEnd"/>
      <w:r w:rsidRPr="00BE7A77">
        <w:t>-treated subject experienced a serious anaphylactic reaction TEAE that led to discontinuation of study drug</w:t>
      </w:r>
      <w:r>
        <w:t xml:space="preserve"> (withdrawal of subject consent)</w:t>
      </w:r>
      <w:r w:rsidRPr="00BE7A77">
        <w:t>.</w:t>
      </w:r>
    </w:p>
    <w:p w14:paraId="393BFC39" w14:textId="6C530CBC" w:rsidR="00FD2B82" w:rsidRDefault="00FD2B82" w:rsidP="008111C1">
      <w:r w:rsidRPr="00403CD9">
        <w:t>Across both treatment groups, 128</w:t>
      </w:r>
      <w:r w:rsidR="00C4701C" w:rsidRPr="00C4701C">
        <w:t xml:space="preserve"> </w:t>
      </w:r>
      <w:r w:rsidR="00C4701C">
        <w:t>i</w:t>
      </w:r>
      <w:r w:rsidR="00C4701C" w:rsidRPr="00C4701C">
        <w:t>nfusion-associated reaction</w:t>
      </w:r>
      <w:r w:rsidRPr="00403CD9">
        <w:t xml:space="preserve"> </w:t>
      </w:r>
      <w:r w:rsidR="00C4701C">
        <w:t>(</w:t>
      </w:r>
      <w:r w:rsidRPr="00403CD9">
        <w:t>IARs</w:t>
      </w:r>
      <w:r w:rsidR="00C4701C">
        <w:t>)</w:t>
      </w:r>
      <w:r w:rsidRPr="00403CD9">
        <w:t xml:space="preserve"> were reported in 31 subjects, and the incidence of IARs was similar between the </w:t>
      </w:r>
      <w:proofErr w:type="spellStart"/>
      <w:r w:rsidRPr="00403CD9">
        <w:t>cipaglucosidase</w:t>
      </w:r>
      <w:proofErr w:type="spellEnd"/>
      <w:r w:rsidRPr="00403CD9">
        <w:t xml:space="preserve"> alfa/</w:t>
      </w:r>
      <w:proofErr w:type="spellStart"/>
      <w:r w:rsidRPr="00403CD9">
        <w:t>miglustat</w:t>
      </w:r>
      <w:proofErr w:type="spellEnd"/>
      <w:r w:rsidRPr="00403CD9">
        <w:t xml:space="preserve"> and </w:t>
      </w:r>
      <w:proofErr w:type="spellStart"/>
      <w:r w:rsidRPr="00403CD9">
        <w:t>alglucosidase</w:t>
      </w:r>
      <w:proofErr w:type="spellEnd"/>
      <w:r w:rsidRPr="00403CD9">
        <w:t xml:space="preserve"> alfa groups</w:t>
      </w:r>
      <w:r>
        <w:t xml:space="preserve"> (</w:t>
      </w:r>
      <w:r>
        <w:fldChar w:fldCharType="begin"/>
      </w:r>
      <w:r>
        <w:instrText xml:space="preserve"> REF _Ref181282813 \h </w:instrText>
      </w:r>
      <w:r w:rsidR="008111C1">
        <w:instrText xml:space="preserve"> \* MERGEFORMAT </w:instrText>
      </w:r>
      <w:r>
        <w:fldChar w:fldCharType="separate"/>
      </w:r>
      <w:r>
        <w:t xml:space="preserve">Table </w:t>
      </w:r>
      <w:r>
        <w:rPr>
          <w:noProof/>
        </w:rPr>
        <w:t>14</w:t>
      </w:r>
      <w:r>
        <w:fldChar w:fldCharType="end"/>
      </w:r>
      <w:r>
        <w:t>)</w:t>
      </w:r>
      <w:r w:rsidRPr="00403CD9">
        <w:t>.</w:t>
      </w:r>
      <w:r w:rsidR="00127DF6">
        <w:t xml:space="preserve"> </w:t>
      </w:r>
      <w:r w:rsidRPr="00403CD9">
        <w:t>The mean time to onset was similar between the treatment groups (8.0 weeks and 7.2 weeks, respectively).</w:t>
      </w:r>
      <w:r w:rsidR="00127DF6">
        <w:t xml:space="preserve"> </w:t>
      </w:r>
      <w:r w:rsidRPr="00465338">
        <w:t xml:space="preserve">IARs were experienced by </w:t>
      </w:r>
      <w:r>
        <w:t xml:space="preserve">similar </w:t>
      </w:r>
      <w:r w:rsidRPr="00465338">
        <w:t>proportion</w:t>
      </w:r>
      <w:r>
        <w:t>s</w:t>
      </w:r>
      <w:r w:rsidRPr="00465338">
        <w:t xml:space="preserve"> of ERT-naïve subjects </w:t>
      </w:r>
      <w:r>
        <w:t xml:space="preserve">and </w:t>
      </w:r>
      <w:r w:rsidRPr="00465338">
        <w:t>ERT-experienced subjects (</w:t>
      </w:r>
      <w:r>
        <w:t>25</w:t>
      </w:r>
      <w:r w:rsidRPr="00465338">
        <w:t>.</w:t>
      </w:r>
      <w:r>
        <w:t>0</w:t>
      </w:r>
      <w:r w:rsidRPr="00465338">
        <w:t xml:space="preserve">% versus </w:t>
      </w:r>
      <w:r>
        <w:t>24</w:t>
      </w:r>
      <w:r w:rsidRPr="00465338">
        <w:t>.</w:t>
      </w:r>
      <w:r>
        <w:t>6</w:t>
      </w:r>
      <w:r w:rsidRPr="00465338">
        <w:t>%, respectively).</w:t>
      </w:r>
      <w:r w:rsidR="00127DF6">
        <w:t xml:space="preserve"> </w:t>
      </w:r>
      <w:r w:rsidRPr="00403CD9">
        <w:t>Most subjects who experienced IAR-TEAEs had 1-3 events.</w:t>
      </w:r>
      <w:r w:rsidR="00127DF6">
        <w:t xml:space="preserve"> </w:t>
      </w:r>
      <w:r w:rsidRPr="00403CD9">
        <w:t xml:space="preserve">Overall, 2.7% of all infusions in the </w:t>
      </w:r>
      <w:proofErr w:type="spellStart"/>
      <w:r w:rsidRPr="00403CD9">
        <w:t>cipaglucosidase</w:t>
      </w:r>
      <w:proofErr w:type="spellEnd"/>
      <w:r w:rsidRPr="00403CD9">
        <w:t xml:space="preserve"> alfa/</w:t>
      </w:r>
      <w:proofErr w:type="spellStart"/>
      <w:r w:rsidRPr="00403CD9">
        <w:t>miglustat</w:t>
      </w:r>
      <w:proofErr w:type="spellEnd"/>
      <w:r>
        <w:t xml:space="preserve"> group and 2.8% of all infusions in the </w:t>
      </w:r>
      <w:proofErr w:type="spellStart"/>
      <w:r>
        <w:t>alglucosidase</w:t>
      </w:r>
      <w:proofErr w:type="spellEnd"/>
      <w:r>
        <w:t xml:space="preserve"> alfa/placebo group were associated with 1 or more IAR-TEAEs.</w:t>
      </w:r>
      <w:r w:rsidR="00127DF6">
        <w:t xml:space="preserve"> </w:t>
      </w:r>
      <w:r>
        <w:t xml:space="preserve">Analyses of immunogenicity markers indicated no clear association between </w:t>
      </w:r>
      <w:r w:rsidRPr="00ED5549">
        <w:t xml:space="preserve">hypersensitivity/anaphylaxis AEs or IARs and the presence or absence of total ADA, </w:t>
      </w:r>
      <w:proofErr w:type="spellStart"/>
      <w:r>
        <w:t>NAb</w:t>
      </w:r>
      <w:r w:rsidRPr="00ED5549">
        <w:t>s</w:t>
      </w:r>
      <w:proofErr w:type="spellEnd"/>
      <w:r w:rsidRPr="00ED5549">
        <w:t xml:space="preserve">, antibodies cross-reactive to </w:t>
      </w:r>
      <w:proofErr w:type="spellStart"/>
      <w:r w:rsidRPr="00ED5549">
        <w:t>alglucosidase</w:t>
      </w:r>
      <w:proofErr w:type="spellEnd"/>
      <w:r w:rsidRPr="00ED5549">
        <w:t xml:space="preserve"> alfa, anti-</w:t>
      </w:r>
      <w:proofErr w:type="spellStart"/>
      <w:r w:rsidRPr="00ED5549">
        <w:t>rhGAA</w:t>
      </w:r>
      <w:proofErr w:type="spellEnd"/>
      <w:r w:rsidRPr="00ED5549">
        <w:t xml:space="preserve"> </w:t>
      </w:r>
      <w:proofErr w:type="spellStart"/>
      <w:r w:rsidRPr="00ED5549">
        <w:t>IgE</w:t>
      </w:r>
      <w:proofErr w:type="spellEnd"/>
      <w:r w:rsidRPr="00ED5549">
        <w:t>, and ADA titr</w:t>
      </w:r>
      <w:r>
        <w:t>e</w:t>
      </w:r>
      <w:r w:rsidRPr="00ED5549">
        <w:t>s.</w:t>
      </w:r>
      <w:r w:rsidR="00127DF6">
        <w:t xml:space="preserve"> </w:t>
      </w:r>
    </w:p>
    <w:p w14:paraId="5518B35B" w14:textId="5581505B" w:rsidR="00FD2B82" w:rsidRDefault="00FD2B82" w:rsidP="00DA1244">
      <w:pPr>
        <w:pStyle w:val="TableTitle"/>
      </w:pPr>
      <w:bookmarkStart w:id="67" w:name="_Ref175820242"/>
      <w:bookmarkStart w:id="68" w:name="_Ref181282813"/>
      <w:r>
        <w:t xml:space="preserve">Table </w:t>
      </w:r>
      <w:r>
        <w:fldChar w:fldCharType="begin"/>
      </w:r>
      <w:r>
        <w:instrText xml:space="preserve"> SEQ Table \* ARABIC </w:instrText>
      </w:r>
      <w:r>
        <w:fldChar w:fldCharType="separate"/>
      </w:r>
      <w:r>
        <w:rPr>
          <w:noProof/>
        </w:rPr>
        <w:t>14</w:t>
      </w:r>
      <w:r>
        <w:rPr>
          <w:noProof/>
        </w:rPr>
        <w:fldChar w:fldCharType="end"/>
      </w:r>
      <w:bookmarkEnd w:id="67"/>
      <w:bookmarkEnd w:id="68"/>
      <w:r w:rsidR="004164B6">
        <w:t>:</w:t>
      </w:r>
      <w:r>
        <w:t xml:space="preserve"> Study ATB200-03: Overall Summary of TEAEs Reported to be IARs - Safety Population</w:t>
      </w:r>
    </w:p>
    <w:p w14:paraId="15D20371" w14:textId="77777777" w:rsidR="00DA1244" w:rsidRDefault="00FD2B82" w:rsidP="00DA1244">
      <w:r>
        <w:rPr>
          <w:noProof/>
        </w:rPr>
        <w:drawing>
          <wp:inline distT="0" distB="0" distL="0" distR="0" wp14:anchorId="2DCBDA68" wp14:editId="40967074">
            <wp:extent cx="5041196" cy="3409950"/>
            <wp:effectExtent l="0" t="0" r="7620" b="0"/>
            <wp:docPr id="58" name="Picture 58" descr="Table 14: Study ATB200-03: Overall Summary of TEAEs Reported to be IARs -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Table 14: Study ATB200-03: Overall Summary of TEAEs Reported to be IARs - Safety Population"/>
                    <pic:cNvPicPr/>
                  </pic:nvPicPr>
                  <pic:blipFill>
                    <a:blip r:embed="rId37"/>
                    <a:stretch>
                      <a:fillRect/>
                    </a:stretch>
                  </pic:blipFill>
                  <pic:spPr>
                    <a:xfrm>
                      <a:off x="0" y="0"/>
                      <a:ext cx="5048822" cy="3415108"/>
                    </a:xfrm>
                    <a:prstGeom prst="rect">
                      <a:avLst/>
                    </a:prstGeom>
                  </pic:spPr>
                </pic:pic>
              </a:graphicData>
            </a:graphic>
          </wp:inline>
        </w:drawing>
      </w:r>
    </w:p>
    <w:p w14:paraId="7F1799D0" w14:textId="4A955EA8" w:rsidR="00FD2B82" w:rsidRDefault="00FD2B82" w:rsidP="00DA1244">
      <w:r>
        <w:t xml:space="preserve">Safety risks relevant to other ERT (MYOZYME, NEXVIAZYME) or </w:t>
      </w:r>
      <w:proofErr w:type="spellStart"/>
      <w:r>
        <w:t>miglustat</w:t>
      </w:r>
      <w:proofErr w:type="spellEnd"/>
      <w:r>
        <w:t>/</w:t>
      </w:r>
      <w:proofErr w:type="spellStart"/>
      <w:r w:rsidR="00623FDB">
        <w:t>Zavesca</w:t>
      </w:r>
      <w:proofErr w:type="spellEnd"/>
      <w:r>
        <w:t xml:space="preserve"> (</w:t>
      </w:r>
      <w:r w:rsidRPr="0021735A">
        <w:t>as treatment for type 1 Gaucher disease and Niemann-Pick type C disease at doses up to 200 mg TDS</w:t>
      </w:r>
      <w:r>
        <w:t>) were evaluated.</w:t>
      </w:r>
    </w:p>
    <w:p w14:paraId="4774C3FD" w14:textId="73DC2080" w:rsidR="00FD2B82" w:rsidRDefault="00FD2B82" w:rsidP="00DA1244">
      <w:r>
        <w:t xml:space="preserve">Immune complex-related reactions including necrotising skin lesions, severe inflammatory arthropathy, and proteinuria and nephrotic syndrome secondary to membranous glomerulonephritis have been observed with </w:t>
      </w:r>
      <w:proofErr w:type="spellStart"/>
      <w:r>
        <w:t>alglucosidase</w:t>
      </w:r>
      <w:proofErr w:type="spellEnd"/>
      <w:r>
        <w:t xml:space="preserve"> alfa.</w:t>
      </w:r>
      <w:r w:rsidR="00127DF6">
        <w:t xml:space="preserve"> </w:t>
      </w:r>
      <w:r>
        <w:t xml:space="preserve">In Study ATB200-03, 30.6% of </w:t>
      </w:r>
      <w:proofErr w:type="spellStart"/>
      <w:r>
        <w:t>cipaglucosidase</w:t>
      </w:r>
      <w:proofErr w:type="spellEnd"/>
      <w:r>
        <w:t xml:space="preserve"> alfa/</w:t>
      </w:r>
      <w:proofErr w:type="spellStart"/>
      <w:r>
        <w:t>miglustat</w:t>
      </w:r>
      <w:proofErr w:type="spellEnd"/>
      <w:r>
        <w:t xml:space="preserve">-treated subjects experienced potential immune complex-related reaction TEAEs compared to 31.6% of </w:t>
      </w:r>
      <w:proofErr w:type="spellStart"/>
      <w:r>
        <w:t>alglucosidase</w:t>
      </w:r>
      <w:proofErr w:type="spellEnd"/>
      <w:r>
        <w:t xml:space="preserve"> alfa/placebo-treated subjects, based on the</w:t>
      </w:r>
      <w:r w:rsidR="00001CF2">
        <w:t xml:space="preserve"> </w:t>
      </w:r>
      <w:r w:rsidR="008111C1">
        <w:lastRenderedPageBreak/>
        <w:t>s</w:t>
      </w:r>
      <w:r>
        <w:t xml:space="preserve">elected </w:t>
      </w:r>
      <w:proofErr w:type="spellStart"/>
      <w:r>
        <w:t>PTs.</w:t>
      </w:r>
      <w:proofErr w:type="spellEnd"/>
      <w:r>
        <w:rPr>
          <w:rStyle w:val="FootnoteReference"/>
        </w:rPr>
        <w:footnoteReference w:id="12"/>
      </w:r>
      <w:r w:rsidR="00127DF6">
        <w:t xml:space="preserve"> </w:t>
      </w:r>
      <w:r>
        <w:t xml:space="preserve">The proportion of </w:t>
      </w:r>
      <w:proofErr w:type="spellStart"/>
      <w:r>
        <w:t>cipaglucosidase</w:t>
      </w:r>
      <w:proofErr w:type="spellEnd"/>
      <w:r>
        <w:t xml:space="preserve"> alfa/</w:t>
      </w:r>
      <w:proofErr w:type="spellStart"/>
      <w:r>
        <w:t>miglustat</w:t>
      </w:r>
      <w:proofErr w:type="spellEnd"/>
      <w:r>
        <w:t>-treated subjects who experienced potential immune complex-related reaction TEAEs was similar among ERT-experienced subjects (30.8%) compared to ERT-naïve subjects (30.0%).</w:t>
      </w:r>
      <w:r w:rsidR="00127DF6">
        <w:t xml:space="preserve"> </w:t>
      </w:r>
      <w:r>
        <w:t xml:space="preserve">Among </w:t>
      </w:r>
      <w:proofErr w:type="spellStart"/>
      <w:r>
        <w:t>cipaglucosidase</w:t>
      </w:r>
      <w:proofErr w:type="spellEnd"/>
      <w:r>
        <w:t xml:space="preserve"> alfa/</w:t>
      </w:r>
      <w:proofErr w:type="spellStart"/>
      <w:r>
        <w:t>miglustat</w:t>
      </w:r>
      <w:proofErr w:type="spellEnd"/>
      <w:r>
        <w:t>-treated subjects, the most frequent potential immune complex related reaction TEAEs by PT were myalgia (16.5%), arthralgia (15.3%), influenza-like illness (4.7%), and haematuria (3.5%).</w:t>
      </w:r>
      <w:r w:rsidR="00127DF6">
        <w:t xml:space="preserve"> </w:t>
      </w:r>
      <w:r>
        <w:t>Many of the events were non-specific and may be attributed to other medical conditions, including the underlying history of LOPD.</w:t>
      </w:r>
    </w:p>
    <w:p w14:paraId="658F8B76" w14:textId="0F7E439A" w:rsidR="00FD2B82" w:rsidRPr="0029540E" w:rsidRDefault="00FD2B82" w:rsidP="00DA1244">
      <w:r w:rsidRPr="0021735A">
        <w:t xml:space="preserve">Gastrointestinal disorders (including abdominal pain, diarrhoea, nausea, retching, vomiting) are known safety risks with ERT and </w:t>
      </w:r>
      <w:proofErr w:type="spellStart"/>
      <w:r w:rsidR="00623FDB">
        <w:t>Zavesca</w:t>
      </w:r>
      <w:proofErr w:type="spellEnd"/>
      <w:r w:rsidRPr="0021735A">
        <w:t>.</w:t>
      </w:r>
      <w:r w:rsidR="00127DF6">
        <w:t xml:space="preserve"> </w:t>
      </w:r>
      <w:r w:rsidRPr="0021735A">
        <w:t xml:space="preserve">In Study ATB200-03, 32.9% of </w:t>
      </w:r>
      <w:proofErr w:type="spellStart"/>
      <w:r w:rsidRPr="0021735A">
        <w:t>cipaglucosidase</w:t>
      </w:r>
      <w:proofErr w:type="spellEnd"/>
      <w:r w:rsidRPr="0021735A">
        <w:t xml:space="preserve"> alfa/</w:t>
      </w:r>
      <w:proofErr w:type="spellStart"/>
      <w:r w:rsidRPr="0021735A">
        <w:t>miglustat</w:t>
      </w:r>
      <w:proofErr w:type="spellEnd"/>
      <w:r w:rsidRPr="0021735A">
        <w:t xml:space="preserve">-treated subjects experienced gastrointestinal disorder TEAEs </w:t>
      </w:r>
      <w:r>
        <w:t xml:space="preserve">compared to 44.7% of </w:t>
      </w:r>
      <w:proofErr w:type="spellStart"/>
      <w:r>
        <w:t>alglucosidase</w:t>
      </w:r>
      <w:proofErr w:type="spellEnd"/>
      <w:r>
        <w:t xml:space="preserve"> alfa/placebo-treated subjects.</w:t>
      </w:r>
      <w:r w:rsidR="00127DF6">
        <w:t xml:space="preserve"> </w:t>
      </w:r>
      <w:r>
        <w:t xml:space="preserve">Gastrointestinal disorder TEAEs occurring with a higher frequency in the </w:t>
      </w:r>
      <w:proofErr w:type="spellStart"/>
      <w:r>
        <w:t>cipaglucosidase</w:t>
      </w:r>
      <w:proofErr w:type="spellEnd"/>
      <w:r>
        <w:t xml:space="preserve"> alfa/</w:t>
      </w:r>
      <w:proofErr w:type="spellStart"/>
      <w:r>
        <w:t>miglustat</w:t>
      </w:r>
      <w:proofErr w:type="spellEnd"/>
      <w:r>
        <w:t xml:space="preserve"> group compared to the </w:t>
      </w:r>
      <w:proofErr w:type="spellStart"/>
      <w:r>
        <w:t>alglucosidase</w:t>
      </w:r>
      <w:proofErr w:type="spellEnd"/>
      <w:r>
        <w:t xml:space="preserve"> alfa/placebo group (more than 2% difference) included abdominal pain lower (2.4% versus 0.0%, respectively), diarrhoea (12.9% versus 10.5%, respectively), mouth ulceration (2.4% versus 0.0%, respectively), and vomiting (5.9% versus 2.6%, respectively).</w:t>
      </w:r>
      <w:r w:rsidR="00127DF6">
        <w:t xml:space="preserve"> </w:t>
      </w:r>
      <w:r>
        <w:t xml:space="preserve">The proportion of </w:t>
      </w:r>
      <w:proofErr w:type="spellStart"/>
      <w:r>
        <w:t>cipaglucosidase</w:t>
      </w:r>
      <w:proofErr w:type="spellEnd"/>
      <w:r>
        <w:t xml:space="preserve"> alfa/</w:t>
      </w:r>
      <w:proofErr w:type="spellStart"/>
      <w:r>
        <w:t>miglustat</w:t>
      </w:r>
      <w:proofErr w:type="spellEnd"/>
      <w:r>
        <w:t>-treated subjects who experienced gastrointestinal disorder TEAEs was lower for ERT-experienced subjects compared to ERT-naïve subjects (30.8% and 40.0%, respectively).</w:t>
      </w:r>
      <w:r w:rsidR="00127DF6">
        <w:t xml:space="preserve"> </w:t>
      </w:r>
      <w:r>
        <w:t>A</w:t>
      </w:r>
      <w:r w:rsidRPr="001A39FF">
        <w:t>bdominal distension, abdominal pain, abdominal pain lower, abdominal pain upper, diarrh</w:t>
      </w:r>
      <w:r>
        <w:t>o</w:t>
      </w:r>
      <w:r w:rsidRPr="001A39FF">
        <w:t xml:space="preserve">ea, dyspepsia, </w:t>
      </w:r>
      <w:r w:rsidRPr="00403CD9">
        <w:t>flatulence, nausea, and vomiting</w:t>
      </w:r>
      <w:r>
        <w:t xml:space="preserve"> have been classified</w:t>
      </w:r>
      <w:r w:rsidRPr="00403CD9">
        <w:t xml:space="preserve"> as adverse reactions for both </w:t>
      </w:r>
      <w:proofErr w:type="spellStart"/>
      <w:r w:rsidRPr="00403CD9">
        <w:t>cipaglucosidase</w:t>
      </w:r>
      <w:proofErr w:type="spellEnd"/>
      <w:r w:rsidRPr="00403CD9">
        <w:t xml:space="preserve"> alfa and </w:t>
      </w:r>
      <w:proofErr w:type="spellStart"/>
      <w:r w:rsidRPr="00403CD9">
        <w:t>miglustat</w:t>
      </w:r>
      <w:proofErr w:type="spellEnd"/>
      <w:r w:rsidRPr="00403CD9">
        <w:t xml:space="preserve">, </w:t>
      </w:r>
      <w:r>
        <w:t>and</w:t>
      </w:r>
      <w:r w:rsidRPr="00403CD9">
        <w:t xml:space="preserve"> constipation</w:t>
      </w:r>
      <w:r>
        <w:t xml:space="preserve"> has been classified</w:t>
      </w:r>
      <w:r w:rsidRPr="00403CD9">
        <w:t xml:space="preserve"> as an adverse reaction for </w:t>
      </w:r>
      <w:proofErr w:type="spellStart"/>
      <w:r w:rsidRPr="00403CD9">
        <w:t>miglustat</w:t>
      </w:r>
      <w:proofErr w:type="spellEnd"/>
      <w:r w:rsidRPr="00403CD9">
        <w:t xml:space="preserve"> only.</w:t>
      </w:r>
      <w:r w:rsidR="00127DF6">
        <w:t xml:space="preserve"> </w:t>
      </w:r>
      <w:r>
        <w:t xml:space="preserve">Based on the non-serious nature of gastrointestinal TEAEs observed and the different posology for </w:t>
      </w:r>
      <w:proofErr w:type="spellStart"/>
      <w:r w:rsidR="00623FDB">
        <w:t>Opfolda</w:t>
      </w:r>
      <w:proofErr w:type="spellEnd"/>
      <w:r>
        <w:t xml:space="preserve"> compared to </w:t>
      </w:r>
      <w:proofErr w:type="spellStart"/>
      <w:r w:rsidR="00623FDB">
        <w:t>Zavesca</w:t>
      </w:r>
      <w:proofErr w:type="spellEnd"/>
      <w:r>
        <w:t>, gastrointestinal disorders are not classified as an important safety risk.</w:t>
      </w:r>
    </w:p>
    <w:p w14:paraId="4EE623CE" w14:textId="118F859C" w:rsidR="00FD2B82" w:rsidRDefault="00FD2B82" w:rsidP="00DA1244">
      <w:r>
        <w:t xml:space="preserve">Tremor, peripheral neuropathy, and paraesthesia are known risks associated with </w:t>
      </w:r>
      <w:proofErr w:type="spellStart"/>
      <w:r w:rsidR="00623FDB">
        <w:t>Zavesca</w:t>
      </w:r>
      <w:proofErr w:type="spellEnd"/>
      <w:r w:rsidRPr="00742E3E">
        <w:t>.</w:t>
      </w:r>
      <w:r w:rsidR="00127DF6">
        <w:t xml:space="preserve"> </w:t>
      </w:r>
      <w:r w:rsidRPr="0021735A">
        <w:t>In Study ATB200-03,</w:t>
      </w:r>
      <w:r>
        <w:t xml:space="preserve"> </w:t>
      </w:r>
      <w:r w:rsidRPr="00403CD9">
        <w:t xml:space="preserve">2.4% </w:t>
      </w:r>
      <w:proofErr w:type="spellStart"/>
      <w:r w:rsidRPr="00403CD9">
        <w:t>cipaglucosidase</w:t>
      </w:r>
      <w:proofErr w:type="spellEnd"/>
      <w:r w:rsidRPr="00403CD9">
        <w:t xml:space="preserve"> alfa/</w:t>
      </w:r>
      <w:proofErr w:type="spellStart"/>
      <w:r w:rsidRPr="00403CD9">
        <w:t>miglustat</w:t>
      </w:r>
      <w:proofErr w:type="spellEnd"/>
      <w:r w:rsidRPr="00403CD9">
        <w:t xml:space="preserve">-treated subjects experienced tremor TEAEs </w:t>
      </w:r>
      <w:r>
        <w:t xml:space="preserve">(all </w:t>
      </w:r>
      <w:r w:rsidRPr="00403CD9">
        <w:t>occurring within the first 4 months of treatment</w:t>
      </w:r>
      <w:r>
        <w:t>)</w:t>
      </w:r>
      <w:r w:rsidRPr="00403CD9">
        <w:t xml:space="preserve"> compared to </w:t>
      </w:r>
      <w:r>
        <w:t>0% of</w:t>
      </w:r>
      <w:r w:rsidRPr="00403CD9">
        <w:t xml:space="preserve"> </w:t>
      </w:r>
      <w:proofErr w:type="spellStart"/>
      <w:r w:rsidRPr="00403CD9">
        <w:t>alglucosidase</w:t>
      </w:r>
      <w:proofErr w:type="spellEnd"/>
      <w:r w:rsidRPr="00403CD9">
        <w:t xml:space="preserve"> alfa/placebo-treated subjects.</w:t>
      </w:r>
      <w:r w:rsidR="00127DF6">
        <w:t xml:space="preserve"> </w:t>
      </w:r>
      <w:r>
        <w:t>All tremor TEAEs were assessed</w:t>
      </w:r>
      <w:r w:rsidRPr="00403CD9">
        <w:t xml:space="preserve"> as non</w:t>
      </w:r>
      <w:r>
        <w:t>-</w:t>
      </w:r>
      <w:r w:rsidRPr="00403CD9">
        <w:t>serious and mild</w:t>
      </w:r>
      <w:r>
        <w:t xml:space="preserve"> except for one event of </w:t>
      </w:r>
      <w:r w:rsidRPr="00403CD9">
        <w:t xml:space="preserve">moderate </w:t>
      </w:r>
      <w:r>
        <w:t>severity</w:t>
      </w:r>
      <w:r w:rsidRPr="00403CD9">
        <w:t>.</w:t>
      </w:r>
      <w:r w:rsidR="00127DF6">
        <w:t xml:space="preserve"> </w:t>
      </w:r>
      <w:r w:rsidRPr="00403CD9">
        <w:t xml:space="preserve">No peripheral neuropathy </w:t>
      </w:r>
      <w:r>
        <w:t xml:space="preserve">TEAEs </w:t>
      </w:r>
      <w:r w:rsidRPr="00403CD9">
        <w:t xml:space="preserve">were reported in the 151 subjects treated with </w:t>
      </w:r>
      <w:proofErr w:type="spellStart"/>
      <w:r w:rsidRPr="00403CD9">
        <w:t>cipaglucosidase</w:t>
      </w:r>
      <w:proofErr w:type="spellEnd"/>
      <w:r w:rsidRPr="00403CD9">
        <w:t xml:space="preserve"> alfa/</w:t>
      </w:r>
      <w:proofErr w:type="spellStart"/>
      <w:r w:rsidRPr="00403CD9">
        <w:t>miglustat</w:t>
      </w:r>
      <w:proofErr w:type="spellEnd"/>
      <w:r w:rsidRPr="00403CD9">
        <w:t xml:space="preserve"> in Pool 2.</w:t>
      </w:r>
      <w:r w:rsidR="00127DF6">
        <w:t xml:space="preserve"> </w:t>
      </w:r>
      <w:r>
        <w:t>Nine</w:t>
      </w:r>
      <w:r w:rsidRPr="00403CD9">
        <w:t xml:space="preserve"> paraesthesia TEAEs </w:t>
      </w:r>
      <w:r>
        <w:t xml:space="preserve">were reported in </w:t>
      </w:r>
      <w:r w:rsidRPr="00403CD9">
        <w:t xml:space="preserve">4/151 (2.6%) </w:t>
      </w:r>
      <w:r>
        <w:t xml:space="preserve">subjects </w:t>
      </w:r>
      <w:r w:rsidRPr="00403CD9">
        <w:t xml:space="preserve">treated with </w:t>
      </w:r>
      <w:proofErr w:type="spellStart"/>
      <w:r w:rsidRPr="00403CD9">
        <w:t>cipaglucosidase</w:t>
      </w:r>
      <w:proofErr w:type="spellEnd"/>
      <w:r w:rsidRPr="00403CD9">
        <w:t xml:space="preserve"> alfa/</w:t>
      </w:r>
      <w:proofErr w:type="spellStart"/>
      <w:r w:rsidRPr="00403CD9">
        <w:t>miglustat</w:t>
      </w:r>
      <w:proofErr w:type="spellEnd"/>
      <w:r w:rsidRPr="00403CD9">
        <w:t xml:space="preserve"> </w:t>
      </w:r>
      <w:r>
        <w:t>i</w:t>
      </w:r>
      <w:r w:rsidRPr="00403CD9">
        <w:t>n Pool 2</w:t>
      </w:r>
      <w:r>
        <w:t xml:space="preserve"> (</w:t>
      </w:r>
      <w:r w:rsidRPr="00403CD9">
        <w:t xml:space="preserve">1 </w:t>
      </w:r>
      <w:r>
        <w:t xml:space="preserve">subject </w:t>
      </w:r>
      <w:r w:rsidRPr="00403CD9">
        <w:t>in Study ATB200-02</w:t>
      </w:r>
      <w:r>
        <w:t xml:space="preserve">, </w:t>
      </w:r>
      <w:r w:rsidRPr="00403CD9">
        <w:t xml:space="preserve">and 3 in Study ATB200-07), all of which were mild and nonserious. One event </w:t>
      </w:r>
      <w:proofErr w:type="gramStart"/>
      <w:r w:rsidRPr="00403CD9">
        <w:t>was considered to be</w:t>
      </w:r>
      <w:proofErr w:type="gramEnd"/>
      <w:r w:rsidRPr="00403CD9">
        <w:t xml:space="preserve"> possibly related and 1 event </w:t>
      </w:r>
      <w:proofErr w:type="gramStart"/>
      <w:r w:rsidRPr="00403CD9">
        <w:t>was considered to be</w:t>
      </w:r>
      <w:proofErr w:type="gramEnd"/>
      <w:r w:rsidRPr="00403CD9">
        <w:t xml:space="preserve"> probably related to study treatment.</w:t>
      </w:r>
      <w:r w:rsidR="00127DF6">
        <w:t xml:space="preserve"> </w:t>
      </w:r>
      <w:r>
        <w:t>N</w:t>
      </w:r>
      <w:r w:rsidRPr="00403CD9">
        <w:t>o paraesthesia TEAEs</w:t>
      </w:r>
      <w:r>
        <w:t xml:space="preserve"> were reported in </w:t>
      </w:r>
      <w:r w:rsidRPr="00403CD9">
        <w:t>Study ATB200-0</w:t>
      </w:r>
      <w:r>
        <w:t>3.</w:t>
      </w:r>
      <w:r w:rsidR="00127DF6">
        <w:t xml:space="preserve"> </w:t>
      </w:r>
      <w:r>
        <w:t>Paraesthesia has been classified as an adverse drug reaction.</w:t>
      </w:r>
    </w:p>
    <w:p w14:paraId="6DF86BED" w14:textId="77777777" w:rsidR="00FD2B82" w:rsidRDefault="00FD2B82" w:rsidP="00FD2B82">
      <w:r>
        <w:t xml:space="preserve">No clinically meaningful safety concerns were identified with respect to </w:t>
      </w:r>
      <w:r w:rsidRPr="003C2652">
        <w:t xml:space="preserve">ECG parameters </w:t>
      </w:r>
      <w:r>
        <w:t>and laboratory parameters, including serum chemistry, haematology, and urinalysis.</w:t>
      </w:r>
    </w:p>
    <w:p w14:paraId="6E5157FC" w14:textId="4B093FDB" w:rsidR="00FD2B82" w:rsidRPr="00DA1244" w:rsidRDefault="00FD2B82" w:rsidP="00FD2B82">
      <w:r>
        <w:t xml:space="preserve">One pregnancy was reported in Study ATB200-03 in a woman in the </w:t>
      </w:r>
      <w:proofErr w:type="spellStart"/>
      <w:r w:rsidRPr="00053B16">
        <w:t>cipaglucosidase</w:t>
      </w:r>
      <w:proofErr w:type="spellEnd"/>
      <w:r w:rsidRPr="00053B16">
        <w:t xml:space="preserve"> alfa/</w:t>
      </w:r>
      <w:proofErr w:type="spellStart"/>
      <w:r w:rsidRPr="0066084B">
        <w:t>miglustat</w:t>
      </w:r>
      <w:proofErr w:type="spellEnd"/>
      <w:r w:rsidRPr="0066084B">
        <w:t xml:space="preserve"> </w:t>
      </w:r>
      <w:r>
        <w:t>group.</w:t>
      </w:r>
      <w:r w:rsidR="00127DF6">
        <w:t xml:space="preserve"> </w:t>
      </w:r>
      <w:r>
        <w:t>It was detected by urine pregnancy test administered according to the protocol on Day 72, and the subject scheduled an elective abortion.</w:t>
      </w:r>
    </w:p>
    <w:p w14:paraId="41A9462C" w14:textId="06EF486E" w:rsidR="00FD2B82" w:rsidRDefault="00FD2B82" w:rsidP="00001CF2">
      <w:r>
        <w:rPr>
          <w:lang w:eastAsia="ja-JP"/>
        </w:rPr>
        <w:t>Subgroup analyses for a</w:t>
      </w:r>
      <w:r>
        <w:t>ge, sex, race, and ERT status were limited by small numbers, but did not raise meaningful safety concerns between subgroups.</w:t>
      </w:r>
    </w:p>
    <w:p w14:paraId="15F5E7EB" w14:textId="237D0B5F" w:rsidR="00FD2B82" w:rsidRPr="00001CF2" w:rsidRDefault="00FD2B82" w:rsidP="00DA1244">
      <w:r>
        <w:t xml:space="preserve">Post-market safety updates included two </w:t>
      </w:r>
      <w:r w:rsidRPr="0063293F">
        <w:rPr>
          <w:rFonts w:asciiTheme="minorHAnsi" w:hAnsiTheme="minorHAnsi"/>
        </w:rPr>
        <w:t>semi-</w:t>
      </w:r>
      <w:r w:rsidRPr="00001CF2">
        <w:t xml:space="preserve">annual Periodic Benefit-Risk Evaluation Reports (PBRERs) which were prepared for </w:t>
      </w:r>
      <w:proofErr w:type="spellStart"/>
      <w:r w:rsidRPr="00001CF2">
        <w:t>cipaglucosidase</w:t>
      </w:r>
      <w:proofErr w:type="spellEnd"/>
      <w:r w:rsidRPr="00001CF2">
        <w:t xml:space="preserve"> alfa and </w:t>
      </w:r>
      <w:proofErr w:type="spellStart"/>
      <w:r w:rsidRPr="00001CF2">
        <w:t>miglustat</w:t>
      </w:r>
      <w:proofErr w:type="spellEnd"/>
      <w:r w:rsidRPr="00001CF2">
        <w:t xml:space="preserve"> in accordance with regulatory requirements in the EU.</w:t>
      </w:r>
      <w:r w:rsidR="00127DF6">
        <w:t xml:space="preserve"> </w:t>
      </w:r>
      <w:r w:rsidRPr="00001CF2">
        <w:t xml:space="preserve">Cumulatively (through 19 March 2024), two serious cases </w:t>
      </w:r>
      <w:r w:rsidRPr="00001CF2">
        <w:lastRenderedPageBreak/>
        <w:t>(both IARs) were reported from post-marketing experience – 1 case of Urticaria and 1 case of Anaphylaxis.</w:t>
      </w:r>
      <w:r w:rsidR="00127DF6">
        <w:t xml:space="preserve"> </w:t>
      </w:r>
      <w:r w:rsidRPr="00001CF2">
        <w:t>These reactions are expected ADRs for both products (</w:t>
      </w:r>
      <w:proofErr w:type="spellStart"/>
      <w:r w:rsidR="00623FDB" w:rsidRPr="00001CF2">
        <w:t>Pombiliti</w:t>
      </w:r>
      <w:proofErr w:type="spellEnd"/>
      <w:r w:rsidRPr="00001CF2">
        <w:t xml:space="preserve"> and </w:t>
      </w:r>
      <w:proofErr w:type="spellStart"/>
      <w:r w:rsidR="00623FDB" w:rsidRPr="00001CF2">
        <w:t>Opfolda</w:t>
      </w:r>
      <w:proofErr w:type="spellEnd"/>
      <w:r w:rsidRPr="00001CF2">
        <w:t>).</w:t>
      </w:r>
      <w:r w:rsidR="00127DF6">
        <w:t xml:space="preserve"> </w:t>
      </w:r>
      <w:r w:rsidRPr="00001CF2">
        <w:t>Reported non-serious IARs included urticaria, swollen tongue, and rash pruritic, which are known risks.</w:t>
      </w:r>
      <w:r w:rsidR="00127DF6">
        <w:t xml:space="preserve"> </w:t>
      </w:r>
      <w:r w:rsidRPr="00001CF2">
        <w:t xml:space="preserve">One non-serious case of tremor after </w:t>
      </w:r>
      <w:proofErr w:type="spellStart"/>
      <w:r w:rsidR="00623FDB" w:rsidRPr="00001CF2">
        <w:t>Opfolda</w:t>
      </w:r>
      <w:proofErr w:type="spellEnd"/>
      <w:r w:rsidRPr="00001CF2">
        <w:t xml:space="preserve"> was reported from a post-marketing spontaneous source. Tremor is included in the </w:t>
      </w:r>
      <w:proofErr w:type="spellStart"/>
      <w:r w:rsidR="00623FDB" w:rsidRPr="00001CF2">
        <w:t>Opfolda</w:t>
      </w:r>
      <w:proofErr w:type="spellEnd"/>
      <w:r w:rsidRPr="00001CF2">
        <w:t xml:space="preserve"> RMP as a non-important potential risk.</w:t>
      </w:r>
      <w:r w:rsidR="00127DF6">
        <w:t xml:space="preserve"> </w:t>
      </w:r>
      <w:r w:rsidRPr="00001CF2">
        <w:t>Overall, no new safety findings or signals emerged from post-marketing experience as of 19 March 2024.</w:t>
      </w:r>
    </w:p>
    <w:p w14:paraId="15CEE55C" w14:textId="77777777" w:rsidR="00FD2B82" w:rsidRDefault="00FD2B82" w:rsidP="00FD2B82">
      <w:pPr>
        <w:pStyle w:val="Heading4"/>
      </w:pPr>
      <w:bookmarkStart w:id="69" w:name="_Toc200457826"/>
      <w:r>
        <w:t>Immunogenicity</w:t>
      </w:r>
      <w:bookmarkEnd w:id="69"/>
    </w:p>
    <w:p w14:paraId="3D41BCBC" w14:textId="4471241B" w:rsidR="00FD2B82" w:rsidRDefault="00FD2B82" w:rsidP="00DA1244">
      <w:r>
        <w:t xml:space="preserve">In studies ATB200-02, ATB200-03, and ATB200-07, ADA results were evaluable in 151 subjects treated with </w:t>
      </w:r>
      <w:proofErr w:type="spellStart"/>
      <w:r>
        <w:t>cipaglucosidase</w:t>
      </w:r>
      <w:proofErr w:type="spellEnd"/>
      <w:r>
        <w:t xml:space="preserve"> alfa/</w:t>
      </w:r>
      <w:proofErr w:type="spellStart"/>
      <w:r>
        <w:t>miglustat</w:t>
      </w:r>
      <w:proofErr w:type="spellEnd"/>
      <w:r>
        <w:t>, of whom 117 were ERT-experienced and 34 were ERT-naïve.</w:t>
      </w:r>
      <w:r w:rsidR="00127DF6">
        <w:t xml:space="preserve"> </w:t>
      </w:r>
      <w:r>
        <w:t xml:space="preserve">For ERT-experienced subjects, the ADA prevalence was 83.8% at baseline and 91.5% after treatment with </w:t>
      </w:r>
      <w:proofErr w:type="spellStart"/>
      <w:r>
        <w:t>cipaglucosidase</w:t>
      </w:r>
      <w:proofErr w:type="spellEnd"/>
      <w:r>
        <w:t xml:space="preserve"> alfa/</w:t>
      </w:r>
      <w:proofErr w:type="spellStart"/>
      <w:r>
        <w:t>miglustat</w:t>
      </w:r>
      <w:proofErr w:type="spellEnd"/>
      <w:r>
        <w:t>.</w:t>
      </w:r>
      <w:r w:rsidR="00127DF6">
        <w:t xml:space="preserve"> </w:t>
      </w:r>
      <w:r>
        <w:t xml:space="preserve">For ERT-naïve subjects, the ADA prevalence was 11.8% at baseline and 100% after treatment with </w:t>
      </w:r>
      <w:proofErr w:type="spellStart"/>
      <w:r>
        <w:t>cipaglucosidase</w:t>
      </w:r>
      <w:proofErr w:type="spellEnd"/>
      <w:r>
        <w:t xml:space="preserve"> alfa/</w:t>
      </w:r>
      <w:proofErr w:type="spellStart"/>
      <w:r>
        <w:t>miglustat</w:t>
      </w:r>
      <w:proofErr w:type="spellEnd"/>
      <w:r>
        <w:t>.</w:t>
      </w:r>
      <w:r w:rsidR="00127DF6">
        <w:t xml:space="preserve"> </w:t>
      </w:r>
      <w:r>
        <w:t xml:space="preserve">Across the 3 </w:t>
      </w:r>
      <w:proofErr w:type="spellStart"/>
      <w:r>
        <w:t>NAb</w:t>
      </w:r>
      <w:proofErr w:type="spellEnd"/>
      <w:r>
        <w:t xml:space="preserve"> assays, the prevalence of </w:t>
      </w:r>
      <w:proofErr w:type="spellStart"/>
      <w:r>
        <w:t>NAb</w:t>
      </w:r>
      <w:proofErr w:type="spellEnd"/>
      <w:r>
        <w:t xml:space="preserve"> positivity after treatment ranged from 36.8% to 70.1% for ERT-experienced subjects and 20.6% to 64.7% for ERT-naïve subjects.</w:t>
      </w:r>
    </w:p>
    <w:p w14:paraId="1DF2489F" w14:textId="17A251FA" w:rsidR="00FD2B82" w:rsidRDefault="00FD2B82" w:rsidP="00D977A6">
      <w:proofErr w:type="spellStart"/>
      <w:r>
        <w:t>Pharmacometric</w:t>
      </w:r>
      <w:proofErr w:type="spellEnd"/>
      <w:r>
        <w:t xml:space="preserve"> analyses and descriptive summaries of the effects of immunogenicity on PK, PD, and efficacy indicated no clinically meaningful impact of immunogenicity markers on PK disposition, PD measures (Hex4 and CK), and key efficacy endpoints (6MWD and FVC).</w:t>
      </w:r>
      <w:r w:rsidR="00127DF6">
        <w:t xml:space="preserve"> </w:t>
      </w:r>
      <w:r>
        <w:t>From a safety perspective, association between ADAs and immunogenicity-related AEs was evaluated by subject level analysis of the presence/absence of ADA and ADA titre analysis.</w:t>
      </w:r>
      <w:r w:rsidR="00127DF6">
        <w:t xml:space="preserve"> </w:t>
      </w:r>
      <w:r>
        <w:t xml:space="preserve">Due to the small number of ADA negative subjects, additional analyses focused on the association of events with coincident ADA titres or with </w:t>
      </w:r>
      <w:proofErr w:type="spellStart"/>
      <w:r>
        <w:t>NAbs</w:t>
      </w:r>
      <w:proofErr w:type="spellEnd"/>
      <w:r>
        <w:t>.</w:t>
      </w:r>
      <w:r w:rsidR="00127DF6">
        <w:t xml:space="preserve"> </w:t>
      </w:r>
      <w:r>
        <w:t>Less than half (34 to 46%) of ADA positive subjects developed hypersensitivity/anaphylaxis or IAR events, and a similar percentage of ADA negative subjects (20 to 60%) also developed such reactions.</w:t>
      </w:r>
      <w:r w:rsidR="00127DF6">
        <w:t xml:space="preserve"> </w:t>
      </w:r>
      <w:r>
        <w:t xml:space="preserve">The proportions of subjects with hypersensitivity/anaphylaxis or IARs who were positive for ADA, </w:t>
      </w:r>
      <w:proofErr w:type="spellStart"/>
      <w:r>
        <w:t>NAbs</w:t>
      </w:r>
      <w:proofErr w:type="spellEnd"/>
      <w:r>
        <w:t xml:space="preserve">, antibodies cross-reactive to </w:t>
      </w:r>
      <w:proofErr w:type="spellStart"/>
      <w:r>
        <w:t>alglucosidase</w:t>
      </w:r>
      <w:proofErr w:type="spellEnd"/>
      <w:r>
        <w:t xml:space="preserve"> alfa, and anti-</w:t>
      </w:r>
      <w:proofErr w:type="spellStart"/>
      <w:r>
        <w:t>rhGAA</w:t>
      </w:r>
      <w:proofErr w:type="spellEnd"/>
      <w:r>
        <w:t xml:space="preserve"> </w:t>
      </w:r>
      <w:proofErr w:type="spellStart"/>
      <w:r>
        <w:t>IgE</w:t>
      </w:r>
      <w:proofErr w:type="spellEnd"/>
      <w:r>
        <w:t xml:space="preserve"> were </w:t>
      </w:r>
      <w:proofErr w:type="gramStart"/>
      <w:r>
        <w:t>similar to</w:t>
      </w:r>
      <w:proofErr w:type="gramEnd"/>
      <w:r>
        <w:t xml:space="preserve"> the proportions of subjects without IARs who were positive for these types of antibodies.</w:t>
      </w:r>
    </w:p>
    <w:p w14:paraId="72D8CACF" w14:textId="492F9952" w:rsidR="00FD2B82" w:rsidRPr="00D60E66" w:rsidRDefault="00FD2B82" w:rsidP="00DA1244">
      <w:r>
        <w:t>In the pivotal study, there was no clear trend of the effects of immunogenicity on PK, PD measures, efficacy measures, or TEAEs including IAR events.</w:t>
      </w:r>
    </w:p>
    <w:p w14:paraId="56236351" w14:textId="77777777" w:rsidR="00265845" w:rsidRPr="00265845" w:rsidRDefault="00265845" w:rsidP="000A71DB">
      <w:pPr>
        <w:pStyle w:val="Heading5"/>
        <w:rPr>
          <w:rFonts w:eastAsia="Cambria"/>
        </w:rPr>
      </w:pPr>
      <w:bookmarkStart w:id="70" w:name="_Toc98931928"/>
      <w:r w:rsidRPr="00265845">
        <w:rPr>
          <w:rFonts w:eastAsia="Cambria"/>
        </w:rPr>
        <w:t>Summary of clinical studies</w:t>
      </w:r>
      <w:bookmarkEnd w:id="70"/>
    </w:p>
    <w:p w14:paraId="26A5F5FD" w14:textId="77777777" w:rsidR="00265845" w:rsidRPr="00265845" w:rsidRDefault="00265845" w:rsidP="00DA1244">
      <w:r w:rsidRPr="00265845">
        <w:t xml:space="preserve">The clinical development program of </w:t>
      </w:r>
      <w:proofErr w:type="spellStart"/>
      <w:r w:rsidRPr="00265845">
        <w:t>cipaglucosidase</w:t>
      </w:r>
      <w:proofErr w:type="spellEnd"/>
      <w:r w:rsidRPr="00265845">
        <w:t xml:space="preserve"> alfa/</w:t>
      </w:r>
      <w:proofErr w:type="spellStart"/>
      <w:r w:rsidRPr="00265845">
        <w:t>miglustat</w:t>
      </w:r>
      <w:proofErr w:type="spellEnd"/>
      <w:r w:rsidRPr="00265845">
        <w:t xml:space="preserve"> for the treatment of adults with LOPD comprises 4 studies:</w:t>
      </w:r>
    </w:p>
    <w:p w14:paraId="47DAC366" w14:textId="109299D7" w:rsidR="00265845" w:rsidRPr="00265845" w:rsidRDefault="00265845" w:rsidP="00DA1244">
      <w:pPr>
        <w:pStyle w:val="ListBullet"/>
      </w:pPr>
      <w:r w:rsidRPr="00265845">
        <w:t xml:space="preserve">AT2221-01: Phase 1 study in healthy </w:t>
      </w:r>
      <w:r w:rsidRPr="00DA1244">
        <w:t>volunteers</w:t>
      </w:r>
      <w:r w:rsidRPr="00265845">
        <w:t>.</w:t>
      </w:r>
    </w:p>
    <w:p w14:paraId="2E870DC0" w14:textId="77777777" w:rsidR="00265845" w:rsidRPr="00265845" w:rsidRDefault="00265845" w:rsidP="00D977A6">
      <w:pPr>
        <w:pStyle w:val="ListBullet"/>
      </w:pPr>
      <w:r w:rsidRPr="00265845">
        <w:t>ATB200-02: Phase 1/2 study with long-term extension.</w:t>
      </w:r>
    </w:p>
    <w:p w14:paraId="0E275598" w14:textId="77777777" w:rsidR="00265845" w:rsidRPr="00265845" w:rsidRDefault="00265845" w:rsidP="00DA1244">
      <w:pPr>
        <w:pStyle w:val="ListBullet"/>
      </w:pPr>
      <w:r w:rsidRPr="00265845">
        <w:t>ATB200-03: Pivotal Phase 3 double-blind, randomised, active-</w:t>
      </w:r>
      <w:r w:rsidRPr="00DA1244">
        <w:t>controlled</w:t>
      </w:r>
      <w:r w:rsidRPr="00265845">
        <w:t xml:space="preserve"> study. </w:t>
      </w:r>
    </w:p>
    <w:p w14:paraId="160B6FB4" w14:textId="0CC497FB" w:rsidR="00265845" w:rsidRPr="00265845" w:rsidRDefault="00265845" w:rsidP="00D977A6">
      <w:pPr>
        <w:pStyle w:val="ListBullet"/>
      </w:pPr>
      <w:r w:rsidRPr="00265845">
        <w:t>ATB200-07: Phase 3 long-term extension (subjects who complete</w:t>
      </w:r>
      <w:r w:rsidR="00A83EDB">
        <w:t>d</w:t>
      </w:r>
      <w:r w:rsidRPr="00265845">
        <w:t xml:space="preserve"> Study ATB200-03).</w:t>
      </w:r>
    </w:p>
    <w:p w14:paraId="4FC90ACE" w14:textId="77777777" w:rsidR="00265845" w:rsidRPr="00265845" w:rsidRDefault="00265845" w:rsidP="00265845">
      <w:r w:rsidRPr="00265845">
        <w:t xml:space="preserve">These studies are supported by </w:t>
      </w:r>
      <w:proofErr w:type="spellStart"/>
      <w:r w:rsidRPr="00265845">
        <w:t>PopPK</w:t>
      </w:r>
      <w:proofErr w:type="spellEnd"/>
      <w:r w:rsidRPr="00265845">
        <w:t xml:space="preserve"> analyses, modelling and simulations, immunogenicity analyses, cardiac safety analyses, integrated summaries, and studies involving </w:t>
      </w:r>
      <w:proofErr w:type="spellStart"/>
      <w:r w:rsidRPr="00265845">
        <w:t>Zavesca</w:t>
      </w:r>
      <w:proofErr w:type="spellEnd"/>
      <w:r w:rsidRPr="00265845">
        <w:t>.</w:t>
      </w:r>
    </w:p>
    <w:p w14:paraId="6EB06670" w14:textId="77777777" w:rsidR="00265845" w:rsidRPr="00265845" w:rsidRDefault="00265845" w:rsidP="00265845">
      <w:r w:rsidRPr="00265845">
        <w:t>No paediatric data were submitted in this application.</w:t>
      </w:r>
    </w:p>
    <w:p w14:paraId="0056BC38" w14:textId="77777777" w:rsidR="00265845" w:rsidRPr="00265845" w:rsidRDefault="00265845" w:rsidP="00DA1244">
      <w:r w:rsidRPr="00265845">
        <w:t xml:space="preserve">The clinical evaluator supports the registration of </w:t>
      </w:r>
      <w:proofErr w:type="spellStart"/>
      <w:r w:rsidRPr="00265845">
        <w:t>Pombiliti</w:t>
      </w:r>
      <w:proofErr w:type="spellEnd"/>
      <w:r w:rsidRPr="00265845">
        <w:t xml:space="preserve"> and </w:t>
      </w:r>
      <w:proofErr w:type="spellStart"/>
      <w:r w:rsidRPr="00265845">
        <w:t>Opfolda</w:t>
      </w:r>
      <w:proofErr w:type="spellEnd"/>
      <w:r w:rsidRPr="00265845">
        <w:t xml:space="preserve"> for the proposed indications.</w:t>
      </w:r>
    </w:p>
    <w:p w14:paraId="2858B006" w14:textId="2491227A" w:rsidR="00C22214" w:rsidRDefault="00C22214" w:rsidP="00DA1244">
      <w:pPr>
        <w:pStyle w:val="Heading3"/>
        <w:rPr>
          <w:lang w:eastAsia="en-AU"/>
        </w:rPr>
      </w:pPr>
      <w:bookmarkStart w:id="71" w:name="_Toc314842514"/>
      <w:bookmarkStart w:id="72" w:name="_Toc103679298"/>
      <w:bookmarkStart w:id="73" w:name="_Toc200457827"/>
      <w:r>
        <w:rPr>
          <w:lang w:eastAsia="en-AU"/>
        </w:rPr>
        <w:lastRenderedPageBreak/>
        <w:t>Risk management plan</w:t>
      </w:r>
      <w:bookmarkEnd w:id="71"/>
      <w:bookmarkEnd w:id="72"/>
      <w:r w:rsidR="00F429F7">
        <w:rPr>
          <w:lang w:eastAsia="en-AU"/>
        </w:rPr>
        <w:t xml:space="preserve"> </w:t>
      </w:r>
      <w:r w:rsidR="00F429F7" w:rsidRPr="00DA1244">
        <w:t>evaluation</w:t>
      </w:r>
      <w:r w:rsidR="00F202FF">
        <w:rPr>
          <w:lang w:eastAsia="en-AU"/>
        </w:rPr>
        <w:t xml:space="preserve"> summary</w:t>
      </w:r>
      <w:bookmarkEnd w:id="73"/>
    </w:p>
    <w:p w14:paraId="1D07020C" w14:textId="20C4C02A" w:rsidR="0075023D" w:rsidRPr="0075023D" w:rsidRDefault="0075023D" w:rsidP="00DA1244">
      <w:pPr>
        <w:rPr>
          <w:lang w:eastAsia="en-AU"/>
        </w:rPr>
      </w:pPr>
      <w:r w:rsidRPr="0075023D">
        <w:rPr>
          <w:lang w:eastAsia="en-AU"/>
        </w:rPr>
        <w:t>The summary of safety concerns</w:t>
      </w:r>
      <w:r w:rsidR="007F0D9F" w:rsidRPr="007F0D9F">
        <w:rPr>
          <w:lang w:eastAsia="en-AU"/>
        </w:rPr>
        <w:t xml:space="preserve"> and their associated risk monitoring and mitigation strategies</w:t>
      </w:r>
      <w:r w:rsidRPr="0075023D">
        <w:rPr>
          <w:lang w:eastAsia="en-AU"/>
        </w:rPr>
        <w:t xml:space="preserve"> for </w:t>
      </w:r>
      <w:proofErr w:type="spellStart"/>
      <w:r w:rsidRPr="0075023D">
        <w:rPr>
          <w:lang w:eastAsia="en-AU"/>
        </w:rPr>
        <w:t>P</w:t>
      </w:r>
      <w:r w:rsidR="006A7BC8">
        <w:rPr>
          <w:lang w:eastAsia="en-AU"/>
        </w:rPr>
        <w:t>ombiliti</w:t>
      </w:r>
      <w:proofErr w:type="spellEnd"/>
      <w:r w:rsidRPr="0075023D">
        <w:rPr>
          <w:lang w:eastAsia="en-AU"/>
        </w:rPr>
        <w:t xml:space="preserve"> </w:t>
      </w:r>
      <w:r w:rsidR="006A7BC8">
        <w:rPr>
          <w:lang w:eastAsia="en-AU"/>
        </w:rPr>
        <w:t xml:space="preserve">is </w:t>
      </w:r>
      <w:r w:rsidRPr="0075023D">
        <w:rPr>
          <w:lang w:eastAsia="en-AU"/>
        </w:rPr>
        <w:t xml:space="preserve">outlined in </w:t>
      </w:r>
      <w:r w:rsidRPr="0075023D">
        <w:rPr>
          <w:lang w:eastAsia="en-AU"/>
        </w:rPr>
        <w:fldChar w:fldCharType="begin"/>
      </w:r>
      <w:r w:rsidRPr="0075023D">
        <w:rPr>
          <w:lang w:eastAsia="en-AU"/>
        </w:rPr>
        <w:instrText xml:space="preserve"> REF _Ref178858239 \h </w:instrText>
      </w:r>
      <w:r w:rsidRPr="0075023D">
        <w:rPr>
          <w:lang w:eastAsia="en-AU"/>
        </w:rPr>
      </w:r>
      <w:r w:rsidRPr="0075023D">
        <w:rPr>
          <w:lang w:eastAsia="en-AU"/>
        </w:rPr>
        <w:fldChar w:fldCharType="separate"/>
      </w:r>
      <w:r w:rsidRPr="0075023D">
        <w:rPr>
          <w:lang w:eastAsia="en-AU"/>
        </w:rPr>
        <w:t>Table 15</w:t>
      </w:r>
      <w:r w:rsidRPr="0075023D">
        <w:rPr>
          <w:lang w:eastAsia="en-AU"/>
        </w:rPr>
        <w:fldChar w:fldCharType="end"/>
      </w:r>
      <w:r w:rsidRPr="0075023D">
        <w:rPr>
          <w:lang w:eastAsia="en-AU"/>
        </w:rPr>
        <w:t xml:space="preserve">. </w:t>
      </w:r>
      <w:r w:rsidR="007F0D9F" w:rsidRPr="007F0D9F">
        <w:rPr>
          <w:lang w:eastAsia="en-AU"/>
        </w:rPr>
        <w:t xml:space="preserve">The TGA may request an updated </w:t>
      </w:r>
      <w:r w:rsidR="00F01925">
        <w:rPr>
          <w:lang w:eastAsia="en-AU"/>
        </w:rPr>
        <w:t>Risk Management Plan (</w:t>
      </w:r>
      <w:r w:rsidR="007F0D9F" w:rsidRPr="007F0D9F">
        <w:rPr>
          <w:lang w:eastAsia="en-AU"/>
        </w:rPr>
        <w:t>RMP</w:t>
      </w:r>
      <w:r w:rsidR="00F01925">
        <w:rPr>
          <w:lang w:eastAsia="en-AU"/>
        </w:rPr>
        <w:t>)</w:t>
      </w:r>
      <w:r w:rsidR="007F0D9F" w:rsidRPr="007F0D9F">
        <w:rPr>
          <w:lang w:eastAsia="en-AU"/>
        </w:rPr>
        <w:t xml:space="preserve"> at any stage of a product's life</w:t>
      </w:r>
      <w:r w:rsidR="007F0D9F">
        <w:rPr>
          <w:lang w:eastAsia="en-AU"/>
        </w:rPr>
        <w:t xml:space="preserve"> </w:t>
      </w:r>
      <w:r w:rsidR="007F0D9F" w:rsidRPr="007F0D9F">
        <w:rPr>
          <w:lang w:eastAsia="en-AU"/>
        </w:rPr>
        <w:t>cycle, during both the pre-approval and post-approval phases.</w:t>
      </w:r>
    </w:p>
    <w:p w14:paraId="30E6460D" w14:textId="1D0F4D79" w:rsidR="0075023D" w:rsidRPr="0075023D" w:rsidRDefault="0075023D" w:rsidP="00DA1244">
      <w:pPr>
        <w:pStyle w:val="TableTitle"/>
        <w:rPr>
          <w:lang w:eastAsia="en-AU"/>
        </w:rPr>
      </w:pPr>
      <w:bookmarkStart w:id="74" w:name="_Ref178858239"/>
      <w:r w:rsidRPr="0075023D">
        <w:rPr>
          <w:lang w:eastAsia="en-AU"/>
        </w:rPr>
        <w:t xml:space="preserve">Table </w:t>
      </w:r>
      <w:r w:rsidRPr="0075023D">
        <w:rPr>
          <w:lang w:eastAsia="en-AU"/>
        </w:rPr>
        <w:fldChar w:fldCharType="begin"/>
      </w:r>
      <w:r w:rsidRPr="0075023D">
        <w:rPr>
          <w:lang w:eastAsia="en-AU"/>
        </w:rPr>
        <w:instrText xml:space="preserve"> SEQ Table \* ARABIC </w:instrText>
      </w:r>
      <w:r w:rsidRPr="0075023D">
        <w:rPr>
          <w:lang w:eastAsia="en-AU"/>
        </w:rPr>
        <w:fldChar w:fldCharType="separate"/>
      </w:r>
      <w:r w:rsidRPr="0075023D">
        <w:rPr>
          <w:lang w:eastAsia="en-AU"/>
        </w:rPr>
        <w:t>15</w:t>
      </w:r>
      <w:r w:rsidRPr="0075023D">
        <w:rPr>
          <w:lang w:eastAsia="en-AU"/>
        </w:rPr>
        <w:fldChar w:fldCharType="end"/>
      </w:r>
      <w:bookmarkEnd w:id="74"/>
      <w:r w:rsidR="00296C78">
        <w:rPr>
          <w:lang w:eastAsia="en-AU"/>
        </w:rPr>
        <w:t>:</w:t>
      </w:r>
      <w:r w:rsidRPr="0075023D">
        <w:rPr>
          <w:lang w:eastAsia="en-AU"/>
        </w:rPr>
        <w:t xml:space="preserve"> Summary of Safety </w:t>
      </w:r>
      <w:r w:rsidRPr="00DA1244">
        <w:t>Concerns</w:t>
      </w:r>
    </w:p>
    <w:p w14:paraId="4DB1C880" w14:textId="3BC6AAEB" w:rsidR="0003688D" w:rsidRDefault="00F31702" w:rsidP="00DA1244">
      <w:pPr>
        <w:rPr>
          <w:lang w:eastAsia="en-AU"/>
        </w:rPr>
      </w:pPr>
      <w:r>
        <w:rPr>
          <w:noProof/>
        </w:rPr>
        <w:drawing>
          <wp:inline distT="0" distB="0" distL="0" distR="0" wp14:anchorId="4F97C918" wp14:editId="1A5105E6">
            <wp:extent cx="5731510" cy="2292350"/>
            <wp:effectExtent l="0" t="0" r="2540" b="0"/>
            <wp:docPr id="528126007" name="Picture 1" descr="Table 15: Summary of Safety Conc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126007" name="Picture 1" descr="Table 15: Summary of Safety Concerns"/>
                    <pic:cNvPicPr/>
                  </pic:nvPicPr>
                  <pic:blipFill>
                    <a:blip r:embed="rId38"/>
                    <a:stretch>
                      <a:fillRect/>
                    </a:stretch>
                  </pic:blipFill>
                  <pic:spPr>
                    <a:xfrm>
                      <a:off x="0" y="0"/>
                      <a:ext cx="5731510" cy="2292350"/>
                    </a:xfrm>
                    <a:prstGeom prst="rect">
                      <a:avLst/>
                    </a:prstGeom>
                  </pic:spPr>
                </pic:pic>
              </a:graphicData>
            </a:graphic>
          </wp:inline>
        </w:drawing>
      </w:r>
    </w:p>
    <w:p w14:paraId="2D0D6188" w14:textId="77777777" w:rsidR="007F0D9F" w:rsidRDefault="00032A0F" w:rsidP="00DA1244">
      <w:bookmarkStart w:id="75" w:name="_Toc247691531"/>
      <w:bookmarkStart w:id="76" w:name="_Toc314842515"/>
      <w:r>
        <w:t>The RMP evaluation recommended conditions of registration relating to the versions of the risk management plan, requirement for periodic safety update reports, and inclusion of the medicine in the Black Triangle Scheme.</w:t>
      </w:r>
    </w:p>
    <w:p w14:paraId="16E5DFAA" w14:textId="4EF0021F" w:rsidR="00032A0F" w:rsidRDefault="007F0D9F" w:rsidP="00DA1244">
      <w:pPr>
        <w:rPr>
          <w:lang w:eastAsia="en-AU"/>
        </w:rPr>
      </w:pPr>
      <w:r>
        <w:rPr>
          <w:lang w:eastAsia="en-AU"/>
        </w:rPr>
        <w:t xml:space="preserve">In support of this application, </w:t>
      </w:r>
      <w:r w:rsidRPr="007F0D9F">
        <w:rPr>
          <w:lang w:eastAsia="en-AU"/>
        </w:rPr>
        <w:t xml:space="preserve">Amicus Therapeutics Pty Ltd </w:t>
      </w:r>
      <w:r>
        <w:rPr>
          <w:lang w:eastAsia="en-AU"/>
        </w:rPr>
        <w:t>submitted</w:t>
      </w:r>
      <w:r w:rsidRPr="0075023D">
        <w:rPr>
          <w:lang w:eastAsia="en-AU"/>
        </w:rPr>
        <w:t xml:space="preserve"> EU-RMP version 1.2 (dated 9 February 2023; DLP 23 August 2022) </w:t>
      </w:r>
      <w:r w:rsidR="000F0B85">
        <w:rPr>
          <w:lang w:eastAsia="en-AU"/>
        </w:rPr>
        <w:t>with</w:t>
      </w:r>
      <w:r w:rsidRPr="0075023D">
        <w:rPr>
          <w:lang w:eastAsia="en-AU"/>
        </w:rPr>
        <w:t xml:space="preserve"> ASA version 1.1 (dated 2 August 2024).</w:t>
      </w:r>
      <w:r w:rsidR="00127DF6">
        <w:rPr>
          <w:lang w:eastAsia="en-AU"/>
        </w:rPr>
        <w:t xml:space="preserve"> </w:t>
      </w:r>
      <w:r w:rsidR="000F0B85">
        <w:rPr>
          <w:lang w:eastAsia="en-AU"/>
        </w:rPr>
        <w:t>This and a</w:t>
      </w:r>
      <w:r w:rsidR="00B72DBA" w:rsidRPr="00B72DBA">
        <w:rPr>
          <w:lang w:eastAsia="en-AU"/>
        </w:rPr>
        <w:t>ny subsequent revisions, as agreed with the TGA</w:t>
      </w:r>
      <w:r w:rsidR="00B72DBA">
        <w:rPr>
          <w:lang w:eastAsia="en-AU"/>
        </w:rPr>
        <w:t>,</w:t>
      </w:r>
      <w:r w:rsidR="00B72DBA" w:rsidRPr="00B72DBA">
        <w:rPr>
          <w:lang w:eastAsia="en-AU"/>
        </w:rPr>
        <w:t xml:space="preserve"> will </w:t>
      </w:r>
      <w:r w:rsidR="007C5DD8">
        <w:rPr>
          <w:lang w:eastAsia="en-AU"/>
        </w:rPr>
        <w:t xml:space="preserve">also </w:t>
      </w:r>
      <w:r w:rsidR="00B72DBA" w:rsidRPr="00B72DBA">
        <w:rPr>
          <w:lang w:eastAsia="en-AU"/>
        </w:rPr>
        <w:t>be implemented in Australia.</w:t>
      </w:r>
    </w:p>
    <w:p w14:paraId="456C7934" w14:textId="56AC60C3" w:rsidR="00FA1BC9" w:rsidRDefault="00FA1BC9" w:rsidP="00FA1BC9">
      <w:pPr>
        <w:rPr>
          <w:szCs w:val="22"/>
        </w:rPr>
      </w:pPr>
      <w:bookmarkStart w:id="77" w:name="_Toc103679299"/>
      <w:r w:rsidRPr="00BD5DBD">
        <w:rPr>
          <w:szCs w:val="22"/>
        </w:rPr>
        <w:t xml:space="preserve">Further information regarding the TGA’s risk management approach can be found in </w:t>
      </w:r>
      <w:hyperlink r:id="rId39" w:history="1">
        <w:r w:rsidRPr="00BD5DBD">
          <w:rPr>
            <w:rStyle w:val="Hyperlink"/>
            <w:szCs w:val="22"/>
          </w:rPr>
          <w:t>risk management plans for medicines and biologicals</w:t>
        </w:r>
      </w:hyperlink>
      <w:r w:rsidRPr="00BD5DBD">
        <w:rPr>
          <w:szCs w:val="22"/>
        </w:rPr>
        <w:t xml:space="preserve"> and </w:t>
      </w:r>
      <w:hyperlink r:id="rId40" w:history="1">
        <w:r w:rsidRPr="00BD5DBD">
          <w:rPr>
            <w:rStyle w:val="Hyperlink"/>
            <w:szCs w:val="22"/>
          </w:rPr>
          <w:t>the TGA's risk management approach</w:t>
        </w:r>
      </w:hyperlink>
      <w:r w:rsidRPr="00BD5DBD">
        <w:rPr>
          <w:szCs w:val="22"/>
        </w:rPr>
        <w:t xml:space="preserve">. Information on the </w:t>
      </w:r>
      <w:hyperlink r:id="rId41" w:history="1">
        <w:r w:rsidRPr="00BD5DBD">
          <w:rPr>
            <w:rStyle w:val="Hyperlink"/>
            <w:szCs w:val="22"/>
          </w:rPr>
          <w:t>Australia</w:t>
        </w:r>
        <w:r w:rsidR="00C57CEA">
          <w:rPr>
            <w:rStyle w:val="Hyperlink"/>
            <w:szCs w:val="22"/>
          </w:rPr>
          <w:t>-</w:t>
        </w:r>
        <w:r w:rsidRPr="00BD5DBD">
          <w:rPr>
            <w:rStyle w:val="Hyperlink"/>
            <w:szCs w:val="22"/>
          </w:rPr>
          <w:t>specific annex</w:t>
        </w:r>
      </w:hyperlink>
      <w:r w:rsidRPr="00BD5DBD">
        <w:rPr>
          <w:szCs w:val="22"/>
        </w:rPr>
        <w:t xml:space="preserve"> (</w:t>
      </w:r>
      <w:hyperlink r:id="rId42" w:history="1">
        <w:r w:rsidRPr="00BD5DBD">
          <w:rPr>
            <w:rStyle w:val="Hyperlink"/>
            <w:szCs w:val="22"/>
          </w:rPr>
          <w:t>ASA</w:t>
        </w:r>
      </w:hyperlink>
      <w:r w:rsidRPr="00BD5DBD">
        <w:rPr>
          <w:szCs w:val="22"/>
        </w:rPr>
        <w:t>) can be found on the TGA website.</w:t>
      </w:r>
    </w:p>
    <w:p w14:paraId="74A4F87F" w14:textId="64127DDE" w:rsidR="00C22214" w:rsidRDefault="00CD55B8" w:rsidP="00C743AE">
      <w:pPr>
        <w:pStyle w:val="Heading4"/>
      </w:pPr>
      <w:bookmarkStart w:id="78" w:name="_Toc98931932"/>
      <w:bookmarkStart w:id="79" w:name="_Toc200457828"/>
      <w:r w:rsidRPr="00CD55B8">
        <w:t>Delegate’s considerations</w:t>
      </w:r>
      <w:bookmarkEnd w:id="78"/>
      <w:r w:rsidR="00566026">
        <w:t xml:space="preserve"> - </w:t>
      </w:r>
      <w:r w:rsidR="00C22214">
        <w:t>Risk-benefit analysis</w:t>
      </w:r>
      <w:bookmarkEnd w:id="75"/>
      <w:bookmarkEnd w:id="76"/>
      <w:bookmarkEnd w:id="77"/>
      <w:bookmarkEnd w:id="79"/>
    </w:p>
    <w:p w14:paraId="1A018672" w14:textId="77777777" w:rsidR="0018458C" w:rsidRDefault="0018458C" w:rsidP="00C743AE">
      <w:pPr>
        <w:pStyle w:val="Heading5"/>
      </w:pPr>
      <w:r>
        <w:t>Efficacy</w:t>
      </w:r>
    </w:p>
    <w:p w14:paraId="478F72B2" w14:textId="61D20B1E" w:rsidR="0018458C" w:rsidRDefault="0018458C" w:rsidP="0018458C">
      <w:r w:rsidRPr="0018458C">
        <w:t xml:space="preserve">The pivotal efficacy study, ATB200-03, was a double-blind, randomised, controlled study which compared the efficacy of </w:t>
      </w:r>
      <w:proofErr w:type="spellStart"/>
      <w:r w:rsidRPr="0018458C">
        <w:t>cipaglucosidase</w:t>
      </w:r>
      <w:proofErr w:type="spellEnd"/>
      <w:r w:rsidRPr="0018458C">
        <w:t xml:space="preserve"> alfa/</w:t>
      </w:r>
      <w:proofErr w:type="spellStart"/>
      <w:r w:rsidRPr="0018458C">
        <w:t>miglustat</w:t>
      </w:r>
      <w:proofErr w:type="spellEnd"/>
      <w:r w:rsidRPr="0018458C">
        <w:t xml:space="preserve"> to </w:t>
      </w:r>
      <w:proofErr w:type="spellStart"/>
      <w:r w:rsidRPr="0018458C">
        <w:t>alglucosidase</w:t>
      </w:r>
      <w:proofErr w:type="spellEnd"/>
      <w:r w:rsidRPr="0018458C">
        <w:t xml:space="preserve"> alfa/placebo on measures of motor function, pulmonary function, and muscle strength.</w:t>
      </w:r>
      <w:r w:rsidR="00127DF6">
        <w:t xml:space="preserve"> </w:t>
      </w:r>
      <w:r w:rsidRPr="0018458C">
        <w:t>The primary and key efficacy endpoints were consistent with other trials assessing treatments for Pompe disease.</w:t>
      </w:r>
      <w:r w:rsidR="00127DF6">
        <w:t xml:space="preserve"> </w:t>
      </w:r>
      <w:r w:rsidRPr="0018458C">
        <w:t>The primary endpoint was change in 6MWD from baseline to Week 52 and the key secondary</w:t>
      </w:r>
      <w:r>
        <w:t xml:space="preserve"> endpoint was change in sitting FVC from baseline to Week 52</w:t>
      </w:r>
      <w:r w:rsidRPr="00FE5F63">
        <w:t>.</w:t>
      </w:r>
      <w:r w:rsidR="00127DF6">
        <w:t xml:space="preserve"> </w:t>
      </w:r>
      <w:r w:rsidRPr="00FE5F63">
        <w:t>The ITT population comprised 123 adults with LOPD with a median age of 47 years, and of whom 77.2% were ERT-experienced.</w:t>
      </w:r>
    </w:p>
    <w:p w14:paraId="652FE1BE" w14:textId="50556371" w:rsidR="0018458C" w:rsidRDefault="0018458C" w:rsidP="00DA1244">
      <w:r w:rsidRPr="00FE5F63">
        <w:t xml:space="preserve">Study ATB200-03 </w:t>
      </w:r>
      <w:r>
        <w:t xml:space="preserve">was designed to evaluate superiority of </w:t>
      </w:r>
      <w:proofErr w:type="spellStart"/>
      <w:r>
        <w:t>cipaglucosidase</w:t>
      </w:r>
      <w:proofErr w:type="spellEnd"/>
      <w:r>
        <w:t xml:space="preserve"> alfa/</w:t>
      </w:r>
      <w:proofErr w:type="spellStart"/>
      <w:r>
        <w:t>miglustat</w:t>
      </w:r>
      <w:proofErr w:type="spellEnd"/>
      <w:r>
        <w:t xml:space="preserve"> compared to </w:t>
      </w:r>
      <w:proofErr w:type="spellStart"/>
      <w:r>
        <w:t>alglucosidase</w:t>
      </w:r>
      <w:proofErr w:type="spellEnd"/>
      <w:r>
        <w:t xml:space="preserve"> alfa/placebo.</w:t>
      </w:r>
      <w:r w:rsidR="00127DF6">
        <w:t xml:space="preserve"> </w:t>
      </w:r>
      <w:r w:rsidRPr="00FE5F63">
        <w:t>No non-inferiority analyses were planned or conducted.</w:t>
      </w:r>
      <w:r w:rsidR="00127DF6">
        <w:t xml:space="preserve"> </w:t>
      </w:r>
      <w:r>
        <w:t xml:space="preserve">The change (improvement) in 6MWD from baseline to Week 52 (primary endpoint) was numerically greater with </w:t>
      </w:r>
      <w:proofErr w:type="spellStart"/>
      <w:r>
        <w:t>cipaglucosidase</w:t>
      </w:r>
      <w:proofErr w:type="spellEnd"/>
      <w:r>
        <w:t xml:space="preserve"> alfa/</w:t>
      </w:r>
      <w:proofErr w:type="spellStart"/>
      <w:r>
        <w:t>miglustat</w:t>
      </w:r>
      <w:proofErr w:type="spellEnd"/>
      <w:r>
        <w:t xml:space="preserve"> compared to </w:t>
      </w:r>
      <w:proofErr w:type="spellStart"/>
      <w:r>
        <w:t>alglucosidase</w:t>
      </w:r>
      <w:proofErr w:type="spellEnd"/>
      <w:r>
        <w:t xml:space="preserve"> alfa/placebo, but </w:t>
      </w:r>
      <w:r w:rsidRPr="00FE5F63">
        <w:t>superiority</w:t>
      </w:r>
      <w:r>
        <w:t xml:space="preserve"> was not demonstrated.</w:t>
      </w:r>
      <w:r w:rsidR="00127DF6">
        <w:t xml:space="preserve"> </w:t>
      </w:r>
      <w:r>
        <w:t>Various pre-specified sensitivity analyses showed</w:t>
      </w:r>
      <w:r w:rsidRPr="00FE5F63">
        <w:t xml:space="preserve"> numerically greater improvements in 6MWD with </w:t>
      </w:r>
      <w:proofErr w:type="spellStart"/>
      <w:r w:rsidRPr="00FE5F63">
        <w:t>cipaglucosidase</w:t>
      </w:r>
      <w:proofErr w:type="spellEnd"/>
      <w:r w:rsidRPr="00FE5F63">
        <w:t xml:space="preserve"> alfa/</w:t>
      </w:r>
      <w:proofErr w:type="spellStart"/>
      <w:r w:rsidRPr="00FE5F63">
        <w:t>miglustat</w:t>
      </w:r>
      <w:proofErr w:type="spellEnd"/>
      <w:r w:rsidRPr="00FE5F63">
        <w:t xml:space="preserve"> </w:t>
      </w:r>
      <w:r>
        <w:t>compared to</w:t>
      </w:r>
      <w:r w:rsidRPr="00FE5F63">
        <w:t xml:space="preserve"> </w:t>
      </w:r>
      <w:proofErr w:type="spellStart"/>
      <w:r w:rsidRPr="00FE5F63">
        <w:t>alglucosidase</w:t>
      </w:r>
      <w:proofErr w:type="spellEnd"/>
      <w:r w:rsidRPr="00FE5F63">
        <w:t xml:space="preserve"> alfa/</w:t>
      </w:r>
      <w:r w:rsidR="00C47B7D" w:rsidRPr="00FE5F63">
        <w:t>placebo,</w:t>
      </w:r>
      <w:r w:rsidRPr="00FE5F63">
        <w:t xml:space="preserve"> but </w:t>
      </w:r>
      <w:r>
        <w:t>none</w:t>
      </w:r>
      <w:r w:rsidRPr="00FE5F63">
        <w:t xml:space="preserve"> </w:t>
      </w:r>
      <w:r>
        <w:t>reached nominal</w:t>
      </w:r>
      <w:r w:rsidRPr="00FE5F63">
        <w:t xml:space="preserve"> s</w:t>
      </w:r>
      <w:r>
        <w:t>ignificance</w:t>
      </w:r>
      <w:r w:rsidRPr="00FE5F63">
        <w:t>.</w:t>
      </w:r>
      <w:r w:rsidR="00127DF6">
        <w:t xml:space="preserve"> </w:t>
      </w:r>
      <w:r>
        <w:t xml:space="preserve">A </w:t>
      </w:r>
      <w:r w:rsidRPr="000F5EE3">
        <w:rPr>
          <w:i/>
          <w:iCs/>
        </w:rPr>
        <w:t>post hoc</w:t>
      </w:r>
      <w:r>
        <w:t xml:space="preserve"> </w:t>
      </w:r>
      <w:r>
        <w:lastRenderedPageBreak/>
        <w:t>analysis of the primary endpoint</w:t>
      </w:r>
      <w:r w:rsidRPr="00C02DF6">
        <w:t xml:space="preserve"> </w:t>
      </w:r>
      <w:r>
        <w:t xml:space="preserve">excluding one subject with aberrant data favoured </w:t>
      </w:r>
      <w:proofErr w:type="spellStart"/>
      <w:r w:rsidRPr="00FE5F63">
        <w:t>cipaglucosidase</w:t>
      </w:r>
      <w:proofErr w:type="spellEnd"/>
      <w:r w:rsidRPr="00FE5F63">
        <w:t xml:space="preserve"> alfa/</w:t>
      </w:r>
      <w:proofErr w:type="spellStart"/>
      <w:r w:rsidRPr="00FE5F63">
        <w:t>miglustat</w:t>
      </w:r>
      <w:proofErr w:type="spellEnd"/>
      <w:r w:rsidRPr="00FE5F63">
        <w:t xml:space="preserve"> </w:t>
      </w:r>
      <w:r>
        <w:t>but did not demonstrate superiority (LS mean 21.3 m vs 7.1 m; 95% CI -2.6, 31.0; 1-sided p = 0.048).</w:t>
      </w:r>
      <w:r w:rsidR="00127DF6">
        <w:t xml:space="preserve"> </w:t>
      </w:r>
      <w:r>
        <w:t>N</w:t>
      </w:r>
      <w:r w:rsidRPr="00FE5F63">
        <w:t>o confirmatory conclusions can be drawn from secondary outcomes</w:t>
      </w:r>
      <w:r>
        <w:t xml:space="preserve">, but the </w:t>
      </w:r>
      <w:r w:rsidRPr="00FE5F63">
        <w:t>key secondary endpoint</w:t>
      </w:r>
      <w:r>
        <w:t>s</w:t>
      </w:r>
      <w:r w:rsidRPr="00FE5F63">
        <w:t xml:space="preserve"> numerical</w:t>
      </w:r>
      <w:r>
        <w:t>ly favoured</w:t>
      </w:r>
      <w:r w:rsidRPr="00FE5F63">
        <w:t xml:space="preserve"> </w:t>
      </w:r>
      <w:proofErr w:type="spellStart"/>
      <w:r w:rsidRPr="00FE5F63">
        <w:t>cipaglucosidase</w:t>
      </w:r>
      <w:proofErr w:type="spellEnd"/>
      <w:r w:rsidRPr="00FE5F63">
        <w:t xml:space="preserve"> alfa/</w:t>
      </w:r>
      <w:proofErr w:type="spellStart"/>
      <w:r w:rsidRPr="00FE5F63">
        <w:t>miglustat</w:t>
      </w:r>
      <w:proofErr w:type="spellEnd"/>
      <w:r w:rsidRPr="00FE5F63">
        <w:t xml:space="preserve"> </w:t>
      </w:r>
      <w:r>
        <w:t xml:space="preserve">over </w:t>
      </w:r>
      <w:proofErr w:type="spellStart"/>
      <w:r>
        <w:t>alglucosidase</w:t>
      </w:r>
      <w:proofErr w:type="spellEnd"/>
      <w:r>
        <w:t xml:space="preserve"> alfa/placebo.</w:t>
      </w:r>
    </w:p>
    <w:p w14:paraId="78F41002" w14:textId="2A9B0C1B" w:rsidR="0018458C" w:rsidRDefault="0018458C" w:rsidP="00DA1244">
      <w:r w:rsidRPr="00FE5F63">
        <w:t>Study ATB200-03</w:t>
      </w:r>
      <w:r>
        <w:t xml:space="preserve"> did not demonstrate superiority of </w:t>
      </w:r>
      <w:proofErr w:type="spellStart"/>
      <w:r w:rsidRPr="00FE5F63">
        <w:t>cipaglucosidase</w:t>
      </w:r>
      <w:proofErr w:type="spellEnd"/>
      <w:r w:rsidRPr="00FE5F63">
        <w:t xml:space="preserve"> alfa/</w:t>
      </w:r>
      <w:proofErr w:type="spellStart"/>
      <w:r w:rsidRPr="00FE5F63">
        <w:t>miglustat</w:t>
      </w:r>
      <w:proofErr w:type="spellEnd"/>
      <w:r w:rsidRPr="00FE5F63">
        <w:t xml:space="preserve"> </w:t>
      </w:r>
      <w:r>
        <w:t>over</w:t>
      </w:r>
      <w:r w:rsidRPr="00FE5F63">
        <w:t xml:space="preserve"> </w:t>
      </w:r>
      <w:proofErr w:type="spellStart"/>
      <w:r w:rsidRPr="00FE5F63">
        <w:t>alglucosidase</w:t>
      </w:r>
      <w:proofErr w:type="spellEnd"/>
      <w:r w:rsidRPr="00FE5F63">
        <w:t xml:space="preserve"> alfa/placebo</w:t>
      </w:r>
      <w:r>
        <w:t xml:space="preserve"> and did not formally assess non-inferiority, but the key efficacy findings favoured </w:t>
      </w:r>
      <w:proofErr w:type="spellStart"/>
      <w:r w:rsidRPr="00FE5F63">
        <w:t>cipaglucosidase</w:t>
      </w:r>
      <w:proofErr w:type="spellEnd"/>
      <w:r w:rsidRPr="00FE5F63">
        <w:t xml:space="preserve"> alfa/</w:t>
      </w:r>
      <w:proofErr w:type="spellStart"/>
      <w:r w:rsidRPr="00FE5F63">
        <w:t>miglustat</w:t>
      </w:r>
      <w:proofErr w:type="spellEnd"/>
      <w:r w:rsidRPr="00FE5F63">
        <w:t xml:space="preserve"> </w:t>
      </w:r>
      <w:r>
        <w:t>compared to</w:t>
      </w:r>
      <w:r w:rsidRPr="00FE5F63">
        <w:t xml:space="preserve"> </w:t>
      </w:r>
      <w:proofErr w:type="spellStart"/>
      <w:r w:rsidRPr="00FE5F63">
        <w:t>alglucosidase</w:t>
      </w:r>
      <w:proofErr w:type="spellEnd"/>
      <w:r w:rsidRPr="00FE5F63">
        <w:t xml:space="preserve"> alfa/placebo</w:t>
      </w:r>
      <w:r>
        <w:t>, supporting a conclusion of similar efficacy.</w:t>
      </w:r>
    </w:p>
    <w:p w14:paraId="461722B3" w14:textId="4DADE3C1" w:rsidR="0018458C" w:rsidRDefault="0018458C" w:rsidP="00DA1244">
      <w:r>
        <w:t>F</w:t>
      </w:r>
      <w:r w:rsidRPr="00FE5F63">
        <w:t xml:space="preserve">or ERT-experienced </w:t>
      </w:r>
      <w:r>
        <w:t xml:space="preserve">subjects, most endpoints numerically favoured </w:t>
      </w:r>
      <w:proofErr w:type="spellStart"/>
      <w:r w:rsidRPr="00FE5F63">
        <w:t>cipaglucosidase</w:t>
      </w:r>
      <w:proofErr w:type="spellEnd"/>
      <w:r w:rsidRPr="00FE5F63">
        <w:t xml:space="preserve"> alfa/</w:t>
      </w:r>
      <w:proofErr w:type="spellStart"/>
      <w:r w:rsidRPr="00FE5F63">
        <w:t>miglustat</w:t>
      </w:r>
      <w:proofErr w:type="spellEnd"/>
      <w:r>
        <w:t xml:space="preserve"> compared to</w:t>
      </w:r>
      <w:r w:rsidRPr="00FE5F63">
        <w:t xml:space="preserve"> </w:t>
      </w:r>
      <w:proofErr w:type="spellStart"/>
      <w:r w:rsidRPr="00FE5F63">
        <w:t>alglucosidase</w:t>
      </w:r>
      <w:proofErr w:type="spellEnd"/>
      <w:r w:rsidRPr="00FE5F63">
        <w:t xml:space="preserve"> alfa/placebo</w:t>
      </w:r>
      <w:r>
        <w:t>.</w:t>
      </w:r>
      <w:r w:rsidR="00127DF6">
        <w:t xml:space="preserve"> </w:t>
      </w:r>
      <w:r w:rsidRPr="00FE5F63">
        <w:t>For ERT-naïve subjects</w:t>
      </w:r>
      <w:r>
        <w:t xml:space="preserve"> (n=28)</w:t>
      </w:r>
      <w:r w:rsidRPr="00FE5F63">
        <w:t xml:space="preserve">, most endpoints showed improvement in both treatment groups, with some endpoints numerically favouring </w:t>
      </w:r>
      <w:proofErr w:type="spellStart"/>
      <w:r w:rsidRPr="00FE5F63">
        <w:t>cipaglucosidase</w:t>
      </w:r>
      <w:proofErr w:type="spellEnd"/>
      <w:r w:rsidRPr="00FE5F63">
        <w:t xml:space="preserve"> alfa/</w:t>
      </w:r>
      <w:proofErr w:type="spellStart"/>
      <w:r w:rsidRPr="00FE5F63">
        <w:t>miglustat</w:t>
      </w:r>
      <w:proofErr w:type="spellEnd"/>
      <w:r w:rsidRPr="00FE5F63">
        <w:t xml:space="preserve"> and some endpoints numerically favouring </w:t>
      </w:r>
      <w:proofErr w:type="spellStart"/>
      <w:r w:rsidRPr="00FE5F63">
        <w:t>alglucosidase</w:t>
      </w:r>
      <w:proofErr w:type="spellEnd"/>
      <w:r w:rsidRPr="00FE5F63">
        <w:t xml:space="preserve"> alfa/placebo.</w:t>
      </w:r>
    </w:p>
    <w:p w14:paraId="009AFE2E" w14:textId="77777777" w:rsidR="0018458C" w:rsidRPr="00DA1244" w:rsidRDefault="0018458C" w:rsidP="0018458C">
      <w:r>
        <w:t>Interim efficacy data from the OLE study support maintenance of treatment effect to Week 104</w:t>
      </w:r>
      <w:r w:rsidRPr="00DA1244">
        <w:t>.</w:t>
      </w:r>
    </w:p>
    <w:p w14:paraId="5515D352" w14:textId="77777777" w:rsidR="0018458C" w:rsidRDefault="0018458C" w:rsidP="00C743AE">
      <w:pPr>
        <w:pStyle w:val="Heading5"/>
      </w:pPr>
      <w:r>
        <w:t>Safety</w:t>
      </w:r>
    </w:p>
    <w:p w14:paraId="4158DBDD" w14:textId="6A4F5091" w:rsidR="0018458C" w:rsidRDefault="0018458C" w:rsidP="00DA1244">
      <w:pPr>
        <w:rPr>
          <w:lang w:eastAsia="ja-JP"/>
        </w:rPr>
      </w:pPr>
      <w:r>
        <w:t xml:space="preserve">The safety dataset presented in this application included </w:t>
      </w:r>
      <w:r w:rsidRPr="00DF5FF2">
        <w:rPr>
          <w:lang w:eastAsia="ja-JP"/>
        </w:rPr>
        <w:t xml:space="preserve">151 subjects exposed to </w:t>
      </w:r>
      <w:proofErr w:type="spellStart"/>
      <w:r w:rsidRPr="00DF5FF2">
        <w:rPr>
          <w:lang w:eastAsia="ja-JP"/>
        </w:rPr>
        <w:t>cipaglucosidase</w:t>
      </w:r>
      <w:proofErr w:type="spellEnd"/>
      <w:r w:rsidRPr="00DF5FF2">
        <w:rPr>
          <w:lang w:eastAsia="ja-JP"/>
        </w:rPr>
        <w:t xml:space="preserve"> alfa</w:t>
      </w:r>
      <w:r>
        <w:rPr>
          <w:lang w:eastAsia="ja-JP"/>
        </w:rPr>
        <w:t xml:space="preserve"> and </w:t>
      </w:r>
      <w:proofErr w:type="spellStart"/>
      <w:r w:rsidRPr="00DF5FF2">
        <w:rPr>
          <w:lang w:eastAsia="ja-JP"/>
        </w:rPr>
        <w:t>miglustat</w:t>
      </w:r>
      <w:proofErr w:type="spellEnd"/>
      <w:r w:rsidRPr="00DF5FF2">
        <w:rPr>
          <w:lang w:eastAsia="ja-JP"/>
        </w:rPr>
        <w:t xml:space="preserve"> at the proposed dose</w:t>
      </w:r>
      <w:r>
        <w:rPr>
          <w:lang w:eastAsia="ja-JP"/>
        </w:rPr>
        <w:t xml:space="preserve">s, with </w:t>
      </w:r>
      <w:r w:rsidRPr="00DF5FF2">
        <w:rPr>
          <w:lang w:eastAsia="ja-JP"/>
        </w:rPr>
        <w:t xml:space="preserve">mean duration of exposure </w:t>
      </w:r>
      <w:r>
        <w:rPr>
          <w:lang w:eastAsia="ja-JP"/>
        </w:rPr>
        <w:t>∼</w:t>
      </w:r>
      <w:r w:rsidRPr="00DF5FF2">
        <w:rPr>
          <w:lang w:eastAsia="ja-JP"/>
        </w:rPr>
        <w:t xml:space="preserve">28 months and maximum duration of exposure </w:t>
      </w:r>
      <w:r>
        <w:rPr>
          <w:lang w:eastAsia="ja-JP"/>
        </w:rPr>
        <w:t>∼</w:t>
      </w:r>
      <w:r w:rsidRPr="00DF5FF2">
        <w:rPr>
          <w:lang w:eastAsia="ja-JP"/>
        </w:rPr>
        <w:t>6</w:t>
      </w:r>
      <w:r w:rsidR="00A83EDB">
        <w:rPr>
          <w:lang w:eastAsia="ja-JP"/>
        </w:rPr>
        <w:t>5</w:t>
      </w:r>
      <w:r w:rsidRPr="00DF5FF2">
        <w:rPr>
          <w:lang w:eastAsia="ja-JP"/>
        </w:rPr>
        <w:t xml:space="preserve"> months</w:t>
      </w:r>
      <w:r>
        <w:rPr>
          <w:lang w:eastAsia="ja-JP"/>
        </w:rPr>
        <w:t>.</w:t>
      </w:r>
      <w:r w:rsidR="00127DF6">
        <w:rPr>
          <w:lang w:eastAsia="ja-JP"/>
        </w:rPr>
        <w:t xml:space="preserve"> </w:t>
      </w:r>
      <w:r>
        <w:rPr>
          <w:lang w:eastAsia="ja-JP"/>
        </w:rPr>
        <w:t>The</w:t>
      </w:r>
      <w:r w:rsidRPr="00A239E5">
        <w:rPr>
          <w:lang w:eastAsia="ja-JP"/>
        </w:rPr>
        <w:t xml:space="preserve"> most frequently reported </w:t>
      </w:r>
      <w:r>
        <w:rPr>
          <w:lang w:eastAsia="ja-JP"/>
        </w:rPr>
        <w:t>TEAEs in</w:t>
      </w:r>
      <w:r w:rsidRPr="00A239E5">
        <w:rPr>
          <w:lang w:eastAsia="ja-JP"/>
        </w:rPr>
        <w:t xml:space="preserve"> subjects treated with </w:t>
      </w:r>
      <w:proofErr w:type="spellStart"/>
      <w:r w:rsidRPr="00A239E5">
        <w:rPr>
          <w:lang w:eastAsia="ja-JP"/>
        </w:rPr>
        <w:t>cipaglucosidase</w:t>
      </w:r>
      <w:proofErr w:type="spellEnd"/>
      <w:r w:rsidRPr="00A239E5">
        <w:rPr>
          <w:lang w:eastAsia="ja-JP"/>
        </w:rPr>
        <w:t xml:space="preserve"> alfa/</w:t>
      </w:r>
      <w:proofErr w:type="spellStart"/>
      <w:r w:rsidRPr="00A239E5">
        <w:rPr>
          <w:lang w:eastAsia="ja-JP"/>
        </w:rPr>
        <w:t>miglustat</w:t>
      </w:r>
      <w:proofErr w:type="spellEnd"/>
      <w:r w:rsidRPr="00A239E5">
        <w:rPr>
          <w:lang w:eastAsia="ja-JP"/>
        </w:rPr>
        <w:t xml:space="preserve"> were fall, headache, arthralgia, nasopharyngitis, myalgia, pain in extremity, back pain, diarrhoea, and nausea.</w:t>
      </w:r>
    </w:p>
    <w:p w14:paraId="08F781E2" w14:textId="7C727530" w:rsidR="0018458C" w:rsidRPr="00DA1244" w:rsidRDefault="0018458C" w:rsidP="0018458C">
      <w:r>
        <w:rPr>
          <w:lang w:eastAsia="ja-JP"/>
        </w:rPr>
        <w:t xml:space="preserve">In the pivotal Study ATB200-03, the </w:t>
      </w:r>
      <w:r w:rsidRPr="007530AD">
        <w:rPr>
          <w:lang w:eastAsia="ja-JP"/>
        </w:rPr>
        <w:t>incidence of TEAEs by PT was generally similar between the</w:t>
      </w:r>
      <w:r>
        <w:rPr>
          <w:lang w:eastAsia="ja-JP"/>
        </w:rPr>
        <w:t xml:space="preserve"> </w:t>
      </w:r>
      <w:proofErr w:type="spellStart"/>
      <w:r w:rsidRPr="0069304E">
        <w:rPr>
          <w:lang w:eastAsia="ja-JP"/>
        </w:rPr>
        <w:t>cipaglucosidase</w:t>
      </w:r>
      <w:proofErr w:type="spellEnd"/>
      <w:r w:rsidRPr="0069304E">
        <w:rPr>
          <w:lang w:eastAsia="ja-JP"/>
        </w:rPr>
        <w:t xml:space="preserve"> alfa/</w:t>
      </w:r>
      <w:proofErr w:type="spellStart"/>
      <w:r w:rsidRPr="0069304E">
        <w:rPr>
          <w:lang w:eastAsia="ja-JP"/>
        </w:rPr>
        <w:t>miglustat</w:t>
      </w:r>
      <w:proofErr w:type="spellEnd"/>
      <w:r w:rsidRPr="0069304E">
        <w:rPr>
          <w:lang w:eastAsia="ja-JP"/>
        </w:rPr>
        <w:t xml:space="preserve"> </w:t>
      </w:r>
      <w:r>
        <w:rPr>
          <w:lang w:eastAsia="ja-JP"/>
        </w:rPr>
        <w:t xml:space="preserve">and </w:t>
      </w:r>
      <w:proofErr w:type="spellStart"/>
      <w:r w:rsidRPr="0069304E">
        <w:rPr>
          <w:lang w:eastAsia="ja-JP"/>
        </w:rPr>
        <w:t>alglucosidase</w:t>
      </w:r>
      <w:proofErr w:type="spellEnd"/>
      <w:r w:rsidRPr="0069304E">
        <w:rPr>
          <w:lang w:eastAsia="ja-JP"/>
        </w:rPr>
        <w:t xml:space="preserve"> alfa/placebo group</w:t>
      </w:r>
      <w:r>
        <w:rPr>
          <w:lang w:eastAsia="ja-JP"/>
        </w:rPr>
        <w:t xml:space="preserve">s, although </w:t>
      </w:r>
      <w:r w:rsidRPr="007530AD">
        <w:rPr>
          <w:lang w:eastAsia="ja-JP"/>
        </w:rPr>
        <w:t xml:space="preserve">nasopharyngitis and urinary tract infection occurred more frequently </w:t>
      </w:r>
      <w:r>
        <w:rPr>
          <w:lang w:eastAsia="ja-JP"/>
        </w:rPr>
        <w:t xml:space="preserve">in the </w:t>
      </w:r>
      <w:proofErr w:type="spellStart"/>
      <w:r w:rsidRPr="0069304E">
        <w:rPr>
          <w:lang w:eastAsia="ja-JP"/>
        </w:rPr>
        <w:t>cipaglucosidase</w:t>
      </w:r>
      <w:proofErr w:type="spellEnd"/>
      <w:r w:rsidRPr="0069304E">
        <w:rPr>
          <w:lang w:eastAsia="ja-JP"/>
        </w:rPr>
        <w:t xml:space="preserve"> alfa/</w:t>
      </w:r>
      <w:proofErr w:type="spellStart"/>
      <w:r w:rsidRPr="0069304E">
        <w:rPr>
          <w:lang w:eastAsia="ja-JP"/>
        </w:rPr>
        <w:t>miglustat</w:t>
      </w:r>
      <w:proofErr w:type="spellEnd"/>
      <w:r>
        <w:rPr>
          <w:lang w:eastAsia="ja-JP"/>
        </w:rPr>
        <w:t xml:space="preserve"> group.</w:t>
      </w:r>
      <w:r w:rsidR="00127DF6">
        <w:rPr>
          <w:lang w:eastAsia="ja-JP"/>
        </w:rPr>
        <w:t xml:space="preserve"> </w:t>
      </w:r>
      <w:r>
        <w:rPr>
          <w:lang w:eastAsia="ja-JP"/>
        </w:rPr>
        <w:t xml:space="preserve">Most </w:t>
      </w:r>
      <w:r w:rsidRPr="00A239E5">
        <w:rPr>
          <w:lang w:eastAsia="ja-JP"/>
        </w:rPr>
        <w:t>TEAEs were mild to moderate in severity.</w:t>
      </w:r>
      <w:r w:rsidR="00127DF6">
        <w:rPr>
          <w:lang w:eastAsia="ja-JP"/>
        </w:rPr>
        <w:t xml:space="preserve"> </w:t>
      </w:r>
      <w:r>
        <w:rPr>
          <w:lang w:eastAsia="ja-JP"/>
        </w:rPr>
        <w:t>H</w:t>
      </w:r>
      <w:r w:rsidRPr="00403CD9">
        <w:t>ypersensitivity</w:t>
      </w:r>
      <w:r>
        <w:t xml:space="preserve"> and </w:t>
      </w:r>
      <w:r w:rsidRPr="00403CD9">
        <w:t xml:space="preserve">anaphylactic reaction TEAEs </w:t>
      </w:r>
      <w:r>
        <w:t xml:space="preserve">were reported in </w:t>
      </w:r>
      <w:r w:rsidRPr="00403CD9">
        <w:t xml:space="preserve">25.9% of </w:t>
      </w:r>
      <w:proofErr w:type="spellStart"/>
      <w:r w:rsidRPr="00403CD9">
        <w:t>cipaglucosidase</w:t>
      </w:r>
      <w:proofErr w:type="spellEnd"/>
      <w:r w:rsidRPr="00403CD9">
        <w:t xml:space="preserve"> alfa/</w:t>
      </w:r>
      <w:proofErr w:type="spellStart"/>
      <w:r w:rsidRPr="00403CD9">
        <w:t>miglustat</w:t>
      </w:r>
      <w:proofErr w:type="spellEnd"/>
      <w:r w:rsidRPr="00403CD9">
        <w:t xml:space="preserve"> subjects and 39.5% of </w:t>
      </w:r>
      <w:proofErr w:type="spellStart"/>
      <w:r w:rsidRPr="00403CD9">
        <w:t>alglucosidase</w:t>
      </w:r>
      <w:proofErr w:type="spellEnd"/>
      <w:r w:rsidRPr="00403CD9">
        <w:t xml:space="preserve"> alfa</w:t>
      </w:r>
      <w:r>
        <w:t>/placebo</w:t>
      </w:r>
      <w:r w:rsidRPr="00403CD9">
        <w:t xml:space="preserve"> subjects.</w:t>
      </w:r>
      <w:r w:rsidR="00127DF6">
        <w:t xml:space="preserve"> </w:t>
      </w:r>
      <w:r>
        <w:t xml:space="preserve">The proportion of </w:t>
      </w:r>
      <w:proofErr w:type="spellStart"/>
      <w:r>
        <w:t>cipaglucosidase</w:t>
      </w:r>
      <w:proofErr w:type="spellEnd"/>
      <w:r>
        <w:t xml:space="preserve"> alfa/</w:t>
      </w:r>
      <w:proofErr w:type="spellStart"/>
      <w:r>
        <w:t>miglustat</w:t>
      </w:r>
      <w:proofErr w:type="spellEnd"/>
      <w:r>
        <w:t xml:space="preserve">-treated subjects who experienced hypersensitivity/anaphylactic reaction TEAEs was similar between ERT-experienced </w:t>
      </w:r>
      <w:r w:rsidRPr="005A06C5">
        <w:t>(</w:t>
      </w:r>
      <w:r>
        <w:t>24</w:t>
      </w:r>
      <w:r w:rsidRPr="005A06C5">
        <w:t>.</w:t>
      </w:r>
      <w:r>
        <w:t>6</w:t>
      </w:r>
      <w:r w:rsidRPr="005A06C5">
        <w:t>%</w:t>
      </w:r>
      <w:r>
        <w:t>)</w:t>
      </w:r>
      <w:r w:rsidRPr="005A06C5">
        <w:t xml:space="preserve"> </w:t>
      </w:r>
      <w:r>
        <w:t>and ERT-naïve subjects</w:t>
      </w:r>
      <w:r w:rsidRPr="005A06C5">
        <w:t xml:space="preserve"> </w:t>
      </w:r>
      <w:r>
        <w:t>(30</w:t>
      </w:r>
      <w:r w:rsidRPr="005A06C5">
        <w:t>.</w:t>
      </w:r>
      <w:r>
        <w:t>0</w:t>
      </w:r>
      <w:r w:rsidRPr="005A06C5">
        <w:t>%</w:t>
      </w:r>
      <w:r>
        <w:t>)</w:t>
      </w:r>
      <w:r w:rsidRPr="005A06C5">
        <w:t>.</w:t>
      </w:r>
      <w:r w:rsidR="00127DF6">
        <w:t xml:space="preserve"> </w:t>
      </w:r>
      <w:r w:rsidRPr="00BE7A77">
        <w:t>Most of the hypersensitivity/anaphylactic reaction TEAEs were no</w:t>
      </w:r>
      <w:r>
        <w:t>n-serious</w:t>
      </w:r>
      <w:r w:rsidRPr="00BE7A77">
        <w:t xml:space="preserve"> and did not lead to discontinuation of study drug</w:t>
      </w:r>
      <w:r>
        <w:t>, but o</w:t>
      </w:r>
      <w:r w:rsidRPr="00BE7A77">
        <w:t>ne</w:t>
      </w:r>
      <w:r>
        <w:t xml:space="preserve"> </w:t>
      </w:r>
      <w:proofErr w:type="spellStart"/>
      <w:r w:rsidRPr="00BE7A77">
        <w:t>cipaglucosidase</w:t>
      </w:r>
      <w:proofErr w:type="spellEnd"/>
      <w:r w:rsidRPr="00BE7A77">
        <w:t xml:space="preserve"> alfa/</w:t>
      </w:r>
      <w:proofErr w:type="spellStart"/>
      <w:r w:rsidRPr="00BE7A77">
        <w:t>miglustat</w:t>
      </w:r>
      <w:proofErr w:type="spellEnd"/>
      <w:r w:rsidRPr="00BE7A77">
        <w:t>-treated subject experienced a serious anaphylactic reaction TEAE that led to discontinuation of study drug</w:t>
      </w:r>
      <w:r>
        <w:t>.</w:t>
      </w:r>
      <w:r w:rsidR="00127DF6">
        <w:t xml:space="preserve"> </w:t>
      </w:r>
      <w:r w:rsidRPr="00403CD9">
        <w:t xml:space="preserve">IARs </w:t>
      </w:r>
      <w:r>
        <w:t>were reported in 24.7% of</w:t>
      </w:r>
      <w:r w:rsidRPr="00403CD9">
        <w:t xml:space="preserve"> </w:t>
      </w:r>
      <w:proofErr w:type="spellStart"/>
      <w:r w:rsidRPr="00403CD9">
        <w:t>cipaglucosidase</w:t>
      </w:r>
      <w:proofErr w:type="spellEnd"/>
      <w:r w:rsidRPr="00403CD9">
        <w:t xml:space="preserve"> alfa/</w:t>
      </w:r>
      <w:proofErr w:type="spellStart"/>
      <w:r w:rsidRPr="00403CD9">
        <w:t>miglustat</w:t>
      </w:r>
      <w:proofErr w:type="spellEnd"/>
      <w:r>
        <w:t>-treated subjects</w:t>
      </w:r>
      <w:r w:rsidRPr="00403CD9">
        <w:t xml:space="preserve"> and </w:t>
      </w:r>
      <w:r>
        <w:t xml:space="preserve">26.3% of </w:t>
      </w:r>
      <w:proofErr w:type="spellStart"/>
      <w:r w:rsidRPr="00403CD9">
        <w:t>alglucosidase</w:t>
      </w:r>
      <w:proofErr w:type="spellEnd"/>
      <w:r w:rsidRPr="00403CD9">
        <w:t xml:space="preserve"> alfa</w:t>
      </w:r>
      <w:r>
        <w:t>/placebo-treated subjects.</w:t>
      </w:r>
      <w:r w:rsidR="00127DF6">
        <w:t xml:space="preserve"> </w:t>
      </w:r>
      <w:r w:rsidRPr="00465338">
        <w:t xml:space="preserve">IARs were experienced by </w:t>
      </w:r>
      <w:r>
        <w:t xml:space="preserve">similar </w:t>
      </w:r>
      <w:r w:rsidRPr="00465338">
        <w:t>proportion</w:t>
      </w:r>
      <w:r>
        <w:t>s</w:t>
      </w:r>
      <w:r w:rsidRPr="00465338">
        <w:t xml:space="preserve"> of ERT-naïve (</w:t>
      </w:r>
      <w:r>
        <w:t>25</w:t>
      </w:r>
      <w:r w:rsidRPr="00465338">
        <w:t>.</w:t>
      </w:r>
      <w:r>
        <w:t>0</w:t>
      </w:r>
      <w:r w:rsidRPr="00465338">
        <w:t>%</w:t>
      </w:r>
      <w:r>
        <w:t xml:space="preserve">) and </w:t>
      </w:r>
      <w:r w:rsidRPr="00465338">
        <w:t xml:space="preserve">ERT-experienced </w:t>
      </w:r>
      <w:r>
        <w:t>(24</w:t>
      </w:r>
      <w:r w:rsidRPr="00465338">
        <w:t>.</w:t>
      </w:r>
      <w:r>
        <w:t>6</w:t>
      </w:r>
      <w:r w:rsidRPr="00465338">
        <w:t>%</w:t>
      </w:r>
      <w:r>
        <w:t>)</w:t>
      </w:r>
      <w:r w:rsidRPr="00465338">
        <w:t xml:space="preserve"> subjects.</w:t>
      </w:r>
      <w:r w:rsidR="00127DF6">
        <w:t xml:space="preserve"> </w:t>
      </w:r>
      <w:r w:rsidRPr="00403CD9">
        <w:t>Most subjects who experienced IAR-TEAEs had 1-3 events.</w:t>
      </w:r>
      <w:r w:rsidR="00127DF6">
        <w:t xml:space="preserve"> </w:t>
      </w:r>
      <w:r w:rsidRPr="00403CD9">
        <w:t xml:space="preserve">Overall, 2.7% of all infusions in the </w:t>
      </w:r>
      <w:proofErr w:type="spellStart"/>
      <w:r w:rsidRPr="00403CD9">
        <w:t>cipaglucosidase</w:t>
      </w:r>
      <w:proofErr w:type="spellEnd"/>
      <w:r w:rsidRPr="00403CD9">
        <w:t xml:space="preserve"> alfa/</w:t>
      </w:r>
      <w:proofErr w:type="spellStart"/>
      <w:r w:rsidRPr="00403CD9">
        <w:t>miglustat</w:t>
      </w:r>
      <w:proofErr w:type="spellEnd"/>
      <w:r>
        <w:t xml:space="preserve"> group and 2.8% of all infusions in the </w:t>
      </w:r>
      <w:proofErr w:type="spellStart"/>
      <w:r>
        <w:t>alglucosidase</w:t>
      </w:r>
      <w:proofErr w:type="spellEnd"/>
      <w:r>
        <w:t xml:space="preserve"> alfa/placebo group were associated with 1 or more IAR-TEAEs.</w:t>
      </w:r>
      <w:r w:rsidR="00127DF6">
        <w:t xml:space="preserve"> </w:t>
      </w:r>
      <w:r>
        <w:t xml:space="preserve">There was no clear association between </w:t>
      </w:r>
      <w:r w:rsidRPr="00ED5549">
        <w:t>hypersensitivity/anaphylaxis AEs or IARs and the presence or absence of</w:t>
      </w:r>
      <w:r>
        <w:t xml:space="preserve"> immunogenicity markers.</w:t>
      </w:r>
      <w:r w:rsidR="00127DF6">
        <w:t xml:space="preserve"> </w:t>
      </w:r>
      <w:r>
        <w:t xml:space="preserve">IARs including hypersensitivity and anaphylactic reactions with or without development of IgG and </w:t>
      </w:r>
      <w:proofErr w:type="spellStart"/>
      <w:r>
        <w:t>IgE</w:t>
      </w:r>
      <w:proofErr w:type="spellEnd"/>
      <w:r>
        <w:t xml:space="preserve"> antibodies have been classified as an important identified risk for </w:t>
      </w:r>
      <w:proofErr w:type="spellStart"/>
      <w:r>
        <w:t>cipaglucosidase</w:t>
      </w:r>
      <w:proofErr w:type="spellEnd"/>
      <w:r>
        <w:t xml:space="preserve"> alfa.</w:t>
      </w:r>
    </w:p>
    <w:p w14:paraId="1A3E715A" w14:textId="1D9352C9" w:rsidR="0018458C" w:rsidRDefault="0018458C" w:rsidP="0018458C">
      <w:pPr>
        <w:rPr>
          <w:i/>
          <w:color w:val="7295D2" w:themeColor="accent1" w:themeTint="BF"/>
        </w:rPr>
      </w:pPr>
      <w:r>
        <w:t>Immune complex-related reactions have been reported with other ERTs in patients who had high IgG antibody titres, including severe cutaneous reactions and nephrotic syndrome.</w:t>
      </w:r>
      <w:r w:rsidR="00127DF6">
        <w:t xml:space="preserve"> </w:t>
      </w:r>
      <w:r>
        <w:t xml:space="preserve">The safety dataset for </w:t>
      </w:r>
      <w:proofErr w:type="spellStart"/>
      <w:r>
        <w:t>cipaglucosidase</w:t>
      </w:r>
      <w:proofErr w:type="spellEnd"/>
      <w:r>
        <w:t xml:space="preserve"> alfa/</w:t>
      </w:r>
      <w:proofErr w:type="spellStart"/>
      <w:r>
        <w:t>miglustat</w:t>
      </w:r>
      <w:proofErr w:type="spellEnd"/>
      <w:r>
        <w:t xml:space="preserve"> did not raise concern regarding serious immune complex-related reactions, but the safety dataset is </w:t>
      </w:r>
      <w:proofErr w:type="gramStart"/>
      <w:r>
        <w:t>small</w:t>
      </w:r>
      <w:proofErr w:type="gramEnd"/>
      <w:r>
        <w:t xml:space="preserve"> and a potential class effect has not been excluded.</w:t>
      </w:r>
      <w:r w:rsidR="00127DF6">
        <w:t xml:space="preserve"> </w:t>
      </w:r>
      <w:r>
        <w:t>Immune complex-related reactions have been classified as an important potential risk.</w:t>
      </w:r>
    </w:p>
    <w:p w14:paraId="688F50A6" w14:textId="77777777" w:rsidR="0018458C" w:rsidRPr="00F12C27" w:rsidRDefault="0018458C" w:rsidP="00F12C27">
      <w:pPr>
        <w:pStyle w:val="Heading5"/>
      </w:pPr>
      <w:r w:rsidRPr="00F12C27">
        <w:lastRenderedPageBreak/>
        <w:t>Proposed Indications</w:t>
      </w:r>
    </w:p>
    <w:p w14:paraId="5D15F108" w14:textId="7F97750B" w:rsidR="0018458C" w:rsidRPr="007E6E39" w:rsidRDefault="0018458C" w:rsidP="0018458C">
      <w:pPr>
        <w:rPr>
          <w:bCs/>
          <w:lang w:eastAsia="ja-JP"/>
        </w:rPr>
      </w:pPr>
      <w:r>
        <w:rPr>
          <w:bCs/>
          <w:lang w:eastAsia="ja-JP"/>
        </w:rPr>
        <w:t>The proposed use is in adults with LOPD, in line with the submitted clinical dataset.</w:t>
      </w:r>
      <w:r w:rsidR="00127DF6">
        <w:rPr>
          <w:bCs/>
          <w:lang w:eastAsia="ja-JP"/>
        </w:rPr>
        <w:t xml:space="preserve"> </w:t>
      </w:r>
      <w:r w:rsidRPr="007E6E39">
        <w:rPr>
          <w:bCs/>
          <w:lang w:eastAsia="ja-JP"/>
        </w:rPr>
        <w:t>The proposed indications are the same as the approved indications in the EU.</w:t>
      </w:r>
    </w:p>
    <w:p w14:paraId="2DCC9BFF" w14:textId="77777777" w:rsidR="0018458C" w:rsidRDefault="0018458C" w:rsidP="00D90857">
      <w:pPr>
        <w:pStyle w:val="Heading5"/>
        <w:rPr>
          <w:lang w:eastAsia="ja-JP"/>
        </w:rPr>
      </w:pPr>
      <w:r>
        <w:rPr>
          <w:lang w:eastAsia="ja-JP"/>
        </w:rPr>
        <w:t>Uncertainties and limitations of the data</w:t>
      </w:r>
    </w:p>
    <w:p w14:paraId="1D89422E" w14:textId="5892DDB2" w:rsidR="0018458C" w:rsidRDefault="0018458C" w:rsidP="0018458C">
      <w:proofErr w:type="spellStart"/>
      <w:r>
        <w:t>Cipaglucosidase</w:t>
      </w:r>
      <w:proofErr w:type="spellEnd"/>
      <w:r>
        <w:t xml:space="preserve"> alfa/</w:t>
      </w:r>
      <w:proofErr w:type="spellStart"/>
      <w:r>
        <w:t>miglustat</w:t>
      </w:r>
      <w:proofErr w:type="spellEnd"/>
      <w:r>
        <w:t xml:space="preserve"> is being investigated in paediatric patients, but the current application is only for adults, in line with the clinical dataset presented in this application.</w:t>
      </w:r>
      <w:r w:rsidR="00127DF6">
        <w:t xml:space="preserve"> </w:t>
      </w:r>
      <w:r>
        <w:t xml:space="preserve">Study ATB200-04 is an ongoing Phase 3, open-label, multicentre study to evaluate the safety, PK, efficacy, PD, and immunogenicity of </w:t>
      </w:r>
      <w:proofErr w:type="spellStart"/>
      <w:r>
        <w:t>cipaglucosidase</w:t>
      </w:r>
      <w:proofErr w:type="spellEnd"/>
      <w:r>
        <w:t xml:space="preserve"> alfa/</w:t>
      </w:r>
      <w:proofErr w:type="spellStart"/>
      <w:r>
        <w:t>miglustat</w:t>
      </w:r>
      <w:proofErr w:type="spellEnd"/>
      <w:r>
        <w:t xml:space="preserve"> treatment in subjects aged 0 to &lt;18 years with Pompe disease.</w:t>
      </w:r>
      <w:r w:rsidR="00127DF6">
        <w:t xml:space="preserve"> </w:t>
      </w:r>
      <w:r>
        <w:t>Only 10 subjects had been dosed as of the data cut-off date for this application, so results from this study were not presented in detail.</w:t>
      </w:r>
    </w:p>
    <w:p w14:paraId="35BCAF8F" w14:textId="30BD3650" w:rsidR="0018458C" w:rsidRPr="00256694" w:rsidRDefault="0018458C" w:rsidP="0018458C">
      <w:pPr>
        <w:rPr>
          <w:lang w:eastAsia="ja-JP"/>
        </w:rPr>
      </w:pPr>
      <w:r>
        <w:rPr>
          <w:lang w:eastAsia="ja-JP"/>
        </w:rPr>
        <w:t xml:space="preserve">The proposed use of </w:t>
      </w:r>
      <w:proofErr w:type="spellStart"/>
      <w:r>
        <w:rPr>
          <w:lang w:eastAsia="ja-JP"/>
        </w:rPr>
        <w:t>cipaglucosidase</w:t>
      </w:r>
      <w:proofErr w:type="spellEnd"/>
      <w:r>
        <w:rPr>
          <w:lang w:eastAsia="ja-JP"/>
        </w:rPr>
        <w:t xml:space="preserve"> alfa is in combination with </w:t>
      </w:r>
      <w:proofErr w:type="spellStart"/>
      <w:r>
        <w:rPr>
          <w:lang w:eastAsia="ja-JP"/>
        </w:rPr>
        <w:t>miglustat</w:t>
      </w:r>
      <w:proofErr w:type="spellEnd"/>
      <w:r>
        <w:rPr>
          <w:lang w:eastAsia="ja-JP"/>
        </w:rPr>
        <w:t>.</w:t>
      </w:r>
      <w:r w:rsidR="00127DF6">
        <w:rPr>
          <w:lang w:eastAsia="ja-JP"/>
        </w:rPr>
        <w:t xml:space="preserve"> </w:t>
      </w:r>
      <w:r>
        <w:rPr>
          <w:lang w:eastAsia="ja-JP"/>
        </w:rPr>
        <w:t xml:space="preserve">The efficacy of </w:t>
      </w:r>
      <w:proofErr w:type="spellStart"/>
      <w:r>
        <w:rPr>
          <w:lang w:eastAsia="ja-JP"/>
        </w:rPr>
        <w:t>cipaglucosidase</w:t>
      </w:r>
      <w:proofErr w:type="spellEnd"/>
      <w:r>
        <w:rPr>
          <w:lang w:eastAsia="ja-JP"/>
        </w:rPr>
        <w:t xml:space="preserve"> alfa as monotherapy has not been established.</w:t>
      </w:r>
    </w:p>
    <w:p w14:paraId="22A7DA6A" w14:textId="77777777" w:rsidR="0018458C" w:rsidRDefault="0018458C" w:rsidP="0018458C">
      <w:pPr>
        <w:rPr>
          <w:lang w:eastAsia="ja-JP"/>
        </w:rPr>
      </w:pPr>
      <w:r>
        <w:rPr>
          <w:lang w:eastAsia="ja-JP"/>
        </w:rPr>
        <w:t>All participants in the pivotal study were ambulatory, so there is uncertainty regarding benefit in non-ambulatory patients.</w:t>
      </w:r>
    </w:p>
    <w:p w14:paraId="1C72E9B4" w14:textId="60726A17" w:rsidR="0018458C" w:rsidRDefault="0018458C" w:rsidP="0018458C">
      <w:pPr>
        <w:rPr>
          <w:lang w:eastAsia="ja-JP"/>
        </w:rPr>
      </w:pPr>
      <w:r>
        <w:rPr>
          <w:lang w:eastAsia="ja-JP"/>
        </w:rPr>
        <w:t xml:space="preserve">Most patients treated with </w:t>
      </w:r>
      <w:proofErr w:type="spellStart"/>
      <w:r>
        <w:rPr>
          <w:lang w:eastAsia="ja-JP"/>
        </w:rPr>
        <w:t>cipaglucosidase</w:t>
      </w:r>
      <w:proofErr w:type="spellEnd"/>
      <w:r>
        <w:rPr>
          <w:lang w:eastAsia="ja-JP"/>
        </w:rPr>
        <w:t xml:space="preserve"> alfa/</w:t>
      </w:r>
      <w:proofErr w:type="spellStart"/>
      <w:r>
        <w:rPr>
          <w:lang w:eastAsia="ja-JP"/>
        </w:rPr>
        <w:t>miglustat</w:t>
      </w:r>
      <w:proofErr w:type="spellEnd"/>
      <w:r>
        <w:rPr>
          <w:lang w:eastAsia="ja-JP"/>
        </w:rPr>
        <w:t xml:space="preserve"> develop ADAs.</w:t>
      </w:r>
      <w:r w:rsidR="00127DF6">
        <w:rPr>
          <w:lang w:eastAsia="ja-JP"/>
        </w:rPr>
        <w:t xml:space="preserve"> </w:t>
      </w:r>
      <w:r>
        <w:rPr>
          <w:lang w:eastAsia="ja-JP"/>
        </w:rPr>
        <w:t>The clinical development program did not raise specific concern regarding effects of ADAs on PK, PD, efficacy, and safety, but there remains uncertainty regarding long-term impact of immunogenicity on efficacy and safety.</w:t>
      </w:r>
    </w:p>
    <w:p w14:paraId="07994E9B" w14:textId="77777777" w:rsidR="00C22214" w:rsidRPr="005E08DF" w:rsidRDefault="00C22214" w:rsidP="005E08DF">
      <w:pPr>
        <w:pStyle w:val="Heading4"/>
      </w:pPr>
      <w:bookmarkStart w:id="80" w:name="_Toc98931934"/>
      <w:bookmarkStart w:id="81" w:name="_Toc200457829"/>
      <w:r w:rsidRPr="005E08DF">
        <w:t>Questions for the sponsor</w:t>
      </w:r>
      <w:bookmarkEnd w:id="80"/>
      <w:bookmarkEnd w:id="81"/>
    </w:p>
    <w:p w14:paraId="1F694596" w14:textId="77777777" w:rsidR="00C22214" w:rsidRDefault="00C22214" w:rsidP="00DA1244">
      <w:r w:rsidRPr="00BD5DBD">
        <w:t>The sponsor provided the following response to questions from the Delegate.</w:t>
      </w:r>
    </w:p>
    <w:p w14:paraId="70D98407" w14:textId="274778D5" w:rsidR="000B53C0" w:rsidRPr="00D500D3" w:rsidRDefault="000B53C0" w:rsidP="00D500D3">
      <w:pPr>
        <w:pStyle w:val="Numberbullet0"/>
        <w:rPr>
          <w:b/>
          <w:bCs/>
          <w:i/>
          <w:iCs/>
        </w:rPr>
      </w:pPr>
      <w:r w:rsidRPr="00D500D3">
        <w:rPr>
          <w:b/>
          <w:bCs/>
          <w:i/>
          <w:iCs/>
        </w:rPr>
        <w:t>The current applications are for adult patients.</w:t>
      </w:r>
      <w:r w:rsidR="00127DF6">
        <w:rPr>
          <w:b/>
          <w:bCs/>
          <w:i/>
          <w:iCs/>
        </w:rPr>
        <w:t xml:space="preserve"> </w:t>
      </w:r>
      <w:r w:rsidRPr="00D500D3">
        <w:rPr>
          <w:b/>
          <w:bCs/>
          <w:i/>
          <w:iCs/>
        </w:rPr>
        <w:t xml:space="preserve">Please provide a brief outline of the </w:t>
      </w:r>
      <w:proofErr w:type="gramStart"/>
      <w:r w:rsidRPr="00D500D3">
        <w:rPr>
          <w:b/>
          <w:bCs/>
          <w:i/>
          <w:iCs/>
        </w:rPr>
        <w:t>current status</w:t>
      </w:r>
      <w:proofErr w:type="gramEnd"/>
      <w:r w:rsidRPr="00D500D3">
        <w:rPr>
          <w:b/>
          <w:bCs/>
          <w:i/>
          <w:iCs/>
        </w:rPr>
        <w:t xml:space="preserve"> of the paediatric development strategy.</w:t>
      </w:r>
    </w:p>
    <w:p w14:paraId="7A9F68A3" w14:textId="77777777" w:rsidR="007E49DF" w:rsidRDefault="007E49DF" w:rsidP="00C22214">
      <w:pPr>
        <w:rPr>
          <w:szCs w:val="22"/>
        </w:rPr>
      </w:pPr>
      <w:r>
        <w:rPr>
          <w:szCs w:val="22"/>
        </w:rPr>
        <w:t xml:space="preserve">Response from the Sponsor: </w:t>
      </w:r>
    </w:p>
    <w:p w14:paraId="29F2BAA7" w14:textId="461D8A29" w:rsidR="000B53C0" w:rsidRDefault="00BB3E63" w:rsidP="00DA1244">
      <w:r>
        <w:t xml:space="preserve">A paediatric </w:t>
      </w:r>
      <w:r w:rsidR="006E0CA4">
        <w:t xml:space="preserve">development program for </w:t>
      </w:r>
      <w:proofErr w:type="spellStart"/>
      <w:r w:rsidR="006E0CA4" w:rsidRPr="006E0CA4">
        <w:t>cipaglucosidase</w:t>
      </w:r>
      <w:proofErr w:type="spellEnd"/>
      <w:r w:rsidR="006E0CA4" w:rsidRPr="006E0CA4">
        <w:t xml:space="preserve"> alfa</w:t>
      </w:r>
      <w:r w:rsidR="00F81146">
        <w:t>/</w:t>
      </w:r>
      <w:proofErr w:type="spellStart"/>
      <w:r w:rsidR="00F81146">
        <w:t>miglustat</w:t>
      </w:r>
      <w:proofErr w:type="spellEnd"/>
      <w:r w:rsidR="00F81146">
        <w:t xml:space="preserve"> is in</w:t>
      </w:r>
      <w:r w:rsidR="00C47B7D">
        <w:t>v</w:t>
      </w:r>
      <w:r w:rsidR="00F81146">
        <w:t>estigating the benefi</w:t>
      </w:r>
      <w:r w:rsidR="00C47B7D">
        <w:t>t</w:t>
      </w:r>
      <w:r w:rsidR="00F81146">
        <w:t xml:space="preserve">/ risk across all paediatric groups, including paediatric late-onset Pompe disease (LOPD) and infantile-onset </w:t>
      </w:r>
      <w:r w:rsidR="00365600">
        <w:t>Pompe disease (IOPD). There are two paediatric clinical studies ongoing</w:t>
      </w:r>
      <w:r w:rsidR="000C7CAE">
        <w:t>, which are currently recruiting subjects at sites globally.</w:t>
      </w:r>
    </w:p>
    <w:p w14:paraId="6E02678B" w14:textId="392E2309" w:rsidR="000C7CAE" w:rsidRDefault="000C7CAE" w:rsidP="000C7CAE">
      <w:pPr>
        <w:pStyle w:val="ListBullet"/>
      </w:pPr>
      <w:r>
        <w:t>ATB200-04</w:t>
      </w:r>
      <w:r w:rsidR="008D1812">
        <w:t xml:space="preserve">: Open-label, uncontrolled study to evaluate safety, pharmacokinetics (PK), efficacy, pharmacodynamics (PD) and </w:t>
      </w:r>
      <w:r w:rsidR="005818ED">
        <w:t xml:space="preserve">immunogenicity of </w:t>
      </w:r>
      <w:proofErr w:type="spellStart"/>
      <w:r w:rsidR="005818ED" w:rsidRPr="005818ED">
        <w:t>ci</w:t>
      </w:r>
      <w:r w:rsidR="006E0CA4" w:rsidRPr="006E0CA4">
        <w:t>paglucosidase</w:t>
      </w:r>
      <w:proofErr w:type="spellEnd"/>
      <w:r w:rsidR="006E0CA4" w:rsidRPr="006E0CA4">
        <w:t xml:space="preserve"> alfa</w:t>
      </w:r>
      <w:r w:rsidR="005818ED" w:rsidRPr="005818ED">
        <w:t>/</w:t>
      </w:r>
      <w:proofErr w:type="spellStart"/>
      <w:r w:rsidR="005818ED" w:rsidRPr="005818ED">
        <w:t>miglustat</w:t>
      </w:r>
      <w:proofErr w:type="spellEnd"/>
      <w:r w:rsidR="005818ED">
        <w:t xml:space="preserve"> in children from birth to </w:t>
      </w:r>
      <w:r w:rsidR="00A11F68">
        <w:t>less than 18 years with LOPD.</w:t>
      </w:r>
    </w:p>
    <w:p w14:paraId="49E973FD" w14:textId="3FA62775" w:rsidR="00A11F68" w:rsidRPr="00BD5DBD" w:rsidRDefault="00A11F68" w:rsidP="00DA1244">
      <w:pPr>
        <w:pStyle w:val="ListBullet"/>
      </w:pPr>
      <w:r>
        <w:t xml:space="preserve">ATB200-08: </w:t>
      </w:r>
      <w:r w:rsidR="00DA6907" w:rsidRPr="00DA6907">
        <w:t>Open-label, uncontrolled study to evaluate safety,</w:t>
      </w:r>
      <w:r w:rsidR="00DA6907">
        <w:t xml:space="preserve"> efficacy, PK, PD, and immunogenicity of </w:t>
      </w:r>
      <w:proofErr w:type="spellStart"/>
      <w:r w:rsidR="00DA6907" w:rsidRPr="00DA6907">
        <w:t>ci</w:t>
      </w:r>
      <w:r w:rsidR="006E0CA4" w:rsidRPr="006E0CA4">
        <w:t>paglucosidase</w:t>
      </w:r>
      <w:proofErr w:type="spellEnd"/>
      <w:r w:rsidR="006E0CA4" w:rsidRPr="006E0CA4">
        <w:t xml:space="preserve"> alfa</w:t>
      </w:r>
      <w:r w:rsidR="00DA6907" w:rsidRPr="00DA6907">
        <w:t>/</w:t>
      </w:r>
      <w:proofErr w:type="spellStart"/>
      <w:r w:rsidR="00DA6907" w:rsidRPr="00DA6907">
        <w:t>miglustat</w:t>
      </w:r>
      <w:proofErr w:type="spellEnd"/>
      <w:r w:rsidR="00DA6907" w:rsidRPr="00DA6907">
        <w:t xml:space="preserve"> in </w:t>
      </w:r>
      <w:r w:rsidR="00DA6907" w:rsidRPr="00DA1244">
        <w:t>children</w:t>
      </w:r>
      <w:r w:rsidR="00DA6907" w:rsidRPr="00DA6907">
        <w:t xml:space="preserve"> from birth to less than 18 years with </w:t>
      </w:r>
      <w:r w:rsidR="00387FD7">
        <w:t>classic I</w:t>
      </w:r>
      <w:r w:rsidR="00DA6907" w:rsidRPr="00DA6907">
        <w:t>OPD.</w:t>
      </w:r>
    </w:p>
    <w:p w14:paraId="5291EA2A" w14:textId="77777777" w:rsidR="00C22214" w:rsidRPr="005E08DF" w:rsidRDefault="00C22214" w:rsidP="005E08DF">
      <w:pPr>
        <w:pStyle w:val="Heading5"/>
      </w:pPr>
      <w:bookmarkStart w:id="82" w:name="_Toc247691532"/>
      <w:bookmarkStart w:id="83" w:name="_Toc314842516"/>
      <w:r w:rsidRPr="005E08DF">
        <w:t>Conclusion</w:t>
      </w:r>
    </w:p>
    <w:p w14:paraId="15E2951C" w14:textId="3DB284BC" w:rsidR="00C22214" w:rsidRDefault="00DF2E78" w:rsidP="00DA1244">
      <w:r w:rsidRPr="00DF2E78">
        <w:t xml:space="preserve">The efficacy and safety of </w:t>
      </w:r>
      <w:proofErr w:type="spellStart"/>
      <w:r w:rsidRPr="00DF2E78">
        <w:t>cipaglucosidase</w:t>
      </w:r>
      <w:proofErr w:type="spellEnd"/>
      <w:r w:rsidRPr="00DF2E78">
        <w:t xml:space="preserve"> alfa in combination with </w:t>
      </w:r>
      <w:proofErr w:type="spellStart"/>
      <w:r w:rsidRPr="00DF2E78">
        <w:t>miglustat</w:t>
      </w:r>
      <w:proofErr w:type="spellEnd"/>
      <w:r w:rsidRPr="00DF2E78">
        <w:t xml:space="preserve"> in adults with LOPD have been satisfactorily established.</w:t>
      </w:r>
      <w:r w:rsidR="00127DF6">
        <w:t xml:space="preserve"> </w:t>
      </w:r>
      <w:r w:rsidRPr="00DF2E78">
        <w:t>The proposed indications are acceptable.</w:t>
      </w:r>
      <w:r w:rsidR="00127DF6">
        <w:t xml:space="preserve"> </w:t>
      </w:r>
      <w:r w:rsidRPr="00DF2E78">
        <w:t xml:space="preserve">There are no outstanding issues requiring advice from </w:t>
      </w:r>
      <w:r w:rsidR="00DE352E" w:rsidRPr="00DE352E">
        <w:t>the Advisory Committee on Medicines (ACM)</w:t>
      </w:r>
      <w:r w:rsidRPr="00DF2E78">
        <w:t>.</w:t>
      </w:r>
      <w:r>
        <w:t xml:space="preserve"> Therefore, t</w:t>
      </w:r>
      <w:r w:rsidR="00C22214" w:rsidRPr="00BD5DBD">
        <w:t>he Delegate did not refer this submission to the ACM for advice.</w:t>
      </w:r>
    </w:p>
    <w:p w14:paraId="307F236C" w14:textId="0EF3B1EA" w:rsidR="00C22214" w:rsidRPr="002E238E" w:rsidRDefault="00277F54" w:rsidP="00DA1244">
      <w:pPr>
        <w:pStyle w:val="Heading2"/>
      </w:pPr>
      <w:bookmarkStart w:id="84" w:name="_Toc103679300"/>
      <w:bookmarkStart w:id="85" w:name="_Toc200457830"/>
      <w:r>
        <w:lastRenderedPageBreak/>
        <w:t xml:space="preserve">Regulatory </w:t>
      </w:r>
      <w:r w:rsidR="00DA1244" w:rsidRPr="00DA1244">
        <w:t>d</w:t>
      </w:r>
      <w:r w:rsidRPr="00DA1244">
        <w:t>ecision</w:t>
      </w:r>
      <w:r>
        <w:t xml:space="preserve"> (</w:t>
      </w:r>
      <w:r w:rsidR="00C22214">
        <w:t>Outcome</w:t>
      </w:r>
      <w:bookmarkEnd w:id="82"/>
      <w:bookmarkEnd w:id="83"/>
      <w:bookmarkEnd w:id="84"/>
      <w:r>
        <w:t>)</w:t>
      </w:r>
      <w:bookmarkEnd w:id="85"/>
    </w:p>
    <w:p w14:paraId="7AFF7481" w14:textId="7EDE8CB1" w:rsidR="00C1159B" w:rsidRPr="00BD5DBD" w:rsidRDefault="00C22214" w:rsidP="00DA1244">
      <w:r w:rsidRPr="0017005C">
        <w:t xml:space="preserve">Based on a review of quality, safety, and efficacy, the TGA </w:t>
      </w:r>
      <w:r w:rsidR="00B46DFB">
        <w:t>decided to</w:t>
      </w:r>
      <w:r w:rsidRPr="0017005C">
        <w:t xml:space="preserve"> regist</w:t>
      </w:r>
      <w:r w:rsidR="00B46DFB">
        <w:t>er</w:t>
      </w:r>
      <w:r w:rsidRPr="0017005C">
        <w:t xml:space="preserve"> </w:t>
      </w:r>
      <w:proofErr w:type="spellStart"/>
      <w:r w:rsidR="007C712C">
        <w:t>Pombiliti</w:t>
      </w:r>
      <w:proofErr w:type="spellEnd"/>
      <w:r w:rsidR="00A0725A">
        <w:t xml:space="preserve"> (</w:t>
      </w:r>
      <w:proofErr w:type="spellStart"/>
      <w:r w:rsidR="00A0725A">
        <w:t>cipaglucosidase</w:t>
      </w:r>
      <w:proofErr w:type="spellEnd"/>
      <w:r w:rsidR="00A0725A">
        <w:t xml:space="preserve"> alfa)</w:t>
      </w:r>
      <w:r w:rsidR="00C1159B" w:rsidRPr="00C1159B">
        <w:t xml:space="preserve"> </w:t>
      </w:r>
      <w:r w:rsidR="00C1159B">
        <w:t>105 mg/ 7ml powder for injection</w:t>
      </w:r>
      <w:r w:rsidR="00A0725A">
        <w:t xml:space="preserve"> </w:t>
      </w:r>
      <w:r w:rsidRPr="0017005C">
        <w:t>indicated for</w:t>
      </w:r>
      <w:r w:rsidR="00CF063C">
        <w:t>:</w:t>
      </w:r>
    </w:p>
    <w:p w14:paraId="1B628AE9" w14:textId="7426EBBC" w:rsidR="003E5EEC" w:rsidRPr="00DA1244" w:rsidRDefault="003E5EEC" w:rsidP="00DA1244">
      <w:pPr>
        <w:ind w:left="720"/>
        <w:rPr>
          <w:i/>
          <w:iCs/>
        </w:rPr>
      </w:pPr>
      <w:proofErr w:type="spellStart"/>
      <w:r w:rsidRPr="00DA1244">
        <w:rPr>
          <w:i/>
          <w:iCs/>
        </w:rPr>
        <w:t>P</w:t>
      </w:r>
      <w:r w:rsidR="00C47B7D" w:rsidRPr="00DA1244">
        <w:rPr>
          <w:i/>
          <w:iCs/>
        </w:rPr>
        <w:t>ombiliti</w:t>
      </w:r>
      <w:proofErr w:type="spellEnd"/>
      <w:r w:rsidRPr="00DA1244">
        <w:rPr>
          <w:i/>
          <w:iCs/>
        </w:rPr>
        <w:t xml:space="preserve"> (</w:t>
      </w:r>
      <w:proofErr w:type="spellStart"/>
      <w:r w:rsidRPr="00DA1244">
        <w:rPr>
          <w:i/>
          <w:iCs/>
        </w:rPr>
        <w:t>cipaglucosidase</w:t>
      </w:r>
      <w:proofErr w:type="spellEnd"/>
      <w:r w:rsidRPr="00DA1244">
        <w:rPr>
          <w:i/>
          <w:iCs/>
        </w:rPr>
        <w:t xml:space="preserve"> alfa) is a long-term enzyme replacement therapy used in</w:t>
      </w:r>
    </w:p>
    <w:p w14:paraId="3B245AB5" w14:textId="1E14B39B" w:rsidR="00C22214" w:rsidRPr="00DA1244" w:rsidRDefault="003E5EEC" w:rsidP="00DA1244">
      <w:pPr>
        <w:ind w:left="720"/>
        <w:rPr>
          <w:i/>
          <w:iCs/>
        </w:rPr>
      </w:pPr>
      <w:r w:rsidRPr="00DA1244">
        <w:rPr>
          <w:i/>
          <w:iCs/>
        </w:rPr>
        <w:t xml:space="preserve">combination with the enzyme stabiliser </w:t>
      </w:r>
      <w:proofErr w:type="spellStart"/>
      <w:r w:rsidRPr="00DA1244">
        <w:rPr>
          <w:i/>
          <w:iCs/>
        </w:rPr>
        <w:t>miglustat</w:t>
      </w:r>
      <w:proofErr w:type="spellEnd"/>
      <w:r w:rsidRPr="00DA1244">
        <w:rPr>
          <w:i/>
          <w:iCs/>
        </w:rPr>
        <w:t xml:space="preserve"> for the treatment of adults with late</w:t>
      </w:r>
      <w:r w:rsidR="00C47B7D" w:rsidRPr="00DA1244">
        <w:rPr>
          <w:i/>
          <w:iCs/>
        </w:rPr>
        <w:t xml:space="preserve"> </w:t>
      </w:r>
      <w:r w:rsidRPr="00DA1244">
        <w:rPr>
          <w:i/>
          <w:iCs/>
        </w:rPr>
        <w:t>onset</w:t>
      </w:r>
      <w:r w:rsidR="00C47B7D" w:rsidRPr="00DA1244">
        <w:rPr>
          <w:i/>
          <w:iCs/>
        </w:rPr>
        <w:t xml:space="preserve"> </w:t>
      </w:r>
      <w:r w:rsidRPr="00DA1244">
        <w:rPr>
          <w:i/>
          <w:iCs/>
        </w:rPr>
        <w:t>Pompe disease (acid α-glucosidase [GAA] deficiency).</w:t>
      </w:r>
    </w:p>
    <w:p w14:paraId="0D732DA4" w14:textId="44D0F45C" w:rsidR="00854D98" w:rsidRPr="00D23139" w:rsidRDefault="00854D98" w:rsidP="00854D98">
      <w:pPr>
        <w:pStyle w:val="Heading3"/>
      </w:pPr>
      <w:bookmarkStart w:id="86" w:name="_Toc103679301"/>
      <w:bookmarkStart w:id="87" w:name="_Toc200457831"/>
      <w:r w:rsidRPr="00D23139">
        <w:t xml:space="preserve">Specific conditions of </w:t>
      </w:r>
      <w:r w:rsidRPr="00E737B4">
        <w:t xml:space="preserve">registration applying to </w:t>
      </w:r>
      <w:bookmarkEnd w:id="86"/>
      <w:proofErr w:type="spellStart"/>
      <w:r w:rsidR="007A7718" w:rsidRPr="00E737B4">
        <w:t>Pombiliti</w:t>
      </w:r>
      <w:bookmarkEnd w:id="87"/>
      <w:proofErr w:type="spellEnd"/>
    </w:p>
    <w:p w14:paraId="77268276" w14:textId="25D53366" w:rsidR="008279F8" w:rsidRPr="008279F8" w:rsidRDefault="008279F8" w:rsidP="00033500">
      <w:pPr>
        <w:pStyle w:val="ListBullet"/>
      </w:pPr>
      <w:r w:rsidRPr="008279F8">
        <w:t>POMBILITI (</w:t>
      </w:r>
      <w:proofErr w:type="spellStart"/>
      <w:r w:rsidRPr="008279F8">
        <w:t>cipaglucosidase</w:t>
      </w:r>
      <w:proofErr w:type="spellEnd"/>
      <w:r w:rsidRPr="008279F8">
        <w:t xml:space="preserve"> alfa) is to be included in the Black Triangle Scheme. The PI</w:t>
      </w:r>
      <w:r w:rsidR="00EB34FC">
        <w:t xml:space="preserve"> </w:t>
      </w:r>
      <w:r w:rsidRPr="008279F8">
        <w:t>and CMI for POMBILITI must include the black triangle symbol and mandatory</w:t>
      </w:r>
      <w:r w:rsidR="00EB34FC">
        <w:t xml:space="preserve"> </w:t>
      </w:r>
      <w:r w:rsidRPr="008279F8">
        <w:t>accompanying text for five years, which starts from the date of first supply of the</w:t>
      </w:r>
      <w:r w:rsidR="00EB34FC">
        <w:t xml:space="preserve"> </w:t>
      </w:r>
      <w:r w:rsidRPr="008279F8">
        <w:t>product.</w:t>
      </w:r>
    </w:p>
    <w:p w14:paraId="476A618D" w14:textId="173C5F27" w:rsidR="008279F8" w:rsidRPr="008279F8" w:rsidRDefault="00EB34FC" w:rsidP="0054043D">
      <w:pPr>
        <w:pStyle w:val="ListBullet"/>
      </w:pPr>
      <w:r>
        <w:t>T</w:t>
      </w:r>
      <w:r w:rsidR="008279F8" w:rsidRPr="008279F8">
        <w:t>he POMBILITI EU-Risk Management Plan (RMP) (version 1.2, dated 9 February 2023,</w:t>
      </w:r>
      <w:r>
        <w:t xml:space="preserve"> </w:t>
      </w:r>
      <w:r w:rsidR="008279F8" w:rsidRPr="008279F8">
        <w:t>data lock point 23 August 2022), with Australian Specific Annex (version 1.1, dated 2</w:t>
      </w:r>
      <w:r>
        <w:t xml:space="preserve"> </w:t>
      </w:r>
      <w:r w:rsidR="008279F8" w:rsidRPr="008279F8">
        <w:t>August 2024), included with submission PM-2023-05418-1-3, and any subsequent</w:t>
      </w:r>
      <w:r>
        <w:t xml:space="preserve"> </w:t>
      </w:r>
      <w:r w:rsidR="008279F8" w:rsidRPr="008279F8">
        <w:t>revisions, as agreed with the TGA will be implemented in Australia.</w:t>
      </w:r>
    </w:p>
    <w:p w14:paraId="50A6A889" w14:textId="3E346F11" w:rsidR="002A7CDC" w:rsidRDefault="008279F8" w:rsidP="00DA1244">
      <w:pPr>
        <w:pStyle w:val="ListBullet"/>
      </w:pPr>
      <w:r w:rsidRPr="008279F8">
        <w:t xml:space="preserve">An obligatory component of risk </w:t>
      </w:r>
      <w:r w:rsidRPr="00DA1244">
        <w:t>management</w:t>
      </w:r>
      <w:r w:rsidRPr="008279F8">
        <w:t xml:space="preserve"> plans is routine pharmacovigilance.</w:t>
      </w:r>
      <w:r w:rsidR="00EB34FC">
        <w:t xml:space="preserve"> </w:t>
      </w:r>
      <w:r w:rsidRPr="008279F8">
        <w:t>Routine pharmacovigilance includes the submission of periodic safety update reports</w:t>
      </w:r>
      <w:r w:rsidR="00EB34FC">
        <w:t xml:space="preserve"> </w:t>
      </w:r>
      <w:r w:rsidRPr="008279F8">
        <w:t>(PSURs).</w:t>
      </w:r>
    </w:p>
    <w:p w14:paraId="1090649C" w14:textId="7C95C73F" w:rsidR="002A7CDC" w:rsidRDefault="008279F8" w:rsidP="002A7CDC">
      <w:pPr>
        <w:pStyle w:val="ListBullet"/>
        <w:numPr>
          <w:ilvl w:val="0"/>
          <w:numId w:val="0"/>
        </w:numPr>
        <w:ind w:left="360"/>
      </w:pPr>
      <w:r w:rsidRPr="008279F8">
        <w:t>Reports are to be provided in line with the current published list of EU reference dates</w:t>
      </w:r>
      <w:r w:rsidR="002A7CDC">
        <w:t xml:space="preserve"> </w:t>
      </w:r>
      <w:r w:rsidRPr="008279F8">
        <w:t>and frequency of submission of PSURs until the period covered by such reports is not</w:t>
      </w:r>
      <w:r w:rsidR="002A7CDC">
        <w:t xml:space="preserve"> </w:t>
      </w:r>
      <w:r w:rsidRPr="008279F8">
        <w:t>less than three years from the date of this approval letter.</w:t>
      </w:r>
    </w:p>
    <w:p w14:paraId="3CD01FB6" w14:textId="77777777" w:rsidR="00895349" w:rsidRDefault="008279F8" w:rsidP="00895349">
      <w:pPr>
        <w:pStyle w:val="ListBullet"/>
        <w:numPr>
          <w:ilvl w:val="0"/>
          <w:numId w:val="0"/>
        </w:numPr>
        <w:ind w:left="360"/>
      </w:pPr>
      <w:r w:rsidRPr="008279F8">
        <w:t>Each report must be submitted within ninety calendar days of the data lock point for</w:t>
      </w:r>
      <w:r w:rsidR="002A7CDC">
        <w:t xml:space="preserve"> </w:t>
      </w:r>
      <w:r w:rsidRPr="008279F8">
        <w:t>that report.</w:t>
      </w:r>
    </w:p>
    <w:p w14:paraId="46FB17DA" w14:textId="2EEA4E6E" w:rsidR="008279F8" w:rsidRPr="008279F8" w:rsidRDefault="008279F8" w:rsidP="00301E8F">
      <w:pPr>
        <w:pStyle w:val="ListBullet"/>
        <w:numPr>
          <w:ilvl w:val="0"/>
          <w:numId w:val="0"/>
        </w:numPr>
        <w:ind w:left="360"/>
      </w:pPr>
      <w:r w:rsidRPr="008279F8">
        <w:t>The reports are to at least meet the requirements for PSURs as described in the</w:t>
      </w:r>
      <w:r w:rsidR="00895349">
        <w:t xml:space="preserve"> </w:t>
      </w:r>
      <w:r w:rsidRPr="008279F8">
        <w:t>European Medicines Agency’s Guideline on good pharmacovigilance practices (GVP)</w:t>
      </w:r>
      <w:r w:rsidR="00895349">
        <w:t xml:space="preserve"> </w:t>
      </w:r>
      <w:r w:rsidRPr="008279F8">
        <w:t>Module VII-periodic safety update report (Rev 1), Part VII.B Structures and processes.</w:t>
      </w:r>
      <w:r w:rsidR="00301E8F">
        <w:t xml:space="preserve"> </w:t>
      </w:r>
      <w:r w:rsidRPr="008279F8">
        <w:t>Note that submission of a PSUR does not constitute an application to vary the</w:t>
      </w:r>
      <w:r w:rsidR="00301E8F">
        <w:t xml:space="preserve"> </w:t>
      </w:r>
      <w:r w:rsidRPr="008279F8">
        <w:t>registration.</w:t>
      </w:r>
    </w:p>
    <w:p w14:paraId="29CED998" w14:textId="53C910B0" w:rsidR="008279F8" w:rsidRPr="008279F8" w:rsidRDefault="008279F8" w:rsidP="00301E8F">
      <w:pPr>
        <w:pStyle w:val="ListBullet"/>
      </w:pPr>
      <w:r w:rsidRPr="008279F8">
        <w:t>Laboratory testing &amp; compliance with Certified Product Details (CPD)</w:t>
      </w:r>
    </w:p>
    <w:p w14:paraId="21F75B2F" w14:textId="7D15DE15" w:rsidR="008279F8" w:rsidRPr="008279F8" w:rsidRDefault="008279F8" w:rsidP="00C63D85">
      <w:pPr>
        <w:pStyle w:val="ListBullet2"/>
      </w:pPr>
      <w:r w:rsidRPr="008279F8">
        <w:t xml:space="preserve">All batches of POMBILITI </w:t>
      </w:r>
      <w:proofErr w:type="spellStart"/>
      <w:r w:rsidRPr="008279F8">
        <w:t>cipaglucosidase</w:t>
      </w:r>
      <w:proofErr w:type="spellEnd"/>
      <w:r w:rsidRPr="008279F8">
        <w:t xml:space="preserve"> alfa 105 mg powder for</w:t>
      </w:r>
      <w:r w:rsidR="00301E8F">
        <w:t xml:space="preserve"> </w:t>
      </w:r>
      <w:r w:rsidRPr="008279F8">
        <w:t>injection, vial supplied in Australia must comply with the product</w:t>
      </w:r>
      <w:r w:rsidR="00301E8F">
        <w:t xml:space="preserve"> </w:t>
      </w:r>
      <w:r w:rsidRPr="008279F8">
        <w:t>details and specifications approved during evaluation and detailed in</w:t>
      </w:r>
      <w:r w:rsidR="00301E8F">
        <w:t xml:space="preserve"> </w:t>
      </w:r>
      <w:r w:rsidRPr="008279F8">
        <w:t>the Certified Product Details (CPD).</w:t>
      </w:r>
    </w:p>
    <w:p w14:paraId="3931642A" w14:textId="6B8A8EAE" w:rsidR="008279F8" w:rsidRPr="008279F8" w:rsidRDefault="008279F8" w:rsidP="00073430">
      <w:pPr>
        <w:pStyle w:val="ListBullet2"/>
      </w:pPr>
      <w:r w:rsidRPr="008279F8">
        <w:t>When requested by the TGA, the Sponsor should be prepared to</w:t>
      </w:r>
      <w:r w:rsidR="00301E8F">
        <w:t xml:space="preserve"> </w:t>
      </w:r>
      <w:r w:rsidRPr="008279F8">
        <w:t>provide product samples, specified reference materials and</w:t>
      </w:r>
      <w:r w:rsidR="00301E8F">
        <w:t xml:space="preserve"> </w:t>
      </w:r>
      <w:r w:rsidRPr="008279F8">
        <w:t>documentary evidence to enable the TGA to conduct laboratory</w:t>
      </w:r>
      <w:r w:rsidR="00301E8F">
        <w:t xml:space="preserve"> </w:t>
      </w:r>
      <w:r w:rsidRPr="008279F8">
        <w:t>testing on the Product. Outcomes of laboratory testing are published</w:t>
      </w:r>
      <w:r w:rsidR="00301E8F">
        <w:t xml:space="preserve"> </w:t>
      </w:r>
      <w:r w:rsidRPr="008279F8">
        <w:t>biannually in the TGA Database of Laboratory Testing Results</w:t>
      </w:r>
      <w:r w:rsidR="00301E8F">
        <w:t xml:space="preserve"> </w:t>
      </w:r>
      <w:r w:rsidRPr="008279F8">
        <w:t>http://www.tga.gov.au/ws-labs-index and periodically in testing</w:t>
      </w:r>
      <w:r w:rsidR="00301E8F">
        <w:t xml:space="preserve"> </w:t>
      </w:r>
      <w:r w:rsidRPr="008279F8">
        <w:t>reports on the TGA website.</w:t>
      </w:r>
    </w:p>
    <w:p w14:paraId="36DC7A99" w14:textId="01C0C1FE" w:rsidR="008279F8" w:rsidRPr="008279F8" w:rsidRDefault="008279F8" w:rsidP="00301E8F">
      <w:pPr>
        <w:pStyle w:val="ListBullet"/>
      </w:pPr>
      <w:r w:rsidRPr="008279F8">
        <w:t>Certified Product Details</w:t>
      </w:r>
    </w:p>
    <w:p w14:paraId="63459F26" w14:textId="4C49A42F" w:rsidR="008279F8" w:rsidRDefault="008279F8" w:rsidP="00DA1244">
      <w:pPr>
        <w:pStyle w:val="ListBullet"/>
        <w:numPr>
          <w:ilvl w:val="0"/>
          <w:numId w:val="0"/>
        </w:numPr>
        <w:ind w:left="360"/>
      </w:pPr>
      <w:r w:rsidRPr="008279F8">
        <w:t>The Certified Product Details (CPD), as described in Guidance 7: Certified Product</w:t>
      </w:r>
      <w:r w:rsidR="00FB78D9">
        <w:t xml:space="preserve"> </w:t>
      </w:r>
      <w:r w:rsidRPr="008279F8">
        <w:t xml:space="preserve">Details of the Australian </w:t>
      </w:r>
      <w:r w:rsidRPr="00DA1244">
        <w:t>Regulatory</w:t>
      </w:r>
      <w:r w:rsidRPr="008279F8">
        <w:t xml:space="preserve"> Guidelines for Prescription Medicines (ARGPM)</w:t>
      </w:r>
      <w:r w:rsidR="00FB78D9">
        <w:t xml:space="preserve"> </w:t>
      </w:r>
      <w:r w:rsidRPr="008279F8">
        <w:t>[http://www.tga.gov.au/industry/pm-argpm-guidance-7.htm], in PDF format, for the</w:t>
      </w:r>
      <w:r w:rsidR="00FB78D9">
        <w:t xml:space="preserve"> </w:t>
      </w:r>
      <w:r w:rsidRPr="008279F8">
        <w:t>above products should be provided upon registration of these therapeutic goods. In</w:t>
      </w:r>
      <w:r w:rsidR="00FB78D9">
        <w:t xml:space="preserve"> </w:t>
      </w:r>
      <w:r w:rsidRPr="008279F8">
        <w:t>addition, an updated CPD should be provided when changes to finished product</w:t>
      </w:r>
      <w:r w:rsidR="00FB78D9">
        <w:t xml:space="preserve"> </w:t>
      </w:r>
      <w:r w:rsidRPr="008279F8">
        <w:t>specifications and test methods are approved in a Category 3 application or notified</w:t>
      </w:r>
      <w:r w:rsidR="00FB78D9">
        <w:t xml:space="preserve"> </w:t>
      </w:r>
      <w:r w:rsidRPr="008279F8">
        <w:t>through a self-assessable change.</w:t>
      </w:r>
    </w:p>
    <w:p w14:paraId="451DC3FC" w14:textId="038FDE3A" w:rsidR="00C22214" w:rsidRPr="005408BB" w:rsidRDefault="00C22214" w:rsidP="00DA1244">
      <w:pPr>
        <w:pStyle w:val="Heading2"/>
      </w:pPr>
      <w:bookmarkStart w:id="88" w:name="_Toc103679303"/>
      <w:bookmarkStart w:id="89" w:name="_Toc200457832"/>
      <w:r w:rsidRPr="005408BB">
        <w:lastRenderedPageBreak/>
        <w:t>Product Information</w:t>
      </w:r>
      <w:bookmarkEnd w:id="88"/>
      <w:r w:rsidR="008C300A" w:rsidRPr="005408BB">
        <w:t xml:space="preserve"> and Consumer Medicines Information</w:t>
      </w:r>
      <w:bookmarkEnd w:id="89"/>
    </w:p>
    <w:p w14:paraId="1E776334" w14:textId="77777777" w:rsidR="00E51439" w:rsidRPr="008B4DA3" w:rsidRDefault="00E51439" w:rsidP="00E51439">
      <w:pPr>
        <w:spacing w:line="276" w:lineRule="auto"/>
      </w:pPr>
      <w:r w:rsidRPr="00BD5DBD">
        <w:rPr>
          <w:szCs w:val="22"/>
        </w:rPr>
        <w:t xml:space="preserve">For the most recent </w:t>
      </w:r>
      <w:r>
        <w:rPr>
          <w:szCs w:val="22"/>
        </w:rPr>
        <w:t>Product Information (</w:t>
      </w:r>
      <w:r w:rsidRPr="00BD5DBD">
        <w:rPr>
          <w:szCs w:val="22"/>
        </w:rPr>
        <w:t>PI</w:t>
      </w:r>
      <w:r>
        <w:rPr>
          <w:szCs w:val="22"/>
        </w:rPr>
        <w:t>)</w:t>
      </w:r>
      <w:r w:rsidRPr="00BD5DBD">
        <w:rPr>
          <w:szCs w:val="22"/>
        </w:rPr>
        <w:t xml:space="preserve"> and</w:t>
      </w:r>
      <w:r>
        <w:rPr>
          <w:szCs w:val="22"/>
        </w:rPr>
        <w:t xml:space="preserve"> Consumer Medicines Information (CMI</w:t>
      </w:r>
      <w:r w:rsidRPr="00BD5DBD">
        <w:rPr>
          <w:szCs w:val="22"/>
        </w:rPr>
        <w:t xml:space="preserve">), please refer to the TGA </w:t>
      </w:r>
      <w:hyperlink r:id="rId43" w:history="1">
        <w:r w:rsidRPr="00BD5DBD">
          <w:rPr>
            <w:rStyle w:val="Hyperlink"/>
            <w:szCs w:val="22"/>
          </w:rPr>
          <w:t>PI/CMI search facility.</w:t>
        </w:r>
      </w:hyperlink>
    </w:p>
    <w:p w14:paraId="40740B65" w14:textId="5819D664" w:rsidR="00C22214" w:rsidRPr="008B4DA3" w:rsidRDefault="00C22214" w:rsidP="00C22214">
      <w:pPr>
        <w:autoSpaceDE w:val="0"/>
        <w:autoSpaceDN w:val="0"/>
        <w:adjustRightInd w:val="0"/>
        <w:spacing w:after="0"/>
      </w:pPr>
    </w:p>
    <w:p w14:paraId="53357BF3" w14:textId="276457B5" w:rsidR="00C22214" w:rsidRDefault="00C22214" w:rsidP="00C22214">
      <w:pPr>
        <w:rPr>
          <w:lang w:eastAsia="ja-JP"/>
        </w:rPr>
        <w:sectPr w:rsidR="00C22214" w:rsidSect="007452E8">
          <w:headerReference w:type="default" r:id="rId44"/>
          <w:footerReference w:type="default" r:id="rId45"/>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215D48" w14:paraId="3C0C07BF" w14:textId="77777777" w:rsidTr="007452E8">
        <w:trPr>
          <w:trHeight w:hRule="exact" w:val="565"/>
          <w:jc w:val="center"/>
        </w:trPr>
        <w:tc>
          <w:tcPr>
            <w:tcW w:w="9145" w:type="dxa"/>
          </w:tcPr>
          <w:bookmarkEnd w:id="3"/>
          <w:bookmarkEnd w:id="4"/>
          <w:p w14:paraId="7E090B86" w14:textId="77777777" w:rsidR="00F02AEC" w:rsidRPr="00215D48" w:rsidRDefault="00F02AEC" w:rsidP="007452E8">
            <w:pPr>
              <w:pStyle w:val="TGASignoff"/>
            </w:pPr>
            <w:r w:rsidRPr="00215D48">
              <w:lastRenderedPageBreak/>
              <w:t>Therapeutic Goods Administration</w:t>
            </w:r>
          </w:p>
        </w:tc>
      </w:tr>
      <w:tr w:rsidR="00F02AEC" w:rsidRPr="00215D48" w14:paraId="70F47EA1" w14:textId="77777777" w:rsidTr="007452E8">
        <w:trPr>
          <w:trHeight w:val="963"/>
          <w:jc w:val="center"/>
        </w:trPr>
        <w:tc>
          <w:tcPr>
            <w:tcW w:w="9145" w:type="dxa"/>
            <w:tcMar>
              <w:top w:w="28" w:type="dxa"/>
            </w:tcMar>
          </w:tcPr>
          <w:p w14:paraId="3491EBCD" w14:textId="77777777" w:rsidR="00F02AEC" w:rsidRPr="00215D48" w:rsidRDefault="00F02AEC" w:rsidP="007452E8">
            <w:pPr>
              <w:pStyle w:val="Address"/>
              <w:jc w:val="center"/>
            </w:pPr>
            <w:r w:rsidRPr="00215D48">
              <w:t>PO Box 100 Woden ACT 2606 Australia</w:t>
            </w:r>
          </w:p>
          <w:p w14:paraId="5D0FE0E7" w14:textId="3E083DAF" w:rsidR="00F02AEC" w:rsidRDefault="00F02AEC">
            <w:pPr>
              <w:pStyle w:val="Address"/>
              <w:jc w:val="center"/>
              <w:rPr>
                <w:sz w:val="22"/>
                <w:szCs w:val="22"/>
              </w:rPr>
            </w:pPr>
            <w:r w:rsidRPr="00215D48">
              <w:t xml:space="preserve">Email: </w:t>
            </w:r>
            <w:hyperlink r:id="rId46" w:history="1">
              <w:r w:rsidRPr="00215D48">
                <w:rPr>
                  <w:rStyle w:val="Hyperlink"/>
                </w:rPr>
                <w:t>info@tga.gov.au</w:t>
              </w:r>
            </w:hyperlink>
            <w:r w:rsidR="00127DF6">
              <w:t xml:space="preserve"> </w:t>
            </w:r>
            <w:r w:rsidRPr="00215D48">
              <w:t>Phone: 1800 020 653</w:t>
            </w:r>
            <w:r w:rsidR="00127DF6">
              <w:t xml:space="preserve"> </w:t>
            </w:r>
            <w:r w:rsidRPr="00215D48">
              <w:t xml:space="preserve">Fax: </w:t>
            </w:r>
            <w:r w:rsidRPr="00BA0DFC">
              <w:t>02 6203 1605</w:t>
            </w:r>
          </w:p>
          <w:p w14:paraId="4533D80F" w14:textId="1519D7A3" w:rsidR="00F02AEC" w:rsidRPr="00215D48" w:rsidRDefault="00F02AEC">
            <w:pPr>
              <w:pStyle w:val="Address"/>
              <w:jc w:val="center"/>
              <w:rPr>
                <w:rStyle w:val="Hyperlink"/>
                <w:b/>
                <w:color w:val="auto"/>
                <w:sz w:val="22"/>
              </w:rPr>
            </w:pPr>
            <w:hyperlink r:id="rId47" w:history="1">
              <w:r w:rsidRPr="00C4721A">
                <w:rPr>
                  <w:rStyle w:val="Hyperlink"/>
                  <w:b/>
                </w:rPr>
                <w:t>https://www.tga.gov.au</w:t>
              </w:r>
            </w:hyperlink>
          </w:p>
        </w:tc>
      </w:tr>
      <w:tr w:rsidR="00F02AEC" w:rsidRPr="00215D48" w14:paraId="2AD74347" w14:textId="77777777" w:rsidTr="007452E8">
        <w:trPr>
          <w:trHeight w:val="251"/>
          <w:jc w:val="center"/>
        </w:trPr>
        <w:tc>
          <w:tcPr>
            <w:tcW w:w="9145" w:type="dxa"/>
            <w:tcMar>
              <w:top w:w="28" w:type="dxa"/>
            </w:tcMar>
          </w:tcPr>
          <w:p w14:paraId="6EAAD5C1" w14:textId="77777777" w:rsidR="00F02AEC" w:rsidRPr="00215D48" w:rsidRDefault="00F02AEC" w:rsidP="007452E8">
            <w:pPr>
              <w:pStyle w:val="Address"/>
              <w:jc w:val="center"/>
            </w:pPr>
            <w:r w:rsidRPr="00215D48">
              <w:t>Reference/Publication #</w:t>
            </w:r>
          </w:p>
        </w:tc>
      </w:tr>
    </w:tbl>
    <w:p w14:paraId="788B80FD" w14:textId="77777777" w:rsidR="007452E8" w:rsidRDefault="007452E8" w:rsidP="00DA1244"/>
    <w:sectPr w:rsidR="007452E8" w:rsidSect="007452E8">
      <w:headerReference w:type="first" r:id="rId48"/>
      <w:footerReference w:type="first" r:id="rId49"/>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A6DFDA" w14:textId="77777777" w:rsidR="000F30F9" w:rsidRDefault="000F30F9" w:rsidP="00F02AEC">
      <w:pPr>
        <w:spacing w:after="0" w:line="240" w:lineRule="auto"/>
      </w:pPr>
      <w:r>
        <w:separator/>
      </w:r>
    </w:p>
  </w:endnote>
  <w:endnote w:type="continuationSeparator" w:id="0">
    <w:p w14:paraId="47A4F97B" w14:textId="77777777" w:rsidR="000F30F9" w:rsidRDefault="000F30F9" w:rsidP="00F02AEC">
      <w:pPr>
        <w:spacing w:after="0" w:line="240" w:lineRule="auto"/>
      </w:pPr>
      <w:r>
        <w:continuationSeparator/>
      </w:r>
    </w:p>
  </w:endnote>
  <w:endnote w:type="continuationNotice" w:id="1">
    <w:p w14:paraId="6D8A8F59" w14:textId="77777777" w:rsidR="000F30F9" w:rsidRDefault="000F30F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7452E8" w:rsidRPr="00257138" w14:paraId="162D69C2" w14:textId="77777777" w:rsidTr="007452E8">
      <w:trPr>
        <w:trHeight w:val="423"/>
      </w:trPr>
      <w:tc>
        <w:tcPr>
          <w:tcW w:w="4360" w:type="dxa"/>
          <w:tcBorders>
            <w:top w:val="single" w:sz="4" w:space="0" w:color="auto"/>
          </w:tcBorders>
        </w:tcPr>
        <w:p w14:paraId="32E1B782" w14:textId="77777777" w:rsidR="007452E8" w:rsidRDefault="007452E8" w:rsidP="007452E8">
          <w:pPr>
            <w:pStyle w:val="Footer"/>
          </w:pPr>
        </w:p>
        <w:p w14:paraId="1849C07C" w14:textId="77777777" w:rsidR="007452E8" w:rsidRPr="00257138" w:rsidRDefault="007452E8" w:rsidP="007452E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606A08BF" w14:textId="77777777" w:rsidR="007452E8" w:rsidRDefault="007452E8" w:rsidP="007452E8">
              <w:pPr>
                <w:pStyle w:val="Footer"/>
                <w:jc w:val="right"/>
              </w:pPr>
            </w:p>
            <w:p w14:paraId="5EDE6DF6" w14:textId="77777777" w:rsidR="007452E8" w:rsidRPr="00257138" w:rsidRDefault="007452E8"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fldChar w:fldCharType="begin"/>
              </w:r>
              <w:r>
                <w:instrText xml:space="preserve"> NUMPAGES  </w:instrText>
              </w:r>
              <w:r>
                <w:fldChar w:fldCharType="separate"/>
              </w:r>
              <w:r>
                <w:rPr>
                  <w:noProof/>
                </w:rPr>
                <w:t>2</w:t>
              </w:r>
              <w:r>
                <w:rPr>
                  <w:noProof/>
                </w:rPr>
                <w:fldChar w:fldCharType="end"/>
              </w:r>
            </w:p>
          </w:sdtContent>
        </w:sdt>
      </w:tc>
    </w:tr>
    <w:tr w:rsidR="007452E8" w:rsidRPr="00257138" w14:paraId="280F09C8" w14:textId="77777777" w:rsidTr="007452E8">
      <w:trPr>
        <w:trHeight w:val="263"/>
      </w:trPr>
      <w:tc>
        <w:tcPr>
          <w:tcW w:w="4360" w:type="dxa"/>
        </w:tcPr>
        <w:p w14:paraId="673F06D3" w14:textId="77777777" w:rsidR="007452E8" w:rsidRPr="00257138" w:rsidRDefault="007452E8" w:rsidP="007452E8">
          <w:pPr>
            <w:pStyle w:val="Footer"/>
          </w:pPr>
          <w:r w:rsidRPr="00257138">
            <w:t xml:space="preserve">V1.0 </w:t>
          </w:r>
          <w:r>
            <w:t>Month</w:t>
          </w:r>
          <w:r w:rsidRPr="00257138">
            <w:t xml:space="preserve"> 201</w:t>
          </w:r>
          <w:r>
            <w:t>2</w:t>
          </w:r>
        </w:p>
      </w:tc>
      <w:tc>
        <w:tcPr>
          <w:tcW w:w="4360" w:type="dxa"/>
        </w:tcPr>
        <w:p w14:paraId="77F5B433" w14:textId="77777777" w:rsidR="007452E8" w:rsidRPr="00257138" w:rsidRDefault="007452E8" w:rsidP="007452E8">
          <w:pPr>
            <w:pStyle w:val="Footer"/>
            <w:jc w:val="right"/>
          </w:pPr>
        </w:p>
      </w:tc>
    </w:tr>
  </w:tbl>
  <w:p w14:paraId="63F6FDDE" w14:textId="77777777" w:rsidR="007452E8" w:rsidRPr="00826007" w:rsidRDefault="007452E8" w:rsidP="007452E8">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AA29C" w14:textId="77777777" w:rsidR="007452E8" w:rsidRDefault="007452E8" w:rsidP="007452E8">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7452E8" w:rsidRPr="004A3084" w14:paraId="6266BC33" w14:textId="77777777" w:rsidTr="007452E8">
      <w:trPr>
        <w:trHeight w:val="423"/>
      </w:trPr>
      <w:tc>
        <w:tcPr>
          <w:tcW w:w="7338" w:type="dxa"/>
          <w:tcBorders>
            <w:top w:val="single" w:sz="4" w:space="0" w:color="auto"/>
          </w:tcBorders>
        </w:tcPr>
        <w:p w14:paraId="3C421323" w14:textId="7A96219A" w:rsidR="007452E8" w:rsidRPr="004A3084" w:rsidRDefault="007452E8" w:rsidP="007452E8">
          <w:pPr>
            <w:pStyle w:val="Footer"/>
          </w:pPr>
          <w:proofErr w:type="spellStart"/>
          <w:r w:rsidRPr="00487162">
            <w:t>AusPA</w:t>
          </w:r>
          <w:r>
            <w:t>R</w:t>
          </w:r>
          <w:proofErr w:type="spellEnd"/>
          <w:r>
            <w:t xml:space="preserve"> - </w:t>
          </w:r>
          <w:proofErr w:type="spellStart"/>
          <w:r w:rsidR="00AB340C">
            <w:t>Pombiliti</w:t>
          </w:r>
          <w:proofErr w:type="spellEnd"/>
          <w:r>
            <w:t xml:space="preserve"> </w:t>
          </w:r>
          <w:r w:rsidR="00447CC7">
            <w:t>–</w:t>
          </w:r>
          <w:r w:rsidRPr="00460036">
            <w:t xml:space="preserve"> </w:t>
          </w:r>
          <w:r w:rsidR="006926FD">
            <w:t>cipagluco</w:t>
          </w:r>
          <w:r w:rsidR="00447CC7">
            <w:t>sidase alfa</w:t>
          </w:r>
          <w:r w:rsidR="008C754C">
            <w:t>-</w:t>
          </w:r>
          <w:r w:rsidR="00EA5170">
            <w:t xml:space="preserve"> Amicus Therapeutics</w:t>
          </w:r>
          <w:r>
            <w:t xml:space="preserve"> - </w:t>
          </w:r>
          <w:r w:rsidR="002A1E10" w:rsidRPr="002A1E10">
            <w:t>PM-2023-05418-1-3</w:t>
          </w:r>
          <w:r>
            <w:br/>
          </w:r>
          <w:r w:rsidR="00502EA9" w:rsidRPr="00502EA9">
            <w:t>Date of Finalisation:</w:t>
          </w:r>
          <w:r w:rsidR="00502EA9">
            <w:t xml:space="preserve"> 2</w:t>
          </w:r>
          <w:r w:rsidR="002A1E10">
            <w:t xml:space="preserve"> </w:t>
          </w:r>
          <w:r w:rsidR="00487D0A">
            <w:t>June 2025</w:t>
          </w:r>
        </w:p>
      </w:tc>
      <w:tc>
        <w:tcPr>
          <w:tcW w:w="1734" w:type="dxa"/>
          <w:tcBorders>
            <w:top w:val="single" w:sz="4" w:space="0" w:color="auto"/>
          </w:tcBorders>
        </w:tcPr>
        <w:sdt>
          <w:sdtPr>
            <w:id w:val="11571659"/>
            <w:docPartObj>
              <w:docPartGallery w:val="Page Numbers (Top of Page)"/>
              <w:docPartUnique/>
            </w:docPartObj>
          </w:sdtPr>
          <w:sdtEndPr/>
          <w:sdtContent>
            <w:p w14:paraId="4DE4ED0C" w14:textId="29F65FFD" w:rsidR="007452E8" w:rsidRPr="004A3084" w:rsidRDefault="007452E8" w:rsidP="007452E8">
              <w:pPr>
                <w:pStyle w:val="Footer"/>
                <w:jc w:val="right"/>
              </w:pPr>
              <w:r w:rsidRPr="004A3084">
                <w:t xml:space="preserve">Page </w:t>
              </w:r>
              <w:r>
                <w:fldChar w:fldCharType="begin"/>
              </w:r>
              <w:r>
                <w:instrText xml:space="preserve"> PAGE </w:instrText>
              </w:r>
              <w:r>
                <w:fldChar w:fldCharType="separate"/>
              </w:r>
              <w:r w:rsidR="006D6B44">
                <w:rPr>
                  <w:noProof/>
                </w:rPr>
                <w:t>13</w:t>
              </w:r>
              <w:r>
                <w:rPr>
                  <w:noProof/>
                </w:rPr>
                <w:fldChar w:fldCharType="end"/>
              </w:r>
              <w:r w:rsidRPr="004A3084">
                <w:t xml:space="preserve"> of </w:t>
              </w:r>
              <w:r w:rsidR="006D6B44">
                <w:fldChar w:fldCharType="begin"/>
              </w:r>
              <w:r w:rsidR="006D6B44">
                <w:instrText xml:space="preserve"> NUMPAGES  </w:instrText>
              </w:r>
              <w:r w:rsidR="006D6B44">
                <w:fldChar w:fldCharType="separate"/>
              </w:r>
              <w:r w:rsidR="006D6B44">
                <w:rPr>
                  <w:noProof/>
                </w:rPr>
                <w:t>17</w:t>
              </w:r>
              <w:r w:rsidR="006D6B44">
                <w:rPr>
                  <w:noProof/>
                </w:rPr>
                <w:fldChar w:fldCharType="end"/>
              </w:r>
            </w:p>
          </w:sdtContent>
        </w:sdt>
      </w:tc>
    </w:tr>
  </w:tbl>
  <w:p w14:paraId="1A4EDE60" w14:textId="77777777" w:rsidR="007452E8" w:rsidRPr="00826007" w:rsidRDefault="007452E8" w:rsidP="007452E8">
    <w:pPr>
      <w:pStyle w:val="Footer"/>
      <w:tabs>
        <w:tab w:val="left" w:pos="7620"/>
        <w:tab w:val="right" w:pos="8504"/>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3F70A" w14:textId="77777777" w:rsidR="007452E8" w:rsidRPr="008E3C43" w:rsidRDefault="007452E8" w:rsidP="00745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19DFFB" w14:textId="77777777" w:rsidR="000F30F9" w:rsidRDefault="000F30F9" w:rsidP="00F02AEC">
      <w:pPr>
        <w:spacing w:after="0" w:line="240" w:lineRule="auto"/>
      </w:pPr>
      <w:r>
        <w:separator/>
      </w:r>
    </w:p>
  </w:footnote>
  <w:footnote w:type="continuationSeparator" w:id="0">
    <w:p w14:paraId="7A253CBB" w14:textId="77777777" w:rsidR="000F30F9" w:rsidRDefault="000F30F9" w:rsidP="00F02AEC">
      <w:pPr>
        <w:spacing w:after="0" w:line="240" w:lineRule="auto"/>
      </w:pPr>
      <w:r>
        <w:continuationSeparator/>
      </w:r>
    </w:p>
  </w:footnote>
  <w:footnote w:type="continuationNotice" w:id="1">
    <w:p w14:paraId="399EAC4A" w14:textId="77777777" w:rsidR="000F30F9" w:rsidRDefault="000F30F9">
      <w:pPr>
        <w:spacing w:after="0" w:line="240" w:lineRule="auto"/>
      </w:pPr>
    </w:p>
  </w:footnote>
  <w:footnote w:id="2">
    <w:p w14:paraId="6021CC0A" w14:textId="6FC5F117" w:rsidR="009B6B58" w:rsidRDefault="009B6B58" w:rsidP="009B6B58">
      <w:pPr>
        <w:pStyle w:val="FootnoteText"/>
      </w:pPr>
      <w:r>
        <w:rPr>
          <w:rStyle w:val="FootnoteReference"/>
        </w:rPr>
        <w:footnoteRef/>
      </w:r>
      <w:r>
        <w:t xml:space="preserve"> Opfolda (miglust</w:t>
      </w:r>
      <w:r w:rsidR="0030624B">
        <w:t>a</w:t>
      </w:r>
      <w:r>
        <w:t>t) was first registered in Australia on 16 December 2024. ARTG number 438811.</w:t>
      </w:r>
    </w:p>
  </w:footnote>
  <w:footnote w:id="3">
    <w:p w14:paraId="5C5EB8DE" w14:textId="77777777" w:rsidR="005E4647" w:rsidRDefault="005E4647" w:rsidP="005E4647">
      <w:pPr>
        <w:pStyle w:val="FootnoteText"/>
      </w:pPr>
      <w:r>
        <w:rPr>
          <w:rStyle w:val="FootnoteReference"/>
        </w:rPr>
        <w:footnoteRef/>
      </w:r>
      <w:r>
        <w:t xml:space="preserve"> The non-clinical statements in this section of the CER will be considered by the Module 4 evaluator</w:t>
      </w:r>
    </w:p>
  </w:footnote>
  <w:footnote w:id="4">
    <w:p w14:paraId="38E70C71" w14:textId="77777777" w:rsidR="005E4647" w:rsidRDefault="005E4647" w:rsidP="005E4647">
      <w:pPr>
        <w:pStyle w:val="FootnoteText"/>
      </w:pPr>
      <w:r>
        <w:rPr>
          <w:rStyle w:val="FootnoteReference"/>
        </w:rPr>
        <w:footnoteRef/>
      </w:r>
      <w:r>
        <w:t xml:space="preserve"> Tong PY, Kornfeld S. Ligand interactions of the cation-dependent mannose 6-phosphate receptor. Comparison with the cation-independent mannose 6-phosphate receptor. J Biol Chem. 1989;264(14):7970-7975</w:t>
      </w:r>
    </w:p>
  </w:footnote>
  <w:footnote w:id="5">
    <w:p w14:paraId="224CD836" w14:textId="2DC6FA06" w:rsidR="00500D68" w:rsidRDefault="00500D68">
      <w:pPr>
        <w:pStyle w:val="FootnoteText"/>
      </w:pPr>
      <w:r>
        <w:rPr>
          <w:rStyle w:val="FootnoteReference"/>
        </w:rPr>
        <w:footnoteRef/>
      </w:r>
      <w:r>
        <w:t xml:space="preserve"> </w:t>
      </w:r>
      <w:r w:rsidR="00AD0111">
        <w:t>In this report the ‘</w:t>
      </w:r>
      <w:r w:rsidR="00AD0111" w:rsidRPr="00C133A3">
        <w:t>Delegate</w:t>
      </w:r>
      <w:r w:rsidR="00AD0111">
        <w:t>’</w:t>
      </w:r>
      <w:r w:rsidR="00AD0111" w:rsidRPr="00C133A3">
        <w:t xml:space="preserve"> </w:t>
      </w:r>
      <w:r w:rsidR="00AD0111">
        <w:t xml:space="preserve">is the </w:t>
      </w:r>
      <w:r w:rsidR="00AD0111" w:rsidRPr="00C133A3">
        <w:t xml:space="preserve">Delegate of the Secretary of the Department of Health and Aged Care who </w:t>
      </w:r>
      <w:r w:rsidR="00AD0111">
        <w:t>decided the submission</w:t>
      </w:r>
      <w:r w:rsidR="00AD0111" w:rsidRPr="00C133A3">
        <w:t xml:space="preserve"> under section 25 of the Act.</w:t>
      </w:r>
    </w:p>
  </w:footnote>
  <w:footnote w:id="6">
    <w:p w14:paraId="6A09D8B9" w14:textId="5E2A7E5B" w:rsidR="00E4106C" w:rsidRDefault="00E4106C">
      <w:pPr>
        <w:pStyle w:val="FootnoteText"/>
      </w:pPr>
      <w:r>
        <w:rPr>
          <w:rStyle w:val="FootnoteReference"/>
        </w:rPr>
        <w:footnoteRef/>
      </w:r>
      <w:r>
        <w:t xml:space="preserve"> </w:t>
      </w:r>
      <w:r w:rsidRPr="00E4106C">
        <w:t>Good Laboratory Practices (GLPs) are the minimum standards used for benchmarking the proper conduct of animal safety studies, in a nonclinical environment, applying both in vivo and in vitro testing.</w:t>
      </w:r>
    </w:p>
  </w:footnote>
  <w:footnote w:id="7">
    <w:p w14:paraId="44FC4493" w14:textId="77777777" w:rsidR="00FD2B82" w:rsidRDefault="00FD2B82" w:rsidP="00FD2B82">
      <w:pPr>
        <w:pStyle w:val="FootnoteText"/>
      </w:pPr>
      <w:r>
        <w:rPr>
          <w:rStyle w:val="FootnoteReference"/>
        </w:rPr>
        <w:footnoteRef/>
      </w:r>
      <w:r>
        <w:t xml:space="preserve"> MYOZYME, Sanofi Genzyme.</w:t>
      </w:r>
    </w:p>
  </w:footnote>
  <w:footnote w:id="8">
    <w:p w14:paraId="1CDFA295" w14:textId="77777777" w:rsidR="00FD2B82" w:rsidRDefault="00FD2B82" w:rsidP="00FD2B82">
      <w:pPr>
        <w:pStyle w:val="FootnoteText"/>
      </w:pPr>
      <w:r>
        <w:rPr>
          <w:rStyle w:val="FootnoteReference"/>
        </w:rPr>
        <w:footnoteRef/>
      </w:r>
      <w:r>
        <w:t xml:space="preserve"> Functional assessments included pulmonary function assessments (maximal expiratory and inspiratory pressure, Sniff Nasal Inspiratory Pressure [SNIP], FVC, and slow vital capacity), motor function assessments (Timed Up and Go; Gait [10 m walk], Climb [4-stair], Gowers’ manoeuvre, and Chair test [GSGC]; and 6MWT), and muscle strength assessments (manual muscle strength [MMT] and quantitative muscle strength [handheld dynamometer]).</w:t>
      </w:r>
    </w:p>
  </w:footnote>
  <w:footnote w:id="9">
    <w:p w14:paraId="4A6CF1A4" w14:textId="77777777" w:rsidR="00FD2B82" w:rsidRDefault="00FD2B82" w:rsidP="00FD2B82">
      <w:pPr>
        <w:pStyle w:val="FootnoteText"/>
      </w:pPr>
      <w:r>
        <w:rPr>
          <w:rStyle w:val="FootnoteReference"/>
        </w:rPr>
        <w:footnoteRef/>
      </w:r>
      <w:r>
        <w:t xml:space="preserve"> PROs included the Rasch-built Pompe-specific Activity (R-Pact) scale; PROMIS instruments for physical function, fatigue, dyspnoea, and upper extremity; EuroQol 5 Dimensions 5 Levels instrument; and </w:t>
      </w:r>
      <w:r w:rsidRPr="00A64AF6">
        <w:t xml:space="preserve">Physician Global Impression of Change </w:t>
      </w:r>
      <w:r>
        <w:t>(PGIC) and Subject Global Impression of Change (SGIC).</w:t>
      </w:r>
    </w:p>
  </w:footnote>
  <w:footnote w:id="10">
    <w:p w14:paraId="507EED4E" w14:textId="77777777" w:rsidR="00FD2B82" w:rsidRDefault="00FD2B82" w:rsidP="00FD2B82">
      <w:pPr>
        <w:pStyle w:val="FootnoteText"/>
      </w:pPr>
      <w:r>
        <w:rPr>
          <w:rStyle w:val="FootnoteReference"/>
        </w:rPr>
        <w:footnoteRef/>
      </w:r>
      <w:r>
        <w:t xml:space="preserve"> Clinical Study Report, Table 14.2.2.1.1</w:t>
      </w:r>
    </w:p>
  </w:footnote>
  <w:footnote w:id="11">
    <w:p w14:paraId="3062A32D" w14:textId="77777777" w:rsidR="00FD2B82" w:rsidRDefault="00FD2B82" w:rsidP="00FD2B82">
      <w:pPr>
        <w:pStyle w:val="FootnoteText"/>
      </w:pPr>
      <w:r>
        <w:rPr>
          <w:rStyle w:val="FootnoteReference"/>
        </w:rPr>
        <w:footnoteRef/>
      </w:r>
      <w:r>
        <w:t xml:space="preserve"> OLE-ES (open-label extension-enrolled subjects) Population: all subjects who satisfied the eligibility requirements (based on the inclusion and exclusion criteria) and entered Study ATB200-07</w:t>
      </w:r>
    </w:p>
  </w:footnote>
  <w:footnote w:id="12">
    <w:p w14:paraId="531AC705" w14:textId="77777777" w:rsidR="00FD2B82" w:rsidRDefault="00FD2B82" w:rsidP="00FD2B82">
      <w:pPr>
        <w:pStyle w:val="FootnoteText"/>
      </w:pPr>
      <w:r>
        <w:rPr>
          <w:rStyle w:val="FootnoteReference"/>
        </w:rPr>
        <w:footnoteRef/>
      </w:r>
      <w:r>
        <w:t xml:space="preserve"> The following PTs were applied: arthralgia, arthritis, arthropathy, cutaneous vasculitis, erythema multiforme, erythema nodosum, glomerulonephritis, haematuria, haemolytic anaemia, influenza like illness, lymphadenopathy, myalgia, myocarditis, nephritis, nephrotic syndrome, proteinuria, purpura, serositis, serum sickness, skin lesion, skin necrosis, type III immune complex mediated reaction, and vasculitis.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E3517" w14:textId="77777777" w:rsidR="007452E8" w:rsidRPr="00CB0550" w:rsidRDefault="007452E8" w:rsidP="00CB0550">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452E8" w:rsidRPr="002B29B2" w14:paraId="3E15C3BC" w14:textId="77777777" w:rsidTr="007452E8">
      <w:trPr>
        <w:trHeight w:hRule="exact" w:val="8845"/>
      </w:trPr>
      <w:tc>
        <w:tcPr>
          <w:tcW w:w="11964" w:type="dxa"/>
          <w:vAlign w:val="center"/>
        </w:tcPr>
        <w:p w14:paraId="6FDE4BFB" w14:textId="77777777" w:rsidR="007452E8" w:rsidRPr="002B29B2" w:rsidRDefault="00DA1244" w:rsidP="007452E8">
          <w:pPr>
            <w:ind w:left="-57"/>
            <w:rPr>
              <w:noProof/>
            </w:rPr>
          </w:pPr>
          <w:sdt>
            <w:sdtPr>
              <w:rPr>
                <w:noProof/>
              </w:rPr>
              <w:id w:val="1926993388"/>
              <w:showingPlcHdr/>
              <w:picture/>
            </w:sdtPr>
            <w:sdtEndPr/>
            <w:sdtContent>
              <w:r w:rsidR="007452E8" w:rsidRPr="00F71E1E">
                <w:rPr>
                  <w:noProof/>
                  <w:lang w:val="en-GB" w:eastAsia="en-GB"/>
                </w:rPr>
                <w:drawing>
                  <wp:inline distT="0" distB="0" distL="0" distR="0" wp14:anchorId="5C7F8AC9" wp14:editId="23FC1BBE">
                    <wp:extent cx="7631430" cy="5523865"/>
                    <wp:effectExtent l="0" t="0" r="762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5780A008" w:rsidR="007452E8" w:rsidRDefault="00990B17" w:rsidP="007452E8">
    <w:pPr>
      <w:rPr>
        <w:noProof/>
      </w:rPr>
    </w:pPr>
    <w:r>
      <w:rPr>
        <w:noProof/>
      </w:rPr>
      <w:drawing>
        <wp:inline distT="0" distB="0" distL="0" distR="0" wp14:anchorId="7C8826BF" wp14:editId="0E437768">
          <wp:extent cx="3344545" cy="694055"/>
          <wp:effectExtent l="0" t="0" r="8255" b="0"/>
          <wp:docPr id="1596027861" name="Picture 2"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027861" name="Picture 2" descr="A black background with a black square&#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44545" cy="694055"/>
                  </a:xfrm>
                  <a:prstGeom prst="rect">
                    <a:avLst/>
                  </a:prstGeom>
                  <a:noFill/>
                  <a:ln>
                    <a:noFill/>
                  </a:ln>
                </pic:spPr>
              </pic:pic>
            </a:graphicData>
          </a:graphic>
        </wp:inline>
      </w:drawing>
    </w:r>
    <w:r w:rsidR="007452E8" w:rsidRPr="002B29B2">
      <w:rPr>
        <w:noProof/>
        <w:lang w:val="en-GB" w:eastAsia="en-GB"/>
      </w:rPr>
      <w:drawing>
        <wp:anchor distT="0" distB="0" distL="114300" distR="114300" simplePos="0" relativeHeight="251658240" behindDoc="0" locked="0" layoutInCell="0" allowOverlap="1" wp14:anchorId="14BBEAC1" wp14:editId="26A0CF80">
          <wp:simplePos x="0" y="0"/>
          <wp:positionH relativeFrom="page">
            <wp:align>left</wp:align>
          </wp:positionH>
          <wp:positionV relativeFrom="page">
            <wp:posOffset>3239495</wp:posOffset>
          </wp:positionV>
          <wp:extent cx="7663815" cy="4323091"/>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1632D" w14:textId="77777777" w:rsidR="007452E8" w:rsidRDefault="007452E8" w:rsidP="007452E8">
    <w:pPr>
      <w:pStyle w:val="Header"/>
    </w:pPr>
    <w:r w:rsidRPr="000F5176">
      <w:t>Therapeutic Goods Administration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B477B" w14:textId="77777777" w:rsidR="007452E8" w:rsidRPr="00FE501F" w:rsidRDefault="007452E8" w:rsidP="007452E8">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D3BA9"/>
    <w:multiLevelType w:val="hybridMultilevel"/>
    <w:tmpl w:val="F544FD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C90FB3"/>
    <w:multiLevelType w:val="hybridMultilevel"/>
    <w:tmpl w:val="094278B2"/>
    <w:lvl w:ilvl="0" w:tplc="906C1360">
      <w:start w:val="1"/>
      <w:numFmt w:val="lowerRoman"/>
      <w:lvlText w:val="%1."/>
      <w:lvlJc w:val="right"/>
      <w:pPr>
        <w:ind w:left="2160" w:hanging="180"/>
      </w:pPr>
      <w:rPr>
        <w:b w:val="0"/>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E9108CD"/>
    <w:multiLevelType w:val="hybridMultilevel"/>
    <w:tmpl w:val="F07C7BCA"/>
    <w:lvl w:ilvl="0" w:tplc="7E7496A6">
      <w:start w:val="1"/>
      <w:numFmt w:val="bullet"/>
      <w:pStyle w:val="Bulletlis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0053F11"/>
    <w:multiLevelType w:val="multilevel"/>
    <w:tmpl w:val="9B4A173E"/>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4" w15:restartNumberingAfterBreak="0">
    <w:nsid w:val="11954162"/>
    <w:multiLevelType w:val="hybridMultilevel"/>
    <w:tmpl w:val="21E0E150"/>
    <w:lvl w:ilvl="0" w:tplc="66A8C192">
      <w:start w:val="1"/>
      <w:numFmt w:val="bullet"/>
      <w:lvlText w:val=""/>
      <w:lvlJc w:val="left"/>
      <w:pPr>
        <w:ind w:left="720" w:hanging="360"/>
      </w:pPr>
      <w:rPr>
        <w:rFonts w:ascii="Symbol" w:hAnsi="Symbol"/>
      </w:rPr>
    </w:lvl>
    <w:lvl w:ilvl="1" w:tplc="816C6ABA">
      <w:start w:val="1"/>
      <w:numFmt w:val="bullet"/>
      <w:lvlText w:val=""/>
      <w:lvlJc w:val="left"/>
      <w:pPr>
        <w:ind w:left="720" w:hanging="360"/>
      </w:pPr>
      <w:rPr>
        <w:rFonts w:ascii="Symbol" w:hAnsi="Symbol"/>
      </w:rPr>
    </w:lvl>
    <w:lvl w:ilvl="2" w:tplc="FA228082">
      <w:start w:val="1"/>
      <w:numFmt w:val="bullet"/>
      <w:lvlText w:val=""/>
      <w:lvlJc w:val="left"/>
      <w:pPr>
        <w:ind w:left="720" w:hanging="360"/>
      </w:pPr>
      <w:rPr>
        <w:rFonts w:ascii="Symbol" w:hAnsi="Symbol"/>
      </w:rPr>
    </w:lvl>
    <w:lvl w:ilvl="3" w:tplc="5FFA528C">
      <w:start w:val="1"/>
      <w:numFmt w:val="bullet"/>
      <w:lvlText w:val=""/>
      <w:lvlJc w:val="left"/>
      <w:pPr>
        <w:ind w:left="720" w:hanging="360"/>
      </w:pPr>
      <w:rPr>
        <w:rFonts w:ascii="Symbol" w:hAnsi="Symbol"/>
      </w:rPr>
    </w:lvl>
    <w:lvl w:ilvl="4" w:tplc="1ADE0C1E">
      <w:start w:val="1"/>
      <w:numFmt w:val="bullet"/>
      <w:lvlText w:val=""/>
      <w:lvlJc w:val="left"/>
      <w:pPr>
        <w:ind w:left="720" w:hanging="360"/>
      </w:pPr>
      <w:rPr>
        <w:rFonts w:ascii="Symbol" w:hAnsi="Symbol"/>
      </w:rPr>
    </w:lvl>
    <w:lvl w:ilvl="5" w:tplc="1FC2A16A">
      <w:start w:val="1"/>
      <w:numFmt w:val="bullet"/>
      <w:lvlText w:val=""/>
      <w:lvlJc w:val="left"/>
      <w:pPr>
        <w:ind w:left="720" w:hanging="360"/>
      </w:pPr>
      <w:rPr>
        <w:rFonts w:ascii="Symbol" w:hAnsi="Symbol"/>
      </w:rPr>
    </w:lvl>
    <w:lvl w:ilvl="6" w:tplc="CC9273EE">
      <w:start w:val="1"/>
      <w:numFmt w:val="bullet"/>
      <w:lvlText w:val=""/>
      <w:lvlJc w:val="left"/>
      <w:pPr>
        <w:ind w:left="720" w:hanging="360"/>
      </w:pPr>
      <w:rPr>
        <w:rFonts w:ascii="Symbol" w:hAnsi="Symbol"/>
      </w:rPr>
    </w:lvl>
    <w:lvl w:ilvl="7" w:tplc="D0167D44">
      <w:start w:val="1"/>
      <w:numFmt w:val="bullet"/>
      <w:lvlText w:val=""/>
      <w:lvlJc w:val="left"/>
      <w:pPr>
        <w:ind w:left="720" w:hanging="360"/>
      </w:pPr>
      <w:rPr>
        <w:rFonts w:ascii="Symbol" w:hAnsi="Symbol"/>
      </w:rPr>
    </w:lvl>
    <w:lvl w:ilvl="8" w:tplc="19C639C8">
      <w:start w:val="1"/>
      <w:numFmt w:val="bullet"/>
      <w:lvlText w:val=""/>
      <w:lvlJc w:val="left"/>
      <w:pPr>
        <w:ind w:left="720" w:hanging="360"/>
      </w:pPr>
      <w:rPr>
        <w:rFonts w:ascii="Symbol" w:hAnsi="Symbol"/>
      </w:rPr>
    </w:lvl>
  </w:abstractNum>
  <w:abstractNum w:abstractNumId="5"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6"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7" w15:restartNumberingAfterBreak="0">
    <w:nsid w:val="17A53F58"/>
    <w:multiLevelType w:val="hybridMultilevel"/>
    <w:tmpl w:val="9006CE9C"/>
    <w:lvl w:ilvl="0" w:tplc="CCE608D2">
      <w:start w:val="1"/>
      <w:numFmt w:val="bullet"/>
      <w:lvlText w:val=""/>
      <w:lvlJc w:val="left"/>
      <w:pPr>
        <w:ind w:left="720" w:hanging="360"/>
      </w:pPr>
      <w:rPr>
        <w:rFonts w:ascii="Symbol" w:hAnsi="Symbol"/>
      </w:rPr>
    </w:lvl>
    <w:lvl w:ilvl="1" w:tplc="DD000D32">
      <w:start w:val="1"/>
      <w:numFmt w:val="bullet"/>
      <w:lvlText w:val=""/>
      <w:lvlJc w:val="left"/>
      <w:pPr>
        <w:ind w:left="720" w:hanging="360"/>
      </w:pPr>
      <w:rPr>
        <w:rFonts w:ascii="Symbol" w:hAnsi="Symbol"/>
      </w:rPr>
    </w:lvl>
    <w:lvl w:ilvl="2" w:tplc="B9A68454">
      <w:start w:val="1"/>
      <w:numFmt w:val="bullet"/>
      <w:lvlText w:val=""/>
      <w:lvlJc w:val="left"/>
      <w:pPr>
        <w:ind w:left="720" w:hanging="360"/>
      </w:pPr>
      <w:rPr>
        <w:rFonts w:ascii="Symbol" w:hAnsi="Symbol"/>
      </w:rPr>
    </w:lvl>
    <w:lvl w:ilvl="3" w:tplc="0F56BB88">
      <w:start w:val="1"/>
      <w:numFmt w:val="bullet"/>
      <w:lvlText w:val=""/>
      <w:lvlJc w:val="left"/>
      <w:pPr>
        <w:ind w:left="720" w:hanging="360"/>
      </w:pPr>
      <w:rPr>
        <w:rFonts w:ascii="Symbol" w:hAnsi="Symbol"/>
      </w:rPr>
    </w:lvl>
    <w:lvl w:ilvl="4" w:tplc="CD46838A">
      <w:start w:val="1"/>
      <w:numFmt w:val="bullet"/>
      <w:lvlText w:val=""/>
      <w:lvlJc w:val="left"/>
      <w:pPr>
        <w:ind w:left="720" w:hanging="360"/>
      </w:pPr>
      <w:rPr>
        <w:rFonts w:ascii="Symbol" w:hAnsi="Symbol"/>
      </w:rPr>
    </w:lvl>
    <w:lvl w:ilvl="5" w:tplc="BBAA1BCC">
      <w:start w:val="1"/>
      <w:numFmt w:val="bullet"/>
      <w:lvlText w:val=""/>
      <w:lvlJc w:val="left"/>
      <w:pPr>
        <w:ind w:left="720" w:hanging="360"/>
      </w:pPr>
      <w:rPr>
        <w:rFonts w:ascii="Symbol" w:hAnsi="Symbol"/>
      </w:rPr>
    </w:lvl>
    <w:lvl w:ilvl="6" w:tplc="BF04908C">
      <w:start w:val="1"/>
      <w:numFmt w:val="bullet"/>
      <w:lvlText w:val=""/>
      <w:lvlJc w:val="left"/>
      <w:pPr>
        <w:ind w:left="720" w:hanging="360"/>
      </w:pPr>
      <w:rPr>
        <w:rFonts w:ascii="Symbol" w:hAnsi="Symbol"/>
      </w:rPr>
    </w:lvl>
    <w:lvl w:ilvl="7" w:tplc="E4DC650E">
      <w:start w:val="1"/>
      <w:numFmt w:val="bullet"/>
      <w:lvlText w:val=""/>
      <w:lvlJc w:val="left"/>
      <w:pPr>
        <w:ind w:left="720" w:hanging="360"/>
      </w:pPr>
      <w:rPr>
        <w:rFonts w:ascii="Symbol" w:hAnsi="Symbol"/>
      </w:rPr>
    </w:lvl>
    <w:lvl w:ilvl="8" w:tplc="2CE8444E">
      <w:start w:val="1"/>
      <w:numFmt w:val="bullet"/>
      <w:lvlText w:val=""/>
      <w:lvlJc w:val="left"/>
      <w:pPr>
        <w:ind w:left="720" w:hanging="360"/>
      </w:pPr>
      <w:rPr>
        <w:rFonts w:ascii="Symbol" w:hAnsi="Symbol"/>
      </w:rPr>
    </w:lvl>
  </w:abstractNum>
  <w:abstractNum w:abstractNumId="8" w15:restartNumberingAfterBreak="0">
    <w:nsid w:val="194226C0"/>
    <w:multiLevelType w:val="hybridMultilevel"/>
    <w:tmpl w:val="A31AA7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FD32432"/>
    <w:multiLevelType w:val="hybridMultilevel"/>
    <w:tmpl w:val="938E3C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1" w15:restartNumberingAfterBreak="0">
    <w:nsid w:val="36F21383"/>
    <w:multiLevelType w:val="hybridMultilevel"/>
    <w:tmpl w:val="1CA06E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D02245E"/>
    <w:multiLevelType w:val="hybridMultilevel"/>
    <w:tmpl w:val="0268C132"/>
    <w:lvl w:ilvl="0" w:tplc="0C090019">
      <w:start w:val="1"/>
      <w:numFmt w:val="lowerLetter"/>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 w15:restartNumberingAfterBreak="0">
    <w:nsid w:val="44326F95"/>
    <w:multiLevelType w:val="hybridMultilevel"/>
    <w:tmpl w:val="CF300CD0"/>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6836578"/>
    <w:multiLevelType w:val="hybridMultilevel"/>
    <w:tmpl w:val="F350D9EC"/>
    <w:lvl w:ilvl="0" w:tplc="B8AAF4A2">
      <w:start w:val="1"/>
      <w:numFmt w:val="bullet"/>
      <w:lvlText w:val=""/>
      <w:lvlJc w:val="left"/>
      <w:pPr>
        <w:ind w:left="720" w:hanging="360"/>
      </w:pPr>
      <w:rPr>
        <w:rFonts w:ascii="Symbol" w:hAnsi="Symbol"/>
      </w:rPr>
    </w:lvl>
    <w:lvl w:ilvl="1" w:tplc="B63ED5FC">
      <w:start w:val="1"/>
      <w:numFmt w:val="bullet"/>
      <w:lvlText w:val=""/>
      <w:lvlJc w:val="left"/>
      <w:pPr>
        <w:ind w:left="720" w:hanging="360"/>
      </w:pPr>
      <w:rPr>
        <w:rFonts w:ascii="Symbol" w:hAnsi="Symbol"/>
      </w:rPr>
    </w:lvl>
    <w:lvl w:ilvl="2" w:tplc="C9C41D84">
      <w:start w:val="1"/>
      <w:numFmt w:val="bullet"/>
      <w:lvlText w:val=""/>
      <w:lvlJc w:val="left"/>
      <w:pPr>
        <w:ind w:left="720" w:hanging="360"/>
      </w:pPr>
      <w:rPr>
        <w:rFonts w:ascii="Symbol" w:hAnsi="Symbol"/>
      </w:rPr>
    </w:lvl>
    <w:lvl w:ilvl="3" w:tplc="A9FCBD70">
      <w:start w:val="1"/>
      <w:numFmt w:val="bullet"/>
      <w:lvlText w:val=""/>
      <w:lvlJc w:val="left"/>
      <w:pPr>
        <w:ind w:left="720" w:hanging="360"/>
      </w:pPr>
      <w:rPr>
        <w:rFonts w:ascii="Symbol" w:hAnsi="Symbol"/>
      </w:rPr>
    </w:lvl>
    <w:lvl w:ilvl="4" w:tplc="28B4DAE8">
      <w:start w:val="1"/>
      <w:numFmt w:val="bullet"/>
      <w:lvlText w:val=""/>
      <w:lvlJc w:val="left"/>
      <w:pPr>
        <w:ind w:left="720" w:hanging="360"/>
      </w:pPr>
      <w:rPr>
        <w:rFonts w:ascii="Symbol" w:hAnsi="Symbol"/>
      </w:rPr>
    </w:lvl>
    <w:lvl w:ilvl="5" w:tplc="7C5A0216">
      <w:start w:val="1"/>
      <w:numFmt w:val="bullet"/>
      <w:lvlText w:val=""/>
      <w:lvlJc w:val="left"/>
      <w:pPr>
        <w:ind w:left="720" w:hanging="360"/>
      </w:pPr>
      <w:rPr>
        <w:rFonts w:ascii="Symbol" w:hAnsi="Symbol"/>
      </w:rPr>
    </w:lvl>
    <w:lvl w:ilvl="6" w:tplc="5D96E20E">
      <w:start w:val="1"/>
      <w:numFmt w:val="bullet"/>
      <w:lvlText w:val=""/>
      <w:lvlJc w:val="left"/>
      <w:pPr>
        <w:ind w:left="720" w:hanging="360"/>
      </w:pPr>
      <w:rPr>
        <w:rFonts w:ascii="Symbol" w:hAnsi="Symbol"/>
      </w:rPr>
    </w:lvl>
    <w:lvl w:ilvl="7" w:tplc="B96E25EA">
      <w:start w:val="1"/>
      <w:numFmt w:val="bullet"/>
      <w:lvlText w:val=""/>
      <w:lvlJc w:val="left"/>
      <w:pPr>
        <w:ind w:left="720" w:hanging="360"/>
      </w:pPr>
      <w:rPr>
        <w:rFonts w:ascii="Symbol" w:hAnsi="Symbol"/>
      </w:rPr>
    </w:lvl>
    <w:lvl w:ilvl="8" w:tplc="ECF04C6A">
      <w:start w:val="1"/>
      <w:numFmt w:val="bullet"/>
      <w:lvlText w:val=""/>
      <w:lvlJc w:val="left"/>
      <w:pPr>
        <w:ind w:left="720" w:hanging="360"/>
      </w:pPr>
      <w:rPr>
        <w:rFonts w:ascii="Symbol" w:hAnsi="Symbol"/>
      </w:rPr>
    </w:lvl>
  </w:abstractNum>
  <w:abstractNum w:abstractNumId="15" w15:restartNumberingAfterBreak="0">
    <w:nsid w:val="47CE006D"/>
    <w:multiLevelType w:val="hybridMultilevel"/>
    <w:tmpl w:val="FDF8A6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B385F5E"/>
    <w:multiLevelType w:val="hybridMultilevel"/>
    <w:tmpl w:val="ACF49E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8" w15:restartNumberingAfterBreak="0">
    <w:nsid w:val="4F8D23DB"/>
    <w:multiLevelType w:val="hybridMultilevel"/>
    <w:tmpl w:val="9A4A81D0"/>
    <w:lvl w:ilvl="0" w:tplc="898EA3AA">
      <w:start w:val="1"/>
      <w:numFmt w:val="bullet"/>
      <w:lvlText w:val=""/>
      <w:lvlJc w:val="left"/>
      <w:pPr>
        <w:ind w:left="720" w:hanging="360"/>
      </w:pPr>
      <w:rPr>
        <w:rFonts w:ascii="Symbol" w:hAnsi="Symbol"/>
      </w:rPr>
    </w:lvl>
    <w:lvl w:ilvl="1" w:tplc="403E12E2">
      <w:start w:val="1"/>
      <w:numFmt w:val="bullet"/>
      <w:lvlText w:val=""/>
      <w:lvlJc w:val="left"/>
      <w:pPr>
        <w:ind w:left="720" w:hanging="360"/>
      </w:pPr>
      <w:rPr>
        <w:rFonts w:ascii="Symbol" w:hAnsi="Symbol"/>
      </w:rPr>
    </w:lvl>
    <w:lvl w:ilvl="2" w:tplc="C678A248">
      <w:start w:val="1"/>
      <w:numFmt w:val="bullet"/>
      <w:lvlText w:val=""/>
      <w:lvlJc w:val="left"/>
      <w:pPr>
        <w:ind w:left="720" w:hanging="360"/>
      </w:pPr>
      <w:rPr>
        <w:rFonts w:ascii="Symbol" w:hAnsi="Symbol"/>
      </w:rPr>
    </w:lvl>
    <w:lvl w:ilvl="3" w:tplc="4EE4EEBA">
      <w:start w:val="1"/>
      <w:numFmt w:val="bullet"/>
      <w:lvlText w:val=""/>
      <w:lvlJc w:val="left"/>
      <w:pPr>
        <w:ind w:left="720" w:hanging="360"/>
      </w:pPr>
      <w:rPr>
        <w:rFonts w:ascii="Symbol" w:hAnsi="Symbol"/>
      </w:rPr>
    </w:lvl>
    <w:lvl w:ilvl="4" w:tplc="F31E8080">
      <w:start w:val="1"/>
      <w:numFmt w:val="bullet"/>
      <w:lvlText w:val=""/>
      <w:lvlJc w:val="left"/>
      <w:pPr>
        <w:ind w:left="720" w:hanging="360"/>
      </w:pPr>
      <w:rPr>
        <w:rFonts w:ascii="Symbol" w:hAnsi="Symbol"/>
      </w:rPr>
    </w:lvl>
    <w:lvl w:ilvl="5" w:tplc="261AFD6A">
      <w:start w:val="1"/>
      <w:numFmt w:val="bullet"/>
      <w:lvlText w:val=""/>
      <w:lvlJc w:val="left"/>
      <w:pPr>
        <w:ind w:left="720" w:hanging="360"/>
      </w:pPr>
      <w:rPr>
        <w:rFonts w:ascii="Symbol" w:hAnsi="Symbol"/>
      </w:rPr>
    </w:lvl>
    <w:lvl w:ilvl="6" w:tplc="94FC1AF8">
      <w:start w:val="1"/>
      <w:numFmt w:val="bullet"/>
      <w:lvlText w:val=""/>
      <w:lvlJc w:val="left"/>
      <w:pPr>
        <w:ind w:left="720" w:hanging="360"/>
      </w:pPr>
      <w:rPr>
        <w:rFonts w:ascii="Symbol" w:hAnsi="Symbol"/>
      </w:rPr>
    </w:lvl>
    <w:lvl w:ilvl="7" w:tplc="FF503C7C">
      <w:start w:val="1"/>
      <w:numFmt w:val="bullet"/>
      <w:lvlText w:val=""/>
      <w:lvlJc w:val="left"/>
      <w:pPr>
        <w:ind w:left="720" w:hanging="360"/>
      </w:pPr>
      <w:rPr>
        <w:rFonts w:ascii="Symbol" w:hAnsi="Symbol"/>
      </w:rPr>
    </w:lvl>
    <w:lvl w:ilvl="8" w:tplc="E8B4BDE6">
      <w:start w:val="1"/>
      <w:numFmt w:val="bullet"/>
      <w:lvlText w:val=""/>
      <w:lvlJc w:val="left"/>
      <w:pPr>
        <w:ind w:left="720" w:hanging="360"/>
      </w:pPr>
      <w:rPr>
        <w:rFonts w:ascii="Symbol" w:hAnsi="Symbol"/>
      </w:rPr>
    </w:lvl>
  </w:abstractNum>
  <w:abstractNum w:abstractNumId="19"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403314C"/>
    <w:multiLevelType w:val="hybridMultilevel"/>
    <w:tmpl w:val="EE5CDE52"/>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1" w15:restartNumberingAfterBreak="0">
    <w:nsid w:val="541A3246"/>
    <w:multiLevelType w:val="hybridMultilevel"/>
    <w:tmpl w:val="C756DB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9D22096"/>
    <w:multiLevelType w:val="hybridMultilevel"/>
    <w:tmpl w:val="9DF2F518"/>
    <w:lvl w:ilvl="0" w:tplc="480AF4BC">
      <w:start w:val="1"/>
      <w:numFmt w:val="bullet"/>
      <w:lvlText w:val=""/>
      <w:lvlJc w:val="left"/>
      <w:pPr>
        <w:ind w:left="720" w:hanging="360"/>
      </w:pPr>
      <w:rPr>
        <w:rFonts w:ascii="Symbol" w:hAnsi="Symbol"/>
      </w:rPr>
    </w:lvl>
    <w:lvl w:ilvl="1" w:tplc="519064D0">
      <w:start w:val="1"/>
      <w:numFmt w:val="bullet"/>
      <w:lvlText w:val=""/>
      <w:lvlJc w:val="left"/>
      <w:pPr>
        <w:ind w:left="720" w:hanging="360"/>
      </w:pPr>
      <w:rPr>
        <w:rFonts w:ascii="Symbol" w:hAnsi="Symbol"/>
      </w:rPr>
    </w:lvl>
    <w:lvl w:ilvl="2" w:tplc="D5968F16">
      <w:start w:val="1"/>
      <w:numFmt w:val="bullet"/>
      <w:lvlText w:val=""/>
      <w:lvlJc w:val="left"/>
      <w:pPr>
        <w:ind w:left="720" w:hanging="360"/>
      </w:pPr>
      <w:rPr>
        <w:rFonts w:ascii="Symbol" w:hAnsi="Symbol"/>
      </w:rPr>
    </w:lvl>
    <w:lvl w:ilvl="3" w:tplc="E800FA06">
      <w:start w:val="1"/>
      <w:numFmt w:val="bullet"/>
      <w:lvlText w:val=""/>
      <w:lvlJc w:val="left"/>
      <w:pPr>
        <w:ind w:left="720" w:hanging="360"/>
      </w:pPr>
      <w:rPr>
        <w:rFonts w:ascii="Symbol" w:hAnsi="Symbol"/>
      </w:rPr>
    </w:lvl>
    <w:lvl w:ilvl="4" w:tplc="6BCA7B38">
      <w:start w:val="1"/>
      <w:numFmt w:val="bullet"/>
      <w:lvlText w:val=""/>
      <w:lvlJc w:val="left"/>
      <w:pPr>
        <w:ind w:left="720" w:hanging="360"/>
      </w:pPr>
      <w:rPr>
        <w:rFonts w:ascii="Symbol" w:hAnsi="Symbol"/>
      </w:rPr>
    </w:lvl>
    <w:lvl w:ilvl="5" w:tplc="AA40038E">
      <w:start w:val="1"/>
      <w:numFmt w:val="bullet"/>
      <w:lvlText w:val=""/>
      <w:lvlJc w:val="left"/>
      <w:pPr>
        <w:ind w:left="720" w:hanging="360"/>
      </w:pPr>
      <w:rPr>
        <w:rFonts w:ascii="Symbol" w:hAnsi="Symbol"/>
      </w:rPr>
    </w:lvl>
    <w:lvl w:ilvl="6" w:tplc="D34480EE">
      <w:start w:val="1"/>
      <w:numFmt w:val="bullet"/>
      <w:lvlText w:val=""/>
      <w:lvlJc w:val="left"/>
      <w:pPr>
        <w:ind w:left="720" w:hanging="360"/>
      </w:pPr>
      <w:rPr>
        <w:rFonts w:ascii="Symbol" w:hAnsi="Symbol"/>
      </w:rPr>
    </w:lvl>
    <w:lvl w:ilvl="7" w:tplc="BABE86B6">
      <w:start w:val="1"/>
      <w:numFmt w:val="bullet"/>
      <w:lvlText w:val=""/>
      <w:lvlJc w:val="left"/>
      <w:pPr>
        <w:ind w:left="720" w:hanging="360"/>
      </w:pPr>
      <w:rPr>
        <w:rFonts w:ascii="Symbol" w:hAnsi="Symbol"/>
      </w:rPr>
    </w:lvl>
    <w:lvl w:ilvl="8" w:tplc="5AD2833C">
      <w:start w:val="1"/>
      <w:numFmt w:val="bullet"/>
      <w:lvlText w:val=""/>
      <w:lvlJc w:val="left"/>
      <w:pPr>
        <w:ind w:left="720" w:hanging="360"/>
      </w:pPr>
      <w:rPr>
        <w:rFonts w:ascii="Symbol" w:hAnsi="Symbol"/>
      </w:rPr>
    </w:lvl>
  </w:abstractNum>
  <w:abstractNum w:abstractNumId="23" w15:restartNumberingAfterBreak="0">
    <w:nsid w:val="5BAB7C43"/>
    <w:multiLevelType w:val="hybridMultilevel"/>
    <w:tmpl w:val="B95472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2E1248D"/>
    <w:multiLevelType w:val="hybridMultilevel"/>
    <w:tmpl w:val="141CD9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7381F4D"/>
    <w:multiLevelType w:val="hybridMultilevel"/>
    <w:tmpl w:val="6AB4E120"/>
    <w:lvl w:ilvl="0" w:tplc="4BC8A140">
      <w:start w:val="1"/>
      <w:numFmt w:val="decimal"/>
      <w:pStyle w:val="ListNumber"/>
      <w:lvlText w:val="%1."/>
      <w:lvlJc w:val="left"/>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FED315C"/>
    <w:multiLevelType w:val="hybridMultilevel"/>
    <w:tmpl w:val="CBFC27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23A6D6A"/>
    <w:multiLevelType w:val="hybridMultilevel"/>
    <w:tmpl w:val="9DF2FE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A6379A9"/>
    <w:multiLevelType w:val="hybridMultilevel"/>
    <w:tmpl w:val="4FE8D072"/>
    <w:lvl w:ilvl="0" w:tplc="40AA1BA0">
      <w:start w:val="1"/>
      <w:numFmt w:val="bullet"/>
      <w:lvlText w:val=""/>
      <w:lvlJc w:val="left"/>
      <w:pPr>
        <w:ind w:left="720" w:hanging="360"/>
      </w:pPr>
      <w:rPr>
        <w:rFonts w:ascii="Symbol" w:hAnsi="Symbol"/>
      </w:rPr>
    </w:lvl>
    <w:lvl w:ilvl="1" w:tplc="15A0EAC8">
      <w:start w:val="1"/>
      <w:numFmt w:val="bullet"/>
      <w:lvlText w:val=""/>
      <w:lvlJc w:val="left"/>
      <w:pPr>
        <w:ind w:left="720" w:hanging="360"/>
      </w:pPr>
      <w:rPr>
        <w:rFonts w:ascii="Symbol" w:hAnsi="Symbol"/>
      </w:rPr>
    </w:lvl>
    <w:lvl w:ilvl="2" w:tplc="A2A06F8A">
      <w:start w:val="1"/>
      <w:numFmt w:val="bullet"/>
      <w:lvlText w:val=""/>
      <w:lvlJc w:val="left"/>
      <w:pPr>
        <w:ind w:left="720" w:hanging="360"/>
      </w:pPr>
      <w:rPr>
        <w:rFonts w:ascii="Symbol" w:hAnsi="Symbol"/>
      </w:rPr>
    </w:lvl>
    <w:lvl w:ilvl="3" w:tplc="638C4750">
      <w:start w:val="1"/>
      <w:numFmt w:val="bullet"/>
      <w:lvlText w:val=""/>
      <w:lvlJc w:val="left"/>
      <w:pPr>
        <w:ind w:left="720" w:hanging="360"/>
      </w:pPr>
      <w:rPr>
        <w:rFonts w:ascii="Symbol" w:hAnsi="Symbol"/>
      </w:rPr>
    </w:lvl>
    <w:lvl w:ilvl="4" w:tplc="593CA732">
      <w:start w:val="1"/>
      <w:numFmt w:val="bullet"/>
      <w:lvlText w:val=""/>
      <w:lvlJc w:val="left"/>
      <w:pPr>
        <w:ind w:left="720" w:hanging="360"/>
      </w:pPr>
      <w:rPr>
        <w:rFonts w:ascii="Symbol" w:hAnsi="Symbol"/>
      </w:rPr>
    </w:lvl>
    <w:lvl w:ilvl="5" w:tplc="A2B0A4B0">
      <w:start w:val="1"/>
      <w:numFmt w:val="bullet"/>
      <w:lvlText w:val=""/>
      <w:lvlJc w:val="left"/>
      <w:pPr>
        <w:ind w:left="720" w:hanging="360"/>
      </w:pPr>
      <w:rPr>
        <w:rFonts w:ascii="Symbol" w:hAnsi="Symbol"/>
      </w:rPr>
    </w:lvl>
    <w:lvl w:ilvl="6" w:tplc="60CE26AE">
      <w:start w:val="1"/>
      <w:numFmt w:val="bullet"/>
      <w:lvlText w:val=""/>
      <w:lvlJc w:val="left"/>
      <w:pPr>
        <w:ind w:left="720" w:hanging="360"/>
      </w:pPr>
      <w:rPr>
        <w:rFonts w:ascii="Symbol" w:hAnsi="Symbol"/>
      </w:rPr>
    </w:lvl>
    <w:lvl w:ilvl="7" w:tplc="488A39BE">
      <w:start w:val="1"/>
      <w:numFmt w:val="bullet"/>
      <w:lvlText w:val=""/>
      <w:lvlJc w:val="left"/>
      <w:pPr>
        <w:ind w:left="720" w:hanging="360"/>
      </w:pPr>
      <w:rPr>
        <w:rFonts w:ascii="Symbol" w:hAnsi="Symbol"/>
      </w:rPr>
    </w:lvl>
    <w:lvl w:ilvl="8" w:tplc="C188F4DC">
      <w:start w:val="1"/>
      <w:numFmt w:val="bullet"/>
      <w:lvlText w:val=""/>
      <w:lvlJc w:val="left"/>
      <w:pPr>
        <w:ind w:left="720" w:hanging="360"/>
      </w:pPr>
      <w:rPr>
        <w:rFonts w:ascii="Symbol" w:hAnsi="Symbol"/>
      </w:rPr>
    </w:lvl>
  </w:abstractNum>
  <w:num w:numId="1" w16cid:durableId="1032997172">
    <w:abstractNumId w:val="6"/>
  </w:num>
  <w:num w:numId="2" w16cid:durableId="1856573705">
    <w:abstractNumId w:val="3"/>
  </w:num>
  <w:num w:numId="3" w16cid:durableId="357703499">
    <w:abstractNumId w:val="5"/>
  </w:num>
  <w:num w:numId="4" w16cid:durableId="1869176708">
    <w:abstractNumId w:val="19"/>
  </w:num>
  <w:num w:numId="5" w16cid:durableId="1652950129">
    <w:abstractNumId w:val="10"/>
  </w:num>
  <w:num w:numId="6" w16cid:durableId="1053193207">
    <w:abstractNumId w:val="17"/>
  </w:num>
  <w:num w:numId="7" w16cid:durableId="201135927">
    <w:abstractNumId w:val="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16cid:durableId="1604608059">
    <w:abstractNumId w:val="18"/>
  </w:num>
  <w:num w:numId="9" w16cid:durableId="173421270">
    <w:abstractNumId w:val="4"/>
  </w:num>
  <w:num w:numId="10" w16cid:durableId="2108043357">
    <w:abstractNumId w:val="7"/>
  </w:num>
  <w:num w:numId="11" w16cid:durableId="1725904230">
    <w:abstractNumId w:val="14"/>
  </w:num>
  <w:num w:numId="12" w16cid:durableId="141579354">
    <w:abstractNumId w:val="22"/>
  </w:num>
  <w:num w:numId="13" w16cid:durableId="283735081">
    <w:abstractNumId w:val="28"/>
  </w:num>
  <w:num w:numId="14" w16cid:durableId="518735939">
    <w:abstractNumId w:val="26"/>
  </w:num>
  <w:num w:numId="15" w16cid:durableId="1548446678">
    <w:abstractNumId w:val="16"/>
  </w:num>
  <w:num w:numId="16" w16cid:durableId="6948790">
    <w:abstractNumId w:val="24"/>
  </w:num>
  <w:num w:numId="17" w16cid:durableId="236012710">
    <w:abstractNumId w:val="21"/>
  </w:num>
  <w:num w:numId="18" w16cid:durableId="1516923570">
    <w:abstractNumId w:val="12"/>
  </w:num>
  <w:num w:numId="19" w16cid:durableId="45447851">
    <w:abstractNumId w:val="13"/>
  </w:num>
  <w:num w:numId="20" w16cid:durableId="1248808310">
    <w:abstractNumId w:val="27"/>
  </w:num>
  <w:num w:numId="21" w16cid:durableId="1157300713">
    <w:abstractNumId w:val="0"/>
  </w:num>
  <w:num w:numId="22" w16cid:durableId="724137727">
    <w:abstractNumId w:val="23"/>
  </w:num>
  <w:num w:numId="23" w16cid:durableId="1991058932">
    <w:abstractNumId w:val="15"/>
  </w:num>
  <w:num w:numId="24" w16cid:durableId="1971280915">
    <w:abstractNumId w:val="25"/>
  </w:num>
  <w:num w:numId="25" w16cid:durableId="689111974">
    <w:abstractNumId w:val="11"/>
  </w:num>
  <w:num w:numId="26" w16cid:durableId="468128885">
    <w:abstractNumId w:val="1"/>
  </w:num>
  <w:num w:numId="27" w16cid:durableId="1220557761">
    <w:abstractNumId w:val="8"/>
  </w:num>
  <w:num w:numId="28" w16cid:durableId="202481469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67727633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78393912">
    <w:abstractNumId w:val="2"/>
  </w:num>
  <w:num w:numId="31" w16cid:durableId="1743870757">
    <w:abstractNumId w:val="20"/>
  </w:num>
  <w:num w:numId="32" w16cid:durableId="5585883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C2"/>
    <w:rsid w:val="0000064A"/>
    <w:rsid w:val="00000E6E"/>
    <w:rsid w:val="00001CF2"/>
    <w:rsid w:val="00004431"/>
    <w:rsid w:val="00005062"/>
    <w:rsid w:val="0001064C"/>
    <w:rsid w:val="00011394"/>
    <w:rsid w:val="0001358B"/>
    <w:rsid w:val="0001384A"/>
    <w:rsid w:val="00013DEE"/>
    <w:rsid w:val="00016D5F"/>
    <w:rsid w:val="00020716"/>
    <w:rsid w:val="00022FAD"/>
    <w:rsid w:val="0002428B"/>
    <w:rsid w:val="00026E18"/>
    <w:rsid w:val="00030266"/>
    <w:rsid w:val="00032A0F"/>
    <w:rsid w:val="000355A6"/>
    <w:rsid w:val="0003688D"/>
    <w:rsid w:val="00040D8D"/>
    <w:rsid w:val="00042E7F"/>
    <w:rsid w:val="0004347C"/>
    <w:rsid w:val="00046167"/>
    <w:rsid w:val="00046423"/>
    <w:rsid w:val="00047ED0"/>
    <w:rsid w:val="00052C1D"/>
    <w:rsid w:val="000609E4"/>
    <w:rsid w:val="0006104E"/>
    <w:rsid w:val="000640BD"/>
    <w:rsid w:val="00065839"/>
    <w:rsid w:val="00065FDF"/>
    <w:rsid w:val="0006648B"/>
    <w:rsid w:val="00066902"/>
    <w:rsid w:val="00067CE8"/>
    <w:rsid w:val="00074427"/>
    <w:rsid w:val="00074B75"/>
    <w:rsid w:val="00077076"/>
    <w:rsid w:val="00077844"/>
    <w:rsid w:val="000806F0"/>
    <w:rsid w:val="00080BB6"/>
    <w:rsid w:val="00081892"/>
    <w:rsid w:val="00085978"/>
    <w:rsid w:val="00090510"/>
    <w:rsid w:val="000917AE"/>
    <w:rsid w:val="00092513"/>
    <w:rsid w:val="000928C7"/>
    <w:rsid w:val="00093636"/>
    <w:rsid w:val="0009405F"/>
    <w:rsid w:val="000944D7"/>
    <w:rsid w:val="00094B81"/>
    <w:rsid w:val="00094FE4"/>
    <w:rsid w:val="00095C5D"/>
    <w:rsid w:val="000975AA"/>
    <w:rsid w:val="000A34EA"/>
    <w:rsid w:val="000A3E86"/>
    <w:rsid w:val="000A71DB"/>
    <w:rsid w:val="000A76F4"/>
    <w:rsid w:val="000A796E"/>
    <w:rsid w:val="000B1D1D"/>
    <w:rsid w:val="000B1F45"/>
    <w:rsid w:val="000B339D"/>
    <w:rsid w:val="000B3740"/>
    <w:rsid w:val="000B53C0"/>
    <w:rsid w:val="000B5A26"/>
    <w:rsid w:val="000B6B15"/>
    <w:rsid w:val="000B6EBC"/>
    <w:rsid w:val="000B7303"/>
    <w:rsid w:val="000C25A7"/>
    <w:rsid w:val="000C41AB"/>
    <w:rsid w:val="000C528F"/>
    <w:rsid w:val="000C7CAE"/>
    <w:rsid w:val="000D1F75"/>
    <w:rsid w:val="000D3243"/>
    <w:rsid w:val="000D78EC"/>
    <w:rsid w:val="000D7934"/>
    <w:rsid w:val="000E2597"/>
    <w:rsid w:val="000E53BA"/>
    <w:rsid w:val="000E5754"/>
    <w:rsid w:val="000E6746"/>
    <w:rsid w:val="000E7A2F"/>
    <w:rsid w:val="000F0B85"/>
    <w:rsid w:val="000F0F73"/>
    <w:rsid w:val="000F2F82"/>
    <w:rsid w:val="000F30F9"/>
    <w:rsid w:val="000F77B1"/>
    <w:rsid w:val="000F7B51"/>
    <w:rsid w:val="001008DE"/>
    <w:rsid w:val="00101BEE"/>
    <w:rsid w:val="00101CE6"/>
    <w:rsid w:val="00101FB1"/>
    <w:rsid w:val="001025C0"/>
    <w:rsid w:val="001054D7"/>
    <w:rsid w:val="0010558A"/>
    <w:rsid w:val="001101FF"/>
    <w:rsid w:val="00110BD4"/>
    <w:rsid w:val="00113F9F"/>
    <w:rsid w:val="001146E7"/>
    <w:rsid w:val="00116B6E"/>
    <w:rsid w:val="00116D1E"/>
    <w:rsid w:val="00117939"/>
    <w:rsid w:val="00120C34"/>
    <w:rsid w:val="00121265"/>
    <w:rsid w:val="0012473C"/>
    <w:rsid w:val="00127A74"/>
    <w:rsid w:val="00127DF6"/>
    <w:rsid w:val="0013132F"/>
    <w:rsid w:val="0013306D"/>
    <w:rsid w:val="00133539"/>
    <w:rsid w:val="0013528C"/>
    <w:rsid w:val="00141056"/>
    <w:rsid w:val="00143741"/>
    <w:rsid w:val="00143BD6"/>
    <w:rsid w:val="001442A2"/>
    <w:rsid w:val="00145EA6"/>
    <w:rsid w:val="001468CA"/>
    <w:rsid w:val="001500A8"/>
    <w:rsid w:val="00155D85"/>
    <w:rsid w:val="00157C12"/>
    <w:rsid w:val="001628CA"/>
    <w:rsid w:val="00165D28"/>
    <w:rsid w:val="0016756C"/>
    <w:rsid w:val="0017005C"/>
    <w:rsid w:val="0017219C"/>
    <w:rsid w:val="00172D7D"/>
    <w:rsid w:val="00175CD8"/>
    <w:rsid w:val="00181172"/>
    <w:rsid w:val="00182BD8"/>
    <w:rsid w:val="0018458C"/>
    <w:rsid w:val="00185E3B"/>
    <w:rsid w:val="001867E3"/>
    <w:rsid w:val="00190415"/>
    <w:rsid w:val="00192BB3"/>
    <w:rsid w:val="00193B86"/>
    <w:rsid w:val="001949DD"/>
    <w:rsid w:val="001A28FB"/>
    <w:rsid w:val="001A4B49"/>
    <w:rsid w:val="001A4D8E"/>
    <w:rsid w:val="001A6F56"/>
    <w:rsid w:val="001A73F6"/>
    <w:rsid w:val="001A76F9"/>
    <w:rsid w:val="001B06FF"/>
    <w:rsid w:val="001B1703"/>
    <w:rsid w:val="001B27C3"/>
    <w:rsid w:val="001C1C2E"/>
    <w:rsid w:val="001C29D1"/>
    <w:rsid w:val="001C31A1"/>
    <w:rsid w:val="001C3FA2"/>
    <w:rsid w:val="001C5EE2"/>
    <w:rsid w:val="001C7E32"/>
    <w:rsid w:val="001D0077"/>
    <w:rsid w:val="001D512B"/>
    <w:rsid w:val="001E407B"/>
    <w:rsid w:val="001E7FC6"/>
    <w:rsid w:val="001F202B"/>
    <w:rsid w:val="001F2502"/>
    <w:rsid w:val="001F460B"/>
    <w:rsid w:val="001F6855"/>
    <w:rsid w:val="001F70A5"/>
    <w:rsid w:val="00200593"/>
    <w:rsid w:val="0020235D"/>
    <w:rsid w:val="0020295D"/>
    <w:rsid w:val="0020369B"/>
    <w:rsid w:val="00207B4D"/>
    <w:rsid w:val="002117B1"/>
    <w:rsid w:val="00217CCE"/>
    <w:rsid w:val="002203B1"/>
    <w:rsid w:val="0022197E"/>
    <w:rsid w:val="00223147"/>
    <w:rsid w:val="002241A8"/>
    <w:rsid w:val="00226017"/>
    <w:rsid w:val="002268E3"/>
    <w:rsid w:val="00226B6D"/>
    <w:rsid w:val="00226F39"/>
    <w:rsid w:val="00230D71"/>
    <w:rsid w:val="002318C1"/>
    <w:rsid w:val="00231D6F"/>
    <w:rsid w:val="00232A59"/>
    <w:rsid w:val="00232AED"/>
    <w:rsid w:val="002334AD"/>
    <w:rsid w:val="00235500"/>
    <w:rsid w:val="00237015"/>
    <w:rsid w:val="002404B0"/>
    <w:rsid w:val="00241B60"/>
    <w:rsid w:val="0024340F"/>
    <w:rsid w:val="00243CBD"/>
    <w:rsid w:val="00247A6A"/>
    <w:rsid w:val="0025099E"/>
    <w:rsid w:val="002559F6"/>
    <w:rsid w:val="0025785B"/>
    <w:rsid w:val="00257969"/>
    <w:rsid w:val="00260671"/>
    <w:rsid w:val="00265845"/>
    <w:rsid w:val="00266CB6"/>
    <w:rsid w:val="00267C92"/>
    <w:rsid w:val="00275388"/>
    <w:rsid w:val="0027603B"/>
    <w:rsid w:val="00276D47"/>
    <w:rsid w:val="00277F54"/>
    <w:rsid w:val="00280048"/>
    <w:rsid w:val="00281EC8"/>
    <w:rsid w:val="0028310E"/>
    <w:rsid w:val="0028489E"/>
    <w:rsid w:val="002848DE"/>
    <w:rsid w:val="00284BED"/>
    <w:rsid w:val="00286AF2"/>
    <w:rsid w:val="0028794E"/>
    <w:rsid w:val="00291B29"/>
    <w:rsid w:val="0029376F"/>
    <w:rsid w:val="00296C78"/>
    <w:rsid w:val="00296E3D"/>
    <w:rsid w:val="002A17CA"/>
    <w:rsid w:val="002A19F2"/>
    <w:rsid w:val="002A1E10"/>
    <w:rsid w:val="002A1F75"/>
    <w:rsid w:val="002A1F83"/>
    <w:rsid w:val="002A544B"/>
    <w:rsid w:val="002A5841"/>
    <w:rsid w:val="002A5D54"/>
    <w:rsid w:val="002A76F8"/>
    <w:rsid w:val="002A7CDC"/>
    <w:rsid w:val="002A7EBD"/>
    <w:rsid w:val="002B0AC8"/>
    <w:rsid w:val="002B1EDF"/>
    <w:rsid w:val="002B2061"/>
    <w:rsid w:val="002B301D"/>
    <w:rsid w:val="002B6BB0"/>
    <w:rsid w:val="002B77BD"/>
    <w:rsid w:val="002C1232"/>
    <w:rsid w:val="002C16D8"/>
    <w:rsid w:val="002C1E44"/>
    <w:rsid w:val="002C2641"/>
    <w:rsid w:val="002C34A4"/>
    <w:rsid w:val="002C480E"/>
    <w:rsid w:val="002C5C92"/>
    <w:rsid w:val="002C5E29"/>
    <w:rsid w:val="002C7783"/>
    <w:rsid w:val="002D0478"/>
    <w:rsid w:val="002D2C24"/>
    <w:rsid w:val="002D465E"/>
    <w:rsid w:val="002D7127"/>
    <w:rsid w:val="002E07D8"/>
    <w:rsid w:val="002E3063"/>
    <w:rsid w:val="002E312C"/>
    <w:rsid w:val="002E5295"/>
    <w:rsid w:val="002E5FC5"/>
    <w:rsid w:val="002E67FF"/>
    <w:rsid w:val="002E75D8"/>
    <w:rsid w:val="002F1BA1"/>
    <w:rsid w:val="002F5145"/>
    <w:rsid w:val="002F599E"/>
    <w:rsid w:val="003008D8"/>
    <w:rsid w:val="00301D9A"/>
    <w:rsid w:val="00301E8F"/>
    <w:rsid w:val="00302DB9"/>
    <w:rsid w:val="00303959"/>
    <w:rsid w:val="0030624B"/>
    <w:rsid w:val="00306867"/>
    <w:rsid w:val="00306E72"/>
    <w:rsid w:val="00307185"/>
    <w:rsid w:val="003119BB"/>
    <w:rsid w:val="00312AC3"/>
    <w:rsid w:val="00312B03"/>
    <w:rsid w:val="00313E12"/>
    <w:rsid w:val="00314430"/>
    <w:rsid w:val="00314B42"/>
    <w:rsid w:val="003163BC"/>
    <w:rsid w:val="0032042C"/>
    <w:rsid w:val="003205FB"/>
    <w:rsid w:val="00320CC0"/>
    <w:rsid w:val="003211A9"/>
    <w:rsid w:val="0032351A"/>
    <w:rsid w:val="00324B33"/>
    <w:rsid w:val="00327488"/>
    <w:rsid w:val="0033025D"/>
    <w:rsid w:val="003341D7"/>
    <w:rsid w:val="00336FE1"/>
    <w:rsid w:val="00340164"/>
    <w:rsid w:val="00342D56"/>
    <w:rsid w:val="003456E7"/>
    <w:rsid w:val="00346EC2"/>
    <w:rsid w:val="003477F9"/>
    <w:rsid w:val="0035444D"/>
    <w:rsid w:val="00354FAD"/>
    <w:rsid w:val="003552F5"/>
    <w:rsid w:val="00355D68"/>
    <w:rsid w:val="00356D62"/>
    <w:rsid w:val="00360045"/>
    <w:rsid w:val="003601AC"/>
    <w:rsid w:val="00361E04"/>
    <w:rsid w:val="003626B5"/>
    <w:rsid w:val="00363E54"/>
    <w:rsid w:val="00363EE3"/>
    <w:rsid w:val="00365600"/>
    <w:rsid w:val="00371735"/>
    <w:rsid w:val="003735F3"/>
    <w:rsid w:val="00374729"/>
    <w:rsid w:val="003749CF"/>
    <w:rsid w:val="00375250"/>
    <w:rsid w:val="0037723D"/>
    <w:rsid w:val="00380E60"/>
    <w:rsid w:val="0038236C"/>
    <w:rsid w:val="0038462C"/>
    <w:rsid w:val="00387298"/>
    <w:rsid w:val="0038767E"/>
    <w:rsid w:val="003877EE"/>
    <w:rsid w:val="00387984"/>
    <w:rsid w:val="00387FD7"/>
    <w:rsid w:val="00390E3C"/>
    <w:rsid w:val="0039185A"/>
    <w:rsid w:val="00393E79"/>
    <w:rsid w:val="00395140"/>
    <w:rsid w:val="00396081"/>
    <w:rsid w:val="003A2000"/>
    <w:rsid w:val="003A2422"/>
    <w:rsid w:val="003A30DA"/>
    <w:rsid w:val="003A72B7"/>
    <w:rsid w:val="003B03EB"/>
    <w:rsid w:val="003B149C"/>
    <w:rsid w:val="003B1520"/>
    <w:rsid w:val="003B33FD"/>
    <w:rsid w:val="003B4798"/>
    <w:rsid w:val="003B6F4C"/>
    <w:rsid w:val="003C0237"/>
    <w:rsid w:val="003C0FDB"/>
    <w:rsid w:val="003C1192"/>
    <w:rsid w:val="003C2791"/>
    <w:rsid w:val="003C55E2"/>
    <w:rsid w:val="003C63D5"/>
    <w:rsid w:val="003C672D"/>
    <w:rsid w:val="003C7AA8"/>
    <w:rsid w:val="003D2009"/>
    <w:rsid w:val="003D4748"/>
    <w:rsid w:val="003D5A61"/>
    <w:rsid w:val="003D6072"/>
    <w:rsid w:val="003D6DE3"/>
    <w:rsid w:val="003D71A1"/>
    <w:rsid w:val="003E0839"/>
    <w:rsid w:val="003E2BCF"/>
    <w:rsid w:val="003E3092"/>
    <w:rsid w:val="003E5EEC"/>
    <w:rsid w:val="003F0BE0"/>
    <w:rsid w:val="003F1897"/>
    <w:rsid w:val="003F20A5"/>
    <w:rsid w:val="003F3B45"/>
    <w:rsid w:val="003F5AF9"/>
    <w:rsid w:val="0040097F"/>
    <w:rsid w:val="00402646"/>
    <w:rsid w:val="0040447B"/>
    <w:rsid w:val="004050A6"/>
    <w:rsid w:val="00405437"/>
    <w:rsid w:val="00405C24"/>
    <w:rsid w:val="00405D07"/>
    <w:rsid w:val="00406B9D"/>
    <w:rsid w:val="00407386"/>
    <w:rsid w:val="00411DAB"/>
    <w:rsid w:val="00411F60"/>
    <w:rsid w:val="00415021"/>
    <w:rsid w:val="0041606C"/>
    <w:rsid w:val="004164B6"/>
    <w:rsid w:val="0041662C"/>
    <w:rsid w:val="0041688F"/>
    <w:rsid w:val="00416CDB"/>
    <w:rsid w:val="004212DA"/>
    <w:rsid w:val="0042376F"/>
    <w:rsid w:val="00423B2C"/>
    <w:rsid w:val="004246B8"/>
    <w:rsid w:val="004248F1"/>
    <w:rsid w:val="00425E38"/>
    <w:rsid w:val="00431581"/>
    <w:rsid w:val="00433318"/>
    <w:rsid w:val="00442A56"/>
    <w:rsid w:val="004444B0"/>
    <w:rsid w:val="00446CF0"/>
    <w:rsid w:val="00447CC7"/>
    <w:rsid w:val="00450209"/>
    <w:rsid w:val="0045060B"/>
    <w:rsid w:val="00454041"/>
    <w:rsid w:val="00454A8E"/>
    <w:rsid w:val="0046009D"/>
    <w:rsid w:val="004610D2"/>
    <w:rsid w:val="00462479"/>
    <w:rsid w:val="004626FF"/>
    <w:rsid w:val="004676C9"/>
    <w:rsid w:val="00467792"/>
    <w:rsid w:val="004705E3"/>
    <w:rsid w:val="00470603"/>
    <w:rsid w:val="00470A52"/>
    <w:rsid w:val="00471BD5"/>
    <w:rsid w:val="00477C4E"/>
    <w:rsid w:val="00477F07"/>
    <w:rsid w:val="00480B2D"/>
    <w:rsid w:val="00481503"/>
    <w:rsid w:val="00481D12"/>
    <w:rsid w:val="00484609"/>
    <w:rsid w:val="004854A6"/>
    <w:rsid w:val="00486115"/>
    <w:rsid w:val="00487D0A"/>
    <w:rsid w:val="004902E3"/>
    <w:rsid w:val="00490DD5"/>
    <w:rsid w:val="00490F7D"/>
    <w:rsid w:val="00491A55"/>
    <w:rsid w:val="0049274F"/>
    <w:rsid w:val="00494C3E"/>
    <w:rsid w:val="00496717"/>
    <w:rsid w:val="00497DF1"/>
    <w:rsid w:val="004A318E"/>
    <w:rsid w:val="004A57E8"/>
    <w:rsid w:val="004A7544"/>
    <w:rsid w:val="004B1439"/>
    <w:rsid w:val="004B3081"/>
    <w:rsid w:val="004B40CA"/>
    <w:rsid w:val="004B4A09"/>
    <w:rsid w:val="004B698C"/>
    <w:rsid w:val="004C1B3A"/>
    <w:rsid w:val="004C1BDB"/>
    <w:rsid w:val="004C1DF7"/>
    <w:rsid w:val="004C236B"/>
    <w:rsid w:val="004C41CE"/>
    <w:rsid w:val="004C631B"/>
    <w:rsid w:val="004D02D8"/>
    <w:rsid w:val="004D2F00"/>
    <w:rsid w:val="004D31D8"/>
    <w:rsid w:val="004D5388"/>
    <w:rsid w:val="004D78CE"/>
    <w:rsid w:val="004E03C3"/>
    <w:rsid w:val="004E2388"/>
    <w:rsid w:val="004E50AE"/>
    <w:rsid w:val="004E669F"/>
    <w:rsid w:val="004E74CC"/>
    <w:rsid w:val="004E7F16"/>
    <w:rsid w:val="004F18EC"/>
    <w:rsid w:val="004F1B93"/>
    <w:rsid w:val="004F32CB"/>
    <w:rsid w:val="004F3C17"/>
    <w:rsid w:val="004F7F04"/>
    <w:rsid w:val="00500D68"/>
    <w:rsid w:val="0050173F"/>
    <w:rsid w:val="00502EA9"/>
    <w:rsid w:val="005030CE"/>
    <w:rsid w:val="00504998"/>
    <w:rsid w:val="0050512A"/>
    <w:rsid w:val="00506562"/>
    <w:rsid w:val="00510FBC"/>
    <w:rsid w:val="005110B2"/>
    <w:rsid w:val="00513ACB"/>
    <w:rsid w:val="00517E7B"/>
    <w:rsid w:val="005223F4"/>
    <w:rsid w:val="005231CA"/>
    <w:rsid w:val="00523E02"/>
    <w:rsid w:val="00525371"/>
    <w:rsid w:val="00526B63"/>
    <w:rsid w:val="005272D1"/>
    <w:rsid w:val="0053377D"/>
    <w:rsid w:val="0053381F"/>
    <w:rsid w:val="00533A2F"/>
    <w:rsid w:val="00535CB8"/>
    <w:rsid w:val="00535DFE"/>
    <w:rsid w:val="00535EB1"/>
    <w:rsid w:val="00535F21"/>
    <w:rsid w:val="005373B5"/>
    <w:rsid w:val="00537AB7"/>
    <w:rsid w:val="005408BB"/>
    <w:rsid w:val="00544C4B"/>
    <w:rsid w:val="0054636A"/>
    <w:rsid w:val="0054669B"/>
    <w:rsid w:val="00550347"/>
    <w:rsid w:val="00555C6E"/>
    <w:rsid w:val="00560005"/>
    <w:rsid w:val="005610D1"/>
    <w:rsid w:val="005619C3"/>
    <w:rsid w:val="00562C0A"/>
    <w:rsid w:val="00562F42"/>
    <w:rsid w:val="0056407D"/>
    <w:rsid w:val="00565739"/>
    <w:rsid w:val="00566026"/>
    <w:rsid w:val="00566D01"/>
    <w:rsid w:val="00567252"/>
    <w:rsid w:val="0056766D"/>
    <w:rsid w:val="00567C40"/>
    <w:rsid w:val="00572A92"/>
    <w:rsid w:val="00573243"/>
    <w:rsid w:val="00573FC0"/>
    <w:rsid w:val="00575215"/>
    <w:rsid w:val="005807D2"/>
    <w:rsid w:val="005818ED"/>
    <w:rsid w:val="00583FB7"/>
    <w:rsid w:val="00584702"/>
    <w:rsid w:val="0058575E"/>
    <w:rsid w:val="00586E24"/>
    <w:rsid w:val="0058783C"/>
    <w:rsid w:val="005911AE"/>
    <w:rsid w:val="005919E3"/>
    <w:rsid w:val="005926E2"/>
    <w:rsid w:val="0059313A"/>
    <w:rsid w:val="005935D2"/>
    <w:rsid w:val="005938CE"/>
    <w:rsid w:val="0059463F"/>
    <w:rsid w:val="005A0F87"/>
    <w:rsid w:val="005A2C29"/>
    <w:rsid w:val="005A514B"/>
    <w:rsid w:val="005A54EA"/>
    <w:rsid w:val="005A56B2"/>
    <w:rsid w:val="005B023F"/>
    <w:rsid w:val="005B02A2"/>
    <w:rsid w:val="005B1417"/>
    <w:rsid w:val="005B2E12"/>
    <w:rsid w:val="005B39B2"/>
    <w:rsid w:val="005B3F22"/>
    <w:rsid w:val="005B4235"/>
    <w:rsid w:val="005B69CF"/>
    <w:rsid w:val="005B7A64"/>
    <w:rsid w:val="005C0358"/>
    <w:rsid w:val="005C247E"/>
    <w:rsid w:val="005C3159"/>
    <w:rsid w:val="005C3F07"/>
    <w:rsid w:val="005C4B46"/>
    <w:rsid w:val="005C4DD3"/>
    <w:rsid w:val="005C52C6"/>
    <w:rsid w:val="005C5DC5"/>
    <w:rsid w:val="005D1888"/>
    <w:rsid w:val="005D1F50"/>
    <w:rsid w:val="005D2089"/>
    <w:rsid w:val="005D28E3"/>
    <w:rsid w:val="005D573C"/>
    <w:rsid w:val="005D7514"/>
    <w:rsid w:val="005E08DF"/>
    <w:rsid w:val="005E0FC6"/>
    <w:rsid w:val="005E1549"/>
    <w:rsid w:val="005E1A7B"/>
    <w:rsid w:val="005E20BF"/>
    <w:rsid w:val="005E21CB"/>
    <w:rsid w:val="005E231F"/>
    <w:rsid w:val="005E2C1B"/>
    <w:rsid w:val="005E2F1C"/>
    <w:rsid w:val="005E4647"/>
    <w:rsid w:val="005F06A8"/>
    <w:rsid w:val="005F34BF"/>
    <w:rsid w:val="005F3935"/>
    <w:rsid w:val="005F43EE"/>
    <w:rsid w:val="005F45BF"/>
    <w:rsid w:val="005F5ADE"/>
    <w:rsid w:val="005F669A"/>
    <w:rsid w:val="005F7B8D"/>
    <w:rsid w:val="005F7D48"/>
    <w:rsid w:val="006021D4"/>
    <w:rsid w:val="00602936"/>
    <w:rsid w:val="00602D6E"/>
    <w:rsid w:val="00603FD5"/>
    <w:rsid w:val="00605C05"/>
    <w:rsid w:val="00610810"/>
    <w:rsid w:val="00611351"/>
    <w:rsid w:val="0061217D"/>
    <w:rsid w:val="006123BD"/>
    <w:rsid w:val="00614C97"/>
    <w:rsid w:val="006219BD"/>
    <w:rsid w:val="00623FDB"/>
    <w:rsid w:val="006277A1"/>
    <w:rsid w:val="00633BD7"/>
    <w:rsid w:val="00634580"/>
    <w:rsid w:val="00634884"/>
    <w:rsid w:val="00634C1A"/>
    <w:rsid w:val="006351D9"/>
    <w:rsid w:val="006358D2"/>
    <w:rsid w:val="00635C9A"/>
    <w:rsid w:val="00637130"/>
    <w:rsid w:val="0063736D"/>
    <w:rsid w:val="00637F0E"/>
    <w:rsid w:val="00640C05"/>
    <w:rsid w:val="006423F2"/>
    <w:rsid w:val="00643249"/>
    <w:rsid w:val="006437CE"/>
    <w:rsid w:val="00644E10"/>
    <w:rsid w:val="00646E8F"/>
    <w:rsid w:val="00650234"/>
    <w:rsid w:val="006554EA"/>
    <w:rsid w:val="00655C17"/>
    <w:rsid w:val="0065765E"/>
    <w:rsid w:val="0066044B"/>
    <w:rsid w:val="00661941"/>
    <w:rsid w:val="006630AA"/>
    <w:rsid w:val="00663544"/>
    <w:rsid w:val="0066400B"/>
    <w:rsid w:val="00666539"/>
    <w:rsid w:val="00666911"/>
    <w:rsid w:val="00671F09"/>
    <w:rsid w:val="00674C83"/>
    <w:rsid w:val="00675F81"/>
    <w:rsid w:val="006760AE"/>
    <w:rsid w:val="00680FD3"/>
    <w:rsid w:val="0068143E"/>
    <w:rsid w:val="00682552"/>
    <w:rsid w:val="0068507D"/>
    <w:rsid w:val="00691AF2"/>
    <w:rsid w:val="006926FD"/>
    <w:rsid w:val="00692ADD"/>
    <w:rsid w:val="00692B80"/>
    <w:rsid w:val="00692CCD"/>
    <w:rsid w:val="00692D51"/>
    <w:rsid w:val="00694DD7"/>
    <w:rsid w:val="0069636B"/>
    <w:rsid w:val="00696D17"/>
    <w:rsid w:val="006A1762"/>
    <w:rsid w:val="006A1F0B"/>
    <w:rsid w:val="006A21B9"/>
    <w:rsid w:val="006A24C9"/>
    <w:rsid w:val="006A277A"/>
    <w:rsid w:val="006A2F17"/>
    <w:rsid w:val="006A5973"/>
    <w:rsid w:val="006A5A84"/>
    <w:rsid w:val="006A7BC8"/>
    <w:rsid w:val="006B31C5"/>
    <w:rsid w:val="006B4DF3"/>
    <w:rsid w:val="006B4F06"/>
    <w:rsid w:val="006B52DF"/>
    <w:rsid w:val="006B58FC"/>
    <w:rsid w:val="006B7126"/>
    <w:rsid w:val="006C0A75"/>
    <w:rsid w:val="006C2B8B"/>
    <w:rsid w:val="006C6192"/>
    <w:rsid w:val="006C6B86"/>
    <w:rsid w:val="006D4553"/>
    <w:rsid w:val="006D4A35"/>
    <w:rsid w:val="006D6B44"/>
    <w:rsid w:val="006D7658"/>
    <w:rsid w:val="006E0B0E"/>
    <w:rsid w:val="006E0CA4"/>
    <w:rsid w:val="006E27FE"/>
    <w:rsid w:val="006E467C"/>
    <w:rsid w:val="006F6C94"/>
    <w:rsid w:val="00701110"/>
    <w:rsid w:val="00701FC0"/>
    <w:rsid w:val="00702E91"/>
    <w:rsid w:val="0070316C"/>
    <w:rsid w:val="0070330F"/>
    <w:rsid w:val="00703624"/>
    <w:rsid w:val="007046ED"/>
    <w:rsid w:val="007072A1"/>
    <w:rsid w:val="0071009D"/>
    <w:rsid w:val="00710BC5"/>
    <w:rsid w:val="007121CA"/>
    <w:rsid w:val="00713EFC"/>
    <w:rsid w:val="0072003B"/>
    <w:rsid w:val="00721059"/>
    <w:rsid w:val="007211E6"/>
    <w:rsid w:val="007220C4"/>
    <w:rsid w:val="00722707"/>
    <w:rsid w:val="00730060"/>
    <w:rsid w:val="00732361"/>
    <w:rsid w:val="00734CED"/>
    <w:rsid w:val="007357B9"/>
    <w:rsid w:val="00741AB9"/>
    <w:rsid w:val="00741B29"/>
    <w:rsid w:val="00742D03"/>
    <w:rsid w:val="00744216"/>
    <w:rsid w:val="007452E8"/>
    <w:rsid w:val="00746990"/>
    <w:rsid w:val="00747093"/>
    <w:rsid w:val="0075023D"/>
    <w:rsid w:val="007507C1"/>
    <w:rsid w:val="00750D70"/>
    <w:rsid w:val="00752727"/>
    <w:rsid w:val="00753794"/>
    <w:rsid w:val="00754EB3"/>
    <w:rsid w:val="00757428"/>
    <w:rsid w:val="007575D0"/>
    <w:rsid w:val="007577ED"/>
    <w:rsid w:val="007662E0"/>
    <w:rsid w:val="00775D18"/>
    <w:rsid w:val="00775E8E"/>
    <w:rsid w:val="00776E9C"/>
    <w:rsid w:val="007773B3"/>
    <w:rsid w:val="00780CAC"/>
    <w:rsid w:val="007816D8"/>
    <w:rsid w:val="00784150"/>
    <w:rsid w:val="0078450A"/>
    <w:rsid w:val="00785F56"/>
    <w:rsid w:val="0079156F"/>
    <w:rsid w:val="00793272"/>
    <w:rsid w:val="00793C3C"/>
    <w:rsid w:val="0079499A"/>
    <w:rsid w:val="00794B64"/>
    <w:rsid w:val="007967C3"/>
    <w:rsid w:val="00797BC5"/>
    <w:rsid w:val="007A0A33"/>
    <w:rsid w:val="007A639B"/>
    <w:rsid w:val="007A7718"/>
    <w:rsid w:val="007B04DE"/>
    <w:rsid w:val="007B0AE6"/>
    <w:rsid w:val="007B1BAC"/>
    <w:rsid w:val="007B20DA"/>
    <w:rsid w:val="007B26CB"/>
    <w:rsid w:val="007B4895"/>
    <w:rsid w:val="007B7688"/>
    <w:rsid w:val="007C0F0B"/>
    <w:rsid w:val="007C57BC"/>
    <w:rsid w:val="007C5DD8"/>
    <w:rsid w:val="007C712C"/>
    <w:rsid w:val="007D04CA"/>
    <w:rsid w:val="007D0A2B"/>
    <w:rsid w:val="007D1037"/>
    <w:rsid w:val="007D1091"/>
    <w:rsid w:val="007D118A"/>
    <w:rsid w:val="007D12A1"/>
    <w:rsid w:val="007D1E9A"/>
    <w:rsid w:val="007D31B8"/>
    <w:rsid w:val="007D36BB"/>
    <w:rsid w:val="007D3725"/>
    <w:rsid w:val="007D40E5"/>
    <w:rsid w:val="007D4138"/>
    <w:rsid w:val="007D5ED0"/>
    <w:rsid w:val="007E001F"/>
    <w:rsid w:val="007E00E0"/>
    <w:rsid w:val="007E26E5"/>
    <w:rsid w:val="007E4178"/>
    <w:rsid w:val="007E49DF"/>
    <w:rsid w:val="007E4D07"/>
    <w:rsid w:val="007E6AF6"/>
    <w:rsid w:val="007E7476"/>
    <w:rsid w:val="007F0A77"/>
    <w:rsid w:val="007F0D9F"/>
    <w:rsid w:val="007F1129"/>
    <w:rsid w:val="007F1AA0"/>
    <w:rsid w:val="007F1E37"/>
    <w:rsid w:val="007F4E91"/>
    <w:rsid w:val="007F50D3"/>
    <w:rsid w:val="007F6B1F"/>
    <w:rsid w:val="00800683"/>
    <w:rsid w:val="00804897"/>
    <w:rsid w:val="00806EAF"/>
    <w:rsid w:val="0081080A"/>
    <w:rsid w:val="008111C1"/>
    <w:rsid w:val="00811489"/>
    <w:rsid w:val="00813D62"/>
    <w:rsid w:val="00815248"/>
    <w:rsid w:val="0082202D"/>
    <w:rsid w:val="0082261E"/>
    <w:rsid w:val="00824093"/>
    <w:rsid w:val="00824F10"/>
    <w:rsid w:val="00826FB1"/>
    <w:rsid w:val="00827177"/>
    <w:rsid w:val="008279F8"/>
    <w:rsid w:val="00830E86"/>
    <w:rsid w:val="008329DB"/>
    <w:rsid w:val="008339C3"/>
    <w:rsid w:val="008361C5"/>
    <w:rsid w:val="0083628F"/>
    <w:rsid w:val="00837AB9"/>
    <w:rsid w:val="0084525B"/>
    <w:rsid w:val="00846D2A"/>
    <w:rsid w:val="00847131"/>
    <w:rsid w:val="00847EC0"/>
    <w:rsid w:val="00847FFE"/>
    <w:rsid w:val="00850637"/>
    <w:rsid w:val="00852EF5"/>
    <w:rsid w:val="00853D14"/>
    <w:rsid w:val="008543E2"/>
    <w:rsid w:val="00854D98"/>
    <w:rsid w:val="00855379"/>
    <w:rsid w:val="00855479"/>
    <w:rsid w:val="0085581F"/>
    <w:rsid w:val="0085751E"/>
    <w:rsid w:val="00860B29"/>
    <w:rsid w:val="008622E8"/>
    <w:rsid w:val="0086420E"/>
    <w:rsid w:val="008645EE"/>
    <w:rsid w:val="00870144"/>
    <w:rsid w:val="00870254"/>
    <w:rsid w:val="0087072C"/>
    <w:rsid w:val="008739A9"/>
    <w:rsid w:val="00873D7A"/>
    <w:rsid w:val="00874B09"/>
    <w:rsid w:val="00875E06"/>
    <w:rsid w:val="00876C04"/>
    <w:rsid w:val="008777BA"/>
    <w:rsid w:val="00877B24"/>
    <w:rsid w:val="00877CB3"/>
    <w:rsid w:val="008804CF"/>
    <w:rsid w:val="00882D58"/>
    <w:rsid w:val="00882F19"/>
    <w:rsid w:val="00883D35"/>
    <w:rsid w:val="00884569"/>
    <w:rsid w:val="00886FC5"/>
    <w:rsid w:val="00887A51"/>
    <w:rsid w:val="00887D4A"/>
    <w:rsid w:val="00890047"/>
    <w:rsid w:val="00890D9B"/>
    <w:rsid w:val="00891C6C"/>
    <w:rsid w:val="00892587"/>
    <w:rsid w:val="00893CCD"/>
    <w:rsid w:val="00895349"/>
    <w:rsid w:val="008964B3"/>
    <w:rsid w:val="0089673A"/>
    <w:rsid w:val="008967CA"/>
    <w:rsid w:val="008A0471"/>
    <w:rsid w:val="008A251E"/>
    <w:rsid w:val="008A3480"/>
    <w:rsid w:val="008A4718"/>
    <w:rsid w:val="008B040A"/>
    <w:rsid w:val="008B1CB5"/>
    <w:rsid w:val="008B5950"/>
    <w:rsid w:val="008B7E07"/>
    <w:rsid w:val="008C0BE7"/>
    <w:rsid w:val="008C172A"/>
    <w:rsid w:val="008C2D69"/>
    <w:rsid w:val="008C300A"/>
    <w:rsid w:val="008C49C6"/>
    <w:rsid w:val="008C4CBD"/>
    <w:rsid w:val="008C754C"/>
    <w:rsid w:val="008D1812"/>
    <w:rsid w:val="008D34E2"/>
    <w:rsid w:val="008D4A7F"/>
    <w:rsid w:val="008D56C9"/>
    <w:rsid w:val="008D5999"/>
    <w:rsid w:val="008D6A54"/>
    <w:rsid w:val="008E05C0"/>
    <w:rsid w:val="008E2585"/>
    <w:rsid w:val="008E2D7A"/>
    <w:rsid w:val="008E5A67"/>
    <w:rsid w:val="008E6CEB"/>
    <w:rsid w:val="008F3215"/>
    <w:rsid w:val="008F4A62"/>
    <w:rsid w:val="008F6824"/>
    <w:rsid w:val="008F6C39"/>
    <w:rsid w:val="008F7256"/>
    <w:rsid w:val="0090050D"/>
    <w:rsid w:val="0090424C"/>
    <w:rsid w:val="0090605E"/>
    <w:rsid w:val="009108CE"/>
    <w:rsid w:val="00915A9F"/>
    <w:rsid w:val="009229B5"/>
    <w:rsid w:val="00925722"/>
    <w:rsid w:val="00925C27"/>
    <w:rsid w:val="0093071E"/>
    <w:rsid w:val="00930D58"/>
    <w:rsid w:val="00933C57"/>
    <w:rsid w:val="00935AAA"/>
    <w:rsid w:val="009360A4"/>
    <w:rsid w:val="00941FBE"/>
    <w:rsid w:val="00943050"/>
    <w:rsid w:val="009438EF"/>
    <w:rsid w:val="00944CA1"/>
    <w:rsid w:val="00944D0A"/>
    <w:rsid w:val="0095031E"/>
    <w:rsid w:val="009504E7"/>
    <w:rsid w:val="009519AE"/>
    <w:rsid w:val="00954297"/>
    <w:rsid w:val="00954605"/>
    <w:rsid w:val="009568F8"/>
    <w:rsid w:val="009601BB"/>
    <w:rsid w:val="00960A56"/>
    <w:rsid w:val="00962B53"/>
    <w:rsid w:val="00963F7C"/>
    <w:rsid w:val="00965C2B"/>
    <w:rsid w:val="00966CD8"/>
    <w:rsid w:val="00966EF1"/>
    <w:rsid w:val="00967223"/>
    <w:rsid w:val="009706EB"/>
    <w:rsid w:val="00970E6A"/>
    <w:rsid w:val="00972754"/>
    <w:rsid w:val="00973905"/>
    <w:rsid w:val="0097408C"/>
    <w:rsid w:val="009751F7"/>
    <w:rsid w:val="00976843"/>
    <w:rsid w:val="00976BCB"/>
    <w:rsid w:val="00981684"/>
    <w:rsid w:val="0098350E"/>
    <w:rsid w:val="009838DD"/>
    <w:rsid w:val="009849C5"/>
    <w:rsid w:val="00984D5C"/>
    <w:rsid w:val="00990B17"/>
    <w:rsid w:val="00990D2B"/>
    <w:rsid w:val="00991569"/>
    <w:rsid w:val="0099275E"/>
    <w:rsid w:val="00993D27"/>
    <w:rsid w:val="0099404F"/>
    <w:rsid w:val="009965A3"/>
    <w:rsid w:val="00996FA5"/>
    <w:rsid w:val="00997B97"/>
    <w:rsid w:val="009A152D"/>
    <w:rsid w:val="009A316E"/>
    <w:rsid w:val="009A3319"/>
    <w:rsid w:val="009A5E56"/>
    <w:rsid w:val="009A68A5"/>
    <w:rsid w:val="009B5662"/>
    <w:rsid w:val="009B5A2B"/>
    <w:rsid w:val="009B6B58"/>
    <w:rsid w:val="009C163E"/>
    <w:rsid w:val="009C2211"/>
    <w:rsid w:val="009C40E8"/>
    <w:rsid w:val="009C45C5"/>
    <w:rsid w:val="009C55D3"/>
    <w:rsid w:val="009C627C"/>
    <w:rsid w:val="009C66DE"/>
    <w:rsid w:val="009D1171"/>
    <w:rsid w:val="009D159C"/>
    <w:rsid w:val="009D443A"/>
    <w:rsid w:val="009D5242"/>
    <w:rsid w:val="009D7912"/>
    <w:rsid w:val="009E00C8"/>
    <w:rsid w:val="009E1C3C"/>
    <w:rsid w:val="009E33FB"/>
    <w:rsid w:val="009E3F30"/>
    <w:rsid w:val="009E4DCD"/>
    <w:rsid w:val="009E6858"/>
    <w:rsid w:val="009E6D33"/>
    <w:rsid w:val="009E6F8C"/>
    <w:rsid w:val="009F04B5"/>
    <w:rsid w:val="009F1805"/>
    <w:rsid w:val="009F195C"/>
    <w:rsid w:val="009F3128"/>
    <w:rsid w:val="009F405F"/>
    <w:rsid w:val="009F4A6D"/>
    <w:rsid w:val="00A01C56"/>
    <w:rsid w:val="00A02FA7"/>
    <w:rsid w:val="00A059FE"/>
    <w:rsid w:val="00A0725A"/>
    <w:rsid w:val="00A112D1"/>
    <w:rsid w:val="00A11F68"/>
    <w:rsid w:val="00A214B5"/>
    <w:rsid w:val="00A2627E"/>
    <w:rsid w:val="00A318AD"/>
    <w:rsid w:val="00A31BA4"/>
    <w:rsid w:val="00A31C00"/>
    <w:rsid w:val="00A32C50"/>
    <w:rsid w:val="00A332EE"/>
    <w:rsid w:val="00A358E7"/>
    <w:rsid w:val="00A41D3C"/>
    <w:rsid w:val="00A4380B"/>
    <w:rsid w:val="00A45CD4"/>
    <w:rsid w:val="00A46384"/>
    <w:rsid w:val="00A50AC8"/>
    <w:rsid w:val="00A51A2D"/>
    <w:rsid w:val="00A52BDA"/>
    <w:rsid w:val="00A5596B"/>
    <w:rsid w:val="00A56AC8"/>
    <w:rsid w:val="00A577E3"/>
    <w:rsid w:val="00A602AA"/>
    <w:rsid w:val="00A61AE5"/>
    <w:rsid w:val="00A63C07"/>
    <w:rsid w:val="00A63D9B"/>
    <w:rsid w:val="00A65E3F"/>
    <w:rsid w:val="00A704DC"/>
    <w:rsid w:val="00A725D0"/>
    <w:rsid w:val="00A750FD"/>
    <w:rsid w:val="00A779C4"/>
    <w:rsid w:val="00A80A0A"/>
    <w:rsid w:val="00A81A53"/>
    <w:rsid w:val="00A82A47"/>
    <w:rsid w:val="00A82BAB"/>
    <w:rsid w:val="00A82F10"/>
    <w:rsid w:val="00A83EDB"/>
    <w:rsid w:val="00A84508"/>
    <w:rsid w:val="00A864A0"/>
    <w:rsid w:val="00A86AF8"/>
    <w:rsid w:val="00A8755F"/>
    <w:rsid w:val="00A93DC6"/>
    <w:rsid w:val="00A9411A"/>
    <w:rsid w:val="00A94878"/>
    <w:rsid w:val="00A96620"/>
    <w:rsid w:val="00A9677F"/>
    <w:rsid w:val="00A97C91"/>
    <w:rsid w:val="00AA4A4B"/>
    <w:rsid w:val="00AA58BF"/>
    <w:rsid w:val="00AA5E39"/>
    <w:rsid w:val="00AA6682"/>
    <w:rsid w:val="00AB0613"/>
    <w:rsid w:val="00AB0C7C"/>
    <w:rsid w:val="00AB2D90"/>
    <w:rsid w:val="00AB340C"/>
    <w:rsid w:val="00AB61BC"/>
    <w:rsid w:val="00AB7C5C"/>
    <w:rsid w:val="00AB7CBF"/>
    <w:rsid w:val="00AC1AAF"/>
    <w:rsid w:val="00AC414E"/>
    <w:rsid w:val="00AC4193"/>
    <w:rsid w:val="00AC4A65"/>
    <w:rsid w:val="00AC64ED"/>
    <w:rsid w:val="00AC68FB"/>
    <w:rsid w:val="00AC69C6"/>
    <w:rsid w:val="00AD0111"/>
    <w:rsid w:val="00AD04A9"/>
    <w:rsid w:val="00AD1F4F"/>
    <w:rsid w:val="00AD3124"/>
    <w:rsid w:val="00AD4C72"/>
    <w:rsid w:val="00AD5451"/>
    <w:rsid w:val="00AD5966"/>
    <w:rsid w:val="00AD7AEB"/>
    <w:rsid w:val="00AD7D52"/>
    <w:rsid w:val="00AE1947"/>
    <w:rsid w:val="00AE5EE0"/>
    <w:rsid w:val="00AE6659"/>
    <w:rsid w:val="00AE7D73"/>
    <w:rsid w:val="00AF1C8B"/>
    <w:rsid w:val="00AF299B"/>
    <w:rsid w:val="00AF3F31"/>
    <w:rsid w:val="00AF7E43"/>
    <w:rsid w:val="00B02AE0"/>
    <w:rsid w:val="00B04BE1"/>
    <w:rsid w:val="00B05326"/>
    <w:rsid w:val="00B12E4C"/>
    <w:rsid w:val="00B14545"/>
    <w:rsid w:val="00B14E60"/>
    <w:rsid w:val="00B15074"/>
    <w:rsid w:val="00B1778A"/>
    <w:rsid w:val="00B17BA2"/>
    <w:rsid w:val="00B24D8B"/>
    <w:rsid w:val="00B267B6"/>
    <w:rsid w:val="00B26DC3"/>
    <w:rsid w:val="00B30B9D"/>
    <w:rsid w:val="00B3288F"/>
    <w:rsid w:val="00B34406"/>
    <w:rsid w:val="00B41987"/>
    <w:rsid w:val="00B4574D"/>
    <w:rsid w:val="00B468E1"/>
    <w:rsid w:val="00B46BC0"/>
    <w:rsid w:val="00B46DFB"/>
    <w:rsid w:val="00B47C9E"/>
    <w:rsid w:val="00B5141B"/>
    <w:rsid w:val="00B55681"/>
    <w:rsid w:val="00B56694"/>
    <w:rsid w:val="00B57AAD"/>
    <w:rsid w:val="00B620E3"/>
    <w:rsid w:val="00B62336"/>
    <w:rsid w:val="00B62F50"/>
    <w:rsid w:val="00B63B6F"/>
    <w:rsid w:val="00B647D7"/>
    <w:rsid w:val="00B67799"/>
    <w:rsid w:val="00B713DC"/>
    <w:rsid w:val="00B72B16"/>
    <w:rsid w:val="00B72DBA"/>
    <w:rsid w:val="00B73277"/>
    <w:rsid w:val="00B73289"/>
    <w:rsid w:val="00B73708"/>
    <w:rsid w:val="00B742DD"/>
    <w:rsid w:val="00B77278"/>
    <w:rsid w:val="00B77CA7"/>
    <w:rsid w:val="00B80408"/>
    <w:rsid w:val="00B81397"/>
    <w:rsid w:val="00B828DE"/>
    <w:rsid w:val="00B82B16"/>
    <w:rsid w:val="00B91A37"/>
    <w:rsid w:val="00B9207B"/>
    <w:rsid w:val="00B925DB"/>
    <w:rsid w:val="00B94451"/>
    <w:rsid w:val="00B967FF"/>
    <w:rsid w:val="00B974B9"/>
    <w:rsid w:val="00BA1B29"/>
    <w:rsid w:val="00BA2742"/>
    <w:rsid w:val="00BA3F6D"/>
    <w:rsid w:val="00BA4BE6"/>
    <w:rsid w:val="00BA4FC0"/>
    <w:rsid w:val="00BA61E0"/>
    <w:rsid w:val="00BA7F7D"/>
    <w:rsid w:val="00BB18D0"/>
    <w:rsid w:val="00BB19CD"/>
    <w:rsid w:val="00BB1C14"/>
    <w:rsid w:val="00BB3771"/>
    <w:rsid w:val="00BB3A83"/>
    <w:rsid w:val="00BB3E63"/>
    <w:rsid w:val="00BB6847"/>
    <w:rsid w:val="00BB7F8F"/>
    <w:rsid w:val="00BC1659"/>
    <w:rsid w:val="00BC16FE"/>
    <w:rsid w:val="00BC1DBD"/>
    <w:rsid w:val="00BC37C2"/>
    <w:rsid w:val="00BC716A"/>
    <w:rsid w:val="00BD07DF"/>
    <w:rsid w:val="00BD1E4F"/>
    <w:rsid w:val="00BD2036"/>
    <w:rsid w:val="00BD26F4"/>
    <w:rsid w:val="00BD305E"/>
    <w:rsid w:val="00BD5DBD"/>
    <w:rsid w:val="00BD5DF6"/>
    <w:rsid w:val="00BE0041"/>
    <w:rsid w:val="00BE1804"/>
    <w:rsid w:val="00BE640F"/>
    <w:rsid w:val="00BE6518"/>
    <w:rsid w:val="00BF1753"/>
    <w:rsid w:val="00BF4638"/>
    <w:rsid w:val="00C04A34"/>
    <w:rsid w:val="00C059D0"/>
    <w:rsid w:val="00C06348"/>
    <w:rsid w:val="00C07551"/>
    <w:rsid w:val="00C1109F"/>
    <w:rsid w:val="00C113F5"/>
    <w:rsid w:val="00C1159B"/>
    <w:rsid w:val="00C12D65"/>
    <w:rsid w:val="00C12E39"/>
    <w:rsid w:val="00C133AB"/>
    <w:rsid w:val="00C153F9"/>
    <w:rsid w:val="00C159C1"/>
    <w:rsid w:val="00C1610D"/>
    <w:rsid w:val="00C17315"/>
    <w:rsid w:val="00C206A0"/>
    <w:rsid w:val="00C208D2"/>
    <w:rsid w:val="00C20B56"/>
    <w:rsid w:val="00C22214"/>
    <w:rsid w:val="00C2567E"/>
    <w:rsid w:val="00C26BA9"/>
    <w:rsid w:val="00C26DF1"/>
    <w:rsid w:val="00C26F72"/>
    <w:rsid w:val="00C309A7"/>
    <w:rsid w:val="00C335AB"/>
    <w:rsid w:val="00C336FF"/>
    <w:rsid w:val="00C33F41"/>
    <w:rsid w:val="00C35B4E"/>
    <w:rsid w:val="00C362C9"/>
    <w:rsid w:val="00C407AB"/>
    <w:rsid w:val="00C44161"/>
    <w:rsid w:val="00C4701C"/>
    <w:rsid w:val="00C47419"/>
    <w:rsid w:val="00C47B7D"/>
    <w:rsid w:val="00C52B7B"/>
    <w:rsid w:val="00C547CD"/>
    <w:rsid w:val="00C56AA3"/>
    <w:rsid w:val="00C570FF"/>
    <w:rsid w:val="00C57985"/>
    <w:rsid w:val="00C57CEA"/>
    <w:rsid w:val="00C60FEC"/>
    <w:rsid w:val="00C6574E"/>
    <w:rsid w:val="00C66176"/>
    <w:rsid w:val="00C66294"/>
    <w:rsid w:val="00C707FD"/>
    <w:rsid w:val="00C70B56"/>
    <w:rsid w:val="00C711AF"/>
    <w:rsid w:val="00C73CBA"/>
    <w:rsid w:val="00C743AE"/>
    <w:rsid w:val="00C76DEB"/>
    <w:rsid w:val="00C777B5"/>
    <w:rsid w:val="00C816C6"/>
    <w:rsid w:val="00C835F4"/>
    <w:rsid w:val="00C863A7"/>
    <w:rsid w:val="00C874BB"/>
    <w:rsid w:val="00C87D41"/>
    <w:rsid w:val="00C87F01"/>
    <w:rsid w:val="00C912F4"/>
    <w:rsid w:val="00C9156F"/>
    <w:rsid w:val="00C93491"/>
    <w:rsid w:val="00C94F43"/>
    <w:rsid w:val="00C9581A"/>
    <w:rsid w:val="00C96B14"/>
    <w:rsid w:val="00C97D29"/>
    <w:rsid w:val="00CA128E"/>
    <w:rsid w:val="00CA25E4"/>
    <w:rsid w:val="00CA2C69"/>
    <w:rsid w:val="00CA600A"/>
    <w:rsid w:val="00CA6771"/>
    <w:rsid w:val="00CB0550"/>
    <w:rsid w:val="00CB0A49"/>
    <w:rsid w:val="00CB48F0"/>
    <w:rsid w:val="00CB6813"/>
    <w:rsid w:val="00CD3E68"/>
    <w:rsid w:val="00CD55B8"/>
    <w:rsid w:val="00CD719D"/>
    <w:rsid w:val="00CE1E16"/>
    <w:rsid w:val="00CE3564"/>
    <w:rsid w:val="00CF063C"/>
    <w:rsid w:val="00CF1A7F"/>
    <w:rsid w:val="00CF3B3F"/>
    <w:rsid w:val="00CF53A0"/>
    <w:rsid w:val="00CF6A55"/>
    <w:rsid w:val="00CF6DC6"/>
    <w:rsid w:val="00CF6DCF"/>
    <w:rsid w:val="00D0138F"/>
    <w:rsid w:val="00D01DDB"/>
    <w:rsid w:val="00D041E7"/>
    <w:rsid w:val="00D078BE"/>
    <w:rsid w:val="00D11DA2"/>
    <w:rsid w:val="00D12C66"/>
    <w:rsid w:val="00D13F8A"/>
    <w:rsid w:val="00D13FD3"/>
    <w:rsid w:val="00D15F5C"/>
    <w:rsid w:val="00D16F60"/>
    <w:rsid w:val="00D22981"/>
    <w:rsid w:val="00D2443D"/>
    <w:rsid w:val="00D265DB"/>
    <w:rsid w:val="00D26BCD"/>
    <w:rsid w:val="00D30BB1"/>
    <w:rsid w:val="00D3349B"/>
    <w:rsid w:val="00D3550E"/>
    <w:rsid w:val="00D40CE9"/>
    <w:rsid w:val="00D423C9"/>
    <w:rsid w:val="00D423D1"/>
    <w:rsid w:val="00D424A8"/>
    <w:rsid w:val="00D42594"/>
    <w:rsid w:val="00D44A04"/>
    <w:rsid w:val="00D44E56"/>
    <w:rsid w:val="00D500D3"/>
    <w:rsid w:val="00D54B74"/>
    <w:rsid w:val="00D56ECE"/>
    <w:rsid w:val="00D571E5"/>
    <w:rsid w:val="00D57373"/>
    <w:rsid w:val="00D6036F"/>
    <w:rsid w:val="00D62877"/>
    <w:rsid w:val="00D63760"/>
    <w:rsid w:val="00D6703F"/>
    <w:rsid w:val="00D70041"/>
    <w:rsid w:val="00D7304A"/>
    <w:rsid w:val="00D734EB"/>
    <w:rsid w:val="00D73605"/>
    <w:rsid w:val="00D74DB4"/>
    <w:rsid w:val="00D82713"/>
    <w:rsid w:val="00D84C4A"/>
    <w:rsid w:val="00D8599D"/>
    <w:rsid w:val="00D86495"/>
    <w:rsid w:val="00D86F00"/>
    <w:rsid w:val="00D90857"/>
    <w:rsid w:val="00D90DEC"/>
    <w:rsid w:val="00D918D5"/>
    <w:rsid w:val="00D93E85"/>
    <w:rsid w:val="00D94C8E"/>
    <w:rsid w:val="00D977A6"/>
    <w:rsid w:val="00DA1244"/>
    <w:rsid w:val="00DA1739"/>
    <w:rsid w:val="00DA1C86"/>
    <w:rsid w:val="00DA32A2"/>
    <w:rsid w:val="00DA34D4"/>
    <w:rsid w:val="00DA371B"/>
    <w:rsid w:val="00DA6907"/>
    <w:rsid w:val="00DB1372"/>
    <w:rsid w:val="00DB192C"/>
    <w:rsid w:val="00DB1C48"/>
    <w:rsid w:val="00DB1CF3"/>
    <w:rsid w:val="00DB4973"/>
    <w:rsid w:val="00DB5425"/>
    <w:rsid w:val="00DB6AFE"/>
    <w:rsid w:val="00DB72A6"/>
    <w:rsid w:val="00DC0FD7"/>
    <w:rsid w:val="00DC117D"/>
    <w:rsid w:val="00DC23CE"/>
    <w:rsid w:val="00DC6611"/>
    <w:rsid w:val="00DD1A8E"/>
    <w:rsid w:val="00DD2AE3"/>
    <w:rsid w:val="00DD43CF"/>
    <w:rsid w:val="00DD5045"/>
    <w:rsid w:val="00DD78B7"/>
    <w:rsid w:val="00DD7E5C"/>
    <w:rsid w:val="00DE1344"/>
    <w:rsid w:val="00DE352E"/>
    <w:rsid w:val="00DE543D"/>
    <w:rsid w:val="00DE59B5"/>
    <w:rsid w:val="00DE6C42"/>
    <w:rsid w:val="00DE6EF4"/>
    <w:rsid w:val="00DE70D9"/>
    <w:rsid w:val="00DE7257"/>
    <w:rsid w:val="00DF2E78"/>
    <w:rsid w:val="00DF3487"/>
    <w:rsid w:val="00DF5BFE"/>
    <w:rsid w:val="00DF6A52"/>
    <w:rsid w:val="00E03D57"/>
    <w:rsid w:val="00E0523F"/>
    <w:rsid w:val="00E05BF1"/>
    <w:rsid w:val="00E1134F"/>
    <w:rsid w:val="00E1315E"/>
    <w:rsid w:val="00E16832"/>
    <w:rsid w:val="00E21C6D"/>
    <w:rsid w:val="00E2205A"/>
    <w:rsid w:val="00E2362E"/>
    <w:rsid w:val="00E23E50"/>
    <w:rsid w:val="00E24408"/>
    <w:rsid w:val="00E24BE4"/>
    <w:rsid w:val="00E2553D"/>
    <w:rsid w:val="00E26213"/>
    <w:rsid w:val="00E274DF"/>
    <w:rsid w:val="00E34D66"/>
    <w:rsid w:val="00E355B7"/>
    <w:rsid w:val="00E35D35"/>
    <w:rsid w:val="00E362C4"/>
    <w:rsid w:val="00E3732C"/>
    <w:rsid w:val="00E40A0A"/>
    <w:rsid w:val="00E4106C"/>
    <w:rsid w:val="00E422A5"/>
    <w:rsid w:val="00E4410F"/>
    <w:rsid w:val="00E44926"/>
    <w:rsid w:val="00E44C4C"/>
    <w:rsid w:val="00E460A6"/>
    <w:rsid w:val="00E46CC2"/>
    <w:rsid w:val="00E47E0C"/>
    <w:rsid w:val="00E51439"/>
    <w:rsid w:val="00E51813"/>
    <w:rsid w:val="00E52C0B"/>
    <w:rsid w:val="00E53D3F"/>
    <w:rsid w:val="00E5579B"/>
    <w:rsid w:val="00E57FF4"/>
    <w:rsid w:val="00E60B80"/>
    <w:rsid w:val="00E641B9"/>
    <w:rsid w:val="00E669E9"/>
    <w:rsid w:val="00E679D1"/>
    <w:rsid w:val="00E67C1C"/>
    <w:rsid w:val="00E70401"/>
    <w:rsid w:val="00E723E6"/>
    <w:rsid w:val="00E723EE"/>
    <w:rsid w:val="00E737B4"/>
    <w:rsid w:val="00E827C2"/>
    <w:rsid w:val="00E86F2D"/>
    <w:rsid w:val="00E876DF"/>
    <w:rsid w:val="00E91187"/>
    <w:rsid w:val="00E91F11"/>
    <w:rsid w:val="00E9324C"/>
    <w:rsid w:val="00E9706D"/>
    <w:rsid w:val="00EA24C8"/>
    <w:rsid w:val="00EA3AF4"/>
    <w:rsid w:val="00EA5170"/>
    <w:rsid w:val="00EA6EAC"/>
    <w:rsid w:val="00EB33AC"/>
    <w:rsid w:val="00EB34FC"/>
    <w:rsid w:val="00EB5DBC"/>
    <w:rsid w:val="00EC0509"/>
    <w:rsid w:val="00EC0CF7"/>
    <w:rsid w:val="00EC1BB2"/>
    <w:rsid w:val="00EC2D9D"/>
    <w:rsid w:val="00EC46C8"/>
    <w:rsid w:val="00ED4811"/>
    <w:rsid w:val="00ED5A70"/>
    <w:rsid w:val="00EE0E7F"/>
    <w:rsid w:val="00EE3292"/>
    <w:rsid w:val="00EE5DBE"/>
    <w:rsid w:val="00EE6D01"/>
    <w:rsid w:val="00EF0BAE"/>
    <w:rsid w:val="00EF3F0B"/>
    <w:rsid w:val="00EF5583"/>
    <w:rsid w:val="00EF59A7"/>
    <w:rsid w:val="00EF69EF"/>
    <w:rsid w:val="00EF7324"/>
    <w:rsid w:val="00EF7CC0"/>
    <w:rsid w:val="00F0069B"/>
    <w:rsid w:val="00F00CC8"/>
    <w:rsid w:val="00F01925"/>
    <w:rsid w:val="00F0289D"/>
    <w:rsid w:val="00F02AEC"/>
    <w:rsid w:val="00F04416"/>
    <w:rsid w:val="00F07572"/>
    <w:rsid w:val="00F106E0"/>
    <w:rsid w:val="00F1190A"/>
    <w:rsid w:val="00F1219D"/>
    <w:rsid w:val="00F12C27"/>
    <w:rsid w:val="00F157FC"/>
    <w:rsid w:val="00F15E72"/>
    <w:rsid w:val="00F202FF"/>
    <w:rsid w:val="00F249A0"/>
    <w:rsid w:val="00F2781A"/>
    <w:rsid w:val="00F30AF3"/>
    <w:rsid w:val="00F31702"/>
    <w:rsid w:val="00F34334"/>
    <w:rsid w:val="00F37FD6"/>
    <w:rsid w:val="00F429F7"/>
    <w:rsid w:val="00F43CD1"/>
    <w:rsid w:val="00F45AE0"/>
    <w:rsid w:val="00F47794"/>
    <w:rsid w:val="00F56FA1"/>
    <w:rsid w:val="00F60CF2"/>
    <w:rsid w:val="00F64708"/>
    <w:rsid w:val="00F657B4"/>
    <w:rsid w:val="00F664BD"/>
    <w:rsid w:val="00F70511"/>
    <w:rsid w:val="00F71966"/>
    <w:rsid w:val="00F734FD"/>
    <w:rsid w:val="00F7649F"/>
    <w:rsid w:val="00F77376"/>
    <w:rsid w:val="00F8083B"/>
    <w:rsid w:val="00F81146"/>
    <w:rsid w:val="00F85F5B"/>
    <w:rsid w:val="00F865A7"/>
    <w:rsid w:val="00F86CD0"/>
    <w:rsid w:val="00F9004B"/>
    <w:rsid w:val="00F93973"/>
    <w:rsid w:val="00F9741F"/>
    <w:rsid w:val="00FA0754"/>
    <w:rsid w:val="00FA1BC9"/>
    <w:rsid w:val="00FA49C3"/>
    <w:rsid w:val="00FA5BB5"/>
    <w:rsid w:val="00FA5DE8"/>
    <w:rsid w:val="00FA73EB"/>
    <w:rsid w:val="00FA7430"/>
    <w:rsid w:val="00FB16DE"/>
    <w:rsid w:val="00FB22C8"/>
    <w:rsid w:val="00FB236E"/>
    <w:rsid w:val="00FB3F7B"/>
    <w:rsid w:val="00FB4C2A"/>
    <w:rsid w:val="00FB56FD"/>
    <w:rsid w:val="00FB6387"/>
    <w:rsid w:val="00FB78D9"/>
    <w:rsid w:val="00FC2107"/>
    <w:rsid w:val="00FC48FE"/>
    <w:rsid w:val="00FC5E06"/>
    <w:rsid w:val="00FC6F56"/>
    <w:rsid w:val="00FC7523"/>
    <w:rsid w:val="00FC78B5"/>
    <w:rsid w:val="00FD0689"/>
    <w:rsid w:val="00FD21BB"/>
    <w:rsid w:val="00FD2B82"/>
    <w:rsid w:val="00FD7EAF"/>
    <w:rsid w:val="00FE0874"/>
    <w:rsid w:val="00FE087C"/>
    <w:rsid w:val="00FE4A8C"/>
    <w:rsid w:val="00FE5BBA"/>
    <w:rsid w:val="00FE7281"/>
    <w:rsid w:val="00FE79A0"/>
    <w:rsid w:val="00FF0939"/>
    <w:rsid w:val="00FF0D30"/>
    <w:rsid w:val="00FF426E"/>
    <w:rsid w:val="00FF52EF"/>
    <w:rsid w:val="00FF56DB"/>
    <w:rsid w:val="00FF7B48"/>
    <w:rsid w:val="040F45B1"/>
    <w:rsid w:val="142FCC15"/>
    <w:rsid w:val="192C59E3"/>
    <w:rsid w:val="19F1DAA2"/>
    <w:rsid w:val="1A9C47D2"/>
    <w:rsid w:val="1CE04D34"/>
    <w:rsid w:val="2C8F5D77"/>
    <w:rsid w:val="33093E29"/>
    <w:rsid w:val="4F4C7FB3"/>
    <w:rsid w:val="50B7B37A"/>
    <w:rsid w:val="57529186"/>
    <w:rsid w:val="5C49BE3D"/>
    <w:rsid w:val="61FC6BB3"/>
    <w:rsid w:val="6460394B"/>
    <w:rsid w:val="74713C7F"/>
    <w:rsid w:val="766EED7B"/>
    <w:rsid w:val="78550C39"/>
    <w:rsid w:val="7C7A452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4C024"/>
  <w15:chartTrackingRefBased/>
  <w15:docId w15:val="{FCE3BC04-DDF2-4D44-9103-464F706B8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1244"/>
    <w:rPr>
      <w:rFonts w:ascii="Cambria" w:hAnsi="Cambria"/>
      <w:sz w:val="22"/>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rsid w:val="00F02AEC"/>
    <w:pPr>
      <w:keepNext/>
      <w:keepLines/>
      <w:spacing w:before="240" w:line="240" w:lineRule="atLeast"/>
      <w:outlineLvl w:val="5"/>
    </w:pPr>
    <w:rPr>
      <w:rFonts w:ascii="Arial" w:eastAsia="Times New Roman" w:hAnsi="Arial" w:cs="Times New Roman"/>
      <w:b/>
      <w:bCs/>
      <w:i/>
      <w:color w:val="001871"/>
      <w:sz w:val="24"/>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rsid w:val="0056766D"/>
  </w:style>
  <w:style w:type="paragraph" w:customStyle="1" w:styleId="LegalSubheading">
    <w:name w:val="Legal Subheading"/>
    <w:basedOn w:val="Footer"/>
    <w:rsid w:val="0056766D"/>
    <w:pPr>
      <w:outlineLvl w:val="1"/>
    </w:pPr>
    <w:rPr>
      <w:b/>
    </w:rPr>
  </w:style>
  <w:style w:type="paragraph" w:styleId="ListBullet">
    <w:name w:val="List Bullet"/>
    <w:basedOn w:val="Normal"/>
    <w:uiPriority w:val="2"/>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2"/>
    <w:qFormat/>
    <w:rsid w:val="00FC6F56"/>
    <w:pPr>
      <w:numPr>
        <w:ilvl w:val="1"/>
        <w:numId w:val="1"/>
      </w:numPr>
      <w:spacing w:before="120" w:after="180" w:line="240" w:lineRule="atLeast"/>
      <w:ind w:left="850" w:hanging="425"/>
    </w:pPr>
    <w:rPr>
      <w:rFonts w:eastAsia="Cambria" w:cs="Times New Roman"/>
      <w:color w:val="000000" w:themeColor="text1"/>
    </w:rPr>
  </w:style>
  <w:style w:type="paragraph" w:styleId="ListBullet3">
    <w:name w:val="List Bullet 3"/>
    <w:basedOn w:val="Normal"/>
    <w:uiPriority w:val="2"/>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2"/>
    <w:qFormat/>
    <w:rsid w:val="00FC6F56"/>
    <w:pPr>
      <w:numPr>
        <w:numId w:val="2"/>
      </w:numPr>
    </w:pPr>
  </w:style>
  <w:style w:type="paragraph" w:customStyle="1" w:styleId="Numberbullet2">
    <w:name w:val="Number bullet 2"/>
    <w:basedOn w:val="ListBullet2"/>
    <w:uiPriority w:val="2"/>
    <w:qFormat/>
    <w:rsid w:val="00F02AEC"/>
    <w:pPr>
      <w:numPr>
        <w:numId w:val="2"/>
      </w:numPr>
      <w:ind w:left="850" w:hanging="425"/>
    </w:pPr>
  </w:style>
  <w:style w:type="paragraph" w:customStyle="1" w:styleId="Numberbullet3">
    <w:name w:val="Number bullet 3"/>
    <w:basedOn w:val="Normal"/>
    <w:uiPriority w:val="2"/>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rsid w:val="00FE087C"/>
    <w:rPr>
      <w:rFonts w:ascii="Cambria" w:eastAsia="Cambria" w:hAnsi="Cambria" w:cs="Times New Roman"/>
      <w:color w:val="333F48"/>
      <w:sz w:val="17"/>
    </w:rPr>
  </w:style>
  <w:style w:type="character" w:styleId="FootnoteReference">
    <w:name w:val="footnote reference"/>
    <w:basedOn w:val="DefaultParagraphFont"/>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rsid w:val="00F02AEC"/>
    <w:pPr>
      <w:numPr>
        <w:numId w:val="5"/>
      </w:numPr>
      <w:tabs>
        <w:tab w:val="left" w:pos="425"/>
      </w:tabs>
    </w:pPr>
  </w:style>
  <w:style w:type="paragraph" w:customStyle="1" w:styleId="ListBullet-donotcross">
    <w:name w:val="List Bullet - do not (cross)"/>
    <w:basedOn w:val="ListBullet"/>
    <w:autoRedefine/>
    <w:uiPriority w:val="1"/>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Wingdings 3" w:hAnsi="Wingdings 3"/>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rsid w:val="00324B33"/>
    <w:pPr>
      <w:keepNext/>
      <w:spacing w:before="120" w:line="240" w:lineRule="atLeast"/>
    </w:pPr>
    <w:rPr>
      <w:rFonts w:eastAsia="Cambria" w:cs="Times New Roman"/>
      <w:b/>
      <w:szCs w:val="22"/>
    </w:rPr>
  </w:style>
  <w:style w:type="paragraph" w:customStyle="1" w:styleId="TableDescription">
    <w:name w:val="Table Description"/>
    <w:basedOn w:val="Normal"/>
    <w:qFormat/>
    <w:rsid w:val="00854D98"/>
    <w:pPr>
      <w:spacing w:before="120" w:line="240" w:lineRule="auto"/>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styleId="UnresolvedMention">
    <w:name w:val="Unresolved Mention"/>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5B69CF"/>
    <w:rPr>
      <w:color w:val="000000" w:themeColor="text1"/>
      <w:sz w:val="22"/>
      <w:lang w:val="en-GB"/>
    </w:rPr>
  </w:style>
  <w:style w:type="paragraph" w:customStyle="1" w:styleId="FigureTitle">
    <w:name w:val="Figure Title"/>
    <w:basedOn w:val="Normal"/>
    <w:qFormat/>
    <w:rsid w:val="00AB0613"/>
    <w:pPr>
      <w:keepNext/>
    </w:pPr>
    <w:rPr>
      <w:b/>
    </w:rPr>
  </w:style>
  <w:style w:type="paragraph" w:styleId="Caption">
    <w:name w:val="caption"/>
    <w:basedOn w:val="Normal"/>
    <w:next w:val="Normal"/>
    <w:uiPriority w:val="35"/>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qFormat/>
    <w:rsid w:val="0010558A"/>
    <w:pPr>
      <w:spacing w:before="120"/>
    </w:pPr>
    <w:rPr>
      <w:b w:val="0"/>
      <w:sz w:val="19"/>
    </w:rPr>
  </w:style>
  <w:style w:type="paragraph" w:styleId="ListParagraph">
    <w:name w:val="List Paragraph"/>
    <w:aliases w:val="List normal"/>
    <w:basedOn w:val="Normal"/>
    <w:link w:val="ListParagraphChar"/>
    <w:uiPriority w:val="1"/>
    <w:qFormat/>
    <w:rsid w:val="006B7126"/>
    <w:pPr>
      <w:spacing w:after="160"/>
      <w:ind w:left="720"/>
      <w:contextualSpacing/>
    </w:pPr>
    <w:rPr>
      <w:rFonts w:ascii="Times New Roman" w:hAnsi="Times New Roman" w:cs="Times New Roman"/>
      <w:sz w:val="24"/>
      <w:szCs w:val="24"/>
    </w:rPr>
  </w:style>
  <w:style w:type="character" w:customStyle="1" w:styleId="ListParagraphChar">
    <w:name w:val="List Paragraph Char"/>
    <w:aliases w:val="List normal Char"/>
    <w:basedOn w:val="DefaultParagraphFont"/>
    <w:link w:val="ListParagraph"/>
    <w:uiPriority w:val="1"/>
    <w:locked/>
    <w:rsid w:val="006B7126"/>
    <w:rPr>
      <w:rFonts w:ascii="Times New Roman" w:hAnsi="Times New Roman" w:cs="Times New Roman"/>
      <w:sz w:val="24"/>
      <w:szCs w:val="24"/>
    </w:rPr>
  </w:style>
  <w:style w:type="paragraph" w:customStyle="1" w:styleId="Indication">
    <w:name w:val="Indication"/>
    <w:basedOn w:val="Normal"/>
    <w:next w:val="Normal"/>
    <w:qFormat/>
    <w:rsid w:val="00BA3F6D"/>
    <w:pPr>
      <w:spacing w:before="120" w:line="240" w:lineRule="atLeast"/>
      <w:ind w:left="720"/>
      <w:contextualSpacing/>
    </w:pPr>
    <w:rPr>
      <w:i/>
      <w:color w:val="000000" w:themeColor="text1"/>
    </w:rPr>
  </w:style>
  <w:style w:type="paragraph" w:customStyle="1" w:styleId="DelegatesQuestions">
    <w:name w:val="Delegate's Questions"/>
    <w:basedOn w:val="Numberbullet0"/>
    <w:qFormat/>
    <w:rsid w:val="007575D0"/>
    <w:rPr>
      <w:b/>
      <w:bCs/>
      <w:i/>
      <w:iCs/>
    </w:rPr>
  </w:style>
  <w:style w:type="paragraph" w:styleId="Quote">
    <w:name w:val="Quote"/>
    <w:basedOn w:val="Normal"/>
    <w:next w:val="Normal"/>
    <w:link w:val="QuoteChar"/>
    <w:qFormat/>
    <w:rsid w:val="001F202B"/>
    <w:pPr>
      <w:spacing w:after="280" w:line="252" w:lineRule="auto"/>
      <w:ind w:left="482" w:right="397" w:hanging="85"/>
    </w:pPr>
    <w:rPr>
      <w:rFonts w:eastAsia="Times New Roman" w:cs="Times New Roman"/>
      <w:kern w:val="16"/>
      <w:szCs w:val="24"/>
    </w:rPr>
  </w:style>
  <w:style w:type="character" w:customStyle="1" w:styleId="QuoteChar">
    <w:name w:val="Quote Char"/>
    <w:basedOn w:val="DefaultParagraphFont"/>
    <w:link w:val="Quote"/>
    <w:rsid w:val="001F202B"/>
    <w:rPr>
      <w:rFonts w:ascii="Cambria" w:eastAsia="Times New Roman" w:hAnsi="Cambria" w:cs="Times New Roman"/>
      <w:kern w:val="16"/>
      <w:sz w:val="22"/>
      <w:szCs w:val="24"/>
    </w:rPr>
  </w:style>
  <w:style w:type="paragraph" w:styleId="ListNumber">
    <w:name w:val="List Number"/>
    <w:basedOn w:val="ListParagraph"/>
    <w:uiPriority w:val="99"/>
    <w:unhideWhenUsed/>
    <w:rsid w:val="00D54B74"/>
    <w:pPr>
      <w:numPr>
        <w:numId w:val="24"/>
      </w:numPr>
      <w:spacing w:after="120" w:line="240" w:lineRule="auto"/>
      <w:ind w:left="426" w:hanging="426"/>
    </w:pPr>
    <w:rPr>
      <w:rFonts w:asciiTheme="minorHAnsi" w:eastAsia="Times New Roman" w:hAnsiTheme="minorHAnsi"/>
      <w:b/>
      <w:sz w:val="22"/>
      <w:szCs w:val="22"/>
      <w:lang w:eastAsia="en-AU"/>
    </w:rPr>
  </w:style>
  <w:style w:type="paragraph" w:customStyle="1" w:styleId="Bulletlist">
    <w:name w:val="Bullet list"/>
    <w:basedOn w:val="Normal"/>
    <w:link w:val="BulletlistChar"/>
    <w:qFormat/>
    <w:rsid w:val="005030CE"/>
    <w:pPr>
      <w:numPr>
        <w:numId w:val="30"/>
      </w:numPr>
      <w:spacing w:after="180" w:line="252" w:lineRule="auto"/>
      <w:ind w:left="426" w:hanging="284"/>
    </w:pPr>
    <w:rPr>
      <w:rFonts w:eastAsia="Times New Roman" w:cs="Times New Roman"/>
      <w:snapToGrid w:val="0"/>
      <w:kern w:val="2"/>
      <w:sz w:val="23"/>
      <w:szCs w:val="22"/>
    </w:rPr>
  </w:style>
  <w:style w:type="character" w:customStyle="1" w:styleId="BulletlistChar">
    <w:name w:val="Bullet list Char"/>
    <w:basedOn w:val="DefaultParagraphFont"/>
    <w:link w:val="Bulletlist"/>
    <w:rsid w:val="005030CE"/>
    <w:rPr>
      <w:rFonts w:ascii="Cambria" w:eastAsia="Times New Roman" w:hAnsi="Cambria" w:cs="Times New Roman"/>
      <w:snapToGrid w:val="0"/>
      <w:kern w:val="2"/>
      <w:sz w:val="23"/>
      <w:szCs w:val="22"/>
    </w:rPr>
  </w:style>
  <w:style w:type="character" w:styleId="Mention">
    <w:name w:val="Mention"/>
    <w:basedOn w:val="DefaultParagraphFont"/>
    <w:uiPriority w:val="99"/>
    <w:unhideWhenUsed/>
    <w:rsid w:val="0099156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9553864">
      <w:bodyDiv w:val="1"/>
      <w:marLeft w:val="0"/>
      <w:marRight w:val="0"/>
      <w:marTop w:val="0"/>
      <w:marBottom w:val="0"/>
      <w:divBdr>
        <w:top w:val="none" w:sz="0" w:space="0" w:color="auto"/>
        <w:left w:val="none" w:sz="0" w:space="0" w:color="auto"/>
        <w:bottom w:val="none" w:sz="0" w:space="0" w:color="auto"/>
        <w:right w:val="none" w:sz="0" w:space="0" w:color="auto"/>
      </w:divBdr>
    </w:div>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tga.gov.au/black-triangle-scheme" TargetMode="External"/><Relationship Id="rId26" Type="http://schemas.openxmlformats.org/officeDocument/2006/relationships/image" Target="media/image8.png"/><Relationship Id="rId39" Type="http://schemas.openxmlformats.org/officeDocument/2006/relationships/hyperlink" Target="https://www.tga.gov.au/publication/risk-management-plans-medicines-and-biologicals" TargetMode="External"/><Relationship Id="rId3" Type="http://schemas.openxmlformats.org/officeDocument/2006/relationships/customXml" Target="../customXml/item3.xml"/><Relationship Id="rId21" Type="http://schemas.openxmlformats.org/officeDocument/2006/relationships/hyperlink" Target="https://www.tga.gov.au/how-we-regulate/supply-therapeutic-good-0/supply-prescription-medicine/application-process/prescription-medicines-registration-process" TargetMode="External"/><Relationship Id="rId34" Type="http://schemas.openxmlformats.org/officeDocument/2006/relationships/image" Target="media/image16.png"/><Relationship Id="rId42" Type="http://schemas.openxmlformats.org/officeDocument/2006/relationships/hyperlink" Target="https://www.tga.gov.au/resources/resource/guidance/risk-management-plans-medicines-and-biologicals/australia-specific-annex-eu-rmp" TargetMode="External"/><Relationship Id="rId47" Type="http://schemas.openxmlformats.org/officeDocument/2006/relationships/hyperlink" Target="https://www.tga.gov.au" TargetMode="External"/><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tga.copyright@tga.gov.au"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hyperlink" Target="mailto:info@tga.gov.au" TargetMode="External"/><Relationship Id="rId2" Type="http://schemas.openxmlformats.org/officeDocument/2006/relationships/customXml" Target="../customXml/item2.xml"/><Relationship Id="rId16" Type="http://schemas.openxmlformats.org/officeDocument/2006/relationships/hyperlink" Target="https://www.tga.gov.au/australian-public-assessment-report-auspar-guidance" TargetMode="External"/><Relationship Id="rId20" Type="http://schemas.openxmlformats.org/officeDocument/2006/relationships/hyperlink" Target="https://www.tga.gov.au/obstetric-drug-information-services" TargetMode="External"/><Relationship Id="rId29" Type="http://schemas.openxmlformats.org/officeDocument/2006/relationships/image" Target="media/image11.png"/><Relationship Id="rId41" Type="http://schemas.openxmlformats.org/officeDocument/2006/relationships/hyperlink" Target="https://www.tga.gov.au/resources/resource/guidance/risk-management-plans-medicines-and-biologicals/australia-specific-annex-eu-rm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hyperlink" Target="https://www.tga.gov.au/tgas-risk-management-approach" TargetMode="External"/><Relationship Id="rId45"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www.tga.gov.au/"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yperlink" Target="https://www.tga.gov.au/products/medicines/find-information-about-medicine/prescribing-medicines-pregnancy-database" TargetMode="External"/><Relationship Id="rId31" Type="http://schemas.openxmlformats.org/officeDocument/2006/relationships/image" Target="media/image13.png"/><Relationship Id="rId44"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hyperlink" Target="https://www.ebs.tga.gov.au/" TargetMode="External"/><Relationship Id="rId48" Type="http://schemas.openxmlformats.org/officeDocument/2006/relationships/header" Target="header4.xml"/><Relationship Id="rId8" Type="http://schemas.openxmlformats.org/officeDocument/2006/relationships/webSettings" Target="webSettings.xml"/><Relationship Id="rId51"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1bde271-cdc7-4119-9a40-4683297c7665" xsi:nil="true"/>
    <Comment xmlns="9a215db4-9eb0-479b-bcd0-47408ea24826" xsi:nil="true"/>
    <lcf76f155ced4ddcb4097134ff3c332f xmlns="9a215db4-9eb0-479b-bcd0-47408ea24826">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6EE8B9E1719794E99933C8B5113A41D" ma:contentTypeVersion="19" ma:contentTypeDescription="Create a new document." ma:contentTypeScope="" ma:versionID="15ddac336f51ede106642a5e13d0463b">
  <xsd:schema xmlns:xsd="http://www.w3.org/2001/XMLSchema" xmlns:xs="http://www.w3.org/2001/XMLSchema" xmlns:p="http://schemas.microsoft.com/office/2006/metadata/properties" xmlns:ns2="d1bde271-cdc7-4119-9a40-4683297c7665" xmlns:ns3="9a215db4-9eb0-479b-bcd0-47408ea24826" targetNamespace="http://schemas.microsoft.com/office/2006/metadata/properties" ma:root="true" ma:fieldsID="1e27af6900db2f895e696421f52454b5" ns2:_="" ns3:_="">
    <xsd:import namespace="d1bde271-cdc7-4119-9a40-4683297c7665"/>
    <xsd:import namespace="9a215db4-9eb0-479b-bcd0-47408ea2482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SearchProperties" minOccurs="0"/>
                <xsd:element ref="ns3:MediaServiceObjectDetectorVersions" minOccurs="0"/>
                <xsd:element ref="ns3:Comm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bde271-cdc7-4119-9a40-4683297c766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80991a5-7a3e-4b25-aa70-fc56e7f90908}" ma:internalName="TaxCatchAll" ma:showField="CatchAllData" ma:web="d1bde271-cdc7-4119-9a40-4683297c766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a215db4-9eb0-479b-bcd0-47408ea2482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147837b-9937-4cad-ad68-40bae6011bcd"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Comment" ma:index="26" nillable="true" ma:displayName="Comment" ma:format="Dropdown" ma:internalName="Comment">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911AE68-6449-47E6-9F10-0220946BAFE5}">
  <ds:schemaRefs>
    <ds:schemaRef ds:uri="http://schemas.openxmlformats.org/officeDocument/2006/bibliography"/>
  </ds:schemaRefs>
</ds:datastoreItem>
</file>

<file path=customXml/itemProps2.xml><?xml version="1.0" encoding="utf-8"?>
<ds:datastoreItem xmlns:ds="http://schemas.openxmlformats.org/officeDocument/2006/customXml" ds:itemID="{102CCDDB-368A-41D4-8412-D7893E0B3FA7}">
  <ds:schemaRefs>
    <ds:schemaRef ds:uri="http://schemas.microsoft.com/sharepoint/v3/contenttype/forms"/>
  </ds:schemaRefs>
</ds:datastoreItem>
</file>

<file path=customXml/itemProps3.xml><?xml version="1.0" encoding="utf-8"?>
<ds:datastoreItem xmlns:ds="http://schemas.openxmlformats.org/officeDocument/2006/customXml" ds:itemID="{7158C50E-8536-4B3F-9CF9-6368BCC31FA3}">
  <ds:schemaRefs>
    <ds:schemaRef ds:uri="http://schemas.microsoft.com/office/2006/metadata/properties"/>
    <ds:schemaRef ds:uri="http://schemas.microsoft.com/office/infopath/2007/PartnerControls"/>
    <ds:schemaRef ds:uri="d1bde271-cdc7-4119-9a40-4683297c7665"/>
    <ds:schemaRef ds:uri="9a215db4-9eb0-479b-bcd0-47408ea24826"/>
  </ds:schemaRefs>
</ds:datastoreItem>
</file>

<file path=customXml/itemProps4.xml><?xml version="1.0" encoding="utf-8"?>
<ds:datastoreItem xmlns:ds="http://schemas.openxmlformats.org/officeDocument/2006/customXml" ds:itemID="{2F808731-5B37-4512-A2FE-436E291BA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bde271-cdc7-4119-9a40-4683297c7665"/>
    <ds:schemaRef ds:uri="9a215db4-9eb0-479b-bcd0-47408ea248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33</Pages>
  <Words>9248</Words>
  <Characters>64557</Characters>
  <Application>Microsoft Office Word</Application>
  <DocSecurity>0</DocSecurity>
  <Lines>2482</Lines>
  <Paragraphs>1604</Paragraphs>
  <ScaleCrop>false</ScaleCrop>
  <HeadingPairs>
    <vt:vector size="2" baseType="variant">
      <vt:variant>
        <vt:lpstr>Title</vt:lpstr>
      </vt:variant>
      <vt:variant>
        <vt:i4>1</vt:i4>
      </vt:variant>
    </vt:vector>
  </HeadingPairs>
  <TitlesOfParts>
    <vt:vector size="1" baseType="lpstr">
      <vt:lpstr>Australian Public Assessment Report for Pombiliti</vt:lpstr>
    </vt:vector>
  </TitlesOfParts>
  <Company>Department of Health, Disability and Ageing</Company>
  <LinksUpToDate>false</LinksUpToDate>
  <CharactersWithSpaces>72201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Pombiliti</dc:title>
  <dc:subject>Prescription medicines</dc:subject>
  <dc:creator>Therapeutic Goods Administration</dc:creator>
  <cp:keywords/>
  <dc:description/>
  <dcterms:created xsi:type="dcterms:W3CDTF">2025-06-10T04:00:00Z</dcterms:created>
  <dcterms:modified xsi:type="dcterms:W3CDTF">2025-06-10T04:24:00Z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0x01010036EE8B9E1719794E99933C8B5113A41D</vt:lpwstr>
  </property>
  <property fmtid="{D5CDD505-2E9C-101B-9397-08002B2CF9AE}" pid="3" name="MSIP_Label_42ec4a3e-21ef-4e15-97e1-54d4616f4a3d_Enabled">
    <vt:lpwstr>true</vt:lpwstr>
  </property>
  <property fmtid="{D5CDD505-2E9C-101B-9397-08002B2CF9AE}" pid="4" name="MSIP_Label_42ec4a3e-21ef-4e15-97e1-54d4616f4a3d_Method">
    <vt:lpwstr>Standard</vt:lpwstr>
  </property>
  <property fmtid="{D5CDD505-2E9C-101B-9397-08002B2CF9AE}" pid="5" name="MSIP_Label_42ec4a3e-21ef-4e15-97e1-54d4616f4a3d_Name">
    <vt:lpwstr>Document from Amicus Therapeutics</vt:lpwstr>
  </property>
  <property fmtid="{D5CDD505-2E9C-101B-9397-08002B2CF9AE}" pid="6" name="MSIP_Label_42ec4a3e-21ef-4e15-97e1-54d4616f4a3d_SiteId">
    <vt:lpwstr>73a4ea04-1c92-4660-beb1-4be5f795d238</vt:lpwstr>
  </property>
  <property fmtid="{D5CDD505-2E9C-101B-9397-08002B2CF9AE}" pid="7" name="MSIP_Label_42ec4a3e-21ef-4e15-97e1-54d4616f4a3d_ContentBits">
    <vt:lpwstr>0</vt:lpwstr>
  </property>
  <property fmtid="{D5CDD505-2E9C-101B-9397-08002B2CF9AE}" pid="8" name="MediaServiceImageTags">
    <vt:lpwstr/>
  </property>
  <property fmtid="{D5CDD505-2E9C-101B-9397-08002B2CF9AE}" pid="9" name="MSIP_Label_42ec4a3e-21ef-4e15-97e1-54d4616f4a3d_SetDate">
    <vt:lpwstr>2025-05-12T00:20:23Z</vt:lpwstr>
  </property>
  <property fmtid="{D5CDD505-2E9C-101B-9397-08002B2CF9AE}" pid="10" name="MSIP_Label_42ec4a3e-21ef-4e15-97e1-54d4616f4a3d_ActionId">
    <vt:lpwstr>c8c29a01-c1d6-434b-b6cf-f40ff1cdb5ca</vt:lpwstr>
  </property>
  <property fmtid="{D5CDD505-2E9C-101B-9397-08002B2CF9AE}" pid="11" name="MSIP_Label_42ec4a3e-21ef-4e15-97e1-54d4616f4a3d_Tag">
    <vt:lpwstr>10, 3, 0, 1</vt:lpwstr>
  </property>
</Properties>
</file>