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7FFF" w14:textId="1358ACCC" w:rsidR="000A4D3B" w:rsidRPr="00456927" w:rsidRDefault="000A4D3B" w:rsidP="000A4D3B">
      <w:pPr>
        <w:tabs>
          <w:tab w:val="left" w:pos="284"/>
        </w:tabs>
        <w:spacing w:after="480" w:line="240" w:lineRule="auto"/>
        <w:rPr>
          <w:rFonts w:ascii="Times New Roman" w:eastAsia="SimSun" w:hAnsi="Times New Roman" w:cs="Times New Roman"/>
          <w:sz w:val="24"/>
          <w:szCs w:val="24"/>
        </w:rPr>
      </w:pPr>
      <w:r w:rsidRPr="00456927">
        <w:rPr>
          <w:noProof/>
          <w:sz w:val="24"/>
          <w:szCs w:val="24"/>
          <w:lang w:eastAsia="zh-CN"/>
        </w:rPr>
        <mc:AlternateContent>
          <mc:Choice Requires="wps">
            <w:drawing>
              <wp:inline distT="0" distB="0" distL="0" distR="0" wp14:anchorId="6586EAF9" wp14:editId="03F1440D">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409B0" w14:textId="77777777" w:rsidR="000A4D3B" w:rsidRPr="00BE2A26" w:rsidRDefault="000A4D3B" w:rsidP="000A4D3B">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586EAF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0AF409B0" w14:textId="77777777" w:rsidR="000A4D3B" w:rsidRPr="00BE2A26" w:rsidRDefault="000A4D3B" w:rsidP="000A4D3B">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456927">
        <w:rPr>
          <w:rFonts w:ascii="Times New Roman" w:hAnsi="Times New Roman" w:cs="Times New Roman"/>
          <w:sz w:val="24"/>
          <w:szCs w:val="24"/>
        </w:rPr>
        <w:t>This medicinal product is subject to additional monitoring in Australia. This will allow quick identification of new safety information. Healthcare professionals are asked to report any suspected adverse events at www.tga.gov.au/reporting-problems.</w:t>
      </w:r>
    </w:p>
    <w:p w14:paraId="7C0E0EC3" w14:textId="28BA9BBE" w:rsidR="00240831" w:rsidRPr="00456927" w:rsidRDefault="00240831" w:rsidP="00240831">
      <w:pPr>
        <w:pStyle w:val="Heading1"/>
        <w:numPr>
          <w:ilvl w:val="0"/>
          <w:numId w:val="0"/>
        </w:numPr>
        <w:spacing w:before="0" w:after="240" w:line="300" w:lineRule="auto"/>
        <w:ind w:left="3742" w:hanging="3742"/>
        <w:jc w:val="center"/>
        <w:rPr>
          <w:rFonts w:ascii="Times New Roman" w:eastAsia="SimSun" w:hAnsi="Times New Roman" w:cs="Times New Roman"/>
          <w:sz w:val="24"/>
          <w:szCs w:val="24"/>
        </w:rPr>
      </w:pPr>
      <w:r w:rsidRPr="00456927">
        <w:rPr>
          <w:rFonts w:ascii="Times New Roman" w:eastAsia="SimSun" w:hAnsi="Times New Roman" w:cs="Times New Roman"/>
          <w:sz w:val="24"/>
          <w:szCs w:val="24"/>
        </w:rPr>
        <w:t>Australian Product Information</w:t>
      </w:r>
    </w:p>
    <w:p w14:paraId="42594F58" w14:textId="4BE9BB71" w:rsidR="00240831" w:rsidRPr="00456927" w:rsidRDefault="00D024E9" w:rsidP="00240831">
      <w:pPr>
        <w:pStyle w:val="Heading1"/>
        <w:numPr>
          <w:ilvl w:val="0"/>
          <w:numId w:val="0"/>
        </w:numPr>
        <w:spacing w:before="240" w:line="300" w:lineRule="auto"/>
        <w:ind w:left="3742" w:hanging="3742"/>
        <w:jc w:val="center"/>
        <w:rPr>
          <w:rFonts w:ascii="Times New Roman" w:eastAsia="SimSun" w:hAnsi="Times New Roman" w:cs="Times New Roman"/>
          <w:caps w:val="0"/>
          <w:sz w:val="32"/>
          <w:szCs w:val="32"/>
        </w:rPr>
      </w:pPr>
      <w:r w:rsidRPr="00456927">
        <w:rPr>
          <w:rFonts w:ascii="Times New Roman" w:eastAsia="SimSun" w:hAnsi="Times New Roman" w:cs="Times New Roman"/>
          <w:caps w:val="0"/>
          <w:sz w:val="32"/>
          <w:szCs w:val="32"/>
        </w:rPr>
        <w:t>ANDEMBRY</w:t>
      </w:r>
      <w:r w:rsidR="00ED6E62" w:rsidRPr="00456927">
        <w:rPr>
          <w:rFonts w:ascii="Times New Roman" w:eastAsia="SimSun" w:hAnsi="Times New Roman" w:cs="Times New Roman"/>
          <w:caps w:val="0"/>
          <w:sz w:val="32"/>
          <w:szCs w:val="32"/>
          <w:vertAlign w:val="superscript"/>
        </w:rPr>
        <w:t>®</w:t>
      </w:r>
    </w:p>
    <w:p w14:paraId="7745AA39" w14:textId="21C534E5" w:rsidR="00240831" w:rsidRPr="00456927" w:rsidRDefault="00240831" w:rsidP="00240831">
      <w:pPr>
        <w:pStyle w:val="Heading1"/>
        <w:numPr>
          <w:ilvl w:val="0"/>
          <w:numId w:val="0"/>
        </w:numPr>
        <w:spacing w:before="0" w:after="240" w:line="300" w:lineRule="auto"/>
        <w:ind w:left="3742" w:hanging="3742"/>
        <w:jc w:val="center"/>
        <w:rPr>
          <w:rFonts w:ascii="Times New Roman" w:eastAsia="SimSun" w:hAnsi="Times New Roman" w:cs="Times New Roman"/>
          <w:caps w:val="0"/>
          <w:sz w:val="24"/>
          <w:szCs w:val="24"/>
        </w:rPr>
      </w:pPr>
      <w:r w:rsidRPr="00456927">
        <w:rPr>
          <w:rFonts w:ascii="Times New Roman" w:eastAsia="SimSun" w:hAnsi="Times New Roman" w:cs="Times New Roman"/>
          <w:caps w:val="0"/>
          <w:sz w:val="24"/>
          <w:szCs w:val="24"/>
        </w:rPr>
        <w:t>(</w:t>
      </w:r>
      <w:r w:rsidR="00C549EC" w:rsidRPr="00456927">
        <w:rPr>
          <w:rFonts w:ascii="Times New Roman" w:eastAsia="SimSun" w:hAnsi="Times New Roman" w:cs="Times New Roman"/>
          <w:caps w:val="0"/>
          <w:sz w:val="24"/>
          <w:szCs w:val="24"/>
        </w:rPr>
        <w:t>Garadacimab</w:t>
      </w:r>
      <w:r w:rsidR="006973FB" w:rsidRPr="00456927">
        <w:rPr>
          <w:rFonts w:ascii="Times New Roman" w:eastAsia="SimSun" w:hAnsi="Times New Roman" w:cs="Times New Roman"/>
          <w:caps w:val="0"/>
          <w:sz w:val="24"/>
          <w:szCs w:val="24"/>
        </w:rPr>
        <w:t>)</w:t>
      </w:r>
      <w:r w:rsidR="00ED6E62" w:rsidRPr="00456927">
        <w:rPr>
          <w:rFonts w:ascii="Times New Roman" w:eastAsia="SimSun" w:hAnsi="Times New Roman" w:cs="Times New Roman"/>
          <w:caps w:val="0"/>
          <w:sz w:val="24"/>
          <w:szCs w:val="24"/>
        </w:rPr>
        <w:t xml:space="preserve"> </w:t>
      </w:r>
      <w:r w:rsidR="00E8745D" w:rsidRPr="00456927">
        <w:rPr>
          <w:rFonts w:ascii="Times New Roman" w:eastAsia="SimSun" w:hAnsi="Times New Roman" w:cs="Times New Roman"/>
          <w:caps w:val="0"/>
          <w:sz w:val="24"/>
          <w:szCs w:val="24"/>
        </w:rPr>
        <w:t xml:space="preserve">– Solution for </w:t>
      </w:r>
      <w:r w:rsidR="00ED6E62" w:rsidRPr="00456927">
        <w:rPr>
          <w:rFonts w:ascii="Times New Roman" w:eastAsia="SimSun" w:hAnsi="Times New Roman" w:cs="Times New Roman"/>
          <w:caps w:val="0"/>
          <w:sz w:val="24"/>
          <w:szCs w:val="24"/>
        </w:rPr>
        <w:t>subcutaneous injection</w:t>
      </w:r>
    </w:p>
    <w:p w14:paraId="46A042F2" w14:textId="77777777" w:rsidR="001A3992" w:rsidRPr="00456927" w:rsidRDefault="001A3992" w:rsidP="00DF5E99">
      <w:pPr>
        <w:pStyle w:val="Heading1"/>
        <w:spacing w:before="0" w:after="120"/>
        <w:ind w:left="431" w:hanging="431"/>
        <w:rPr>
          <w:rFonts w:ascii="Times New Roman" w:hAnsi="Times New Roman" w:cs="Times New Roman"/>
        </w:rPr>
      </w:pPr>
      <w:r w:rsidRPr="00456927">
        <w:rPr>
          <w:rFonts w:ascii="Times New Roman" w:hAnsi="Times New Roman" w:cs="Times New Roman"/>
        </w:rPr>
        <w:t>Name of the medicine</w:t>
      </w:r>
    </w:p>
    <w:p w14:paraId="0D3509AC" w14:textId="0451653B" w:rsidR="00A56CDA" w:rsidRPr="00456927" w:rsidRDefault="00C549EC" w:rsidP="00A56CDA">
      <w:pPr>
        <w:pStyle w:val="DocumentText"/>
      </w:pPr>
      <w:r w:rsidRPr="00456927">
        <w:t>Garadacimab</w:t>
      </w:r>
    </w:p>
    <w:p w14:paraId="46C0B119" w14:textId="77777777" w:rsidR="001A3992" w:rsidRPr="00456927" w:rsidRDefault="001A3992" w:rsidP="001A3992">
      <w:pPr>
        <w:pStyle w:val="Heading1"/>
        <w:spacing w:before="0" w:after="120"/>
        <w:rPr>
          <w:rFonts w:ascii="Times New Roman" w:hAnsi="Times New Roman" w:cs="Times New Roman"/>
        </w:rPr>
      </w:pPr>
      <w:r w:rsidRPr="00456927">
        <w:rPr>
          <w:rFonts w:ascii="Times New Roman" w:hAnsi="Times New Roman" w:cs="Times New Roman"/>
        </w:rPr>
        <w:t>Qualitative and quantitative composition</w:t>
      </w:r>
    </w:p>
    <w:p w14:paraId="6B524C35" w14:textId="3E3DF582" w:rsidR="00DD08CB" w:rsidRPr="00456927" w:rsidRDefault="00DD08CB" w:rsidP="00DD08CB">
      <w:pPr>
        <w:pStyle w:val="DocumentText"/>
        <w:spacing w:after="120"/>
        <w:rPr>
          <w:b/>
          <w:bCs/>
        </w:rPr>
      </w:pPr>
      <w:r w:rsidRPr="00456927">
        <w:rPr>
          <w:b/>
          <w:bCs/>
        </w:rPr>
        <w:t xml:space="preserve">Garadacimab 200 mg solution for injection in </w:t>
      </w:r>
      <w:r w:rsidR="000F53A6" w:rsidRPr="00456927">
        <w:rPr>
          <w:b/>
          <w:bCs/>
        </w:rPr>
        <w:t>pre-filled pen (</w:t>
      </w:r>
      <w:r w:rsidR="006C4BF0" w:rsidRPr="00456927">
        <w:rPr>
          <w:b/>
          <w:bCs/>
        </w:rPr>
        <w:t>auto-injector</w:t>
      </w:r>
      <w:r w:rsidR="000F53A6" w:rsidRPr="00456927">
        <w:rPr>
          <w:b/>
          <w:bCs/>
        </w:rPr>
        <w:t>)</w:t>
      </w:r>
    </w:p>
    <w:p w14:paraId="4F427CD2" w14:textId="0313236C" w:rsidR="00DD08CB" w:rsidRPr="00456927" w:rsidRDefault="00DD08CB" w:rsidP="00DD08CB">
      <w:pPr>
        <w:pStyle w:val="DocumentText"/>
      </w:pPr>
      <w:r w:rsidRPr="00456927">
        <w:t>Each single-</w:t>
      </w:r>
      <w:r w:rsidR="00D11368" w:rsidRPr="00456927">
        <w:t>dose</w:t>
      </w:r>
      <w:r w:rsidRPr="00456927">
        <w:t xml:space="preserve"> </w:t>
      </w:r>
      <w:r w:rsidR="000F53A6" w:rsidRPr="00456927">
        <w:t>pre-filled pen</w:t>
      </w:r>
      <w:r w:rsidRPr="00456927">
        <w:t xml:space="preserve"> contains 200 mg of garadacimab in 1.2 mL of solution</w:t>
      </w:r>
      <w:r w:rsidR="00E65BCC" w:rsidRPr="00456927">
        <w:t>.</w:t>
      </w:r>
    </w:p>
    <w:p w14:paraId="2C6BDBE3" w14:textId="631D243D" w:rsidR="00C549EC" w:rsidRPr="00456927" w:rsidRDefault="00C549EC" w:rsidP="00C4369D">
      <w:pPr>
        <w:pStyle w:val="DocumentText"/>
        <w:spacing w:after="120"/>
        <w:rPr>
          <w:b/>
          <w:bCs/>
        </w:rPr>
      </w:pPr>
      <w:r w:rsidRPr="00456927">
        <w:rPr>
          <w:b/>
          <w:bCs/>
        </w:rPr>
        <w:t>Garadacimab 200</w:t>
      </w:r>
      <w:r w:rsidR="00ED6E62" w:rsidRPr="00456927">
        <w:rPr>
          <w:b/>
          <w:bCs/>
        </w:rPr>
        <w:t> </w:t>
      </w:r>
      <w:r w:rsidRPr="00456927">
        <w:rPr>
          <w:b/>
          <w:bCs/>
        </w:rPr>
        <w:t>mg solution for injection in pre</w:t>
      </w:r>
      <w:r w:rsidR="006F61D4" w:rsidRPr="00456927">
        <w:rPr>
          <w:b/>
          <w:bCs/>
        </w:rPr>
        <w:t>-</w:t>
      </w:r>
      <w:r w:rsidRPr="00456927">
        <w:rPr>
          <w:b/>
          <w:bCs/>
        </w:rPr>
        <w:t>filled syringe with needle safety device</w:t>
      </w:r>
    </w:p>
    <w:p w14:paraId="554BE833" w14:textId="1042A999" w:rsidR="00C549EC" w:rsidRPr="00456927" w:rsidRDefault="00C549EC" w:rsidP="00C549EC">
      <w:pPr>
        <w:pStyle w:val="DocumentText"/>
      </w:pPr>
      <w:r w:rsidRPr="00456927">
        <w:t>Each single-</w:t>
      </w:r>
      <w:r w:rsidR="00D11368" w:rsidRPr="00456927">
        <w:t>dose</w:t>
      </w:r>
      <w:r w:rsidR="003F4379" w:rsidRPr="00456927">
        <w:t xml:space="preserve"> </w:t>
      </w:r>
      <w:r w:rsidRPr="00456927">
        <w:t>pre</w:t>
      </w:r>
      <w:r w:rsidR="006F61D4" w:rsidRPr="00456927">
        <w:t>-</w:t>
      </w:r>
      <w:r w:rsidRPr="00456927">
        <w:t>filled syringe with needle safety device contains 200</w:t>
      </w:r>
      <w:r w:rsidR="00C4369D" w:rsidRPr="00456927">
        <w:t> </w:t>
      </w:r>
      <w:r w:rsidRPr="00456927">
        <w:t>mg of garadacimab in 1.2</w:t>
      </w:r>
      <w:r w:rsidR="00C4369D" w:rsidRPr="00456927">
        <w:t> </w:t>
      </w:r>
      <w:r w:rsidRPr="00456927">
        <w:t xml:space="preserve">mL </w:t>
      </w:r>
      <w:r w:rsidR="00DD08CB" w:rsidRPr="00456927">
        <w:t xml:space="preserve">of </w:t>
      </w:r>
      <w:r w:rsidRPr="00456927">
        <w:t>solution</w:t>
      </w:r>
      <w:r w:rsidR="00E65BCC" w:rsidRPr="00456927">
        <w:t>.</w:t>
      </w:r>
    </w:p>
    <w:p w14:paraId="71B5851B" w14:textId="7BBF0DC6" w:rsidR="00C549EC" w:rsidRPr="00456927" w:rsidRDefault="00C549EC" w:rsidP="00C549EC">
      <w:pPr>
        <w:pStyle w:val="DocumentText"/>
      </w:pPr>
      <w:r w:rsidRPr="00456927">
        <w:t>Garadacimab is a recombinant, fully human, monoclonal antibody (IgG4/λ-light chain) produced by recombinant DNA technology in Chinese Hamster Ovarian (CHO) cells.</w:t>
      </w:r>
    </w:p>
    <w:p w14:paraId="5BC050A5" w14:textId="054E2203" w:rsidR="00C549EC" w:rsidRPr="00456927" w:rsidRDefault="00C549EC" w:rsidP="00C549EC">
      <w:pPr>
        <w:pStyle w:val="DocumentText"/>
      </w:pPr>
      <w:r w:rsidRPr="00456927">
        <w:t xml:space="preserve">For the full list of excipients, see </w:t>
      </w:r>
      <w:r w:rsidR="00191268" w:rsidRPr="00456927">
        <w:t>S</w:t>
      </w:r>
      <w:r w:rsidRPr="00456927">
        <w:t>ection 6.1</w:t>
      </w:r>
      <w:r w:rsidR="00191268" w:rsidRPr="00456927">
        <w:t xml:space="preserve"> List of excipients</w:t>
      </w:r>
      <w:r w:rsidRPr="00456927">
        <w:t>.</w:t>
      </w:r>
    </w:p>
    <w:p w14:paraId="10098C46" w14:textId="77777777" w:rsidR="001A3992" w:rsidRPr="00456927" w:rsidRDefault="001A3992" w:rsidP="001A3992">
      <w:pPr>
        <w:pStyle w:val="Heading1"/>
        <w:spacing w:before="0" w:after="120"/>
        <w:rPr>
          <w:rFonts w:ascii="Times New Roman" w:hAnsi="Times New Roman" w:cs="Times New Roman"/>
        </w:rPr>
      </w:pPr>
      <w:r w:rsidRPr="00456927">
        <w:rPr>
          <w:rFonts w:ascii="Times New Roman" w:hAnsi="Times New Roman" w:cs="Times New Roman"/>
        </w:rPr>
        <w:t>Pharmaceutical form</w:t>
      </w:r>
    </w:p>
    <w:p w14:paraId="3124450A" w14:textId="1479F8AE" w:rsidR="00275CB7" w:rsidRPr="00456927" w:rsidRDefault="00275CB7" w:rsidP="00467795">
      <w:pPr>
        <w:pStyle w:val="DocumentText"/>
      </w:pPr>
      <w:r w:rsidRPr="00456927">
        <w:t>Solution for injection.</w:t>
      </w:r>
    </w:p>
    <w:p w14:paraId="2645DD0A" w14:textId="60C8B3C4" w:rsidR="0047151B" w:rsidRPr="00456927" w:rsidRDefault="0047151B" w:rsidP="00467795">
      <w:pPr>
        <w:pStyle w:val="DocumentText"/>
      </w:pPr>
      <w:r w:rsidRPr="00456927">
        <w:t xml:space="preserve">The solution of </w:t>
      </w:r>
      <w:r w:rsidR="00D024E9" w:rsidRPr="00456927">
        <w:t>ANDEMBRY</w:t>
      </w:r>
      <w:r w:rsidR="00ED6E62" w:rsidRPr="00456927">
        <w:rPr>
          <w:vertAlign w:val="superscript"/>
        </w:rPr>
        <w:t>®</w:t>
      </w:r>
      <w:r w:rsidRPr="00456927">
        <w:t xml:space="preserve"> is slightly opalescent to clear, brownish-yellow to yellow liquid.</w:t>
      </w:r>
    </w:p>
    <w:p w14:paraId="4559CAD0" w14:textId="77777777" w:rsidR="001A3992" w:rsidRPr="00456927" w:rsidRDefault="001A3992" w:rsidP="00FE5473">
      <w:pPr>
        <w:pStyle w:val="Heading1"/>
        <w:spacing w:before="0" w:after="120"/>
        <w:rPr>
          <w:rFonts w:ascii="Times New Roman" w:hAnsi="Times New Roman" w:cs="Times New Roman"/>
        </w:rPr>
      </w:pPr>
      <w:r w:rsidRPr="00456927">
        <w:rPr>
          <w:rFonts w:ascii="Times New Roman" w:hAnsi="Times New Roman" w:cs="Times New Roman"/>
        </w:rPr>
        <w:t>Clinical particulars</w:t>
      </w:r>
    </w:p>
    <w:p w14:paraId="20C65C9D" w14:textId="77777777" w:rsidR="001A3992" w:rsidRPr="00456927" w:rsidRDefault="00551661" w:rsidP="00FE5473">
      <w:pPr>
        <w:pStyle w:val="Heading2"/>
        <w:keepNext/>
        <w:spacing w:before="0" w:after="120"/>
        <w:rPr>
          <w:rFonts w:ascii="Times New Roman" w:hAnsi="Times New Roman" w:cs="Times New Roman"/>
          <w:sz w:val="28"/>
          <w:szCs w:val="28"/>
        </w:rPr>
      </w:pPr>
      <w:r w:rsidRPr="00456927">
        <w:rPr>
          <w:rFonts w:ascii="Times New Roman" w:hAnsi="Times New Roman" w:cs="Times New Roman"/>
          <w:sz w:val="28"/>
          <w:szCs w:val="28"/>
        </w:rPr>
        <w:t>Therapeutic indications</w:t>
      </w:r>
    </w:p>
    <w:p w14:paraId="2DCD9B7D" w14:textId="60522516" w:rsidR="006973FB" w:rsidRPr="00456927" w:rsidRDefault="00D024E9" w:rsidP="00DE493E">
      <w:pPr>
        <w:pStyle w:val="ListBulleted"/>
        <w:keepLines w:val="0"/>
        <w:numPr>
          <w:ilvl w:val="0"/>
          <w:numId w:val="0"/>
        </w:numPr>
        <w:spacing w:before="0" w:after="240"/>
      </w:pPr>
      <w:r w:rsidRPr="00456927">
        <w:t>ANDEMBRY</w:t>
      </w:r>
      <w:r w:rsidR="00ED6E62" w:rsidRPr="00456927">
        <w:rPr>
          <w:vertAlign w:val="superscript"/>
        </w:rPr>
        <w:t>®</w:t>
      </w:r>
      <w:r w:rsidR="00DE493E" w:rsidRPr="00456927">
        <w:t xml:space="preserve"> is indicated for routine prevention of</w:t>
      </w:r>
      <w:r w:rsidR="00FB4EC8" w:rsidRPr="00456927">
        <w:t xml:space="preserve"> </w:t>
      </w:r>
      <w:r w:rsidR="001E4ED9" w:rsidRPr="00456927">
        <w:t xml:space="preserve">recurrent </w:t>
      </w:r>
      <w:r w:rsidR="00FB4EC8" w:rsidRPr="00456927">
        <w:t>hereditary angioedema (HAE)</w:t>
      </w:r>
      <w:r w:rsidR="00DE493E" w:rsidRPr="00456927">
        <w:t xml:space="preserve"> attacks in patients aged 12 years and older</w:t>
      </w:r>
      <w:r w:rsidR="00D542F9">
        <w:t xml:space="preserve"> with C1-INH HAE (C1-esterase inhibitor deficiency or dysfunction)</w:t>
      </w:r>
      <w:r w:rsidR="00DE493E" w:rsidRPr="00456927">
        <w:t>.</w:t>
      </w:r>
    </w:p>
    <w:p w14:paraId="275A0B44" w14:textId="77777777" w:rsidR="001A3992" w:rsidRPr="00456927" w:rsidRDefault="001A3992" w:rsidP="009150C7">
      <w:pPr>
        <w:pStyle w:val="Heading2"/>
        <w:keepNext/>
        <w:spacing w:before="0" w:after="120"/>
        <w:rPr>
          <w:rFonts w:ascii="Times New Roman" w:hAnsi="Times New Roman" w:cs="Times New Roman"/>
          <w:sz w:val="28"/>
          <w:szCs w:val="28"/>
        </w:rPr>
      </w:pPr>
      <w:r w:rsidRPr="00456927">
        <w:rPr>
          <w:rFonts w:ascii="Times New Roman" w:hAnsi="Times New Roman" w:cs="Times New Roman"/>
          <w:sz w:val="28"/>
          <w:szCs w:val="28"/>
        </w:rPr>
        <w:lastRenderedPageBreak/>
        <w:t>Dose and method of administration</w:t>
      </w:r>
    </w:p>
    <w:p w14:paraId="446F044C" w14:textId="74D6FBCA" w:rsidR="001D568F" w:rsidRDefault="00DE493E" w:rsidP="00DE493E">
      <w:pPr>
        <w:pStyle w:val="DocumentText"/>
      </w:pPr>
      <w:r w:rsidRPr="00456927">
        <w:t>This medicinal product should be initiated under the supervision of a healthcare professional experienced in the management of patients with HAE.</w:t>
      </w:r>
    </w:p>
    <w:p w14:paraId="37B3F260" w14:textId="6AFA0584" w:rsidR="00D542F9" w:rsidRPr="00456927" w:rsidRDefault="00D542F9" w:rsidP="00DE493E">
      <w:pPr>
        <w:pStyle w:val="DocumentText"/>
      </w:pPr>
      <w:r>
        <w:t>ANDEMBRY</w:t>
      </w:r>
      <w:r w:rsidRPr="00456927">
        <w:rPr>
          <w:vertAlign w:val="superscript"/>
        </w:rPr>
        <w:t>®</w:t>
      </w:r>
      <w:r>
        <w:t xml:space="preserve"> is not intended for the treatment of acute HAE attacks (see section 4.4 Special warnings and precautions for use).</w:t>
      </w:r>
    </w:p>
    <w:p w14:paraId="7204B438" w14:textId="77777777" w:rsidR="00617989" w:rsidRPr="00456927" w:rsidRDefault="00617989" w:rsidP="00C01AD6">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Dosage</w:t>
      </w:r>
    </w:p>
    <w:p w14:paraId="306DB5E8" w14:textId="47EF5212" w:rsidR="00DE493E" w:rsidRDefault="00DE493E" w:rsidP="00DE493E">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The recommended dose of </w:t>
      </w:r>
      <w:r w:rsidR="00D024E9" w:rsidRPr="00456927">
        <w:rPr>
          <w:rFonts w:ascii="Times New Roman" w:eastAsia="Times New Roman" w:hAnsi="Times New Roman" w:cs="Times New Roman"/>
          <w:kern w:val="24"/>
          <w:sz w:val="24"/>
          <w:szCs w:val="24"/>
          <w:lang w:val="en-US"/>
        </w:rPr>
        <w:t>ANDEMBRY</w:t>
      </w:r>
      <w:r w:rsidR="00ED6E62"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lang w:val="en-US"/>
        </w:rPr>
        <w:t xml:space="preserve"> is </w:t>
      </w:r>
      <w:r w:rsidR="006507F4" w:rsidRPr="00456927">
        <w:rPr>
          <w:rFonts w:ascii="Times New Roman" w:eastAsia="Times New Roman" w:hAnsi="Times New Roman" w:cs="Times New Roman"/>
          <w:kern w:val="24"/>
          <w:sz w:val="24"/>
          <w:szCs w:val="24"/>
          <w:lang w:val="en-US"/>
        </w:rPr>
        <w:t>an initial loading dose of 400 mg administered subcutaneously as two 200 mg injections on the first day of treatment followed by a monthly dose of 200 mg</w:t>
      </w:r>
      <w:r w:rsidRPr="00456927">
        <w:rPr>
          <w:rFonts w:ascii="Times New Roman" w:eastAsia="Times New Roman" w:hAnsi="Times New Roman" w:cs="Times New Roman"/>
          <w:kern w:val="24"/>
          <w:sz w:val="24"/>
          <w:szCs w:val="24"/>
          <w:lang w:val="en-US"/>
        </w:rPr>
        <w:t>.</w:t>
      </w:r>
    </w:p>
    <w:p w14:paraId="2B330485" w14:textId="77777777" w:rsidR="00DE493E" w:rsidRPr="00456927" w:rsidRDefault="00DE493E" w:rsidP="00C01AD6">
      <w:pPr>
        <w:spacing w:after="120"/>
        <w:rPr>
          <w:rFonts w:ascii="Times New Roman" w:hAnsi="Times New Roman" w:cs="Times New Roman"/>
          <w:b/>
          <w:bCs/>
          <w:i/>
          <w:sz w:val="24"/>
          <w:szCs w:val="24"/>
        </w:rPr>
      </w:pPr>
      <w:r w:rsidRPr="00456927">
        <w:rPr>
          <w:rFonts w:ascii="Times New Roman" w:hAnsi="Times New Roman" w:cs="Times New Roman"/>
          <w:b/>
          <w:bCs/>
          <w:i/>
          <w:sz w:val="24"/>
          <w:szCs w:val="24"/>
        </w:rPr>
        <w:t>Missed doses</w:t>
      </w:r>
    </w:p>
    <w:p w14:paraId="5F413E1A" w14:textId="1549B7E7" w:rsidR="00DE493E" w:rsidRPr="00456927" w:rsidRDefault="00DE493E" w:rsidP="00DE493E">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If a dose of </w:t>
      </w:r>
      <w:r w:rsidR="00D024E9" w:rsidRPr="00456927">
        <w:rPr>
          <w:rFonts w:ascii="Times New Roman" w:eastAsia="Times New Roman" w:hAnsi="Times New Roman" w:cs="Times New Roman"/>
          <w:kern w:val="24"/>
          <w:sz w:val="24"/>
          <w:szCs w:val="24"/>
          <w:lang w:val="en-US"/>
        </w:rPr>
        <w:t>ANDEMBRY</w:t>
      </w:r>
      <w:r w:rsidR="00ED6E62"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lang w:val="en-US"/>
        </w:rPr>
        <w:t xml:space="preserve"> is missed, administer the dose as soon as possible</w:t>
      </w:r>
      <w:r w:rsidR="00776AC6" w:rsidRPr="00456927">
        <w:rPr>
          <w:rFonts w:ascii="Times New Roman" w:eastAsia="Times New Roman" w:hAnsi="Times New Roman" w:cs="Times New Roman"/>
          <w:kern w:val="24"/>
          <w:sz w:val="24"/>
          <w:szCs w:val="24"/>
          <w:lang w:val="en-US"/>
        </w:rPr>
        <w:t xml:space="preserve"> and then administer the </w:t>
      </w:r>
      <w:r w:rsidR="00FF40DC" w:rsidRPr="00456927">
        <w:rPr>
          <w:rFonts w:ascii="Times New Roman" w:eastAsia="Times New Roman" w:hAnsi="Times New Roman" w:cs="Times New Roman"/>
          <w:kern w:val="24"/>
          <w:sz w:val="24"/>
          <w:szCs w:val="24"/>
          <w:lang w:val="en-US"/>
        </w:rPr>
        <w:t xml:space="preserve">next dose according to the </w:t>
      </w:r>
      <w:r w:rsidR="00CC7CF8" w:rsidRPr="00456927">
        <w:rPr>
          <w:rFonts w:ascii="Times New Roman" w:eastAsia="Times New Roman" w:hAnsi="Times New Roman" w:cs="Times New Roman"/>
          <w:kern w:val="24"/>
          <w:sz w:val="24"/>
          <w:szCs w:val="24"/>
          <w:lang w:val="en-US"/>
        </w:rPr>
        <w:t xml:space="preserve">original </w:t>
      </w:r>
      <w:r w:rsidR="004A151F" w:rsidRPr="00456927">
        <w:rPr>
          <w:rFonts w:ascii="Times New Roman" w:eastAsia="Times New Roman" w:hAnsi="Times New Roman" w:cs="Times New Roman"/>
          <w:kern w:val="24"/>
          <w:sz w:val="24"/>
          <w:szCs w:val="24"/>
          <w:lang w:val="en-US"/>
        </w:rPr>
        <w:t xml:space="preserve">dosing </w:t>
      </w:r>
      <w:r w:rsidR="00CC7CF8" w:rsidRPr="00456927">
        <w:rPr>
          <w:rFonts w:ascii="Times New Roman" w:eastAsia="Times New Roman" w:hAnsi="Times New Roman" w:cs="Times New Roman"/>
          <w:kern w:val="24"/>
          <w:sz w:val="24"/>
          <w:szCs w:val="24"/>
          <w:lang w:val="en-US"/>
        </w:rPr>
        <w:t>schedule</w:t>
      </w:r>
      <w:r w:rsidRPr="00456927">
        <w:rPr>
          <w:rFonts w:ascii="Times New Roman" w:eastAsia="Times New Roman" w:hAnsi="Times New Roman" w:cs="Times New Roman"/>
          <w:kern w:val="24"/>
          <w:sz w:val="24"/>
          <w:szCs w:val="24"/>
          <w:lang w:val="en-US"/>
        </w:rPr>
        <w:t>.</w:t>
      </w:r>
    </w:p>
    <w:p w14:paraId="3B2CD76E" w14:textId="783A1A0C" w:rsidR="003324D9" w:rsidRPr="00456927" w:rsidRDefault="0085474F" w:rsidP="00C01AD6">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Method of a</w:t>
      </w:r>
      <w:r w:rsidR="003324D9" w:rsidRPr="00456927">
        <w:rPr>
          <w:rFonts w:ascii="Times New Roman" w:hAnsi="Times New Roman" w:cs="Times New Roman"/>
          <w:sz w:val="28"/>
          <w:szCs w:val="28"/>
        </w:rPr>
        <w:t>dministration</w:t>
      </w:r>
    </w:p>
    <w:p w14:paraId="6AC70839" w14:textId="4820E69E" w:rsidR="005D22BE" w:rsidRPr="00456927" w:rsidRDefault="00D024E9" w:rsidP="002D178F">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ANDEMBRY</w:t>
      </w:r>
      <w:r w:rsidR="00ED6E62" w:rsidRPr="00456927">
        <w:rPr>
          <w:rFonts w:ascii="Times New Roman" w:eastAsia="Times New Roman" w:hAnsi="Times New Roman" w:cs="Times New Roman"/>
          <w:kern w:val="24"/>
          <w:sz w:val="24"/>
          <w:szCs w:val="24"/>
          <w:vertAlign w:val="superscript"/>
          <w:lang w:val="en-US"/>
        </w:rPr>
        <w:t>®</w:t>
      </w:r>
      <w:r w:rsidR="005D22BE" w:rsidRPr="00456927">
        <w:rPr>
          <w:rFonts w:ascii="Times New Roman" w:eastAsia="Times New Roman" w:hAnsi="Times New Roman" w:cs="Times New Roman"/>
          <w:kern w:val="24"/>
          <w:sz w:val="24"/>
          <w:szCs w:val="24"/>
          <w:lang w:val="en-US"/>
        </w:rPr>
        <w:t xml:space="preserve"> is intended for subcutaneous (SC) administration only.</w:t>
      </w:r>
    </w:p>
    <w:p w14:paraId="70935636" w14:textId="313C231A" w:rsidR="005D22BE" w:rsidRPr="00456927" w:rsidRDefault="005D22BE" w:rsidP="002D178F">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Each </w:t>
      </w:r>
      <w:r w:rsidR="00D024E9" w:rsidRPr="00456927">
        <w:rPr>
          <w:rFonts w:ascii="Times New Roman" w:eastAsia="Times New Roman" w:hAnsi="Times New Roman" w:cs="Times New Roman"/>
          <w:kern w:val="24"/>
          <w:sz w:val="24"/>
          <w:szCs w:val="24"/>
          <w:lang w:val="en-US"/>
        </w:rPr>
        <w:t>ANDEMBRY</w:t>
      </w:r>
      <w:r w:rsidR="00ED6E62"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lang w:val="en-US"/>
        </w:rPr>
        <w:t xml:space="preserve"> unit (</w:t>
      </w:r>
      <w:r w:rsidR="00AD141D" w:rsidRPr="00456927">
        <w:rPr>
          <w:rFonts w:ascii="Times New Roman" w:eastAsia="Times New Roman" w:hAnsi="Times New Roman" w:cs="Times New Roman"/>
          <w:kern w:val="24"/>
          <w:sz w:val="24"/>
          <w:szCs w:val="24"/>
          <w:lang w:val="en-US"/>
        </w:rPr>
        <w:t>pre-filled pen</w:t>
      </w:r>
      <w:r w:rsidR="00E773B6" w:rsidRPr="00456927">
        <w:rPr>
          <w:rFonts w:ascii="Times New Roman" w:eastAsia="Times New Roman" w:hAnsi="Times New Roman" w:cs="Times New Roman"/>
          <w:kern w:val="24"/>
          <w:sz w:val="24"/>
          <w:szCs w:val="24"/>
          <w:lang w:val="en-US"/>
        </w:rPr>
        <w:t xml:space="preserve"> or pre-filled syringe with needle safety device</w:t>
      </w:r>
      <w:r w:rsidRPr="00456927">
        <w:rPr>
          <w:rFonts w:ascii="Times New Roman" w:eastAsia="Times New Roman" w:hAnsi="Times New Roman" w:cs="Times New Roman"/>
          <w:kern w:val="24"/>
          <w:sz w:val="24"/>
          <w:szCs w:val="24"/>
          <w:lang w:val="en-US"/>
        </w:rPr>
        <w:t xml:space="preserve">) is intended for single use </w:t>
      </w:r>
      <w:r w:rsidR="009F0D94" w:rsidRPr="00456927">
        <w:rPr>
          <w:rFonts w:ascii="Times New Roman" w:eastAsia="Times New Roman" w:hAnsi="Times New Roman" w:cs="Times New Roman"/>
          <w:kern w:val="24"/>
          <w:sz w:val="24"/>
          <w:szCs w:val="24"/>
          <w:lang w:val="en-US"/>
        </w:rPr>
        <w:t xml:space="preserve">in one patient </w:t>
      </w:r>
      <w:r w:rsidRPr="00456927">
        <w:rPr>
          <w:rFonts w:ascii="Times New Roman" w:eastAsia="Times New Roman" w:hAnsi="Times New Roman" w:cs="Times New Roman"/>
          <w:kern w:val="24"/>
          <w:sz w:val="24"/>
          <w:szCs w:val="24"/>
          <w:lang w:val="en-US"/>
        </w:rPr>
        <w:t>only.</w:t>
      </w:r>
      <w:r w:rsidR="009F0D94" w:rsidRPr="00456927">
        <w:rPr>
          <w:rFonts w:ascii="Times New Roman" w:eastAsia="Times New Roman" w:hAnsi="Times New Roman" w:cs="Times New Roman"/>
          <w:kern w:val="24"/>
          <w:sz w:val="24"/>
          <w:szCs w:val="24"/>
          <w:lang w:val="en-US"/>
        </w:rPr>
        <w:t xml:space="preserve"> Discard any residue.</w:t>
      </w:r>
    </w:p>
    <w:p w14:paraId="499CF862" w14:textId="464EE79E" w:rsidR="00740AC1" w:rsidRPr="00456927" w:rsidRDefault="00740AC1" w:rsidP="002D178F">
      <w:pPr>
        <w:spacing w:after="240" w:line="300" w:lineRule="auto"/>
        <w:rPr>
          <w:rFonts w:ascii="Times New Roman" w:eastAsia="Times New Roman" w:hAnsi="Times New Roman" w:cs="Times New Roman"/>
          <w:kern w:val="24"/>
          <w:sz w:val="24"/>
          <w:szCs w:val="24"/>
          <w:lang w:val="en-US"/>
        </w:rPr>
      </w:pPr>
      <w:r w:rsidRPr="00740AC1">
        <w:rPr>
          <w:rFonts w:ascii="Times New Roman" w:eastAsia="Times New Roman" w:hAnsi="Times New Roman" w:cs="Times New Roman"/>
          <w:kern w:val="24"/>
          <w:sz w:val="24"/>
          <w:szCs w:val="24"/>
        </w:rPr>
        <w:t>Administer ANDEMBRY</w:t>
      </w:r>
      <w:r w:rsidRPr="00456927">
        <w:rPr>
          <w:rFonts w:ascii="Times New Roman" w:eastAsia="Times New Roman" w:hAnsi="Times New Roman" w:cs="Times New Roman"/>
          <w:kern w:val="24"/>
          <w:sz w:val="24"/>
          <w:szCs w:val="24"/>
          <w:vertAlign w:val="superscript"/>
          <w:lang w:val="en-US"/>
        </w:rPr>
        <w:t>®</w:t>
      </w:r>
      <w:r w:rsidRPr="00740AC1">
        <w:rPr>
          <w:rFonts w:ascii="Times New Roman" w:eastAsia="Times New Roman" w:hAnsi="Times New Roman" w:cs="Times New Roman"/>
          <w:kern w:val="24"/>
          <w:sz w:val="24"/>
          <w:szCs w:val="24"/>
        </w:rPr>
        <w:t xml:space="preserve"> into the abdomen or thigh. If ANDEMBRY</w:t>
      </w:r>
      <w:r w:rsidRPr="00456927">
        <w:rPr>
          <w:rFonts w:ascii="Times New Roman" w:eastAsia="Times New Roman" w:hAnsi="Times New Roman" w:cs="Times New Roman"/>
          <w:kern w:val="24"/>
          <w:sz w:val="24"/>
          <w:szCs w:val="24"/>
          <w:vertAlign w:val="superscript"/>
          <w:lang w:val="en-US"/>
        </w:rPr>
        <w:t>®</w:t>
      </w:r>
      <w:r w:rsidRPr="00740AC1">
        <w:rPr>
          <w:rFonts w:ascii="Times New Roman" w:eastAsia="Times New Roman" w:hAnsi="Times New Roman" w:cs="Times New Roman"/>
          <w:kern w:val="24"/>
          <w:sz w:val="24"/>
          <w:szCs w:val="24"/>
        </w:rPr>
        <w:t xml:space="preserve"> is administered by somebody else, the upper arm can also be used.</w:t>
      </w:r>
      <w:r w:rsidR="00EB7DCB" w:rsidRPr="00456927">
        <w:rPr>
          <w:rFonts w:ascii="Times New Roman" w:eastAsia="Times New Roman" w:hAnsi="Times New Roman" w:cs="Times New Roman"/>
          <w:kern w:val="24"/>
          <w:sz w:val="24"/>
          <w:szCs w:val="24"/>
          <w:lang w:val="en-US"/>
        </w:rPr>
        <w:t xml:space="preserve"> Rotation of the monthly injection site is recommended.</w:t>
      </w:r>
    </w:p>
    <w:p w14:paraId="19092D12" w14:textId="2C7D981A" w:rsidR="00604318" w:rsidRPr="00456927" w:rsidRDefault="00D024E9" w:rsidP="002D178F">
      <w:pPr>
        <w:autoSpaceDE w:val="0"/>
        <w:autoSpaceDN w:val="0"/>
        <w:adjustRightInd w:val="0"/>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ANDEMBRY</w:t>
      </w:r>
      <w:r w:rsidR="00D368D4" w:rsidRPr="00456927">
        <w:rPr>
          <w:rFonts w:ascii="Times New Roman" w:eastAsia="Times New Roman" w:hAnsi="Times New Roman" w:cs="Times New Roman"/>
          <w:kern w:val="24"/>
          <w:sz w:val="24"/>
          <w:szCs w:val="24"/>
          <w:vertAlign w:val="superscript"/>
          <w:lang w:val="en-US"/>
        </w:rPr>
        <w:t>®</w:t>
      </w:r>
      <w:r w:rsidR="005D22BE" w:rsidRPr="00456927">
        <w:rPr>
          <w:rFonts w:ascii="Times New Roman" w:eastAsia="Times New Roman" w:hAnsi="Times New Roman" w:cs="Times New Roman"/>
          <w:kern w:val="24"/>
          <w:sz w:val="24"/>
          <w:szCs w:val="24"/>
          <w:lang w:val="en-US"/>
        </w:rPr>
        <w:t xml:space="preserve"> may be self-administered or administered by a caregiver only after training on SC injection technique by a healthcare professional.</w:t>
      </w:r>
    </w:p>
    <w:p w14:paraId="4686CF0F" w14:textId="45FB6F94" w:rsidR="0046567F" w:rsidRPr="00456927" w:rsidRDefault="0046567F" w:rsidP="002D178F">
      <w:pPr>
        <w:autoSpaceDE w:val="0"/>
        <w:autoSpaceDN w:val="0"/>
        <w:adjustRightInd w:val="0"/>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For further information, see the Instructions for Use in the Consumer Medicine Information.</w:t>
      </w:r>
    </w:p>
    <w:p w14:paraId="442CA9F1" w14:textId="034A392F" w:rsidR="00117FE8" w:rsidRPr="00456927" w:rsidRDefault="00117FE8" w:rsidP="00C01AD6">
      <w:pPr>
        <w:spacing w:after="120"/>
        <w:rPr>
          <w:rFonts w:ascii="Times New Roman" w:hAnsi="Times New Roman" w:cs="Times New Roman"/>
          <w:b/>
          <w:bCs/>
          <w:i/>
          <w:sz w:val="24"/>
          <w:szCs w:val="24"/>
        </w:rPr>
      </w:pPr>
      <w:r w:rsidRPr="00456927">
        <w:rPr>
          <w:rFonts w:ascii="Times New Roman" w:hAnsi="Times New Roman" w:cs="Times New Roman"/>
          <w:b/>
          <w:bCs/>
          <w:i/>
          <w:sz w:val="24"/>
          <w:szCs w:val="24"/>
        </w:rPr>
        <w:t>Paediatric population</w:t>
      </w:r>
    </w:p>
    <w:p w14:paraId="585B6FBF" w14:textId="77777777" w:rsidR="004F171E" w:rsidRPr="00456927" w:rsidRDefault="004F171E" w:rsidP="002D178F">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The safety and efficacy of garadacimab in children aged less than 12 years have not been established.</w:t>
      </w:r>
    </w:p>
    <w:p w14:paraId="59ACD6C0" w14:textId="46DAC87B" w:rsidR="00117FE8" w:rsidRPr="00456927" w:rsidRDefault="004F171E" w:rsidP="004F171E">
      <w:pPr>
        <w:autoSpaceDE w:val="0"/>
        <w:autoSpaceDN w:val="0"/>
        <w:adjustRightInd w:val="0"/>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No data are available.</w:t>
      </w:r>
    </w:p>
    <w:p w14:paraId="533DCA9D" w14:textId="1266B3E3" w:rsidR="00117FE8" w:rsidRPr="00456927" w:rsidRDefault="004F171E" w:rsidP="00C01AD6">
      <w:pPr>
        <w:spacing w:after="120"/>
        <w:rPr>
          <w:rFonts w:ascii="Times New Roman" w:hAnsi="Times New Roman" w:cs="Times New Roman"/>
          <w:b/>
          <w:bCs/>
          <w:i/>
          <w:sz w:val="24"/>
          <w:szCs w:val="24"/>
        </w:rPr>
      </w:pPr>
      <w:r w:rsidRPr="00456927">
        <w:rPr>
          <w:rFonts w:ascii="Times New Roman" w:hAnsi="Times New Roman" w:cs="Times New Roman"/>
          <w:b/>
          <w:bCs/>
          <w:i/>
          <w:sz w:val="24"/>
          <w:szCs w:val="24"/>
        </w:rPr>
        <w:t>Elderly population</w:t>
      </w:r>
    </w:p>
    <w:p w14:paraId="0C118B26" w14:textId="4D9B8CA6" w:rsidR="00117FE8" w:rsidRPr="00456927" w:rsidRDefault="004F171E" w:rsidP="002D178F">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lastRenderedPageBreak/>
        <w:t>The safety and efficacy of garadacimab is not expected to be affected by age. No dose adjustment is required for patients above 65 years of age (see section 5.2 Pharmacokinetic properties).</w:t>
      </w:r>
    </w:p>
    <w:p w14:paraId="636F904C" w14:textId="42268AF2" w:rsidR="003C3A7B" w:rsidRPr="00456927" w:rsidRDefault="003C3A7B" w:rsidP="002D178F">
      <w:pPr>
        <w:keepNext/>
        <w:spacing w:after="120"/>
        <w:rPr>
          <w:rFonts w:ascii="Times New Roman" w:hAnsi="Times New Roman" w:cs="Times New Roman"/>
          <w:b/>
          <w:bCs/>
          <w:i/>
          <w:sz w:val="24"/>
          <w:szCs w:val="24"/>
        </w:rPr>
      </w:pPr>
      <w:r w:rsidRPr="00456927">
        <w:rPr>
          <w:rFonts w:ascii="Times New Roman" w:hAnsi="Times New Roman" w:cs="Times New Roman"/>
          <w:b/>
          <w:bCs/>
          <w:i/>
          <w:sz w:val="24"/>
          <w:szCs w:val="24"/>
        </w:rPr>
        <w:t>Hepatic impairment</w:t>
      </w:r>
    </w:p>
    <w:p w14:paraId="6F717D73" w14:textId="034D8EF2" w:rsidR="003C3A7B" w:rsidRPr="00456927" w:rsidRDefault="003C3A7B" w:rsidP="0008026F">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No studies have been conducted in patients with hepatic impairment (see</w:t>
      </w:r>
      <w:r w:rsidR="00EB7DCB">
        <w:rPr>
          <w:rFonts w:ascii="Times New Roman" w:eastAsia="Times New Roman" w:hAnsi="Times New Roman" w:cs="Times New Roman"/>
          <w:kern w:val="24"/>
          <w:sz w:val="24"/>
          <w:szCs w:val="24"/>
          <w:lang w:val="en-US"/>
        </w:rPr>
        <w:t xml:space="preserve"> Section 4.4 Special warnings and precautions for use and</w:t>
      </w:r>
      <w:r w:rsidRPr="00456927">
        <w:rPr>
          <w:rFonts w:ascii="Times New Roman" w:eastAsia="Times New Roman" w:hAnsi="Times New Roman" w:cs="Times New Roman"/>
          <w:kern w:val="24"/>
          <w:sz w:val="24"/>
          <w:szCs w:val="24"/>
          <w:lang w:val="en-US"/>
        </w:rPr>
        <w:t xml:space="preserve"> Section 5.2 Pharmacokinetic properties).</w:t>
      </w:r>
    </w:p>
    <w:p w14:paraId="5B82B902" w14:textId="75B02AC9" w:rsidR="003C3A7B" w:rsidRPr="00456927" w:rsidRDefault="003C3A7B" w:rsidP="002D178F">
      <w:pPr>
        <w:keepNext/>
        <w:spacing w:after="120"/>
        <w:rPr>
          <w:rFonts w:ascii="Times New Roman" w:hAnsi="Times New Roman" w:cs="Times New Roman"/>
          <w:b/>
          <w:bCs/>
          <w:i/>
          <w:sz w:val="24"/>
          <w:szCs w:val="24"/>
        </w:rPr>
      </w:pPr>
      <w:r w:rsidRPr="00456927">
        <w:rPr>
          <w:rFonts w:ascii="Times New Roman" w:hAnsi="Times New Roman" w:cs="Times New Roman"/>
          <w:b/>
          <w:bCs/>
          <w:i/>
          <w:sz w:val="24"/>
          <w:szCs w:val="24"/>
        </w:rPr>
        <w:t>Renal impairment</w:t>
      </w:r>
    </w:p>
    <w:p w14:paraId="46DC6ECE" w14:textId="51718599" w:rsidR="003C3A7B" w:rsidRPr="00456927" w:rsidRDefault="003C3A7B" w:rsidP="002D178F">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No studies have been conducted in patients with renal impairment. Renal impairment is not expected to affect exposure to garadacimab (see Section 5.2 Pharmacokinetic properties).</w:t>
      </w:r>
    </w:p>
    <w:p w14:paraId="2CBE5EC2" w14:textId="77777777" w:rsidR="001A3992" w:rsidRPr="00456927" w:rsidRDefault="001A3992" w:rsidP="00054C6A">
      <w:pPr>
        <w:pStyle w:val="Heading2"/>
        <w:keepNext/>
        <w:spacing w:before="0" w:after="120"/>
        <w:rPr>
          <w:rFonts w:ascii="Times New Roman" w:hAnsi="Times New Roman" w:cs="Times New Roman"/>
          <w:sz w:val="28"/>
          <w:szCs w:val="28"/>
        </w:rPr>
      </w:pPr>
      <w:r w:rsidRPr="00456927">
        <w:rPr>
          <w:rFonts w:ascii="Times New Roman" w:hAnsi="Times New Roman" w:cs="Times New Roman"/>
          <w:sz w:val="28"/>
          <w:szCs w:val="28"/>
        </w:rPr>
        <w:t>Contraindications</w:t>
      </w:r>
    </w:p>
    <w:p w14:paraId="6ABEFEFF" w14:textId="6940E7EC" w:rsidR="007120E5" w:rsidRPr="00456927" w:rsidRDefault="009F0D94" w:rsidP="007F51C3">
      <w:pPr>
        <w:pStyle w:val="DocumentText"/>
        <w:rPr>
          <w:lang w:val="pl-PL"/>
        </w:rPr>
      </w:pPr>
      <w:r w:rsidRPr="00456927">
        <w:rPr>
          <w:lang w:val="en-AU"/>
        </w:rPr>
        <w:t>Hypersensitivity to the active substance or to any of the excipients</w:t>
      </w:r>
      <w:r w:rsidR="007120E5" w:rsidRPr="00456927">
        <w:rPr>
          <w:lang w:val="pl-PL"/>
        </w:rPr>
        <w:t>.</w:t>
      </w:r>
    </w:p>
    <w:p w14:paraId="3C496277" w14:textId="77777777" w:rsidR="001A3992" w:rsidRPr="00456927" w:rsidRDefault="00E74A56" w:rsidP="00B9625C">
      <w:pPr>
        <w:pStyle w:val="Heading2"/>
        <w:keepNext/>
        <w:spacing w:before="0" w:after="120"/>
        <w:rPr>
          <w:rFonts w:ascii="Times New Roman" w:hAnsi="Times New Roman" w:cs="Times New Roman"/>
          <w:sz w:val="28"/>
          <w:szCs w:val="28"/>
        </w:rPr>
      </w:pPr>
      <w:r w:rsidRPr="00456927">
        <w:rPr>
          <w:rFonts w:ascii="Times New Roman" w:hAnsi="Times New Roman" w:cs="Times New Roman"/>
          <w:sz w:val="28"/>
          <w:szCs w:val="28"/>
        </w:rPr>
        <w:t>Special warnings and p</w:t>
      </w:r>
      <w:r w:rsidR="001A3992" w:rsidRPr="00456927">
        <w:rPr>
          <w:rFonts w:ascii="Times New Roman" w:hAnsi="Times New Roman" w:cs="Times New Roman"/>
          <w:sz w:val="28"/>
          <w:szCs w:val="28"/>
        </w:rPr>
        <w:t xml:space="preserve">recautions </w:t>
      </w:r>
      <w:r w:rsidRPr="00456927">
        <w:rPr>
          <w:rFonts w:ascii="Times New Roman" w:hAnsi="Times New Roman" w:cs="Times New Roman"/>
          <w:sz w:val="28"/>
          <w:szCs w:val="28"/>
        </w:rPr>
        <w:t>for use</w:t>
      </w:r>
    </w:p>
    <w:p w14:paraId="1DB0F812" w14:textId="3F5CEE44" w:rsidR="00B17BEA" w:rsidRPr="00B17BEA" w:rsidRDefault="00B17BEA" w:rsidP="00B17BEA">
      <w:pPr>
        <w:pStyle w:val="Heading3"/>
        <w:spacing w:before="0" w:after="120"/>
        <w:rPr>
          <w:rFonts w:ascii="Times New Roman" w:hAnsi="Times New Roman" w:cs="Times New Roman"/>
          <w:sz w:val="28"/>
          <w:szCs w:val="28"/>
        </w:rPr>
      </w:pPr>
      <w:r w:rsidRPr="00B17BEA">
        <w:rPr>
          <w:rFonts w:ascii="Times New Roman" w:hAnsi="Times New Roman" w:cs="Times New Roman"/>
          <w:sz w:val="28"/>
          <w:szCs w:val="28"/>
        </w:rPr>
        <w:t>General</w:t>
      </w:r>
    </w:p>
    <w:p w14:paraId="34E5CDCC" w14:textId="2380C276" w:rsidR="00EB7DCB" w:rsidRDefault="00EB7DCB" w:rsidP="00EB7DCB">
      <w:pPr>
        <w:pStyle w:val="Heading3"/>
        <w:spacing w:before="0" w:after="240" w:line="300" w:lineRule="auto"/>
        <w:rPr>
          <w:rFonts w:ascii="Times New Roman" w:eastAsia="Times New Roman" w:hAnsi="Times New Roman" w:cs="Times New Roman"/>
          <w:b w:val="0"/>
          <w:bCs w:val="0"/>
          <w:kern w:val="24"/>
          <w:sz w:val="24"/>
          <w:szCs w:val="24"/>
          <w:lang w:val="en-US"/>
        </w:rPr>
      </w:pPr>
      <w:r w:rsidRPr="00BF7D67">
        <w:rPr>
          <w:rFonts w:ascii="Times New Roman" w:eastAsia="Times New Roman" w:hAnsi="Times New Roman" w:cs="Times New Roman"/>
          <w:b w:val="0"/>
          <w:bCs w:val="0"/>
          <w:kern w:val="24"/>
          <w:sz w:val="24"/>
          <w:szCs w:val="24"/>
          <w:lang w:val="en-US"/>
        </w:rPr>
        <w:t>ANDEMBRY</w:t>
      </w:r>
      <w:r w:rsidRPr="00B10ED5">
        <w:rPr>
          <w:rFonts w:ascii="Times New Roman" w:eastAsia="Times New Roman" w:hAnsi="Times New Roman" w:cs="Times New Roman"/>
          <w:b w:val="0"/>
          <w:bCs w:val="0"/>
          <w:kern w:val="24"/>
          <w:sz w:val="24"/>
          <w:szCs w:val="24"/>
          <w:vertAlign w:val="superscript"/>
          <w:lang w:val="en-US"/>
        </w:rPr>
        <w:t>®</w:t>
      </w:r>
      <w:r w:rsidRPr="00BF7D67">
        <w:rPr>
          <w:rFonts w:ascii="Times New Roman" w:eastAsia="Times New Roman" w:hAnsi="Times New Roman" w:cs="Times New Roman"/>
          <w:b w:val="0"/>
          <w:bCs w:val="0"/>
          <w:kern w:val="24"/>
          <w:sz w:val="24"/>
          <w:szCs w:val="24"/>
          <w:lang w:val="en-US"/>
        </w:rPr>
        <w:t xml:space="preserve"> </w:t>
      </w:r>
      <w:r w:rsidR="002F3ADD" w:rsidRPr="00B10ED5">
        <w:rPr>
          <w:rFonts w:ascii="Times New Roman" w:eastAsia="Times New Roman" w:hAnsi="Times New Roman" w:cs="Times New Roman"/>
          <w:b w:val="0"/>
          <w:bCs w:val="0"/>
          <w:kern w:val="24"/>
          <w:sz w:val="24"/>
          <w:szCs w:val="24"/>
          <w:lang w:val="en-US"/>
        </w:rPr>
        <w:t>is not intended for treatment of acute HAE attacks. In case of breakthrough HAE attack, individuali</w:t>
      </w:r>
      <w:r w:rsidR="00B10ED5">
        <w:rPr>
          <w:rFonts w:ascii="Times New Roman" w:eastAsia="Times New Roman" w:hAnsi="Times New Roman" w:cs="Times New Roman"/>
          <w:b w:val="0"/>
          <w:bCs w:val="0"/>
          <w:kern w:val="24"/>
          <w:sz w:val="24"/>
          <w:szCs w:val="24"/>
          <w:lang w:val="en-US"/>
        </w:rPr>
        <w:t>s</w:t>
      </w:r>
      <w:r w:rsidR="002F3ADD" w:rsidRPr="00B10ED5">
        <w:rPr>
          <w:rFonts w:ascii="Times New Roman" w:eastAsia="Times New Roman" w:hAnsi="Times New Roman" w:cs="Times New Roman"/>
          <w:b w:val="0"/>
          <w:bCs w:val="0"/>
          <w:kern w:val="24"/>
          <w:sz w:val="24"/>
          <w:szCs w:val="24"/>
          <w:lang w:val="en-US"/>
        </w:rPr>
        <w:t>ed treatment should be initiated with an approved rescue medicine</w:t>
      </w:r>
      <w:r w:rsidRPr="00BF7D67">
        <w:rPr>
          <w:rFonts w:ascii="Times New Roman" w:eastAsia="Times New Roman" w:hAnsi="Times New Roman" w:cs="Times New Roman"/>
          <w:b w:val="0"/>
          <w:bCs w:val="0"/>
          <w:kern w:val="24"/>
          <w:sz w:val="24"/>
          <w:szCs w:val="24"/>
          <w:lang w:val="en-US"/>
        </w:rPr>
        <w:t>.</w:t>
      </w:r>
    </w:p>
    <w:p w14:paraId="10BA7659" w14:textId="52053CAE" w:rsidR="007F51C3" w:rsidRPr="00456927" w:rsidRDefault="007F51C3" w:rsidP="007F51C3">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Traceability</w:t>
      </w:r>
    </w:p>
    <w:p w14:paraId="2349B32C" w14:textId="675567B3" w:rsidR="00BC1826" w:rsidRPr="00456927" w:rsidRDefault="007F51C3" w:rsidP="00BC1826">
      <w:pPr>
        <w:pStyle w:val="DocumentText"/>
        <w:rPr>
          <w:b/>
          <w:lang w:val="en-AU"/>
        </w:rPr>
      </w:pPr>
      <w:r w:rsidRPr="00456927">
        <w:t>In order to improve the traceability of biological medicinal products, the name and the batch number of the administered product should be clearly recorded.</w:t>
      </w:r>
    </w:p>
    <w:p w14:paraId="5D6B5C6D" w14:textId="77777777" w:rsidR="00BC1826" w:rsidRPr="00456927" w:rsidRDefault="00BC1826" w:rsidP="00BC1826">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Hypersensitivity</w:t>
      </w:r>
    </w:p>
    <w:p w14:paraId="26278A96" w14:textId="7A0E37B3" w:rsidR="00BC1826" w:rsidRDefault="004C088D" w:rsidP="00CC6807">
      <w:pPr>
        <w:pStyle w:val="ListBulleted"/>
        <w:keepLines w:val="0"/>
        <w:numPr>
          <w:ilvl w:val="0"/>
          <w:numId w:val="0"/>
        </w:numPr>
        <w:spacing w:before="0" w:after="240"/>
      </w:pPr>
      <w:r w:rsidRPr="00456927">
        <w:t>H</w:t>
      </w:r>
      <w:r w:rsidR="007F51C3" w:rsidRPr="00456927">
        <w:t xml:space="preserve">ypersensitivity reactions have not been observed but may theoretically occur. In case of severe hypersensitivity, discontinue </w:t>
      </w:r>
      <w:r w:rsidR="00D024E9" w:rsidRPr="00456927">
        <w:t>ANDEMBRY</w:t>
      </w:r>
      <w:r w:rsidR="00D368D4" w:rsidRPr="00456927">
        <w:rPr>
          <w:vertAlign w:val="superscript"/>
        </w:rPr>
        <w:t>®</w:t>
      </w:r>
      <w:r w:rsidR="007F51C3" w:rsidRPr="00456927">
        <w:t xml:space="preserve"> administration and </w:t>
      </w:r>
      <w:r w:rsidR="004A151F" w:rsidRPr="00456927">
        <w:t>administer</w:t>
      </w:r>
      <w:r w:rsidR="007F51C3" w:rsidRPr="00456927">
        <w:t xml:space="preserve"> appropriate treatment</w:t>
      </w:r>
      <w:r w:rsidR="004A151F" w:rsidRPr="00456927">
        <w:t xml:space="preserve"> immediately</w:t>
      </w:r>
      <w:r w:rsidR="007F51C3" w:rsidRPr="00456927">
        <w:t>.</w:t>
      </w:r>
    </w:p>
    <w:p w14:paraId="2CBA721E" w14:textId="77777777" w:rsidR="005A41FD" w:rsidRPr="001C6652" w:rsidRDefault="005A41FD" w:rsidP="005A41FD">
      <w:pPr>
        <w:pStyle w:val="Heading3"/>
        <w:spacing w:before="0" w:after="120"/>
        <w:rPr>
          <w:rFonts w:ascii="Times New Roman" w:hAnsi="Times New Roman" w:cs="Times New Roman"/>
          <w:sz w:val="28"/>
          <w:szCs w:val="28"/>
        </w:rPr>
      </w:pPr>
      <w:r w:rsidRPr="001C6652">
        <w:rPr>
          <w:rFonts w:ascii="Times New Roman" w:hAnsi="Times New Roman" w:cs="Times New Roman"/>
          <w:sz w:val="28"/>
          <w:szCs w:val="28"/>
        </w:rPr>
        <w:t>Use in hepatic impairment</w:t>
      </w:r>
    </w:p>
    <w:p w14:paraId="07B8B8A0" w14:textId="77777777" w:rsidR="005A41FD" w:rsidRPr="001C6652" w:rsidRDefault="005A41FD" w:rsidP="005A41FD">
      <w:pPr>
        <w:pStyle w:val="ListBulleted"/>
        <w:keepLines w:val="0"/>
        <w:numPr>
          <w:ilvl w:val="0"/>
          <w:numId w:val="0"/>
        </w:numPr>
        <w:spacing w:before="0" w:after="240"/>
      </w:pPr>
      <w:r w:rsidRPr="0048764B">
        <w:t>No</w:t>
      </w:r>
      <w:r w:rsidRPr="001C6652">
        <w:t xml:space="preserve"> </w:t>
      </w:r>
      <w:r w:rsidRPr="0048764B">
        <w:t>studies</w:t>
      </w:r>
      <w:r w:rsidRPr="001C6652">
        <w:t xml:space="preserve"> </w:t>
      </w:r>
      <w:r w:rsidRPr="0048764B">
        <w:t>have</w:t>
      </w:r>
      <w:r w:rsidRPr="001C6652">
        <w:t xml:space="preserve"> </w:t>
      </w:r>
      <w:r w:rsidRPr="0048764B">
        <w:t>been</w:t>
      </w:r>
      <w:r w:rsidRPr="001C6652">
        <w:t xml:space="preserve"> </w:t>
      </w:r>
      <w:r w:rsidRPr="0048764B">
        <w:t>conducted</w:t>
      </w:r>
      <w:r w:rsidRPr="001C6652">
        <w:t xml:space="preserve"> </w:t>
      </w:r>
      <w:r w:rsidRPr="0048764B">
        <w:t>in</w:t>
      </w:r>
      <w:r w:rsidRPr="001C6652">
        <w:t xml:space="preserve"> </w:t>
      </w:r>
      <w:r w:rsidRPr="0048764B">
        <w:t>patients</w:t>
      </w:r>
      <w:r w:rsidRPr="001C6652">
        <w:t xml:space="preserve"> </w:t>
      </w:r>
      <w:r w:rsidRPr="0048764B">
        <w:t>with</w:t>
      </w:r>
      <w:r w:rsidRPr="001C6652">
        <w:t xml:space="preserve"> </w:t>
      </w:r>
      <w:r w:rsidRPr="0048764B">
        <w:t>hepatic</w:t>
      </w:r>
      <w:r w:rsidRPr="001C6652">
        <w:t xml:space="preserve"> </w:t>
      </w:r>
      <w:r w:rsidRPr="0048764B">
        <w:t>impairment.</w:t>
      </w:r>
      <w:r w:rsidRPr="001C6652">
        <w:t xml:space="preserve"> </w:t>
      </w:r>
      <w:r w:rsidRPr="0048764B">
        <w:t>The</w:t>
      </w:r>
      <w:r w:rsidRPr="001C6652">
        <w:t xml:space="preserve"> </w:t>
      </w:r>
      <w:r w:rsidRPr="0048764B">
        <w:t>safety</w:t>
      </w:r>
      <w:r w:rsidRPr="001C6652">
        <w:t xml:space="preserve"> </w:t>
      </w:r>
      <w:r w:rsidRPr="0048764B">
        <w:t>of</w:t>
      </w:r>
      <w:r w:rsidRPr="001C6652">
        <w:t xml:space="preserve"> </w:t>
      </w:r>
      <w:r w:rsidRPr="0048764B">
        <w:t>garadacimab in patients with hepatic impairment has not been established.</w:t>
      </w:r>
    </w:p>
    <w:p w14:paraId="0EE39EC0" w14:textId="77777777" w:rsidR="001A3992" w:rsidRPr="00456927" w:rsidRDefault="001A3992" w:rsidP="00923617">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Use in the elderly</w:t>
      </w:r>
    </w:p>
    <w:p w14:paraId="420EA7FF" w14:textId="3A130AE5" w:rsidR="00923617" w:rsidRPr="00456927" w:rsidRDefault="00635661" w:rsidP="00A3759E">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There</w:t>
      </w:r>
      <w:r w:rsidR="004F171E" w:rsidRPr="00456927">
        <w:rPr>
          <w:rFonts w:ascii="Times New Roman" w:eastAsia="Times New Roman" w:hAnsi="Times New Roman" w:cs="Times New Roman"/>
          <w:kern w:val="24"/>
          <w:sz w:val="24"/>
          <w:szCs w:val="24"/>
          <w:lang w:val="en-US"/>
        </w:rPr>
        <w:t xml:space="preserve"> were 13 </w:t>
      </w:r>
      <w:r w:rsidRPr="00456927">
        <w:rPr>
          <w:rFonts w:ascii="Times New Roman" w:eastAsia="Times New Roman" w:hAnsi="Times New Roman" w:cs="Times New Roman"/>
          <w:kern w:val="24"/>
          <w:sz w:val="24"/>
          <w:szCs w:val="24"/>
          <w:lang w:val="en-US"/>
        </w:rPr>
        <w:t xml:space="preserve">subjects </w:t>
      </w:r>
      <w:r w:rsidR="004F171E" w:rsidRPr="00456927">
        <w:rPr>
          <w:rFonts w:ascii="Times New Roman" w:eastAsia="Times New Roman" w:hAnsi="Times New Roman" w:cs="Times New Roman"/>
          <w:kern w:val="24"/>
          <w:sz w:val="24"/>
          <w:szCs w:val="24"/>
          <w:lang w:val="en-US"/>
        </w:rPr>
        <w:t xml:space="preserve">aged 65 years of age or older </w:t>
      </w:r>
      <w:r w:rsidR="00813D96" w:rsidRPr="00456927">
        <w:rPr>
          <w:rFonts w:ascii="Times New Roman" w:eastAsia="Times New Roman" w:hAnsi="Times New Roman" w:cs="Times New Roman"/>
          <w:kern w:val="24"/>
          <w:sz w:val="24"/>
          <w:szCs w:val="24"/>
          <w:lang w:val="en-US"/>
        </w:rPr>
        <w:t xml:space="preserve">included in the Phase 3 </w:t>
      </w:r>
      <w:r w:rsidR="00D56D50" w:rsidRPr="00456927">
        <w:rPr>
          <w:rFonts w:ascii="Times New Roman" w:eastAsia="Times New Roman" w:hAnsi="Times New Roman" w:cs="Times New Roman"/>
          <w:kern w:val="24"/>
          <w:sz w:val="24"/>
          <w:szCs w:val="24"/>
          <w:lang w:val="en-US"/>
        </w:rPr>
        <w:t>s</w:t>
      </w:r>
      <w:r w:rsidR="00813D96" w:rsidRPr="00456927">
        <w:rPr>
          <w:rFonts w:ascii="Times New Roman" w:eastAsia="Times New Roman" w:hAnsi="Times New Roman" w:cs="Times New Roman"/>
          <w:kern w:val="24"/>
          <w:sz w:val="24"/>
          <w:szCs w:val="24"/>
          <w:lang w:val="en-US"/>
        </w:rPr>
        <w:t>tudies</w:t>
      </w:r>
      <w:r w:rsidRPr="00456927">
        <w:rPr>
          <w:rFonts w:ascii="Times New Roman" w:eastAsia="Times New Roman" w:hAnsi="Times New Roman" w:cs="Times New Roman"/>
          <w:kern w:val="24"/>
          <w:sz w:val="24"/>
          <w:szCs w:val="24"/>
          <w:lang w:val="en-US"/>
        </w:rPr>
        <w:t xml:space="preserve">, including </w:t>
      </w:r>
      <w:r w:rsidR="00111495" w:rsidRPr="00456927">
        <w:rPr>
          <w:rFonts w:ascii="Times New Roman" w:eastAsia="Times New Roman" w:hAnsi="Times New Roman" w:cs="Times New Roman"/>
          <w:kern w:val="24"/>
          <w:sz w:val="24"/>
          <w:szCs w:val="24"/>
          <w:lang w:val="en-US"/>
        </w:rPr>
        <w:t>6</w:t>
      </w:r>
      <w:r w:rsidR="004F171E" w:rsidRPr="00456927">
        <w:rPr>
          <w:rFonts w:ascii="Times New Roman" w:eastAsia="Times New Roman" w:hAnsi="Times New Roman" w:cs="Times New Roman"/>
          <w:kern w:val="24"/>
          <w:sz w:val="24"/>
          <w:szCs w:val="24"/>
          <w:lang w:val="en-US"/>
        </w:rPr>
        <w:t xml:space="preserve"> in </w:t>
      </w:r>
      <w:r w:rsidR="005A1617" w:rsidRPr="00456927">
        <w:rPr>
          <w:rFonts w:ascii="Times New Roman" w:eastAsia="Times New Roman" w:hAnsi="Times New Roman" w:cs="Times New Roman"/>
          <w:kern w:val="24"/>
          <w:sz w:val="24"/>
          <w:szCs w:val="24"/>
          <w:lang w:val="en-US"/>
        </w:rPr>
        <w:t xml:space="preserve">the VANGUARD </w:t>
      </w:r>
      <w:r w:rsidR="00F44CB9">
        <w:rPr>
          <w:rFonts w:ascii="Times New Roman" w:eastAsia="Times New Roman" w:hAnsi="Times New Roman" w:cs="Times New Roman"/>
          <w:kern w:val="24"/>
          <w:sz w:val="24"/>
          <w:szCs w:val="24"/>
          <w:lang w:val="en-US"/>
        </w:rPr>
        <w:t>p</w:t>
      </w:r>
      <w:r w:rsidR="005A1617" w:rsidRPr="00456927">
        <w:rPr>
          <w:rFonts w:ascii="Times New Roman" w:eastAsia="Times New Roman" w:hAnsi="Times New Roman" w:cs="Times New Roman"/>
          <w:kern w:val="24"/>
          <w:sz w:val="24"/>
          <w:szCs w:val="24"/>
          <w:lang w:val="en-US"/>
        </w:rPr>
        <w:t xml:space="preserve">ivotal </w:t>
      </w:r>
      <w:r w:rsidR="00F44CB9">
        <w:rPr>
          <w:rFonts w:ascii="Times New Roman" w:eastAsia="Times New Roman" w:hAnsi="Times New Roman" w:cs="Times New Roman"/>
          <w:kern w:val="24"/>
          <w:sz w:val="24"/>
          <w:szCs w:val="24"/>
          <w:lang w:val="en-US"/>
        </w:rPr>
        <w:t>s</w:t>
      </w:r>
      <w:r w:rsidR="005A1617" w:rsidRPr="00456927">
        <w:rPr>
          <w:rFonts w:ascii="Times New Roman" w:eastAsia="Times New Roman" w:hAnsi="Times New Roman" w:cs="Times New Roman"/>
          <w:kern w:val="24"/>
          <w:sz w:val="24"/>
          <w:szCs w:val="24"/>
          <w:lang w:val="en-US"/>
        </w:rPr>
        <w:t>tudy</w:t>
      </w:r>
      <w:r w:rsidR="007F2E1C" w:rsidRPr="00456927">
        <w:rPr>
          <w:rFonts w:ascii="Times New Roman" w:eastAsia="Times New Roman" w:hAnsi="Times New Roman" w:cs="Times New Roman"/>
          <w:kern w:val="24"/>
          <w:sz w:val="24"/>
          <w:szCs w:val="24"/>
          <w:lang w:val="en-US"/>
        </w:rPr>
        <w:t xml:space="preserve">. </w:t>
      </w:r>
      <w:r w:rsidR="001161C8">
        <w:rPr>
          <w:rFonts w:ascii="Times New Roman" w:eastAsia="Times New Roman" w:hAnsi="Times New Roman" w:cs="Times New Roman"/>
          <w:kern w:val="24"/>
          <w:sz w:val="24"/>
          <w:szCs w:val="24"/>
          <w:lang w:val="en-US"/>
        </w:rPr>
        <w:t>N</w:t>
      </w:r>
      <w:r w:rsidR="001161C8" w:rsidRPr="001161C8">
        <w:rPr>
          <w:rFonts w:ascii="Times New Roman" w:eastAsia="Times New Roman" w:hAnsi="Times New Roman" w:cs="Times New Roman"/>
          <w:kern w:val="24"/>
          <w:sz w:val="24"/>
          <w:szCs w:val="24"/>
          <w:lang w:val="en-US"/>
        </w:rPr>
        <w:t xml:space="preserve">o difference in the overall safety profile was </w:t>
      </w:r>
      <w:r w:rsidR="001161C8" w:rsidRPr="001161C8">
        <w:rPr>
          <w:rFonts w:ascii="Times New Roman" w:eastAsia="Times New Roman" w:hAnsi="Times New Roman" w:cs="Times New Roman"/>
          <w:kern w:val="24"/>
          <w:sz w:val="24"/>
          <w:szCs w:val="24"/>
          <w:lang w:val="en-US"/>
        </w:rPr>
        <w:lastRenderedPageBreak/>
        <w:t>seen between adults 18–65 and ≥65 years of age, suggesting that the safety and tolerability of ANDEMBRY</w:t>
      </w:r>
      <w:r w:rsidR="001161C8" w:rsidRPr="001161C8">
        <w:rPr>
          <w:rFonts w:ascii="Times New Roman" w:eastAsia="Times New Roman" w:hAnsi="Times New Roman" w:cs="Times New Roman"/>
          <w:kern w:val="24"/>
          <w:sz w:val="24"/>
          <w:szCs w:val="24"/>
          <w:vertAlign w:val="superscript"/>
          <w:lang w:val="en-US"/>
        </w:rPr>
        <w:t>®</w:t>
      </w:r>
      <w:r w:rsidR="001161C8" w:rsidRPr="001161C8">
        <w:rPr>
          <w:rFonts w:ascii="Times New Roman" w:eastAsia="Times New Roman" w:hAnsi="Times New Roman" w:cs="Times New Roman"/>
          <w:kern w:val="24"/>
          <w:sz w:val="24"/>
          <w:szCs w:val="24"/>
          <w:lang w:val="en-US"/>
        </w:rPr>
        <w:t xml:space="preserve"> in adults ≥65 is similar to the 18–65 year old population studie</w:t>
      </w:r>
      <w:r w:rsidR="001161C8">
        <w:rPr>
          <w:rFonts w:ascii="Times New Roman" w:eastAsia="Times New Roman" w:hAnsi="Times New Roman" w:cs="Times New Roman"/>
          <w:kern w:val="24"/>
          <w:sz w:val="24"/>
          <w:szCs w:val="24"/>
          <w:lang w:val="en-US"/>
        </w:rPr>
        <w:t>d</w:t>
      </w:r>
      <w:r w:rsidR="004F171E" w:rsidRPr="00456927">
        <w:rPr>
          <w:rFonts w:ascii="Times New Roman" w:eastAsia="Times New Roman" w:hAnsi="Times New Roman" w:cs="Times New Roman"/>
          <w:kern w:val="24"/>
          <w:sz w:val="24"/>
          <w:szCs w:val="24"/>
          <w:lang w:val="en-US"/>
        </w:rPr>
        <w:t>.</w:t>
      </w:r>
    </w:p>
    <w:p w14:paraId="474FC644" w14:textId="77777777" w:rsidR="001A3992" w:rsidRPr="00456927" w:rsidRDefault="001A3992" w:rsidP="00923617">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Paediatric use</w:t>
      </w:r>
    </w:p>
    <w:p w14:paraId="7371AE69" w14:textId="18950AFE" w:rsidR="004F171E" w:rsidRPr="00456927" w:rsidRDefault="004F171E" w:rsidP="006507F4">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The safety and efficacy of </w:t>
      </w:r>
      <w:r w:rsidR="0028396A" w:rsidRPr="00456927">
        <w:rPr>
          <w:rFonts w:ascii="Times New Roman" w:eastAsia="Times New Roman" w:hAnsi="Times New Roman" w:cs="Times New Roman"/>
          <w:kern w:val="24"/>
          <w:sz w:val="24"/>
          <w:szCs w:val="24"/>
          <w:lang w:val="en-US"/>
        </w:rPr>
        <w:t>garadacimab</w:t>
      </w:r>
      <w:r w:rsidR="00510AE3" w:rsidRPr="00456927">
        <w:rPr>
          <w:rFonts w:ascii="Times New Roman" w:eastAsia="Times New Roman" w:hAnsi="Times New Roman" w:cs="Times New Roman"/>
          <w:kern w:val="24"/>
          <w:sz w:val="24"/>
          <w:szCs w:val="24"/>
          <w:lang w:val="en-US"/>
        </w:rPr>
        <w:t xml:space="preserve"> in children</w:t>
      </w:r>
      <w:r w:rsidRPr="00456927">
        <w:rPr>
          <w:rFonts w:ascii="Times New Roman" w:eastAsia="Times New Roman" w:hAnsi="Times New Roman" w:cs="Times New Roman"/>
          <w:kern w:val="24"/>
          <w:sz w:val="24"/>
          <w:szCs w:val="24"/>
          <w:lang w:val="en-US"/>
        </w:rPr>
        <w:t xml:space="preserve"> </w:t>
      </w:r>
      <w:r w:rsidR="00E600FA" w:rsidRPr="00456927">
        <w:rPr>
          <w:rFonts w:ascii="Times New Roman" w:eastAsia="Times New Roman" w:hAnsi="Times New Roman" w:cs="Times New Roman"/>
          <w:kern w:val="24"/>
          <w:sz w:val="24"/>
          <w:szCs w:val="24"/>
          <w:lang w:val="en-US"/>
        </w:rPr>
        <w:t>(</w:t>
      </w:r>
      <w:r w:rsidR="005D4F45" w:rsidRPr="00456927">
        <w:rPr>
          <w:rFonts w:ascii="Times New Roman" w:eastAsia="Times New Roman" w:hAnsi="Times New Roman" w:cs="Times New Roman"/>
          <w:kern w:val="24"/>
          <w:sz w:val="24"/>
          <w:szCs w:val="24"/>
          <w:lang w:val="en-US"/>
        </w:rPr>
        <w:t xml:space="preserve">&lt;12 years old) </w:t>
      </w:r>
      <w:r w:rsidRPr="00456927">
        <w:rPr>
          <w:rFonts w:ascii="Times New Roman" w:eastAsia="Times New Roman" w:hAnsi="Times New Roman" w:cs="Times New Roman"/>
          <w:kern w:val="24"/>
          <w:sz w:val="24"/>
          <w:szCs w:val="24"/>
          <w:lang w:val="en-US"/>
        </w:rPr>
        <w:t>ha</w:t>
      </w:r>
      <w:r w:rsidR="00FD41CE" w:rsidRPr="00456927">
        <w:rPr>
          <w:rFonts w:ascii="Times New Roman" w:eastAsia="Times New Roman" w:hAnsi="Times New Roman" w:cs="Times New Roman"/>
          <w:kern w:val="24"/>
          <w:sz w:val="24"/>
          <w:szCs w:val="24"/>
          <w:lang w:val="en-US"/>
        </w:rPr>
        <w:t>s</w:t>
      </w:r>
      <w:r w:rsidRPr="00456927">
        <w:rPr>
          <w:rFonts w:ascii="Times New Roman" w:eastAsia="Times New Roman" w:hAnsi="Times New Roman" w:cs="Times New Roman"/>
          <w:kern w:val="24"/>
          <w:sz w:val="24"/>
          <w:szCs w:val="24"/>
          <w:lang w:val="en-US"/>
        </w:rPr>
        <w:t xml:space="preserve"> </w:t>
      </w:r>
      <w:r w:rsidR="00510AE3" w:rsidRPr="00456927">
        <w:rPr>
          <w:rFonts w:ascii="Times New Roman" w:eastAsia="Times New Roman" w:hAnsi="Times New Roman" w:cs="Times New Roman"/>
          <w:kern w:val="24"/>
          <w:sz w:val="24"/>
          <w:szCs w:val="24"/>
          <w:lang w:val="en-US"/>
        </w:rPr>
        <w:t xml:space="preserve">not </w:t>
      </w:r>
      <w:r w:rsidRPr="00456927">
        <w:rPr>
          <w:rFonts w:ascii="Times New Roman" w:eastAsia="Times New Roman" w:hAnsi="Times New Roman" w:cs="Times New Roman"/>
          <w:kern w:val="24"/>
          <w:sz w:val="24"/>
          <w:szCs w:val="24"/>
          <w:lang w:val="en-US"/>
        </w:rPr>
        <w:t>been established</w:t>
      </w:r>
      <w:r w:rsidR="00D16716" w:rsidRPr="00456927">
        <w:rPr>
          <w:rFonts w:ascii="Times New Roman" w:eastAsia="Times New Roman" w:hAnsi="Times New Roman" w:cs="Times New Roman"/>
          <w:kern w:val="24"/>
          <w:sz w:val="24"/>
          <w:szCs w:val="24"/>
          <w:lang w:val="en-US"/>
        </w:rPr>
        <w:t xml:space="preserve">. </w:t>
      </w:r>
      <w:r w:rsidR="00510AE3" w:rsidRPr="00456927">
        <w:rPr>
          <w:rFonts w:ascii="Times New Roman" w:eastAsia="Times New Roman" w:hAnsi="Times New Roman" w:cs="Times New Roman"/>
          <w:kern w:val="24"/>
          <w:sz w:val="24"/>
          <w:szCs w:val="24"/>
          <w:lang w:val="en-US"/>
        </w:rPr>
        <w:t xml:space="preserve">There are limited data for </w:t>
      </w:r>
      <w:r w:rsidR="00A52381" w:rsidRPr="00456927">
        <w:rPr>
          <w:rFonts w:ascii="Times New Roman" w:eastAsia="Times New Roman" w:hAnsi="Times New Roman" w:cs="Times New Roman"/>
          <w:kern w:val="24"/>
          <w:sz w:val="24"/>
          <w:szCs w:val="24"/>
          <w:lang w:val="en-US"/>
        </w:rPr>
        <w:t xml:space="preserve">adolescent </w:t>
      </w:r>
      <w:r w:rsidR="005A7299" w:rsidRPr="00456927">
        <w:rPr>
          <w:rFonts w:ascii="Times New Roman" w:eastAsia="Times New Roman" w:hAnsi="Times New Roman" w:cs="Times New Roman"/>
          <w:kern w:val="24"/>
          <w:sz w:val="24"/>
          <w:szCs w:val="24"/>
          <w:lang w:val="en-US"/>
        </w:rPr>
        <w:t>subjects</w:t>
      </w:r>
      <w:r w:rsidR="00510AE3" w:rsidRPr="00456927">
        <w:rPr>
          <w:rFonts w:ascii="Times New Roman" w:eastAsia="Times New Roman" w:hAnsi="Times New Roman" w:cs="Times New Roman"/>
          <w:kern w:val="24"/>
          <w:sz w:val="24"/>
          <w:szCs w:val="24"/>
          <w:lang w:val="en-US"/>
        </w:rPr>
        <w:t xml:space="preserve"> aged 12 to 17 years. There were</w:t>
      </w:r>
      <w:r w:rsidRPr="00456927">
        <w:rPr>
          <w:rFonts w:ascii="Times New Roman" w:eastAsia="Times New Roman" w:hAnsi="Times New Roman" w:cs="Times New Roman"/>
          <w:kern w:val="24"/>
          <w:sz w:val="24"/>
          <w:szCs w:val="24"/>
          <w:lang w:val="en-US"/>
        </w:rPr>
        <w:t xml:space="preserve"> 11 </w:t>
      </w:r>
      <w:r w:rsidR="0064338F" w:rsidRPr="00456927">
        <w:rPr>
          <w:rFonts w:ascii="Times New Roman" w:eastAsia="Times New Roman" w:hAnsi="Times New Roman" w:cs="Times New Roman"/>
          <w:kern w:val="24"/>
          <w:sz w:val="24"/>
          <w:szCs w:val="24"/>
          <w:lang w:val="en-US"/>
        </w:rPr>
        <w:t xml:space="preserve">adolescent </w:t>
      </w:r>
      <w:r w:rsidR="00510AE3" w:rsidRPr="00456927">
        <w:rPr>
          <w:rFonts w:ascii="Times New Roman" w:eastAsia="Times New Roman" w:hAnsi="Times New Roman" w:cs="Times New Roman"/>
          <w:kern w:val="24"/>
          <w:sz w:val="24"/>
          <w:szCs w:val="24"/>
          <w:lang w:val="en-US"/>
        </w:rPr>
        <w:t>subjects aged</w:t>
      </w:r>
      <w:r w:rsidRPr="00456927">
        <w:rPr>
          <w:rFonts w:ascii="Times New Roman" w:eastAsia="Times New Roman" w:hAnsi="Times New Roman" w:cs="Times New Roman"/>
          <w:kern w:val="24"/>
          <w:sz w:val="24"/>
          <w:szCs w:val="24"/>
          <w:lang w:val="en-US"/>
        </w:rPr>
        <w:t xml:space="preserve"> 12 to 17 years in </w:t>
      </w:r>
      <w:r w:rsidR="00467BAE" w:rsidRPr="00456927">
        <w:rPr>
          <w:rFonts w:ascii="Times New Roman" w:eastAsia="Times New Roman" w:hAnsi="Times New Roman" w:cs="Times New Roman"/>
          <w:kern w:val="24"/>
          <w:sz w:val="24"/>
          <w:szCs w:val="24"/>
          <w:lang w:val="en-US"/>
        </w:rPr>
        <w:t>the</w:t>
      </w:r>
      <w:r w:rsidR="00510AE3" w:rsidRPr="00456927">
        <w:rPr>
          <w:rFonts w:ascii="Times New Roman" w:eastAsia="Times New Roman" w:hAnsi="Times New Roman" w:cs="Times New Roman"/>
          <w:kern w:val="24"/>
          <w:sz w:val="24"/>
          <w:szCs w:val="24"/>
          <w:lang w:val="en-US"/>
        </w:rPr>
        <w:t xml:space="preserve"> Phase 3 studies, including 6 in the</w:t>
      </w:r>
      <w:r w:rsidR="00467BAE" w:rsidRPr="00456927">
        <w:rPr>
          <w:rFonts w:ascii="Times New Roman" w:eastAsia="Times New Roman" w:hAnsi="Times New Roman" w:cs="Times New Roman"/>
          <w:kern w:val="24"/>
          <w:sz w:val="24"/>
          <w:szCs w:val="24"/>
          <w:lang w:val="en-US"/>
        </w:rPr>
        <w:t xml:space="preserve"> </w:t>
      </w:r>
      <w:r w:rsidR="004A151F" w:rsidRPr="00456927">
        <w:rPr>
          <w:rFonts w:ascii="Times New Roman" w:eastAsia="Times New Roman" w:hAnsi="Times New Roman" w:cs="Times New Roman"/>
          <w:kern w:val="24"/>
          <w:sz w:val="24"/>
          <w:szCs w:val="24"/>
          <w:lang w:val="en-US"/>
        </w:rPr>
        <w:t xml:space="preserve">VANGUARD </w:t>
      </w:r>
      <w:r w:rsidR="00F44CB9">
        <w:rPr>
          <w:rFonts w:ascii="Times New Roman" w:eastAsia="Times New Roman" w:hAnsi="Times New Roman" w:cs="Times New Roman"/>
          <w:kern w:val="24"/>
          <w:sz w:val="24"/>
          <w:szCs w:val="24"/>
          <w:lang w:val="en-US"/>
        </w:rPr>
        <w:t>p</w:t>
      </w:r>
      <w:r w:rsidR="004A151F" w:rsidRPr="00456927">
        <w:rPr>
          <w:rFonts w:ascii="Times New Roman" w:eastAsia="Times New Roman" w:hAnsi="Times New Roman" w:cs="Times New Roman"/>
          <w:kern w:val="24"/>
          <w:sz w:val="24"/>
          <w:szCs w:val="24"/>
          <w:lang w:val="en-US"/>
        </w:rPr>
        <w:t>ivotal study</w:t>
      </w:r>
      <w:r w:rsidRPr="00456927">
        <w:rPr>
          <w:rFonts w:ascii="Times New Roman" w:eastAsia="Times New Roman" w:hAnsi="Times New Roman" w:cs="Times New Roman"/>
          <w:kern w:val="24"/>
          <w:sz w:val="24"/>
          <w:szCs w:val="24"/>
          <w:lang w:val="en-US"/>
        </w:rPr>
        <w:t>.</w:t>
      </w:r>
      <w:r w:rsidR="007F2E1C" w:rsidRPr="00456927">
        <w:rPr>
          <w:rFonts w:ascii="Times New Roman" w:eastAsia="Times New Roman" w:hAnsi="Times New Roman" w:cs="Times New Roman"/>
          <w:kern w:val="24"/>
          <w:sz w:val="24"/>
          <w:szCs w:val="24"/>
          <w:lang w:val="en-US"/>
        </w:rPr>
        <w:t xml:space="preserve"> </w:t>
      </w:r>
      <w:r w:rsidR="001161C8" w:rsidRPr="001161C8">
        <w:rPr>
          <w:rFonts w:ascii="Times New Roman" w:eastAsia="Times New Roman" w:hAnsi="Times New Roman" w:cs="Times New Roman"/>
          <w:kern w:val="24"/>
          <w:sz w:val="24"/>
          <w:szCs w:val="24"/>
        </w:rPr>
        <w:t>No difference in the overall safety profile was seen between adults and children</w:t>
      </w:r>
      <w:r w:rsidR="00D542F9">
        <w:rPr>
          <w:rFonts w:ascii="Times New Roman" w:eastAsia="Times New Roman" w:hAnsi="Times New Roman" w:cs="Times New Roman"/>
          <w:kern w:val="24"/>
          <w:sz w:val="24"/>
          <w:szCs w:val="24"/>
        </w:rPr>
        <w:t xml:space="preserve"> 12</w:t>
      </w:r>
      <w:r w:rsidR="00D542F9" w:rsidRPr="001161C8">
        <w:rPr>
          <w:rFonts w:ascii="Times New Roman" w:eastAsia="Times New Roman" w:hAnsi="Times New Roman" w:cs="Times New Roman"/>
          <w:kern w:val="24"/>
          <w:sz w:val="24"/>
          <w:szCs w:val="24"/>
          <w:lang w:val="en-US"/>
        </w:rPr>
        <w:t>–</w:t>
      </w:r>
      <w:r w:rsidR="00D542F9">
        <w:rPr>
          <w:rFonts w:ascii="Times New Roman" w:eastAsia="Times New Roman" w:hAnsi="Times New Roman" w:cs="Times New Roman"/>
          <w:kern w:val="24"/>
          <w:sz w:val="24"/>
          <w:szCs w:val="24"/>
          <w:lang w:val="en-US"/>
        </w:rPr>
        <w:t>17 years old</w:t>
      </w:r>
      <w:r w:rsidR="001161C8" w:rsidRPr="001161C8">
        <w:rPr>
          <w:rFonts w:ascii="Times New Roman" w:eastAsia="Times New Roman" w:hAnsi="Times New Roman" w:cs="Times New Roman"/>
          <w:kern w:val="24"/>
          <w:sz w:val="24"/>
          <w:szCs w:val="24"/>
        </w:rPr>
        <w:t>, suggesting that the safety and tolerability of ANDEMBRY</w:t>
      </w:r>
      <w:r w:rsidR="001161C8" w:rsidRPr="001161C8">
        <w:rPr>
          <w:rFonts w:ascii="Times New Roman" w:eastAsia="Times New Roman" w:hAnsi="Times New Roman" w:cs="Times New Roman"/>
          <w:kern w:val="24"/>
          <w:sz w:val="24"/>
          <w:szCs w:val="24"/>
          <w:vertAlign w:val="superscript"/>
          <w:lang w:val="en-US"/>
        </w:rPr>
        <w:t>®</w:t>
      </w:r>
      <w:r w:rsidR="001161C8" w:rsidRPr="001161C8">
        <w:rPr>
          <w:rFonts w:ascii="Times New Roman" w:eastAsia="Times New Roman" w:hAnsi="Times New Roman" w:cs="Times New Roman"/>
          <w:kern w:val="24"/>
          <w:sz w:val="24"/>
          <w:szCs w:val="24"/>
        </w:rPr>
        <w:t xml:space="preserve"> in children 12</w:t>
      </w:r>
      <w:r w:rsidR="001161C8" w:rsidRPr="001161C8">
        <w:rPr>
          <w:rFonts w:ascii="Times New Roman" w:eastAsia="Times New Roman" w:hAnsi="Times New Roman" w:cs="Times New Roman"/>
          <w:kern w:val="24"/>
          <w:sz w:val="24"/>
          <w:szCs w:val="24"/>
          <w:lang w:val="en-US"/>
        </w:rPr>
        <w:t>–</w:t>
      </w:r>
      <w:r w:rsidR="001161C8" w:rsidRPr="001161C8">
        <w:rPr>
          <w:rFonts w:ascii="Times New Roman" w:eastAsia="Times New Roman" w:hAnsi="Times New Roman" w:cs="Times New Roman"/>
          <w:kern w:val="24"/>
          <w:sz w:val="24"/>
          <w:szCs w:val="24"/>
        </w:rPr>
        <w:t>17 years old is similar to that in adults.</w:t>
      </w:r>
    </w:p>
    <w:p w14:paraId="1DAE522F" w14:textId="6313552B" w:rsidR="00923617" w:rsidRPr="00456927" w:rsidRDefault="00510AE3" w:rsidP="006507F4">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No data are available for children</w:t>
      </w:r>
      <w:r w:rsidR="004F171E" w:rsidRPr="00456927">
        <w:rPr>
          <w:rFonts w:ascii="Times New Roman" w:eastAsia="Times New Roman" w:hAnsi="Times New Roman" w:cs="Times New Roman"/>
          <w:kern w:val="24"/>
          <w:sz w:val="24"/>
          <w:szCs w:val="24"/>
          <w:lang w:val="en-US"/>
        </w:rPr>
        <w:t xml:space="preserve"> age</w:t>
      </w:r>
      <w:r w:rsidRPr="00456927">
        <w:rPr>
          <w:rFonts w:ascii="Times New Roman" w:eastAsia="Times New Roman" w:hAnsi="Times New Roman" w:cs="Times New Roman"/>
          <w:kern w:val="24"/>
          <w:sz w:val="24"/>
          <w:szCs w:val="24"/>
          <w:lang w:val="en-US"/>
        </w:rPr>
        <w:t>d less than</w:t>
      </w:r>
      <w:r w:rsidR="004F171E" w:rsidRPr="00456927">
        <w:rPr>
          <w:rFonts w:ascii="Times New Roman" w:eastAsia="Times New Roman" w:hAnsi="Times New Roman" w:cs="Times New Roman"/>
          <w:kern w:val="24"/>
          <w:sz w:val="24"/>
          <w:szCs w:val="24"/>
          <w:lang w:val="en-US"/>
        </w:rPr>
        <w:t xml:space="preserve"> 12 </w:t>
      </w:r>
      <w:r w:rsidRPr="00456927">
        <w:rPr>
          <w:rFonts w:ascii="Times New Roman" w:eastAsia="Times New Roman" w:hAnsi="Times New Roman" w:cs="Times New Roman"/>
          <w:kern w:val="24"/>
          <w:sz w:val="24"/>
          <w:szCs w:val="24"/>
          <w:lang w:val="en-US"/>
        </w:rPr>
        <w:t>years</w:t>
      </w:r>
      <w:r w:rsidR="004F171E" w:rsidRPr="00456927">
        <w:rPr>
          <w:rFonts w:ascii="Times New Roman" w:eastAsia="Times New Roman" w:hAnsi="Times New Roman" w:cs="Times New Roman"/>
          <w:kern w:val="24"/>
          <w:sz w:val="24"/>
          <w:szCs w:val="24"/>
          <w:lang w:val="en-US"/>
        </w:rPr>
        <w:t>.</w:t>
      </w:r>
      <w:r w:rsidRPr="00456927">
        <w:rPr>
          <w:rFonts w:ascii="Times New Roman" w:eastAsia="Times New Roman" w:hAnsi="Times New Roman" w:cs="Times New Roman"/>
          <w:kern w:val="24"/>
          <w:sz w:val="24"/>
          <w:szCs w:val="24"/>
          <w:lang w:val="en-US"/>
        </w:rPr>
        <w:t xml:space="preserve"> Treatment in children aged </w:t>
      </w:r>
      <w:r w:rsidR="00662030" w:rsidRPr="00456927">
        <w:rPr>
          <w:rFonts w:ascii="Times New Roman" w:eastAsia="Times New Roman" w:hAnsi="Times New Roman" w:cs="Times New Roman"/>
          <w:kern w:val="24"/>
          <w:sz w:val="24"/>
          <w:szCs w:val="24"/>
          <w:lang w:val="en-US"/>
        </w:rPr>
        <w:t>&lt;</w:t>
      </w:r>
      <w:r w:rsidRPr="00456927">
        <w:rPr>
          <w:rFonts w:ascii="Times New Roman" w:eastAsia="Times New Roman" w:hAnsi="Times New Roman" w:cs="Times New Roman"/>
          <w:kern w:val="24"/>
          <w:sz w:val="24"/>
          <w:szCs w:val="24"/>
          <w:lang w:val="en-US"/>
        </w:rPr>
        <w:t>12 years is not recommended.</w:t>
      </w:r>
    </w:p>
    <w:p w14:paraId="4393986F" w14:textId="77777777" w:rsidR="001A3992" w:rsidRPr="00456927" w:rsidRDefault="001A3992" w:rsidP="0096043F">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Effects on laboratory tests</w:t>
      </w:r>
    </w:p>
    <w:p w14:paraId="104BBF7B" w14:textId="55FDDAB8" w:rsidR="0096043F" w:rsidRPr="00456927" w:rsidRDefault="00CC6807" w:rsidP="0096043F">
      <w:pPr>
        <w:pStyle w:val="Heading4"/>
        <w:tabs>
          <w:tab w:val="left" w:pos="1865"/>
        </w:tabs>
        <w:spacing w:before="120" w:after="120"/>
        <w:ind w:left="1865" w:hanging="1865"/>
        <w:rPr>
          <w:rFonts w:ascii="Times New Roman" w:eastAsia="Times New Roman" w:hAnsi="Times New Roman" w:cs="Times New Roman"/>
          <w:bCs w:val="0"/>
          <w:iCs w:val="0"/>
          <w:color w:val="auto"/>
          <w:kern w:val="28"/>
          <w:sz w:val="28"/>
          <w:szCs w:val="28"/>
          <w:lang w:val="en-US"/>
        </w:rPr>
      </w:pPr>
      <w:r w:rsidRPr="00456927">
        <w:rPr>
          <w:rFonts w:ascii="Times New Roman" w:eastAsia="Times New Roman" w:hAnsi="Times New Roman" w:cs="Times New Roman"/>
          <w:bCs w:val="0"/>
          <w:iCs w:val="0"/>
          <w:color w:val="auto"/>
          <w:kern w:val="28"/>
          <w:sz w:val="28"/>
          <w:szCs w:val="28"/>
          <w:lang w:val="en-US"/>
        </w:rPr>
        <w:t>Coagulation tests</w:t>
      </w:r>
    </w:p>
    <w:p w14:paraId="4E267957" w14:textId="62B79836" w:rsidR="0096043F" w:rsidRPr="00456927" w:rsidRDefault="00CC6807" w:rsidP="0096043F">
      <w:pPr>
        <w:pStyle w:val="DocumentText"/>
      </w:pPr>
      <w:r w:rsidRPr="00456927">
        <w:t xml:space="preserve">Garadacimab can prolong activated partial thromboplastin time (aPTT) due to an interaction of garadacimab with the aPTT assay. The reagents used in the aPTT laboratory test initiate intrinsic coagulation through the activation of FXII in the contact system, therefore inhibition of plasma FXIIa by garadacimab can prolong aPTT in this assay. None of the increases in aPTT in patients treated with garadacimab were associated with bleeding adverse events. There were no </w:t>
      </w:r>
      <w:r w:rsidR="006507F4" w:rsidRPr="00456927">
        <w:t xml:space="preserve">clinically </w:t>
      </w:r>
      <w:r w:rsidRPr="00456927">
        <w:t>relevant differences in international normalised ratio (INR) between treatment groups.</w:t>
      </w:r>
    </w:p>
    <w:p w14:paraId="3509DF0A" w14:textId="77777777" w:rsidR="001A3992" w:rsidRPr="00456927" w:rsidRDefault="001A3992" w:rsidP="001A3992">
      <w:pPr>
        <w:pStyle w:val="Heading2"/>
        <w:keepNext/>
        <w:keepLines/>
        <w:spacing w:before="0" w:after="120"/>
        <w:rPr>
          <w:rFonts w:ascii="Times New Roman" w:hAnsi="Times New Roman" w:cs="Times New Roman"/>
          <w:sz w:val="28"/>
          <w:szCs w:val="28"/>
        </w:rPr>
      </w:pPr>
      <w:r w:rsidRPr="00456927">
        <w:rPr>
          <w:rFonts w:ascii="Times New Roman" w:hAnsi="Times New Roman" w:cs="Times New Roman"/>
          <w:sz w:val="28"/>
          <w:szCs w:val="28"/>
        </w:rPr>
        <w:t>Interactions with other medicines and other forms of interactions</w:t>
      </w:r>
    </w:p>
    <w:p w14:paraId="5E9E0EC2" w14:textId="37FBA714" w:rsidR="0096043F" w:rsidRPr="00456927" w:rsidRDefault="00CC6807" w:rsidP="0096043F">
      <w:pPr>
        <w:pStyle w:val="DocumentText"/>
      </w:pPr>
      <w:r w:rsidRPr="00456927">
        <w:t>No medicine interaction studies have been conducted in humans</w:t>
      </w:r>
      <w:r w:rsidR="0096043F" w:rsidRPr="00456927">
        <w:t>.</w:t>
      </w:r>
    </w:p>
    <w:p w14:paraId="70A917AB" w14:textId="77777777" w:rsidR="001A3992" w:rsidRPr="00456927" w:rsidRDefault="001A3992" w:rsidP="00107227">
      <w:pPr>
        <w:pStyle w:val="Heading2"/>
        <w:keepNext/>
        <w:spacing w:before="0" w:after="120"/>
        <w:rPr>
          <w:rFonts w:ascii="Times New Roman" w:hAnsi="Times New Roman" w:cs="Times New Roman"/>
          <w:sz w:val="28"/>
          <w:szCs w:val="28"/>
        </w:rPr>
      </w:pPr>
      <w:r w:rsidRPr="00456927">
        <w:rPr>
          <w:rFonts w:ascii="Times New Roman" w:hAnsi="Times New Roman" w:cs="Times New Roman"/>
          <w:sz w:val="28"/>
          <w:szCs w:val="28"/>
        </w:rPr>
        <w:t>Fertility, pregnancy and lactation</w:t>
      </w:r>
    </w:p>
    <w:p w14:paraId="21FDEA3E" w14:textId="77777777" w:rsidR="001A3992" w:rsidRPr="00456927" w:rsidRDefault="001A3992" w:rsidP="001A3992">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Effects on fertility</w:t>
      </w:r>
    </w:p>
    <w:p w14:paraId="75880C37" w14:textId="749EDE1D" w:rsidR="00F613B1" w:rsidRPr="00456927" w:rsidRDefault="00F613B1" w:rsidP="00F613B1">
      <w:pPr>
        <w:pStyle w:val="DocumentText"/>
      </w:pPr>
      <w:r w:rsidRPr="00456927">
        <w:t xml:space="preserve">Male and female fertility were unaffected based upon a lack of adverse findings on mating, fecundity, fertility indices, maternal reproductive parameters, embryo survival or sperm assessment in sexually mature rabbits that received garadacimab up to doses of 100 mg/kg IV once every 3 days (resulting in approximately </w:t>
      </w:r>
      <w:r w:rsidR="009A364C" w:rsidRPr="00456927">
        <w:t>103</w:t>
      </w:r>
      <w:r w:rsidRPr="00456927">
        <w:t xml:space="preserve">- and </w:t>
      </w:r>
      <w:r w:rsidR="00756772" w:rsidRPr="00456927">
        <w:t>83</w:t>
      </w:r>
      <w:r w:rsidRPr="00456927">
        <w:t>-fold for males and females, respectively, the clinical exposure at the recommended human dose of 200 mg SC once monthly based on AUC).</w:t>
      </w:r>
    </w:p>
    <w:p w14:paraId="25100E63" w14:textId="4A58F0D7" w:rsidR="000249A1" w:rsidRPr="00456927" w:rsidRDefault="00CC6807" w:rsidP="00CC6807">
      <w:pPr>
        <w:pStyle w:val="DocumentText"/>
      </w:pPr>
      <w:r w:rsidRPr="00456927">
        <w:lastRenderedPageBreak/>
        <w:t>Effect on fertility has not been evaluated in humans.</w:t>
      </w:r>
    </w:p>
    <w:p w14:paraId="7404B8D7" w14:textId="77777777" w:rsidR="001A3992" w:rsidRPr="00456927" w:rsidRDefault="001A3992" w:rsidP="001A3992">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Use in pregnancy</w:t>
      </w:r>
    </w:p>
    <w:p w14:paraId="5FD8CABC" w14:textId="77EC9201" w:rsidR="003B68C7" w:rsidRPr="00456927" w:rsidRDefault="003B68C7" w:rsidP="003157FD">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Category B1.</w:t>
      </w:r>
    </w:p>
    <w:p w14:paraId="4B08B57E" w14:textId="5A90B417" w:rsidR="003157FD" w:rsidRDefault="00117FE8" w:rsidP="003157FD">
      <w:pPr>
        <w:spacing w:after="240" w:line="300" w:lineRule="auto"/>
        <w:rPr>
          <w:rFonts w:ascii="Times New Roman" w:eastAsia="Times New Roman" w:hAnsi="Times New Roman" w:cs="Times New Roman"/>
          <w:kern w:val="24"/>
          <w:sz w:val="24"/>
          <w:szCs w:val="24"/>
          <w:lang w:val="en-US"/>
        </w:rPr>
      </w:pPr>
      <w:r w:rsidRPr="00577414">
        <w:rPr>
          <w:rFonts w:ascii="Times New Roman" w:eastAsia="Times New Roman" w:hAnsi="Times New Roman" w:cs="Times New Roman"/>
          <w:kern w:val="24"/>
          <w:sz w:val="24"/>
          <w:szCs w:val="24"/>
          <w:lang w:val="en-US"/>
        </w:rPr>
        <w:t xml:space="preserve">There are limited data from the use of </w:t>
      </w:r>
      <w:r w:rsidR="00D024E9" w:rsidRPr="00577414">
        <w:rPr>
          <w:rFonts w:ascii="Times New Roman" w:eastAsia="Times New Roman" w:hAnsi="Times New Roman" w:cs="Times New Roman"/>
          <w:kern w:val="24"/>
          <w:sz w:val="24"/>
          <w:szCs w:val="24"/>
          <w:lang w:val="en-US"/>
        </w:rPr>
        <w:t>ANDEMBRY</w:t>
      </w:r>
      <w:r w:rsidR="00D368D4" w:rsidRPr="00577414">
        <w:rPr>
          <w:rFonts w:ascii="Times New Roman" w:eastAsia="Times New Roman" w:hAnsi="Times New Roman" w:cs="Times New Roman"/>
          <w:kern w:val="24"/>
          <w:sz w:val="24"/>
          <w:szCs w:val="24"/>
          <w:vertAlign w:val="superscript"/>
          <w:lang w:val="en-US"/>
        </w:rPr>
        <w:t>®</w:t>
      </w:r>
      <w:r w:rsidRPr="00577414">
        <w:rPr>
          <w:rFonts w:ascii="Times New Roman" w:eastAsia="Times New Roman" w:hAnsi="Times New Roman" w:cs="Times New Roman"/>
          <w:kern w:val="24"/>
          <w:sz w:val="24"/>
          <w:szCs w:val="24"/>
          <w:lang w:val="en-US"/>
        </w:rPr>
        <w:t xml:space="preserve"> in pregnant women. </w:t>
      </w:r>
      <w:r w:rsidR="00577414" w:rsidRPr="00577414">
        <w:rPr>
          <w:rFonts w:ascii="Times New Roman" w:eastAsia="Times New Roman" w:hAnsi="Times New Roman" w:cs="Times New Roman"/>
          <w:sz w:val="24"/>
          <w:szCs w:val="24"/>
          <w:lang w:val="en-US"/>
        </w:rPr>
        <w:t>A risk to the pregnant woman or developing fetus cannot be excluded. A decision should be made whether to initiate or discontinue treatment with ANDEMBRY</w:t>
      </w:r>
      <w:r w:rsidR="00577414" w:rsidRPr="00577414">
        <w:rPr>
          <w:rFonts w:ascii="Times New Roman" w:eastAsia="Times New Roman" w:hAnsi="Times New Roman" w:cs="Times New Roman"/>
          <w:kern w:val="24"/>
          <w:sz w:val="24"/>
          <w:szCs w:val="24"/>
          <w:vertAlign w:val="superscript"/>
          <w:lang w:val="en-US"/>
        </w:rPr>
        <w:t>®</w:t>
      </w:r>
      <w:r w:rsidR="00577414" w:rsidRPr="00577414">
        <w:rPr>
          <w:rFonts w:ascii="Times New Roman" w:eastAsia="Times New Roman" w:hAnsi="Times New Roman" w:cs="Times New Roman"/>
          <w:sz w:val="24"/>
          <w:szCs w:val="24"/>
          <w:lang w:val="en-US"/>
        </w:rPr>
        <w:t xml:space="preserve">, taking into account the risk/benefit of therapy. </w:t>
      </w:r>
      <w:r w:rsidRPr="00577414">
        <w:rPr>
          <w:rFonts w:ascii="Times New Roman" w:eastAsia="Times New Roman" w:hAnsi="Times New Roman" w:cs="Times New Roman"/>
          <w:kern w:val="24"/>
          <w:sz w:val="24"/>
          <w:szCs w:val="24"/>
          <w:lang w:val="en-US"/>
        </w:rPr>
        <w:t xml:space="preserve">Monoclonal antibodies such as garadacimab are transported across the placenta </w:t>
      </w:r>
      <w:r w:rsidR="005C3BC7" w:rsidRPr="00577414">
        <w:rPr>
          <w:rFonts w:ascii="Times New Roman" w:eastAsia="Times New Roman" w:hAnsi="Times New Roman" w:cs="Times New Roman"/>
          <w:kern w:val="24"/>
          <w:sz w:val="24"/>
          <w:szCs w:val="24"/>
          <w:lang w:val="en-US"/>
        </w:rPr>
        <w:t xml:space="preserve">mainly </w:t>
      </w:r>
      <w:r w:rsidRPr="00577414">
        <w:rPr>
          <w:rFonts w:ascii="Times New Roman" w:eastAsia="Times New Roman" w:hAnsi="Times New Roman" w:cs="Times New Roman"/>
          <w:kern w:val="24"/>
          <w:sz w:val="24"/>
          <w:szCs w:val="24"/>
          <w:lang w:val="en-US"/>
        </w:rPr>
        <w:t xml:space="preserve">during the third trimester of pregnancy; therefore, potential effects on a fetus are </w:t>
      </w:r>
      <w:r w:rsidRPr="00456927">
        <w:rPr>
          <w:rFonts w:ascii="Times New Roman" w:eastAsia="Times New Roman" w:hAnsi="Times New Roman" w:cs="Times New Roman"/>
          <w:kern w:val="24"/>
          <w:sz w:val="24"/>
          <w:szCs w:val="24"/>
          <w:lang w:val="en-US"/>
        </w:rPr>
        <w:t xml:space="preserve">likely to be greater during the third trimester of pregnancy. </w:t>
      </w:r>
      <w:r w:rsidR="00AF6272" w:rsidRPr="00456927">
        <w:rPr>
          <w:rFonts w:ascii="Times New Roman" w:eastAsia="Times New Roman" w:hAnsi="Times New Roman" w:cs="Times New Roman"/>
          <w:kern w:val="24"/>
          <w:sz w:val="24"/>
          <w:szCs w:val="24"/>
          <w:lang w:val="en-US"/>
        </w:rPr>
        <w:t xml:space="preserve">No adverse effects were reported in a rabbit embryofetal development study where </w:t>
      </w:r>
      <w:r w:rsidR="003758D8" w:rsidRPr="00456927">
        <w:rPr>
          <w:rFonts w:ascii="Times New Roman" w:eastAsia="Times New Roman" w:hAnsi="Times New Roman" w:cs="Times New Roman"/>
          <w:kern w:val="24"/>
          <w:sz w:val="24"/>
          <w:szCs w:val="24"/>
          <w:lang w:val="en-US"/>
        </w:rPr>
        <w:t>IV</w:t>
      </w:r>
      <w:r w:rsidR="00AF6272" w:rsidRPr="00456927">
        <w:rPr>
          <w:rFonts w:ascii="Times New Roman" w:eastAsia="Times New Roman" w:hAnsi="Times New Roman" w:cs="Times New Roman"/>
          <w:kern w:val="24"/>
          <w:sz w:val="24"/>
          <w:szCs w:val="24"/>
          <w:lang w:val="en-US"/>
        </w:rPr>
        <w:t xml:space="preserve"> doses up to 100 mg/kg (10</w:t>
      </w:r>
      <w:r w:rsidR="003758D8" w:rsidRPr="00456927">
        <w:rPr>
          <w:rFonts w:ascii="Times New Roman" w:eastAsia="Times New Roman" w:hAnsi="Times New Roman" w:cs="Times New Roman"/>
          <w:kern w:val="24"/>
          <w:sz w:val="24"/>
          <w:szCs w:val="24"/>
          <w:lang w:val="en-US"/>
        </w:rPr>
        <w:t>4</w:t>
      </w:r>
      <w:r w:rsidR="00AF6272" w:rsidRPr="00456927">
        <w:rPr>
          <w:rFonts w:ascii="Times New Roman" w:eastAsia="Times New Roman" w:hAnsi="Times New Roman" w:cs="Times New Roman"/>
          <w:kern w:val="24"/>
          <w:sz w:val="24"/>
          <w:szCs w:val="24"/>
          <w:lang w:val="en-US"/>
        </w:rPr>
        <w:t xml:space="preserve">-fold maximum clinical exposure based on AUC) were administered during organogenesis. </w:t>
      </w:r>
      <w:r w:rsidRPr="00456927">
        <w:rPr>
          <w:rFonts w:ascii="Times New Roman" w:eastAsia="Times New Roman" w:hAnsi="Times New Roman" w:cs="Times New Roman"/>
          <w:kern w:val="24"/>
          <w:sz w:val="24"/>
          <w:szCs w:val="24"/>
          <w:lang w:val="en-US"/>
        </w:rPr>
        <w:t>A pre- and post</w:t>
      </w:r>
      <w:r w:rsidR="004C088D" w:rsidRPr="00456927">
        <w:rPr>
          <w:rFonts w:ascii="Times New Roman" w:eastAsia="Times New Roman" w:hAnsi="Times New Roman" w:cs="Times New Roman"/>
          <w:kern w:val="24"/>
          <w:sz w:val="24"/>
          <w:szCs w:val="24"/>
          <w:lang w:val="en-US"/>
        </w:rPr>
        <w:t>-</w:t>
      </w:r>
      <w:r w:rsidRPr="00456927">
        <w:rPr>
          <w:rFonts w:ascii="Times New Roman" w:eastAsia="Times New Roman" w:hAnsi="Times New Roman" w:cs="Times New Roman"/>
          <w:kern w:val="24"/>
          <w:sz w:val="24"/>
          <w:szCs w:val="24"/>
          <w:lang w:val="en-US"/>
        </w:rPr>
        <w:t xml:space="preserve">natal development study conducted in pregnant rabbits at </w:t>
      </w:r>
      <w:r w:rsidR="00A24D21" w:rsidRPr="00456927">
        <w:rPr>
          <w:rFonts w:ascii="Times New Roman" w:eastAsia="Times New Roman" w:hAnsi="Times New Roman" w:cs="Times New Roman"/>
          <w:kern w:val="24"/>
          <w:sz w:val="24"/>
          <w:szCs w:val="24"/>
          <w:lang w:val="en-US"/>
        </w:rPr>
        <w:t>SC</w:t>
      </w:r>
      <w:r w:rsidRPr="00456927">
        <w:rPr>
          <w:rFonts w:ascii="Times New Roman" w:eastAsia="Times New Roman" w:hAnsi="Times New Roman" w:cs="Times New Roman"/>
          <w:kern w:val="24"/>
          <w:sz w:val="24"/>
          <w:szCs w:val="24"/>
          <w:lang w:val="en-US"/>
        </w:rPr>
        <w:t xml:space="preserve"> doses </w:t>
      </w:r>
      <w:r w:rsidR="004A151F" w:rsidRPr="00456927">
        <w:rPr>
          <w:rFonts w:ascii="Times New Roman" w:eastAsia="Times New Roman" w:hAnsi="Times New Roman" w:cs="Times New Roman"/>
          <w:kern w:val="24"/>
          <w:sz w:val="24"/>
          <w:szCs w:val="24"/>
          <w:lang w:val="en-US"/>
        </w:rPr>
        <w:t xml:space="preserve">up to 100 mg/kg/dose </w:t>
      </w:r>
      <w:r w:rsidR="00AF6272" w:rsidRPr="00456927">
        <w:rPr>
          <w:rFonts w:ascii="Times New Roman" w:eastAsia="Times New Roman" w:hAnsi="Times New Roman" w:cs="Times New Roman"/>
          <w:kern w:val="24"/>
          <w:sz w:val="24"/>
          <w:szCs w:val="24"/>
          <w:lang w:val="en-US"/>
        </w:rPr>
        <w:t xml:space="preserve">from implantation through weaning </w:t>
      </w:r>
      <w:r w:rsidRPr="00456927">
        <w:rPr>
          <w:rFonts w:ascii="Times New Roman" w:eastAsia="Times New Roman" w:hAnsi="Times New Roman" w:cs="Times New Roman"/>
          <w:kern w:val="24"/>
          <w:sz w:val="24"/>
          <w:szCs w:val="24"/>
          <w:lang w:val="en-US"/>
        </w:rPr>
        <w:t xml:space="preserve">resulting in exposures of approximately 53 times the </w:t>
      </w:r>
      <w:r w:rsidR="00573F60" w:rsidRPr="00456927">
        <w:rPr>
          <w:rFonts w:ascii="Times New Roman" w:eastAsia="Times New Roman" w:hAnsi="Times New Roman" w:cs="Times New Roman"/>
          <w:kern w:val="24"/>
          <w:sz w:val="24"/>
          <w:szCs w:val="24"/>
          <w:lang w:val="en-US"/>
        </w:rPr>
        <w:t>maximum clinical exposure</w:t>
      </w:r>
      <w:r w:rsidRPr="00456927">
        <w:rPr>
          <w:rFonts w:ascii="Times New Roman" w:eastAsia="Times New Roman" w:hAnsi="Times New Roman" w:cs="Times New Roman"/>
          <w:kern w:val="24"/>
          <w:sz w:val="24"/>
          <w:szCs w:val="24"/>
          <w:lang w:val="en-US"/>
        </w:rPr>
        <w:t xml:space="preserve"> (</w:t>
      </w:r>
      <w:r w:rsidR="00573F60" w:rsidRPr="00456927">
        <w:rPr>
          <w:rFonts w:ascii="Times New Roman" w:eastAsia="Times New Roman" w:hAnsi="Times New Roman" w:cs="Times New Roman"/>
          <w:kern w:val="24"/>
          <w:sz w:val="24"/>
          <w:szCs w:val="24"/>
          <w:lang w:val="en-US"/>
        </w:rPr>
        <w:t xml:space="preserve">based </w:t>
      </w:r>
      <w:r w:rsidRPr="00456927">
        <w:rPr>
          <w:rFonts w:ascii="Times New Roman" w:eastAsia="Times New Roman" w:hAnsi="Times New Roman" w:cs="Times New Roman"/>
          <w:kern w:val="24"/>
          <w:sz w:val="24"/>
          <w:szCs w:val="24"/>
          <w:lang w:val="en-US"/>
        </w:rPr>
        <w:t>on AUC</w:t>
      </w:r>
      <w:r w:rsidR="004A151F" w:rsidRPr="00456927">
        <w:rPr>
          <w:rFonts w:ascii="Times New Roman" w:eastAsia="Times New Roman" w:hAnsi="Times New Roman" w:cs="Times New Roman"/>
          <w:kern w:val="24"/>
          <w:sz w:val="24"/>
          <w:szCs w:val="24"/>
          <w:lang w:val="en-US"/>
        </w:rPr>
        <w:t>)</w:t>
      </w:r>
      <w:r w:rsidRPr="00456927">
        <w:rPr>
          <w:rFonts w:ascii="Times New Roman" w:eastAsia="Times New Roman" w:hAnsi="Times New Roman" w:cs="Times New Roman"/>
          <w:kern w:val="24"/>
          <w:sz w:val="24"/>
          <w:szCs w:val="24"/>
          <w:lang w:val="en-US"/>
        </w:rPr>
        <w:t xml:space="preserve"> revealed no evidence of harm to the developing fetus </w:t>
      </w:r>
      <w:r w:rsidR="00573F60" w:rsidRPr="00456927">
        <w:rPr>
          <w:rFonts w:ascii="Times New Roman" w:eastAsia="Times New Roman" w:hAnsi="Times New Roman" w:cs="Times New Roman"/>
          <w:kern w:val="24"/>
          <w:sz w:val="24"/>
          <w:szCs w:val="24"/>
          <w:lang w:val="en-US"/>
        </w:rPr>
        <w:t>or subsequent F1 offspring</w:t>
      </w:r>
      <w:r w:rsidRPr="00456927">
        <w:rPr>
          <w:rFonts w:ascii="Times New Roman" w:eastAsia="Times New Roman" w:hAnsi="Times New Roman" w:cs="Times New Roman"/>
          <w:kern w:val="24"/>
          <w:sz w:val="24"/>
          <w:szCs w:val="24"/>
          <w:lang w:val="en-US"/>
        </w:rPr>
        <w:t>.</w:t>
      </w:r>
    </w:p>
    <w:p w14:paraId="28276CCE" w14:textId="77777777" w:rsidR="001A3992" w:rsidRPr="00456927" w:rsidRDefault="001A3992" w:rsidP="001A3992">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Use in</w:t>
      </w:r>
      <w:r w:rsidR="00107227" w:rsidRPr="00456927">
        <w:rPr>
          <w:rFonts w:ascii="Times New Roman" w:hAnsi="Times New Roman" w:cs="Times New Roman"/>
          <w:sz w:val="28"/>
          <w:szCs w:val="28"/>
        </w:rPr>
        <w:t xml:space="preserve"> lactation</w:t>
      </w:r>
    </w:p>
    <w:p w14:paraId="0B85E000" w14:textId="20EC69E9" w:rsidR="00173101" w:rsidRPr="00456927" w:rsidRDefault="00117FE8" w:rsidP="00173101">
      <w:pPr>
        <w:pStyle w:val="DocumentText"/>
      </w:pPr>
      <w:r w:rsidRPr="00456927">
        <w:t xml:space="preserve">It is unknown whether </w:t>
      </w:r>
      <w:r w:rsidR="00D024E9" w:rsidRPr="00456927">
        <w:t>ANDEMBRY</w:t>
      </w:r>
      <w:r w:rsidR="00D368D4" w:rsidRPr="00456927">
        <w:rPr>
          <w:vertAlign w:val="superscript"/>
        </w:rPr>
        <w:t>®</w:t>
      </w:r>
      <w:r w:rsidRPr="00456927">
        <w:t xml:space="preserve"> is excreted in human milk. Human IgG are known to be excreted in breast milk during the first few days after birth, and decrease to low concentrations soon afterwards</w:t>
      </w:r>
      <w:r w:rsidR="005C3BC7" w:rsidRPr="00456927">
        <w:t xml:space="preserve">. The developmental and health benefits of breastfeeding should be considered along with the mother’s clinical need for </w:t>
      </w:r>
      <w:r w:rsidR="00D024E9" w:rsidRPr="00456927">
        <w:t>ANDEMBRY</w:t>
      </w:r>
      <w:r w:rsidR="00D368D4" w:rsidRPr="00456927">
        <w:rPr>
          <w:vertAlign w:val="superscript"/>
        </w:rPr>
        <w:t>®</w:t>
      </w:r>
      <w:r w:rsidR="005C3BC7" w:rsidRPr="00456927">
        <w:t xml:space="preserve"> and any potential adverse effects on the breastfed infant from </w:t>
      </w:r>
      <w:r w:rsidR="00D024E9" w:rsidRPr="00456927">
        <w:t>ANDEMBRY</w:t>
      </w:r>
      <w:r w:rsidR="00D368D4" w:rsidRPr="00456927">
        <w:rPr>
          <w:vertAlign w:val="superscript"/>
        </w:rPr>
        <w:t>®</w:t>
      </w:r>
      <w:r w:rsidR="005C3BC7" w:rsidRPr="00456927">
        <w:t xml:space="preserve"> or the underlying condition.</w:t>
      </w:r>
    </w:p>
    <w:p w14:paraId="29EF0637" w14:textId="77777777" w:rsidR="001A3992" w:rsidRPr="00456927" w:rsidRDefault="001A3992" w:rsidP="001A3992">
      <w:pPr>
        <w:pStyle w:val="Heading2"/>
        <w:spacing w:before="0" w:after="120"/>
        <w:rPr>
          <w:rFonts w:ascii="Times New Roman" w:hAnsi="Times New Roman" w:cs="Times New Roman"/>
          <w:sz w:val="28"/>
          <w:szCs w:val="28"/>
        </w:rPr>
      </w:pPr>
      <w:r w:rsidRPr="00456927">
        <w:rPr>
          <w:rFonts w:ascii="Times New Roman" w:hAnsi="Times New Roman" w:cs="Times New Roman"/>
          <w:sz w:val="28"/>
          <w:szCs w:val="28"/>
        </w:rPr>
        <w:t>Effects on ab</w:t>
      </w:r>
      <w:r w:rsidR="008B0AD2" w:rsidRPr="00456927">
        <w:rPr>
          <w:rFonts w:ascii="Times New Roman" w:hAnsi="Times New Roman" w:cs="Times New Roman"/>
          <w:sz w:val="28"/>
          <w:szCs w:val="28"/>
        </w:rPr>
        <w:t>ility to drive and use machines</w:t>
      </w:r>
    </w:p>
    <w:p w14:paraId="51CE37E2" w14:textId="28A7D122" w:rsidR="00EA0500" w:rsidRPr="00456927" w:rsidRDefault="00D024E9" w:rsidP="000249A1">
      <w:pPr>
        <w:autoSpaceDE w:val="0"/>
        <w:autoSpaceDN w:val="0"/>
        <w:adjustRightInd w:val="0"/>
        <w:spacing w:after="240" w:line="300" w:lineRule="auto"/>
        <w:rPr>
          <w:rFonts w:ascii="Times New Roman" w:eastAsia="Times New Roman" w:hAnsi="Times New Roman" w:cs="Times New Roman"/>
          <w:kern w:val="24"/>
          <w:sz w:val="24"/>
          <w:szCs w:val="24"/>
        </w:rPr>
      </w:pPr>
      <w:r w:rsidRPr="00456927">
        <w:rPr>
          <w:rFonts w:ascii="Times New Roman" w:eastAsia="Times New Roman" w:hAnsi="Times New Roman" w:cs="Times New Roman"/>
          <w:kern w:val="24"/>
          <w:sz w:val="24"/>
          <w:szCs w:val="24"/>
          <w:lang w:val="en-US"/>
        </w:rPr>
        <w:t>ANDEMBRY</w:t>
      </w:r>
      <w:r w:rsidR="00D368D4" w:rsidRPr="00456927">
        <w:rPr>
          <w:rFonts w:ascii="Times New Roman" w:eastAsia="Times New Roman" w:hAnsi="Times New Roman" w:cs="Times New Roman"/>
          <w:kern w:val="24"/>
          <w:sz w:val="24"/>
          <w:szCs w:val="24"/>
          <w:vertAlign w:val="superscript"/>
          <w:lang w:val="en-US"/>
        </w:rPr>
        <w:t>®</w:t>
      </w:r>
      <w:r w:rsidR="00682952" w:rsidRPr="00456927">
        <w:rPr>
          <w:rFonts w:ascii="Times New Roman" w:eastAsia="Times New Roman" w:hAnsi="Times New Roman" w:cs="Times New Roman"/>
          <w:kern w:val="24"/>
          <w:sz w:val="24"/>
          <w:szCs w:val="24"/>
        </w:rPr>
        <w:t xml:space="preserve"> </w:t>
      </w:r>
      <w:r w:rsidR="00356E6E" w:rsidRPr="00456927">
        <w:rPr>
          <w:rFonts w:ascii="Times New Roman" w:eastAsia="Times New Roman" w:hAnsi="Times New Roman" w:cs="Times New Roman"/>
          <w:kern w:val="24"/>
          <w:sz w:val="24"/>
          <w:szCs w:val="24"/>
        </w:rPr>
        <w:t>has negligible influence on t</w:t>
      </w:r>
      <w:r w:rsidR="000249A1" w:rsidRPr="00456927">
        <w:rPr>
          <w:rFonts w:ascii="Times New Roman" w:eastAsia="Times New Roman" w:hAnsi="Times New Roman" w:cs="Times New Roman"/>
          <w:kern w:val="24"/>
          <w:sz w:val="24"/>
          <w:szCs w:val="24"/>
        </w:rPr>
        <w:t xml:space="preserve">he ability to drive </w:t>
      </w:r>
      <w:r w:rsidR="004F171E" w:rsidRPr="00456927">
        <w:rPr>
          <w:rFonts w:ascii="Times New Roman" w:eastAsia="Times New Roman" w:hAnsi="Times New Roman" w:cs="Times New Roman"/>
          <w:kern w:val="24"/>
          <w:sz w:val="24"/>
          <w:szCs w:val="24"/>
        </w:rPr>
        <w:t>or</w:t>
      </w:r>
      <w:r w:rsidR="000249A1" w:rsidRPr="00456927">
        <w:rPr>
          <w:rFonts w:ascii="Times New Roman" w:eastAsia="Times New Roman" w:hAnsi="Times New Roman" w:cs="Times New Roman"/>
          <w:kern w:val="24"/>
          <w:sz w:val="24"/>
          <w:szCs w:val="24"/>
        </w:rPr>
        <w:t xml:space="preserve"> </w:t>
      </w:r>
      <w:r w:rsidR="00356E6E" w:rsidRPr="00456927">
        <w:rPr>
          <w:rFonts w:ascii="Times New Roman" w:eastAsia="Times New Roman" w:hAnsi="Times New Roman" w:cs="Times New Roman"/>
          <w:kern w:val="24"/>
          <w:sz w:val="24"/>
          <w:szCs w:val="24"/>
        </w:rPr>
        <w:t>use</w:t>
      </w:r>
      <w:r w:rsidR="000249A1" w:rsidRPr="00456927">
        <w:rPr>
          <w:rFonts w:ascii="Times New Roman" w:eastAsia="Times New Roman" w:hAnsi="Times New Roman" w:cs="Times New Roman"/>
          <w:kern w:val="24"/>
          <w:sz w:val="24"/>
          <w:szCs w:val="24"/>
        </w:rPr>
        <w:t xml:space="preserve"> machines</w:t>
      </w:r>
      <w:r w:rsidR="00EA0500" w:rsidRPr="00456927">
        <w:rPr>
          <w:rFonts w:ascii="Times New Roman" w:eastAsia="Times New Roman" w:hAnsi="Times New Roman" w:cs="Times New Roman"/>
          <w:kern w:val="24"/>
          <w:sz w:val="24"/>
          <w:szCs w:val="24"/>
        </w:rPr>
        <w:t>.</w:t>
      </w:r>
    </w:p>
    <w:p w14:paraId="6F42B303" w14:textId="77777777" w:rsidR="001A3992" w:rsidRPr="00456927" w:rsidRDefault="001A3992" w:rsidP="001A3992">
      <w:pPr>
        <w:pStyle w:val="Heading2"/>
        <w:keepNext/>
        <w:keepLines/>
        <w:spacing w:before="0" w:after="120"/>
        <w:rPr>
          <w:rFonts w:ascii="Times New Roman" w:hAnsi="Times New Roman" w:cs="Times New Roman"/>
          <w:sz w:val="28"/>
          <w:szCs w:val="28"/>
        </w:rPr>
      </w:pPr>
      <w:r w:rsidRPr="00456927">
        <w:rPr>
          <w:rFonts w:ascii="Times New Roman" w:hAnsi="Times New Roman" w:cs="Times New Roman"/>
          <w:sz w:val="28"/>
          <w:szCs w:val="28"/>
        </w:rPr>
        <w:t>Adverse effects (Undesirable effects)</w:t>
      </w:r>
    </w:p>
    <w:p w14:paraId="6CDA7917" w14:textId="02F2C452" w:rsidR="00EA0500" w:rsidRPr="00456927" w:rsidRDefault="004F171E" w:rsidP="00EA0500">
      <w:pPr>
        <w:pStyle w:val="Heading3"/>
        <w:tabs>
          <w:tab w:val="left" w:pos="1642"/>
        </w:tabs>
        <w:spacing w:before="0" w:after="120"/>
        <w:ind w:left="720" w:hanging="720"/>
        <w:rPr>
          <w:rFonts w:ascii="Times New Roman" w:eastAsia="Times New Roman" w:hAnsi="Times New Roman" w:cs="Times New Roman"/>
          <w:bCs w:val="0"/>
          <w:kern w:val="28"/>
          <w:sz w:val="28"/>
          <w:szCs w:val="28"/>
          <w:lang w:val="en-US"/>
        </w:rPr>
      </w:pPr>
      <w:r w:rsidRPr="00456927">
        <w:rPr>
          <w:rFonts w:ascii="Times New Roman" w:eastAsia="Times New Roman" w:hAnsi="Times New Roman" w:cs="Times New Roman"/>
          <w:bCs w:val="0"/>
          <w:kern w:val="28"/>
          <w:sz w:val="28"/>
          <w:szCs w:val="28"/>
          <w:lang w:val="en-US"/>
        </w:rPr>
        <w:t>Summary of the safety profile</w:t>
      </w:r>
    </w:p>
    <w:p w14:paraId="14646311" w14:textId="490ED5C0" w:rsidR="00EA0500" w:rsidRPr="00456927" w:rsidRDefault="004F171E" w:rsidP="004F171E">
      <w:pPr>
        <w:autoSpaceDE w:val="0"/>
        <w:autoSpaceDN w:val="0"/>
        <w:adjustRightInd w:val="0"/>
        <w:spacing w:after="240" w:line="300" w:lineRule="auto"/>
        <w:rPr>
          <w:rFonts w:ascii="Times New Roman" w:eastAsia="Times New Roman" w:hAnsi="Times New Roman" w:cs="Times New Roman"/>
          <w:kern w:val="24"/>
          <w:sz w:val="24"/>
          <w:szCs w:val="24"/>
        </w:rPr>
      </w:pPr>
      <w:r w:rsidRPr="00456927">
        <w:rPr>
          <w:rFonts w:ascii="Times New Roman" w:eastAsia="Times New Roman" w:hAnsi="Times New Roman" w:cs="Times New Roman"/>
          <w:kern w:val="24"/>
          <w:sz w:val="24"/>
          <w:szCs w:val="24"/>
        </w:rPr>
        <w:t xml:space="preserve">The most commonly observed adverse reactions (5.1%) associated with </w:t>
      </w:r>
      <w:r w:rsidR="00D024E9" w:rsidRPr="00456927">
        <w:rPr>
          <w:rFonts w:ascii="Times New Roman" w:eastAsia="Times New Roman" w:hAnsi="Times New Roman" w:cs="Times New Roman"/>
          <w:kern w:val="24"/>
          <w:sz w:val="24"/>
          <w:szCs w:val="24"/>
          <w:lang w:val="en-US"/>
        </w:rPr>
        <w:t>ANDEMBRY</w:t>
      </w:r>
      <w:r w:rsidR="00D368D4"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rPr>
        <w:t xml:space="preserve"> were injection site reactions (ISRs) including injection site erythema, injection site bruising and injection site pruritus. All these ISRs were mild </w:t>
      </w:r>
      <w:r w:rsidR="004A151F" w:rsidRPr="00456927">
        <w:rPr>
          <w:rFonts w:ascii="Times New Roman" w:eastAsia="Times New Roman" w:hAnsi="Times New Roman" w:cs="Times New Roman"/>
          <w:kern w:val="24"/>
          <w:sz w:val="24"/>
          <w:szCs w:val="24"/>
        </w:rPr>
        <w:t>in nature</w:t>
      </w:r>
      <w:r w:rsidRPr="00456927">
        <w:rPr>
          <w:rFonts w:ascii="Times New Roman" w:eastAsia="Times New Roman" w:hAnsi="Times New Roman" w:cs="Times New Roman"/>
          <w:kern w:val="24"/>
          <w:sz w:val="24"/>
          <w:szCs w:val="24"/>
        </w:rPr>
        <w:t xml:space="preserve"> and resolved within 1–3 days with no change in dosage.</w:t>
      </w:r>
    </w:p>
    <w:p w14:paraId="6A393274" w14:textId="6598AF03" w:rsidR="00EA0500" w:rsidRPr="00456927" w:rsidRDefault="00EA0500" w:rsidP="00093BA2">
      <w:pPr>
        <w:pStyle w:val="Heading3"/>
        <w:tabs>
          <w:tab w:val="left" w:pos="1642"/>
        </w:tabs>
        <w:spacing w:before="0" w:after="120"/>
        <w:rPr>
          <w:rFonts w:ascii="Times New Roman" w:eastAsia="Times New Roman" w:hAnsi="Times New Roman" w:cs="Times New Roman"/>
          <w:bCs w:val="0"/>
          <w:kern w:val="28"/>
          <w:sz w:val="28"/>
          <w:szCs w:val="28"/>
          <w:lang w:val="en-US"/>
        </w:rPr>
      </w:pPr>
      <w:r w:rsidRPr="00456927">
        <w:rPr>
          <w:rFonts w:ascii="Times New Roman" w:eastAsia="Times New Roman" w:hAnsi="Times New Roman" w:cs="Times New Roman"/>
          <w:bCs w:val="0"/>
          <w:kern w:val="28"/>
          <w:sz w:val="28"/>
          <w:szCs w:val="28"/>
          <w:lang w:val="en-US"/>
        </w:rPr>
        <w:lastRenderedPageBreak/>
        <w:t xml:space="preserve">Tabulated </w:t>
      </w:r>
      <w:r w:rsidR="004F171E" w:rsidRPr="00456927">
        <w:rPr>
          <w:rFonts w:ascii="Times New Roman" w:eastAsia="Times New Roman" w:hAnsi="Times New Roman" w:cs="Times New Roman"/>
          <w:bCs w:val="0"/>
          <w:kern w:val="28"/>
          <w:sz w:val="28"/>
          <w:szCs w:val="28"/>
          <w:lang w:val="en-US"/>
        </w:rPr>
        <w:t>list</w:t>
      </w:r>
      <w:r w:rsidRPr="00456927">
        <w:rPr>
          <w:rFonts w:ascii="Times New Roman" w:eastAsia="Times New Roman" w:hAnsi="Times New Roman" w:cs="Times New Roman"/>
          <w:bCs w:val="0"/>
          <w:kern w:val="28"/>
          <w:sz w:val="28"/>
          <w:szCs w:val="28"/>
          <w:lang w:val="en-US"/>
        </w:rPr>
        <w:t xml:space="preserve"> of </w:t>
      </w:r>
      <w:r w:rsidR="00646C7A">
        <w:rPr>
          <w:rFonts w:ascii="Times New Roman" w:eastAsia="Times New Roman" w:hAnsi="Times New Roman" w:cs="Times New Roman"/>
          <w:bCs w:val="0"/>
          <w:kern w:val="28"/>
          <w:sz w:val="28"/>
          <w:szCs w:val="28"/>
          <w:lang w:val="en-US"/>
        </w:rPr>
        <w:t xml:space="preserve">treatment-emergent adverse events and </w:t>
      </w:r>
      <w:r w:rsidRPr="00456927">
        <w:rPr>
          <w:rFonts w:ascii="Times New Roman" w:eastAsia="Times New Roman" w:hAnsi="Times New Roman" w:cs="Times New Roman"/>
          <w:bCs w:val="0"/>
          <w:kern w:val="28"/>
          <w:sz w:val="28"/>
          <w:szCs w:val="28"/>
          <w:lang w:val="en-US"/>
        </w:rPr>
        <w:t>adverse reactions</w:t>
      </w:r>
    </w:p>
    <w:p w14:paraId="2AD26363" w14:textId="3353EC53" w:rsidR="00585924" w:rsidRDefault="00A433B3" w:rsidP="0008026F">
      <w:pPr>
        <w:spacing w:after="240" w:line="300" w:lineRule="auto"/>
        <w:rPr>
          <w:rFonts w:ascii="Times New Roman" w:eastAsia="Times New Roman" w:hAnsi="Times New Roman" w:cs="Times New Roman"/>
          <w:kern w:val="24"/>
          <w:sz w:val="24"/>
          <w:szCs w:val="24"/>
        </w:rPr>
      </w:pPr>
      <w:r w:rsidRPr="00456927">
        <w:rPr>
          <w:rFonts w:ascii="Times New Roman" w:eastAsia="Times New Roman" w:hAnsi="Times New Roman" w:cs="Times New Roman"/>
          <w:b/>
          <w:bCs/>
          <w:kern w:val="24"/>
          <w:sz w:val="24"/>
          <w:szCs w:val="24"/>
        </w:rPr>
        <w:t>T</w:t>
      </w:r>
      <w:r w:rsidR="004F171E" w:rsidRPr="00456927">
        <w:rPr>
          <w:rFonts w:ascii="Times New Roman" w:eastAsia="Times New Roman" w:hAnsi="Times New Roman" w:cs="Times New Roman"/>
          <w:b/>
          <w:bCs/>
          <w:kern w:val="24"/>
          <w:sz w:val="24"/>
          <w:szCs w:val="24"/>
        </w:rPr>
        <w:t xml:space="preserve">able </w:t>
      </w:r>
      <w:r w:rsidRPr="00456927">
        <w:rPr>
          <w:rFonts w:ascii="Times New Roman" w:eastAsia="Times New Roman" w:hAnsi="Times New Roman" w:cs="Times New Roman"/>
          <w:b/>
          <w:bCs/>
          <w:kern w:val="24"/>
          <w:sz w:val="24"/>
          <w:szCs w:val="24"/>
        </w:rPr>
        <w:t>1</w:t>
      </w:r>
      <w:r w:rsidR="00646C7A" w:rsidRPr="00FE20B6">
        <w:rPr>
          <w:rFonts w:ascii="Times New Roman" w:eastAsia="Times New Roman" w:hAnsi="Times New Roman" w:cs="Times New Roman"/>
          <w:kern w:val="24"/>
          <w:sz w:val="24"/>
          <w:szCs w:val="24"/>
        </w:rPr>
        <w:t xml:space="preserve"> and </w:t>
      </w:r>
      <w:r w:rsidR="00646C7A">
        <w:rPr>
          <w:rFonts w:ascii="Times New Roman" w:eastAsia="Times New Roman" w:hAnsi="Times New Roman" w:cs="Times New Roman"/>
          <w:b/>
          <w:bCs/>
          <w:kern w:val="24"/>
          <w:sz w:val="24"/>
          <w:szCs w:val="24"/>
        </w:rPr>
        <w:t>Table 2</w:t>
      </w:r>
      <w:r w:rsidR="004F171E" w:rsidRPr="00456927">
        <w:rPr>
          <w:rFonts w:ascii="Times New Roman" w:eastAsia="Times New Roman" w:hAnsi="Times New Roman" w:cs="Times New Roman"/>
          <w:kern w:val="24"/>
          <w:sz w:val="24"/>
          <w:szCs w:val="24"/>
        </w:rPr>
        <w:t xml:space="preserve"> summar</w:t>
      </w:r>
      <w:r w:rsidR="00B85D71" w:rsidRPr="00456927">
        <w:rPr>
          <w:rFonts w:ascii="Times New Roman" w:eastAsia="Times New Roman" w:hAnsi="Times New Roman" w:cs="Times New Roman"/>
          <w:kern w:val="24"/>
          <w:sz w:val="24"/>
          <w:szCs w:val="24"/>
        </w:rPr>
        <w:t>is</w:t>
      </w:r>
      <w:r w:rsidR="004F171E" w:rsidRPr="00456927">
        <w:rPr>
          <w:rFonts w:ascii="Times New Roman" w:eastAsia="Times New Roman" w:hAnsi="Times New Roman" w:cs="Times New Roman"/>
          <w:kern w:val="24"/>
          <w:sz w:val="24"/>
          <w:szCs w:val="24"/>
        </w:rPr>
        <w:t>e</w:t>
      </w:r>
      <w:r w:rsidR="00646C7A">
        <w:rPr>
          <w:rFonts w:ascii="Times New Roman" w:eastAsia="Times New Roman" w:hAnsi="Times New Roman" w:cs="Times New Roman"/>
          <w:kern w:val="24"/>
          <w:sz w:val="24"/>
          <w:szCs w:val="24"/>
        </w:rPr>
        <w:t xml:space="preserve"> treatment-emergent adverse events and</w:t>
      </w:r>
      <w:r w:rsidR="004F171E" w:rsidRPr="00456927">
        <w:rPr>
          <w:rFonts w:ascii="Times New Roman" w:eastAsia="Times New Roman" w:hAnsi="Times New Roman" w:cs="Times New Roman"/>
          <w:kern w:val="24"/>
          <w:sz w:val="24"/>
          <w:szCs w:val="24"/>
        </w:rPr>
        <w:t xml:space="preserve"> adverse reactions observed in </w:t>
      </w:r>
      <w:r w:rsidR="00094B7A" w:rsidRPr="00456927">
        <w:rPr>
          <w:rFonts w:ascii="Times New Roman" w:eastAsia="Times New Roman" w:hAnsi="Times New Roman" w:cs="Times New Roman"/>
          <w:kern w:val="24"/>
          <w:sz w:val="24"/>
          <w:szCs w:val="24"/>
        </w:rPr>
        <w:t xml:space="preserve">the VANGUARD </w:t>
      </w:r>
      <w:r w:rsidR="00F44CB9">
        <w:rPr>
          <w:rFonts w:ascii="Times New Roman" w:eastAsia="Times New Roman" w:hAnsi="Times New Roman" w:cs="Times New Roman"/>
          <w:kern w:val="24"/>
          <w:sz w:val="24"/>
          <w:szCs w:val="24"/>
        </w:rPr>
        <w:t>p</w:t>
      </w:r>
      <w:r w:rsidR="00094B7A" w:rsidRPr="00456927">
        <w:rPr>
          <w:rFonts w:ascii="Times New Roman" w:eastAsia="Times New Roman" w:hAnsi="Times New Roman" w:cs="Times New Roman"/>
          <w:kern w:val="24"/>
          <w:sz w:val="24"/>
          <w:szCs w:val="24"/>
        </w:rPr>
        <w:t xml:space="preserve">ivotal </w:t>
      </w:r>
      <w:r w:rsidR="00F44CB9">
        <w:rPr>
          <w:rFonts w:ascii="Times New Roman" w:eastAsia="Times New Roman" w:hAnsi="Times New Roman" w:cs="Times New Roman"/>
          <w:kern w:val="24"/>
          <w:sz w:val="24"/>
          <w:szCs w:val="24"/>
        </w:rPr>
        <w:t>s</w:t>
      </w:r>
      <w:r w:rsidR="00094B7A" w:rsidRPr="00456927">
        <w:rPr>
          <w:rFonts w:ascii="Times New Roman" w:eastAsia="Times New Roman" w:hAnsi="Times New Roman" w:cs="Times New Roman"/>
          <w:kern w:val="24"/>
          <w:sz w:val="24"/>
          <w:szCs w:val="24"/>
        </w:rPr>
        <w:t>tudy</w:t>
      </w:r>
      <w:r w:rsidR="004F171E" w:rsidRPr="00456927">
        <w:rPr>
          <w:rFonts w:ascii="Times New Roman" w:eastAsia="Times New Roman" w:hAnsi="Times New Roman" w:cs="Times New Roman"/>
          <w:kern w:val="24"/>
          <w:sz w:val="24"/>
          <w:szCs w:val="24"/>
        </w:rPr>
        <w:t xml:space="preserve"> conducted with </w:t>
      </w:r>
      <w:r w:rsidR="00D024E9" w:rsidRPr="00456927">
        <w:rPr>
          <w:rFonts w:ascii="Times New Roman" w:eastAsia="Times New Roman" w:hAnsi="Times New Roman" w:cs="Times New Roman"/>
          <w:kern w:val="24"/>
          <w:sz w:val="24"/>
          <w:szCs w:val="24"/>
          <w:lang w:val="en-US"/>
        </w:rPr>
        <w:t>ANDEMBRY</w:t>
      </w:r>
      <w:r w:rsidR="00D368D4" w:rsidRPr="00456927">
        <w:rPr>
          <w:rFonts w:ascii="Times New Roman" w:eastAsia="Times New Roman" w:hAnsi="Times New Roman" w:cs="Times New Roman"/>
          <w:kern w:val="24"/>
          <w:sz w:val="24"/>
          <w:szCs w:val="24"/>
          <w:vertAlign w:val="superscript"/>
          <w:lang w:val="en-US"/>
        </w:rPr>
        <w:t>®</w:t>
      </w:r>
      <w:r w:rsidR="004F171E" w:rsidRPr="00456927">
        <w:rPr>
          <w:rFonts w:ascii="Times New Roman" w:eastAsia="Times New Roman" w:hAnsi="Times New Roman" w:cs="Times New Roman"/>
          <w:kern w:val="24"/>
          <w:sz w:val="24"/>
          <w:szCs w:val="24"/>
        </w:rPr>
        <w:t xml:space="preserve"> on 39 HAE patients</w:t>
      </w:r>
      <w:r w:rsidR="00D978E5" w:rsidRPr="00456927">
        <w:rPr>
          <w:rFonts w:ascii="Times New Roman" w:eastAsia="Times New Roman" w:hAnsi="Times New Roman" w:cs="Times New Roman"/>
          <w:kern w:val="24"/>
          <w:sz w:val="24"/>
          <w:szCs w:val="24"/>
          <w:lang w:val="en-US"/>
        </w:rPr>
        <w:t xml:space="preserve"> in a phase 3, multicentre, randomised, double-blind, placebo-controlled parallel group study</w:t>
      </w:r>
      <w:r w:rsidR="004F171E" w:rsidRPr="00456927">
        <w:rPr>
          <w:rFonts w:ascii="Times New Roman" w:eastAsia="Times New Roman" w:hAnsi="Times New Roman" w:cs="Times New Roman"/>
          <w:kern w:val="24"/>
          <w:sz w:val="24"/>
          <w:szCs w:val="24"/>
        </w:rPr>
        <w:t xml:space="preserve">, where 75 adverse events were reported in 25/39 (64.1%) patients. Of these 75 events, 9 were reported as related </w:t>
      </w:r>
      <w:r w:rsidR="0050043B" w:rsidRPr="00456927">
        <w:rPr>
          <w:rFonts w:ascii="Times New Roman" w:eastAsia="Times New Roman" w:hAnsi="Times New Roman" w:cs="Times New Roman"/>
          <w:kern w:val="24"/>
          <w:sz w:val="24"/>
          <w:szCs w:val="24"/>
        </w:rPr>
        <w:t xml:space="preserve">to </w:t>
      </w:r>
      <w:r w:rsidR="00D024E9" w:rsidRPr="00456927">
        <w:rPr>
          <w:rFonts w:ascii="Times New Roman" w:eastAsia="Times New Roman" w:hAnsi="Times New Roman" w:cs="Times New Roman"/>
          <w:kern w:val="24"/>
          <w:sz w:val="24"/>
          <w:szCs w:val="24"/>
        </w:rPr>
        <w:t>ANDEMBRY</w:t>
      </w:r>
      <w:r w:rsidR="0050043B" w:rsidRPr="00456927">
        <w:rPr>
          <w:rFonts w:ascii="Times New Roman" w:eastAsia="Times New Roman" w:hAnsi="Times New Roman" w:cs="Times New Roman"/>
          <w:kern w:val="24"/>
          <w:sz w:val="24"/>
          <w:szCs w:val="24"/>
          <w:vertAlign w:val="superscript"/>
        </w:rPr>
        <w:t>®</w:t>
      </w:r>
      <w:r w:rsidR="00AB2B73" w:rsidRPr="00456927">
        <w:rPr>
          <w:rFonts w:ascii="Times New Roman" w:eastAsia="Times New Roman" w:hAnsi="Times New Roman" w:cs="Times New Roman"/>
          <w:kern w:val="24"/>
          <w:sz w:val="24"/>
          <w:szCs w:val="24"/>
        </w:rPr>
        <w:t xml:space="preserve"> </w:t>
      </w:r>
      <w:r w:rsidR="004F171E" w:rsidRPr="00456927">
        <w:rPr>
          <w:rFonts w:ascii="Times New Roman" w:eastAsia="Times New Roman" w:hAnsi="Times New Roman" w:cs="Times New Roman"/>
          <w:kern w:val="24"/>
          <w:sz w:val="24"/>
          <w:szCs w:val="24"/>
        </w:rPr>
        <w:t>in 4/39 (10.3%) patients.</w:t>
      </w:r>
    </w:p>
    <w:p w14:paraId="516B1361" w14:textId="77ED377E" w:rsidR="00646C7A" w:rsidRPr="00456927" w:rsidRDefault="00646C7A" w:rsidP="00646C7A">
      <w:pPr>
        <w:pStyle w:val="Caption"/>
        <w:ind w:left="862" w:hanging="862"/>
      </w:pPr>
      <w:r w:rsidRPr="00456927">
        <w:t xml:space="preserve">Table 1: </w:t>
      </w:r>
      <w:r w:rsidR="00BA7598">
        <w:t>Treatment-Emergent Adverse Events (TEAEs) Reported in ≥5% of Patients in</w:t>
      </w:r>
      <w:r w:rsidRPr="00456927">
        <w:t xml:space="preserve"> Clinical Studies with </w:t>
      </w:r>
      <w:r w:rsidRPr="00456927">
        <w:rPr>
          <w:szCs w:val="24"/>
        </w:rPr>
        <w:t>ANDEMBRY</w:t>
      </w:r>
      <w:r w:rsidRPr="00456927">
        <w:rPr>
          <w:szCs w:val="24"/>
          <w:vertAlign w:val="superscript"/>
        </w:rPr>
        <w:t>®</w:t>
      </w:r>
    </w:p>
    <w:tbl>
      <w:tblPr>
        <w:tblStyle w:val="TableGrid"/>
        <w:tblW w:w="9214" w:type="dxa"/>
        <w:tblInd w:w="108" w:type="dxa"/>
        <w:tblLayout w:type="fixed"/>
        <w:tblLook w:val="04A0" w:firstRow="1" w:lastRow="0" w:firstColumn="1" w:lastColumn="0" w:noHBand="0" w:noVBand="1"/>
      </w:tblPr>
      <w:tblGrid>
        <w:gridCol w:w="3148"/>
        <w:gridCol w:w="2022"/>
        <w:gridCol w:w="2022"/>
        <w:gridCol w:w="2022"/>
      </w:tblGrid>
      <w:tr w:rsidR="00BA7598" w:rsidRPr="00456927" w14:paraId="1C24BC9D" w14:textId="77777777" w:rsidTr="00C621CD">
        <w:trPr>
          <w:cantSplit/>
          <w:trHeight w:val="454"/>
          <w:tblHeader/>
        </w:trPr>
        <w:tc>
          <w:tcPr>
            <w:tcW w:w="3148" w:type="dxa"/>
            <w:shd w:val="clear" w:color="auto" w:fill="auto"/>
          </w:tcPr>
          <w:p w14:paraId="5C6B2D0C" w14:textId="5D1FFFC2" w:rsidR="00BA7598" w:rsidRPr="00456927" w:rsidRDefault="00BA7598" w:rsidP="008E7B02">
            <w:pPr>
              <w:pStyle w:val="TableCellHeading10pt"/>
              <w:jc w:val="left"/>
            </w:pPr>
            <w:r w:rsidRPr="00456927">
              <w:t xml:space="preserve">MedDRA </w:t>
            </w:r>
            <w:r w:rsidR="008E7B02">
              <w:t>Preferred Term</w:t>
            </w:r>
          </w:p>
        </w:tc>
        <w:tc>
          <w:tcPr>
            <w:tcW w:w="2022" w:type="dxa"/>
            <w:shd w:val="clear" w:color="auto" w:fill="auto"/>
          </w:tcPr>
          <w:p w14:paraId="16AC1E26" w14:textId="30F3F0BD" w:rsidR="00BA7598" w:rsidRPr="00456927" w:rsidRDefault="00A846CB" w:rsidP="00A846CB">
            <w:pPr>
              <w:pStyle w:val="TableCellHeading10pt"/>
            </w:pPr>
            <w:r>
              <w:t>ANDEMBRY</w:t>
            </w:r>
            <w:r w:rsidRPr="00A846CB">
              <w:rPr>
                <w:vertAlign w:val="superscript"/>
              </w:rPr>
              <w:t>®</w:t>
            </w:r>
            <w:r>
              <w:t xml:space="preserve"> 200 mg (N = 39)</w:t>
            </w:r>
            <w:r>
              <w:br/>
            </w:r>
            <w:r w:rsidR="00A80874">
              <w:t>n</w:t>
            </w:r>
            <w:r>
              <w:t xml:space="preserve"> (%) E</w:t>
            </w:r>
          </w:p>
        </w:tc>
        <w:tc>
          <w:tcPr>
            <w:tcW w:w="2022" w:type="dxa"/>
            <w:shd w:val="clear" w:color="auto" w:fill="auto"/>
          </w:tcPr>
          <w:p w14:paraId="640D4F40" w14:textId="0412EFED" w:rsidR="00BA7598" w:rsidRPr="00456927" w:rsidRDefault="00A846CB" w:rsidP="00A846CB">
            <w:pPr>
              <w:pStyle w:val="TableCellHeading10pt"/>
            </w:pPr>
            <w:r>
              <w:t>Placebo (N = 25)</w:t>
            </w:r>
            <w:r>
              <w:br/>
              <w:t>n (%) E</w:t>
            </w:r>
          </w:p>
        </w:tc>
        <w:tc>
          <w:tcPr>
            <w:tcW w:w="2022" w:type="dxa"/>
            <w:shd w:val="clear" w:color="auto" w:fill="auto"/>
          </w:tcPr>
          <w:p w14:paraId="6DA633F9" w14:textId="476FB9E1" w:rsidR="00BA7598" w:rsidRPr="00456927" w:rsidRDefault="00A846CB" w:rsidP="00A846CB">
            <w:pPr>
              <w:pStyle w:val="TableCellHeading10pt"/>
            </w:pPr>
            <w:r>
              <w:t>Total (N = 64)</w:t>
            </w:r>
            <w:r>
              <w:br/>
              <w:t>n (%) E</w:t>
            </w:r>
          </w:p>
        </w:tc>
      </w:tr>
      <w:tr w:rsidR="00A23872" w:rsidRPr="00456927" w14:paraId="31CEB69E" w14:textId="77777777" w:rsidTr="00C621CD">
        <w:trPr>
          <w:cantSplit/>
          <w:tblHeader/>
        </w:trPr>
        <w:tc>
          <w:tcPr>
            <w:tcW w:w="3148" w:type="dxa"/>
            <w:shd w:val="clear" w:color="auto" w:fill="auto"/>
          </w:tcPr>
          <w:p w14:paraId="3B50EFA8" w14:textId="59E1FA7F" w:rsidR="00A23872" w:rsidRPr="004230B7" w:rsidRDefault="00044400" w:rsidP="00BA7598">
            <w:pPr>
              <w:pStyle w:val="TableCellText10pt"/>
              <w:rPr>
                <w:b/>
                <w:bCs/>
              </w:rPr>
            </w:pPr>
            <w:r>
              <w:rPr>
                <w:b/>
                <w:bCs/>
              </w:rPr>
              <w:t>Any TEAE</w:t>
            </w:r>
          </w:p>
        </w:tc>
        <w:tc>
          <w:tcPr>
            <w:tcW w:w="2022" w:type="dxa"/>
            <w:shd w:val="clear" w:color="auto" w:fill="auto"/>
          </w:tcPr>
          <w:p w14:paraId="2B06E64F" w14:textId="2A9CC865" w:rsidR="00A23872" w:rsidRDefault="00044400" w:rsidP="00C621CD">
            <w:pPr>
              <w:pStyle w:val="TableCellText10pt"/>
              <w:jc w:val="center"/>
            </w:pPr>
            <w:r>
              <w:t>25 (64.1)</w:t>
            </w:r>
            <w:r w:rsidR="00C52162">
              <w:t xml:space="preserve"> 75</w:t>
            </w:r>
          </w:p>
        </w:tc>
        <w:tc>
          <w:tcPr>
            <w:tcW w:w="2022" w:type="dxa"/>
            <w:shd w:val="clear" w:color="auto" w:fill="auto"/>
          </w:tcPr>
          <w:p w14:paraId="42BE3C37" w14:textId="59A06296" w:rsidR="00A23872" w:rsidRDefault="00D21299" w:rsidP="00A846CB">
            <w:pPr>
              <w:pStyle w:val="TableCellText10pt"/>
              <w:jc w:val="center"/>
            </w:pPr>
            <w:r>
              <w:t>15 (60.0) 54</w:t>
            </w:r>
          </w:p>
        </w:tc>
        <w:tc>
          <w:tcPr>
            <w:tcW w:w="2022" w:type="dxa"/>
            <w:shd w:val="clear" w:color="auto" w:fill="auto"/>
          </w:tcPr>
          <w:p w14:paraId="1718E9D1" w14:textId="5CDBFC2F" w:rsidR="00A23872" w:rsidRDefault="00D21299" w:rsidP="00A846CB">
            <w:pPr>
              <w:pStyle w:val="TableCellText10pt"/>
              <w:jc w:val="center"/>
            </w:pPr>
            <w:r>
              <w:t xml:space="preserve">40 (62.5) </w:t>
            </w:r>
            <w:r w:rsidR="007F7754">
              <w:t>129</w:t>
            </w:r>
          </w:p>
        </w:tc>
      </w:tr>
      <w:tr w:rsidR="00ED0106" w:rsidRPr="00456927" w14:paraId="2A35D292" w14:textId="77777777" w:rsidTr="0038365E">
        <w:trPr>
          <w:cantSplit/>
          <w:trHeight w:val="180"/>
          <w:tblHeader/>
        </w:trPr>
        <w:tc>
          <w:tcPr>
            <w:tcW w:w="3148" w:type="dxa"/>
            <w:shd w:val="clear" w:color="auto" w:fill="auto"/>
          </w:tcPr>
          <w:p w14:paraId="02AAD15C" w14:textId="77777777" w:rsidR="00ED0106" w:rsidRPr="00F05F7D" w:rsidRDefault="00ED0106" w:rsidP="00F05F7D">
            <w:pPr>
              <w:pStyle w:val="TableCellText10pt"/>
              <w:rPr>
                <w:b/>
                <w:bCs/>
              </w:rPr>
            </w:pPr>
          </w:p>
        </w:tc>
        <w:tc>
          <w:tcPr>
            <w:tcW w:w="2022" w:type="dxa"/>
            <w:shd w:val="clear" w:color="auto" w:fill="auto"/>
          </w:tcPr>
          <w:p w14:paraId="6E2E6EC4" w14:textId="77777777" w:rsidR="00ED0106" w:rsidRDefault="00ED0106" w:rsidP="00F315C3">
            <w:pPr>
              <w:pStyle w:val="TableCellText10pt"/>
              <w:jc w:val="center"/>
            </w:pPr>
          </w:p>
        </w:tc>
        <w:tc>
          <w:tcPr>
            <w:tcW w:w="2022" w:type="dxa"/>
            <w:shd w:val="clear" w:color="auto" w:fill="auto"/>
          </w:tcPr>
          <w:p w14:paraId="065C45D4" w14:textId="77777777" w:rsidR="00ED0106" w:rsidRDefault="00ED0106" w:rsidP="00616DC6">
            <w:pPr>
              <w:pStyle w:val="TableCellText10pt"/>
              <w:jc w:val="center"/>
            </w:pPr>
          </w:p>
        </w:tc>
        <w:tc>
          <w:tcPr>
            <w:tcW w:w="2022" w:type="dxa"/>
            <w:shd w:val="clear" w:color="auto" w:fill="auto"/>
          </w:tcPr>
          <w:p w14:paraId="1CEF7A5C" w14:textId="77777777" w:rsidR="00ED0106" w:rsidRDefault="00ED0106" w:rsidP="00616DC6">
            <w:pPr>
              <w:pStyle w:val="TableCellText10pt"/>
              <w:jc w:val="center"/>
            </w:pPr>
          </w:p>
        </w:tc>
      </w:tr>
      <w:tr w:rsidR="00616DC6" w:rsidRPr="00456927" w14:paraId="6CC30DF9" w14:textId="77777777" w:rsidTr="0038365E">
        <w:trPr>
          <w:cantSplit/>
          <w:trHeight w:val="180"/>
          <w:tblHeader/>
        </w:trPr>
        <w:tc>
          <w:tcPr>
            <w:tcW w:w="3148" w:type="dxa"/>
            <w:shd w:val="clear" w:color="auto" w:fill="auto"/>
          </w:tcPr>
          <w:p w14:paraId="48648EE7" w14:textId="3B29D593" w:rsidR="00616DC6" w:rsidRPr="00F05F7D" w:rsidRDefault="00616DC6" w:rsidP="00F05F7D">
            <w:pPr>
              <w:pStyle w:val="TableCellText10pt"/>
              <w:rPr>
                <w:b/>
                <w:bCs/>
              </w:rPr>
            </w:pPr>
            <w:r w:rsidRPr="00F05F7D">
              <w:rPr>
                <w:b/>
                <w:bCs/>
              </w:rPr>
              <w:t>Upper respiratory tract infection</w:t>
            </w:r>
          </w:p>
        </w:tc>
        <w:tc>
          <w:tcPr>
            <w:tcW w:w="2022" w:type="dxa"/>
            <w:shd w:val="clear" w:color="auto" w:fill="auto"/>
          </w:tcPr>
          <w:p w14:paraId="54CB12C7" w14:textId="1FA64115" w:rsidR="00616DC6" w:rsidRPr="00456927" w:rsidRDefault="00616DC6" w:rsidP="00F315C3">
            <w:pPr>
              <w:pStyle w:val="TableCellText10pt"/>
              <w:jc w:val="center"/>
            </w:pPr>
            <w:r>
              <w:t>4 (10.3) 4</w:t>
            </w:r>
          </w:p>
        </w:tc>
        <w:tc>
          <w:tcPr>
            <w:tcW w:w="2022" w:type="dxa"/>
            <w:shd w:val="clear" w:color="auto" w:fill="auto"/>
          </w:tcPr>
          <w:p w14:paraId="0D9C347D" w14:textId="2E02F48A" w:rsidR="00616DC6" w:rsidRPr="00456927" w:rsidRDefault="00616DC6" w:rsidP="00616DC6">
            <w:pPr>
              <w:pStyle w:val="TableCellText10pt"/>
              <w:jc w:val="center"/>
            </w:pPr>
            <w:r>
              <w:t>2 (8.0) 2</w:t>
            </w:r>
          </w:p>
        </w:tc>
        <w:tc>
          <w:tcPr>
            <w:tcW w:w="2022" w:type="dxa"/>
            <w:shd w:val="clear" w:color="auto" w:fill="auto"/>
          </w:tcPr>
          <w:p w14:paraId="3C964ADE" w14:textId="07E3A30D" w:rsidR="00616DC6" w:rsidRPr="00456927" w:rsidRDefault="00616DC6" w:rsidP="00616DC6">
            <w:pPr>
              <w:pStyle w:val="TableCellText10pt"/>
              <w:jc w:val="center"/>
            </w:pPr>
            <w:r>
              <w:t>6 (9.4) 6</w:t>
            </w:r>
          </w:p>
        </w:tc>
      </w:tr>
      <w:tr w:rsidR="00616DC6" w:rsidRPr="00456927" w14:paraId="4D5D5A11" w14:textId="77777777" w:rsidTr="007551A7">
        <w:trPr>
          <w:cantSplit/>
          <w:trHeight w:val="180"/>
          <w:tblHeader/>
        </w:trPr>
        <w:tc>
          <w:tcPr>
            <w:tcW w:w="3148" w:type="dxa"/>
            <w:shd w:val="clear" w:color="auto" w:fill="auto"/>
          </w:tcPr>
          <w:p w14:paraId="1F7F4701" w14:textId="199185AE" w:rsidR="00616DC6" w:rsidRPr="00F05F7D" w:rsidRDefault="00616DC6" w:rsidP="00F05F7D">
            <w:pPr>
              <w:pStyle w:val="TableCellText10pt"/>
              <w:rPr>
                <w:b/>
                <w:bCs/>
              </w:rPr>
            </w:pPr>
            <w:r w:rsidRPr="00F05F7D">
              <w:rPr>
                <w:b/>
                <w:bCs/>
              </w:rPr>
              <w:t>Nasopharyngitis</w:t>
            </w:r>
          </w:p>
        </w:tc>
        <w:tc>
          <w:tcPr>
            <w:tcW w:w="2022" w:type="dxa"/>
            <w:shd w:val="clear" w:color="auto" w:fill="auto"/>
          </w:tcPr>
          <w:p w14:paraId="70D3C1C2" w14:textId="053C69A9" w:rsidR="00616DC6" w:rsidRDefault="00616DC6" w:rsidP="00C621CD">
            <w:pPr>
              <w:pStyle w:val="TableCellText10pt"/>
              <w:jc w:val="center"/>
            </w:pPr>
            <w:r>
              <w:t>3 (7.7) 3</w:t>
            </w:r>
          </w:p>
        </w:tc>
        <w:tc>
          <w:tcPr>
            <w:tcW w:w="2022" w:type="dxa"/>
            <w:shd w:val="clear" w:color="auto" w:fill="auto"/>
          </w:tcPr>
          <w:p w14:paraId="06BD2BDD" w14:textId="653F8509" w:rsidR="00616DC6" w:rsidRDefault="00616DC6" w:rsidP="00A846CB">
            <w:pPr>
              <w:pStyle w:val="TableCellText10pt"/>
              <w:jc w:val="center"/>
            </w:pPr>
            <w:r>
              <w:t>1 (4.0) 1</w:t>
            </w:r>
          </w:p>
        </w:tc>
        <w:tc>
          <w:tcPr>
            <w:tcW w:w="2022" w:type="dxa"/>
            <w:shd w:val="clear" w:color="auto" w:fill="auto"/>
          </w:tcPr>
          <w:p w14:paraId="22485E7B" w14:textId="00B89E99" w:rsidR="00616DC6" w:rsidRDefault="00616DC6" w:rsidP="00A846CB">
            <w:pPr>
              <w:pStyle w:val="TableCellText10pt"/>
              <w:jc w:val="center"/>
            </w:pPr>
            <w:r>
              <w:t>4 (6.3) 4</w:t>
            </w:r>
          </w:p>
        </w:tc>
      </w:tr>
      <w:tr w:rsidR="008B7403" w:rsidRPr="00456927" w14:paraId="44405214" w14:textId="77777777" w:rsidTr="00C621CD">
        <w:trPr>
          <w:cantSplit/>
          <w:tblHeader/>
        </w:trPr>
        <w:tc>
          <w:tcPr>
            <w:tcW w:w="3148" w:type="dxa"/>
            <w:shd w:val="clear" w:color="auto" w:fill="auto"/>
          </w:tcPr>
          <w:p w14:paraId="30DAE4A0" w14:textId="6F8BA66A" w:rsidR="00292DF1" w:rsidRPr="00434A0F" w:rsidRDefault="00292DF1" w:rsidP="005C6CBE">
            <w:pPr>
              <w:pStyle w:val="TableCellText10pt"/>
              <w:rPr>
                <w:b/>
                <w:bCs/>
                <w:szCs w:val="20"/>
                <w:shd w:val="clear" w:color="auto" w:fill="FFFFFF"/>
              </w:rPr>
            </w:pPr>
            <w:r w:rsidRPr="00434A0F">
              <w:rPr>
                <w:b/>
                <w:bCs/>
                <w:szCs w:val="20"/>
                <w:shd w:val="clear" w:color="auto" w:fill="FFFFFF"/>
              </w:rPr>
              <w:t>Headache</w:t>
            </w:r>
          </w:p>
        </w:tc>
        <w:tc>
          <w:tcPr>
            <w:tcW w:w="2022" w:type="dxa"/>
            <w:shd w:val="clear" w:color="auto" w:fill="auto"/>
          </w:tcPr>
          <w:p w14:paraId="58819E99" w14:textId="5FEDC036" w:rsidR="00711E82" w:rsidRDefault="00711E82" w:rsidP="00A846CB">
            <w:pPr>
              <w:pStyle w:val="TableCellText10pt"/>
              <w:jc w:val="center"/>
              <w:rPr>
                <w:szCs w:val="20"/>
              </w:rPr>
            </w:pPr>
            <w:r>
              <w:rPr>
                <w:szCs w:val="20"/>
              </w:rPr>
              <w:t>3 (7.7) 9</w:t>
            </w:r>
          </w:p>
        </w:tc>
        <w:tc>
          <w:tcPr>
            <w:tcW w:w="2022" w:type="dxa"/>
            <w:shd w:val="clear" w:color="auto" w:fill="auto"/>
          </w:tcPr>
          <w:p w14:paraId="7FAE3091" w14:textId="1B97C3F8" w:rsidR="00711E82" w:rsidRDefault="00711E82" w:rsidP="00A846CB">
            <w:pPr>
              <w:pStyle w:val="TableCellText10pt"/>
              <w:jc w:val="center"/>
              <w:rPr>
                <w:szCs w:val="20"/>
              </w:rPr>
            </w:pPr>
            <w:r>
              <w:rPr>
                <w:szCs w:val="20"/>
              </w:rPr>
              <w:t>4 (16.0)</w:t>
            </w:r>
            <w:r w:rsidR="00A637E4">
              <w:rPr>
                <w:szCs w:val="20"/>
              </w:rPr>
              <w:t xml:space="preserve"> 4</w:t>
            </w:r>
          </w:p>
        </w:tc>
        <w:tc>
          <w:tcPr>
            <w:tcW w:w="2022" w:type="dxa"/>
            <w:shd w:val="clear" w:color="auto" w:fill="auto"/>
          </w:tcPr>
          <w:p w14:paraId="588A1479" w14:textId="44F0764E" w:rsidR="00A637E4" w:rsidRDefault="00A637E4" w:rsidP="00A846CB">
            <w:pPr>
              <w:pStyle w:val="TableCellText10pt"/>
              <w:jc w:val="center"/>
              <w:rPr>
                <w:szCs w:val="20"/>
              </w:rPr>
            </w:pPr>
            <w:r>
              <w:rPr>
                <w:szCs w:val="20"/>
              </w:rPr>
              <w:t>7 (10.9) 13</w:t>
            </w:r>
          </w:p>
        </w:tc>
      </w:tr>
    </w:tbl>
    <w:p w14:paraId="63891296" w14:textId="08226889" w:rsidR="00BA7598" w:rsidRPr="00BA7598" w:rsidRDefault="00B413E9" w:rsidP="00BA7598">
      <w:pPr>
        <w:pStyle w:val="DocumentText"/>
        <w:spacing w:before="40"/>
        <w:rPr>
          <w:sz w:val="20"/>
          <w:szCs w:val="20"/>
          <w:lang w:val="en-AU"/>
        </w:rPr>
      </w:pPr>
      <w:r>
        <w:rPr>
          <w:sz w:val="20"/>
          <w:szCs w:val="20"/>
          <w:lang w:val="en-AU"/>
        </w:rPr>
        <w:t>n = number of patients with at least one event; E = number of events</w:t>
      </w:r>
    </w:p>
    <w:p w14:paraId="644B971E" w14:textId="5B790D40" w:rsidR="00EA0500" w:rsidRPr="00456927" w:rsidRDefault="004F171E" w:rsidP="0008026F">
      <w:pPr>
        <w:pStyle w:val="DocumentText"/>
        <w:rPr>
          <w:lang w:val="en-AU"/>
        </w:rPr>
      </w:pPr>
      <w:r w:rsidRPr="00456927">
        <w:rPr>
          <w:lang w:val="en-AU"/>
        </w:rPr>
        <w:t>The f</w:t>
      </w:r>
      <w:r w:rsidR="00321748" w:rsidRPr="00456927">
        <w:rPr>
          <w:lang w:val="en-AU"/>
        </w:rPr>
        <w:t>ollowing list</w:t>
      </w:r>
      <w:r w:rsidRPr="00456927">
        <w:rPr>
          <w:lang w:val="en-AU"/>
        </w:rPr>
        <w:t xml:space="preserve"> </w:t>
      </w:r>
      <w:r w:rsidR="004A151F" w:rsidRPr="00456927">
        <w:rPr>
          <w:lang w:val="en-AU"/>
        </w:rPr>
        <w:t>(</w:t>
      </w:r>
      <w:r w:rsidR="004A151F" w:rsidRPr="00456927">
        <w:rPr>
          <w:b/>
          <w:bCs/>
          <w:lang w:val="en-AU"/>
        </w:rPr>
        <w:t xml:space="preserve">Table </w:t>
      </w:r>
      <w:r w:rsidR="00646C7A">
        <w:rPr>
          <w:b/>
          <w:bCs/>
          <w:lang w:val="en-AU"/>
        </w:rPr>
        <w:t>2</w:t>
      </w:r>
      <w:r w:rsidR="004A151F" w:rsidRPr="00456927">
        <w:rPr>
          <w:lang w:val="en-AU"/>
        </w:rPr>
        <w:t xml:space="preserve">) </w:t>
      </w:r>
      <w:r w:rsidRPr="00456927">
        <w:rPr>
          <w:lang w:val="en-AU"/>
        </w:rPr>
        <w:t xml:space="preserve">of adverse reactions is based on </w:t>
      </w:r>
      <w:r w:rsidR="00321748" w:rsidRPr="00456927">
        <w:rPr>
          <w:lang w:val="en-AU"/>
        </w:rPr>
        <w:t>experience from</w:t>
      </w:r>
      <w:r w:rsidRPr="00456927">
        <w:rPr>
          <w:lang w:val="en-AU"/>
        </w:rPr>
        <w:t xml:space="preserve"> clinical </w:t>
      </w:r>
      <w:r w:rsidR="00321748" w:rsidRPr="00456927">
        <w:rPr>
          <w:lang w:val="en-AU"/>
        </w:rPr>
        <w:t>trials and</w:t>
      </w:r>
      <w:r w:rsidRPr="00456927">
        <w:rPr>
          <w:lang w:val="en-AU"/>
        </w:rPr>
        <w:t xml:space="preserve"> is </w:t>
      </w:r>
      <w:r w:rsidR="00321748" w:rsidRPr="00456927">
        <w:rPr>
          <w:lang w:val="en-AU"/>
        </w:rPr>
        <w:t xml:space="preserve">displayed by system organ class and frequency: </w:t>
      </w:r>
      <w:r w:rsidRPr="00456927">
        <w:rPr>
          <w:lang w:val="en-AU"/>
        </w:rPr>
        <w:t>very common (≥1/10), common (≥1/100 to &lt;1/10), uncommon (≥1/1,000 to &lt;1/100), rare (≥1/10,000 to &lt;1/1,000), very rare (&lt;1/10,000) and not known (cannot be estimated from the available data).</w:t>
      </w:r>
    </w:p>
    <w:p w14:paraId="42F13982" w14:textId="4DFE2E0F" w:rsidR="00EA0500" w:rsidRPr="00456927" w:rsidRDefault="00EA0500" w:rsidP="00EA0500">
      <w:pPr>
        <w:pStyle w:val="Caption"/>
        <w:ind w:left="862" w:hanging="862"/>
      </w:pPr>
      <w:r w:rsidRPr="00456927">
        <w:t xml:space="preserve">Table </w:t>
      </w:r>
      <w:r w:rsidR="00956508">
        <w:t>2</w:t>
      </w:r>
      <w:r w:rsidRPr="00456927">
        <w:t xml:space="preserve">: Adverse </w:t>
      </w:r>
      <w:r w:rsidR="0078740E" w:rsidRPr="00456927">
        <w:t xml:space="preserve">Drug </w:t>
      </w:r>
      <w:r w:rsidRPr="00456927">
        <w:t xml:space="preserve">Reactions </w:t>
      </w:r>
      <w:r w:rsidR="0078740E" w:rsidRPr="00456927">
        <w:t xml:space="preserve">(ADRs) Obtained from </w:t>
      </w:r>
      <w:r w:rsidRPr="00456927">
        <w:t>Clinical Studies</w:t>
      </w:r>
      <w:r w:rsidR="0078740E" w:rsidRPr="00456927">
        <w:t xml:space="preserve"> with </w:t>
      </w:r>
      <w:r w:rsidR="00D024E9" w:rsidRPr="00456927">
        <w:rPr>
          <w:szCs w:val="24"/>
        </w:rPr>
        <w:t>ANDEMBRY</w:t>
      </w:r>
      <w:r w:rsidR="00D368D4" w:rsidRPr="00456927">
        <w:rPr>
          <w:szCs w:val="24"/>
          <w:vertAlign w:val="superscript"/>
        </w:rPr>
        <w:t>®</w:t>
      </w:r>
    </w:p>
    <w:tbl>
      <w:tblPr>
        <w:tblStyle w:val="TableGrid"/>
        <w:tblW w:w="9214" w:type="dxa"/>
        <w:tblInd w:w="108" w:type="dxa"/>
        <w:tblLayout w:type="fixed"/>
        <w:tblLook w:val="04A0" w:firstRow="1" w:lastRow="0" w:firstColumn="1" w:lastColumn="0" w:noHBand="0" w:noVBand="1"/>
      </w:tblPr>
      <w:tblGrid>
        <w:gridCol w:w="2409"/>
        <w:gridCol w:w="3969"/>
        <w:gridCol w:w="1418"/>
        <w:gridCol w:w="1418"/>
      </w:tblGrid>
      <w:tr w:rsidR="00456927" w:rsidRPr="00456927" w14:paraId="5F915E7C" w14:textId="77777777" w:rsidTr="008E7A02">
        <w:trPr>
          <w:cantSplit/>
          <w:trHeight w:val="454"/>
          <w:tblHeader/>
        </w:trPr>
        <w:tc>
          <w:tcPr>
            <w:tcW w:w="2409" w:type="dxa"/>
            <w:shd w:val="clear" w:color="auto" w:fill="auto"/>
          </w:tcPr>
          <w:p w14:paraId="3B380160" w14:textId="0C00A341" w:rsidR="00CC7DAD" w:rsidRPr="00456927" w:rsidRDefault="00CC7DAD" w:rsidP="00B04475">
            <w:pPr>
              <w:pStyle w:val="TableCellHeading10pt"/>
              <w:jc w:val="left"/>
            </w:pPr>
            <w:r w:rsidRPr="00456927">
              <w:t xml:space="preserve">MedDRA </w:t>
            </w:r>
            <w:r w:rsidR="008E7A02" w:rsidRPr="00456927">
              <w:t xml:space="preserve">Standard </w:t>
            </w:r>
            <w:r w:rsidRPr="00456927">
              <w:t>System Organ Class</w:t>
            </w:r>
          </w:p>
        </w:tc>
        <w:tc>
          <w:tcPr>
            <w:tcW w:w="3969" w:type="dxa"/>
            <w:shd w:val="clear" w:color="auto" w:fill="auto"/>
          </w:tcPr>
          <w:p w14:paraId="6E998ED9" w14:textId="0E7365F3" w:rsidR="00CC7DAD" w:rsidRPr="00456927" w:rsidRDefault="00CC7DAD" w:rsidP="00D13096">
            <w:pPr>
              <w:pStyle w:val="TableCellHeading10pt"/>
              <w:jc w:val="left"/>
            </w:pPr>
            <w:r w:rsidRPr="00456927">
              <w:t>A</w:t>
            </w:r>
            <w:r w:rsidR="008E7A02" w:rsidRPr="00456927">
              <w:t>dverse Reaction (Pre</w:t>
            </w:r>
            <w:r w:rsidR="0078740E" w:rsidRPr="00456927">
              <w:t>ferred</w:t>
            </w:r>
            <w:r w:rsidRPr="00456927">
              <w:t xml:space="preserve"> Term</w:t>
            </w:r>
            <w:r w:rsidR="0078740E" w:rsidRPr="00456927">
              <w:t>)</w:t>
            </w:r>
          </w:p>
        </w:tc>
        <w:tc>
          <w:tcPr>
            <w:tcW w:w="1418" w:type="dxa"/>
            <w:shd w:val="clear" w:color="auto" w:fill="auto"/>
          </w:tcPr>
          <w:p w14:paraId="61B9FD46" w14:textId="35E2006B" w:rsidR="00CC7DAD" w:rsidRPr="00456927" w:rsidRDefault="0078740E" w:rsidP="0078740E">
            <w:pPr>
              <w:pStyle w:val="TableCellHeading10pt"/>
            </w:pPr>
            <w:r w:rsidRPr="00456927">
              <w:t>F</w:t>
            </w:r>
            <w:r w:rsidR="00CC7DAD" w:rsidRPr="00456927">
              <w:t>requency</w:t>
            </w:r>
          </w:p>
        </w:tc>
        <w:tc>
          <w:tcPr>
            <w:tcW w:w="1418" w:type="dxa"/>
            <w:shd w:val="clear" w:color="auto" w:fill="auto"/>
          </w:tcPr>
          <w:p w14:paraId="140A05E8" w14:textId="2ECFB524" w:rsidR="00CC7DAD" w:rsidRPr="00456927" w:rsidRDefault="0078740E" w:rsidP="00B04475">
            <w:pPr>
              <w:pStyle w:val="TableCellHeading10pt"/>
              <w:jc w:val="left"/>
            </w:pPr>
            <w:r w:rsidRPr="00456927">
              <w:t>Number of Patients (%)</w:t>
            </w:r>
          </w:p>
        </w:tc>
      </w:tr>
      <w:tr w:rsidR="00456927" w:rsidRPr="00456927" w14:paraId="36C5EAA6" w14:textId="77777777" w:rsidTr="008E7A02">
        <w:trPr>
          <w:cantSplit/>
          <w:tblHeader/>
        </w:trPr>
        <w:tc>
          <w:tcPr>
            <w:tcW w:w="2409" w:type="dxa"/>
            <w:shd w:val="clear" w:color="auto" w:fill="auto"/>
          </w:tcPr>
          <w:p w14:paraId="5E6C7B72" w14:textId="42DDC9A6" w:rsidR="00017359" w:rsidRPr="00456927" w:rsidRDefault="00017359" w:rsidP="00017359">
            <w:pPr>
              <w:pStyle w:val="TableCellText10pt"/>
            </w:pPr>
            <w:r w:rsidRPr="00456927">
              <w:rPr>
                <w:b/>
                <w:bCs/>
                <w:szCs w:val="20"/>
                <w:shd w:val="clear" w:color="auto" w:fill="FFFFFF"/>
              </w:rPr>
              <w:t>General disorders and administration site conditions</w:t>
            </w:r>
          </w:p>
        </w:tc>
        <w:tc>
          <w:tcPr>
            <w:tcW w:w="3969" w:type="dxa"/>
            <w:shd w:val="clear" w:color="auto" w:fill="auto"/>
          </w:tcPr>
          <w:p w14:paraId="02C8B33D" w14:textId="405DDB89" w:rsidR="00017359" w:rsidRPr="00456927" w:rsidRDefault="00017359" w:rsidP="00017359">
            <w:pPr>
              <w:pStyle w:val="TableCellText10pt"/>
            </w:pPr>
            <w:r w:rsidRPr="00456927">
              <w:rPr>
                <w:szCs w:val="20"/>
              </w:rPr>
              <w:t>Injection site reaction</w:t>
            </w:r>
            <w:r w:rsidR="00E20D21" w:rsidRPr="00456927">
              <w:rPr>
                <w:szCs w:val="20"/>
              </w:rPr>
              <w:t xml:space="preserve"> (ISR)</w:t>
            </w:r>
            <w:r w:rsidRPr="00456927">
              <w:rPr>
                <w:szCs w:val="20"/>
              </w:rPr>
              <w:t>*</w:t>
            </w:r>
          </w:p>
        </w:tc>
        <w:tc>
          <w:tcPr>
            <w:tcW w:w="1418" w:type="dxa"/>
            <w:shd w:val="clear" w:color="auto" w:fill="auto"/>
          </w:tcPr>
          <w:p w14:paraId="6890D112" w14:textId="446108D5" w:rsidR="00017359" w:rsidRPr="00456927" w:rsidRDefault="00017359" w:rsidP="00017359">
            <w:pPr>
              <w:pStyle w:val="TableCellText10pt"/>
            </w:pPr>
            <w:r w:rsidRPr="00456927">
              <w:rPr>
                <w:szCs w:val="20"/>
              </w:rPr>
              <w:t>Common</w:t>
            </w:r>
          </w:p>
        </w:tc>
        <w:tc>
          <w:tcPr>
            <w:tcW w:w="1418" w:type="dxa"/>
            <w:shd w:val="clear" w:color="auto" w:fill="auto"/>
          </w:tcPr>
          <w:p w14:paraId="16B19C4D" w14:textId="599CBF33" w:rsidR="00017359" w:rsidRPr="00456927" w:rsidRDefault="00017359" w:rsidP="00017359">
            <w:pPr>
              <w:pStyle w:val="TableCellText10pt"/>
            </w:pPr>
            <w:r w:rsidRPr="00456927">
              <w:rPr>
                <w:szCs w:val="20"/>
              </w:rPr>
              <w:t>2 (5.1%)</w:t>
            </w:r>
          </w:p>
        </w:tc>
      </w:tr>
      <w:tr w:rsidR="00456927" w:rsidRPr="00456927" w14:paraId="2A28AB4E" w14:textId="77777777">
        <w:trPr>
          <w:cantSplit/>
          <w:tblHeader/>
        </w:trPr>
        <w:tc>
          <w:tcPr>
            <w:tcW w:w="9214" w:type="dxa"/>
            <w:gridSpan w:val="4"/>
            <w:shd w:val="clear" w:color="auto" w:fill="auto"/>
          </w:tcPr>
          <w:p w14:paraId="3FD003A5" w14:textId="2B39DF2D" w:rsidR="00017359" w:rsidRPr="00456927" w:rsidRDefault="00017359" w:rsidP="0008026F">
            <w:pPr>
              <w:pStyle w:val="TableCellText10pt"/>
              <w:keepNext w:val="0"/>
              <w:rPr>
                <w:szCs w:val="20"/>
              </w:rPr>
            </w:pPr>
            <w:r w:rsidRPr="00456927">
              <w:rPr>
                <w:szCs w:val="20"/>
                <w:shd w:val="clear" w:color="auto" w:fill="FFFFFF"/>
              </w:rPr>
              <w:t>*Include injection site bruising, injection site erythema</w:t>
            </w:r>
            <w:r w:rsidR="0005297A">
              <w:rPr>
                <w:szCs w:val="20"/>
                <w:shd w:val="clear" w:color="auto" w:fill="FFFFFF"/>
              </w:rPr>
              <w:t>,</w:t>
            </w:r>
            <w:r w:rsidRPr="00456927">
              <w:rPr>
                <w:szCs w:val="20"/>
                <w:shd w:val="clear" w:color="auto" w:fill="FFFFFF"/>
              </w:rPr>
              <w:t xml:space="preserve"> injection site pruritus</w:t>
            </w:r>
            <w:r w:rsidR="00ED0106">
              <w:rPr>
                <w:szCs w:val="20"/>
                <w:shd w:val="clear" w:color="auto" w:fill="FFFFFF"/>
              </w:rPr>
              <w:t xml:space="preserve"> and injection site urticaria</w:t>
            </w:r>
            <w:r w:rsidRPr="00456927">
              <w:rPr>
                <w:szCs w:val="20"/>
                <w:shd w:val="clear" w:color="auto" w:fill="FFFFFF"/>
              </w:rPr>
              <w:t>.</w:t>
            </w:r>
          </w:p>
        </w:tc>
      </w:tr>
    </w:tbl>
    <w:p w14:paraId="11BA1065" w14:textId="44CE2DFF" w:rsidR="00EA0500" w:rsidRPr="00456927" w:rsidRDefault="00017359" w:rsidP="0008026F">
      <w:pPr>
        <w:pStyle w:val="Heading3"/>
        <w:tabs>
          <w:tab w:val="left" w:pos="1642"/>
        </w:tabs>
        <w:spacing w:before="240" w:after="120"/>
        <w:ind w:left="720" w:hanging="720"/>
        <w:rPr>
          <w:rFonts w:ascii="Times New Roman" w:eastAsia="Times New Roman" w:hAnsi="Times New Roman" w:cs="Times New Roman"/>
          <w:bCs w:val="0"/>
          <w:kern w:val="28"/>
          <w:sz w:val="28"/>
          <w:szCs w:val="28"/>
          <w:lang w:val="en-US"/>
        </w:rPr>
      </w:pPr>
      <w:r w:rsidRPr="00456927">
        <w:rPr>
          <w:rFonts w:ascii="Times New Roman" w:eastAsia="Times New Roman" w:hAnsi="Times New Roman" w:cs="Times New Roman"/>
          <w:bCs w:val="0"/>
          <w:kern w:val="28"/>
          <w:sz w:val="28"/>
          <w:szCs w:val="28"/>
          <w:lang w:val="en-US"/>
        </w:rPr>
        <w:t>Description of selected adverse reactions</w:t>
      </w:r>
    </w:p>
    <w:p w14:paraId="34C759D1" w14:textId="6CC9820F" w:rsidR="00017359" w:rsidRPr="00456927" w:rsidRDefault="00017359" w:rsidP="0008026F">
      <w:pPr>
        <w:keepNext/>
        <w:spacing w:after="120"/>
        <w:rPr>
          <w:rFonts w:ascii="Times New Roman" w:eastAsia="Times New Roman" w:hAnsi="Times New Roman" w:cs="Times New Roman"/>
          <w:b/>
          <w:i/>
          <w:kern w:val="28"/>
          <w:sz w:val="28"/>
          <w:szCs w:val="28"/>
          <w:lang w:val="en-US"/>
        </w:rPr>
      </w:pPr>
      <w:r w:rsidRPr="00456927">
        <w:rPr>
          <w:rFonts w:ascii="Times New Roman" w:eastAsia="Times New Roman" w:hAnsi="Times New Roman" w:cs="Times New Roman"/>
          <w:b/>
          <w:i/>
          <w:kern w:val="28"/>
          <w:sz w:val="28"/>
          <w:szCs w:val="28"/>
          <w:lang w:val="en-US"/>
        </w:rPr>
        <w:t>Injection site reactions</w:t>
      </w:r>
    </w:p>
    <w:p w14:paraId="4B4A50C5" w14:textId="65708308" w:rsidR="00EA0500" w:rsidRDefault="00017359" w:rsidP="00017359">
      <w:pPr>
        <w:pStyle w:val="DocumentText"/>
      </w:pPr>
      <w:r w:rsidRPr="00456927">
        <w:t xml:space="preserve">In </w:t>
      </w:r>
      <w:r w:rsidR="00697FDC" w:rsidRPr="00456927">
        <w:t xml:space="preserve">the VANGUARD </w:t>
      </w:r>
      <w:r w:rsidR="00F44CB9">
        <w:t>p</w:t>
      </w:r>
      <w:r w:rsidR="00697FDC" w:rsidRPr="00456927">
        <w:t>ivotal</w:t>
      </w:r>
      <w:r w:rsidR="004A151F" w:rsidRPr="00456927">
        <w:t xml:space="preserve"> </w:t>
      </w:r>
      <w:r w:rsidR="00F44CB9">
        <w:t>s</w:t>
      </w:r>
      <w:r w:rsidR="00697FDC" w:rsidRPr="00456927">
        <w:t>tudy</w:t>
      </w:r>
      <w:r w:rsidRPr="00456927">
        <w:t xml:space="preserve">, 3 incidents of </w:t>
      </w:r>
      <w:r w:rsidR="007C0214" w:rsidRPr="00456927">
        <w:t>ISR</w:t>
      </w:r>
      <w:r w:rsidRPr="00456927">
        <w:t xml:space="preserve"> of mild severity were observed in 2 patients who received </w:t>
      </w:r>
      <w:r w:rsidR="00D024E9" w:rsidRPr="00456927">
        <w:t>ANDEMBRY</w:t>
      </w:r>
      <w:r w:rsidR="00D368D4" w:rsidRPr="00456927">
        <w:rPr>
          <w:vertAlign w:val="superscript"/>
        </w:rPr>
        <w:t>®</w:t>
      </w:r>
      <w:r w:rsidRPr="00456927">
        <w:t xml:space="preserve">. Temporal relationship (began within 1–3 days after investigational product administration and resolved within 1–3 days with no change in dosage) was identified for all </w:t>
      </w:r>
      <w:r w:rsidR="004C6132" w:rsidRPr="00456927">
        <w:t>3 ISR</w:t>
      </w:r>
      <w:r w:rsidR="00B96F7C" w:rsidRPr="00456927">
        <w:t>s</w:t>
      </w:r>
      <w:r w:rsidR="0024199E" w:rsidRPr="00456927">
        <w:t>, a</w:t>
      </w:r>
      <w:r w:rsidRPr="00456927">
        <w:t xml:space="preserve">ll </w:t>
      </w:r>
      <w:r w:rsidR="0024199E" w:rsidRPr="00456927">
        <w:t xml:space="preserve">of which </w:t>
      </w:r>
      <w:r w:rsidRPr="00456927">
        <w:t xml:space="preserve">were assessed as related to </w:t>
      </w:r>
      <w:r w:rsidR="00D024E9" w:rsidRPr="00456927">
        <w:t>ANDEMBRY</w:t>
      </w:r>
      <w:r w:rsidR="00D368D4" w:rsidRPr="00456927">
        <w:rPr>
          <w:vertAlign w:val="superscript"/>
        </w:rPr>
        <w:t>®</w:t>
      </w:r>
      <w:r w:rsidRPr="00456927">
        <w:t>.</w:t>
      </w:r>
    </w:p>
    <w:p w14:paraId="2EE4C61F" w14:textId="4BE1C790" w:rsidR="00CF5A34" w:rsidRPr="00CF5A34" w:rsidRDefault="00CF5A34" w:rsidP="00017359">
      <w:pPr>
        <w:pStyle w:val="DocumentText"/>
      </w:pPr>
      <w:r w:rsidRPr="00CF5A34">
        <w:lastRenderedPageBreak/>
        <w:t>In a</w:t>
      </w:r>
      <w:r w:rsidR="001161C8">
        <w:t xml:space="preserve"> Phase 3</w:t>
      </w:r>
      <w:r w:rsidRPr="00CF5A34">
        <w:t xml:space="preserve"> open-label </w:t>
      </w:r>
      <w:r w:rsidR="001161C8">
        <w:t>extension</w:t>
      </w:r>
      <w:r w:rsidRPr="00CF5A34">
        <w:t xml:space="preserve"> study, which included 57 patients who rolled over from VANGUARD, 161 patients with HAE administered ANDEMBRY</w:t>
      </w:r>
      <w:r w:rsidRPr="00456927">
        <w:rPr>
          <w:vertAlign w:val="superscript"/>
        </w:rPr>
        <w:t>®</w:t>
      </w:r>
      <w:r w:rsidRPr="00CF5A34">
        <w:t xml:space="preserve"> 200</w:t>
      </w:r>
      <w:r>
        <w:t> </w:t>
      </w:r>
      <w:r w:rsidRPr="00CF5A34">
        <w:t xml:space="preserve">mg subcutaneously every month. </w:t>
      </w:r>
      <w:r w:rsidR="009F2EAB">
        <w:t>I</w:t>
      </w:r>
      <w:r w:rsidRPr="00CF5A34">
        <w:t>njection site reactions (e.g., injection site bruising, injection site erythema, injection site h</w:t>
      </w:r>
      <w:r>
        <w:t>a</w:t>
      </w:r>
      <w:r w:rsidRPr="00CF5A34">
        <w:t>ematoma, injection site pruritus, injection site urticaria) were reported in 16 (10%) patients.</w:t>
      </w:r>
    </w:p>
    <w:p w14:paraId="777DEC80" w14:textId="4167FD52" w:rsidR="003F2E43" w:rsidRPr="00456927" w:rsidRDefault="005312CE" w:rsidP="003F2E43">
      <w:pPr>
        <w:pStyle w:val="Heading3"/>
        <w:tabs>
          <w:tab w:val="left" w:pos="1642"/>
        </w:tabs>
        <w:spacing w:before="240" w:after="120"/>
        <w:rPr>
          <w:rFonts w:ascii="Times New Roman" w:eastAsia="Times New Roman" w:hAnsi="Times New Roman" w:cs="Times New Roman"/>
          <w:bCs w:val="0"/>
          <w:kern w:val="28"/>
          <w:sz w:val="28"/>
          <w:szCs w:val="28"/>
          <w:lang w:val="en-US"/>
        </w:rPr>
      </w:pPr>
      <w:r w:rsidRPr="00456927">
        <w:rPr>
          <w:rFonts w:ascii="Times New Roman" w:eastAsia="Times New Roman" w:hAnsi="Times New Roman" w:cs="Times New Roman"/>
          <w:bCs w:val="0"/>
          <w:kern w:val="28"/>
          <w:sz w:val="28"/>
          <w:szCs w:val="28"/>
          <w:lang w:val="en-US"/>
        </w:rPr>
        <w:t>Immunogenicity</w:t>
      </w:r>
    </w:p>
    <w:p w14:paraId="3A362FA0" w14:textId="77FFCB4B" w:rsidR="004A151F" w:rsidRPr="00456927" w:rsidRDefault="004A151F" w:rsidP="00473A8C">
      <w:pPr>
        <w:keepLines/>
        <w:spacing w:after="240" w:line="300" w:lineRule="auto"/>
        <w:rPr>
          <w:rFonts w:ascii="Times New Roman" w:eastAsia="Times New Roman" w:hAnsi="Times New Roman" w:cs="Times New Roman"/>
          <w:kern w:val="24"/>
          <w:sz w:val="24"/>
          <w:szCs w:val="24"/>
        </w:rPr>
      </w:pPr>
      <w:r w:rsidRPr="00456927">
        <w:rPr>
          <w:rFonts w:ascii="Times New Roman" w:eastAsia="Times New Roman" w:hAnsi="Times New Roman" w:cs="Times New Roman"/>
          <w:kern w:val="24"/>
          <w:sz w:val="24"/>
          <w:szCs w:val="24"/>
          <w:lang w:val="en-US"/>
        </w:rPr>
        <w:t>The observed incidence of anti-drug antibodies is highly dependent on the sensitivity and specificity of the assay. Differences in assay methods preclude meaningful comparisons of the incidence of anti-drug antibodies in the studies described below with the incidence of anti-drug antibodies in other studies.</w:t>
      </w:r>
      <w:r w:rsidR="00FE1B38" w:rsidRPr="00FE1B38">
        <w:rPr>
          <w:rFonts w:ascii="Times New Roman" w:eastAsia="Times New Roman" w:hAnsi="Times New Roman" w:cs="Times New Roman"/>
          <w:kern w:val="24"/>
          <w:sz w:val="24"/>
          <w:szCs w:val="24"/>
        </w:rPr>
        <w:t xml:space="preserve"> </w:t>
      </w:r>
      <w:r w:rsidR="00FE1B38" w:rsidRPr="00CF5A34">
        <w:rPr>
          <w:rFonts w:ascii="Times New Roman" w:eastAsia="Times New Roman" w:hAnsi="Times New Roman" w:cs="Times New Roman"/>
          <w:kern w:val="24"/>
          <w:sz w:val="24"/>
          <w:szCs w:val="24"/>
        </w:rPr>
        <w:t xml:space="preserve">No </w:t>
      </w:r>
      <w:r w:rsidR="00FE1B38">
        <w:rPr>
          <w:rFonts w:ascii="Times New Roman" w:eastAsia="Times New Roman" w:hAnsi="Times New Roman" w:cs="Times New Roman"/>
          <w:kern w:val="24"/>
          <w:sz w:val="24"/>
          <w:szCs w:val="24"/>
        </w:rPr>
        <w:t>in vitro data</w:t>
      </w:r>
      <w:r w:rsidR="00FE1B38" w:rsidRPr="00CF5A34">
        <w:rPr>
          <w:rFonts w:ascii="Times New Roman" w:eastAsia="Times New Roman" w:hAnsi="Times New Roman" w:cs="Times New Roman"/>
          <w:kern w:val="24"/>
          <w:sz w:val="24"/>
          <w:szCs w:val="24"/>
        </w:rPr>
        <w:t xml:space="preserve"> regarding the presence of neutralising antibodies in ADA-positive patients is available.</w:t>
      </w:r>
    </w:p>
    <w:p w14:paraId="20D87C6F" w14:textId="2061AB1E" w:rsidR="005312CE" w:rsidRPr="00CF5A34" w:rsidRDefault="005312CE" w:rsidP="005312CE">
      <w:pPr>
        <w:spacing w:after="240" w:line="300" w:lineRule="auto"/>
        <w:rPr>
          <w:rFonts w:ascii="Times New Roman" w:eastAsia="Times New Roman" w:hAnsi="Times New Roman" w:cs="Times New Roman"/>
          <w:kern w:val="24"/>
          <w:sz w:val="24"/>
          <w:szCs w:val="24"/>
          <w:lang w:val="en-US"/>
        </w:rPr>
      </w:pPr>
      <w:r w:rsidRPr="00CF5A34">
        <w:rPr>
          <w:rFonts w:ascii="Times New Roman" w:eastAsia="Times New Roman" w:hAnsi="Times New Roman" w:cs="Times New Roman"/>
          <w:kern w:val="24"/>
          <w:sz w:val="24"/>
          <w:szCs w:val="24"/>
          <w:lang w:val="en-US"/>
        </w:rPr>
        <w:t xml:space="preserve">In </w:t>
      </w:r>
      <w:r w:rsidR="00697FDC" w:rsidRPr="00CF5A34">
        <w:rPr>
          <w:rFonts w:ascii="Times New Roman" w:eastAsia="Times New Roman" w:hAnsi="Times New Roman" w:cs="Times New Roman"/>
          <w:kern w:val="24"/>
          <w:sz w:val="24"/>
          <w:szCs w:val="24"/>
          <w:lang w:val="en-US"/>
        </w:rPr>
        <w:t xml:space="preserve">the VANGUARD </w:t>
      </w:r>
      <w:r w:rsidR="00F44CB9" w:rsidRPr="00CF5A34">
        <w:rPr>
          <w:rFonts w:ascii="Times New Roman" w:eastAsia="Times New Roman" w:hAnsi="Times New Roman" w:cs="Times New Roman"/>
          <w:kern w:val="24"/>
          <w:sz w:val="24"/>
          <w:szCs w:val="24"/>
          <w:lang w:val="en-US"/>
        </w:rPr>
        <w:t>p</w:t>
      </w:r>
      <w:r w:rsidR="00697FDC" w:rsidRPr="00CF5A34">
        <w:rPr>
          <w:rFonts w:ascii="Times New Roman" w:eastAsia="Times New Roman" w:hAnsi="Times New Roman" w:cs="Times New Roman"/>
          <w:kern w:val="24"/>
          <w:sz w:val="24"/>
          <w:szCs w:val="24"/>
          <w:lang w:val="en-US"/>
        </w:rPr>
        <w:t xml:space="preserve">ivotal </w:t>
      </w:r>
      <w:r w:rsidR="00F44CB9" w:rsidRPr="00CF5A34">
        <w:rPr>
          <w:rFonts w:ascii="Times New Roman" w:eastAsia="Times New Roman" w:hAnsi="Times New Roman" w:cs="Times New Roman"/>
          <w:kern w:val="24"/>
          <w:sz w:val="24"/>
          <w:szCs w:val="24"/>
          <w:lang w:val="en-US"/>
        </w:rPr>
        <w:t>s</w:t>
      </w:r>
      <w:r w:rsidR="00697FDC" w:rsidRPr="00CF5A34">
        <w:rPr>
          <w:rFonts w:ascii="Times New Roman" w:eastAsia="Times New Roman" w:hAnsi="Times New Roman" w:cs="Times New Roman"/>
          <w:kern w:val="24"/>
          <w:sz w:val="24"/>
          <w:szCs w:val="24"/>
          <w:lang w:val="en-US"/>
        </w:rPr>
        <w:t>tudy</w:t>
      </w:r>
      <w:r w:rsidRPr="00CF5A34">
        <w:rPr>
          <w:rFonts w:ascii="Times New Roman" w:eastAsia="Times New Roman" w:hAnsi="Times New Roman" w:cs="Times New Roman"/>
          <w:kern w:val="24"/>
          <w:sz w:val="24"/>
          <w:szCs w:val="24"/>
          <w:lang w:val="en-US"/>
        </w:rPr>
        <w:t>, 1 (2.</w:t>
      </w:r>
      <w:r w:rsidR="0039460C" w:rsidRPr="00CF5A34">
        <w:rPr>
          <w:rFonts w:ascii="Times New Roman" w:eastAsia="Times New Roman" w:hAnsi="Times New Roman" w:cs="Times New Roman"/>
          <w:kern w:val="24"/>
          <w:sz w:val="24"/>
          <w:szCs w:val="24"/>
          <w:lang w:val="en-US"/>
        </w:rPr>
        <w:t>6</w:t>
      </w:r>
      <w:r w:rsidRPr="00CF5A34">
        <w:rPr>
          <w:rFonts w:ascii="Times New Roman" w:eastAsia="Times New Roman" w:hAnsi="Times New Roman" w:cs="Times New Roman"/>
          <w:kern w:val="24"/>
          <w:sz w:val="24"/>
          <w:szCs w:val="24"/>
          <w:lang w:val="en-US"/>
        </w:rPr>
        <w:t xml:space="preserve">%) </w:t>
      </w:r>
      <w:r w:rsidR="00D024E9" w:rsidRPr="00456927">
        <w:rPr>
          <w:rFonts w:ascii="Times New Roman" w:eastAsia="Times New Roman" w:hAnsi="Times New Roman" w:cs="Times New Roman"/>
          <w:kern w:val="24"/>
          <w:sz w:val="24"/>
          <w:szCs w:val="24"/>
          <w:lang w:val="en-US"/>
        </w:rPr>
        <w:t>ANDEMBRY</w:t>
      </w:r>
      <w:r w:rsidR="00FC0713" w:rsidRPr="00D274FF">
        <w:rPr>
          <w:rFonts w:ascii="Times New Roman" w:eastAsia="Times New Roman" w:hAnsi="Times New Roman" w:cs="Times New Roman"/>
          <w:kern w:val="24"/>
          <w:sz w:val="24"/>
          <w:szCs w:val="24"/>
          <w:vertAlign w:val="superscript"/>
          <w:lang w:val="en-US"/>
        </w:rPr>
        <w:t>®</w:t>
      </w:r>
      <w:r w:rsidR="004C70E0" w:rsidRPr="00CF5A34">
        <w:rPr>
          <w:rFonts w:ascii="Times New Roman" w:eastAsia="Times New Roman" w:hAnsi="Times New Roman" w:cs="Times New Roman"/>
          <w:kern w:val="24"/>
          <w:sz w:val="24"/>
          <w:szCs w:val="24"/>
          <w:lang w:val="en-US"/>
        </w:rPr>
        <w:t xml:space="preserve"> </w:t>
      </w:r>
      <w:r w:rsidRPr="00CF5A34">
        <w:rPr>
          <w:rFonts w:ascii="Times New Roman" w:eastAsia="Times New Roman" w:hAnsi="Times New Roman" w:cs="Times New Roman"/>
          <w:kern w:val="24"/>
          <w:sz w:val="24"/>
          <w:szCs w:val="24"/>
          <w:lang w:val="en-US"/>
        </w:rPr>
        <w:t xml:space="preserve">treated </w:t>
      </w:r>
      <w:r w:rsidR="00EA233A" w:rsidRPr="00CF5A34">
        <w:rPr>
          <w:rFonts w:ascii="Times New Roman" w:eastAsia="Times New Roman" w:hAnsi="Times New Roman" w:cs="Times New Roman"/>
          <w:kern w:val="24"/>
          <w:sz w:val="24"/>
          <w:szCs w:val="24"/>
          <w:lang w:val="en-US"/>
        </w:rPr>
        <w:t>patient</w:t>
      </w:r>
      <w:r w:rsidRPr="00CF5A34">
        <w:rPr>
          <w:rFonts w:ascii="Times New Roman" w:eastAsia="Times New Roman" w:hAnsi="Times New Roman" w:cs="Times New Roman"/>
          <w:kern w:val="24"/>
          <w:sz w:val="24"/>
          <w:szCs w:val="24"/>
          <w:lang w:val="en-US"/>
        </w:rPr>
        <w:t xml:space="preserve"> </w:t>
      </w:r>
      <w:r w:rsidR="00CF5A34" w:rsidRPr="00CF5A34">
        <w:rPr>
          <w:rFonts w:ascii="Times New Roman" w:eastAsia="Times New Roman" w:hAnsi="Times New Roman" w:cs="Times New Roman"/>
          <w:kern w:val="24"/>
          <w:sz w:val="24"/>
          <w:szCs w:val="24"/>
          <w:lang w:val="en-US"/>
        </w:rPr>
        <w:t xml:space="preserve">had an </w:t>
      </w:r>
      <w:r w:rsidRPr="00CF5A34">
        <w:rPr>
          <w:rFonts w:ascii="Times New Roman" w:eastAsia="Times New Roman" w:hAnsi="Times New Roman" w:cs="Times New Roman"/>
          <w:kern w:val="24"/>
          <w:sz w:val="24"/>
          <w:szCs w:val="24"/>
          <w:lang w:val="en-US"/>
        </w:rPr>
        <w:t>anti-drug-antibody (ADA)-positive sample (</w:t>
      </w:r>
      <w:r w:rsidR="004A151F" w:rsidRPr="00CF5A34">
        <w:rPr>
          <w:rFonts w:ascii="Times New Roman" w:eastAsia="Times New Roman" w:hAnsi="Times New Roman" w:cs="Times New Roman"/>
          <w:kern w:val="24"/>
          <w:sz w:val="24"/>
          <w:szCs w:val="24"/>
          <w:lang w:val="en-US"/>
        </w:rPr>
        <w:t xml:space="preserve">reciprocal </w:t>
      </w:r>
      <w:r w:rsidRPr="00CF5A34">
        <w:rPr>
          <w:rFonts w:ascii="Times New Roman" w:eastAsia="Times New Roman" w:hAnsi="Times New Roman" w:cs="Times New Roman"/>
          <w:kern w:val="24"/>
          <w:sz w:val="24"/>
          <w:szCs w:val="24"/>
          <w:lang w:val="en-US"/>
        </w:rPr>
        <w:t>titre</w:t>
      </w:r>
      <w:r w:rsidR="004A151F" w:rsidRPr="00CF5A34">
        <w:rPr>
          <w:rFonts w:ascii="Times New Roman" w:eastAsia="Times New Roman" w:hAnsi="Times New Roman" w:cs="Times New Roman"/>
          <w:kern w:val="24"/>
          <w:sz w:val="24"/>
          <w:szCs w:val="24"/>
          <w:lang w:val="en-US"/>
        </w:rPr>
        <w:t xml:space="preserve"> value of</w:t>
      </w:r>
      <w:r w:rsidRPr="00CF5A34">
        <w:rPr>
          <w:rFonts w:ascii="Times New Roman" w:eastAsia="Times New Roman" w:hAnsi="Times New Roman" w:cs="Times New Roman"/>
          <w:kern w:val="24"/>
          <w:sz w:val="24"/>
          <w:szCs w:val="24"/>
          <w:lang w:val="en-US"/>
        </w:rPr>
        <w:t xml:space="preserve"> 10) during the 6-month treatment period.</w:t>
      </w:r>
      <w:r w:rsidR="00CF5A34" w:rsidRPr="00CF5A34">
        <w:rPr>
          <w:rFonts w:ascii="Times New Roman" w:eastAsia="Times New Roman" w:hAnsi="Times New Roman" w:cs="Times New Roman"/>
          <w:b/>
          <w:bCs/>
          <w:caps/>
          <w:kern w:val="24"/>
          <w:sz w:val="24"/>
          <w:szCs w:val="24"/>
        </w:rPr>
        <w:t xml:space="preserve"> </w:t>
      </w:r>
      <w:r w:rsidR="00CF5A34" w:rsidRPr="00CF5A34">
        <w:rPr>
          <w:rFonts w:ascii="Times New Roman" w:eastAsia="Times New Roman" w:hAnsi="Times New Roman" w:cs="Times New Roman"/>
          <w:kern w:val="24"/>
          <w:sz w:val="24"/>
          <w:szCs w:val="24"/>
        </w:rPr>
        <w:t>Five (3.1%) patients had at least 1 ADA-positive sample (reciprocal titre values of 10–640) during the Phase 3 open-label extension study.</w:t>
      </w:r>
    </w:p>
    <w:p w14:paraId="438E12FF" w14:textId="76093F95" w:rsidR="003F2E43" w:rsidRPr="00456927" w:rsidRDefault="005312CE" w:rsidP="005312CE">
      <w:pPr>
        <w:tabs>
          <w:tab w:val="left" w:pos="540"/>
        </w:tabs>
        <w:spacing w:after="240" w:line="300" w:lineRule="auto"/>
        <w:rPr>
          <w:rFonts w:ascii="Times New Roman" w:eastAsia="Times New Roman" w:hAnsi="Times New Roman" w:cs="Times New Roman"/>
          <w:kern w:val="24"/>
          <w:sz w:val="24"/>
          <w:szCs w:val="24"/>
        </w:rPr>
      </w:pPr>
      <w:r w:rsidRPr="00456927">
        <w:rPr>
          <w:rFonts w:ascii="Times New Roman" w:eastAsia="Times New Roman" w:hAnsi="Times New Roman" w:cs="Times New Roman"/>
          <w:kern w:val="24"/>
          <w:sz w:val="24"/>
          <w:szCs w:val="24"/>
        </w:rPr>
        <w:t xml:space="preserve">The development of ADA against </w:t>
      </w:r>
      <w:r w:rsidR="00D024E9" w:rsidRPr="00456927">
        <w:rPr>
          <w:rFonts w:ascii="Times New Roman" w:eastAsia="Times New Roman" w:hAnsi="Times New Roman" w:cs="Times New Roman"/>
          <w:kern w:val="24"/>
          <w:sz w:val="24"/>
          <w:szCs w:val="24"/>
          <w:lang w:val="en-US"/>
        </w:rPr>
        <w:t>ANDEMBRY</w:t>
      </w:r>
      <w:r w:rsidR="00FC0713" w:rsidRPr="00456927">
        <w:rPr>
          <w:rFonts w:ascii="Times New Roman" w:eastAsia="Times New Roman" w:hAnsi="Times New Roman" w:cs="Times New Roman"/>
          <w:kern w:val="24"/>
          <w:sz w:val="24"/>
          <w:szCs w:val="24"/>
          <w:vertAlign w:val="superscript"/>
          <w:lang w:val="en-US"/>
        </w:rPr>
        <w:t>®</w:t>
      </w:r>
      <w:r w:rsidR="005B2529" w:rsidRPr="00456927">
        <w:rPr>
          <w:rFonts w:ascii="Times New Roman" w:eastAsia="Times New Roman" w:hAnsi="Times New Roman" w:cs="Times New Roman"/>
          <w:kern w:val="24"/>
          <w:sz w:val="24"/>
          <w:szCs w:val="24"/>
          <w:lang w:val="en-US"/>
        </w:rPr>
        <w:t xml:space="preserve"> </w:t>
      </w:r>
      <w:r w:rsidRPr="00456927">
        <w:rPr>
          <w:rFonts w:ascii="Times New Roman" w:eastAsia="Times New Roman" w:hAnsi="Times New Roman" w:cs="Times New Roman"/>
          <w:kern w:val="24"/>
          <w:sz w:val="24"/>
          <w:szCs w:val="24"/>
        </w:rPr>
        <w:t>did not affect pharmacokinetics (PK), pharmacodynamics (PD), safety or clinical response.</w:t>
      </w:r>
    </w:p>
    <w:p w14:paraId="01B48975" w14:textId="77777777" w:rsidR="00EA0500" w:rsidRPr="00456927" w:rsidRDefault="00EA0500" w:rsidP="00EA0500">
      <w:pPr>
        <w:pStyle w:val="Heading3"/>
        <w:tabs>
          <w:tab w:val="left" w:pos="1642"/>
        </w:tabs>
        <w:spacing w:before="0" w:after="120"/>
        <w:ind w:left="720" w:hanging="720"/>
        <w:rPr>
          <w:rFonts w:ascii="Times New Roman" w:eastAsia="Times New Roman" w:hAnsi="Times New Roman" w:cs="Times New Roman"/>
          <w:bCs w:val="0"/>
          <w:kern w:val="28"/>
          <w:sz w:val="28"/>
          <w:szCs w:val="28"/>
          <w:lang w:val="en-US"/>
        </w:rPr>
      </w:pPr>
      <w:r w:rsidRPr="00456927">
        <w:rPr>
          <w:rFonts w:ascii="Times New Roman" w:eastAsia="Times New Roman" w:hAnsi="Times New Roman" w:cs="Times New Roman"/>
          <w:bCs w:val="0"/>
          <w:kern w:val="28"/>
          <w:sz w:val="28"/>
          <w:szCs w:val="28"/>
          <w:lang w:val="en-US"/>
        </w:rPr>
        <w:t xml:space="preserve">Reporting suspected adverse </w:t>
      </w:r>
      <w:r w:rsidR="00443FB9" w:rsidRPr="00456927">
        <w:rPr>
          <w:rFonts w:ascii="Times New Roman" w:eastAsia="Times New Roman" w:hAnsi="Times New Roman" w:cs="Times New Roman"/>
          <w:bCs w:val="0"/>
          <w:kern w:val="28"/>
          <w:sz w:val="28"/>
          <w:szCs w:val="28"/>
          <w:lang w:val="en-US"/>
        </w:rPr>
        <w:t>effect</w:t>
      </w:r>
      <w:r w:rsidRPr="00456927">
        <w:rPr>
          <w:rFonts w:ascii="Times New Roman" w:eastAsia="Times New Roman" w:hAnsi="Times New Roman" w:cs="Times New Roman"/>
          <w:bCs w:val="0"/>
          <w:kern w:val="28"/>
          <w:sz w:val="28"/>
          <w:szCs w:val="28"/>
          <w:lang w:val="en-US"/>
        </w:rPr>
        <w:t>s</w:t>
      </w:r>
    </w:p>
    <w:p w14:paraId="060A106B" w14:textId="77777777" w:rsidR="00EA0500" w:rsidRPr="00456927" w:rsidRDefault="00EA0500" w:rsidP="00EA0500">
      <w:pPr>
        <w:pStyle w:val="DocumentText"/>
      </w:pPr>
      <w:r w:rsidRPr="00456927">
        <w:t xml:space="preserve">Reporting suspected adverse reactions after </w:t>
      </w:r>
      <w:r w:rsidR="00443FB9" w:rsidRPr="00456927">
        <w:t>registration</w:t>
      </w:r>
      <w:r w:rsidRPr="00456927">
        <w:t xml:space="preserve"> of the medicinal product is important. It allows continued monitoring of the benefit</w:t>
      </w:r>
      <w:r w:rsidR="00443FB9" w:rsidRPr="00456927">
        <w:t>-</w:t>
      </w:r>
      <w:r w:rsidRPr="00456927">
        <w:t>risk balance of the medicinal product. Healthcare professionals are asked to report any suspected adverse reactions</w:t>
      </w:r>
      <w:r w:rsidR="00443FB9" w:rsidRPr="00456927">
        <w:t xml:space="preserve"> at www.tga.gov.au/reporting-problems</w:t>
      </w:r>
      <w:r w:rsidRPr="00456927">
        <w:t>.</w:t>
      </w:r>
    </w:p>
    <w:p w14:paraId="4B249437" w14:textId="77777777" w:rsidR="001A3992" w:rsidRPr="00456927" w:rsidRDefault="001A3992" w:rsidP="001A3992">
      <w:pPr>
        <w:pStyle w:val="Heading2"/>
        <w:keepNext/>
        <w:keepLines/>
        <w:spacing w:before="0" w:after="120"/>
        <w:rPr>
          <w:rFonts w:ascii="Times New Roman" w:hAnsi="Times New Roman" w:cs="Times New Roman"/>
          <w:sz w:val="28"/>
          <w:szCs w:val="28"/>
        </w:rPr>
      </w:pPr>
      <w:r w:rsidRPr="00456927">
        <w:rPr>
          <w:rFonts w:ascii="Times New Roman" w:hAnsi="Times New Roman" w:cs="Times New Roman"/>
          <w:sz w:val="28"/>
          <w:szCs w:val="28"/>
        </w:rPr>
        <w:t>Overdose</w:t>
      </w:r>
    </w:p>
    <w:p w14:paraId="5556ED6B" w14:textId="412A98ED" w:rsidR="005248A1" w:rsidRPr="00456927" w:rsidRDefault="00A431B4" w:rsidP="0008026F">
      <w:pPr>
        <w:pStyle w:val="DocumentText"/>
        <w:rPr>
          <w:b/>
        </w:rPr>
      </w:pPr>
      <w:r w:rsidRPr="00456927">
        <w:t>No cases of overdose were reported in clinical studies. There is no available information to identify potential signs and symptoms of overdose.</w:t>
      </w:r>
    </w:p>
    <w:p w14:paraId="02DEFE90" w14:textId="77777777" w:rsidR="00111872" w:rsidRPr="00456927" w:rsidRDefault="00111872" w:rsidP="0008026F">
      <w:pPr>
        <w:spacing w:after="240" w:line="300" w:lineRule="auto"/>
        <w:rPr>
          <w:rFonts w:ascii="Times New Roman" w:hAnsi="Times New Roman" w:cs="Times New Roman"/>
          <w:sz w:val="24"/>
          <w:szCs w:val="24"/>
        </w:rPr>
      </w:pPr>
      <w:r w:rsidRPr="00456927">
        <w:rPr>
          <w:rFonts w:ascii="Times New Roman" w:hAnsi="Times New Roman" w:cs="Times New Roman"/>
          <w:sz w:val="24"/>
          <w:szCs w:val="24"/>
        </w:rPr>
        <w:t>For information on the management of overdose, contact the Poison</w:t>
      </w:r>
      <w:r w:rsidR="00B9625C" w:rsidRPr="00456927">
        <w:rPr>
          <w:rFonts w:ascii="Times New Roman" w:hAnsi="Times New Roman" w:cs="Times New Roman"/>
          <w:sz w:val="24"/>
          <w:szCs w:val="24"/>
        </w:rPr>
        <w:t>s</w:t>
      </w:r>
      <w:r w:rsidRPr="00456927">
        <w:rPr>
          <w:rFonts w:ascii="Times New Roman" w:hAnsi="Times New Roman" w:cs="Times New Roman"/>
          <w:sz w:val="24"/>
          <w:szCs w:val="24"/>
        </w:rPr>
        <w:t xml:space="preserve"> Information Centre on 13</w:t>
      </w:r>
      <w:r w:rsidR="002413B3" w:rsidRPr="00456927">
        <w:rPr>
          <w:rFonts w:ascii="Times New Roman" w:hAnsi="Times New Roman" w:cs="Times New Roman"/>
          <w:sz w:val="24"/>
          <w:szCs w:val="24"/>
        </w:rPr>
        <w:t xml:space="preserve"> </w:t>
      </w:r>
      <w:r w:rsidRPr="00456927">
        <w:rPr>
          <w:rFonts w:ascii="Times New Roman" w:hAnsi="Times New Roman" w:cs="Times New Roman"/>
          <w:sz w:val="24"/>
          <w:szCs w:val="24"/>
        </w:rPr>
        <w:t>11</w:t>
      </w:r>
      <w:r w:rsidR="002413B3" w:rsidRPr="00456927">
        <w:rPr>
          <w:rFonts w:ascii="Times New Roman" w:hAnsi="Times New Roman" w:cs="Times New Roman"/>
          <w:sz w:val="24"/>
          <w:szCs w:val="24"/>
        </w:rPr>
        <w:t xml:space="preserve"> </w:t>
      </w:r>
      <w:r w:rsidRPr="00456927">
        <w:rPr>
          <w:rFonts w:ascii="Times New Roman" w:hAnsi="Times New Roman" w:cs="Times New Roman"/>
          <w:sz w:val="24"/>
          <w:szCs w:val="24"/>
        </w:rPr>
        <w:t>26 (Australia).</w:t>
      </w:r>
    </w:p>
    <w:p w14:paraId="3FD881E0" w14:textId="77777777" w:rsidR="001A3992" w:rsidRPr="00456927" w:rsidRDefault="001A3992" w:rsidP="002413EE">
      <w:pPr>
        <w:pStyle w:val="Heading1"/>
        <w:spacing w:before="0" w:after="120"/>
        <w:rPr>
          <w:rFonts w:ascii="Times New Roman" w:hAnsi="Times New Roman" w:cs="Times New Roman"/>
          <w:lang w:val="en-US"/>
        </w:rPr>
      </w:pPr>
      <w:r w:rsidRPr="00456927">
        <w:rPr>
          <w:rFonts w:ascii="Times New Roman" w:hAnsi="Times New Roman" w:cs="Times New Roman"/>
          <w:lang w:val="en-US"/>
        </w:rPr>
        <w:lastRenderedPageBreak/>
        <w:t>Pharmacological properties</w:t>
      </w:r>
    </w:p>
    <w:p w14:paraId="6FFB449E" w14:textId="77777777" w:rsidR="001A3992" w:rsidRPr="00456927" w:rsidRDefault="001A3992" w:rsidP="002413EE">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Pharmacodynamic properties</w:t>
      </w:r>
    </w:p>
    <w:p w14:paraId="0FFA6F40" w14:textId="77777777" w:rsidR="001A3992" w:rsidRPr="00456927" w:rsidRDefault="001A3992" w:rsidP="001A3992">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Mechanism of action</w:t>
      </w:r>
    </w:p>
    <w:p w14:paraId="016A3EE7" w14:textId="3662E1C6" w:rsidR="00D07381" w:rsidRPr="00456927" w:rsidRDefault="000F3B02" w:rsidP="00D07381">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Garadacimab is a </w:t>
      </w:r>
      <w:r w:rsidR="002A6383" w:rsidRPr="00456927">
        <w:rPr>
          <w:rFonts w:ascii="Times New Roman" w:eastAsia="Times New Roman" w:hAnsi="Times New Roman" w:cs="Times New Roman"/>
          <w:kern w:val="24"/>
          <w:sz w:val="24"/>
          <w:szCs w:val="24"/>
          <w:lang w:val="en-US"/>
        </w:rPr>
        <w:t xml:space="preserve">specific inhibitor of activated FXII. Garadacimab is a novel </w:t>
      </w:r>
      <w:r w:rsidRPr="00456927">
        <w:rPr>
          <w:rFonts w:ascii="Times New Roman" w:eastAsia="Times New Roman" w:hAnsi="Times New Roman" w:cs="Times New Roman"/>
          <w:kern w:val="24"/>
          <w:sz w:val="24"/>
          <w:szCs w:val="24"/>
          <w:lang w:val="en-US"/>
        </w:rPr>
        <w:t>fully human IgG4/lambda recombinant monoclonal antibody which binds to the catalytic domain of activated Factor XII (FXIIa and βFXIIa) and potently inhibits its catalytic activity. FXII is the first factor activated in the contact activation pathway and initiates the inflammatory bradykinin-producing kallikrein-kinin</w:t>
      </w:r>
      <w:r w:rsidR="002A6383" w:rsidRPr="00456927">
        <w:rPr>
          <w:rFonts w:ascii="Times New Roman" w:eastAsia="Times New Roman" w:hAnsi="Times New Roman" w:cs="Times New Roman"/>
          <w:kern w:val="24"/>
          <w:sz w:val="24"/>
          <w:szCs w:val="24"/>
          <w:lang w:val="en-US"/>
        </w:rPr>
        <w:t xml:space="preserve"> system</w:t>
      </w:r>
      <w:r w:rsidRPr="00456927">
        <w:rPr>
          <w:rFonts w:ascii="Times New Roman" w:eastAsia="Times New Roman" w:hAnsi="Times New Roman" w:cs="Times New Roman"/>
          <w:kern w:val="24"/>
          <w:sz w:val="24"/>
          <w:szCs w:val="24"/>
          <w:lang w:val="en-US"/>
        </w:rPr>
        <w:t>. Th</w:t>
      </w:r>
      <w:r w:rsidR="002A6383" w:rsidRPr="00456927">
        <w:rPr>
          <w:rFonts w:ascii="Times New Roman" w:eastAsia="Times New Roman" w:hAnsi="Times New Roman" w:cs="Times New Roman"/>
          <w:kern w:val="24"/>
          <w:sz w:val="24"/>
          <w:szCs w:val="24"/>
          <w:lang w:val="en-US"/>
        </w:rPr>
        <w:t>e inhibition of FXIIa</w:t>
      </w:r>
      <w:r w:rsidRPr="00456927">
        <w:rPr>
          <w:rFonts w:ascii="Times New Roman" w:eastAsia="Times New Roman" w:hAnsi="Times New Roman" w:cs="Times New Roman"/>
          <w:kern w:val="24"/>
          <w:sz w:val="24"/>
          <w:szCs w:val="24"/>
          <w:lang w:val="en-US"/>
        </w:rPr>
        <w:t xml:space="preserve"> prevents the activation of prekallikrein to kallikrein and the generation of bradykinin, which is associated with inflammation and swelling in HAE attacks, thus blocking the cascade of events leading to an HAE attack.</w:t>
      </w:r>
    </w:p>
    <w:p w14:paraId="540020C1" w14:textId="4514AE6F" w:rsidR="000F3B02" w:rsidRPr="00456927" w:rsidRDefault="000F3B02" w:rsidP="000F3B02">
      <w:pPr>
        <w:spacing w:after="120"/>
        <w:rPr>
          <w:rFonts w:ascii="Times New Roman" w:eastAsia="Times New Roman" w:hAnsi="Times New Roman" w:cs="Times New Roman"/>
          <w:b/>
          <w:i/>
          <w:kern w:val="28"/>
          <w:sz w:val="28"/>
          <w:szCs w:val="28"/>
          <w:lang w:val="en-US"/>
        </w:rPr>
      </w:pPr>
      <w:r w:rsidRPr="00456927">
        <w:rPr>
          <w:rFonts w:ascii="Times New Roman" w:eastAsia="Times New Roman" w:hAnsi="Times New Roman" w:cs="Times New Roman"/>
          <w:b/>
          <w:i/>
          <w:kern w:val="28"/>
          <w:sz w:val="28"/>
          <w:szCs w:val="28"/>
          <w:lang w:val="en-US"/>
        </w:rPr>
        <w:t>Pharmacodynamics</w:t>
      </w:r>
    </w:p>
    <w:p w14:paraId="4FCD49A1" w14:textId="42F15E52" w:rsidR="000F3B02" w:rsidRPr="00456927" w:rsidRDefault="000F3B02" w:rsidP="003C3A7B">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Concentration-dependent inhibition of FXIIa-mediated kallikrein activity was demonstrated after </w:t>
      </w:r>
      <w:r w:rsidR="00CE78A5" w:rsidRPr="00456927">
        <w:rPr>
          <w:rFonts w:ascii="Times New Roman" w:eastAsia="Times New Roman" w:hAnsi="Times New Roman" w:cs="Times New Roman"/>
          <w:kern w:val="24"/>
          <w:sz w:val="24"/>
          <w:szCs w:val="24"/>
          <w:lang w:val="en-US"/>
        </w:rPr>
        <w:t>SC ad</w:t>
      </w:r>
      <w:r w:rsidRPr="00456927">
        <w:rPr>
          <w:rFonts w:ascii="Times New Roman" w:eastAsia="Times New Roman" w:hAnsi="Times New Roman" w:cs="Times New Roman"/>
          <w:kern w:val="24"/>
          <w:sz w:val="24"/>
          <w:szCs w:val="24"/>
          <w:lang w:val="en-US"/>
        </w:rPr>
        <w:t xml:space="preserve">ministration of </w:t>
      </w:r>
      <w:r w:rsidR="00D024E9" w:rsidRPr="00456927">
        <w:rPr>
          <w:rFonts w:ascii="Times New Roman" w:eastAsia="Times New Roman" w:hAnsi="Times New Roman" w:cs="Times New Roman"/>
          <w:kern w:val="24"/>
          <w:sz w:val="24"/>
          <w:szCs w:val="24"/>
          <w:lang w:val="en-US"/>
        </w:rPr>
        <w:t>ANDEMBRY</w:t>
      </w:r>
      <w:r w:rsidR="00FC0713"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lang w:val="en-US"/>
        </w:rPr>
        <w:t xml:space="preserve"> in patients with HAE.</w:t>
      </w:r>
    </w:p>
    <w:p w14:paraId="0B8C72D8" w14:textId="7B2125E0" w:rsidR="000F3B02" w:rsidRPr="00456927" w:rsidRDefault="00C662BF" w:rsidP="000F3B02">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In the VANGUARD</w:t>
      </w:r>
      <w:r w:rsidR="004A151F" w:rsidRPr="00456927">
        <w:rPr>
          <w:rFonts w:ascii="Times New Roman" w:eastAsia="Times New Roman" w:hAnsi="Times New Roman" w:cs="Times New Roman"/>
          <w:kern w:val="24"/>
          <w:sz w:val="24"/>
          <w:szCs w:val="24"/>
          <w:lang w:val="en-US"/>
        </w:rPr>
        <w:t xml:space="preserve"> </w:t>
      </w:r>
      <w:r w:rsidR="00F44CB9">
        <w:rPr>
          <w:rFonts w:ascii="Times New Roman" w:eastAsia="Times New Roman" w:hAnsi="Times New Roman" w:cs="Times New Roman"/>
          <w:kern w:val="24"/>
          <w:sz w:val="24"/>
          <w:szCs w:val="24"/>
          <w:lang w:val="en-US"/>
        </w:rPr>
        <w:t>p</w:t>
      </w:r>
      <w:r w:rsidR="004A151F" w:rsidRPr="00456927">
        <w:rPr>
          <w:rFonts w:ascii="Times New Roman" w:eastAsia="Times New Roman" w:hAnsi="Times New Roman" w:cs="Times New Roman"/>
          <w:kern w:val="24"/>
          <w:sz w:val="24"/>
          <w:szCs w:val="24"/>
          <w:lang w:val="en-US"/>
        </w:rPr>
        <w:t xml:space="preserve">ivotal </w:t>
      </w:r>
      <w:r w:rsidRPr="00456927">
        <w:rPr>
          <w:rFonts w:ascii="Times New Roman" w:eastAsia="Times New Roman" w:hAnsi="Times New Roman" w:cs="Times New Roman"/>
          <w:kern w:val="24"/>
          <w:sz w:val="24"/>
          <w:szCs w:val="24"/>
          <w:lang w:val="en-US"/>
        </w:rPr>
        <w:t xml:space="preserve">study, </w:t>
      </w:r>
      <w:r w:rsidR="00D024E9" w:rsidRPr="00456927">
        <w:rPr>
          <w:rFonts w:ascii="Times New Roman" w:eastAsia="Times New Roman" w:hAnsi="Times New Roman" w:cs="Times New Roman"/>
          <w:kern w:val="24"/>
          <w:sz w:val="24"/>
          <w:szCs w:val="24"/>
          <w:lang w:val="en-US"/>
        </w:rPr>
        <w:t>ANDEMBRY</w:t>
      </w:r>
      <w:r w:rsidR="00FC0713" w:rsidRPr="00456927">
        <w:rPr>
          <w:rFonts w:ascii="Times New Roman" w:eastAsia="Times New Roman" w:hAnsi="Times New Roman" w:cs="Times New Roman"/>
          <w:kern w:val="24"/>
          <w:sz w:val="24"/>
          <w:szCs w:val="24"/>
          <w:vertAlign w:val="superscript"/>
          <w:lang w:val="en-US"/>
        </w:rPr>
        <w:t>®</w:t>
      </w:r>
      <w:r w:rsidR="000F3B02" w:rsidRPr="00456927">
        <w:rPr>
          <w:rFonts w:ascii="Times New Roman" w:eastAsia="Times New Roman" w:hAnsi="Times New Roman" w:cs="Times New Roman"/>
          <w:kern w:val="24"/>
          <w:sz w:val="24"/>
          <w:szCs w:val="24"/>
          <w:lang w:val="en-US"/>
        </w:rPr>
        <w:t xml:space="preserve"> did not prolong the QT/QTc interval.</w:t>
      </w:r>
    </w:p>
    <w:p w14:paraId="63FBD1D9" w14:textId="77777777" w:rsidR="001A3992" w:rsidRPr="00456927" w:rsidRDefault="001A3992" w:rsidP="006D69A9">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Clinical trials</w:t>
      </w:r>
    </w:p>
    <w:p w14:paraId="27528CC5" w14:textId="01228D74" w:rsidR="005878E7" w:rsidRPr="00456927" w:rsidRDefault="00521478" w:rsidP="006D69A9">
      <w:pPr>
        <w:keepNext/>
        <w:spacing w:after="120"/>
        <w:rPr>
          <w:rFonts w:ascii="Times New Roman" w:eastAsia="Times New Roman" w:hAnsi="Times New Roman" w:cs="Times New Roman"/>
          <w:b/>
          <w:i/>
          <w:kern w:val="28"/>
          <w:sz w:val="28"/>
          <w:szCs w:val="28"/>
          <w:lang w:val="en-US"/>
        </w:rPr>
      </w:pPr>
      <w:r w:rsidRPr="00456927">
        <w:rPr>
          <w:rFonts w:ascii="Times New Roman" w:eastAsia="Times New Roman" w:hAnsi="Times New Roman" w:cs="Times New Roman"/>
          <w:b/>
          <w:i/>
          <w:kern w:val="28"/>
          <w:sz w:val="28"/>
          <w:szCs w:val="28"/>
          <w:lang w:val="en-US"/>
        </w:rPr>
        <w:t>VANGUARD Pivotal</w:t>
      </w:r>
      <w:r w:rsidR="004A151F" w:rsidRPr="00456927">
        <w:rPr>
          <w:rFonts w:ascii="Times New Roman" w:eastAsia="Times New Roman" w:hAnsi="Times New Roman" w:cs="Times New Roman"/>
          <w:b/>
          <w:i/>
          <w:kern w:val="28"/>
          <w:sz w:val="28"/>
          <w:szCs w:val="28"/>
          <w:lang w:val="en-US"/>
        </w:rPr>
        <w:t xml:space="preserve"> Phase 3</w:t>
      </w:r>
      <w:r w:rsidRPr="00456927">
        <w:rPr>
          <w:rFonts w:ascii="Times New Roman" w:eastAsia="Times New Roman" w:hAnsi="Times New Roman" w:cs="Times New Roman"/>
          <w:b/>
          <w:i/>
          <w:kern w:val="28"/>
          <w:sz w:val="28"/>
          <w:szCs w:val="28"/>
          <w:lang w:val="en-US"/>
        </w:rPr>
        <w:t xml:space="preserve"> Study</w:t>
      </w:r>
      <w:r w:rsidR="005878E7" w:rsidRPr="00456927">
        <w:rPr>
          <w:rFonts w:ascii="Times New Roman" w:eastAsia="Times New Roman" w:hAnsi="Times New Roman" w:cs="Times New Roman"/>
          <w:b/>
          <w:i/>
          <w:kern w:val="28"/>
          <w:sz w:val="28"/>
          <w:szCs w:val="28"/>
          <w:lang w:val="en-US"/>
        </w:rPr>
        <w:t xml:space="preserve"> (NCT04656418)</w:t>
      </w:r>
    </w:p>
    <w:p w14:paraId="56E7389E" w14:textId="2F58B8BE" w:rsidR="002A6383" w:rsidRPr="00456927" w:rsidRDefault="005878E7" w:rsidP="005878E7">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The efficacy </w:t>
      </w:r>
      <w:r w:rsidR="004C66F0" w:rsidRPr="00456927">
        <w:rPr>
          <w:rFonts w:ascii="Times New Roman" w:eastAsia="Times New Roman" w:hAnsi="Times New Roman" w:cs="Times New Roman"/>
          <w:kern w:val="24"/>
          <w:sz w:val="24"/>
          <w:szCs w:val="24"/>
          <w:lang w:val="en-US"/>
        </w:rPr>
        <w:t xml:space="preserve">and safety </w:t>
      </w:r>
      <w:r w:rsidRPr="00456927">
        <w:rPr>
          <w:rFonts w:ascii="Times New Roman" w:eastAsia="Times New Roman" w:hAnsi="Times New Roman" w:cs="Times New Roman"/>
          <w:kern w:val="24"/>
          <w:sz w:val="24"/>
          <w:szCs w:val="24"/>
          <w:lang w:val="en-US"/>
        </w:rPr>
        <w:t xml:space="preserve">of </w:t>
      </w:r>
      <w:r w:rsidR="00D024E9" w:rsidRPr="00456927">
        <w:rPr>
          <w:rFonts w:ascii="Times New Roman" w:eastAsia="Times New Roman" w:hAnsi="Times New Roman" w:cs="Times New Roman"/>
          <w:kern w:val="24"/>
          <w:sz w:val="24"/>
          <w:szCs w:val="24"/>
          <w:lang w:val="en-US"/>
        </w:rPr>
        <w:t>ANDEMBRY</w:t>
      </w:r>
      <w:r w:rsidR="00FC0713"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lang w:val="en-US"/>
        </w:rPr>
        <w:t xml:space="preserve"> for the prevention of </w:t>
      </w:r>
      <w:r w:rsidR="00CE78A5" w:rsidRPr="00456927">
        <w:rPr>
          <w:rFonts w:ascii="Times New Roman" w:eastAsia="Times New Roman" w:hAnsi="Times New Roman" w:cs="Times New Roman"/>
          <w:kern w:val="24"/>
          <w:sz w:val="24"/>
          <w:szCs w:val="24"/>
          <w:lang w:val="en-US"/>
        </w:rPr>
        <w:t>HAE</w:t>
      </w:r>
      <w:r w:rsidRPr="00456927">
        <w:rPr>
          <w:rFonts w:ascii="Times New Roman" w:eastAsia="Times New Roman" w:hAnsi="Times New Roman" w:cs="Times New Roman"/>
          <w:kern w:val="24"/>
          <w:sz w:val="24"/>
          <w:szCs w:val="24"/>
          <w:lang w:val="en-US"/>
        </w:rPr>
        <w:t xml:space="preserve"> attacks in patients 12 years of age and older with Type I or II HAE </w:t>
      </w:r>
      <w:r w:rsidR="004C66F0" w:rsidRPr="00456927">
        <w:rPr>
          <w:rFonts w:ascii="Times New Roman" w:eastAsia="Times New Roman" w:hAnsi="Times New Roman" w:cs="Times New Roman"/>
          <w:kern w:val="24"/>
          <w:sz w:val="24"/>
          <w:szCs w:val="24"/>
          <w:lang w:val="en-US"/>
        </w:rPr>
        <w:t>were investigated</w:t>
      </w:r>
      <w:r w:rsidRPr="00456927">
        <w:rPr>
          <w:rFonts w:ascii="Times New Roman" w:eastAsia="Times New Roman" w:hAnsi="Times New Roman" w:cs="Times New Roman"/>
          <w:kern w:val="24"/>
          <w:sz w:val="24"/>
          <w:szCs w:val="24"/>
          <w:lang w:val="en-US"/>
        </w:rPr>
        <w:t xml:space="preserve"> in a phase 3, multicentre, randomised, double-blind, placebo-controlled parallel group study.</w:t>
      </w:r>
    </w:p>
    <w:p w14:paraId="7EF366FC" w14:textId="79B411FC" w:rsidR="005878E7" w:rsidRPr="00456927" w:rsidRDefault="005878E7" w:rsidP="005878E7">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The study included </w:t>
      </w:r>
      <w:r w:rsidR="00EA5452" w:rsidRPr="00456927">
        <w:rPr>
          <w:rFonts w:ascii="Times New Roman" w:eastAsia="Times New Roman" w:hAnsi="Times New Roman" w:cs="Times New Roman"/>
          <w:kern w:val="24"/>
          <w:sz w:val="24"/>
          <w:szCs w:val="24"/>
          <w:lang w:val="en-US"/>
        </w:rPr>
        <w:t>58</w:t>
      </w:r>
      <w:r w:rsidRPr="00456927">
        <w:rPr>
          <w:rFonts w:ascii="Times New Roman" w:eastAsia="Times New Roman" w:hAnsi="Times New Roman" w:cs="Times New Roman"/>
          <w:kern w:val="24"/>
          <w:sz w:val="24"/>
          <w:szCs w:val="24"/>
          <w:lang w:val="en-US"/>
        </w:rPr>
        <w:t xml:space="preserve"> adult and </w:t>
      </w:r>
      <w:r w:rsidR="004C66F0" w:rsidRPr="00456927">
        <w:rPr>
          <w:rFonts w:ascii="Times New Roman" w:eastAsia="Times New Roman" w:hAnsi="Times New Roman" w:cs="Times New Roman"/>
          <w:kern w:val="24"/>
          <w:sz w:val="24"/>
          <w:szCs w:val="24"/>
          <w:lang w:val="en-US"/>
        </w:rPr>
        <w:t xml:space="preserve">6 </w:t>
      </w:r>
      <w:r w:rsidR="002A6383" w:rsidRPr="00456927">
        <w:rPr>
          <w:rFonts w:ascii="Times New Roman" w:eastAsia="Times New Roman" w:hAnsi="Times New Roman" w:cs="Times New Roman"/>
          <w:kern w:val="24"/>
          <w:sz w:val="24"/>
          <w:szCs w:val="24"/>
          <w:lang w:val="en-US"/>
        </w:rPr>
        <w:t>paediatric</w:t>
      </w:r>
      <w:r w:rsidRPr="00456927">
        <w:rPr>
          <w:rFonts w:ascii="Times New Roman" w:eastAsia="Times New Roman" w:hAnsi="Times New Roman" w:cs="Times New Roman"/>
          <w:kern w:val="24"/>
          <w:sz w:val="24"/>
          <w:szCs w:val="24"/>
          <w:lang w:val="en-US"/>
        </w:rPr>
        <w:t xml:space="preserve"> patients (12 years of age and older) who experienced at least 2 attacks during the up to 2 month run-in period. Patients were randomised into 2 parallel treatment arms in a 3:2 ratio (garadacimab 200 mg monthly after an initial 400 mg loading dose or volume-match</w:t>
      </w:r>
      <w:r w:rsidR="00991A07" w:rsidRPr="00456927">
        <w:rPr>
          <w:rFonts w:ascii="Times New Roman" w:eastAsia="Times New Roman" w:hAnsi="Times New Roman" w:cs="Times New Roman"/>
          <w:kern w:val="24"/>
          <w:sz w:val="24"/>
          <w:szCs w:val="24"/>
          <w:lang w:val="en-US"/>
        </w:rPr>
        <w:t>ed</w:t>
      </w:r>
      <w:r w:rsidRPr="00456927">
        <w:rPr>
          <w:rFonts w:ascii="Times New Roman" w:eastAsia="Times New Roman" w:hAnsi="Times New Roman" w:cs="Times New Roman"/>
          <w:kern w:val="24"/>
          <w:sz w:val="24"/>
          <w:szCs w:val="24"/>
          <w:lang w:val="en-US"/>
        </w:rPr>
        <w:t xml:space="preserve"> placebo) for a 6-month treatment period. </w:t>
      </w:r>
      <w:r w:rsidR="002A6383" w:rsidRPr="00456927">
        <w:rPr>
          <w:rFonts w:ascii="Times New Roman" w:eastAsia="Times New Roman" w:hAnsi="Times New Roman" w:cs="Times New Roman"/>
          <w:kern w:val="24"/>
          <w:sz w:val="24"/>
          <w:szCs w:val="24"/>
          <w:lang w:val="en-US"/>
        </w:rPr>
        <w:t xml:space="preserve">Patients were required to discontinue other prophylactic HAE medications prior to entering the study. </w:t>
      </w:r>
      <w:r w:rsidRPr="00456927">
        <w:rPr>
          <w:rFonts w:ascii="Times New Roman" w:eastAsia="Times New Roman" w:hAnsi="Times New Roman" w:cs="Times New Roman"/>
          <w:kern w:val="24"/>
          <w:sz w:val="24"/>
          <w:szCs w:val="24"/>
          <w:lang w:val="en-US"/>
        </w:rPr>
        <w:t>All patients were allowed to use on-demand medications for treatment of HAE attacks during the study.</w:t>
      </w:r>
    </w:p>
    <w:p w14:paraId="5AC2C695" w14:textId="0C22DCE6" w:rsidR="005878E7" w:rsidRPr="00456927" w:rsidRDefault="005878E7" w:rsidP="005878E7">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Overall, 87.5% of patients had Type I HAE. A family history of HAE was reported for </w:t>
      </w:r>
      <w:r w:rsidR="00BE481B" w:rsidRPr="00456927">
        <w:rPr>
          <w:rFonts w:ascii="Times New Roman" w:eastAsia="Times New Roman" w:hAnsi="Times New Roman" w:cs="Times New Roman"/>
          <w:kern w:val="24"/>
          <w:sz w:val="24"/>
          <w:szCs w:val="24"/>
          <w:lang w:val="en-US"/>
        </w:rPr>
        <w:t>89.1</w:t>
      </w:r>
      <w:r w:rsidRPr="00456927">
        <w:rPr>
          <w:rFonts w:ascii="Times New Roman" w:eastAsia="Times New Roman" w:hAnsi="Times New Roman" w:cs="Times New Roman"/>
          <w:kern w:val="24"/>
          <w:sz w:val="24"/>
          <w:szCs w:val="24"/>
          <w:lang w:val="en-US"/>
        </w:rPr>
        <w:t>%, a history of laryngeal oedema attacks for 59.4% of patients and 32.8% were on prior prophylaxis. During the study run-in period, attack rates of ≥3 attacks/month were observed in 59.4% of patients overall.</w:t>
      </w:r>
    </w:p>
    <w:p w14:paraId="613D7BDD" w14:textId="41B70008" w:rsidR="005878E7" w:rsidRPr="00456927" w:rsidRDefault="00D024E9" w:rsidP="005878E7">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lastRenderedPageBreak/>
        <w:t>ANDEMBRY</w:t>
      </w:r>
      <w:r w:rsidR="00FC0713" w:rsidRPr="00456927">
        <w:rPr>
          <w:rFonts w:ascii="Times New Roman" w:eastAsia="Times New Roman" w:hAnsi="Times New Roman" w:cs="Times New Roman"/>
          <w:kern w:val="24"/>
          <w:sz w:val="24"/>
          <w:szCs w:val="24"/>
          <w:vertAlign w:val="superscript"/>
          <w:lang w:val="en-US"/>
        </w:rPr>
        <w:t>®</w:t>
      </w:r>
      <w:r w:rsidR="005878E7" w:rsidRPr="00456927">
        <w:rPr>
          <w:rFonts w:ascii="Times New Roman" w:eastAsia="Times New Roman" w:hAnsi="Times New Roman" w:cs="Times New Roman"/>
          <w:kern w:val="24"/>
          <w:sz w:val="24"/>
          <w:szCs w:val="24"/>
          <w:lang w:val="en-US"/>
        </w:rPr>
        <w:t xml:space="preserve"> demonstrated clinically meaningful and statistically significant efficacy when compared </w:t>
      </w:r>
      <w:r w:rsidR="007022D5" w:rsidRPr="00456927">
        <w:rPr>
          <w:rFonts w:ascii="Times New Roman" w:eastAsia="Times New Roman" w:hAnsi="Times New Roman" w:cs="Times New Roman"/>
          <w:kern w:val="24"/>
          <w:sz w:val="24"/>
          <w:szCs w:val="24"/>
          <w:lang w:val="en-US"/>
        </w:rPr>
        <w:t>with</w:t>
      </w:r>
      <w:r w:rsidR="005878E7" w:rsidRPr="00456927">
        <w:rPr>
          <w:rFonts w:ascii="Times New Roman" w:eastAsia="Times New Roman" w:hAnsi="Times New Roman" w:cs="Times New Roman"/>
          <w:kern w:val="24"/>
          <w:sz w:val="24"/>
          <w:szCs w:val="24"/>
          <w:lang w:val="en-US"/>
        </w:rPr>
        <w:t xml:space="preserve"> placebo across all primary and secondary endpoints in the Intent-to-Treat (ITT) population as seen in (</w:t>
      </w:r>
      <w:r w:rsidR="005878E7" w:rsidRPr="00456927">
        <w:rPr>
          <w:rFonts w:ascii="Times New Roman" w:eastAsia="Times New Roman" w:hAnsi="Times New Roman" w:cs="Times New Roman"/>
          <w:b/>
          <w:bCs/>
          <w:kern w:val="24"/>
          <w:sz w:val="24"/>
          <w:szCs w:val="24"/>
          <w:lang w:val="en-US"/>
        </w:rPr>
        <w:t xml:space="preserve">Table </w:t>
      </w:r>
      <w:r w:rsidR="00CF5A34">
        <w:rPr>
          <w:rFonts w:ascii="Times New Roman" w:eastAsia="Times New Roman" w:hAnsi="Times New Roman" w:cs="Times New Roman"/>
          <w:b/>
          <w:bCs/>
          <w:kern w:val="24"/>
          <w:sz w:val="24"/>
          <w:szCs w:val="24"/>
          <w:lang w:val="en-US"/>
        </w:rPr>
        <w:t>3</w:t>
      </w:r>
      <w:r w:rsidR="005878E7" w:rsidRPr="00456927">
        <w:rPr>
          <w:rFonts w:ascii="Times New Roman" w:eastAsia="Times New Roman" w:hAnsi="Times New Roman" w:cs="Times New Roman"/>
          <w:kern w:val="24"/>
          <w:sz w:val="24"/>
          <w:szCs w:val="24"/>
          <w:lang w:val="en-US"/>
        </w:rPr>
        <w:t>).</w:t>
      </w:r>
    </w:p>
    <w:p w14:paraId="0EC5A554" w14:textId="2488FDE9" w:rsidR="005878E7" w:rsidRPr="00456927" w:rsidRDefault="005878E7" w:rsidP="00A433B3">
      <w:pPr>
        <w:pStyle w:val="Caption"/>
      </w:pPr>
      <w:r w:rsidRPr="00456927">
        <w:t xml:space="preserve">Table </w:t>
      </w:r>
      <w:r w:rsidR="00CF5A34">
        <w:t>3</w:t>
      </w:r>
      <w:r w:rsidRPr="00456927">
        <w:t>: Results of Primary and Secondary Efficacy Measures (ITT Analysis Set)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21"/>
        <w:gridCol w:w="2048"/>
        <w:gridCol w:w="2047"/>
      </w:tblGrid>
      <w:tr w:rsidR="00456927" w:rsidRPr="00456927" w14:paraId="0ADB6EF8" w14:textId="77777777">
        <w:trPr>
          <w:cantSplit/>
          <w:jc w:val="center"/>
        </w:trPr>
        <w:tc>
          <w:tcPr>
            <w:tcW w:w="2729" w:type="pct"/>
          </w:tcPr>
          <w:p w14:paraId="4F644B66" w14:textId="77777777" w:rsidR="005878E7" w:rsidRPr="00456927" w:rsidRDefault="005878E7" w:rsidP="00A433B3">
            <w:pPr>
              <w:pStyle w:val="TableCellText10pt"/>
              <w:rPr>
                <w:b/>
              </w:rPr>
            </w:pPr>
          </w:p>
        </w:tc>
        <w:tc>
          <w:tcPr>
            <w:tcW w:w="1136" w:type="pct"/>
            <w:vAlign w:val="center"/>
          </w:tcPr>
          <w:p w14:paraId="55AD779F" w14:textId="3F4DF520" w:rsidR="005878E7" w:rsidRPr="00456927" w:rsidRDefault="00553863" w:rsidP="00A433B3">
            <w:pPr>
              <w:pStyle w:val="TableCellHeading10pt"/>
              <w:rPr>
                <w:szCs w:val="20"/>
              </w:rPr>
            </w:pPr>
            <w:r w:rsidRPr="00456927">
              <w:rPr>
                <w:kern w:val="24"/>
                <w:szCs w:val="20"/>
              </w:rPr>
              <w:t>ANDEMBRY</w:t>
            </w:r>
            <w:r w:rsidR="00893D34" w:rsidRPr="00456927">
              <w:rPr>
                <w:kern w:val="24"/>
                <w:szCs w:val="20"/>
                <w:vertAlign w:val="superscript"/>
              </w:rPr>
              <w:t>®</w:t>
            </w:r>
            <w:r w:rsidR="005878E7" w:rsidRPr="00456927">
              <w:rPr>
                <w:szCs w:val="20"/>
              </w:rPr>
              <w:t xml:space="preserve"> 200 mg</w:t>
            </w:r>
            <w:r w:rsidR="005878E7" w:rsidRPr="00456927">
              <w:rPr>
                <w:szCs w:val="20"/>
              </w:rPr>
              <w:br/>
              <w:t>(N = 39)</w:t>
            </w:r>
          </w:p>
        </w:tc>
        <w:tc>
          <w:tcPr>
            <w:tcW w:w="1135" w:type="pct"/>
            <w:vAlign w:val="center"/>
          </w:tcPr>
          <w:p w14:paraId="7AD2FA5B" w14:textId="77777777" w:rsidR="005878E7" w:rsidRPr="00456927" w:rsidRDefault="005878E7" w:rsidP="00A433B3">
            <w:pPr>
              <w:pStyle w:val="TableCellHeading10pt"/>
            </w:pPr>
            <w:r w:rsidRPr="00456927">
              <w:t>Placebo</w:t>
            </w:r>
            <w:r w:rsidRPr="00456927">
              <w:br/>
              <w:t>(N = 25)</w:t>
            </w:r>
          </w:p>
        </w:tc>
      </w:tr>
      <w:tr w:rsidR="00456927" w:rsidRPr="00456927" w14:paraId="3212A4AE" w14:textId="77777777">
        <w:trPr>
          <w:cantSplit/>
          <w:jc w:val="center"/>
        </w:trPr>
        <w:tc>
          <w:tcPr>
            <w:tcW w:w="2729" w:type="pct"/>
          </w:tcPr>
          <w:p w14:paraId="1F3CE7F4" w14:textId="77777777" w:rsidR="005878E7" w:rsidRPr="00456927" w:rsidRDefault="005878E7" w:rsidP="00A433B3">
            <w:pPr>
              <w:pStyle w:val="TableCellText10pt"/>
              <w:rPr>
                <w:b/>
              </w:rPr>
            </w:pPr>
            <w:r w:rsidRPr="00456927">
              <w:rPr>
                <w:b/>
              </w:rPr>
              <w:t>Number of Evaluable P</w:t>
            </w:r>
            <w:r w:rsidRPr="00456927">
              <w:rPr>
                <w:b/>
                <w:bCs/>
              </w:rPr>
              <w:t>atients</w:t>
            </w:r>
            <w:r w:rsidRPr="00456927">
              <w:rPr>
                <w:b/>
              </w:rPr>
              <w:t>, n</w:t>
            </w:r>
          </w:p>
        </w:tc>
        <w:tc>
          <w:tcPr>
            <w:tcW w:w="1136" w:type="pct"/>
            <w:vAlign w:val="center"/>
          </w:tcPr>
          <w:p w14:paraId="7E9B3688" w14:textId="77777777" w:rsidR="005878E7" w:rsidRPr="00456927" w:rsidRDefault="005878E7" w:rsidP="00A433B3">
            <w:pPr>
              <w:pStyle w:val="TableCellText10pt"/>
              <w:jc w:val="center"/>
            </w:pPr>
            <w:r w:rsidRPr="00456927">
              <w:t>39</w:t>
            </w:r>
          </w:p>
        </w:tc>
        <w:tc>
          <w:tcPr>
            <w:tcW w:w="1135" w:type="pct"/>
            <w:vAlign w:val="center"/>
          </w:tcPr>
          <w:p w14:paraId="2387F6C5" w14:textId="77777777" w:rsidR="005878E7" w:rsidRPr="00456927" w:rsidRDefault="005878E7" w:rsidP="00A433B3">
            <w:pPr>
              <w:pStyle w:val="TableCellText10pt"/>
              <w:jc w:val="center"/>
            </w:pPr>
            <w:r w:rsidRPr="00456927">
              <w:t>24</w:t>
            </w:r>
            <w:r w:rsidRPr="00456927">
              <w:rPr>
                <w:vertAlign w:val="superscript"/>
              </w:rPr>
              <w:t>a</w:t>
            </w:r>
          </w:p>
        </w:tc>
      </w:tr>
      <w:tr w:rsidR="00456927" w:rsidRPr="00456927" w14:paraId="218028D6" w14:textId="77777777">
        <w:trPr>
          <w:cantSplit/>
          <w:jc w:val="center"/>
        </w:trPr>
        <w:tc>
          <w:tcPr>
            <w:tcW w:w="2729" w:type="pct"/>
          </w:tcPr>
          <w:p w14:paraId="10447B22" w14:textId="77777777" w:rsidR="005878E7" w:rsidRPr="00456927" w:rsidRDefault="005878E7" w:rsidP="00A433B3">
            <w:pPr>
              <w:pStyle w:val="TableCellText10pt"/>
              <w:rPr>
                <w:b/>
              </w:rPr>
            </w:pPr>
            <w:r w:rsidRPr="00456927">
              <w:rPr>
                <w:b/>
              </w:rPr>
              <w:t>Number of HAE Attacks during Treatment Period</w:t>
            </w:r>
          </w:p>
        </w:tc>
        <w:tc>
          <w:tcPr>
            <w:tcW w:w="1136" w:type="pct"/>
            <w:vAlign w:val="center"/>
          </w:tcPr>
          <w:p w14:paraId="2E348B9D" w14:textId="77777777" w:rsidR="005878E7" w:rsidRPr="00456927" w:rsidRDefault="005878E7" w:rsidP="00A433B3">
            <w:pPr>
              <w:pStyle w:val="TableCellText10pt"/>
              <w:jc w:val="center"/>
            </w:pPr>
            <w:r w:rsidRPr="00456927">
              <w:t>63</w:t>
            </w:r>
          </w:p>
        </w:tc>
        <w:tc>
          <w:tcPr>
            <w:tcW w:w="1135" w:type="pct"/>
            <w:vAlign w:val="center"/>
          </w:tcPr>
          <w:p w14:paraId="30DCCBB8" w14:textId="77777777" w:rsidR="005878E7" w:rsidRPr="00456927" w:rsidRDefault="005878E7" w:rsidP="00A433B3">
            <w:pPr>
              <w:pStyle w:val="TableCellText10pt"/>
              <w:jc w:val="center"/>
            </w:pPr>
            <w:r w:rsidRPr="00456927">
              <w:t>264</w:t>
            </w:r>
          </w:p>
        </w:tc>
      </w:tr>
      <w:tr w:rsidR="00456927" w:rsidRPr="00456927" w14:paraId="450B698C" w14:textId="77777777">
        <w:trPr>
          <w:cantSplit/>
          <w:jc w:val="center"/>
        </w:trPr>
        <w:tc>
          <w:tcPr>
            <w:tcW w:w="2729" w:type="pct"/>
          </w:tcPr>
          <w:p w14:paraId="4CAB6F29" w14:textId="1D8C2051" w:rsidR="005878E7" w:rsidRPr="00456927" w:rsidRDefault="005878E7" w:rsidP="00A433B3">
            <w:pPr>
              <w:pStyle w:val="TableCellText10pt"/>
              <w:rPr>
                <w:szCs w:val="20"/>
              </w:rPr>
            </w:pPr>
            <w:r w:rsidRPr="00456927">
              <w:rPr>
                <w:b/>
              </w:rPr>
              <w:t>Time-normalised Number of HAE Attacks Per Month</w:t>
            </w:r>
          </w:p>
        </w:tc>
        <w:tc>
          <w:tcPr>
            <w:tcW w:w="1136" w:type="pct"/>
            <w:vAlign w:val="center"/>
          </w:tcPr>
          <w:p w14:paraId="67D4546E" w14:textId="77777777" w:rsidR="005878E7" w:rsidRPr="00456927" w:rsidRDefault="005878E7" w:rsidP="00A433B3">
            <w:pPr>
              <w:pStyle w:val="TableCellText10pt"/>
              <w:jc w:val="center"/>
            </w:pPr>
          </w:p>
        </w:tc>
        <w:tc>
          <w:tcPr>
            <w:tcW w:w="1135" w:type="pct"/>
            <w:vAlign w:val="center"/>
          </w:tcPr>
          <w:p w14:paraId="57B7E650" w14:textId="77777777" w:rsidR="005878E7" w:rsidRPr="00456927" w:rsidRDefault="005878E7" w:rsidP="00A433B3">
            <w:pPr>
              <w:pStyle w:val="TableCellText10pt"/>
              <w:jc w:val="center"/>
            </w:pPr>
          </w:p>
        </w:tc>
      </w:tr>
      <w:tr w:rsidR="00456927" w:rsidRPr="00456927" w14:paraId="678EC950" w14:textId="77777777">
        <w:trPr>
          <w:cantSplit/>
          <w:jc w:val="center"/>
        </w:trPr>
        <w:tc>
          <w:tcPr>
            <w:tcW w:w="2729" w:type="pct"/>
          </w:tcPr>
          <w:p w14:paraId="61DCFB92" w14:textId="77777777" w:rsidR="005878E7" w:rsidRPr="00456927" w:rsidRDefault="005878E7" w:rsidP="00A433B3">
            <w:pPr>
              <w:pStyle w:val="TableCellText10pt"/>
              <w:ind w:left="288"/>
            </w:pPr>
            <w:r w:rsidRPr="00456927">
              <w:t>Mean (SD)</w:t>
            </w:r>
          </w:p>
        </w:tc>
        <w:tc>
          <w:tcPr>
            <w:tcW w:w="1136" w:type="pct"/>
            <w:vAlign w:val="center"/>
          </w:tcPr>
          <w:p w14:paraId="75ABF677" w14:textId="77777777" w:rsidR="005878E7" w:rsidRPr="00456927" w:rsidRDefault="005878E7" w:rsidP="00A433B3">
            <w:pPr>
              <w:pStyle w:val="TableCellText10pt"/>
              <w:jc w:val="center"/>
            </w:pPr>
            <w:r w:rsidRPr="00456927">
              <w:t>0.27 (0.683)</w:t>
            </w:r>
          </w:p>
        </w:tc>
        <w:tc>
          <w:tcPr>
            <w:tcW w:w="1135" w:type="pct"/>
            <w:vAlign w:val="center"/>
          </w:tcPr>
          <w:p w14:paraId="611B18AF" w14:textId="77777777" w:rsidR="005878E7" w:rsidRPr="00456927" w:rsidRDefault="005878E7" w:rsidP="00A433B3">
            <w:pPr>
              <w:pStyle w:val="TableCellText10pt"/>
              <w:jc w:val="center"/>
            </w:pPr>
            <w:r w:rsidRPr="00456927">
              <w:t>2.01 (1.341)</w:t>
            </w:r>
          </w:p>
        </w:tc>
      </w:tr>
      <w:tr w:rsidR="00456927" w:rsidRPr="00456927" w14:paraId="786B57C6" w14:textId="77777777">
        <w:trPr>
          <w:cantSplit/>
          <w:jc w:val="center"/>
        </w:trPr>
        <w:tc>
          <w:tcPr>
            <w:tcW w:w="2729" w:type="pct"/>
          </w:tcPr>
          <w:p w14:paraId="6BCDF6CC" w14:textId="0944BD76" w:rsidR="005878E7" w:rsidRPr="00456927" w:rsidRDefault="005878E7" w:rsidP="00926FE5">
            <w:pPr>
              <w:pStyle w:val="TableCellText10pt"/>
              <w:ind w:left="539"/>
            </w:pPr>
            <w:r w:rsidRPr="00456927">
              <w:rPr>
                <w:szCs w:val="20"/>
              </w:rPr>
              <w:t>95% CI</w:t>
            </w:r>
          </w:p>
        </w:tc>
        <w:tc>
          <w:tcPr>
            <w:tcW w:w="1136" w:type="pct"/>
            <w:vAlign w:val="center"/>
          </w:tcPr>
          <w:p w14:paraId="5781F029" w14:textId="77777777" w:rsidR="005878E7" w:rsidRPr="00456927" w:rsidRDefault="005878E7" w:rsidP="00A433B3">
            <w:pPr>
              <w:pStyle w:val="TableCellText10pt"/>
              <w:jc w:val="center"/>
            </w:pPr>
            <w:r w:rsidRPr="00456927">
              <w:t>0.05, 0.49</w:t>
            </w:r>
          </w:p>
        </w:tc>
        <w:tc>
          <w:tcPr>
            <w:tcW w:w="1135" w:type="pct"/>
            <w:vAlign w:val="center"/>
          </w:tcPr>
          <w:p w14:paraId="2EE73F12" w14:textId="77777777" w:rsidR="005878E7" w:rsidRPr="00456927" w:rsidRDefault="005878E7" w:rsidP="00A433B3">
            <w:pPr>
              <w:pStyle w:val="TableCellText10pt"/>
              <w:jc w:val="center"/>
            </w:pPr>
            <w:r w:rsidRPr="00456927">
              <w:t>1.44, 2.57</w:t>
            </w:r>
          </w:p>
        </w:tc>
      </w:tr>
      <w:tr w:rsidR="00456927" w:rsidRPr="00456927" w14:paraId="24D7AC8D" w14:textId="77777777">
        <w:trPr>
          <w:cantSplit/>
          <w:jc w:val="center"/>
        </w:trPr>
        <w:tc>
          <w:tcPr>
            <w:tcW w:w="2729" w:type="pct"/>
          </w:tcPr>
          <w:p w14:paraId="491336A6" w14:textId="77777777" w:rsidR="005878E7" w:rsidRPr="00456927" w:rsidRDefault="005878E7" w:rsidP="00A433B3">
            <w:pPr>
              <w:pStyle w:val="TableCellText10pt"/>
              <w:ind w:left="288"/>
              <w:rPr>
                <w:szCs w:val="20"/>
              </w:rPr>
            </w:pPr>
            <w:r w:rsidRPr="00456927">
              <w:t>Median (IQR)</w:t>
            </w:r>
          </w:p>
        </w:tc>
        <w:tc>
          <w:tcPr>
            <w:tcW w:w="1136" w:type="pct"/>
            <w:vAlign w:val="center"/>
          </w:tcPr>
          <w:p w14:paraId="0124518E" w14:textId="77777777" w:rsidR="005878E7" w:rsidRPr="00456927" w:rsidRDefault="005878E7" w:rsidP="00A433B3">
            <w:pPr>
              <w:pStyle w:val="TableCellText10pt"/>
              <w:jc w:val="center"/>
            </w:pPr>
            <w:r w:rsidRPr="00456927">
              <w:t>0.00 (0.0 to 0.31)</w:t>
            </w:r>
          </w:p>
        </w:tc>
        <w:tc>
          <w:tcPr>
            <w:tcW w:w="1135" w:type="pct"/>
            <w:vAlign w:val="center"/>
          </w:tcPr>
          <w:p w14:paraId="6959607E" w14:textId="77777777" w:rsidR="005878E7" w:rsidRPr="00456927" w:rsidRDefault="005878E7" w:rsidP="00A433B3">
            <w:pPr>
              <w:pStyle w:val="TableCellText10pt"/>
              <w:jc w:val="center"/>
            </w:pPr>
            <w:r w:rsidRPr="00456927">
              <w:t>1.35 (1.00 to 3.20)</w:t>
            </w:r>
          </w:p>
        </w:tc>
      </w:tr>
      <w:tr w:rsidR="00456927" w:rsidRPr="00456927" w14:paraId="6FD104C3" w14:textId="77777777">
        <w:trPr>
          <w:cantSplit/>
          <w:jc w:val="center"/>
        </w:trPr>
        <w:tc>
          <w:tcPr>
            <w:tcW w:w="2729" w:type="pct"/>
          </w:tcPr>
          <w:p w14:paraId="010355F3" w14:textId="77777777" w:rsidR="005878E7" w:rsidRPr="00456927" w:rsidRDefault="005878E7" w:rsidP="00A433B3">
            <w:pPr>
              <w:pStyle w:val="TableCellText10pt"/>
              <w:ind w:left="540"/>
            </w:pPr>
            <w:r w:rsidRPr="00456927">
              <w:rPr>
                <w:b/>
              </w:rPr>
              <w:t>p-value*</w:t>
            </w:r>
          </w:p>
        </w:tc>
        <w:tc>
          <w:tcPr>
            <w:tcW w:w="2271" w:type="pct"/>
            <w:gridSpan w:val="2"/>
            <w:vAlign w:val="center"/>
          </w:tcPr>
          <w:p w14:paraId="7804EBA5" w14:textId="77777777" w:rsidR="005878E7" w:rsidRPr="00456927" w:rsidRDefault="005878E7" w:rsidP="00A433B3">
            <w:pPr>
              <w:pStyle w:val="TableCellText10pt"/>
              <w:jc w:val="center"/>
            </w:pPr>
            <w:r w:rsidRPr="00456927">
              <w:t>&lt; 0.001</w:t>
            </w:r>
          </w:p>
        </w:tc>
      </w:tr>
      <w:tr w:rsidR="00456927" w:rsidRPr="00456927" w14:paraId="1CDDDDDC" w14:textId="77777777">
        <w:trPr>
          <w:cantSplit/>
          <w:jc w:val="center"/>
        </w:trPr>
        <w:tc>
          <w:tcPr>
            <w:tcW w:w="2729" w:type="pct"/>
          </w:tcPr>
          <w:p w14:paraId="40B0A0E7" w14:textId="3C64CA8B" w:rsidR="005878E7" w:rsidRPr="00456927" w:rsidDel="007521CF" w:rsidRDefault="005878E7" w:rsidP="00A433B3">
            <w:pPr>
              <w:pStyle w:val="TableCellText10pt"/>
            </w:pPr>
            <w:r w:rsidRPr="00456927">
              <w:t>Adjusted LS mean</w:t>
            </w:r>
            <w:r w:rsidRPr="00456927">
              <w:rPr>
                <w:vertAlign w:val="superscript"/>
              </w:rPr>
              <w:t>b</w:t>
            </w:r>
            <w:r w:rsidRPr="00456927">
              <w:t xml:space="preserve"> (95% CI)</w:t>
            </w:r>
          </w:p>
        </w:tc>
        <w:tc>
          <w:tcPr>
            <w:tcW w:w="1136" w:type="pct"/>
            <w:vAlign w:val="center"/>
          </w:tcPr>
          <w:p w14:paraId="5319A5B1" w14:textId="1C83A0A5" w:rsidR="005878E7" w:rsidRPr="00456927" w:rsidRDefault="005878E7" w:rsidP="00A433B3">
            <w:pPr>
              <w:pStyle w:val="TableCellText10pt"/>
              <w:jc w:val="center"/>
            </w:pPr>
            <w:r w:rsidRPr="00456927">
              <w:t>0</w:t>
            </w:r>
            <w:r w:rsidR="063E4993" w:rsidRPr="00456927">
              <w:t>.</w:t>
            </w:r>
            <w:r w:rsidRPr="00456927">
              <w:t>22 (0</w:t>
            </w:r>
            <w:r w:rsidR="4FF0A17C" w:rsidRPr="00456927">
              <w:t>.</w:t>
            </w:r>
            <w:r w:rsidRPr="00456927">
              <w:t>11 to 0</w:t>
            </w:r>
            <w:r w:rsidR="72C5B35C" w:rsidRPr="00456927">
              <w:t>.</w:t>
            </w:r>
            <w:r w:rsidRPr="00456927">
              <w:t>47)</w:t>
            </w:r>
          </w:p>
        </w:tc>
        <w:tc>
          <w:tcPr>
            <w:tcW w:w="1135" w:type="pct"/>
            <w:vAlign w:val="center"/>
          </w:tcPr>
          <w:p w14:paraId="19F66719" w14:textId="0F077FCB" w:rsidR="005878E7" w:rsidRPr="00456927" w:rsidDel="007521CF" w:rsidRDefault="005878E7" w:rsidP="00A433B3">
            <w:pPr>
              <w:pStyle w:val="TableCellText10pt"/>
              <w:jc w:val="center"/>
            </w:pPr>
            <w:r w:rsidRPr="00456927">
              <w:t>2</w:t>
            </w:r>
            <w:r w:rsidR="585F0581" w:rsidRPr="00456927">
              <w:t>.</w:t>
            </w:r>
            <w:r w:rsidRPr="00456927">
              <w:t>07 (1</w:t>
            </w:r>
            <w:r w:rsidR="7A7191E6" w:rsidRPr="00456927">
              <w:t>.</w:t>
            </w:r>
            <w:r w:rsidRPr="00456927">
              <w:t>49 to 2</w:t>
            </w:r>
            <w:r w:rsidR="19983360" w:rsidRPr="00456927">
              <w:t>.</w:t>
            </w:r>
            <w:r w:rsidRPr="00456927">
              <w:t>87)</w:t>
            </w:r>
          </w:p>
        </w:tc>
      </w:tr>
      <w:tr w:rsidR="00456927" w:rsidRPr="00456927" w14:paraId="1E64BCB7" w14:textId="77777777">
        <w:trPr>
          <w:cantSplit/>
          <w:jc w:val="center"/>
        </w:trPr>
        <w:tc>
          <w:tcPr>
            <w:tcW w:w="5000" w:type="pct"/>
            <w:gridSpan w:val="3"/>
          </w:tcPr>
          <w:p w14:paraId="0695081C" w14:textId="77777777" w:rsidR="005878E7" w:rsidRPr="00456927" w:rsidRDefault="005878E7" w:rsidP="00A433B3">
            <w:pPr>
              <w:pStyle w:val="TableCellText10pt"/>
              <w:jc w:val="center"/>
            </w:pPr>
          </w:p>
        </w:tc>
      </w:tr>
      <w:tr w:rsidR="00456927" w:rsidRPr="00456927" w14:paraId="0D422205" w14:textId="77777777" w:rsidTr="00650EFE">
        <w:trPr>
          <w:cantSplit/>
          <w:jc w:val="center"/>
        </w:trPr>
        <w:tc>
          <w:tcPr>
            <w:tcW w:w="5000" w:type="pct"/>
            <w:gridSpan w:val="3"/>
          </w:tcPr>
          <w:p w14:paraId="717E16EB" w14:textId="44E2800C" w:rsidR="000B07D1" w:rsidRPr="00456927" w:rsidRDefault="000B07D1" w:rsidP="00650EFE">
            <w:pPr>
              <w:pStyle w:val="TableCellText10pt"/>
            </w:pPr>
            <w:r w:rsidRPr="00456927">
              <w:rPr>
                <w:b/>
              </w:rPr>
              <w:t>Percent Reduction in Time-normalised Number of HAE Attacks Relative to Placebo</w:t>
            </w:r>
          </w:p>
        </w:tc>
      </w:tr>
      <w:tr w:rsidR="00456927" w:rsidRPr="00456927" w14:paraId="1F6D3DCF" w14:textId="77777777">
        <w:trPr>
          <w:cantSplit/>
          <w:jc w:val="center"/>
        </w:trPr>
        <w:tc>
          <w:tcPr>
            <w:tcW w:w="2729" w:type="pct"/>
          </w:tcPr>
          <w:p w14:paraId="3D1FDBFB" w14:textId="566E331D" w:rsidR="005878E7" w:rsidRPr="00456927" w:rsidRDefault="005878E7" w:rsidP="000D51E2">
            <w:pPr>
              <w:pStyle w:val="TableCellText10pt"/>
              <w:ind w:left="289"/>
            </w:pPr>
            <w:r w:rsidRPr="00456927">
              <w:t>Mean (95% CI)</w:t>
            </w:r>
          </w:p>
        </w:tc>
        <w:tc>
          <w:tcPr>
            <w:tcW w:w="1136" w:type="pct"/>
            <w:vAlign w:val="center"/>
          </w:tcPr>
          <w:p w14:paraId="0A46EE93" w14:textId="77777777" w:rsidR="005878E7" w:rsidRPr="00456927" w:rsidRDefault="005878E7" w:rsidP="00A433B3">
            <w:pPr>
              <w:pStyle w:val="TableCellText10pt"/>
              <w:jc w:val="center"/>
            </w:pPr>
            <w:r w:rsidRPr="00456927">
              <w:t>86.5 (95.7, 57.9)</w:t>
            </w:r>
          </w:p>
        </w:tc>
        <w:tc>
          <w:tcPr>
            <w:tcW w:w="1135" w:type="pct"/>
            <w:vAlign w:val="center"/>
          </w:tcPr>
          <w:p w14:paraId="5E3B2E54" w14:textId="77777777" w:rsidR="005878E7" w:rsidRPr="00456927" w:rsidRDefault="005878E7" w:rsidP="00A433B3">
            <w:pPr>
              <w:pStyle w:val="TableCellText10pt"/>
              <w:jc w:val="center"/>
            </w:pPr>
          </w:p>
        </w:tc>
      </w:tr>
      <w:tr w:rsidR="00456927" w:rsidRPr="00456927" w14:paraId="4E668E7C" w14:textId="77777777">
        <w:trPr>
          <w:cantSplit/>
          <w:jc w:val="center"/>
        </w:trPr>
        <w:tc>
          <w:tcPr>
            <w:tcW w:w="2729" w:type="pct"/>
          </w:tcPr>
          <w:p w14:paraId="3CE8FA40" w14:textId="55245FFB" w:rsidR="005878E7" w:rsidRPr="00456927" w:rsidRDefault="005878E7" w:rsidP="000D51E2">
            <w:pPr>
              <w:pStyle w:val="TableCellText10pt"/>
              <w:ind w:left="289"/>
            </w:pPr>
            <w:r w:rsidRPr="00456927">
              <w:t>Median</w:t>
            </w:r>
          </w:p>
        </w:tc>
        <w:tc>
          <w:tcPr>
            <w:tcW w:w="1136" w:type="pct"/>
            <w:vAlign w:val="center"/>
          </w:tcPr>
          <w:p w14:paraId="50D5511A" w14:textId="77777777" w:rsidR="005878E7" w:rsidRPr="00456927" w:rsidRDefault="005878E7" w:rsidP="00A433B3">
            <w:pPr>
              <w:pStyle w:val="TableCellText10pt"/>
              <w:jc w:val="center"/>
            </w:pPr>
            <w:r w:rsidRPr="00456927">
              <w:t>100</w:t>
            </w:r>
          </w:p>
        </w:tc>
        <w:tc>
          <w:tcPr>
            <w:tcW w:w="1135" w:type="pct"/>
            <w:vAlign w:val="center"/>
          </w:tcPr>
          <w:p w14:paraId="229522D8" w14:textId="77777777" w:rsidR="005878E7" w:rsidRPr="00456927" w:rsidRDefault="005878E7" w:rsidP="00A433B3">
            <w:pPr>
              <w:pStyle w:val="TableCellText10pt"/>
              <w:jc w:val="center"/>
            </w:pPr>
          </w:p>
        </w:tc>
      </w:tr>
      <w:tr w:rsidR="00456927" w:rsidRPr="00456927" w14:paraId="6E44A25F" w14:textId="77777777">
        <w:trPr>
          <w:cantSplit/>
          <w:jc w:val="center"/>
        </w:trPr>
        <w:tc>
          <w:tcPr>
            <w:tcW w:w="2729" w:type="pct"/>
          </w:tcPr>
          <w:p w14:paraId="4F7518F7" w14:textId="77777777" w:rsidR="005878E7" w:rsidRPr="00456927" w:rsidRDefault="005878E7" w:rsidP="00A433B3">
            <w:pPr>
              <w:pStyle w:val="TableCellText10pt"/>
              <w:ind w:left="540"/>
            </w:pPr>
            <w:r w:rsidRPr="00456927">
              <w:rPr>
                <w:b/>
              </w:rPr>
              <w:t>p-value*</w:t>
            </w:r>
          </w:p>
        </w:tc>
        <w:tc>
          <w:tcPr>
            <w:tcW w:w="1136" w:type="pct"/>
            <w:vAlign w:val="center"/>
          </w:tcPr>
          <w:p w14:paraId="5A4BA77A" w14:textId="77777777" w:rsidR="005878E7" w:rsidRPr="00456927" w:rsidRDefault="005878E7" w:rsidP="00A433B3">
            <w:pPr>
              <w:pStyle w:val="TableCellText10pt"/>
              <w:jc w:val="center"/>
            </w:pPr>
            <w:r w:rsidRPr="00456927">
              <w:t>&lt; 0.001</w:t>
            </w:r>
          </w:p>
        </w:tc>
        <w:tc>
          <w:tcPr>
            <w:tcW w:w="1135" w:type="pct"/>
            <w:vAlign w:val="center"/>
          </w:tcPr>
          <w:p w14:paraId="2364D4CE" w14:textId="77777777" w:rsidR="005878E7" w:rsidRPr="00456927" w:rsidRDefault="005878E7" w:rsidP="00A433B3">
            <w:pPr>
              <w:pStyle w:val="TableCellText10pt"/>
              <w:jc w:val="center"/>
            </w:pPr>
          </w:p>
        </w:tc>
      </w:tr>
      <w:tr w:rsidR="00456927" w:rsidRPr="00456927" w14:paraId="4A3B124F" w14:textId="77777777">
        <w:trPr>
          <w:cantSplit/>
          <w:jc w:val="center"/>
        </w:trPr>
        <w:tc>
          <w:tcPr>
            <w:tcW w:w="2729" w:type="pct"/>
          </w:tcPr>
          <w:p w14:paraId="5A1617E9" w14:textId="77777777" w:rsidR="005878E7" w:rsidRPr="00456927" w:rsidRDefault="005878E7" w:rsidP="00A433B3">
            <w:pPr>
              <w:pStyle w:val="TableCellText10pt"/>
              <w:rPr>
                <w:b/>
              </w:rPr>
            </w:pPr>
            <w:r w:rsidRPr="00456927">
              <w:t>Adjusted mean</w:t>
            </w:r>
            <w:r w:rsidRPr="00456927">
              <w:rPr>
                <w:vertAlign w:val="superscript"/>
              </w:rPr>
              <w:t>b</w:t>
            </w:r>
            <w:r w:rsidRPr="00456927">
              <w:t xml:space="preserve"> (95% CI)</w:t>
            </w:r>
          </w:p>
        </w:tc>
        <w:tc>
          <w:tcPr>
            <w:tcW w:w="1136" w:type="pct"/>
            <w:vAlign w:val="center"/>
          </w:tcPr>
          <w:p w14:paraId="1CA03A29" w14:textId="77777777" w:rsidR="005878E7" w:rsidRPr="00456927" w:rsidRDefault="005878E7" w:rsidP="00A433B3">
            <w:pPr>
              <w:pStyle w:val="TableCellText10pt"/>
              <w:jc w:val="center"/>
            </w:pPr>
            <w:r w:rsidRPr="00456927">
              <w:t>89.2 (95.23, 75.59)</w:t>
            </w:r>
          </w:p>
        </w:tc>
        <w:tc>
          <w:tcPr>
            <w:tcW w:w="1135" w:type="pct"/>
            <w:vAlign w:val="center"/>
          </w:tcPr>
          <w:p w14:paraId="49E3FBAE" w14:textId="77777777" w:rsidR="005878E7" w:rsidRPr="00456927" w:rsidRDefault="005878E7" w:rsidP="00A433B3">
            <w:pPr>
              <w:pStyle w:val="TableCellText10pt"/>
              <w:jc w:val="center"/>
            </w:pPr>
          </w:p>
        </w:tc>
      </w:tr>
      <w:tr w:rsidR="00456927" w:rsidRPr="00456927" w14:paraId="6552127D" w14:textId="77777777">
        <w:trPr>
          <w:cantSplit/>
          <w:jc w:val="center"/>
        </w:trPr>
        <w:tc>
          <w:tcPr>
            <w:tcW w:w="2729" w:type="pct"/>
          </w:tcPr>
          <w:p w14:paraId="573A4135" w14:textId="77777777" w:rsidR="005878E7" w:rsidRPr="00456927" w:rsidRDefault="005878E7" w:rsidP="00A433B3">
            <w:pPr>
              <w:pStyle w:val="TableCellText10pt"/>
              <w:jc w:val="center"/>
              <w:rPr>
                <w:b/>
              </w:rPr>
            </w:pPr>
          </w:p>
        </w:tc>
        <w:tc>
          <w:tcPr>
            <w:tcW w:w="1136" w:type="pct"/>
            <w:vAlign w:val="center"/>
          </w:tcPr>
          <w:p w14:paraId="70E4664B" w14:textId="77777777" w:rsidR="005878E7" w:rsidRPr="00456927" w:rsidRDefault="005878E7" w:rsidP="00A433B3">
            <w:pPr>
              <w:pStyle w:val="TableCellText10pt"/>
              <w:jc w:val="center"/>
            </w:pPr>
          </w:p>
        </w:tc>
        <w:tc>
          <w:tcPr>
            <w:tcW w:w="1135" w:type="pct"/>
            <w:vAlign w:val="center"/>
          </w:tcPr>
          <w:p w14:paraId="05353580" w14:textId="77777777" w:rsidR="005878E7" w:rsidRPr="00456927" w:rsidRDefault="005878E7" w:rsidP="00A433B3">
            <w:pPr>
              <w:pStyle w:val="TableCellText10pt"/>
              <w:jc w:val="center"/>
            </w:pPr>
          </w:p>
        </w:tc>
      </w:tr>
      <w:tr w:rsidR="00456927" w:rsidRPr="00456927" w14:paraId="32944DE0" w14:textId="77777777" w:rsidTr="00760A3A">
        <w:trPr>
          <w:cantSplit/>
          <w:jc w:val="center"/>
        </w:trPr>
        <w:tc>
          <w:tcPr>
            <w:tcW w:w="5000" w:type="pct"/>
            <w:gridSpan w:val="3"/>
          </w:tcPr>
          <w:p w14:paraId="3D279538" w14:textId="329E771C" w:rsidR="00760A3A" w:rsidRPr="00456927" w:rsidRDefault="00760A3A" w:rsidP="00A433B3">
            <w:pPr>
              <w:pStyle w:val="TableCellText10pt"/>
            </w:pPr>
            <w:r w:rsidRPr="00456927">
              <w:rPr>
                <w:b/>
              </w:rPr>
              <w:t xml:space="preserve">Patients </w:t>
            </w:r>
            <w:r w:rsidR="007A6E5A" w:rsidRPr="00456927">
              <w:rPr>
                <w:b/>
              </w:rPr>
              <w:t>W</w:t>
            </w:r>
            <w:r w:rsidRPr="00456927">
              <w:rPr>
                <w:b/>
                <w:bCs/>
              </w:rPr>
              <w:t xml:space="preserve">ho </w:t>
            </w:r>
            <w:r w:rsidR="007A6E5A" w:rsidRPr="00456927">
              <w:rPr>
                <w:b/>
                <w:bCs/>
              </w:rPr>
              <w:t>W</w:t>
            </w:r>
            <w:r w:rsidRPr="00456927">
              <w:rPr>
                <w:b/>
                <w:bCs/>
              </w:rPr>
              <w:t xml:space="preserve">ere </w:t>
            </w:r>
            <w:r w:rsidR="007A6E5A" w:rsidRPr="00456927">
              <w:rPr>
                <w:b/>
                <w:bCs/>
              </w:rPr>
              <w:t>A</w:t>
            </w:r>
            <w:r w:rsidRPr="00456927">
              <w:rPr>
                <w:b/>
                <w:bCs/>
              </w:rPr>
              <w:t xml:space="preserve">ttack </w:t>
            </w:r>
            <w:r w:rsidR="007A6E5A" w:rsidRPr="00456927">
              <w:rPr>
                <w:b/>
                <w:bCs/>
              </w:rPr>
              <w:t>F</w:t>
            </w:r>
            <w:r w:rsidRPr="00456927">
              <w:rPr>
                <w:b/>
                <w:bCs/>
              </w:rPr>
              <w:t>ree</w:t>
            </w:r>
            <w:r w:rsidRPr="00456927">
              <w:rPr>
                <w:b/>
              </w:rPr>
              <w:t xml:space="preserve"> </w:t>
            </w:r>
            <w:r w:rsidR="007A6E5A" w:rsidRPr="00456927">
              <w:rPr>
                <w:b/>
              </w:rPr>
              <w:t>D</w:t>
            </w:r>
            <w:r w:rsidRPr="00456927">
              <w:rPr>
                <w:b/>
              </w:rPr>
              <w:t xml:space="preserve">uring the </w:t>
            </w:r>
            <w:r w:rsidR="007A6E5A" w:rsidRPr="00456927">
              <w:rPr>
                <w:b/>
              </w:rPr>
              <w:t>F</w:t>
            </w:r>
            <w:r w:rsidRPr="00456927">
              <w:rPr>
                <w:b/>
              </w:rPr>
              <w:t xml:space="preserve">irst 3 </w:t>
            </w:r>
            <w:r w:rsidR="007A6E5A" w:rsidRPr="00456927">
              <w:rPr>
                <w:b/>
              </w:rPr>
              <w:t>M</w:t>
            </w:r>
            <w:r w:rsidRPr="00456927">
              <w:rPr>
                <w:b/>
              </w:rPr>
              <w:t xml:space="preserve">onths of </w:t>
            </w:r>
            <w:r w:rsidR="007A6E5A" w:rsidRPr="00456927">
              <w:rPr>
                <w:b/>
              </w:rPr>
              <w:t>T</w:t>
            </w:r>
            <w:r w:rsidRPr="00456927">
              <w:rPr>
                <w:b/>
              </w:rPr>
              <w:t>reatment (</w:t>
            </w:r>
            <w:r w:rsidR="007A6E5A" w:rsidRPr="00456927">
              <w:rPr>
                <w:b/>
              </w:rPr>
              <w:t>M</w:t>
            </w:r>
            <w:r w:rsidRPr="00456927">
              <w:rPr>
                <w:b/>
              </w:rPr>
              <w:t>onths 1–3)</w:t>
            </w:r>
          </w:p>
        </w:tc>
      </w:tr>
      <w:tr w:rsidR="00456927" w:rsidRPr="00456927" w14:paraId="08055693" w14:textId="77777777">
        <w:trPr>
          <w:cantSplit/>
          <w:jc w:val="center"/>
        </w:trPr>
        <w:tc>
          <w:tcPr>
            <w:tcW w:w="2729" w:type="pct"/>
          </w:tcPr>
          <w:p w14:paraId="7E7C5D9E" w14:textId="77777777" w:rsidR="005878E7" w:rsidRPr="00456927" w:rsidRDefault="005878E7" w:rsidP="00A433B3">
            <w:pPr>
              <w:pStyle w:val="TableCellText10pt"/>
              <w:ind w:left="270"/>
            </w:pPr>
            <w:r w:rsidRPr="00456927">
              <w:t>Number (%) of patients</w:t>
            </w:r>
          </w:p>
        </w:tc>
        <w:tc>
          <w:tcPr>
            <w:tcW w:w="1136" w:type="pct"/>
            <w:vAlign w:val="center"/>
          </w:tcPr>
          <w:p w14:paraId="04206F09" w14:textId="77777777" w:rsidR="005878E7" w:rsidRPr="00456927" w:rsidDel="00AD0F82" w:rsidRDefault="005878E7" w:rsidP="00A433B3">
            <w:pPr>
              <w:pStyle w:val="TableCellText10pt"/>
              <w:jc w:val="center"/>
            </w:pPr>
            <w:r w:rsidRPr="00456927">
              <w:t>28 (71.8)</w:t>
            </w:r>
          </w:p>
        </w:tc>
        <w:tc>
          <w:tcPr>
            <w:tcW w:w="1135" w:type="pct"/>
            <w:vAlign w:val="center"/>
          </w:tcPr>
          <w:p w14:paraId="6B5070D4" w14:textId="77777777" w:rsidR="005878E7" w:rsidRPr="00456927" w:rsidRDefault="005878E7" w:rsidP="00A433B3">
            <w:pPr>
              <w:pStyle w:val="TableCellText10pt"/>
              <w:jc w:val="center"/>
            </w:pPr>
            <w:r w:rsidRPr="00456927">
              <w:t>2 (8.3)</w:t>
            </w:r>
          </w:p>
        </w:tc>
      </w:tr>
      <w:tr w:rsidR="00456927" w:rsidRPr="00456927" w14:paraId="519313E7" w14:textId="77777777">
        <w:trPr>
          <w:cantSplit/>
          <w:jc w:val="center"/>
        </w:trPr>
        <w:tc>
          <w:tcPr>
            <w:tcW w:w="2729" w:type="pct"/>
          </w:tcPr>
          <w:p w14:paraId="4FD70C0F" w14:textId="77777777" w:rsidR="005878E7" w:rsidRPr="00456927" w:rsidRDefault="005878E7" w:rsidP="00A433B3">
            <w:pPr>
              <w:pStyle w:val="TableCellText10pt"/>
              <w:ind w:left="540"/>
              <w:rPr>
                <w:b/>
              </w:rPr>
            </w:pPr>
            <w:r w:rsidRPr="00456927">
              <w:t>95% CI</w:t>
            </w:r>
          </w:p>
        </w:tc>
        <w:tc>
          <w:tcPr>
            <w:tcW w:w="1136" w:type="pct"/>
            <w:vAlign w:val="center"/>
          </w:tcPr>
          <w:p w14:paraId="07F6804E" w14:textId="77777777" w:rsidR="005878E7" w:rsidRPr="00456927" w:rsidRDefault="005878E7" w:rsidP="00A433B3">
            <w:pPr>
              <w:pStyle w:val="TableCellText10pt"/>
              <w:jc w:val="center"/>
            </w:pPr>
            <w:r w:rsidRPr="00456927">
              <w:t>56.22, 83.46</w:t>
            </w:r>
          </w:p>
        </w:tc>
        <w:tc>
          <w:tcPr>
            <w:tcW w:w="1135" w:type="pct"/>
            <w:vAlign w:val="center"/>
          </w:tcPr>
          <w:p w14:paraId="16A4F68C" w14:textId="77777777" w:rsidR="005878E7" w:rsidRPr="00456927" w:rsidRDefault="005878E7" w:rsidP="00A433B3">
            <w:pPr>
              <w:pStyle w:val="TableCellText10pt"/>
              <w:jc w:val="center"/>
            </w:pPr>
            <w:r w:rsidRPr="00456927">
              <w:t>2.32, 25.85</w:t>
            </w:r>
          </w:p>
        </w:tc>
      </w:tr>
      <w:tr w:rsidR="00456927" w:rsidRPr="00456927" w14:paraId="4FAD4DC2" w14:textId="77777777">
        <w:trPr>
          <w:cantSplit/>
          <w:jc w:val="center"/>
        </w:trPr>
        <w:tc>
          <w:tcPr>
            <w:tcW w:w="2729" w:type="pct"/>
          </w:tcPr>
          <w:p w14:paraId="126F63DB" w14:textId="77777777" w:rsidR="005878E7" w:rsidRPr="00456927" w:rsidRDefault="005878E7" w:rsidP="00A433B3">
            <w:pPr>
              <w:pStyle w:val="TableCellText10pt"/>
              <w:ind w:left="540"/>
              <w:rPr>
                <w:b/>
              </w:rPr>
            </w:pPr>
            <w:r w:rsidRPr="00456927">
              <w:rPr>
                <w:b/>
              </w:rPr>
              <w:t>p-value*</w:t>
            </w:r>
          </w:p>
        </w:tc>
        <w:tc>
          <w:tcPr>
            <w:tcW w:w="2271" w:type="pct"/>
            <w:gridSpan w:val="2"/>
            <w:vAlign w:val="center"/>
          </w:tcPr>
          <w:p w14:paraId="5656815A" w14:textId="77777777" w:rsidR="005878E7" w:rsidRPr="00456927" w:rsidRDefault="005878E7" w:rsidP="00A433B3">
            <w:pPr>
              <w:pStyle w:val="TableCellText10pt"/>
              <w:jc w:val="center"/>
            </w:pPr>
            <w:r w:rsidRPr="00456927">
              <w:t>&lt; 0.001</w:t>
            </w:r>
          </w:p>
        </w:tc>
      </w:tr>
      <w:tr w:rsidR="00A8253C" w:rsidRPr="00456927" w14:paraId="12CE4B2C" w14:textId="77777777" w:rsidTr="00A8253C">
        <w:trPr>
          <w:cantSplit/>
          <w:jc w:val="center"/>
        </w:trPr>
        <w:tc>
          <w:tcPr>
            <w:tcW w:w="5000" w:type="pct"/>
            <w:gridSpan w:val="3"/>
          </w:tcPr>
          <w:p w14:paraId="446932CA" w14:textId="60D9638B" w:rsidR="00A8253C" w:rsidRPr="00A8253C" w:rsidRDefault="00A8253C" w:rsidP="00A8253C">
            <w:pPr>
              <w:pStyle w:val="TableCellText10pt"/>
              <w:rPr>
                <w:b/>
                <w:bCs/>
              </w:rPr>
            </w:pPr>
            <w:r w:rsidRPr="00A8253C">
              <w:rPr>
                <w:b/>
                <w:bCs/>
              </w:rPr>
              <w:t>Subject Global Assessment of Response to Therapy at Day 182</w:t>
            </w:r>
          </w:p>
        </w:tc>
      </w:tr>
      <w:tr w:rsidR="00A8253C" w:rsidRPr="00A8253C" w14:paraId="5C3C6657" w14:textId="77777777" w:rsidTr="00661CC0">
        <w:trPr>
          <w:cantSplit/>
          <w:jc w:val="center"/>
        </w:trPr>
        <w:tc>
          <w:tcPr>
            <w:tcW w:w="2729" w:type="pct"/>
          </w:tcPr>
          <w:p w14:paraId="392456FC" w14:textId="4D8023CF" w:rsidR="00A8253C" w:rsidRPr="00A8253C" w:rsidRDefault="00A8253C" w:rsidP="00A433B3">
            <w:pPr>
              <w:pStyle w:val="TableCellText10pt"/>
              <w:ind w:left="540"/>
              <w:rPr>
                <w:bCs/>
              </w:rPr>
            </w:pPr>
            <w:r w:rsidRPr="00A8253C">
              <w:rPr>
                <w:bCs/>
              </w:rPr>
              <w:t>Good or better</w:t>
            </w:r>
          </w:p>
        </w:tc>
        <w:tc>
          <w:tcPr>
            <w:tcW w:w="1136" w:type="pct"/>
            <w:vAlign w:val="center"/>
          </w:tcPr>
          <w:p w14:paraId="72A37EF1" w14:textId="442EEA91" w:rsidR="00A8253C" w:rsidRPr="00A8253C" w:rsidRDefault="00A8253C" w:rsidP="00A433B3">
            <w:pPr>
              <w:pStyle w:val="TableCellText10pt"/>
              <w:jc w:val="center"/>
              <w:rPr>
                <w:bCs/>
              </w:rPr>
            </w:pPr>
            <w:r>
              <w:rPr>
                <w:bCs/>
              </w:rPr>
              <w:t>31 (8</w:t>
            </w:r>
            <w:r w:rsidR="00CC3A7F">
              <w:rPr>
                <w:bCs/>
              </w:rPr>
              <w:t>2</w:t>
            </w:r>
            <w:r>
              <w:rPr>
                <w:bCs/>
              </w:rPr>
              <w:t>%)</w:t>
            </w:r>
          </w:p>
        </w:tc>
        <w:tc>
          <w:tcPr>
            <w:tcW w:w="1135" w:type="pct"/>
            <w:vAlign w:val="center"/>
          </w:tcPr>
          <w:p w14:paraId="4229E4D4" w14:textId="71A17826" w:rsidR="00A8253C" w:rsidRPr="00A8253C" w:rsidRDefault="00A8253C" w:rsidP="00A433B3">
            <w:pPr>
              <w:pStyle w:val="TableCellText10pt"/>
              <w:jc w:val="center"/>
              <w:rPr>
                <w:bCs/>
              </w:rPr>
            </w:pPr>
            <w:r>
              <w:rPr>
                <w:bCs/>
              </w:rPr>
              <w:t>8 (33%)</w:t>
            </w:r>
          </w:p>
        </w:tc>
      </w:tr>
      <w:tr w:rsidR="00661CC0" w:rsidRPr="00A8253C" w14:paraId="142525B9" w14:textId="77777777" w:rsidTr="00661CC0">
        <w:trPr>
          <w:cantSplit/>
          <w:jc w:val="center"/>
        </w:trPr>
        <w:tc>
          <w:tcPr>
            <w:tcW w:w="2729" w:type="pct"/>
          </w:tcPr>
          <w:p w14:paraId="2780FE9F" w14:textId="6E72A525" w:rsidR="00661CC0" w:rsidRPr="00A8253C" w:rsidRDefault="00661CC0" w:rsidP="00661CC0">
            <w:pPr>
              <w:pStyle w:val="TableCellText10pt"/>
              <w:ind w:left="540"/>
              <w:rPr>
                <w:bCs/>
              </w:rPr>
            </w:pPr>
            <w:r w:rsidRPr="00456927">
              <w:rPr>
                <w:b/>
              </w:rPr>
              <w:t>p-value*</w:t>
            </w:r>
          </w:p>
        </w:tc>
        <w:tc>
          <w:tcPr>
            <w:tcW w:w="2271" w:type="pct"/>
            <w:gridSpan w:val="2"/>
            <w:vAlign w:val="center"/>
          </w:tcPr>
          <w:p w14:paraId="29D2B98D" w14:textId="3F367DEB" w:rsidR="00661CC0" w:rsidRDefault="00661CC0" w:rsidP="00661CC0">
            <w:pPr>
              <w:pStyle w:val="TableCellText10pt"/>
              <w:jc w:val="center"/>
              <w:rPr>
                <w:bCs/>
              </w:rPr>
            </w:pPr>
            <w:r w:rsidRPr="00456927">
              <w:t>&lt; 0.001</w:t>
            </w:r>
          </w:p>
        </w:tc>
      </w:tr>
    </w:tbl>
    <w:p w14:paraId="74D0B08D" w14:textId="77777777" w:rsidR="005878E7" w:rsidRPr="00456927" w:rsidRDefault="005878E7" w:rsidP="005878E7">
      <w:pPr>
        <w:pStyle w:val="TableFootnote"/>
        <w:ind w:left="357" w:hanging="357"/>
      </w:pPr>
      <w:r w:rsidRPr="00456927">
        <w:t>CI = confidence interval; HAE = hereditary angioedema; ITT = intention-to-treat; N = number of patients in the ITT Analysis Set; SD = standard deviation LS = least squares.</w:t>
      </w:r>
    </w:p>
    <w:p w14:paraId="0512110E" w14:textId="6385DF15" w:rsidR="005878E7" w:rsidRPr="00456927" w:rsidRDefault="005878E7" w:rsidP="005878E7">
      <w:pPr>
        <w:spacing w:before="40" w:after="0" w:line="240" w:lineRule="auto"/>
        <w:rPr>
          <w:rFonts w:ascii="Times New Roman" w:hAnsi="Times New Roman" w:cs="Times New Roman"/>
          <w:sz w:val="20"/>
          <w:szCs w:val="20"/>
        </w:rPr>
      </w:pPr>
      <w:r w:rsidRPr="00456927">
        <w:rPr>
          <w:rFonts w:ascii="Times New Roman" w:hAnsi="Times New Roman" w:cs="Times New Roman"/>
          <w:sz w:val="20"/>
          <w:szCs w:val="20"/>
          <w:vertAlign w:val="superscript"/>
        </w:rPr>
        <w:t>a</w:t>
      </w:r>
      <w:r w:rsidRPr="00456927">
        <w:rPr>
          <w:rFonts w:ascii="Times New Roman" w:hAnsi="Times New Roman" w:cs="Times New Roman"/>
          <w:sz w:val="20"/>
          <w:szCs w:val="20"/>
          <w:lang w:val="en-US"/>
        </w:rPr>
        <w:t xml:space="preserve"> One </w:t>
      </w:r>
      <w:r w:rsidR="00C7037F" w:rsidRPr="00456927">
        <w:rPr>
          <w:rFonts w:ascii="Times New Roman" w:hAnsi="Times New Roman" w:cs="Times New Roman"/>
          <w:sz w:val="20"/>
          <w:szCs w:val="20"/>
          <w:lang w:val="en-US"/>
        </w:rPr>
        <w:t>patien</w:t>
      </w:r>
      <w:r w:rsidRPr="00456927">
        <w:rPr>
          <w:rFonts w:ascii="Times New Roman" w:hAnsi="Times New Roman" w:cs="Times New Roman"/>
          <w:sz w:val="20"/>
          <w:szCs w:val="20"/>
          <w:lang w:val="en-US"/>
        </w:rPr>
        <w:t>t had a Treatment Period of less than 30 Days and was therefore not included in the analysis</w:t>
      </w:r>
    </w:p>
    <w:p w14:paraId="2124F511" w14:textId="77777777" w:rsidR="005878E7" w:rsidRPr="00456927" w:rsidRDefault="005878E7" w:rsidP="005878E7">
      <w:pPr>
        <w:spacing w:before="40" w:after="0" w:line="240" w:lineRule="auto"/>
        <w:rPr>
          <w:rFonts w:ascii="Times New Roman" w:hAnsi="Times New Roman" w:cs="Times New Roman"/>
          <w:sz w:val="20"/>
          <w:szCs w:val="20"/>
        </w:rPr>
      </w:pPr>
      <w:r w:rsidRPr="00456927">
        <w:rPr>
          <w:rFonts w:ascii="Times New Roman" w:hAnsi="Times New Roman" w:cs="Times New Roman"/>
          <w:sz w:val="20"/>
          <w:szCs w:val="20"/>
          <w:vertAlign w:val="superscript"/>
        </w:rPr>
        <w:t>b</w:t>
      </w:r>
      <w:r w:rsidRPr="00456927">
        <w:rPr>
          <w:rFonts w:ascii="Times New Roman" w:hAnsi="Times New Roman" w:cs="Times New Roman"/>
          <w:sz w:val="20"/>
          <w:szCs w:val="20"/>
        </w:rPr>
        <w:t xml:space="preserve"> After adjusting for baseline attack rate</w:t>
      </w:r>
    </w:p>
    <w:p w14:paraId="21DA62BF" w14:textId="77777777" w:rsidR="005878E7" w:rsidRPr="00456927" w:rsidRDefault="005878E7" w:rsidP="005878E7">
      <w:pPr>
        <w:spacing w:before="40" w:after="240" w:line="240" w:lineRule="auto"/>
        <w:rPr>
          <w:rFonts w:ascii="Times New Roman" w:hAnsi="Times New Roman" w:cs="Times New Roman"/>
          <w:sz w:val="20"/>
          <w:szCs w:val="20"/>
        </w:rPr>
      </w:pPr>
      <w:r w:rsidRPr="00456927">
        <w:rPr>
          <w:rFonts w:ascii="Times New Roman" w:hAnsi="Times New Roman" w:cs="Times New Roman"/>
          <w:sz w:val="20"/>
          <w:szCs w:val="20"/>
        </w:rPr>
        <w:t>* A hierarchical testing procedure controls for the overall alpha level of 5%</w:t>
      </w:r>
    </w:p>
    <w:p w14:paraId="7405332E" w14:textId="682EC513" w:rsidR="00F064FC" w:rsidRPr="00456927" w:rsidRDefault="00F064FC" w:rsidP="00F064FC">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The minimum response was defined as a ≥50% reduction in the time normalised number of HAE attacks during the treatment period vs run-in. The proportion of patients with ≥50% reduction </w:t>
      </w:r>
      <w:r w:rsidR="00FB7FE7" w:rsidRPr="00456927">
        <w:rPr>
          <w:rFonts w:ascii="Times New Roman" w:eastAsia="Times New Roman" w:hAnsi="Times New Roman" w:cs="Times New Roman"/>
          <w:kern w:val="24"/>
          <w:sz w:val="24"/>
          <w:szCs w:val="24"/>
          <w:lang w:val="en-US"/>
        </w:rPr>
        <w:t>(responders)</w:t>
      </w:r>
      <w:r w:rsidR="008146FF" w:rsidRPr="00456927">
        <w:rPr>
          <w:rFonts w:ascii="Times New Roman" w:eastAsia="Times New Roman" w:hAnsi="Times New Roman" w:cs="Times New Roman"/>
          <w:kern w:val="24"/>
          <w:sz w:val="24"/>
          <w:szCs w:val="24"/>
          <w:lang w:val="en-US"/>
        </w:rPr>
        <w:t xml:space="preserve">, </w:t>
      </w:r>
      <w:r w:rsidR="001B2E9D" w:rsidRPr="00456927">
        <w:rPr>
          <w:rFonts w:ascii="Times New Roman" w:eastAsia="Times New Roman" w:hAnsi="Times New Roman" w:cs="Times New Roman"/>
          <w:kern w:val="24"/>
          <w:sz w:val="24"/>
          <w:szCs w:val="24"/>
          <w:lang w:val="en-US"/>
        </w:rPr>
        <w:t>≥70% reduction and ≥</w:t>
      </w:r>
      <w:r w:rsidR="003405E6" w:rsidRPr="00456927">
        <w:rPr>
          <w:rFonts w:ascii="Times New Roman" w:eastAsia="Times New Roman" w:hAnsi="Times New Roman" w:cs="Times New Roman"/>
          <w:kern w:val="24"/>
          <w:sz w:val="24"/>
          <w:szCs w:val="24"/>
          <w:lang w:val="en-US"/>
        </w:rPr>
        <w:t xml:space="preserve">90% reduction in HAE attack rates during the treatment period </w:t>
      </w:r>
      <w:r w:rsidR="000163C5" w:rsidRPr="00456927">
        <w:rPr>
          <w:rFonts w:ascii="Times New Roman" w:eastAsia="Times New Roman" w:hAnsi="Times New Roman" w:cs="Times New Roman"/>
          <w:kern w:val="24"/>
          <w:sz w:val="24"/>
          <w:szCs w:val="24"/>
          <w:lang w:val="en-US"/>
        </w:rPr>
        <w:t xml:space="preserve">compared to run-in is presented below in </w:t>
      </w:r>
      <w:r w:rsidR="000163C5" w:rsidRPr="00456927">
        <w:rPr>
          <w:rFonts w:ascii="Times New Roman" w:eastAsia="Times New Roman" w:hAnsi="Times New Roman" w:cs="Times New Roman"/>
          <w:b/>
          <w:bCs/>
          <w:kern w:val="24"/>
          <w:sz w:val="24"/>
          <w:szCs w:val="24"/>
          <w:lang w:val="en-US"/>
        </w:rPr>
        <w:t xml:space="preserve">Table </w:t>
      </w:r>
      <w:r w:rsidR="00FC4085" w:rsidRPr="00456927">
        <w:rPr>
          <w:rFonts w:ascii="Times New Roman" w:eastAsia="Times New Roman" w:hAnsi="Times New Roman" w:cs="Times New Roman"/>
          <w:b/>
          <w:bCs/>
          <w:kern w:val="24"/>
          <w:sz w:val="24"/>
          <w:szCs w:val="24"/>
          <w:lang w:val="en-US"/>
        </w:rPr>
        <w:t>4</w:t>
      </w:r>
      <w:r w:rsidR="0057714A" w:rsidRPr="00456927">
        <w:rPr>
          <w:rFonts w:ascii="Times New Roman" w:eastAsia="Times New Roman" w:hAnsi="Times New Roman" w:cs="Times New Roman"/>
          <w:kern w:val="24"/>
          <w:sz w:val="24"/>
          <w:szCs w:val="24"/>
          <w:lang w:val="en-US"/>
        </w:rPr>
        <w:t>.</w:t>
      </w:r>
      <w:r w:rsidR="00FB7FE7" w:rsidRPr="00456927">
        <w:rPr>
          <w:rFonts w:ascii="Times New Roman" w:eastAsia="Times New Roman" w:hAnsi="Times New Roman" w:cs="Times New Roman"/>
          <w:kern w:val="24"/>
          <w:sz w:val="24"/>
          <w:szCs w:val="24"/>
          <w:lang w:val="en-US"/>
        </w:rPr>
        <w:t xml:space="preserve"> </w:t>
      </w:r>
      <w:r w:rsidR="00C1289B">
        <w:rPr>
          <w:rFonts w:ascii="Times New Roman" w:eastAsia="Times New Roman" w:hAnsi="Times New Roman" w:cs="Times New Roman"/>
          <w:kern w:val="24"/>
          <w:sz w:val="24"/>
          <w:szCs w:val="24"/>
          <w:lang w:val="en-US"/>
        </w:rPr>
        <w:t>71.8</w:t>
      </w:r>
      <w:r w:rsidR="002E52CD">
        <w:rPr>
          <w:rFonts w:ascii="Times New Roman" w:eastAsia="Times New Roman" w:hAnsi="Times New Roman" w:cs="Times New Roman"/>
          <w:kern w:val="24"/>
          <w:sz w:val="24"/>
          <w:szCs w:val="24"/>
          <w:lang w:val="en-US"/>
        </w:rPr>
        <w:t>%</w:t>
      </w:r>
      <w:r w:rsidR="00C1289B">
        <w:rPr>
          <w:rFonts w:ascii="Times New Roman" w:eastAsia="Times New Roman" w:hAnsi="Times New Roman" w:cs="Times New Roman"/>
          <w:kern w:val="24"/>
          <w:sz w:val="24"/>
          <w:szCs w:val="24"/>
          <w:lang w:val="en-US"/>
        </w:rPr>
        <w:t xml:space="preserve"> </w:t>
      </w:r>
      <w:r w:rsidR="00CD33D4" w:rsidRPr="00456927">
        <w:rPr>
          <w:rFonts w:ascii="Times New Roman" w:eastAsia="Times New Roman" w:hAnsi="Times New Roman" w:cs="Times New Roman"/>
          <w:kern w:val="24"/>
          <w:sz w:val="24"/>
          <w:szCs w:val="24"/>
          <w:lang w:val="en-US"/>
        </w:rPr>
        <w:t>of patients</w:t>
      </w:r>
      <w:r w:rsidR="00145524" w:rsidRPr="00456927">
        <w:rPr>
          <w:rFonts w:ascii="Times New Roman" w:eastAsia="Times New Roman" w:hAnsi="Times New Roman" w:cs="Times New Roman"/>
          <w:kern w:val="24"/>
          <w:sz w:val="24"/>
          <w:szCs w:val="24"/>
          <w:lang w:val="en-US"/>
        </w:rPr>
        <w:t xml:space="preserve"> </w:t>
      </w:r>
      <w:r w:rsidR="00C1289B">
        <w:rPr>
          <w:rFonts w:ascii="Times New Roman" w:eastAsia="Times New Roman" w:hAnsi="Times New Roman" w:cs="Times New Roman"/>
          <w:kern w:val="24"/>
          <w:sz w:val="24"/>
          <w:szCs w:val="24"/>
          <w:lang w:val="en-US"/>
        </w:rPr>
        <w:t>treated with ANDEMBRY</w:t>
      </w:r>
      <w:r w:rsidR="00C1289B" w:rsidRPr="00456927">
        <w:rPr>
          <w:rFonts w:ascii="Times New Roman" w:eastAsia="Times New Roman" w:hAnsi="Times New Roman" w:cs="Times New Roman"/>
          <w:kern w:val="24"/>
          <w:sz w:val="24"/>
          <w:szCs w:val="24"/>
          <w:vertAlign w:val="superscript"/>
          <w:lang w:val="en-US"/>
        </w:rPr>
        <w:t>®</w:t>
      </w:r>
      <w:r w:rsidR="00C1289B">
        <w:rPr>
          <w:rFonts w:ascii="Times New Roman" w:eastAsia="Times New Roman" w:hAnsi="Times New Roman" w:cs="Times New Roman"/>
          <w:kern w:val="24"/>
          <w:sz w:val="24"/>
          <w:szCs w:val="24"/>
          <w:lang w:val="en-US"/>
        </w:rPr>
        <w:t xml:space="preserve"> </w:t>
      </w:r>
      <w:r w:rsidR="00145524" w:rsidRPr="00456927">
        <w:rPr>
          <w:rFonts w:ascii="Times New Roman" w:eastAsia="Times New Roman" w:hAnsi="Times New Roman" w:cs="Times New Roman"/>
          <w:kern w:val="24"/>
          <w:sz w:val="24"/>
          <w:szCs w:val="24"/>
          <w:lang w:val="en-US"/>
        </w:rPr>
        <w:t>were attack</w:t>
      </w:r>
      <w:r w:rsidR="0027136D" w:rsidRPr="00456927">
        <w:rPr>
          <w:rFonts w:ascii="Times New Roman" w:eastAsia="Times New Roman" w:hAnsi="Times New Roman" w:cs="Times New Roman"/>
          <w:kern w:val="24"/>
          <w:sz w:val="24"/>
          <w:szCs w:val="24"/>
          <w:lang w:val="en-US"/>
        </w:rPr>
        <w:t xml:space="preserve">-free throughout the first 3 months of treatment </w:t>
      </w:r>
      <w:r w:rsidR="00310105" w:rsidRPr="00456927">
        <w:rPr>
          <w:rFonts w:ascii="Times New Roman" w:eastAsia="Times New Roman" w:hAnsi="Times New Roman" w:cs="Times New Roman"/>
          <w:kern w:val="24"/>
          <w:sz w:val="24"/>
          <w:szCs w:val="24"/>
          <w:lang w:val="en-US"/>
        </w:rPr>
        <w:t xml:space="preserve">vs. 8.3% of patients treated with placebo. </w:t>
      </w:r>
      <w:r w:rsidR="00E606B8" w:rsidRPr="00456927">
        <w:rPr>
          <w:rFonts w:ascii="Times New Roman" w:eastAsia="Times New Roman" w:hAnsi="Times New Roman" w:cs="Times New Roman"/>
          <w:kern w:val="24"/>
          <w:sz w:val="24"/>
          <w:szCs w:val="24"/>
          <w:lang w:val="en-US"/>
        </w:rPr>
        <w:t xml:space="preserve">Over the </w:t>
      </w:r>
      <w:r w:rsidR="00CD42CD" w:rsidRPr="00456927">
        <w:rPr>
          <w:rFonts w:ascii="Times New Roman" w:eastAsia="Times New Roman" w:hAnsi="Times New Roman" w:cs="Times New Roman"/>
          <w:kern w:val="24"/>
          <w:sz w:val="24"/>
          <w:szCs w:val="24"/>
          <w:lang w:val="en-US"/>
        </w:rPr>
        <w:t>entire 6 months of treatment, t</w:t>
      </w:r>
      <w:r w:rsidR="002A79F4" w:rsidRPr="00456927">
        <w:rPr>
          <w:rFonts w:ascii="Times New Roman" w:eastAsia="Times New Roman" w:hAnsi="Times New Roman" w:cs="Times New Roman"/>
          <w:kern w:val="24"/>
          <w:sz w:val="24"/>
          <w:szCs w:val="24"/>
          <w:lang w:val="en-US"/>
        </w:rPr>
        <w:t>he percentage of attack-</w:t>
      </w:r>
      <w:r w:rsidR="002A79F4" w:rsidRPr="00456927">
        <w:rPr>
          <w:rFonts w:ascii="Times New Roman" w:eastAsia="Times New Roman" w:hAnsi="Times New Roman" w:cs="Times New Roman"/>
          <w:kern w:val="24"/>
          <w:sz w:val="24"/>
          <w:szCs w:val="24"/>
          <w:lang w:val="en-US"/>
        </w:rPr>
        <w:lastRenderedPageBreak/>
        <w:t>free patients was 61.5% in the ANDEMBRY</w:t>
      </w:r>
      <w:r w:rsidR="002A79F4" w:rsidRPr="00456927">
        <w:rPr>
          <w:rFonts w:ascii="Times New Roman" w:eastAsia="Times New Roman" w:hAnsi="Times New Roman" w:cs="Times New Roman"/>
          <w:kern w:val="24"/>
          <w:sz w:val="24"/>
          <w:szCs w:val="24"/>
          <w:vertAlign w:val="superscript"/>
          <w:lang w:val="en-US"/>
        </w:rPr>
        <w:t>®</w:t>
      </w:r>
      <w:r w:rsidR="002A79F4" w:rsidRPr="00456927">
        <w:rPr>
          <w:rFonts w:ascii="Times New Roman" w:eastAsia="Times New Roman" w:hAnsi="Times New Roman" w:cs="Times New Roman"/>
          <w:kern w:val="24"/>
          <w:sz w:val="24"/>
          <w:szCs w:val="24"/>
          <w:lang w:val="en-US"/>
        </w:rPr>
        <w:t xml:space="preserve"> arm compared with </w:t>
      </w:r>
      <w:r w:rsidR="00D22400" w:rsidRPr="00456927">
        <w:rPr>
          <w:rFonts w:ascii="Times New Roman" w:eastAsia="Times New Roman" w:hAnsi="Times New Roman" w:cs="Times New Roman"/>
          <w:kern w:val="24"/>
          <w:sz w:val="24"/>
          <w:szCs w:val="24"/>
          <w:lang w:val="en-US"/>
        </w:rPr>
        <w:t>zero</w:t>
      </w:r>
      <w:r w:rsidR="002A79F4" w:rsidRPr="00456927">
        <w:rPr>
          <w:rFonts w:ascii="Times New Roman" w:eastAsia="Times New Roman" w:hAnsi="Times New Roman" w:cs="Times New Roman"/>
          <w:kern w:val="24"/>
          <w:sz w:val="24"/>
          <w:szCs w:val="24"/>
          <w:lang w:val="en-US"/>
        </w:rPr>
        <w:t xml:space="preserve"> patients</w:t>
      </w:r>
      <w:r w:rsidR="00D22400" w:rsidRPr="00456927">
        <w:rPr>
          <w:rFonts w:ascii="Times New Roman" w:eastAsia="Times New Roman" w:hAnsi="Times New Roman" w:cs="Times New Roman"/>
          <w:kern w:val="24"/>
          <w:sz w:val="24"/>
          <w:szCs w:val="24"/>
          <w:lang w:val="en-US"/>
        </w:rPr>
        <w:t xml:space="preserve"> attack-free</w:t>
      </w:r>
      <w:r w:rsidR="002A79F4" w:rsidRPr="00456927">
        <w:rPr>
          <w:rFonts w:ascii="Times New Roman" w:eastAsia="Times New Roman" w:hAnsi="Times New Roman" w:cs="Times New Roman"/>
          <w:kern w:val="24"/>
          <w:sz w:val="24"/>
          <w:szCs w:val="24"/>
          <w:lang w:val="en-US"/>
        </w:rPr>
        <w:t xml:space="preserve"> in </w:t>
      </w:r>
      <w:r w:rsidR="00896DD2" w:rsidRPr="00456927">
        <w:rPr>
          <w:rFonts w:ascii="Times New Roman" w:eastAsia="Times New Roman" w:hAnsi="Times New Roman" w:cs="Times New Roman"/>
          <w:kern w:val="24"/>
          <w:sz w:val="24"/>
          <w:szCs w:val="24"/>
          <w:lang w:val="en-US"/>
        </w:rPr>
        <w:t xml:space="preserve">the </w:t>
      </w:r>
      <w:r w:rsidR="002A79F4" w:rsidRPr="00456927">
        <w:rPr>
          <w:rFonts w:ascii="Times New Roman" w:eastAsia="Times New Roman" w:hAnsi="Times New Roman" w:cs="Times New Roman"/>
          <w:kern w:val="24"/>
          <w:sz w:val="24"/>
          <w:szCs w:val="24"/>
          <w:lang w:val="en-US"/>
        </w:rPr>
        <w:t>placebo arm.</w:t>
      </w:r>
    </w:p>
    <w:p w14:paraId="7D3352CA" w14:textId="0E133831" w:rsidR="00180123" w:rsidRPr="00456927" w:rsidRDefault="00180123" w:rsidP="002E1D47">
      <w:pPr>
        <w:pStyle w:val="Caption"/>
        <w:ind w:left="862" w:hanging="862"/>
      </w:pPr>
      <w:r w:rsidRPr="00456927">
        <w:t>Table</w:t>
      </w:r>
      <w:r w:rsidR="00CB3DF4" w:rsidRPr="00456927">
        <w:t xml:space="preserve"> 4</w:t>
      </w:r>
      <w:r w:rsidRPr="00456927">
        <w:t xml:space="preserve">: </w:t>
      </w:r>
      <w:r w:rsidR="00FD4AFF" w:rsidRPr="00456927">
        <w:t>Analysis of Responders (IT</w:t>
      </w:r>
      <w:r w:rsidRPr="00456927">
        <w:t>T Analysis Set)</w:t>
      </w:r>
    </w:p>
    <w:tbl>
      <w:tblPr>
        <w:tblW w:w="4999" w:type="pct"/>
        <w:jc w:val="center"/>
        <w:tblCellMar>
          <w:left w:w="0" w:type="dxa"/>
          <w:right w:w="0" w:type="dxa"/>
        </w:tblCellMar>
        <w:tblLook w:val="0000" w:firstRow="0" w:lastRow="0" w:firstColumn="0" w:lastColumn="0" w:noHBand="0" w:noVBand="0"/>
      </w:tblPr>
      <w:tblGrid>
        <w:gridCol w:w="4390"/>
        <w:gridCol w:w="2268"/>
        <w:gridCol w:w="2356"/>
      </w:tblGrid>
      <w:tr w:rsidR="00456927" w:rsidRPr="00456927" w14:paraId="1B9ACBE7" w14:textId="77777777" w:rsidTr="00084F54">
        <w:trPr>
          <w:cantSplit/>
          <w:tblHeader/>
          <w:jc w:val="center"/>
        </w:trPr>
        <w:tc>
          <w:tcPr>
            <w:tcW w:w="2435" w:type="pct"/>
            <w:tcBorders>
              <w:top w:val="single" w:sz="4" w:space="0" w:color="auto"/>
              <w:left w:val="single" w:sz="4" w:space="0" w:color="auto"/>
              <w:bottom w:val="single" w:sz="4" w:space="0" w:color="auto"/>
              <w:right w:val="single" w:sz="4" w:space="0" w:color="auto"/>
            </w:tcBorders>
          </w:tcPr>
          <w:p w14:paraId="34FC06E5" w14:textId="77777777" w:rsidR="00180123" w:rsidRPr="00456927" w:rsidRDefault="00180123" w:rsidP="002E1D47">
            <w:pPr>
              <w:keepNext/>
              <w:adjustRightInd w:val="0"/>
              <w:spacing w:before="40" w:after="40" w:line="240" w:lineRule="auto"/>
              <w:rPr>
                <w:rFonts w:ascii="Times New Roman" w:hAnsi="Times New Roman" w:cs="Times New Roman"/>
                <w:b/>
                <w:sz w:val="20"/>
              </w:rPr>
            </w:pPr>
          </w:p>
        </w:tc>
        <w:tc>
          <w:tcPr>
            <w:tcW w:w="1258" w:type="pct"/>
            <w:tcBorders>
              <w:top w:val="single" w:sz="4" w:space="0" w:color="auto"/>
              <w:left w:val="single" w:sz="4" w:space="0" w:color="auto"/>
              <w:bottom w:val="single" w:sz="4" w:space="0" w:color="auto"/>
              <w:right w:val="single" w:sz="4" w:space="0" w:color="auto"/>
            </w:tcBorders>
            <w:vAlign w:val="center"/>
          </w:tcPr>
          <w:p w14:paraId="43A14E3E" w14:textId="760EAC90" w:rsidR="00180123" w:rsidRPr="00456927" w:rsidRDefault="00553863" w:rsidP="002E1D47">
            <w:pPr>
              <w:pStyle w:val="TableCellHeading10pt"/>
            </w:pPr>
            <w:r w:rsidRPr="00456927">
              <w:rPr>
                <w:kern w:val="24"/>
                <w:szCs w:val="20"/>
              </w:rPr>
              <w:t>ANDEMBRY</w:t>
            </w:r>
            <w:r w:rsidR="00180123" w:rsidRPr="00456927">
              <w:rPr>
                <w:kern w:val="24"/>
                <w:szCs w:val="20"/>
                <w:vertAlign w:val="superscript"/>
              </w:rPr>
              <w:t>®</w:t>
            </w:r>
            <w:r w:rsidR="00180123" w:rsidRPr="00456927">
              <w:rPr>
                <w:szCs w:val="20"/>
              </w:rPr>
              <w:t xml:space="preserve"> 200 mg</w:t>
            </w:r>
            <w:r w:rsidR="00180123" w:rsidRPr="00456927">
              <w:br/>
              <w:t>(N = 39)</w:t>
            </w:r>
          </w:p>
        </w:tc>
        <w:tc>
          <w:tcPr>
            <w:tcW w:w="1307" w:type="pct"/>
            <w:tcBorders>
              <w:top w:val="single" w:sz="4" w:space="0" w:color="auto"/>
              <w:left w:val="single" w:sz="4" w:space="0" w:color="auto"/>
              <w:bottom w:val="single" w:sz="4" w:space="0" w:color="auto"/>
              <w:right w:val="single" w:sz="4" w:space="0" w:color="auto"/>
            </w:tcBorders>
            <w:vAlign w:val="center"/>
          </w:tcPr>
          <w:p w14:paraId="1E436C34" w14:textId="77777777" w:rsidR="00180123" w:rsidRPr="00456927" w:rsidRDefault="00180123" w:rsidP="002E1D47">
            <w:pPr>
              <w:pStyle w:val="TableCellHeading10pt"/>
            </w:pPr>
            <w:r w:rsidRPr="00456927">
              <w:t>Placebo</w:t>
            </w:r>
            <w:r w:rsidRPr="00456927">
              <w:br/>
              <w:t>(N = 25)</w:t>
            </w:r>
          </w:p>
        </w:tc>
      </w:tr>
      <w:tr w:rsidR="00456927" w:rsidRPr="00456927" w14:paraId="446723EF" w14:textId="77777777" w:rsidTr="00084F54">
        <w:trPr>
          <w:cantSplit/>
          <w:trHeight w:val="426"/>
          <w:jc w:val="center"/>
        </w:trPr>
        <w:tc>
          <w:tcPr>
            <w:tcW w:w="2435" w:type="pct"/>
            <w:tcBorders>
              <w:top w:val="single" w:sz="4" w:space="0" w:color="auto"/>
              <w:left w:val="single" w:sz="4" w:space="0" w:color="auto"/>
              <w:bottom w:val="single" w:sz="4" w:space="0" w:color="auto"/>
              <w:right w:val="single" w:sz="4" w:space="0" w:color="auto"/>
            </w:tcBorders>
          </w:tcPr>
          <w:p w14:paraId="1C8D1B8F" w14:textId="77777777" w:rsidR="00180123" w:rsidRPr="00456927" w:rsidRDefault="00180123" w:rsidP="002E1D47">
            <w:pPr>
              <w:pStyle w:val="TableCellText10pt"/>
              <w:rPr>
                <w:b/>
              </w:rPr>
            </w:pPr>
            <w:r w:rsidRPr="00456927">
              <w:rPr>
                <w:b/>
              </w:rPr>
              <w:t>Study Period: 6-Month Treatment</w:t>
            </w:r>
          </w:p>
        </w:tc>
        <w:tc>
          <w:tcPr>
            <w:tcW w:w="1258" w:type="pct"/>
            <w:tcBorders>
              <w:top w:val="single" w:sz="4" w:space="0" w:color="auto"/>
              <w:left w:val="single" w:sz="4" w:space="0" w:color="auto"/>
              <w:bottom w:val="single" w:sz="4" w:space="0" w:color="auto"/>
              <w:right w:val="single" w:sz="4" w:space="0" w:color="auto"/>
            </w:tcBorders>
            <w:vAlign w:val="center"/>
          </w:tcPr>
          <w:p w14:paraId="6C671117" w14:textId="77777777" w:rsidR="00180123" w:rsidRPr="00456927" w:rsidRDefault="00180123" w:rsidP="002E1D47">
            <w:pPr>
              <w:keepNext/>
              <w:adjustRightInd w:val="0"/>
              <w:spacing w:before="40" w:after="40" w:line="240" w:lineRule="auto"/>
              <w:jc w:val="center"/>
              <w:rPr>
                <w:rFonts w:ascii="Times New Roman" w:hAnsi="Times New Roman" w:cs="Times New Roman"/>
                <w:sz w:val="20"/>
              </w:rPr>
            </w:pPr>
          </w:p>
        </w:tc>
        <w:tc>
          <w:tcPr>
            <w:tcW w:w="1307" w:type="pct"/>
            <w:tcBorders>
              <w:top w:val="single" w:sz="4" w:space="0" w:color="auto"/>
              <w:left w:val="single" w:sz="4" w:space="0" w:color="auto"/>
              <w:bottom w:val="single" w:sz="4" w:space="0" w:color="auto"/>
              <w:right w:val="single" w:sz="4" w:space="0" w:color="auto"/>
            </w:tcBorders>
            <w:vAlign w:val="center"/>
          </w:tcPr>
          <w:p w14:paraId="49079EE2" w14:textId="77777777" w:rsidR="00180123" w:rsidRPr="00456927" w:rsidRDefault="00180123" w:rsidP="002E1D47">
            <w:pPr>
              <w:keepNext/>
              <w:adjustRightInd w:val="0"/>
              <w:spacing w:before="40" w:after="40" w:line="240" w:lineRule="auto"/>
              <w:jc w:val="center"/>
              <w:rPr>
                <w:rFonts w:ascii="Times New Roman" w:hAnsi="Times New Roman" w:cs="Times New Roman"/>
                <w:sz w:val="20"/>
              </w:rPr>
            </w:pPr>
          </w:p>
        </w:tc>
      </w:tr>
      <w:tr w:rsidR="00456927" w:rsidRPr="00456927" w14:paraId="567304F8"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vAlign w:val="center"/>
          </w:tcPr>
          <w:p w14:paraId="43DA6DE0" w14:textId="4809F170" w:rsidR="00180123" w:rsidRPr="00456927" w:rsidRDefault="007F1C2F" w:rsidP="002E1D47">
            <w:pPr>
              <w:pStyle w:val="Default"/>
              <w:keepNext/>
              <w:spacing w:before="40" w:after="40"/>
              <w:rPr>
                <w:rFonts w:ascii="Times New Roman" w:hAnsi="Times New Roman" w:cs="Times New Roman"/>
                <w:color w:val="auto"/>
                <w:sz w:val="20"/>
                <w:szCs w:val="20"/>
                <w:lang w:val="en-US"/>
              </w:rPr>
            </w:pPr>
            <w:r w:rsidRPr="00456927">
              <w:rPr>
                <w:rFonts w:ascii="Times New Roman" w:hAnsi="Times New Roman" w:cs="Times New Roman"/>
                <w:color w:val="auto"/>
                <w:sz w:val="20"/>
                <w:szCs w:val="20"/>
                <w:lang w:val="en-US"/>
              </w:rPr>
              <w:t xml:space="preserve">Number of </w:t>
            </w:r>
            <w:r w:rsidR="00E80DB9" w:rsidRPr="00456927">
              <w:rPr>
                <w:rFonts w:ascii="Times New Roman" w:hAnsi="Times New Roman" w:cs="Times New Roman"/>
                <w:color w:val="auto"/>
                <w:sz w:val="20"/>
                <w:szCs w:val="20"/>
                <w:lang w:val="en-US"/>
              </w:rPr>
              <w:t>Evaluable Patients</w:t>
            </w:r>
            <w:r w:rsidR="00180123" w:rsidRPr="00456927">
              <w:rPr>
                <w:rFonts w:ascii="Times New Roman" w:hAnsi="Times New Roman" w:cs="Times New Roman"/>
                <w:color w:val="auto"/>
                <w:sz w:val="20"/>
                <w:szCs w:val="20"/>
                <w:lang w:val="en-US"/>
              </w:rPr>
              <w:t>, n</w:t>
            </w:r>
          </w:p>
        </w:tc>
        <w:tc>
          <w:tcPr>
            <w:tcW w:w="1258" w:type="pct"/>
            <w:tcBorders>
              <w:top w:val="single" w:sz="4" w:space="0" w:color="auto"/>
              <w:left w:val="single" w:sz="4" w:space="0" w:color="auto"/>
              <w:bottom w:val="single" w:sz="4" w:space="0" w:color="auto"/>
              <w:right w:val="single" w:sz="4" w:space="0" w:color="auto"/>
            </w:tcBorders>
            <w:vAlign w:val="center"/>
          </w:tcPr>
          <w:p w14:paraId="2DB6135A" w14:textId="77777777" w:rsidR="00180123" w:rsidRPr="00456927" w:rsidRDefault="00180123" w:rsidP="002E1D47">
            <w:pPr>
              <w:pStyle w:val="TableCellText10pt"/>
              <w:jc w:val="center"/>
            </w:pPr>
            <w:r w:rsidRPr="00456927">
              <w:t>39</w:t>
            </w:r>
          </w:p>
        </w:tc>
        <w:tc>
          <w:tcPr>
            <w:tcW w:w="1307" w:type="pct"/>
            <w:tcBorders>
              <w:top w:val="single" w:sz="4" w:space="0" w:color="auto"/>
              <w:left w:val="single" w:sz="4" w:space="0" w:color="auto"/>
              <w:bottom w:val="single" w:sz="4" w:space="0" w:color="auto"/>
              <w:right w:val="single" w:sz="4" w:space="0" w:color="auto"/>
            </w:tcBorders>
            <w:vAlign w:val="center"/>
          </w:tcPr>
          <w:p w14:paraId="3D112987" w14:textId="3D02E360" w:rsidR="00180123" w:rsidRPr="00456927" w:rsidRDefault="00180123" w:rsidP="002E1D47">
            <w:pPr>
              <w:pStyle w:val="TableCellText10pt"/>
              <w:jc w:val="center"/>
            </w:pPr>
            <w:r w:rsidRPr="00456927">
              <w:t>24</w:t>
            </w:r>
            <w:r w:rsidR="002863EE" w:rsidRPr="00456927">
              <w:rPr>
                <w:vertAlign w:val="superscript"/>
              </w:rPr>
              <w:t>a</w:t>
            </w:r>
          </w:p>
        </w:tc>
      </w:tr>
      <w:tr w:rsidR="00456927" w:rsidRPr="00456927" w14:paraId="28F8C0D2"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159291A3" w14:textId="4E9B933E" w:rsidR="00180123" w:rsidRPr="00456927" w:rsidRDefault="00180123" w:rsidP="002E1D47">
            <w:pPr>
              <w:pStyle w:val="TableCellText10pt"/>
              <w:rPr>
                <w:b/>
                <w:vertAlign w:val="superscript"/>
              </w:rPr>
            </w:pPr>
            <w:r w:rsidRPr="00456927">
              <w:rPr>
                <w:b/>
              </w:rPr>
              <w:t>Re</w:t>
            </w:r>
            <w:r w:rsidR="003B6D42" w:rsidRPr="00456927">
              <w:rPr>
                <w:b/>
              </w:rPr>
              <w:t>sponders with Reduction of</w:t>
            </w:r>
            <w:r w:rsidR="006C4B61" w:rsidRPr="00456927">
              <w:rPr>
                <w:b/>
              </w:rPr>
              <w:t xml:space="preserve"> ≥</w:t>
            </w:r>
            <w:r w:rsidR="003575A0" w:rsidRPr="00456927">
              <w:rPr>
                <w:b/>
              </w:rPr>
              <w:t xml:space="preserve"> </w:t>
            </w:r>
            <w:r w:rsidR="006C4B61" w:rsidRPr="00456927">
              <w:rPr>
                <w:b/>
              </w:rPr>
              <w:t>50%, n</w:t>
            </w:r>
            <w:r w:rsidRPr="00456927">
              <w:rPr>
                <w:b/>
              </w:rPr>
              <w:t xml:space="preserve"> (%)</w:t>
            </w:r>
          </w:p>
        </w:tc>
        <w:tc>
          <w:tcPr>
            <w:tcW w:w="1258" w:type="pct"/>
            <w:tcBorders>
              <w:top w:val="single" w:sz="4" w:space="0" w:color="auto"/>
              <w:left w:val="single" w:sz="4" w:space="0" w:color="auto"/>
              <w:bottom w:val="single" w:sz="4" w:space="0" w:color="auto"/>
              <w:right w:val="single" w:sz="4" w:space="0" w:color="auto"/>
            </w:tcBorders>
            <w:vAlign w:val="center"/>
          </w:tcPr>
          <w:p w14:paraId="32E9D123" w14:textId="73937104" w:rsidR="00180123" w:rsidRPr="00456927" w:rsidRDefault="004F2A82" w:rsidP="002E1D47">
            <w:pPr>
              <w:pStyle w:val="TableCellText10pt"/>
              <w:jc w:val="center"/>
            </w:pPr>
            <w:r w:rsidRPr="00456927">
              <w:t>37 (94.9)</w:t>
            </w:r>
          </w:p>
        </w:tc>
        <w:tc>
          <w:tcPr>
            <w:tcW w:w="1307" w:type="pct"/>
            <w:tcBorders>
              <w:top w:val="single" w:sz="4" w:space="0" w:color="auto"/>
              <w:left w:val="single" w:sz="4" w:space="0" w:color="auto"/>
              <w:bottom w:val="single" w:sz="4" w:space="0" w:color="auto"/>
              <w:right w:val="single" w:sz="4" w:space="0" w:color="auto"/>
            </w:tcBorders>
            <w:vAlign w:val="center"/>
          </w:tcPr>
          <w:p w14:paraId="4F090B06" w14:textId="62C9B1D7" w:rsidR="00180123" w:rsidRPr="00456927" w:rsidRDefault="00E53AE2" w:rsidP="002E1D47">
            <w:pPr>
              <w:pStyle w:val="TableCellText10pt"/>
              <w:jc w:val="center"/>
            </w:pPr>
            <w:r w:rsidRPr="00456927">
              <w:t>8 (33.3)</w:t>
            </w:r>
          </w:p>
        </w:tc>
      </w:tr>
      <w:tr w:rsidR="00456927" w:rsidRPr="00456927" w14:paraId="227775A3"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6A09F162" w14:textId="0225425E" w:rsidR="00180123" w:rsidRPr="00456927" w:rsidRDefault="00E53AE2" w:rsidP="002E1D47">
            <w:pPr>
              <w:pStyle w:val="TableCellText10pt"/>
              <w:ind w:left="288"/>
            </w:pPr>
            <w:r w:rsidRPr="00456927">
              <w:t xml:space="preserve">95% </w:t>
            </w:r>
            <w:r w:rsidR="00477362" w:rsidRPr="00456927">
              <w:t>C</w:t>
            </w:r>
            <w:r w:rsidRPr="00456927">
              <w:t>I</w:t>
            </w:r>
          </w:p>
        </w:tc>
        <w:tc>
          <w:tcPr>
            <w:tcW w:w="1258" w:type="pct"/>
            <w:tcBorders>
              <w:top w:val="single" w:sz="4" w:space="0" w:color="auto"/>
              <w:left w:val="single" w:sz="4" w:space="0" w:color="auto"/>
              <w:bottom w:val="single" w:sz="4" w:space="0" w:color="auto"/>
              <w:right w:val="single" w:sz="4" w:space="0" w:color="auto"/>
            </w:tcBorders>
            <w:vAlign w:val="center"/>
          </w:tcPr>
          <w:p w14:paraId="1A7E262E" w14:textId="6B127774" w:rsidR="00180123" w:rsidRPr="00456927" w:rsidRDefault="00C45A4D" w:rsidP="002E1D47">
            <w:pPr>
              <w:pStyle w:val="TableCellText10pt"/>
              <w:jc w:val="center"/>
            </w:pPr>
            <w:r w:rsidRPr="00456927">
              <w:t>(83.11, 98.58)</w:t>
            </w:r>
          </w:p>
        </w:tc>
        <w:tc>
          <w:tcPr>
            <w:tcW w:w="1307" w:type="pct"/>
            <w:tcBorders>
              <w:top w:val="single" w:sz="4" w:space="0" w:color="auto"/>
              <w:left w:val="single" w:sz="4" w:space="0" w:color="auto"/>
              <w:bottom w:val="single" w:sz="4" w:space="0" w:color="auto"/>
              <w:right w:val="single" w:sz="4" w:space="0" w:color="auto"/>
            </w:tcBorders>
            <w:vAlign w:val="center"/>
          </w:tcPr>
          <w:p w14:paraId="748B6390" w14:textId="3B3D2003" w:rsidR="00180123" w:rsidRPr="00456927" w:rsidRDefault="00A67A98" w:rsidP="002E1D47">
            <w:pPr>
              <w:pStyle w:val="TableCellText10pt"/>
              <w:jc w:val="center"/>
            </w:pPr>
            <w:r w:rsidRPr="00456927">
              <w:t>(17.97, 53.29)</w:t>
            </w:r>
          </w:p>
        </w:tc>
      </w:tr>
      <w:tr w:rsidR="00456927" w:rsidRPr="00456927" w14:paraId="6365F9EB"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5BE8BE76" w14:textId="616D73D6" w:rsidR="00DE48E8" w:rsidRPr="00456927" w:rsidRDefault="00A67A98" w:rsidP="002E1D47">
            <w:pPr>
              <w:pStyle w:val="TableCellText10pt"/>
            </w:pPr>
            <w:r w:rsidRPr="00456927">
              <w:rPr>
                <w:b/>
              </w:rPr>
              <w:t>Reduction of ≥ 70%, n (%)</w:t>
            </w:r>
          </w:p>
        </w:tc>
        <w:tc>
          <w:tcPr>
            <w:tcW w:w="1258" w:type="pct"/>
            <w:tcBorders>
              <w:top w:val="single" w:sz="4" w:space="0" w:color="auto"/>
              <w:left w:val="single" w:sz="4" w:space="0" w:color="auto"/>
              <w:bottom w:val="single" w:sz="4" w:space="0" w:color="auto"/>
              <w:right w:val="single" w:sz="4" w:space="0" w:color="auto"/>
            </w:tcBorders>
            <w:vAlign w:val="center"/>
          </w:tcPr>
          <w:p w14:paraId="0ADFA351" w14:textId="6E15A081" w:rsidR="00DE48E8" w:rsidRPr="00456927" w:rsidRDefault="004F68CE" w:rsidP="002E1D47">
            <w:pPr>
              <w:pStyle w:val="TableCellText10pt"/>
              <w:jc w:val="center"/>
            </w:pPr>
            <w:r w:rsidRPr="00456927">
              <w:t>36 (92.3)</w:t>
            </w:r>
          </w:p>
        </w:tc>
        <w:tc>
          <w:tcPr>
            <w:tcW w:w="1307" w:type="pct"/>
            <w:tcBorders>
              <w:top w:val="single" w:sz="4" w:space="0" w:color="auto"/>
              <w:left w:val="single" w:sz="4" w:space="0" w:color="auto"/>
              <w:bottom w:val="single" w:sz="4" w:space="0" w:color="auto"/>
              <w:right w:val="single" w:sz="4" w:space="0" w:color="auto"/>
            </w:tcBorders>
            <w:vAlign w:val="center"/>
          </w:tcPr>
          <w:p w14:paraId="408903DD" w14:textId="75E5C1D6" w:rsidR="00DE48E8" w:rsidRPr="00456927" w:rsidRDefault="004F68CE" w:rsidP="002E1D47">
            <w:pPr>
              <w:pStyle w:val="TableCellText10pt"/>
              <w:jc w:val="center"/>
            </w:pPr>
            <w:r w:rsidRPr="00456927">
              <w:t>4 (</w:t>
            </w:r>
            <w:r w:rsidR="000904AF" w:rsidRPr="00456927">
              <w:t>16.7</w:t>
            </w:r>
            <w:r w:rsidRPr="00456927">
              <w:t>)</w:t>
            </w:r>
          </w:p>
        </w:tc>
      </w:tr>
      <w:tr w:rsidR="00456927" w:rsidRPr="00456927" w14:paraId="76EE7265"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5A3194E5" w14:textId="4441A3B8" w:rsidR="00422008" w:rsidRPr="00456927" w:rsidRDefault="00422008" w:rsidP="002E1D47">
            <w:pPr>
              <w:pStyle w:val="TableCellText10pt"/>
              <w:ind w:left="288"/>
            </w:pPr>
            <w:r w:rsidRPr="00456927">
              <w:t>95% CI</w:t>
            </w:r>
            <w:r w:rsidR="00AA6BDD" w:rsidRPr="00456927">
              <w:rPr>
                <w:vertAlign w:val="superscript"/>
              </w:rPr>
              <w:t>b</w:t>
            </w:r>
          </w:p>
        </w:tc>
        <w:tc>
          <w:tcPr>
            <w:tcW w:w="1258" w:type="pct"/>
            <w:tcBorders>
              <w:top w:val="single" w:sz="4" w:space="0" w:color="auto"/>
              <w:left w:val="single" w:sz="4" w:space="0" w:color="auto"/>
              <w:bottom w:val="single" w:sz="4" w:space="0" w:color="auto"/>
              <w:right w:val="single" w:sz="4" w:space="0" w:color="auto"/>
            </w:tcBorders>
            <w:vAlign w:val="center"/>
          </w:tcPr>
          <w:p w14:paraId="3B29FDF1" w14:textId="528D373F" w:rsidR="00422008" w:rsidRPr="00456927" w:rsidRDefault="00A57BEF" w:rsidP="002E1D47">
            <w:pPr>
              <w:pStyle w:val="TableCellText10pt"/>
              <w:jc w:val="center"/>
            </w:pPr>
            <w:r w:rsidRPr="00456927">
              <w:t xml:space="preserve">(79.68, </w:t>
            </w:r>
            <w:r w:rsidR="004A435A" w:rsidRPr="00456927">
              <w:t>97.35)</w:t>
            </w:r>
          </w:p>
        </w:tc>
        <w:tc>
          <w:tcPr>
            <w:tcW w:w="1307" w:type="pct"/>
            <w:tcBorders>
              <w:top w:val="single" w:sz="4" w:space="0" w:color="auto"/>
              <w:left w:val="single" w:sz="4" w:space="0" w:color="auto"/>
              <w:bottom w:val="single" w:sz="4" w:space="0" w:color="auto"/>
              <w:right w:val="single" w:sz="4" w:space="0" w:color="auto"/>
            </w:tcBorders>
            <w:vAlign w:val="center"/>
          </w:tcPr>
          <w:p w14:paraId="54FFDDD7" w14:textId="7D88B751" w:rsidR="00422008" w:rsidRPr="00456927" w:rsidRDefault="004A435A" w:rsidP="002E1D47">
            <w:pPr>
              <w:pStyle w:val="TableCellText10pt"/>
              <w:jc w:val="center"/>
            </w:pPr>
            <w:r w:rsidRPr="00456927">
              <w:t>(6.68, 35.85)</w:t>
            </w:r>
          </w:p>
        </w:tc>
      </w:tr>
      <w:tr w:rsidR="00456927" w:rsidRPr="00456927" w14:paraId="266E2AFB"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3EB9F881" w14:textId="57F1F65C" w:rsidR="00AC7390" w:rsidRPr="00456927" w:rsidRDefault="00AC7390" w:rsidP="002E1D47">
            <w:pPr>
              <w:pStyle w:val="TableCellText10pt"/>
            </w:pPr>
            <w:r w:rsidRPr="00456927">
              <w:rPr>
                <w:b/>
              </w:rPr>
              <w:t>Reduction of ≥ 90%, n (%)</w:t>
            </w:r>
          </w:p>
        </w:tc>
        <w:tc>
          <w:tcPr>
            <w:tcW w:w="1258" w:type="pct"/>
            <w:tcBorders>
              <w:top w:val="single" w:sz="4" w:space="0" w:color="auto"/>
              <w:left w:val="single" w:sz="4" w:space="0" w:color="auto"/>
              <w:bottom w:val="single" w:sz="4" w:space="0" w:color="auto"/>
              <w:right w:val="single" w:sz="4" w:space="0" w:color="auto"/>
            </w:tcBorders>
            <w:vAlign w:val="center"/>
          </w:tcPr>
          <w:p w14:paraId="7F7F437A" w14:textId="2CD79F05" w:rsidR="00AC7390" w:rsidRPr="00456927" w:rsidRDefault="006228B6" w:rsidP="002E1D47">
            <w:pPr>
              <w:pStyle w:val="TableCellText10pt"/>
              <w:jc w:val="center"/>
            </w:pPr>
            <w:r w:rsidRPr="00456927">
              <w:t xml:space="preserve">29 </w:t>
            </w:r>
            <w:r w:rsidR="009F4260" w:rsidRPr="00456927">
              <w:t>(</w:t>
            </w:r>
            <w:r w:rsidR="00AC7390" w:rsidRPr="00456927">
              <w:t>74.4</w:t>
            </w:r>
            <w:r w:rsidR="009F4260" w:rsidRPr="00456927">
              <w:t>)</w:t>
            </w:r>
          </w:p>
        </w:tc>
        <w:tc>
          <w:tcPr>
            <w:tcW w:w="1307" w:type="pct"/>
            <w:tcBorders>
              <w:top w:val="single" w:sz="4" w:space="0" w:color="auto"/>
              <w:left w:val="single" w:sz="4" w:space="0" w:color="auto"/>
              <w:bottom w:val="single" w:sz="4" w:space="0" w:color="auto"/>
              <w:right w:val="single" w:sz="4" w:space="0" w:color="auto"/>
            </w:tcBorders>
            <w:vAlign w:val="center"/>
          </w:tcPr>
          <w:p w14:paraId="504C9E9F" w14:textId="7BF42696" w:rsidR="00AC7390" w:rsidRPr="00456927" w:rsidRDefault="009F4260" w:rsidP="002E1D47">
            <w:pPr>
              <w:pStyle w:val="TableCellText10pt"/>
              <w:jc w:val="center"/>
            </w:pPr>
            <w:r w:rsidRPr="00456927">
              <w:t>2 (</w:t>
            </w:r>
            <w:r w:rsidR="00AC7390" w:rsidRPr="00456927">
              <w:t>8.3</w:t>
            </w:r>
            <w:r w:rsidRPr="00456927">
              <w:t>)</w:t>
            </w:r>
          </w:p>
        </w:tc>
      </w:tr>
      <w:tr w:rsidR="00456927" w:rsidRPr="00456927" w14:paraId="71BFE66A"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0E5EA06D" w14:textId="1FA157A8" w:rsidR="00A876E0" w:rsidRPr="00456927" w:rsidRDefault="00A876E0" w:rsidP="002E1D47">
            <w:pPr>
              <w:pStyle w:val="TableCellText10pt"/>
              <w:ind w:left="288"/>
            </w:pPr>
            <w:r w:rsidRPr="00456927">
              <w:t>95% CI</w:t>
            </w:r>
            <w:r w:rsidR="0068306F" w:rsidRPr="00456927">
              <w:rPr>
                <w:vertAlign w:val="superscript"/>
              </w:rPr>
              <w:t>b</w:t>
            </w:r>
          </w:p>
        </w:tc>
        <w:tc>
          <w:tcPr>
            <w:tcW w:w="1258" w:type="pct"/>
            <w:tcBorders>
              <w:top w:val="single" w:sz="4" w:space="0" w:color="auto"/>
              <w:left w:val="single" w:sz="4" w:space="0" w:color="auto"/>
              <w:bottom w:val="single" w:sz="4" w:space="0" w:color="auto"/>
              <w:right w:val="single" w:sz="4" w:space="0" w:color="auto"/>
            </w:tcBorders>
            <w:vAlign w:val="center"/>
          </w:tcPr>
          <w:p w14:paraId="5F3D2746" w14:textId="6A2D5058" w:rsidR="00A876E0" w:rsidRPr="00456927" w:rsidRDefault="006D0C14" w:rsidP="002E1D47">
            <w:pPr>
              <w:pStyle w:val="TableCellText10pt"/>
              <w:jc w:val="center"/>
            </w:pPr>
            <w:r w:rsidRPr="00456927">
              <w:t>(58.92, 85.43)</w:t>
            </w:r>
          </w:p>
        </w:tc>
        <w:tc>
          <w:tcPr>
            <w:tcW w:w="1307" w:type="pct"/>
            <w:tcBorders>
              <w:top w:val="single" w:sz="4" w:space="0" w:color="auto"/>
              <w:left w:val="single" w:sz="4" w:space="0" w:color="auto"/>
              <w:bottom w:val="single" w:sz="4" w:space="0" w:color="auto"/>
              <w:right w:val="single" w:sz="4" w:space="0" w:color="auto"/>
            </w:tcBorders>
            <w:vAlign w:val="center"/>
          </w:tcPr>
          <w:p w14:paraId="481892AE" w14:textId="302B7C90" w:rsidR="00A876E0" w:rsidRPr="00456927" w:rsidRDefault="00A57BEF" w:rsidP="002E1D47">
            <w:pPr>
              <w:pStyle w:val="TableCellText10pt"/>
              <w:jc w:val="center"/>
            </w:pPr>
            <w:r w:rsidRPr="00456927">
              <w:t>(2.32, 25.85)</w:t>
            </w:r>
          </w:p>
        </w:tc>
      </w:tr>
      <w:tr w:rsidR="00456927" w:rsidRPr="00456927" w14:paraId="6FD47F8A"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1B187766" w14:textId="654B5413" w:rsidR="00865CFA" w:rsidRPr="00456927" w:rsidRDefault="00865CFA" w:rsidP="00791B74">
            <w:pPr>
              <w:pStyle w:val="TableCellText10pt"/>
              <w:rPr>
                <w:vertAlign w:val="superscript"/>
              </w:rPr>
            </w:pPr>
            <w:r w:rsidRPr="00456927">
              <w:rPr>
                <w:b/>
              </w:rPr>
              <w:t>Reduction of 100%</w:t>
            </w:r>
            <w:r w:rsidR="00266125" w:rsidRPr="00456927">
              <w:rPr>
                <w:b/>
              </w:rPr>
              <w:t xml:space="preserve"> (Attack-free)</w:t>
            </w:r>
            <w:r w:rsidRPr="00456927">
              <w:rPr>
                <w:b/>
              </w:rPr>
              <w:t>, n (%)</w:t>
            </w:r>
          </w:p>
        </w:tc>
        <w:tc>
          <w:tcPr>
            <w:tcW w:w="1258" w:type="pct"/>
            <w:tcBorders>
              <w:top w:val="single" w:sz="4" w:space="0" w:color="auto"/>
              <w:left w:val="single" w:sz="4" w:space="0" w:color="auto"/>
              <w:bottom w:val="single" w:sz="4" w:space="0" w:color="auto"/>
              <w:right w:val="single" w:sz="4" w:space="0" w:color="auto"/>
            </w:tcBorders>
            <w:vAlign w:val="center"/>
          </w:tcPr>
          <w:p w14:paraId="14A932D0" w14:textId="1D7F20D9" w:rsidR="00865CFA" w:rsidRPr="00456927" w:rsidRDefault="00266125" w:rsidP="002E1D47">
            <w:pPr>
              <w:pStyle w:val="TableCellText10pt"/>
              <w:jc w:val="center"/>
            </w:pPr>
            <w:r w:rsidRPr="00456927">
              <w:t>24</w:t>
            </w:r>
            <w:r w:rsidR="005F6582" w:rsidRPr="00456927">
              <w:t xml:space="preserve"> (61.5)</w:t>
            </w:r>
          </w:p>
        </w:tc>
        <w:tc>
          <w:tcPr>
            <w:tcW w:w="1307" w:type="pct"/>
            <w:tcBorders>
              <w:top w:val="single" w:sz="4" w:space="0" w:color="auto"/>
              <w:left w:val="single" w:sz="4" w:space="0" w:color="auto"/>
              <w:bottom w:val="single" w:sz="4" w:space="0" w:color="auto"/>
              <w:right w:val="single" w:sz="4" w:space="0" w:color="auto"/>
            </w:tcBorders>
            <w:vAlign w:val="center"/>
          </w:tcPr>
          <w:p w14:paraId="3A0F163A" w14:textId="311BF47B" w:rsidR="00865CFA" w:rsidRPr="00456927" w:rsidRDefault="005F6582" w:rsidP="002E1D47">
            <w:pPr>
              <w:pStyle w:val="TableCellText10pt"/>
              <w:jc w:val="center"/>
            </w:pPr>
            <w:r w:rsidRPr="00456927">
              <w:t>0</w:t>
            </w:r>
          </w:p>
        </w:tc>
      </w:tr>
      <w:tr w:rsidR="00456927" w:rsidRPr="00456927" w14:paraId="03DE230B" w14:textId="77777777" w:rsidTr="00084F54">
        <w:trPr>
          <w:cantSplit/>
          <w:jc w:val="center"/>
        </w:trPr>
        <w:tc>
          <w:tcPr>
            <w:tcW w:w="2435" w:type="pct"/>
            <w:tcBorders>
              <w:top w:val="single" w:sz="4" w:space="0" w:color="auto"/>
              <w:left w:val="single" w:sz="4" w:space="0" w:color="auto"/>
              <w:bottom w:val="single" w:sz="4" w:space="0" w:color="auto"/>
              <w:right w:val="single" w:sz="4" w:space="0" w:color="auto"/>
            </w:tcBorders>
          </w:tcPr>
          <w:p w14:paraId="0B4B14B1" w14:textId="0BAC924A" w:rsidR="00865CFA" w:rsidRPr="00456927" w:rsidRDefault="00865CFA" w:rsidP="002E1D47">
            <w:pPr>
              <w:pStyle w:val="TableCellText10pt"/>
              <w:ind w:left="288"/>
            </w:pPr>
            <w:r w:rsidRPr="00456927">
              <w:t>95% CI</w:t>
            </w:r>
            <w:r w:rsidR="0068306F" w:rsidRPr="00456927">
              <w:rPr>
                <w:vertAlign w:val="superscript"/>
              </w:rPr>
              <w:t>b</w:t>
            </w:r>
          </w:p>
        </w:tc>
        <w:tc>
          <w:tcPr>
            <w:tcW w:w="1258" w:type="pct"/>
            <w:tcBorders>
              <w:top w:val="single" w:sz="4" w:space="0" w:color="auto"/>
              <w:left w:val="single" w:sz="4" w:space="0" w:color="auto"/>
              <w:bottom w:val="single" w:sz="4" w:space="0" w:color="auto"/>
              <w:right w:val="single" w:sz="4" w:space="0" w:color="auto"/>
            </w:tcBorders>
            <w:vAlign w:val="center"/>
          </w:tcPr>
          <w:p w14:paraId="5A65759C" w14:textId="562D8A54" w:rsidR="00865CFA" w:rsidRPr="00456927" w:rsidRDefault="00787E0C" w:rsidP="002E1D47">
            <w:pPr>
              <w:pStyle w:val="TableCellText10pt"/>
              <w:jc w:val="center"/>
            </w:pPr>
            <w:r w:rsidRPr="00456927">
              <w:t>(45.90</w:t>
            </w:r>
            <w:r w:rsidR="005A75F3" w:rsidRPr="00456927">
              <w:t>, 75.11</w:t>
            </w:r>
            <w:r w:rsidRPr="00456927">
              <w:t>)</w:t>
            </w:r>
          </w:p>
        </w:tc>
        <w:tc>
          <w:tcPr>
            <w:tcW w:w="1307" w:type="pct"/>
            <w:tcBorders>
              <w:top w:val="single" w:sz="4" w:space="0" w:color="auto"/>
              <w:left w:val="single" w:sz="4" w:space="0" w:color="auto"/>
              <w:bottom w:val="single" w:sz="4" w:space="0" w:color="auto"/>
              <w:right w:val="single" w:sz="4" w:space="0" w:color="auto"/>
            </w:tcBorders>
            <w:vAlign w:val="center"/>
          </w:tcPr>
          <w:p w14:paraId="015DBB11" w14:textId="62840BBA" w:rsidR="00865CFA" w:rsidRPr="00456927" w:rsidRDefault="005A75F3" w:rsidP="002E1D47">
            <w:pPr>
              <w:pStyle w:val="TableCellText10pt"/>
              <w:jc w:val="center"/>
            </w:pPr>
            <w:r w:rsidRPr="00456927">
              <w:t>(0.00, 13.80)</w:t>
            </w:r>
          </w:p>
        </w:tc>
      </w:tr>
    </w:tbl>
    <w:p w14:paraId="40D89787" w14:textId="24AFB59F" w:rsidR="00174E79" w:rsidRPr="00456927" w:rsidRDefault="00174E79" w:rsidP="002E1D47">
      <w:pPr>
        <w:pStyle w:val="TableFootnote"/>
        <w:spacing w:after="40"/>
        <w:ind w:left="357" w:hanging="357"/>
        <w:rPr>
          <w:sz w:val="16"/>
          <w:szCs w:val="16"/>
        </w:rPr>
      </w:pPr>
      <w:r w:rsidRPr="00456927">
        <w:rPr>
          <w:sz w:val="16"/>
          <w:szCs w:val="16"/>
        </w:rPr>
        <w:t xml:space="preserve">CI = confidence interval; ITT = intention-to-treat; N = number of </w:t>
      </w:r>
      <w:r w:rsidRPr="00456927">
        <w:rPr>
          <w:sz w:val="16"/>
          <w:szCs w:val="18"/>
        </w:rPr>
        <w:t xml:space="preserve">patients </w:t>
      </w:r>
      <w:r w:rsidRPr="00456927">
        <w:rPr>
          <w:sz w:val="16"/>
          <w:szCs w:val="16"/>
        </w:rPr>
        <w:t>in the ITT Analysis Set.</w:t>
      </w:r>
    </w:p>
    <w:p w14:paraId="5039F02E" w14:textId="0C88DF53" w:rsidR="00174E79" w:rsidRPr="00456927" w:rsidRDefault="009F711A" w:rsidP="002E1D47">
      <w:pPr>
        <w:keepNext/>
        <w:spacing w:before="40" w:after="40" w:line="240" w:lineRule="auto"/>
        <w:rPr>
          <w:rFonts w:ascii="Times New Roman" w:hAnsi="Times New Roman" w:cs="Times New Roman"/>
          <w:sz w:val="16"/>
          <w:szCs w:val="16"/>
        </w:rPr>
      </w:pPr>
      <w:r w:rsidRPr="00456927">
        <w:rPr>
          <w:rFonts w:ascii="Times New Roman" w:hAnsi="Times New Roman" w:cs="Times New Roman"/>
          <w:sz w:val="16"/>
          <w:szCs w:val="12"/>
          <w:vertAlign w:val="superscript"/>
        </w:rPr>
        <w:t>a</w:t>
      </w:r>
      <w:r w:rsidR="00174E79" w:rsidRPr="00456927">
        <w:rPr>
          <w:rFonts w:ascii="Times New Roman" w:hAnsi="Times New Roman" w:cs="Times New Roman"/>
          <w:sz w:val="16"/>
          <w:szCs w:val="16"/>
        </w:rPr>
        <w:t xml:space="preserve"> One patient had a Treatment Period of less than 30 Days and was therefore not included in the analysis.</w:t>
      </w:r>
    </w:p>
    <w:p w14:paraId="40ACF628" w14:textId="582C1875" w:rsidR="009F711A" w:rsidRPr="00456927" w:rsidRDefault="007B1EDB" w:rsidP="00473A8C">
      <w:pPr>
        <w:spacing w:before="40" w:after="240" w:line="240" w:lineRule="auto"/>
        <w:rPr>
          <w:rFonts w:ascii="Times New Roman" w:hAnsi="Times New Roman" w:cs="Times New Roman"/>
          <w:sz w:val="16"/>
          <w:szCs w:val="18"/>
        </w:rPr>
      </w:pPr>
      <w:r w:rsidRPr="00456927">
        <w:rPr>
          <w:rFonts w:ascii="Times New Roman" w:hAnsi="Times New Roman" w:cs="Times New Roman"/>
          <w:sz w:val="16"/>
          <w:szCs w:val="16"/>
          <w:vertAlign w:val="superscript"/>
        </w:rPr>
        <w:t>b</w:t>
      </w:r>
      <w:r w:rsidR="009F711A" w:rsidRPr="00456927">
        <w:rPr>
          <w:rFonts w:ascii="Times New Roman" w:hAnsi="Times New Roman" w:cs="Times New Roman"/>
          <w:sz w:val="16"/>
          <w:szCs w:val="18"/>
          <w:vertAlign w:val="superscript"/>
        </w:rPr>
        <w:t xml:space="preserve"> </w:t>
      </w:r>
      <w:r w:rsidR="009F711A" w:rsidRPr="00456927">
        <w:rPr>
          <w:rFonts w:ascii="Times New Roman" w:hAnsi="Times New Roman" w:cs="Times New Roman"/>
          <w:sz w:val="16"/>
          <w:szCs w:val="18"/>
        </w:rPr>
        <w:t>The 95% CI is based on Wilson’s asymptotic confidence limits.</w:t>
      </w:r>
    </w:p>
    <w:p w14:paraId="30092B66" w14:textId="4EC23D5A" w:rsidR="005878E7" w:rsidRPr="00456927" w:rsidRDefault="00C1289B" w:rsidP="008A6541">
      <w:pPr>
        <w:spacing w:after="240" w:line="300" w:lineRule="auto"/>
        <w:rPr>
          <w:rFonts w:ascii="Times New Roman" w:eastAsia="Times New Roman" w:hAnsi="Times New Roman" w:cs="Times New Roman"/>
          <w:kern w:val="24"/>
          <w:sz w:val="24"/>
          <w:szCs w:val="24"/>
          <w:lang w:val="en-US"/>
        </w:rPr>
      </w:pPr>
      <w:r>
        <w:rPr>
          <w:rFonts w:ascii="Times New Roman" w:eastAsia="Times New Roman" w:hAnsi="Times New Roman" w:cs="Times New Roman"/>
          <w:kern w:val="24"/>
          <w:sz w:val="24"/>
          <w:szCs w:val="24"/>
          <w:lang w:val="en-US"/>
        </w:rPr>
        <w:t xml:space="preserve">The </w:t>
      </w:r>
      <w:r w:rsidR="005878E7" w:rsidRPr="00456927">
        <w:rPr>
          <w:rFonts w:ascii="Times New Roman" w:eastAsia="Times New Roman" w:hAnsi="Times New Roman" w:cs="Times New Roman"/>
          <w:kern w:val="24"/>
          <w:sz w:val="24"/>
          <w:szCs w:val="24"/>
          <w:lang w:val="en-US"/>
        </w:rPr>
        <w:t>time-normali</w:t>
      </w:r>
      <w:r w:rsidR="008A6541" w:rsidRPr="00456927">
        <w:rPr>
          <w:rFonts w:ascii="Times New Roman" w:eastAsia="Times New Roman" w:hAnsi="Times New Roman" w:cs="Times New Roman"/>
          <w:kern w:val="24"/>
          <w:sz w:val="24"/>
          <w:szCs w:val="24"/>
          <w:lang w:val="en-US"/>
        </w:rPr>
        <w:t>s</w:t>
      </w:r>
      <w:r w:rsidR="005878E7" w:rsidRPr="00456927">
        <w:rPr>
          <w:rFonts w:ascii="Times New Roman" w:eastAsia="Times New Roman" w:hAnsi="Times New Roman" w:cs="Times New Roman"/>
          <w:kern w:val="24"/>
          <w:sz w:val="24"/>
          <w:szCs w:val="24"/>
          <w:lang w:val="en-US"/>
        </w:rPr>
        <w:t>ed number of HAE attacks per month treated with on-demand medication and the number of moderate or severe HAE attacks</w:t>
      </w:r>
      <w:r w:rsidR="002A33C2" w:rsidRPr="00456927">
        <w:rPr>
          <w:rFonts w:ascii="Times New Roman" w:eastAsia="Times New Roman" w:hAnsi="Times New Roman" w:cs="Times New Roman"/>
          <w:kern w:val="24"/>
          <w:sz w:val="24"/>
          <w:szCs w:val="24"/>
          <w:lang w:val="en-US"/>
        </w:rPr>
        <w:t xml:space="preserve"> </w:t>
      </w:r>
      <w:r>
        <w:rPr>
          <w:rFonts w:ascii="Times New Roman" w:eastAsia="Times New Roman" w:hAnsi="Times New Roman" w:cs="Times New Roman"/>
          <w:kern w:val="24"/>
          <w:sz w:val="24"/>
          <w:szCs w:val="24"/>
          <w:lang w:val="en-US"/>
        </w:rPr>
        <w:t>were reduced with ANDEMBRY</w:t>
      </w:r>
      <w:r w:rsidRPr="00C1289B">
        <w:rPr>
          <w:rFonts w:ascii="Times New Roman" w:eastAsia="Times New Roman" w:hAnsi="Times New Roman" w:cs="Times New Roman"/>
          <w:kern w:val="24"/>
          <w:sz w:val="24"/>
          <w:szCs w:val="24"/>
          <w:vertAlign w:val="superscript"/>
          <w:lang w:val="en-US"/>
        </w:rPr>
        <w:t>®</w:t>
      </w:r>
      <w:r>
        <w:rPr>
          <w:rFonts w:ascii="Times New Roman" w:eastAsia="Times New Roman" w:hAnsi="Times New Roman" w:cs="Times New Roman"/>
          <w:kern w:val="24"/>
          <w:sz w:val="24"/>
          <w:szCs w:val="24"/>
          <w:lang w:val="en-US"/>
        </w:rPr>
        <w:t xml:space="preserve"> treatment compared with placebo</w:t>
      </w:r>
      <w:r w:rsidR="005878E7" w:rsidRPr="00456927">
        <w:rPr>
          <w:rFonts w:ascii="Times New Roman" w:eastAsia="Times New Roman" w:hAnsi="Times New Roman" w:cs="Times New Roman"/>
          <w:kern w:val="24"/>
          <w:sz w:val="24"/>
          <w:szCs w:val="24"/>
          <w:lang w:val="en-US"/>
        </w:rPr>
        <w:t xml:space="preserve"> (</w:t>
      </w:r>
      <w:r w:rsidR="005878E7" w:rsidRPr="00456927">
        <w:rPr>
          <w:rFonts w:ascii="Times New Roman" w:eastAsia="Times New Roman" w:hAnsi="Times New Roman" w:cs="Times New Roman"/>
          <w:b/>
          <w:bCs/>
          <w:kern w:val="24"/>
          <w:sz w:val="24"/>
          <w:szCs w:val="24"/>
          <w:lang w:val="en-US"/>
        </w:rPr>
        <w:t xml:space="preserve">Table </w:t>
      </w:r>
      <w:r w:rsidR="00CB3DF4" w:rsidRPr="00456927">
        <w:rPr>
          <w:rFonts w:ascii="Times New Roman" w:eastAsia="Times New Roman" w:hAnsi="Times New Roman" w:cs="Times New Roman"/>
          <w:b/>
          <w:bCs/>
          <w:kern w:val="24"/>
          <w:sz w:val="24"/>
          <w:szCs w:val="24"/>
          <w:lang w:val="en-US"/>
        </w:rPr>
        <w:t>5</w:t>
      </w:r>
      <w:r w:rsidR="005878E7" w:rsidRPr="00456927">
        <w:rPr>
          <w:rFonts w:ascii="Times New Roman" w:eastAsia="Times New Roman" w:hAnsi="Times New Roman" w:cs="Times New Roman"/>
          <w:kern w:val="24"/>
          <w:sz w:val="24"/>
          <w:szCs w:val="24"/>
          <w:lang w:val="en-US"/>
        </w:rPr>
        <w:t>).</w:t>
      </w:r>
    </w:p>
    <w:p w14:paraId="6AD2B501" w14:textId="70015429" w:rsidR="005878E7" w:rsidRPr="00456927" w:rsidRDefault="005878E7" w:rsidP="00B45232">
      <w:pPr>
        <w:pStyle w:val="Caption"/>
        <w:ind w:left="862" w:hanging="862"/>
        <w:rPr>
          <w:sz w:val="20"/>
        </w:rPr>
      </w:pPr>
      <w:r w:rsidRPr="00456927">
        <w:t>Table </w:t>
      </w:r>
      <w:r w:rsidR="00CB3DF4" w:rsidRPr="00456927">
        <w:t>5</w:t>
      </w:r>
      <w:r w:rsidRPr="00456927">
        <w:t>: Time-normali</w:t>
      </w:r>
      <w:r w:rsidR="008A6541" w:rsidRPr="00456927">
        <w:t>s</w:t>
      </w:r>
      <w:r w:rsidRPr="00456927">
        <w:t xml:space="preserve">ed Number of HAE Attacks Per Month Treated with On Demand Medication </w:t>
      </w:r>
      <w:r w:rsidRPr="00456927">
        <w:rPr>
          <w:szCs w:val="24"/>
        </w:rPr>
        <w:t>Period and Moderate or Severe HAE attacks (ITT Analysis Set)</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10"/>
        <w:gridCol w:w="2374"/>
        <w:gridCol w:w="2704"/>
      </w:tblGrid>
      <w:tr w:rsidR="00456927" w:rsidRPr="00456927" w14:paraId="3203DDF8" w14:textId="77777777">
        <w:trPr>
          <w:cantSplit/>
          <w:tblHeader/>
          <w:jc w:val="center"/>
        </w:trPr>
        <w:tc>
          <w:tcPr>
            <w:tcW w:w="2078" w:type="pct"/>
          </w:tcPr>
          <w:p w14:paraId="3076D61C" w14:textId="77777777" w:rsidR="005878E7" w:rsidRPr="00456927" w:rsidRDefault="005878E7" w:rsidP="00B45232">
            <w:pPr>
              <w:keepNext/>
              <w:adjustRightInd w:val="0"/>
              <w:spacing w:before="40" w:after="40" w:line="240" w:lineRule="auto"/>
              <w:rPr>
                <w:rFonts w:ascii="Times New Roman" w:hAnsi="Times New Roman" w:cs="Times New Roman"/>
                <w:b/>
                <w:sz w:val="20"/>
              </w:rPr>
            </w:pPr>
          </w:p>
        </w:tc>
        <w:tc>
          <w:tcPr>
            <w:tcW w:w="1366" w:type="pct"/>
            <w:vAlign w:val="center"/>
          </w:tcPr>
          <w:p w14:paraId="5A00B5A1" w14:textId="0D219B19" w:rsidR="005878E7" w:rsidRPr="00456927" w:rsidRDefault="00553863" w:rsidP="00B45232">
            <w:pPr>
              <w:pStyle w:val="TableCellHeading10pt"/>
            </w:pPr>
            <w:r w:rsidRPr="00456927">
              <w:rPr>
                <w:kern w:val="24"/>
                <w:szCs w:val="20"/>
              </w:rPr>
              <w:t>ANDEMBRY</w:t>
            </w:r>
            <w:r w:rsidR="00893D34" w:rsidRPr="00456927">
              <w:rPr>
                <w:kern w:val="24"/>
                <w:szCs w:val="20"/>
                <w:vertAlign w:val="superscript"/>
              </w:rPr>
              <w:t>®</w:t>
            </w:r>
            <w:r w:rsidR="005878E7" w:rsidRPr="00456927">
              <w:rPr>
                <w:szCs w:val="20"/>
              </w:rPr>
              <w:t xml:space="preserve"> 20</w:t>
            </w:r>
            <w:r w:rsidR="005878E7" w:rsidRPr="00456927">
              <w:t>0 mg</w:t>
            </w:r>
            <w:r w:rsidR="005878E7" w:rsidRPr="00456927">
              <w:br/>
              <w:t>(N = 39)</w:t>
            </w:r>
          </w:p>
        </w:tc>
        <w:tc>
          <w:tcPr>
            <w:tcW w:w="1556" w:type="pct"/>
            <w:vAlign w:val="center"/>
          </w:tcPr>
          <w:p w14:paraId="6844C9F0" w14:textId="77777777" w:rsidR="005878E7" w:rsidRPr="00456927" w:rsidRDefault="005878E7" w:rsidP="00B45232">
            <w:pPr>
              <w:pStyle w:val="TableCellHeading10pt"/>
            </w:pPr>
            <w:r w:rsidRPr="00456927">
              <w:t>Placebo</w:t>
            </w:r>
            <w:r w:rsidRPr="00456927">
              <w:br/>
              <w:t>(N = 25)</w:t>
            </w:r>
          </w:p>
        </w:tc>
      </w:tr>
      <w:tr w:rsidR="00456927" w:rsidRPr="00456927" w14:paraId="68D4173A" w14:textId="77777777">
        <w:trPr>
          <w:cantSplit/>
          <w:jc w:val="center"/>
        </w:trPr>
        <w:tc>
          <w:tcPr>
            <w:tcW w:w="3444" w:type="pct"/>
            <w:gridSpan w:val="2"/>
          </w:tcPr>
          <w:p w14:paraId="59674E81" w14:textId="739D0A30" w:rsidR="005878E7" w:rsidRPr="00456927" w:rsidRDefault="005878E7" w:rsidP="00B45232">
            <w:pPr>
              <w:pStyle w:val="TableCellText10pt"/>
              <w:ind w:right="1"/>
            </w:pPr>
            <w:r w:rsidRPr="00456927">
              <w:rPr>
                <w:b/>
              </w:rPr>
              <w:t>Time-normali</w:t>
            </w:r>
            <w:r w:rsidR="00B7614C" w:rsidRPr="00456927">
              <w:rPr>
                <w:b/>
              </w:rPr>
              <w:t>s</w:t>
            </w:r>
            <w:r w:rsidRPr="00456927">
              <w:rPr>
                <w:b/>
              </w:rPr>
              <w:t>ed Number of HAE Attacks Treated with On-demand Treatment Per Month</w:t>
            </w:r>
          </w:p>
        </w:tc>
        <w:tc>
          <w:tcPr>
            <w:tcW w:w="1556" w:type="pct"/>
            <w:vAlign w:val="center"/>
          </w:tcPr>
          <w:p w14:paraId="6B3B9BC7" w14:textId="77777777" w:rsidR="005878E7" w:rsidRPr="00456927" w:rsidRDefault="005878E7" w:rsidP="00B45232">
            <w:pPr>
              <w:pStyle w:val="TableCellText10pt"/>
              <w:jc w:val="center"/>
            </w:pPr>
          </w:p>
        </w:tc>
      </w:tr>
      <w:tr w:rsidR="00456927" w:rsidRPr="00456927" w14:paraId="60E31F3C" w14:textId="77777777">
        <w:trPr>
          <w:cantSplit/>
          <w:jc w:val="center"/>
        </w:trPr>
        <w:tc>
          <w:tcPr>
            <w:tcW w:w="2078" w:type="pct"/>
          </w:tcPr>
          <w:p w14:paraId="2B8C08AD" w14:textId="77777777" w:rsidR="005878E7" w:rsidRPr="00456927" w:rsidRDefault="005878E7" w:rsidP="00B45232">
            <w:pPr>
              <w:pStyle w:val="TableCellText10pt"/>
              <w:rPr>
                <w:b/>
              </w:rPr>
            </w:pPr>
            <w:r w:rsidRPr="00456927">
              <w:rPr>
                <w:b/>
              </w:rPr>
              <w:t>Study Period: 6-Month Treatment</w:t>
            </w:r>
          </w:p>
        </w:tc>
        <w:tc>
          <w:tcPr>
            <w:tcW w:w="1366" w:type="pct"/>
            <w:vAlign w:val="center"/>
          </w:tcPr>
          <w:p w14:paraId="3635B14F" w14:textId="77777777" w:rsidR="005878E7" w:rsidRPr="00456927" w:rsidRDefault="005878E7" w:rsidP="00B45232">
            <w:pPr>
              <w:pStyle w:val="TableCellText10pt"/>
              <w:jc w:val="center"/>
            </w:pPr>
          </w:p>
        </w:tc>
        <w:tc>
          <w:tcPr>
            <w:tcW w:w="1556" w:type="pct"/>
            <w:vAlign w:val="center"/>
          </w:tcPr>
          <w:p w14:paraId="44E00315" w14:textId="77777777" w:rsidR="005878E7" w:rsidRPr="00456927" w:rsidRDefault="005878E7" w:rsidP="00B45232">
            <w:pPr>
              <w:pStyle w:val="TableCellText10pt"/>
              <w:jc w:val="center"/>
            </w:pPr>
          </w:p>
        </w:tc>
      </w:tr>
      <w:tr w:rsidR="00456927" w:rsidRPr="00456927" w14:paraId="6A465CD6" w14:textId="77777777">
        <w:trPr>
          <w:cantSplit/>
          <w:jc w:val="center"/>
        </w:trPr>
        <w:tc>
          <w:tcPr>
            <w:tcW w:w="2078" w:type="pct"/>
          </w:tcPr>
          <w:p w14:paraId="04321C23" w14:textId="77777777" w:rsidR="005878E7" w:rsidRPr="00456927" w:rsidRDefault="005878E7" w:rsidP="00B45232">
            <w:pPr>
              <w:pStyle w:val="TableCellText10pt"/>
            </w:pPr>
            <w:r w:rsidRPr="00456927">
              <w:t>Number of Evaluable Patients, n (%)</w:t>
            </w:r>
          </w:p>
        </w:tc>
        <w:tc>
          <w:tcPr>
            <w:tcW w:w="1366" w:type="pct"/>
            <w:vAlign w:val="center"/>
          </w:tcPr>
          <w:p w14:paraId="116E2E4E" w14:textId="77777777" w:rsidR="005878E7" w:rsidRPr="00456927" w:rsidRDefault="005878E7" w:rsidP="00B45232">
            <w:pPr>
              <w:pStyle w:val="TableCellText10pt"/>
              <w:jc w:val="center"/>
            </w:pPr>
            <w:r w:rsidRPr="00456927">
              <w:t>39 (100.0)</w:t>
            </w:r>
          </w:p>
        </w:tc>
        <w:tc>
          <w:tcPr>
            <w:tcW w:w="1556" w:type="pct"/>
            <w:vAlign w:val="center"/>
          </w:tcPr>
          <w:p w14:paraId="4AF313AB" w14:textId="296B9D22" w:rsidR="005878E7" w:rsidRPr="00456927" w:rsidRDefault="005878E7" w:rsidP="00B45232">
            <w:pPr>
              <w:pStyle w:val="TableCellText10pt"/>
              <w:jc w:val="center"/>
            </w:pPr>
            <w:r w:rsidRPr="00456927">
              <w:t>24</w:t>
            </w:r>
            <w:r w:rsidR="00525709" w:rsidRPr="00456927">
              <w:rPr>
                <w:vertAlign w:val="superscript"/>
              </w:rPr>
              <w:t>a</w:t>
            </w:r>
            <w:r w:rsidRPr="00456927">
              <w:t xml:space="preserve"> (96.0)</w:t>
            </w:r>
          </w:p>
        </w:tc>
      </w:tr>
      <w:tr w:rsidR="00456927" w:rsidRPr="00456927" w14:paraId="71FE2C3C" w14:textId="77777777">
        <w:trPr>
          <w:cantSplit/>
          <w:jc w:val="center"/>
        </w:trPr>
        <w:tc>
          <w:tcPr>
            <w:tcW w:w="2078" w:type="pct"/>
          </w:tcPr>
          <w:p w14:paraId="28647627" w14:textId="77777777" w:rsidR="005878E7" w:rsidRPr="00456927" w:rsidRDefault="005878E7" w:rsidP="00B45232">
            <w:pPr>
              <w:pStyle w:val="TableCellText10pt"/>
              <w:keepNext w:val="0"/>
              <w:ind w:left="288"/>
            </w:pPr>
            <w:r w:rsidRPr="00456927">
              <w:t>Mean (SD)</w:t>
            </w:r>
          </w:p>
        </w:tc>
        <w:tc>
          <w:tcPr>
            <w:tcW w:w="1366" w:type="pct"/>
            <w:vAlign w:val="center"/>
          </w:tcPr>
          <w:p w14:paraId="31158C09" w14:textId="77777777" w:rsidR="005878E7" w:rsidRPr="00456927" w:rsidRDefault="005878E7" w:rsidP="00B45232">
            <w:pPr>
              <w:pStyle w:val="TableCellText10pt"/>
              <w:keepNext w:val="0"/>
              <w:jc w:val="center"/>
            </w:pPr>
            <w:r w:rsidRPr="00456927">
              <w:t>0.23 (0.663)</w:t>
            </w:r>
          </w:p>
        </w:tc>
        <w:tc>
          <w:tcPr>
            <w:tcW w:w="1556" w:type="pct"/>
            <w:vAlign w:val="center"/>
          </w:tcPr>
          <w:p w14:paraId="22AA1541" w14:textId="77777777" w:rsidR="005878E7" w:rsidRPr="00456927" w:rsidRDefault="005878E7" w:rsidP="00B45232">
            <w:pPr>
              <w:pStyle w:val="TableCellText10pt"/>
              <w:keepNext w:val="0"/>
              <w:jc w:val="center"/>
            </w:pPr>
            <w:r w:rsidRPr="00456927">
              <w:t>1.86 (1.412)</w:t>
            </w:r>
          </w:p>
        </w:tc>
      </w:tr>
      <w:tr w:rsidR="00456927" w:rsidRPr="00456927" w14:paraId="57F45A25" w14:textId="77777777">
        <w:trPr>
          <w:cantSplit/>
          <w:jc w:val="center"/>
        </w:trPr>
        <w:tc>
          <w:tcPr>
            <w:tcW w:w="2078" w:type="pct"/>
          </w:tcPr>
          <w:p w14:paraId="3EF400E5" w14:textId="77777777" w:rsidR="005878E7" w:rsidRPr="00456927" w:rsidRDefault="005878E7" w:rsidP="00B45232">
            <w:pPr>
              <w:pStyle w:val="TableCellText10pt"/>
              <w:keepNext w:val="0"/>
              <w:ind w:left="288"/>
            </w:pPr>
            <w:r w:rsidRPr="00456927">
              <w:t>Median (Min, Max)</w:t>
            </w:r>
          </w:p>
        </w:tc>
        <w:tc>
          <w:tcPr>
            <w:tcW w:w="1366" w:type="pct"/>
            <w:vAlign w:val="center"/>
          </w:tcPr>
          <w:p w14:paraId="31D317DA" w14:textId="77777777" w:rsidR="005878E7" w:rsidRPr="00456927" w:rsidRDefault="005878E7" w:rsidP="00B45232">
            <w:pPr>
              <w:pStyle w:val="TableCellText10pt"/>
              <w:keepNext w:val="0"/>
              <w:jc w:val="center"/>
            </w:pPr>
            <w:r w:rsidRPr="00456927">
              <w:t>0.00 (0.0, 3.8)</w:t>
            </w:r>
          </w:p>
        </w:tc>
        <w:tc>
          <w:tcPr>
            <w:tcW w:w="1556" w:type="pct"/>
            <w:vAlign w:val="center"/>
          </w:tcPr>
          <w:p w14:paraId="0A46C4B0" w14:textId="77777777" w:rsidR="005878E7" w:rsidRPr="00456927" w:rsidRDefault="005878E7" w:rsidP="00B45232">
            <w:pPr>
              <w:pStyle w:val="TableCellText10pt"/>
              <w:keepNext w:val="0"/>
              <w:jc w:val="center"/>
            </w:pPr>
            <w:r w:rsidRPr="00456927">
              <w:t>1.35 (0.0, 4.4)</w:t>
            </w:r>
          </w:p>
        </w:tc>
      </w:tr>
      <w:tr w:rsidR="00456927" w:rsidRPr="00456927" w14:paraId="42D0947C" w14:textId="77777777">
        <w:trPr>
          <w:cantSplit/>
          <w:jc w:val="center"/>
        </w:trPr>
        <w:tc>
          <w:tcPr>
            <w:tcW w:w="2078" w:type="pct"/>
          </w:tcPr>
          <w:p w14:paraId="54331ED9" w14:textId="69F3CBBF" w:rsidR="005878E7" w:rsidRPr="00456927" w:rsidRDefault="005878E7" w:rsidP="00B45232">
            <w:pPr>
              <w:pStyle w:val="TableCellText10pt"/>
              <w:keepNext w:val="0"/>
              <w:ind w:left="288"/>
            </w:pPr>
            <w:r w:rsidRPr="00456927">
              <w:t>95% CI</w:t>
            </w:r>
            <w:r w:rsidR="004C1BA6" w:rsidRPr="00456927">
              <w:rPr>
                <w:vertAlign w:val="superscript"/>
              </w:rPr>
              <w:t>b</w:t>
            </w:r>
          </w:p>
        </w:tc>
        <w:tc>
          <w:tcPr>
            <w:tcW w:w="1366" w:type="pct"/>
            <w:vAlign w:val="center"/>
          </w:tcPr>
          <w:p w14:paraId="483349C4" w14:textId="77777777" w:rsidR="005878E7" w:rsidRPr="00456927" w:rsidRDefault="005878E7" w:rsidP="00B45232">
            <w:pPr>
              <w:pStyle w:val="TableCellText10pt"/>
              <w:keepNext w:val="0"/>
              <w:jc w:val="center"/>
            </w:pPr>
            <w:r w:rsidRPr="00456927">
              <w:t>0.02, 0.45</w:t>
            </w:r>
          </w:p>
        </w:tc>
        <w:tc>
          <w:tcPr>
            <w:tcW w:w="1556" w:type="pct"/>
            <w:vAlign w:val="center"/>
          </w:tcPr>
          <w:p w14:paraId="72A1C35C" w14:textId="77777777" w:rsidR="005878E7" w:rsidRPr="00456927" w:rsidRDefault="005878E7" w:rsidP="00B45232">
            <w:pPr>
              <w:pStyle w:val="TableCellText10pt"/>
              <w:keepNext w:val="0"/>
              <w:jc w:val="center"/>
            </w:pPr>
            <w:r w:rsidRPr="00456927">
              <w:t>1.26, 2.46</w:t>
            </w:r>
          </w:p>
        </w:tc>
      </w:tr>
      <w:tr w:rsidR="00456927" w:rsidRPr="00456927" w14:paraId="52CBD7C0" w14:textId="77777777">
        <w:trPr>
          <w:cantSplit/>
          <w:jc w:val="center"/>
        </w:trPr>
        <w:tc>
          <w:tcPr>
            <w:tcW w:w="2078" w:type="pct"/>
          </w:tcPr>
          <w:p w14:paraId="56DD40D2" w14:textId="77777777" w:rsidR="005878E7" w:rsidRPr="00456927" w:rsidRDefault="005878E7" w:rsidP="00B45232">
            <w:pPr>
              <w:pStyle w:val="TableCellText10pt"/>
              <w:keepNext w:val="0"/>
              <w:ind w:left="288"/>
            </w:pPr>
          </w:p>
        </w:tc>
        <w:tc>
          <w:tcPr>
            <w:tcW w:w="1366" w:type="pct"/>
            <w:vAlign w:val="center"/>
          </w:tcPr>
          <w:p w14:paraId="010CA816" w14:textId="77777777" w:rsidR="005878E7" w:rsidRPr="00456927" w:rsidRDefault="005878E7" w:rsidP="00B45232">
            <w:pPr>
              <w:pStyle w:val="TableCellText10pt"/>
              <w:keepNext w:val="0"/>
              <w:jc w:val="center"/>
            </w:pPr>
          </w:p>
        </w:tc>
        <w:tc>
          <w:tcPr>
            <w:tcW w:w="1556" w:type="pct"/>
            <w:vAlign w:val="center"/>
          </w:tcPr>
          <w:p w14:paraId="5D9907C4" w14:textId="77777777" w:rsidR="005878E7" w:rsidRPr="00456927" w:rsidRDefault="005878E7" w:rsidP="00B45232">
            <w:pPr>
              <w:pStyle w:val="TableCellText10pt"/>
              <w:keepNext w:val="0"/>
              <w:jc w:val="center"/>
            </w:pPr>
          </w:p>
        </w:tc>
      </w:tr>
      <w:tr w:rsidR="00456927" w:rsidRPr="00456927" w14:paraId="09DD567E" w14:textId="77777777">
        <w:trPr>
          <w:cantSplit/>
          <w:jc w:val="center"/>
        </w:trPr>
        <w:tc>
          <w:tcPr>
            <w:tcW w:w="3444" w:type="pct"/>
            <w:gridSpan w:val="2"/>
          </w:tcPr>
          <w:p w14:paraId="7120B51E" w14:textId="1A98CD1F" w:rsidR="005878E7" w:rsidRPr="00456927" w:rsidRDefault="005878E7" w:rsidP="00B45232">
            <w:pPr>
              <w:pStyle w:val="TableCellText10pt"/>
            </w:pPr>
            <w:r w:rsidRPr="00456927">
              <w:rPr>
                <w:b/>
              </w:rPr>
              <w:t>Time-normali</w:t>
            </w:r>
            <w:r w:rsidR="00B7614C" w:rsidRPr="00456927">
              <w:rPr>
                <w:b/>
              </w:rPr>
              <w:t>s</w:t>
            </w:r>
            <w:r w:rsidRPr="00456927">
              <w:rPr>
                <w:b/>
              </w:rPr>
              <w:t>ed Number of Moderate or Severe HAE Attacks</w:t>
            </w:r>
          </w:p>
        </w:tc>
        <w:tc>
          <w:tcPr>
            <w:tcW w:w="1556" w:type="pct"/>
          </w:tcPr>
          <w:p w14:paraId="0ED12DF9" w14:textId="77777777" w:rsidR="005878E7" w:rsidRPr="00456927" w:rsidRDefault="005878E7" w:rsidP="00B45232">
            <w:pPr>
              <w:pStyle w:val="TableCellText10pt"/>
              <w:keepNext w:val="0"/>
              <w:jc w:val="center"/>
            </w:pPr>
          </w:p>
        </w:tc>
      </w:tr>
      <w:tr w:rsidR="00456927" w:rsidRPr="00456927" w14:paraId="01C8FD3D" w14:textId="77777777">
        <w:trPr>
          <w:cantSplit/>
          <w:jc w:val="center"/>
        </w:trPr>
        <w:tc>
          <w:tcPr>
            <w:tcW w:w="2078" w:type="pct"/>
          </w:tcPr>
          <w:p w14:paraId="0B4BD99F" w14:textId="77777777" w:rsidR="005878E7" w:rsidRPr="00456927" w:rsidRDefault="005878E7" w:rsidP="00B45232">
            <w:pPr>
              <w:pStyle w:val="TableCellText10pt"/>
              <w:rPr>
                <w:b/>
              </w:rPr>
            </w:pPr>
            <w:r w:rsidRPr="00456927">
              <w:rPr>
                <w:b/>
              </w:rPr>
              <w:t>Study Period: 6-Month Treatment</w:t>
            </w:r>
          </w:p>
        </w:tc>
        <w:tc>
          <w:tcPr>
            <w:tcW w:w="1366" w:type="pct"/>
          </w:tcPr>
          <w:p w14:paraId="77E864ED" w14:textId="77777777" w:rsidR="005878E7" w:rsidRPr="00456927" w:rsidRDefault="005878E7" w:rsidP="00B45232">
            <w:pPr>
              <w:pStyle w:val="TableCellText10pt"/>
              <w:keepNext w:val="0"/>
              <w:jc w:val="center"/>
            </w:pPr>
          </w:p>
        </w:tc>
        <w:tc>
          <w:tcPr>
            <w:tcW w:w="1556" w:type="pct"/>
          </w:tcPr>
          <w:p w14:paraId="2974D2D5" w14:textId="77777777" w:rsidR="005878E7" w:rsidRPr="00456927" w:rsidRDefault="005878E7" w:rsidP="00B45232">
            <w:pPr>
              <w:pStyle w:val="TableCellText10pt"/>
              <w:keepNext w:val="0"/>
              <w:jc w:val="center"/>
            </w:pPr>
          </w:p>
        </w:tc>
      </w:tr>
      <w:tr w:rsidR="00456927" w:rsidRPr="00456927" w14:paraId="0A41D328" w14:textId="77777777">
        <w:trPr>
          <w:cantSplit/>
          <w:jc w:val="center"/>
        </w:trPr>
        <w:tc>
          <w:tcPr>
            <w:tcW w:w="2078" w:type="pct"/>
          </w:tcPr>
          <w:p w14:paraId="16A7C80F" w14:textId="77777777" w:rsidR="005878E7" w:rsidRPr="00456927" w:rsidRDefault="005878E7" w:rsidP="00B45232">
            <w:pPr>
              <w:pStyle w:val="TableCellText10pt"/>
              <w:keepNext w:val="0"/>
              <w:ind w:left="288"/>
              <w:rPr>
                <w:b/>
              </w:rPr>
            </w:pPr>
            <w:r w:rsidRPr="00456927">
              <w:t>Number of Evaluable Patients, n (%)</w:t>
            </w:r>
          </w:p>
        </w:tc>
        <w:tc>
          <w:tcPr>
            <w:tcW w:w="1366" w:type="pct"/>
          </w:tcPr>
          <w:p w14:paraId="3DB29216" w14:textId="77777777" w:rsidR="005878E7" w:rsidRPr="00456927" w:rsidRDefault="005878E7" w:rsidP="00B45232">
            <w:pPr>
              <w:pStyle w:val="TableCellText10pt"/>
              <w:keepNext w:val="0"/>
              <w:jc w:val="center"/>
            </w:pPr>
            <w:r w:rsidRPr="00456927">
              <w:t>39 (100.0)</w:t>
            </w:r>
          </w:p>
        </w:tc>
        <w:tc>
          <w:tcPr>
            <w:tcW w:w="1556" w:type="pct"/>
          </w:tcPr>
          <w:p w14:paraId="069B2E09" w14:textId="583A53F4" w:rsidR="005878E7" w:rsidRPr="00456927" w:rsidRDefault="007930E1" w:rsidP="00B45232">
            <w:pPr>
              <w:pStyle w:val="TableCellText10pt"/>
              <w:keepNext w:val="0"/>
              <w:jc w:val="center"/>
            </w:pPr>
            <w:r w:rsidRPr="00456927">
              <w:t>24</w:t>
            </w:r>
            <w:r w:rsidRPr="00456927">
              <w:rPr>
                <w:szCs w:val="16"/>
                <w:vertAlign w:val="superscript"/>
              </w:rPr>
              <w:t>a</w:t>
            </w:r>
            <w:r w:rsidRPr="00456927">
              <w:t xml:space="preserve"> </w:t>
            </w:r>
            <w:r w:rsidR="005878E7" w:rsidRPr="00456927">
              <w:t>(96.0)</w:t>
            </w:r>
          </w:p>
        </w:tc>
      </w:tr>
      <w:tr w:rsidR="00456927" w:rsidRPr="00456927" w14:paraId="40576371" w14:textId="77777777">
        <w:trPr>
          <w:cantSplit/>
          <w:jc w:val="center"/>
        </w:trPr>
        <w:tc>
          <w:tcPr>
            <w:tcW w:w="2078" w:type="pct"/>
          </w:tcPr>
          <w:p w14:paraId="1A4E6EBD" w14:textId="77777777" w:rsidR="005878E7" w:rsidRPr="00456927" w:rsidRDefault="005878E7" w:rsidP="00B45232">
            <w:pPr>
              <w:pStyle w:val="TableCellText10pt"/>
              <w:keepNext w:val="0"/>
              <w:ind w:left="288"/>
            </w:pPr>
            <w:r w:rsidRPr="00456927">
              <w:t>Mean (SD)</w:t>
            </w:r>
          </w:p>
        </w:tc>
        <w:tc>
          <w:tcPr>
            <w:tcW w:w="1366" w:type="pct"/>
          </w:tcPr>
          <w:p w14:paraId="4DFB0DE5" w14:textId="77777777" w:rsidR="005878E7" w:rsidRPr="00456927" w:rsidRDefault="005878E7" w:rsidP="00B45232">
            <w:pPr>
              <w:pStyle w:val="TableCellText10pt"/>
              <w:keepNext w:val="0"/>
              <w:jc w:val="center"/>
            </w:pPr>
            <w:r w:rsidRPr="00456927">
              <w:t>0.13 (0.296)</w:t>
            </w:r>
          </w:p>
        </w:tc>
        <w:tc>
          <w:tcPr>
            <w:tcW w:w="1556" w:type="pct"/>
          </w:tcPr>
          <w:p w14:paraId="3350DDBD" w14:textId="77777777" w:rsidR="005878E7" w:rsidRPr="00456927" w:rsidRDefault="005878E7" w:rsidP="00B45232">
            <w:pPr>
              <w:pStyle w:val="TableCellText10pt"/>
              <w:keepNext w:val="0"/>
              <w:jc w:val="center"/>
            </w:pPr>
            <w:r w:rsidRPr="00456927">
              <w:t>1.35 (1.166)</w:t>
            </w:r>
          </w:p>
        </w:tc>
      </w:tr>
      <w:tr w:rsidR="00456927" w:rsidRPr="00456927" w14:paraId="0A96FC46" w14:textId="77777777">
        <w:trPr>
          <w:cantSplit/>
          <w:jc w:val="center"/>
        </w:trPr>
        <w:tc>
          <w:tcPr>
            <w:tcW w:w="2078" w:type="pct"/>
          </w:tcPr>
          <w:p w14:paraId="738EC056" w14:textId="77777777" w:rsidR="005878E7" w:rsidRPr="00456927" w:rsidRDefault="005878E7" w:rsidP="00B45232">
            <w:pPr>
              <w:pStyle w:val="TableCellText10pt"/>
              <w:keepNext w:val="0"/>
              <w:ind w:left="288"/>
            </w:pPr>
            <w:r w:rsidRPr="00456927">
              <w:t>Median (Min, Max)</w:t>
            </w:r>
          </w:p>
        </w:tc>
        <w:tc>
          <w:tcPr>
            <w:tcW w:w="1366" w:type="pct"/>
          </w:tcPr>
          <w:p w14:paraId="46759EB9" w14:textId="77777777" w:rsidR="005878E7" w:rsidRPr="00456927" w:rsidRDefault="005878E7" w:rsidP="00B45232">
            <w:pPr>
              <w:pStyle w:val="TableCellText10pt"/>
              <w:keepNext w:val="0"/>
              <w:jc w:val="center"/>
            </w:pPr>
            <w:r w:rsidRPr="00456927">
              <w:t>0.00 (0.0, 1.2)</w:t>
            </w:r>
          </w:p>
        </w:tc>
        <w:tc>
          <w:tcPr>
            <w:tcW w:w="1556" w:type="pct"/>
          </w:tcPr>
          <w:p w14:paraId="2957063C" w14:textId="77777777" w:rsidR="005878E7" w:rsidRPr="00456927" w:rsidRDefault="005878E7" w:rsidP="00B45232">
            <w:pPr>
              <w:pStyle w:val="TableCellText10pt"/>
              <w:keepNext w:val="0"/>
              <w:jc w:val="center"/>
            </w:pPr>
            <w:r w:rsidRPr="00456927">
              <w:t>0.83 (0.0, 4.4)</w:t>
            </w:r>
          </w:p>
        </w:tc>
      </w:tr>
      <w:tr w:rsidR="00456927" w:rsidRPr="00456927" w14:paraId="1A3B54A6" w14:textId="77777777">
        <w:trPr>
          <w:cantSplit/>
          <w:jc w:val="center"/>
        </w:trPr>
        <w:tc>
          <w:tcPr>
            <w:tcW w:w="2078" w:type="pct"/>
          </w:tcPr>
          <w:p w14:paraId="5D58C00D" w14:textId="46067C7B" w:rsidR="005878E7" w:rsidRPr="00456927" w:rsidRDefault="005878E7" w:rsidP="00B45232">
            <w:pPr>
              <w:pStyle w:val="TableCellText10pt"/>
              <w:keepNext w:val="0"/>
              <w:ind w:left="288"/>
            </w:pPr>
            <w:r w:rsidRPr="00456927">
              <w:t>95% CI</w:t>
            </w:r>
            <w:r w:rsidR="004C1BA6" w:rsidRPr="00456927">
              <w:rPr>
                <w:vertAlign w:val="superscript"/>
              </w:rPr>
              <w:t>b</w:t>
            </w:r>
          </w:p>
        </w:tc>
        <w:tc>
          <w:tcPr>
            <w:tcW w:w="1366" w:type="pct"/>
          </w:tcPr>
          <w:p w14:paraId="30CC9C86" w14:textId="77777777" w:rsidR="005878E7" w:rsidRPr="00456927" w:rsidRDefault="005878E7" w:rsidP="00B45232">
            <w:pPr>
              <w:pStyle w:val="TableCellText10pt"/>
              <w:keepNext w:val="0"/>
              <w:jc w:val="center"/>
            </w:pPr>
            <w:r w:rsidRPr="00456927">
              <w:t>0.03, 0.22</w:t>
            </w:r>
          </w:p>
        </w:tc>
        <w:tc>
          <w:tcPr>
            <w:tcW w:w="1556" w:type="pct"/>
          </w:tcPr>
          <w:p w14:paraId="349D8670" w14:textId="77777777" w:rsidR="005878E7" w:rsidRPr="00456927" w:rsidRDefault="005878E7" w:rsidP="00B45232">
            <w:pPr>
              <w:pStyle w:val="TableCellText10pt"/>
              <w:keepNext w:val="0"/>
              <w:jc w:val="center"/>
            </w:pPr>
            <w:r w:rsidRPr="00456927">
              <w:t>0.86, 1.84</w:t>
            </w:r>
          </w:p>
        </w:tc>
      </w:tr>
    </w:tbl>
    <w:p w14:paraId="712B3599" w14:textId="77777777" w:rsidR="005878E7" w:rsidRPr="00456927" w:rsidRDefault="005878E7" w:rsidP="005C3347">
      <w:pPr>
        <w:pStyle w:val="TableFootnote"/>
        <w:ind w:left="357" w:hanging="357"/>
        <w:rPr>
          <w:sz w:val="16"/>
          <w:szCs w:val="16"/>
        </w:rPr>
      </w:pPr>
      <w:r w:rsidRPr="00456927">
        <w:rPr>
          <w:sz w:val="16"/>
          <w:szCs w:val="16"/>
        </w:rPr>
        <w:lastRenderedPageBreak/>
        <w:t xml:space="preserve">CI = confidence interval; HAE = hereditary angioedema; ITT = intention-to-treat; Max = maximum; Min = minimum; N = number of </w:t>
      </w:r>
      <w:r w:rsidRPr="00456927">
        <w:rPr>
          <w:sz w:val="16"/>
          <w:szCs w:val="18"/>
        </w:rPr>
        <w:t xml:space="preserve">patients </w:t>
      </w:r>
      <w:r w:rsidRPr="00456927">
        <w:rPr>
          <w:sz w:val="16"/>
          <w:szCs w:val="16"/>
        </w:rPr>
        <w:t>in the ITT Analysis Set; SD = standard deviation.</w:t>
      </w:r>
    </w:p>
    <w:p w14:paraId="5115A335" w14:textId="43C95DE4" w:rsidR="005878E7" w:rsidRPr="00456927" w:rsidRDefault="00B3214C" w:rsidP="00B3214C">
      <w:pPr>
        <w:spacing w:before="40" w:after="40" w:line="240" w:lineRule="auto"/>
        <w:rPr>
          <w:rFonts w:ascii="Times New Roman" w:hAnsi="Times New Roman" w:cs="Times New Roman"/>
          <w:sz w:val="16"/>
          <w:szCs w:val="16"/>
        </w:rPr>
      </w:pPr>
      <w:r w:rsidRPr="00456927">
        <w:rPr>
          <w:rFonts w:ascii="Times New Roman" w:hAnsi="Times New Roman" w:cs="Times New Roman"/>
          <w:sz w:val="16"/>
          <w:szCs w:val="12"/>
          <w:vertAlign w:val="superscript"/>
        </w:rPr>
        <w:t>a</w:t>
      </w:r>
      <w:r w:rsidR="005878E7" w:rsidRPr="00456927">
        <w:rPr>
          <w:rFonts w:ascii="Times New Roman" w:hAnsi="Times New Roman" w:cs="Times New Roman"/>
          <w:sz w:val="16"/>
          <w:szCs w:val="16"/>
        </w:rPr>
        <w:t xml:space="preserve"> One </w:t>
      </w:r>
      <w:r w:rsidR="005C3347" w:rsidRPr="00456927">
        <w:rPr>
          <w:rFonts w:ascii="Times New Roman" w:hAnsi="Times New Roman" w:cs="Times New Roman"/>
          <w:sz w:val="16"/>
          <w:szCs w:val="16"/>
        </w:rPr>
        <w:t>patien</w:t>
      </w:r>
      <w:r w:rsidR="005878E7" w:rsidRPr="00456927">
        <w:rPr>
          <w:rFonts w:ascii="Times New Roman" w:hAnsi="Times New Roman" w:cs="Times New Roman"/>
          <w:sz w:val="16"/>
          <w:szCs w:val="16"/>
        </w:rPr>
        <w:t>t had a Treatment Period of less than 30 Days and was therefore not included in the analysis.</w:t>
      </w:r>
    </w:p>
    <w:p w14:paraId="298FC25A" w14:textId="62AD6900" w:rsidR="004C1BA6" w:rsidRPr="00456927" w:rsidRDefault="00893E7B" w:rsidP="005C3347">
      <w:pPr>
        <w:spacing w:before="40" w:after="240" w:line="240" w:lineRule="auto"/>
        <w:rPr>
          <w:rFonts w:ascii="Times New Roman" w:hAnsi="Times New Roman" w:cs="Times New Roman"/>
        </w:rPr>
      </w:pPr>
      <w:r w:rsidRPr="00456927">
        <w:rPr>
          <w:rFonts w:ascii="Times New Roman" w:hAnsi="Times New Roman" w:cs="Times New Roman"/>
          <w:sz w:val="16"/>
          <w:szCs w:val="16"/>
          <w:vertAlign w:val="superscript"/>
        </w:rPr>
        <w:t>b</w:t>
      </w:r>
      <w:r w:rsidR="004C1BA6" w:rsidRPr="00456927">
        <w:rPr>
          <w:rFonts w:ascii="Times New Roman" w:hAnsi="Times New Roman" w:cs="Times New Roman"/>
          <w:sz w:val="16"/>
          <w:szCs w:val="18"/>
          <w:vertAlign w:val="superscript"/>
        </w:rPr>
        <w:t xml:space="preserve"> </w:t>
      </w:r>
      <w:r w:rsidR="004C1BA6" w:rsidRPr="00456927">
        <w:rPr>
          <w:rFonts w:ascii="Times New Roman" w:hAnsi="Times New Roman" w:cs="Times New Roman"/>
          <w:sz w:val="16"/>
          <w:szCs w:val="18"/>
        </w:rPr>
        <w:t>The 95% CI is based on Wilson’s asymptotic confidence limits</w:t>
      </w:r>
    </w:p>
    <w:p w14:paraId="6E956233" w14:textId="69811DBB" w:rsidR="002726EB" w:rsidRPr="00456927" w:rsidRDefault="00CD3A72" w:rsidP="00DD4A4E">
      <w:pPr>
        <w:spacing w:after="240" w:line="300" w:lineRule="auto"/>
        <w:rPr>
          <w:rFonts w:ascii="Times New Roman" w:hAnsi="Times New Roman" w:cs="Times New Roman"/>
          <w:sz w:val="24"/>
          <w:szCs w:val="24"/>
        </w:rPr>
      </w:pPr>
      <w:r w:rsidRPr="00456927">
        <w:rPr>
          <w:rFonts w:ascii="Times New Roman" w:hAnsi="Times New Roman" w:cs="Times New Roman"/>
          <w:sz w:val="24"/>
          <w:szCs w:val="24"/>
        </w:rPr>
        <w:t>The proportion of subjects who achieved</w:t>
      </w:r>
      <w:r w:rsidR="005878E7" w:rsidRPr="00456927">
        <w:rPr>
          <w:rFonts w:ascii="Times New Roman" w:hAnsi="Times New Roman" w:cs="Times New Roman"/>
          <w:sz w:val="24"/>
          <w:szCs w:val="24"/>
        </w:rPr>
        <w:t xml:space="preserve"> an improvement in </w:t>
      </w:r>
      <w:r w:rsidRPr="00456927">
        <w:rPr>
          <w:rFonts w:ascii="Times New Roman" w:hAnsi="Times New Roman" w:cs="Times New Roman"/>
          <w:sz w:val="24"/>
          <w:szCs w:val="24"/>
        </w:rPr>
        <w:t xml:space="preserve">quality of life as measured by </w:t>
      </w:r>
      <w:r w:rsidR="005878E7" w:rsidRPr="00456927">
        <w:rPr>
          <w:rFonts w:ascii="Times New Roman" w:hAnsi="Times New Roman" w:cs="Times New Roman"/>
          <w:sz w:val="24"/>
          <w:szCs w:val="24"/>
        </w:rPr>
        <w:t>the Angioedema Quality of Life</w:t>
      </w:r>
      <w:r w:rsidRPr="00456927">
        <w:rPr>
          <w:rFonts w:ascii="Times New Roman" w:hAnsi="Times New Roman" w:cs="Times New Roman"/>
          <w:sz w:val="24"/>
          <w:szCs w:val="24"/>
        </w:rPr>
        <w:t xml:space="preserve"> (AE-QoL)</w:t>
      </w:r>
      <w:r w:rsidR="005878E7" w:rsidRPr="00456927">
        <w:rPr>
          <w:rFonts w:ascii="Times New Roman" w:hAnsi="Times New Roman" w:cs="Times New Roman"/>
          <w:sz w:val="24"/>
          <w:szCs w:val="24"/>
        </w:rPr>
        <w:t xml:space="preserve"> </w:t>
      </w:r>
      <w:r w:rsidRPr="00456927">
        <w:rPr>
          <w:rFonts w:ascii="Times New Roman" w:hAnsi="Times New Roman" w:cs="Times New Roman"/>
          <w:sz w:val="24"/>
          <w:szCs w:val="24"/>
        </w:rPr>
        <w:t>q</w:t>
      </w:r>
      <w:r w:rsidR="005878E7" w:rsidRPr="00456927">
        <w:rPr>
          <w:rFonts w:ascii="Times New Roman" w:hAnsi="Times New Roman" w:cs="Times New Roman"/>
          <w:sz w:val="24"/>
          <w:szCs w:val="24"/>
        </w:rPr>
        <w:t xml:space="preserve">uestionnaire </w:t>
      </w:r>
      <w:r w:rsidRPr="00456927">
        <w:rPr>
          <w:rFonts w:ascii="Times New Roman" w:hAnsi="Times New Roman" w:cs="Times New Roman"/>
          <w:sz w:val="24"/>
          <w:szCs w:val="24"/>
        </w:rPr>
        <w:t>(</w:t>
      </w:r>
      <w:r w:rsidR="005878E7" w:rsidRPr="00456927">
        <w:rPr>
          <w:rFonts w:ascii="Times New Roman" w:hAnsi="Times New Roman" w:cs="Times New Roman"/>
          <w:sz w:val="24"/>
          <w:szCs w:val="24"/>
        </w:rPr>
        <w:t>minimal clinically important difference</w:t>
      </w:r>
      <w:r w:rsidRPr="00456927">
        <w:rPr>
          <w:rFonts w:ascii="Times New Roman" w:hAnsi="Times New Roman" w:cs="Times New Roman"/>
          <w:sz w:val="24"/>
          <w:szCs w:val="24"/>
        </w:rPr>
        <w:t xml:space="preserve"> ≥6 for the AE-QoL total score) was 87.9% for the ANDEMBRY</w:t>
      </w:r>
      <w:r w:rsidRPr="00456927">
        <w:rPr>
          <w:rFonts w:ascii="Times New Roman" w:eastAsia="Times New Roman" w:hAnsi="Times New Roman" w:cs="Times New Roman"/>
          <w:kern w:val="24"/>
          <w:sz w:val="24"/>
          <w:szCs w:val="24"/>
          <w:vertAlign w:val="superscript"/>
          <w:lang w:val="en-US"/>
        </w:rPr>
        <w:t>®</w:t>
      </w:r>
      <w:r w:rsidRPr="00456927">
        <w:rPr>
          <w:rFonts w:ascii="Times New Roman" w:hAnsi="Times New Roman" w:cs="Times New Roman"/>
          <w:sz w:val="24"/>
          <w:szCs w:val="24"/>
        </w:rPr>
        <w:t xml:space="preserve"> arm and 55.0% for the placebo arm</w:t>
      </w:r>
      <w:r w:rsidR="005878E7" w:rsidRPr="00456927">
        <w:rPr>
          <w:rFonts w:ascii="Times New Roman" w:hAnsi="Times New Roman" w:cs="Times New Roman"/>
          <w:sz w:val="24"/>
          <w:szCs w:val="24"/>
        </w:rPr>
        <w:t>.</w:t>
      </w:r>
    </w:p>
    <w:p w14:paraId="20F98DD4" w14:textId="00A938E1" w:rsidR="005878E7" w:rsidRPr="00456927" w:rsidRDefault="005C3347" w:rsidP="005C3347">
      <w:pPr>
        <w:spacing w:after="240" w:line="300" w:lineRule="auto"/>
        <w:rPr>
          <w:rFonts w:ascii="Times New Roman" w:hAnsi="Times New Roman" w:cs="Times New Roman"/>
          <w:sz w:val="24"/>
          <w:szCs w:val="24"/>
        </w:rPr>
      </w:pPr>
      <w:r w:rsidRPr="00456927">
        <w:rPr>
          <w:rFonts w:ascii="Times New Roman" w:hAnsi="Times New Roman" w:cs="Times New Roman"/>
          <w:sz w:val="24"/>
          <w:szCs w:val="24"/>
        </w:rPr>
        <w:t>The safety and efficacy profile in paediatric patients 12 years of age and older (n</w:t>
      </w:r>
      <w:r w:rsidR="00D07FDE" w:rsidRPr="00456927">
        <w:rPr>
          <w:rFonts w:ascii="Times New Roman" w:hAnsi="Times New Roman" w:cs="Times New Roman"/>
          <w:sz w:val="24"/>
          <w:szCs w:val="24"/>
        </w:rPr>
        <w:t> </w:t>
      </w:r>
      <w:r w:rsidRPr="00456927">
        <w:rPr>
          <w:rFonts w:ascii="Times New Roman" w:hAnsi="Times New Roman" w:cs="Times New Roman"/>
          <w:sz w:val="24"/>
          <w:szCs w:val="24"/>
        </w:rPr>
        <w:t>=</w:t>
      </w:r>
      <w:r w:rsidR="00D07FDE" w:rsidRPr="00456927">
        <w:rPr>
          <w:rFonts w:ascii="Times New Roman" w:hAnsi="Times New Roman" w:cs="Times New Roman"/>
          <w:sz w:val="24"/>
          <w:szCs w:val="24"/>
        </w:rPr>
        <w:t> </w:t>
      </w:r>
      <w:r w:rsidRPr="00456927">
        <w:rPr>
          <w:rFonts w:ascii="Times New Roman" w:hAnsi="Times New Roman" w:cs="Times New Roman"/>
          <w:sz w:val="24"/>
          <w:szCs w:val="24"/>
        </w:rPr>
        <w:t>6) was consistent with that of the overall population.</w:t>
      </w:r>
    </w:p>
    <w:p w14:paraId="20C2B65D" w14:textId="017678B2" w:rsidR="005878E7" w:rsidRPr="00456927" w:rsidRDefault="00521478" w:rsidP="00B363A7">
      <w:pPr>
        <w:keepNext/>
        <w:spacing w:after="120"/>
        <w:rPr>
          <w:rFonts w:ascii="Times New Roman" w:eastAsia="Times New Roman" w:hAnsi="Times New Roman" w:cs="Times New Roman"/>
          <w:b/>
          <w:i/>
          <w:kern w:val="28"/>
          <w:sz w:val="28"/>
          <w:szCs w:val="28"/>
          <w:lang w:val="en-US"/>
        </w:rPr>
      </w:pPr>
      <w:r w:rsidRPr="00456927">
        <w:rPr>
          <w:rFonts w:ascii="Times New Roman" w:eastAsia="Times New Roman" w:hAnsi="Times New Roman" w:cs="Times New Roman"/>
          <w:b/>
          <w:bCs/>
          <w:i/>
          <w:iCs/>
          <w:kern w:val="28"/>
          <w:sz w:val="28"/>
          <w:szCs w:val="28"/>
          <w:lang w:val="en-US"/>
        </w:rPr>
        <w:t>VANGUARD Open Label Extension Study</w:t>
      </w:r>
      <w:r w:rsidR="005878E7" w:rsidRPr="00456927">
        <w:rPr>
          <w:rFonts w:ascii="Times New Roman" w:eastAsia="Times New Roman" w:hAnsi="Times New Roman" w:cs="Times New Roman"/>
          <w:b/>
          <w:bCs/>
          <w:i/>
          <w:iCs/>
          <w:kern w:val="28"/>
          <w:sz w:val="28"/>
          <w:szCs w:val="28"/>
          <w:lang w:val="en-US"/>
        </w:rPr>
        <w:t xml:space="preserve"> (NCT04739059):</w:t>
      </w:r>
    </w:p>
    <w:p w14:paraId="68DAD809" w14:textId="5C74A5DD" w:rsidR="005878E7" w:rsidRPr="00456927" w:rsidRDefault="00521478" w:rsidP="005C3347">
      <w:pPr>
        <w:spacing w:after="240" w:line="300" w:lineRule="auto"/>
        <w:rPr>
          <w:rFonts w:ascii="Times New Roman" w:hAnsi="Times New Roman" w:cs="Times New Roman"/>
          <w:sz w:val="24"/>
          <w:szCs w:val="24"/>
        </w:rPr>
      </w:pPr>
      <w:r w:rsidRPr="00456927">
        <w:rPr>
          <w:rFonts w:ascii="Times New Roman" w:hAnsi="Times New Roman" w:cs="Times New Roman"/>
          <w:sz w:val="24"/>
          <w:szCs w:val="24"/>
        </w:rPr>
        <w:t xml:space="preserve">The ongoing VANGUARD Open </w:t>
      </w:r>
      <w:r w:rsidR="00BE2040" w:rsidRPr="00456927">
        <w:rPr>
          <w:rFonts w:ascii="Times New Roman" w:hAnsi="Times New Roman" w:cs="Times New Roman"/>
          <w:sz w:val="24"/>
          <w:szCs w:val="24"/>
        </w:rPr>
        <w:t>Label Extension Study</w:t>
      </w:r>
      <w:r w:rsidR="005878E7" w:rsidRPr="00456927">
        <w:rPr>
          <w:rFonts w:ascii="Times New Roman" w:hAnsi="Times New Roman" w:cs="Times New Roman"/>
          <w:sz w:val="24"/>
          <w:szCs w:val="24"/>
        </w:rPr>
        <w:t xml:space="preserve"> is a phase 3, </w:t>
      </w:r>
      <w:r w:rsidR="00B7614C" w:rsidRPr="00456927">
        <w:rPr>
          <w:rFonts w:ascii="Times New Roman" w:hAnsi="Times New Roman" w:cs="Times New Roman"/>
          <w:sz w:val="24"/>
          <w:szCs w:val="24"/>
        </w:rPr>
        <w:t>multicentre</w:t>
      </w:r>
      <w:r w:rsidR="005878E7" w:rsidRPr="00456927">
        <w:rPr>
          <w:rFonts w:ascii="Times New Roman" w:hAnsi="Times New Roman" w:cs="Times New Roman"/>
          <w:sz w:val="24"/>
          <w:szCs w:val="24"/>
        </w:rPr>
        <w:t>, open-label</w:t>
      </w:r>
      <w:r w:rsidR="00DD4A4E" w:rsidRPr="00456927">
        <w:rPr>
          <w:rFonts w:ascii="Times New Roman" w:hAnsi="Times New Roman" w:cs="Times New Roman"/>
          <w:sz w:val="24"/>
          <w:szCs w:val="24"/>
        </w:rPr>
        <w:t>, uncontrolled</w:t>
      </w:r>
      <w:r w:rsidR="005878E7" w:rsidRPr="00456927">
        <w:rPr>
          <w:rFonts w:ascii="Times New Roman" w:hAnsi="Times New Roman" w:cs="Times New Roman"/>
          <w:sz w:val="24"/>
          <w:szCs w:val="24"/>
        </w:rPr>
        <w:t xml:space="preserve"> study designed to investigate long-term safety and efficacy of </w:t>
      </w:r>
      <w:r w:rsidR="00553863" w:rsidRPr="00456927">
        <w:rPr>
          <w:rFonts w:ascii="Times New Roman" w:eastAsia="Times New Roman" w:hAnsi="Times New Roman" w:cs="Times New Roman"/>
          <w:kern w:val="24"/>
          <w:sz w:val="24"/>
          <w:szCs w:val="24"/>
          <w:lang w:val="en-US"/>
        </w:rPr>
        <w:t>ANDEMBRY</w:t>
      </w:r>
      <w:r w:rsidR="00893D34" w:rsidRPr="00456927">
        <w:rPr>
          <w:rFonts w:ascii="Times New Roman" w:eastAsia="Times New Roman" w:hAnsi="Times New Roman" w:cs="Times New Roman"/>
          <w:kern w:val="24"/>
          <w:sz w:val="24"/>
          <w:szCs w:val="24"/>
          <w:vertAlign w:val="superscript"/>
          <w:lang w:val="en-US"/>
        </w:rPr>
        <w:t>®</w:t>
      </w:r>
      <w:r w:rsidR="00DD4A4E" w:rsidRPr="00456927">
        <w:rPr>
          <w:rFonts w:ascii="Times New Roman" w:eastAsia="Times New Roman" w:hAnsi="Times New Roman" w:cs="Times New Roman"/>
          <w:kern w:val="24"/>
          <w:sz w:val="24"/>
          <w:szCs w:val="24"/>
          <w:lang w:val="en-US"/>
        </w:rPr>
        <w:t>.</w:t>
      </w:r>
      <w:r w:rsidR="005878E7" w:rsidRPr="00456927">
        <w:rPr>
          <w:rFonts w:ascii="Times New Roman" w:hAnsi="Times New Roman" w:cs="Times New Roman"/>
          <w:sz w:val="24"/>
          <w:szCs w:val="24"/>
        </w:rPr>
        <w:t xml:space="preserve"> </w:t>
      </w:r>
      <w:r w:rsidR="00DD4A4E" w:rsidRPr="00456927">
        <w:rPr>
          <w:rFonts w:ascii="Times New Roman" w:hAnsi="Times New Roman" w:cs="Times New Roman"/>
          <w:sz w:val="24"/>
          <w:szCs w:val="24"/>
        </w:rPr>
        <w:t>The study</w:t>
      </w:r>
      <w:r w:rsidR="005878E7" w:rsidRPr="00456927">
        <w:rPr>
          <w:rFonts w:ascii="Times New Roman" w:hAnsi="Times New Roman" w:cs="Times New Roman"/>
          <w:sz w:val="24"/>
          <w:szCs w:val="24"/>
        </w:rPr>
        <w:t xml:space="preserve"> enrolled 161 patients</w:t>
      </w:r>
      <w:r w:rsidR="00DD4A4E" w:rsidRPr="00456927">
        <w:rPr>
          <w:rFonts w:ascii="Times New Roman" w:hAnsi="Times New Roman" w:cs="Times New Roman"/>
          <w:sz w:val="24"/>
          <w:szCs w:val="24"/>
        </w:rPr>
        <w:t>, including 57</w:t>
      </w:r>
      <w:r w:rsidR="005878E7" w:rsidRPr="00456927">
        <w:rPr>
          <w:rFonts w:ascii="Times New Roman" w:hAnsi="Times New Roman" w:cs="Times New Roman"/>
          <w:sz w:val="24"/>
          <w:szCs w:val="24"/>
        </w:rPr>
        <w:t xml:space="preserve"> patients from </w:t>
      </w:r>
      <w:r w:rsidR="00DD4A4E" w:rsidRPr="00456927">
        <w:rPr>
          <w:rFonts w:ascii="Times New Roman" w:hAnsi="Times New Roman" w:cs="Times New Roman"/>
          <w:sz w:val="24"/>
          <w:szCs w:val="24"/>
        </w:rPr>
        <w:t>t</w:t>
      </w:r>
      <w:r w:rsidR="00BE2040" w:rsidRPr="00456927">
        <w:rPr>
          <w:rFonts w:ascii="Times New Roman" w:hAnsi="Times New Roman" w:cs="Times New Roman"/>
          <w:sz w:val="24"/>
          <w:szCs w:val="24"/>
        </w:rPr>
        <w:t xml:space="preserve">he VANGUARD </w:t>
      </w:r>
      <w:r w:rsidR="00DD4A4E" w:rsidRPr="00456927">
        <w:rPr>
          <w:rFonts w:ascii="Times New Roman" w:hAnsi="Times New Roman" w:cs="Times New Roman"/>
          <w:sz w:val="24"/>
          <w:szCs w:val="24"/>
        </w:rPr>
        <w:t>p</w:t>
      </w:r>
      <w:r w:rsidR="00BE2040" w:rsidRPr="00456927">
        <w:rPr>
          <w:rFonts w:ascii="Times New Roman" w:hAnsi="Times New Roman" w:cs="Times New Roman"/>
          <w:sz w:val="24"/>
          <w:szCs w:val="24"/>
        </w:rPr>
        <w:t>ivotal</w:t>
      </w:r>
      <w:r w:rsidR="001E5129" w:rsidRPr="00456927">
        <w:rPr>
          <w:rFonts w:ascii="Times New Roman" w:hAnsi="Times New Roman" w:cs="Times New Roman"/>
          <w:sz w:val="24"/>
          <w:szCs w:val="24"/>
        </w:rPr>
        <w:t xml:space="preserve"> </w:t>
      </w:r>
      <w:r w:rsidR="00F44CB9">
        <w:rPr>
          <w:rFonts w:ascii="Times New Roman" w:hAnsi="Times New Roman" w:cs="Times New Roman"/>
          <w:sz w:val="24"/>
          <w:szCs w:val="24"/>
        </w:rPr>
        <w:t>s</w:t>
      </w:r>
      <w:r w:rsidR="00BE2040" w:rsidRPr="00456927">
        <w:rPr>
          <w:rFonts w:ascii="Times New Roman" w:hAnsi="Times New Roman" w:cs="Times New Roman"/>
          <w:sz w:val="24"/>
          <w:szCs w:val="24"/>
        </w:rPr>
        <w:t>tudy</w:t>
      </w:r>
      <w:r w:rsidR="00DD4A4E" w:rsidRPr="00456927">
        <w:rPr>
          <w:rFonts w:ascii="Times New Roman" w:hAnsi="Times New Roman" w:cs="Times New Roman"/>
          <w:sz w:val="24"/>
          <w:szCs w:val="24"/>
        </w:rPr>
        <w:t>, 35 patients from</w:t>
      </w:r>
      <w:r w:rsidR="005878E7" w:rsidRPr="00456927">
        <w:rPr>
          <w:rFonts w:ascii="Times New Roman" w:hAnsi="Times New Roman" w:cs="Times New Roman"/>
          <w:sz w:val="24"/>
          <w:szCs w:val="24"/>
        </w:rPr>
        <w:t xml:space="preserve"> a phase 2 </w:t>
      </w:r>
      <w:r w:rsidR="00B7614C" w:rsidRPr="00456927">
        <w:rPr>
          <w:rFonts w:ascii="Times New Roman" w:hAnsi="Times New Roman" w:cs="Times New Roman"/>
          <w:sz w:val="24"/>
          <w:szCs w:val="24"/>
        </w:rPr>
        <w:t>multicentre</w:t>
      </w:r>
      <w:r w:rsidR="005878E7" w:rsidRPr="00456927">
        <w:rPr>
          <w:rFonts w:ascii="Times New Roman" w:hAnsi="Times New Roman" w:cs="Times New Roman"/>
          <w:sz w:val="24"/>
          <w:szCs w:val="24"/>
        </w:rPr>
        <w:t>, randomi</w:t>
      </w:r>
      <w:r w:rsidR="00B7614C" w:rsidRPr="00456927">
        <w:rPr>
          <w:rFonts w:ascii="Times New Roman" w:hAnsi="Times New Roman" w:cs="Times New Roman"/>
          <w:sz w:val="24"/>
          <w:szCs w:val="24"/>
        </w:rPr>
        <w:t>s</w:t>
      </w:r>
      <w:r w:rsidR="005878E7" w:rsidRPr="00456927">
        <w:rPr>
          <w:rFonts w:ascii="Times New Roman" w:hAnsi="Times New Roman" w:cs="Times New Roman"/>
          <w:sz w:val="24"/>
          <w:szCs w:val="24"/>
        </w:rPr>
        <w:t>ed, placebo-controlled, parallel-arm study</w:t>
      </w:r>
      <w:r w:rsidR="00DD4A4E" w:rsidRPr="00456927">
        <w:rPr>
          <w:rFonts w:ascii="Times New Roman" w:hAnsi="Times New Roman" w:cs="Times New Roman"/>
          <w:sz w:val="24"/>
          <w:szCs w:val="24"/>
        </w:rPr>
        <w:t>,</w:t>
      </w:r>
      <w:r w:rsidR="005878E7" w:rsidRPr="00456927">
        <w:rPr>
          <w:rFonts w:ascii="Times New Roman" w:hAnsi="Times New Roman" w:cs="Times New Roman"/>
          <w:sz w:val="24"/>
          <w:szCs w:val="24"/>
        </w:rPr>
        <w:t xml:space="preserve"> and </w:t>
      </w:r>
      <w:r w:rsidR="00DD4A4E" w:rsidRPr="00456927">
        <w:rPr>
          <w:rFonts w:ascii="Times New Roman" w:hAnsi="Times New Roman" w:cs="Times New Roman"/>
          <w:sz w:val="24"/>
          <w:szCs w:val="24"/>
        </w:rPr>
        <w:t>69 newly enrolled</w:t>
      </w:r>
      <w:r w:rsidR="005878E7" w:rsidRPr="00456927">
        <w:rPr>
          <w:rFonts w:ascii="Times New Roman" w:hAnsi="Times New Roman" w:cs="Times New Roman"/>
          <w:sz w:val="24"/>
          <w:szCs w:val="24"/>
        </w:rPr>
        <w:t xml:space="preserve"> patients naïve to treatment with </w:t>
      </w:r>
      <w:r w:rsidR="00553863" w:rsidRPr="00456927">
        <w:rPr>
          <w:rFonts w:ascii="Times New Roman" w:eastAsia="Times New Roman" w:hAnsi="Times New Roman" w:cs="Times New Roman"/>
          <w:kern w:val="24"/>
          <w:sz w:val="24"/>
          <w:szCs w:val="24"/>
          <w:lang w:val="en-US"/>
        </w:rPr>
        <w:t>ANDEMBRY</w:t>
      </w:r>
      <w:r w:rsidR="00893D34" w:rsidRPr="00456927">
        <w:rPr>
          <w:rFonts w:ascii="Times New Roman" w:eastAsia="Times New Roman" w:hAnsi="Times New Roman" w:cs="Times New Roman"/>
          <w:kern w:val="24"/>
          <w:sz w:val="24"/>
          <w:szCs w:val="24"/>
          <w:vertAlign w:val="superscript"/>
          <w:lang w:val="en-US"/>
        </w:rPr>
        <w:t>®</w:t>
      </w:r>
      <w:r w:rsidR="005878E7" w:rsidRPr="00456927">
        <w:rPr>
          <w:rFonts w:ascii="Times New Roman" w:hAnsi="Times New Roman" w:cs="Times New Roman"/>
          <w:sz w:val="24"/>
          <w:szCs w:val="24"/>
        </w:rPr>
        <w:t>.</w:t>
      </w:r>
    </w:p>
    <w:p w14:paraId="28913B55" w14:textId="53AEE645" w:rsidR="000E7F16" w:rsidRPr="00456927" w:rsidRDefault="005878E7" w:rsidP="008F497B">
      <w:pPr>
        <w:spacing w:after="240" w:line="300" w:lineRule="auto"/>
        <w:rPr>
          <w:rFonts w:ascii="Times New Roman" w:hAnsi="Times New Roman" w:cs="Times New Roman"/>
          <w:sz w:val="24"/>
          <w:szCs w:val="24"/>
        </w:rPr>
      </w:pPr>
      <w:r w:rsidRPr="00456927">
        <w:rPr>
          <w:rFonts w:ascii="Times New Roman" w:hAnsi="Times New Roman" w:cs="Times New Roman"/>
          <w:sz w:val="24"/>
          <w:szCs w:val="24"/>
        </w:rPr>
        <w:t xml:space="preserve">At the time of the interim analysis </w:t>
      </w:r>
      <w:r w:rsidR="000E7F16" w:rsidRPr="00456927">
        <w:rPr>
          <w:rFonts w:ascii="Times New Roman" w:hAnsi="Times New Roman" w:cs="Times New Roman"/>
          <w:sz w:val="24"/>
          <w:szCs w:val="24"/>
        </w:rPr>
        <w:t>2</w:t>
      </w:r>
      <w:r w:rsidRPr="00456927">
        <w:rPr>
          <w:rFonts w:ascii="Times New Roman" w:hAnsi="Times New Roman" w:cs="Times New Roman"/>
          <w:sz w:val="24"/>
          <w:szCs w:val="24"/>
        </w:rPr>
        <w:t xml:space="preserve"> (data cutof</w:t>
      </w:r>
      <w:r w:rsidR="00CC3A7F">
        <w:rPr>
          <w:rFonts w:ascii="Times New Roman" w:hAnsi="Times New Roman" w:cs="Times New Roman"/>
          <w:sz w:val="24"/>
          <w:szCs w:val="24"/>
        </w:rPr>
        <w:t>f</w:t>
      </w:r>
      <w:r w:rsidRPr="00456927">
        <w:rPr>
          <w:rFonts w:ascii="Times New Roman" w:hAnsi="Times New Roman" w:cs="Times New Roman"/>
          <w:sz w:val="24"/>
          <w:szCs w:val="24"/>
        </w:rPr>
        <w:t xml:space="preserve"> </w:t>
      </w:r>
      <w:r w:rsidR="000E7F16" w:rsidRPr="00456927">
        <w:rPr>
          <w:rFonts w:ascii="Times New Roman" w:hAnsi="Times New Roman" w:cs="Times New Roman"/>
          <w:sz w:val="24"/>
          <w:szCs w:val="24"/>
        </w:rPr>
        <w:t>1</w:t>
      </w:r>
      <w:r w:rsidRPr="00456927">
        <w:rPr>
          <w:rFonts w:ascii="Times New Roman" w:hAnsi="Times New Roman" w:cs="Times New Roman"/>
          <w:sz w:val="24"/>
          <w:szCs w:val="24"/>
        </w:rPr>
        <w:t>3-</w:t>
      </w:r>
      <w:r w:rsidR="000E7F16" w:rsidRPr="00456927">
        <w:rPr>
          <w:rFonts w:ascii="Times New Roman" w:hAnsi="Times New Roman" w:cs="Times New Roman"/>
          <w:sz w:val="24"/>
          <w:szCs w:val="24"/>
        </w:rPr>
        <w:t>FEB</w:t>
      </w:r>
      <w:r w:rsidRPr="00456927">
        <w:rPr>
          <w:rFonts w:ascii="Times New Roman" w:hAnsi="Times New Roman" w:cs="Times New Roman"/>
          <w:sz w:val="24"/>
          <w:szCs w:val="24"/>
        </w:rPr>
        <w:t>-202</w:t>
      </w:r>
      <w:r w:rsidR="000E7F16" w:rsidRPr="00456927">
        <w:rPr>
          <w:rFonts w:ascii="Times New Roman" w:hAnsi="Times New Roman" w:cs="Times New Roman"/>
          <w:sz w:val="24"/>
          <w:szCs w:val="24"/>
        </w:rPr>
        <w:t>3</w:t>
      </w:r>
      <w:r w:rsidRPr="00456927">
        <w:rPr>
          <w:rFonts w:ascii="Times New Roman" w:hAnsi="Times New Roman" w:cs="Times New Roman"/>
          <w:sz w:val="24"/>
          <w:szCs w:val="24"/>
        </w:rPr>
        <w:t xml:space="preserve">) the </w:t>
      </w:r>
      <w:r w:rsidR="00CC3A7F">
        <w:rPr>
          <w:rFonts w:ascii="Times New Roman" w:hAnsi="Times New Roman" w:cs="Times New Roman"/>
          <w:sz w:val="24"/>
          <w:szCs w:val="24"/>
        </w:rPr>
        <w:t>mean (SD)</w:t>
      </w:r>
      <w:r w:rsidRPr="00456927">
        <w:rPr>
          <w:rFonts w:ascii="Times New Roman" w:hAnsi="Times New Roman" w:cs="Times New Roman"/>
          <w:sz w:val="24"/>
          <w:szCs w:val="24"/>
        </w:rPr>
        <w:t xml:space="preserve"> time-normali</w:t>
      </w:r>
      <w:r w:rsidR="00893D34" w:rsidRPr="00456927">
        <w:rPr>
          <w:rFonts w:ascii="Times New Roman" w:hAnsi="Times New Roman" w:cs="Times New Roman"/>
          <w:sz w:val="24"/>
          <w:szCs w:val="24"/>
        </w:rPr>
        <w:t>s</w:t>
      </w:r>
      <w:r w:rsidRPr="00456927">
        <w:rPr>
          <w:rFonts w:ascii="Times New Roman" w:hAnsi="Times New Roman" w:cs="Times New Roman"/>
          <w:sz w:val="24"/>
          <w:szCs w:val="24"/>
        </w:rPr>
        <w:t xml:space="preserve">ed number of HAE attacks per month </w:t>
      </w:r>
      <w:r w:rsidR="00CC3A7F">
        <w:rPr>
          <w:rFonts w:ascii="Times New Roman" w:hAnsi="Times New Roman" w:cs="Times New Roman"/>
          <w:sz w:val="24"/>
          <w:szCs w:val="24"/>
        </w:rPr>
        <w:t xml:space="preserve">for the 36 garadacimab-treated patients from </w:t>
      </w:r>
      <w:r w:rsidR="00661CC0">
        <w:rPr>
          <w:rFonts w:ascii="Times New Roman" w:hAnsi="Times New Roman" w:cs="Times New Roman"/>
          <w:sz w:val="24"/>
          <w:szCs w:val="24"/>
        </w:rPr>
        <w:t>the VANGUARD pivotal study who rolled over into the open-label extension study</w:t>
      </w:r>
      <w:r w:rsidR="00373B29">
        <w:rPr>
          <w:rFonts w:ascii="Times New Roman" w:hAnsi="Times New Roman" w:cs="Times New Roman"/>
          <w:sz w:val="24"/>
          <w:szCs w:val="24"/>
        </w:rPr>
        <w:t xml:space="preserve"> </w:t>
      </w:r>
      <w:r w:rsidRPr="00456927">
        <w:rPr>
          <w:rFonts w:ascii="Times New Roman" w:hAnsi="Times New Roman" w:cs="Times New Roman"/>
          <w:sz w:val="24"/>
          <w:szCs w:val="24"/>
        </w:rPr>
        <w:t xml:space="preserve">was </w:t>
      </w:r>
      <w:r w:rsidR="00373B29">
        <w:rPr>
          <w:rFonts w:ascii="Times New Roman" w:hAnsi="Times New Roman" w:cs="Times New Roman"/>
          <w:sz w:val="24"/>
          <w:szCs w:val="24"/>
        </w:rPr>
        <w:t xml:space="preserve">0.11 (0.316) </w:t>
      </w:r>
      <w:r w:rsidRPr="00456927">
        <w:rPr>
          <w:rFonts w:ascii="Times New Roman" w:hAnsi="Times New Roman" w:cs="Times New Roman"/>
          <w:sz w:val="24"/>
          <w:szCs w:val="24"/>
        </w:rPr>
        <w:t>attacks</w:t>
      </w:r>
      <w:r w:rsidR="00373B29">
        <w:rPr>
          <w:rFonts w:ascii="Times New Roman" w:hAnsi="Times New Roman" w:cs="Times New Roman"/>
          <w:sz w:val="24"/>
          <w:szCs w:val="24"/>
        </w:rPr>
        <w:t>/</w:t>
      </w:r>
      <w:r w:rsidRPr="00456927">
        <w:rPr>
          <w:rFonts w:ascii="Times New Roman" w:hAnsi="Times New Roman" w:cs="Times New Roman"/>
          <w:sz w:val="24"/>
          <w:szCs w:val="24"/>
        </w:rPr>
        <w:t>month.</w:t>
      </w:r>
    </w:p>
    <w:p w14:paraId="405760DB" w14:textId="574487F1" w:rsidR="003F2E43" w:rsidRDefault="005878E7" w:rsidP="008A6541">
      <w:pPr>
        <w:pStyle w:val="DocumentText"/>
      </w:pPr>
      <w:r w:rsidRPr="00456927">
        <w:t xml:space="preserve">Overall, the safety and efficacy results in </w:t>
      </w:r>
      <w:r w:rsidR="00BE2040" w:rsidRPr="00456927">
        <w:t>the VANGUARD Open Label Extension Study</w:t>
      </w:r>
      <w:r w:rsidRPr="00456927">
        <w:t xml:space="preserve"> were consistent with those of </w:t>
      </w:r>
      <w:r w:rsidR="00BE2040" w:rsidRPr="00456927">
        <w:t xml:space="preserve">the VANGUARD </w:t>
      </w:r>
      <w:r w:rsidR="00740AC1">
        <w:t>p</w:t>
      </w:r>
      <w:r w:rsidR="00BE2040" w:rsidRPr="00456927">
        <w:t>ivotal</w:t>
      </w:r>
      <w:r w:rsidR="001E5129" w:rsidRPr="00456927">
        <w:t xml:space="preserve"> </w:t>
      </w:r>
      <w:r w:rsidR="00740AC1">
        <w:t>s</w:t>
      </w:r>
      <w:r w:rsidR="00BE2040" w:rsidRPr="00456927">
        <w:t>tudy</w:t>
      </w:r>
      <w:r w:rsidRPr="00456927">
        <w:t xml:space="preserve"> and support the </w:t>
      </w:r>
      <w:r w:rsidR="008F497B" w:rsidRPr="00456927">
        <w:t>continued</w:t>
      </w:r>
      <w:r w:rsidRPr="00456927">
        <w:t xml:space="preserve"> safety and efficacy over time of </w:t>
      </w:r>
      <w:r w:rsidR="00553863" w:rsidRPr="00456927">
        <w:t>ANDEMBRY</w:t>
      </w:r>
      <w:r w:rsidR="009717CC" w:rsidRPr="00456927">
        <w:rPr>
          <w:vertAlign w:val="superscript"/>
        </w:rPr>
        <w:t>®</w:t>
      </w:r>
      <w:r w:rsidRPr="00456927">
        <w:t xml:space="preserve"> for the prevention of HAE attacks.</w:t>
      </w:r>
    </w:p>
    <w:p w14:paraId="6F77BB21" w14:textId="77777777" w:rsidR="001A3992" w:rsidRPr="00456927" w:rsidRDefault="001A3992" w:rsidP="00BC45DD">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Pharmacokinetic properties</w:t>
      </w:r>
    </w:p>
    <w:p w14:paraId="126231A2" w14:textId="5983F1AF" w:rsidR="00234FC1" w:rsidRPr="00456927" w:rsidRDefault="006E1831" w:rsidP="00B7614C">
      <w:pPr>
        <w:spacing w:after="240" w:line="300" w:lineRule="auto"/>
        <w:rPr>
          <w:rFonts w:ascii="Times New Roman" w:hAnsi="Times New Roman" w:cs="Times New Roman"/>
          <w:sz w:val="24"/>
          <w:szCs w:val="24"/>
        </w:rPr>
      </w:pPr>
      <w:r w:rsidRPr="00456927">
        <w:rPr>
          <w:rFonts w:ascii="Times New Roman" w:hAnsi="Times New Roman" w:cs="Times New Roman"/>
          <w:sz w:val="24"/>
          <w:szCs w:val="24"/>
        </w:rPr>
        <w:t>Based on</w:t>
      </w:r>
      <w:r w:rsidR="00234FC1" w:rsidRPr="00456927">
        <w:rPr>
          <w:rFonts w:ascii="Times New Roman" w:hAnsi="Times New Roman" w:cs="Times New Roman"/>
          <w:sz w:val="24"/>
          <w:szCs w:val="24"/>
        </w:rPr>
        <w:t xml:space="preserve"> </w:t>
      </w:r>
      <w:r w:rsidR="002E6840" w:rsidRPr="00456927">
        <w:rPr>
          <w:rFonts w:ascii="Times New Roman" w:hAnsi="Times New Roman" w:cs="Times New Roman"/>
          <w:sz w:val="24"/>
          <w:szCs w:val="24"/>
        </w:rPr>
        <w:t xml:space="preserve">population </w:t>
      </w:r>
      <w:r w:rsidR="005475B5" w:rsidRPr="00456927">
        <w:rPr>
          <w:rFonts w:ascii="Times New Roman" w:hAnsi="Times New Roman" w:cs="Times New Roman"/>
          <w:sz w:val="24"/>
          <w:szCs w:val="24"/>
        </w:rPr>
        <w:t>PK</w:t>
      </w:r>
      <w:r w:rsidR="00234FC1" w:rsidRPr="00456927">
        <w:rPr>
          <w:rFonts w:ascii="Times New Roman" w:hAnsi="Times New Roman" w:cs="Times New Roman"/>
          <w:sz w:val="24"/>
          <w:szCs w:val="24"/>
        </w:rPr>
        <w:t xml:space="preserve"> </w:t>
      </w:r>
      <w:r w:rsidRPr="00456927">
        <w:rPr>
          <w:rFonts w:ascii="Times New Roman" w:hAnsi="Times New Roman" w:cs="Times New Roman"/>
          <w:sz w:val="24"/>
          <w:szCs w:val="24"/>
        </w:rPr>
        <w:t>analysis</w:t>
      </w:r>
      <w:r w:rsidR="000960E0" w:rsidRPr="00456927">
        <w:rPr>
          <w:rFonts w:ascii="Times New Roman" w:hAnsi="Times New Roman" w:cs="Times New Roman"/>
          <w:sz w:val="24"/>
          <w:szCs w:val="24"/>
        </w:rPr>
        <w:t>,</w:t>
      </w:r>
      <w:r w:rsidR="002E6840" w:rsidRPr="00456927">
        <w:rPr>
          <w:rFonts w:ascii="Times New Roman" w:hAnsi="Times New Roman" w:cs="Times New Roman"/>
          <w:sz w:val="24"/>
          <w:szCs w:val="24"/>
        </w:rPr>
        <w:t xml:space="preserve"> garadacimab pharmacokinetics</w:t>
      </w:r>
      <w:r w:rsidR="00234FC1" w:rsidRPr="00456927">
        <w:rPr>
          <w:rFonts w:ascii="Times New Roman" w:hAnsi="Times New Roman" w:cs="Times New Roman"/>
          <w:sz w:val="24"/>
          <w:szCs w:val="24"/>
        </w:rPr>
        <w:t xml:space="preserve"> and steady-state exposure in </w:t>
      </w:r>
      <w:r w:rsidR="002E6840" w:rsidRPr="00456927">
        <w:rPr>
          <w:rFonts w:ascii="Times New Roman" w:hAnsi="Times New Roman" w:cs="Times New Roman"/>
          <w:sz w:val="24"/>
          <w:szCs w:val="24"/>
        </w:rPr>
        <w:t xml:space="preserve">subjects with </w:t>
      </w:r>
      <w:r w:rsidR="00234FC1" w:rsidRPr="00456927">
        <w:rPr>
          <w:rFonts w:ascii="Times New Roman" w:hAnsi="Times New Roman" w:cs="Times New Roman"/>
          <w:sz w:val="24"/>
          <w:szCs w:val="24"/>
        </w:rPr>
        <w:t xml:space="preserve">HAE </w:t>
      </w:r>
      <w:r w:rsidR="002E6840" w:rsidRPr="00456927">
        <w:rPr>
          <w:rFonts w:ascii="Times New Roman" w:hAnsi="Times New Roman" w:cs="Times New Roman"/>
          <w:sz w:val="24"/>
          <w:szCs w:val="24"/>
        </w:rPr>
        <w:t xml:space="preserve">in </w:t>
      </w:r>
      <w:r w:rsidR="00CF49B0" w:rsidRPr="00456927">
        <w:rPr>
          <w:rFonts w:ascii="Times New Roman" w:hAnsi="Times New Roman" w:cs="Times New Roman"/>
          <w:sz w:val="24"/>
          <w:szCs w:val="24"/>
        </w:rPr>
        <w:t xml:space="preserve">VANGUARD </w:t>
      </w:r>
      <w:r w:rsidR="002E6840" w:rsidRPr="00456927">
        <w:rPr>
          <w:rFonts w:ascii="Times New Roman" w:hAnsi="Times New Roman" w:cs="Times New Roman"/>
          <w:sz w:val="24"/>
          <w:szCs w:val="24"/>
        </w:rPr>
        <w:t xml:space="preserve">pivotal study given </w:t>
      </w:r>
      <w:r w:rsidR="00CF49B0" w:rsidRPr="00456927">
        <w:rPr>
          <w:rFonts w:ascii="Times New Roman" w:hAnsi="Times New Roman" w:cs="Times New Roman"/>
          <w:sz w:val="24"/>
          <w:szCs w:val="24"/>
        </w:rPr>
        <w:t>400</w:t>
      </w:r>
      <w:r w:rsidR="00437C99" w:rsidRPr="00456927">
        <w:rPr>
          <w:rFonts w:ascii="Times New Roman" w:hAnsi="Times New Roman" w:cs="Times New Roman"/>
          <w:sz w:val="24"/>
          <w:szCs w:val="24"/>
        </w:rPr>
        <w:t> mg</w:t>
      </w:r>
      <w:r w:rsidR="002E6840" w:rsidRPr="00456927">
        <w:rPr>
          <w:rFonts w:ascii="Times New Roman" w:hAnsi="Times New Roman" w:cs="Times New Roman"/>
          <w:sz w:val="24"/>
          <w:szCs w:val="24"/>
        </w:rPr>
        <w:t xml:space="preserve"> (2 x 200</w:t>
      </w:r>
      <w:r w:rsidR="00437C99" w:rsidRPr="00456927">
        <w:rPr>
          <w:rFonts w:ascii="Times New Roman" w:hAnsi="Times New Roman" w:cs="Times New Roman"/>
          <w:sz w:val="24"/>
          <w:szCs w:val="24"/>
        </w:rPr>
        <w:t> </w:t>
      </w:r>
      <w:r w:rsidR="002E6840" w:rsidRPr="00456927">
        <w:rPr>
          <w:rFonts w:ascii="Times New Roman" w:hAnsi="Times New Roman" w:cs="Times New Roman"/>
          <w:sz w:val="24"/>
          <w:szCs w:val="24"/>
        </w:rPr>
        <w:t>mg</w:t>
      </w:r>
      <w:r w:rsidR="00DD1D94" w:rsidRPr="00456927">
        <w:rPr>
          <w:rFonts w:ascii="Times New Roman" w:hAnsi="Times New Roman" w:cs="Times New Roman"/>
          <w:sz w:val="24"/>
          <w:szCs w:val="24"/>
        </w:rPr>
        <w:t>)</w:t>
      </w:r>
      <w:r w:rsidR="00234FC1" w:rsidRPr="00456927">
        <w:rPr>
          <w:rFonts w:ascii="Times New Roman" w:hAnsi="Times New Roman" w:cs="Times New Roman"/>
          <w:sz w:val="24"/>
          <w:szCs w:val="24"/>
        </w:rPr>
        <w:t xml:space="preserve"> </w:t>
      </w:r>
      <w:r w:rsidR="00E40000" w:rsidRPr="00456927">
        <w:rPr>
          <w:rFonts w:ascii="Times New Roman" w:hAnsi="Times New Roman" w:cs="Times New Roman"/>
          <w:sz w:val="24"/>
          <w:szCs w:val="24"/>
        </w:rPr>
        <w:t>SC</w:t>
      </w:r>
      <w:r w:rsidR="00234FC1" w:rsidRPr="00456927">
        <w:rPr>
          <w:rFonts w:ascii="Times New Roman" w:hAnsi="Times New Roman" w:cs="Times New Roman"/>
          <w:sz w:val="24"/>
          <w:szCs w:val="24"/>
        </w:rPr>
        <w:t xml:space="preserve"> </w:t>
      </w:r>
      <w:r w:rsidR="007A7383" w:rsidRPr="00456927">
        <w:rPr>
          <w:rFonts w:ascii="Times New Roman" w:hAnsi="Times New Roman" w:cs="Times New Roman"/>
          <w:sz w:val="24"/>
          <w:szCs w:val="24"/>
        </w:rPr>
        <w:t>loading dose followed by</w:t>
      </w:r>
      <w:r w:rsidR="00234FC1" w:rsidRPr="00456927">
        <w:rPr>
          <w:rFonts w:ascii="Times New Roman" w:hAnsi="Times New Roman" w:cs="Times New Roman"/>
          <w:sz w:val="24"/>
          <w:szCs w:val="24"/>
        </w:rPr>
        <w:t xml:space="preserve"> 200 mg once monthly </w:t>
      </w:r>
      <w:r w:rsidR="00577362" w:rsidRPr="00456927">
        <w:rPr>
          <w:rFonts w:ascii="Times New Roman" w:hAnsi="Times New Roman" w:cs="Times New Roman"/>
          <w:sz w:val="24"/>
          <w:szCs w:val="24"/>
        </w:rPr>
        <w:t xml:space="preserve">SC </w:t>
      </w:r>
      <w:r w:rsidR="00234FC1" w:rsidRPr="00456927">
        <w:rPr>
          <w:rFonts w:ascii="Times New Roman" w:hAnsi="Times New Roman" w:cs="Times New Roman"/>
          <w:sz w:val="24"/>
          <w:szCs w:val="24"/>
        </w:rPr>
        <w:t xml:space="preserve">are provided in </w:t>
      </w:r>
      <w:r w:rsidR="00234FC1" w:rsidRPr="00456927">
        <w:rPr>
          <w:rFonts w:ascii="Times New Roman" w:hAnsi="Times New Roman" w:cs="Times New Roman"/>
          <w:b/>
          <w:bCs/>
          <w:sz w:val="24"/>
          <w:szCs w:val="24"/>
        </w:rPr>
        <w:t xml:space="preserve">Table </w:t>
      </w:r>
      <w:r w:rsidR="00473A8C">
        <w:rPr>
          <w:rFonts w:ascii="Times New Roman" w:hAnsi="Times New Roman" w:cs="Times New Roman"/>
          <w:b/>
          <w:bCs/>
          <w:sz w:val="24"/>
          <w:szCs w:val="24"/>
        </w:rPr>
        <w:t>6</w:t>
      </w:r>
      <w:r w:rsidR="00234FC1" w:rsidRPr="00456927">
        <w:rPr>
          <w:rFonts w:ascii="Times New Roman" w:hAnsi="Times New Roman" w:cs="Times New Roman"/>
          <w:sz w:val="24"/>
          <w:szCs w:val="24"/>
        </w:rPr>
        <w:t xml:space="preserve">. Following </w:t>
      </w:r>
      <w:r w:rsidR="002E6840" w:rsidRPr="00456927">
        <w:rPr>
          <w:rFonts w:ascii="Times New Roman" w:hAnsi="Times New Roman" w:cs="Times New Roman"/>
          <w:sz w:val="24"/>
          <w:szCs w:val="24"/>
        </w:rPr>
        <w:t xml:space="preserve">SC </w:t>
      </w:r>
      <w:r w:rsidR="00234FC1" w:rsidRPr="00456927">
        <w:rPr>
          <w:rFonts w:ascii="Times New Roman" w:hAnsi="Times New Roman" w:cs="Times New Roman"/>
          <w:sz w:val="24"/>
          <w:szCs w:val="24"/>
        </w:rPr>
        <w:t xml:space="preserve">administration of </w:t>
      </w:r>
      <w:r w:rsidR="002E6840" w:rsidRPr="00456927">
        <w:rPr>
          <w:rFonts w:ascii="Times New Roman" w:eastAsia="Times New Roman" w:hAnsi="Times New Roman" w:cs="Times New Roman"/>
          <w:kern w:val="24"/>
          <w:sz w:val="24"/>
          <w:szCs w:val="24"/>
          <w:lang w:val="en-US"/>
        </w:rPr>
        <w:t>garadacimab</w:t>
      </w:r>
      <w:r w:rsidR="00234FC1" w:rsidRPr="00456927">
        <w:rPr>
          <w:rFonts w:ascii="Times New Roman" w:hAnsi="Times New Roman" w:cs="Times New Roman"/>
          <w:sz w:val="24"/>
          <w:szCs w:val="24"/>
        </w:rPr>
        <w:t>, peak plasma concentration</w:t>
      </w:r>
      <w:r w:rsidR="00234FC1" w:rsidRPr="00456927" w:rsidDel="004B2AB3">
        <w:rPr>
          <w:rFonts w:ascii="Times New Roman" w:hAnsi="Times New Roman" w:cs="Times New Roman"/>
          <w:sz w:val="24"/>
          <w:szCs w:val="24"/>
        </w:rPr>
        <w:t xml:space="preserve"> </w:t>
      </w:r>
      <w:r w:rsidR="002A6383" w:rsidRPr="00456927">
        <w:rPr>
          <w:rFonts w:ascii="Times New Roman" w:hAnsi="Times New Roman" w:cs="Times New Roman"/>
          <w:sz w:val="24"/>
          <w:szCs w:val="24"/>
        </w:rPr>
        <w:t>i</w:t>
      </w:r>
      <w:r w:rsidR="00234FC1" w:rsidRPr="00456927">
        <w:rPr>
          <w:rFonts w:ascii="Times New Roman" w:hAnsi="Times New Roman" w:cs="Times New Roman"/>
          <w:sz w:val="24"/>
          <w:szCs w:val="24"/>
        </w:rPr>
        <w:t xml:space="preserve">s reached within ~6 days, and terminal elimination half-life is ~19 days. Steady state garadacimab exposure was achieved after the initial </w:t>
      </w:r>
      <w:r w:rsidR="004252DC" w:rsidRPr="00456927">
        <w:rPr>
          <w:rFonts w:ascii="Times New Roman" w:hAnsi="Times New Roman" w:cs="Times New Roman"/>
          <w:sz w:val="24"/>
          <w:szCs w:val="24"/>
        </w:rPr>
        <w:t>SC</w:t>
      </w:r>
      <w:r w:rsidR="00234FC1" w:rsidRPr="00456927">
        <w:rPr>
          <w:rFonts w:ascii="Times New Roman" w:hAnsi="Times New Roman" w:cs="Times New Roman"/>
          <w:sz w:val="24"/>
          <w:szCs w:val="24"/>
        </w:rPr>
        <w:t xml:space="preserve"> administration of loading dose of 400 mg (2 x 200 mg).</w:t>
      </w:r>
    </w:p>
    <w:p w14:paraId="5C16BF29" w14:textId="5F305D1E" w:rsidR="00234FC1" w:rsidRPr="00456927" w:rsidRDefault="00234FC1" w:rsidP="000F43CA">
      <w:pPr>
        <w:pStyle w:val="Caption"/>
        <w:ind w:left="862" w:hanging="862"/>
      </w:pPr>
      <w:r w:rsidRPr="00456927">
        <w:lastRenderedPageBreak/>
        <w:t xml:space="preserve">Table </w:t>
      </w:r>
      <w:r w:rsidR="00473A8C">
        <w:t>6</w:t>
      </w:r>
      <w:r w:rsidRPr="00456927">
        <w:t xml:space="preserve"> Mean (SD) </w:t>
      </w:r>
      <w:r w:rsidR="00EC09D4">
        <w:t xml:space="preserve">Predicted </w:t>
      </w:r>
      <w:r w:rsidRPr="00456927">
        <w:t>Pharmacokinetic Parameters of Garadacimab Following Subcutaneous Administration (</w:t>
      </w:r>
      <w:r w:rsidR="00BE2040" w:rsidRPr="00456927">
        <w:t>VANGUARD Pivotal Study</w:t>
      </w:r>
      <w:r w:rsidRPr="00456927">
        <w:t>)</w:t>
      </w:r>
    </w:p>
    <w:tbl>
      <w:tblPr>
        <w:tblStyle w:val="TableGrid"/>
        <w:tblW w:w="0" w:type="auto"/>
        <w:jc w:val="center"/>
        <w:tblLook w:val="04A0" w:firstRow="1" w:lastRow="0" w:firstColumn="1" w:lastColumn="0" w:noHBand="0" w:noVBand="1"/>
      </w:tblPr>
      <w:tblGrid>
        <w:gridCol w:w="2695"/>
        <w:gridCol w:w="4464"/>
      </w:tblGrid>
      <w:tr w:rsidR="00456927" w:rsidRPr="00456927" w14:paraId="41169A24" w14:textId="77777777">
        <w:trPr>
          <w:jc w:val="center"/>
        </w:trPr>
        <w:tc>
          <w:tcPr>
            <w:tcW w:w="2695" w:type="dxa"/>
            <w:vAlign w:val="center"/>
          </w:tcPr>
          <w:p w14:paraId="6FB06148" w14:textId="77777777" w:rsidR="00234FC1" w:rsidRPr="00456927" w:rsidRDefault="00234FC1" w:rsidP="000F43CA">
            <w:pPr>
              <w:keepNext/>
              <w:spacing w:before="40" w:after="40" w:line="240" w:lineRule="auto"/>
              <w:jc w:val="center"/>
              <w:rPr>
                <w:b/>
                <w:bCs/>
              </w:rPr>
            </w:pPr>
            <w:r w:rsidRPr="00456927">
              <w:rPr>
                <w:b/>
                <w:bCs/>
              </w:rPr>
              <w:t>Pharmacokinetic Parameters</w:t>
            </w:r>
          </w:p>
        </w:tc>
        <w:tc>
          <w:tcPr>
            <w:tcW w:w="4464" w:type="dxa"/>
            <w:vAlign w:val="center"/>
          </w:tcPr>
          <w:p w14:paraId="5C90FBBE" w14:textId="27D4973D" w:rsidR="00234FC1" w:rsidRPr="00456927" w:rsidRDefault="00234FC1" w:rsidP="000F43CA">
            <w:pPr>
              <w:keepNext/>
              <w:spacing w:before="40" w:after="40" w:line="240" w:lineRule="auto"/>
              <w:jc w:val="center"/>
              <w:rPr>
                <w:b/>
                <w:bCs/>
              </w:rPr>
            </w:pPr>
            <w:r w:rsidRPr="00456927">
              <w:rPr>
                <w:b/>
                <w:bCs/>
              </w:rPr>
              <w:t>Garadacimab 200 mg once monthly (N</w:t>
            </w:r>
            <w:r w:rsidR="004E1D76" w:rsidRPr="00456927">
              <w:rPr>
                <w:b/>
                <w:bCs/>
              </w:rPr>
              <w:t xml:space="preserve"> </w:t>
            </w:r>
            <w:r w:rsidRPr="00456927">
              <w:rPr>
                <w:b/>
                <w:bCs/>
              </w:rPr>
              <w:t>=</w:t>
            </w:r>
            <w:r w:rsidR="004E1D76" w:rsidRPr="00456927">
              <w:rPr>
                <w:b/>
                <w:bCs/>
              </w:rPr>
              <w:t xml:space="preserve"> </w:t>
            </w:r>
            <w:r w:rsidRPr="00456927">
              <w:rPr>
                <w:b/>
                <w:bCs/>
              </w:rPr>
              <w:t>39)</w:t>
            </w:r>
          </w:p>
        </w:tc>
      </w:tr>
      <w:tr w:rsidR="00456927" w:rsidRPr="00456927" w14:paraId="42CEEE9D" w14:textId="77777777">
        <w:trPr>
          <w:jc w:val="center"/>
        </w:trPr>
        <w:tc>
          <w:tcPr>
            <w:tcW w:w="2695" w:type="dxa"/>
            <w:vAlign w:val="center"/>
          </w:tcPr>
          <w:p w14:paraId="1B24230F" w14:textId="77777777" w:rsidR="00234FC1" w:rsidRPr="00456927" w:rsidRDefault="00234FC1" w:rsidP="000F43CA">
            <w:pPr>
              <w:keepNext/>
              <w:spacing w:before="40" w:after="40" w:line="240" w:lineRule="auto"/>
              <w:jc w:val="center"/>
              <w:rPr>
                <w:b/>
                <w:bCs/>
              </w:rPr>
            </w:pPr>
            <w:r w:rsidRPr="00456927">
              <w:rPr>
                <w:b/>
                <w:bCs/>
              </w:rPr>
              <w:t>CL/F (L/h)</w:t>
            </w:r>
          </w:p>
        </w:tc>
        <w:tc>
          <w:tcPr>
            <w:tcW w:w="4464" w:type="dxa"/>
            <w:vAlign w:val="center"/>
          </w:tcPr>
          <w:p w14:paraId="5461B0F8" w14:textId="77777777" w:rsidR="00234FC1" w:rsidRPr="00456927" w:rsidRDefault="00234FC1" w:rsidP="000F43CA">
            <w:pPr>
              <w:keepNext/>
              <w:spacing w:before="40" w:after="40" w:line="240" w:lineRule="auto"/>
              <w:jc w:val="center"/>
            </w:pPr>
            <w:r w:rsidRPr="00456927">
              <w:t>0.0217 (0.00793)</w:t>
            </w:r>
          </w:p>
        </w:tc>
      </w:tr>
      <w:tr w:rsidR="00456927" w:rsidRPr="00456927" w14:paraId="2A9D78E0" w14:textId="77777777">
        <w:trPr>
          <w:jc w:val="center"/>
        </w:trPr>
        <w:tc>
          <w:tcPr>
            <w:tcW w:w="2695" w:type="dxa"/>
            <w:vAlign w:val="center"/>
          </w:tcPr>
          <w:p w14:paraId="17A4D2AE" w14:textId="77777777" w:rsidR="00234FC1" w:rsidRPr="00456927" w:rsidRDefault="00234FC1" w:rsidP="000F43CA">
            <w:pPr>
              <w:keepNext/>
              <w:spacing w:before="40" w:after="40" w:line="240" w:lineRule="auto"/>
              <w:jc w:val="center"/>
              <w:rPr>
                <w:b/>
                <w:bCs/>
              </w:rPr>
            </w:pPr>
            <w:r w:rsidRPr="00456927">
              <w:rPr>
                <w:b/>
                <w:bCs/>
              </w:rPr>
              <w:t>V</w:t>
            </w:r>
            <w:r w:rsidRPr="00456927">
              <w:rPr>
                <w:b/>
                <w:bCs/>
                <w:vertAlign w:val="subscript"/>
              </w:rPr>
              <w:t>c</w:t>
            </w:r>
            <w:r w:rsidRPr="00456927">
              <w:rPr>
                <w:b/>
                <w:bCs/>
              </w:rPr>
              <w:t>/F (L)</w:t>
            </w:r>
          </w:p>
        </w:tc>
        <w:tc>
          <w:tcPr>
            <w:tcW w:w="4464" w:type="dxa"/>
            <w:vAlign w:val="center"/>
          </w:tcPr>
          <w:p w14:paraId="2933284A" w14:textId="77777777" w:rsidR="00234FC1" w:rsidRPr="00456927" w:rsidRDefault="00234FC1" w:rsidP="000F43CA">
            <w:pPr>
              <w:keepNext/>
              <w:spacing w:before="40" w:after="40" w:line="240" w:lineRule="auto"/>
              <w:jc w:val="center"/>
            </w:pPr>
            <w:r w:rsidRPr="00456927">
              <w:t>7.42 (4.20)</w:t>
            </w:r>
          </w:p>
        </w:tc>
      </w:tr>
      <w:tr w:rsidR="00456927" w:rsidRPr="00456927" w14:paraId="64A4BFB1" w14:textId="77777777">
        <w:trPr>
          <w:jc w:val="center"/>
        </w:trPr>
        <w:tc>
          <w:tcPr>
            <w:tcW w:w="2695" w:type="dxa"/>
            <w:vAlign w:val="center"/>
          </w:tcPr>
          <w:p w14:paraId="7632E29E" w14:textId="77777777" w:rsidR="00234FC1" w:rsidRPr="00456927" w:rsidRDefault="00234FC1" w:rsidP="000F43CA">
            <w:pPr>
              <w:keepNext/>
              <w:spacing w:before="40" w:after="40" w:line="240" w:lineRule="auto"/>
              <w:jc w:val="center"/>
              <w:rPr>
                <w:b/>
                <w:bCs/>
              </w:rPr>
            </w:pPr>
            <w:r w:rsidRPr="00456927">
              <w:rPr>
                <w:b/>
                <w:bCs/>
              </w:rPr>
              <w:t>AUC</w:t>
            </w:r>
            <w:r w:rsidRPr="00456927">
              <w:rPr>
                <w:b/>
                <w:bCs/>
                <w:vertAlign w:val="subscript"/>
              </w:rPr>
              <w:t>tau,ss</w:t>
            </w:r>
            <w:r w:rsidRPr="00456927">
              <w:rPr>
                <w:b/>
                <w:bCs/>
              </w:rPr>
              <w:t xml:space="preserve"> (μg∙h/mL)</w:t>
            </w:r>
          </w:p>
        </w:tc>
        <w:tc>
          <w:tcPr>
            <w:tcW w:w="4464" w:type="dxa"/>
            <w:vAlign w:val="center"/>
          </w:tcPr>
          <w:p w14:paraId="192CBEE9" w14:textId="77777777" w:rsidR="00234FC1" w:rsidRPr="00456927" w:rsidRDefault="00234FC1" w:rsidP="000F43CA">
            <w:pPr>
              <w:keepNext/>
              <w:spacing w:before="40" w:after="40" w:line="240" w:lineRule="auto"/>
              <w:ind w:right="-56"/>
              <w:jc w:val="center"/>
            </w:pPr>
            <w:r w:rsidRPr="00456927">
              <w:t>10300 (3380)</w:t>
            </w:r>
          </w:p>
        </w:tc>
      </w:tr>
      <w:tr w:rsidR="00456927" w:rsidRPr="00456927" w14:paraId="64DCF2D2" w14:textId="77777777">
        <w:trPr>
          <w:jc w:val="center"/>
        </w:trPr>
        <w:tc>
          <w:tcPr>
            <w:tcW w:w="2695" w:type="dxa"/>
            <w:vAlign w:val="center"/>
          </w:tcPr>
          <w:p w14:paraId="1F5ADB58" w14:textId="77777777" w:rsidR="00234FC1" w:rsidRPr="00456927" w:rsidRDefault="00234FC1" w:rsidP="000F43CA">
            <w:pPr>
              <w:keepNext/>
              <w:spacing w:before="40" w:after="40" w:line="240" w:lineRule="auto"/>
              <w:jc w:val="center"/>
              <w:rPr>
                <w:b/>
                <w:bCs/>
              </w:rPr>
            </w:pPr>
            <w:r w:rsidRPr="00456927">
              <w:rPr>
                <w:b/>
                <w:bCs/>
              </w:rPr>
              <w:t>C</w:t>
            </w:r>
            <w:r w:rsidRPr="00456927">
              <w:rPr>
                <w:b/>
                <w:bCs/>
                <w:vertAlign w:val="subscript"/>
              </w:rPr>
              <w:t>max,ss</w:t>
            </w:r>
            <w:r w:rsidRPr="00456927">
              <w:rPr>
                <w:b/>
                <w:bCs/>
              </w:rPr>
              <w:t xml:space="preserve"> (μg/mL)</w:t>
            </w:r>
          </w:p>
        </w:tc>
        <w:tc>
          <w:tcPr>
            <w:tcW w:w="4464" w:type="dxa"/>
            <w:vAlign w:val="center"/>
          </w:tcPr>
          <w:p w14:paraId="7B9D83F9" w14:textId="77777777" w:rsidR="00234FC1" w:rsidRPr="00456927" w:rsidRDefault="00234FC1" w:rsidP="000F43CA">
            <w:pPr>
              <w:keepNext/>
              <w:spacing w:before="40" w:after="40" w:line="240" w:lineRule="auto"/>
              <w:jc w:val="center"/>
            </w:pPr>
            <w:r w:rsidRPr="00456927">
              <w:t>21.2 (6.58)</w:t>
            </w:r>
          </w:p>
        </w:tc>
      </w:tr>
      <w:tr w:rsidR="00456927" w:rsidRPr="00456927" w14:paraId="2B2F781D" w14:textId="77777777">
        <w:trPr>
          <w:jc w:val="center"/>
        </w:trPr>
        <w:tc>
          <w:tcPr>
            <w:tcW w:w="2695" w:type="dxa"/>
            <w:vAlign w:val="center"/>
          </w:tcPr>
          <w:p w14:paraId="0B5C5CCD" w14:textId="77777777" w:rsidR="00234FC1" w:rsidRPr="00456927" w:rsidRDefault="00234FC1" w:rsidP="000F43CA">
            <w:pPr>
              <w:keepNext/>
              <w:spacing w:before="40" w:after="40" w:line="240" w:lineRule="auto"/>
              <w:jc w:val="center"/>
              <w:rPr>
                <w:b/>
                <w:bCs/>
              </w:rPr>
            </w:pPr>
            <w:r w:rsidRPr="00456927">
              <w:rPr>
                <w:b/>
                <w:bCs/>
              </w:rPr>
              <w:t>C</w:t>
            </w:r>
            <w:r w:rsidRPr="00456927">
              <w:rPr>
                <w:b/>
                <w:bCs/>
                <w:vertAlign w:val="subscript"/>
              </w:rPr>
              <w:t>min,ss</w:t>
            </w:r>
            <w:r w:rsidRPr="00456927">
              <w:rPr>
                <w:b/>
                <w:bCs/>
              </w:rPr>
              <w:t xml:space="preserve"> (μg/mL)</w:t>
            </w:r>
          </w:p>
        </w:tc>
        <w:tc>
          <w:tcPr>
            <w:tcW w:w="4464" w:type="dxa"/>
            <w:vAlign w:val="center"/>
          </w:tcPr>
          <w:p w14:paraId="7160D745" w14:textId="77777777" w:rsidR="00234FC1" w:rsidRPr="00456927" w:rsidRDefault="00234FC1" w:rsidP="000F43CA">
            <w:pPr>
              <w:keepNext/>
              <w:spacing w:before="40" w:after="40" w:line="240" w:lineRule="auto"/>
              <w:jc w:val="center"/>
            </w:pPr>
            <w:r w:rsidRPr="00456927">
              <w:t>9.30 (3.73)</w:t>
            </w:r>
          </w:p>
        </w:tc>
      </w:tr>
      <w:tr w:rsidR="00456927" w:rsidRPr="00456927" w14:paraId="19C638A8" w14:textId="77777777">
        <w:trPr>
          <w:jc w:val="center"/>
        </w:trPr>
        <w:tc>
          <w:tcPr>
            <w:tcW w:w="2695" w:type="dxa"/>
            <w:vAlign w:val="center"/>
          </w:tcPr>
          <w:p w14:paraId="571FC8BA" w14:textId="77777777" w:rsidR="00234FC1" w:rsidRPr="00456927" w:rsidRDefault="00234FC1" w:rsidP="000F43CA">
            <w:pPr>
              <w:keepNext/>
              <w:spacing w:before="40" w:after="40" w:line="240" w:lineRule="auto"/>
              <w:jc w:val="center"/>
              <w:rPr>
                <w:b/>
                <w:bCs/>
              </w:rPr>
            </w:pPr>
            <w:r w:rsidRPr="00456927">
              <w:rPr>
                <w:b/>
                <w:bCs/>
              </w:rPr>
              <w:t>t</w:t>
            </w:r>
            <w:r w:rsidRPr="00456927">
              <w:rPr>
                <w:b/>
                <w:bCs/>
                <w:vertAlign w:val="subscript"/>
              </w:rPr>
              <w:t>max</w:t>
            </w:r>
            <w:r w:rsidRPr="00456927">
              <w:rPr>
                <w:b/>
                <w:bCs/>
              </w:rPr>
              <w:t xml:space="preserve"> (h)</w:t>
            </w:r>
          </w:p>
        </w:tc>
        <w:tc>
          <w:tcPr>
            <w:tcW w:w="4464" w:type="dxa"/>
            <w:vAlign w:val="center"/>
          </w:tcPr>
          <w:p w14:paraId="79645964" w14:textId="77777777" w:rsidR="00234FC1" w:rsidRPr="00456927" w:rsidRDefault="00234FC1" w:rsidP="000F43CA">
            <w:pPr>
              <w:keepNext/>
              <w:spacing w:before="40" w:after="40" w:line="240" w:lineRule="auto"/>
              <w:jc w:val="center"/>
            </w:pPr>
            <w:r w:rsidRPr="00456927">
              <w:t>137 (91.0, 175)</w:t>
            </w:r>
            <w:r w:rsidRPr="00456927">
              <w:rPr>
                <w:vertAlign w:val="superscript"/>
              </w:rPr>
              <w:t>*</w:t>
            </w:r>
          </w:p>
        </w:tc>
      </w:tr>
      <w:tr w:rsidR="00456927" w:rsidRPr="00456927" w14:paraId="012579D5" w14:textId="77777777">
        <w:trPr>
          <w:jc w:val="center"/>
        </w:trPr>
        <w:tc>
          <w:tcPr>
            <w:tcW w:w="2695" w:type="dxa"/>
            <w:vAlign w:val="center"/>
          </w:tcPr>
          <w:p w14:paraId="64784B16" w14:textId="77777777" w:rsidR="00234FC1" w:rsidRPr="00456927" w:rsidRDefault="00234FC1" w:rsidP="000F43CA">
            <w:pPr>
              <w:keepNext/>
              <w:spacing w:before="40" w:after="40" w:line="240" w:lineRule="auto"/>
              <w:jc w:val="center"/>
              <w:rPr>
                <w:b/>
                <w:bCs/>
              </w:rPr>
            </w:pPr>
            <w:r w:rsidRPr="00456927">
              <w:rPr>
                <w:b/>
                <w:bCs/>
              </w:rPr>
              <w:t>t</w:t>
            </w:r>
            <w:r w:rsidRPr="00456927">
              <w:rPr>
                <w:b/>
                <w:bCs/>
                <w:vertAlign w:val="subscript"/>
              </w:rPr>
              <w:t>1/2</w:t>
            </w:r>
            <w:r w:rsidRPr="00456927">
              <w:rPr>
                <w:b/>
                <w:bCs/>
                <w:vertAlign w:val="subscript"/>
              </w:rPr>
              <w:softHyphen/>
            </w:r>
            <w:r w:rsidRPr="00456927">
              <w:rPr>
                <w:b/>
                <w:bCs/>
              </w:rPr>
              <w:t xml:space="preserve"> (h)</w:t>
            </w:r>
          </w:p>
        </w:tc>
        <w:tc>
          <w:tcPr>
            <w:tcW w:w="4464" w:type="dxa"/>
            <w:vAlign w:val="center"/>
          </w:tcPr>
          <w:p w14:paraId="75E584D3" w14:textId="77777777" w:rsidR="00234FC1" w:rsidRPr="00456927" w:rsidRDefault="00234FC1" w:rsidP="000F43CA">
            <w:pPr>
              <w:keepNext/>
              <w:spacing w:before="40" w:after="40" w:line="240" w:lineRule="auto"/>
              <w:jc w:val="center"/>
            </w:pPr>
            <w:r w:rsidRPr="00456927">
              <w:t>445 (97.4)</w:t>
            </w:r>
          </w:p>
        </w:tc>
      </w:tr>
    </w:tbl>
    <w:p w14:paraId="15BF9881" w14:textId="77777777" w:rsidR="00234FC1" w:rsidRPr="00456927" w:rsidRDefault="00234FC1" w:rsidP="006F61D4">
      <w:pPr>
        <w:spacing w:before="40" w:after="0" w:line="240" w:lineRule="auto"/>
        <w:rPr>
          <w:rFonts w:ascii="Times New Roman" w:hAnsi="Times New Roman" w:cs="Times New Roman"/>
          <w:sz w:val="20"/>
          <w:szCs w:val="16"/>
        </w:rPr>
      </w:pPr>
      <w:r w:rsidRPr="00456927">
        <w:rPr>
          <w:rFonts w:ascii="Times New Roman" w:hAnsi="Times New Roman" w:cs="Times New Roman"/>
          <w:sz w:val="20"/>
          <w:szCs w:val="16"/>
        </w:rPr>
        <w:t>CL/F: apparent clearance; V</w:t>
      </w:r>
      <w:r w:rsidRPr="00456927">
        <w:rPr>
          <w:rFonts w:ascii="Times New Roman" w:hAnsi="Times New Roman" w:cs="Times New Roman"/>
          <w:sz w:val="20"/>
          <w:szCs w:val="16"/>
          <w:vertAlign w:val="subscript"/>
        </w:rPr>
        <w:t>c</w:t>
      </w:r>
      <w:r w:rsidRPr="00456927">
        <w:rPr>
          <w:rFonts w:ascii="Times New Roman" w:hAnsi="Times New Roman" w:cs="Times New Roman"/>
          <w:sz w:val="20"/>
          <w:szCs w:val="16"/>
        </w:rPr>
        <w:t>/F: apparent volume of distribution; AUC</w:t>
      </w:r>
      <w:r w:rsidRPr="00456927">
        <w:rPr>
          <w:rFonts w:ascii="Times New Roman" w:hAnsi="Times New Roman" w:cs="Times New Roman"/>
          <w:sz w:val="20"/>
          <w:szCs w:val="16"/>
          <w:vertAlign w:val="subscript"/>
        </w:rPr>
        <w:t>tau,ss</w:t>
      </w:r>
      <w:r w:rsidRPr="00456927">
        <w:rPr>
          <w:rFonts w:ascii="Times New Roman" w:hAnsi="Times New Roman" w:cs="Times New Roman"/>
          <w:sz w:val="20"/>
          <w:szCs w:val="16"/>
        </w:rPr>
        <w:t xml:space="preserve"> area under the curve over the dosing interval at steady-state; C</w:t>
      </w:r>
      <w:r w:rsidRPr="00456927">
        <w:rPr>
          <w:rFonts w:ascii="Times New Roman" w:hAnsi="Times New Roman" w:cs="Times New Roman"/>
          <w:sz w:val="20"/>
          <w:szCs w:val="16"/>
          <w:vertAlign w:val="subscript"/>
        </w:rPr>
        <w:t>max,ss</w:t>
      </w:r>
      <w:r w:rsidRPr="00456927">
        <w:rPr>
          <w:rFonts w:ascii="Times New Roman" w:hAnsi="Times New Roman" w:cs="Times New Roman"/>
          <w:sz w:val="20"/>
          <w:szCs w:val="16"/>
        </w:rPr>
        <w:t>: maximum concentration at steady-state; C</w:t>
      </w:r>
      <w:r w:rsidRPr="00456927">
        <w:rPr>
          <w:rFonts w:ascii="Times New Roman" w:hAnsi="Times New Roman" w:cs="Times New Roman"/>
          <w:sz w:val="20"/>
          <w:szCs w:val="16"/>
          <w:vertAlign w:val="subscript"/>
        </w:rPr>
        <w:t>min,ss</w:t>
      </w:r>
      <w:r w:rsidRPr="00456927">
        <w:rPr>
          <w:rFonts w:ascii="Times New Roman" w:hAnsi="Times New Roman" w:cs="Times New Roman"/>
          <w:sz w:val="20"/>
          <w:szCs w:val="16"/>
        </w:rPr>
        <w:t>: minimum concentration at steady-state; t</w:t>
      </w:r>
      <w:r w:rsidRPr="00456927">
        <w:rPr>
          <w:rFonts w:ascii="Times New Roman" w:hAnsi="Times New Roman" w:cs="Times New Roman"/>
          <w:sz w:val="20"/>
          <w:szCs w:val="16"/>
          <w:vertAlign w:val="subscript"/>
        </w:rPr>
        <w:t>max</w:t>
      </w:r>
      <w:r w:rsidRPr="00456927">
        <w:rPr>
          <w:rFonts w:ascii="Times New Roman" w:hAnsi="Times New Roman" w:cs="Times New Roman"/>
          <w:sz w:val="20"/>
          <w:szCs w:val="16"/>
        </w:rPr>
        <w:t>: time to maximum concentration; t</w:t>
      </w:r>
      <w:r w:rsidRPr="00456927">
        <w:rPr>
          <w:rFonts w:ascii="Times New Roman" w:hAnsi="Times New Roman" w:cs="Times New Roman"/>
          <w:sz w:val="20"/>
          <w:szCs w:val="16"/>
          <w:vertAlign w:val="subscript"/>
        </w:rPr>
        <w:t>1/2</w:t>
      </w:r>
      <w:r w:rsidRPr="00456927">
        <w:rPr>
          <w:rFonts w:ascii="Times New Roman" w:hAnsi="Times New Roman" w:cs="Times New Roman"/>
          <w:sz w:val="20"/>
          <w:szCs w:val="16"/>
        </w:rPr>
        <w:t>: terminal elimination half-life</w:t>
      </w:r>
    </w:p>
    <w:p w14:paraId="2E2C0A7E" w14:textId="08A2A144" w:rsidR="00BC45DD" w:rsidRPr="00456927" w:rsidRDefault="00234FC1" w:rsidP="00B45232">
      <w:pPr>
        <w:spacing w:before="40" w:after="240" w:line="240" w:lineRule="auto"/>
        <w:rPr>
          <w:rFonts w:ascii="Times New Roman" w:hAnsi="Times New Roman" w:cs="Times New Roman"/>
        </w:rPr>
      </w:pPr>
      <w:r w:rsidRPr="00456927">
        <w:rPr>
          <w:rFonts w:ascii="Times New Roman" w:hAnsi="Times New Roman" w:cs="Times New Roman"/>
          <w:sz w:val="20"/>
          <w:szCs w:val="16"/>
          <w:vertAlign w:val="superscript"/>
        </w:rPr>
        <w:t>*</w:t>
      </w:r>
      <w:r w:rsidRPr="00456927">
        <w:rPr>
          <w:rFonts w:ascii="Times New Roman" w:hAnsi="Times New Roman" w:cs="Times New Roman"/>
          <w:sz w:val="20"/>
          <w:szCs w:val="16"/>
        </w:rPr>
        <w:t>Median (range) presented for t</w:t>
      </w:r>
      <w:r w:rsidRPr="00456927">
        <w:rPr>
          <w:rFonts w:ascii="Times New Roman" w:hAnsi="Times New Roman" w:cs="Times New Roman"/>
          <w:sz w:val="20"/>
          <w:szCs w:val="16"/>
          <w:vertAlign w:val="subscript"/>
        </w:rPr>
        <w:t>max</w:t>
      </w:r>
    </w:p>
    <w:p w14:paraId="6A9B3E5D" w14:textId="330DAC96" w:rsidR="00BC45DD" w:rsidRPr="00456927" w:rsidRDefault="00234FC1" w:rsidP="00BC45DD">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Specific populations</w:t>
      </w:r>
    </w:p>
    <w:p w14:paraId="5D6C3DDA" w14:textId="7AAD2E07" w:rsidR="00AC684A" w:rsidRPr="00456927" w:rsidRDefault="00234FC1" w:rsidP="00BC45DD">
      <w:pPr>
        <w:autoSpaceDE w:val="0"/>
        <w:autoSpaceDN w:val="0"/>
        <w:adjustRightInd w:val="0"/>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Population </w:t>
      </w:r>
      <w:r w:rsidR="006C0334" w:rsidRPr="00456927">
        <w:rPr>
          <w:rFonts w:ascii="Times New Roman" w:eastAsia="Times New Roman" w:hAnsi="Times New Roman" w:cs="Times New Roman"/>
          <w:kern w:val="24"/>
          <w:sz w:val="24"/>
          <w:szCs w:val="24"/>
          <w:lang w:val="en-US"/>
        </w:rPr>
        <w:t>PK</w:t>
      </w:r>
      <w:r w:rsidRPr="00456927">
        <w:rPr>
          <w:rFonts w:ascii="Times New Roman" w:eastAsia="Times New Roman" w:hAnsi="Times New Roman" w:cs="Times New Roman"/>
          <w:kern w:val="24"/>
          <w:sz w:val="24"/>
          <w:szCs w:val="24"/>
          <w:lang w:val="en-US"/>
        </w:rPr>
        <w:t xml:space="preserve"> analyses showed that age, gender, and race did not meaningfully influence the </w:t>
      </w:r>
      <w:r w:rsidR="00430799" w:rsidRPr="00456927">
        <w:rPr>
          <w:rFonts w:ascii="Times New Roman" w:eastAsia="Times New Roman" w:hAnsi="Times New Roman" w:cs="Times New Roman"/>
          <w:kern w:val="24"/>
          <w:sz w:val="24"/>
          <w:szCs w:val="24"/>
          <w:lang w:val="en-US"/>
        </w:rPr>
        <w:t>PK</w:t>
      </w:r>
      <w:r w:rsidRPr="00456927">
        <w:rPr>
          <w:rFonts w:ascii="Times New Roman" w:eastAsia="Times New Roman" w:hAnsi="Times New Roman" w:cs="Times New Roman"/>
          <w:kern w:val="24"/>
          <w:sz w:val="24"/>
          <w:szCs w:val="24"/>
          <w:lang w:val="en-US"/>
        </w:rPr>
        <w:t xml:space="preserve"> of garadacimab after correcting for body weight. Body weight was identified as an important covariate describing the variability of clearance and volume of distribution, resulting in higher exposure in lighter patients. However, this difference is not clinically relevant and no dose adjustments are recommended for any of these demographics.</w:t>
      </w:r>
    </w:p>
    <w:p w14:paraId="5D8ACF59" w14:textId="77777777" w:rsidR="00BC45DD" w:rsidRPr="00456927" w:rsidRDefault="00BC45DD" w:rsidP="002A6383">
      <w:pPr>
        <w:keepNext/>
        <w:spacing w:after="120"/>
        <w:rPr>
          <w:rFonts w:ascii="Times New Roman" w:hAnsi="Times New Roman" w:cs="Times New Roman"/>
          <w:b/>
          <w:i/>
          <w:sz w:val="24"/>
          <w:szCs w:val="24"/>
        </w:rPr>
      </w:pPr>
      <w:r w:rsidRPr="00456927">
        <w:rPr>
          <w:rFonts w:ascii="Times New Roman" w:hAnsi="Times New Roman" w:cs="Times New Roman"/>
          <w:b/>
          <w:i/>
          <w:sz w:val="24"/>
          <w:szCs w:val="24"/>
        </w:rPr>
        <w:t>Paediatric population</w:t>
      </w:r>
    </w:p>
    <w:p w14:paraId="51BD4C77" w14:textId="7BDF9F7E" w:rsidR="00234FC1" w:rsidRPr="00456927" w:rsidRDefault="00234FC1" w:rsidP="00B7614C">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Based on population </w:t>
      </w:r>
      <w:r w:rsidR="00430799" w:rsidRPr="00456927">
        <w:rPr>
          <w:rFonts w:ascii="Times New Roman" w:eastAsia="Times New Roman" w:hAnsi="Times New Roman" w:cs="Times New Roman"/>
          <w:kern w:val="24"/>
          <w:sz w:val="24"/>
          <w:szCs w:val="24"/>
          <w:lang w:val="en-US"/>
        </w:rPr>
        <w:t>PK</w:t>
      </w:r>
      <w:r w:rsidRPr="00456927">
        <w:rPr>
          <w:rFonts w:ascii="Times New Roman" w:eastAsia="Times New Roman" w:hAnsi="Times New Roman" w:cs="Times New Roman"/>
          <w:kern w:val="24"/>
          <w:sz w:val="24"/>
          <w:szCs w:val="24"/>
          <w:lang w:val="en-US"/>
        </w:rPr>
        <w:t xml:space="preserve"> analyses that included </w:t>
      </w:r>
      <w:r w:rsidR="002A6383" w:rsidRPr="00456927">
        <w:rPr>
          <w:rFonts w:ascii="Times New Roman" w:eastAsia="Times New Roman" w:hAnsi="Times New Roman" w:cs="Times New Roman"/>
          <w:kern w:val="24"/>
          <w:sz w:val="24"/>
          <w:szCs w:val="24"/>
          <w:lang w:val="en-US"/>
        </w:rPr>
        <w:t>paediatric</w:t>
      </w:r>
      <w:r w:rsidRPr="00456927">
        <w:rPr>
          <w:rFonts w:ascii="Times New Roman" w:eastAsia="Times New Roman" w:hAnsi="Times New Roman" w:cs="Times New Roman"/>
          <w:kern w:val="24"/>
          <w:sz w:val="24"/>
          <w:szCs w:val="24"/>
          <w:lang w:val="en-US"/>
        </w:rPr>
        <w:t xml:space="preserve"> patients (12 to 17 years, N</w:t>
      </w:r>
      <w:r w:rsidR="00B235EE"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w:t>
      </w:r>
      <w:r w:rsidR="00B235EE"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 xml:space="preserve">11), </w:t>
      </w:r>
      <w:r w:rsidR="00EC09D4" w:rsidRPr="00EC09D4">
        <w:rPr>
          <w:rFonts w:ascii="Times New Roman" w:eastAsia="Times New Roman" w:hAnsi="Times New Roman" w:cs="Times New Roman"/>
          <w:kern w:val="24"/>
          <w:sz w:val="24"/>
          <w:szCs w:val="24"/>
          <w:lang w:val="en-US"/>
        </w:rPr>
        <w:t xml:space="preserve">an approximately 30% higher predicted garadacimab exposure was found compared to adults. </w:t>
      </w:r>
      <w:r w:rsidR="00FE1B38">
        <w:rPr>
          <w:rFonts w:ascii="Times New Roman" w:eastAsia="Times New Roman" w:hAnsi="Times New Roman" w:cs="Times New Roman"/>
          <w:kern w:val="24"/>
          <w:sz w:val="24"/>
          <w:szCs w:val="24"/>
          <w:lang w:val="en-US"/>
        </w:rPr>
        <w:t>Age does</w:t>
      </w:r>
      <w:r w:rsidR="00EC09D4" w:rsidRPr="00EC09D4">
        <w:rPr>
          <w:rFonts w:ascii="Times New Roman" w:eastAsia="Times New Roman" w:hAnsi="Times New Roman" w:cs="Times New Roman"/>
          <w:kern w:val="24"/>
          <w:sz w:val="24"/>
          <w:szCs w:val="24"/>
          <w:lang w:val="en-US"/>
        </w:rPr>
        <w:t xml:space="preserve"> </w:t>
      </w:r>
      <w:r w:rsidRPr="00456927" w:rsidDel="00BC512B">
        <w:rPr>
          <w:rFonts w:ascii="Times New Roman" w:eastAsia="Times New Roman" w:hAnsi="Times New Roman" w:cs="Times New Roman"/>
          <w:kern w:val="24"/>
          <w:sz w:val="24"/>
          <w:szCs w:val="24"/>
          <w:lang w:val="en-US"/>
        </w:rPr>
        <w:t xml:space="preserve">not </w:t>
      </w:r>
      <w:r w:rsidR="00FE1B38">
        <w:rPr>
          <w:rFonts w:ascii="Times New Roman" w:eastAsia="Times New Roman" w:hAnsi="Times New Roman" w:cs="Times New Roman"/>
          <w:kern w:val="24"/>
          <w:sz w:val="24"/>
          <w:szCs w:val="24"/>
          <w:lang w:val="en-US"/>
        </w:rPr>
        <w:t>have</w:t>
      </w:r>
      <w:r w:rsidRPr="00456927">
        <w:rPr>
          <w:rFonts w:ascii="Times New Roman" w:eastAsia="Times New Roman" w:hAnsi="Times New Roman" w:cs="Times New Roman"/>
          <w:kern w:val="24"/>
          <w:sz w:val="24"/>
          <w:szCs w:val="24"/>
          <w:lang w:val="en-US"/>
        </w:rPr>
        <w:t xml:space="preserve"> a clinically meaningful impact </w:t>
      </w:r>
      <w:r w:rsidR="00FE1B38">
        <w:rPr>
          <w:rFonts w:ascii="Times New Roman" w:eastAsia="Times New Roman" w:hAnsi="Times New Roman" w:cs="Times New Roman"/>
          <w:kern w:val="24"/>
          <w:sz w:val="24"/>
          <w:szCs w:val="24"/>
          <w:lang w:val="en-US"/>
        </w:rPr>
        <w:t xml:space="preserve">on the PK of garadacimab </w:t>
      </w:r>
      <w:r w:rsidRPr="00456927">
        <w:rPr>
          <w:rFonts w:ascii="Times New Roman" w:eastAsia="Times New Roman" w:hAnsi="Times New Roman" w:cs="Times New Roman"/>
          <w:kern w:val="24"/>
          <w:sz w:val="24"/>
          <w:szCs w:val="24"/>
          <w:lang w:val="en-US"/>
        </w:rPr>
        <w:t xml:space="preserve">and no dose adjustments </w:t>
      </w:r>
      <w:r w:rsidR="00EC09D4">
        <w:rPr>
          <w:rFonts w:ascii="Times New Roman" w:eastAsia="Times New Roman" w:hAnsi="Times New Roman" w:cs="Times New Roman"/>
          <w:kern w:val="24"/>
          <w:sz w:val="24"/>
          <w:szCs w:val="24"/>
          <w:lang w:val="en-US"/>
        </w:rPr>
        <w:t xml:space="preserve">for adolescent patients </w:t>
      </w:r>
      <w:r w:rsidRPr="00456927">
        <w:rPr>
          <w:rFonts w:ascii="Times New Roman" w:eastAsia="Times New Roman" w:hAnsi="Times New Roman" w:cs="Times New Roman"/>
          <w:kern w:val="24"/>
          <w:sz w:val="24"/>
          <w:szCs w:val="24"/>
          <w:lang w:val="en-US"/>
        </w:rPr>
        <w:t>are recommended.</w:t>
      </w:r>
    </w:p>
    <w:p w14:paraId="74A12EA8" w14:textId="6AD015C8" w:rsidR="009B2A43" w:rsidRPr="00456927" w:rsidRDefault="00234FC1" w:rsidP="00B7614C">
      <w:pPr>
        <w:pStyle w:val="DocumentText"/>
      </w:pPr>
      <w:r w:rsidRPr="00456927">
        <w:t>P</w:t>
      </w:r>
      <w:r w:rsidR="00430799" w:rsidRPr="00456927">
        <w:t>K</w:t>
      </w:r>
      <w:r w:rsidRPr="00456927">
        <w:t xml:space="preserve"> of garadacimab in paediatric patients below the age of 12 has not been investigated.</w:t>
      </w:r>
    </w:p>
    <w:p w14:paraId="6C7E23E5" w14:textId="2D3D7B51" w:rsidR="00234FC1" w:rsidRPr="00456927" w:rsidRDefault="00234FC1" w:rsidP="00234FC1">
      <w:pPr>
        <w:keepNext/>
        <w:spacing w:after="120"/>
        <w:rPr>
          <w:rFonts w:ascii="Times New Roman" w:hAnsi="Times New Roman" w:cs="Times New Roman"/>
          <w:b/>
          <w:i/>
          <w:sz w:val="24"/>
          <w:szCs w:val="24"/>
        </w:rPr>
      </w:pPr>
      <w:r w:rsidRPr="00456927">
        <w:rPr>
          <w:rFonts w:ascii="Times New Roman" w:hAnsi="Times New Roman" w:cs="Times New Roman"/>
          <w:b/>
          <w:i/>
          <w:sz w:val="24"/>
          <w:szCs w:val="24"/>
        </w:rPr>
        <w:t>Elderly population</w:t>
      </w:r>
    </w:p>
    <w:p w14:paraId="434295EB" w14:textId="06EC6DB4" w:rsidR="00234FC1" w:rsidRPr="00456927" w:rsidRDefault="00234FC1" w:rsidP="00234FC1">
      <w:pPr>
        <w:pStyle w:val="DocumentText"/>
      </w:pPr>
      <w:r w:rsidRPr="00456927">
        <w:t xml:space="preserve">Based on population </w:t>
      </w:r>
      <w:r w:rsidR="0025264B" w:rsidRPr="00456927">
        <w:t>PK</w:t>
      </w:r>
      <w:r w:rsidRPr="00456927">
        <w:t xml:space="preserve"> analyses that included elderly patients (≥65 years, N</w:t>
      </w:r>
      <w:r w:rsidR="00C416F2" w:rsidRPr="00456927">
        <w:t> </w:t>
      </w:r>
      <w:r w:rsidRPr="00456927">
        <w:t>=</w:t>
      </w:r>
      <w:r w:rsidR="00C416F2" w:rsidRPr="00456927">
        <w:t> </w:t>
      </w:r>
      <w:r w:rsidRPr="00456927">
        <w:t>13), age does not have a clinically meaningful impact on the PK of garadacimab and no dose adjustments are recommended.</w:t>
      </w:r>
    </w:p>
    <w:p w14:paraId="287B5491" w14:textId="73191E2A" w:rsidR="00234FC1" w:rsidRPr="00456927" w:rsidRDefault="00234FC1" w:rsidP="009B511B">
      <w:pPr>
        <w:pStyle w:val="Heading3"/>
        <w:spacing w:before="0" w:after="120"/>
        <w:rPr>
          <w:rFonts w:ascii="Times New Roman" w:eastAsiaTheme="minorHAnsi" w:hAnsi="Times New Roman" w:cs="Times New Roman"/>
          <w:bCs w:val="0"/>
          <w:i/>
          <w:sz w:val="24"/>
          <w:szCs w:val="24"/>
        </w:rPr>
      </w:pPr>
      <w:r w:rsidRPr="00456927">
        <w:rPr>
          <w:rFonts w:ascii="Times New Roman" w:eastAsiaTheme="minorHAnsi" w:hAnsi="Times New Roman" w:cs="Times New Roman"/>
          <w:bCs w:val="0"/>
          <w:i/>
          <w:sz w:val="24"/>
          <w:szCs w:val="24"/>
        </w:rPr>
        <w:t xml:space="preserve">Renal </w:t>
      </w:r>
      <w:r w:rsidR="005A41FD">
        <w:rPr>
          <w:rFonts w:ascii="Times New Roman" w:eastAsiaTheme="minorHAnsi" w:hAnsi="Times New Roman" w:cs="Times New Roman"/>
          <w:bCs w:val="0"/>
          <w:i/>
          <w:sz w:val="24"/>
          <w:szCs w:val="24"/>
        </w:rPr>
        <w:t>i</w:t>
      </w:r>
      <w:r w:rsidRPr="00456927">
        <w:rPr>
          <w:rFonts w:ascii="Times New Roman" w:eastAsiaTheme="minorHAnsi" w:hAnsi="Times New Roman" w:cs="Times New Roman"/>
          <w:bCs w:val="0"/>
          <w:i/>
          <w:sz w:val="24"/>
          <w:szCs w:val="24"/>
        </w:rPr>
        <w:t>mpairment</w:t>
      </w:r>
    </w:p>
    <w:p w14:paraId="1E6802CA" w14:textId="796D2D9D" w:rsidR="00234FC1" w:rsidRPr="00456927" w:rsidRDefault="00234FC1" w:rsidP="009B511B">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No dedicated studies have been conducted to evaluate the PK of garadacimab in </w:t>
      </w:r>
      <w:r w:rsidR="00102C49" w:rsidRPr="00456927">
        <w:rPr>
          <w:rFonts w:ascii="Times New Roman" w:eastAsia="Times New Roman" w:hAnsi="Times New Roman" w:cs="Times New Roman"/>
          <w:kern w:val="24"/>
          <w:sz w:val="24"/>
          <w:szCs w:val="24"/>
          <w:lang w:val="en-US"/>
        </w:rPr>
        <w:t xml:space="preserve">patients with </w:t>
      </w:r>
      <w:r w:rsidRPr="00456927">
        <w:rPr>
          <w:rFonts w:ascii="Times New Roman" w:eastAsia="Times New Roman" w:hAnsi="Times New Roman" w:cs="Times New Roman"/>
          <w:kern w:val="24"/>
          <w:sz w:val="24"/>
          <w:szCs w:val="24"/>
          <w:lang w:val="en-US"/>
        </w:rPr>
        <w:t xml:space="preserve">renal impairment. Based on population </w:t>
      </w:r>
      <w:r w:rsidR="00102C49" w:rsidRPr="00456927">
        <w:rPr>
          <w:rFonts w:ascii="Times New Roman" w:eastAsia="Times New Roman" w:hAnsi="Times New Roman" w:cs="Times New Roman"/>
          <w:kern w:val="24"/>
          <w:sz w:val="24"/>
          <w:szCs w:val="24"/>
          <w:lang w:val="en-US"/>
        </w:rPr>
        <w:t>PK</w:t>
      </w:r>
      <w:r w:rsidRPr="00456927">
        <w:rPr>
          <w:rFonts w:ascii="Times New Roman" w:eastAsia="Times New Roman" w:hAnsi="Times New Roman" w:cs="Times New Roman"/>
          <w:kern w:val="24"/>
          <w:sz w:val="24"/>
          <w:szCs w:val="24"/>
          <w:lang w:val="en-US"/>
        </w:rPr>
        <w:t xml:space="preserve"> analysis (estimated GFR: ≥90</w:t>
      </w:r>
      <w:r w:rsidR="009B511B"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mL/min/1.73m</w:t>
      </w:r>
      <w:r w:rsidRPr="00456927">
        <w:rPr>
          <w:rFonts w:ascii="Times New Roman" w:eastAsia="Times New Roman" w:hAnsi="Times New Roman" w:cs="Times New Roman"/>
          <w:kern w:val="24"/>
          <w:sz w:val="24"/>
          <w:szCs w:val="24"/>
          <w:vertAlign w:val="superscript"/>
          <w:lang w:val="en-US"/>
        </w:rPr>
        <w:t>2</w:t>
      </w:r>
      <w:r w:rsidRPr="00456927">
        <w:rPr>
          <w:rFonts w:ascii="Times New Roman" w:eastAsia="Times New Roman" w:hAnsi="Times New Roman" w:cs="Times New Roman"/>
          <w:kern w:val="24"/>
          <w:sz w:val="24"/>
          <w:szCs w:val="24"/>
          <w:lang w:val="en-US"/>
        </w:rPr>
        <w:t xml:space="preserve"> [normal, N</w:t>
      </w:r>
      <w:r w:rsidR="0099158F"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w:t>
      </w:r>
      <w:r w:rsidR="0099158F"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145], 60 to &lt;90</w:t>
      </w:r>
      <w:r w:rsidR="009B511B"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mL/min/1.73m</w:t>
      </w:r>
      <w:r w:rsidRPr="00456927">
        <w:rPr>
          <w:rFonts w:ascii="Times New Roman" w:eastAsia="Times New Roman" w:hAnsi="Times New Roman" w:cs="Times New Roman"/>
          <w:kern w:val="24"/>
          <w:sz w:val="24"/>
          <w:szCs w:val="24"/>
          <w:vertAlign w:val="superscript"/>
          <w:lang w:val="en-US"/>
        </w:rPr>
        <w:t>2</w:t>
      </w:r>
      <w:r w:rsidRPr="00456927">
        <w:rPr>
          <w:rFonts w:ascii="Times New Roman" w:eastAsia="Times New Roman" w:hAnsi="Times New Roman" w:cs="Times New Roman"/>
          <w:kern w:val="24"/>
          <w:sz w:val="24"/>
          <w:szCs w:val="24"/>
          <w:lang w:val="en-US"/>
        </w:rPr>
        <w:t xml:space="preserve"> [mild, N</w:t>
      </w:r>
      <w:r w:rsidR="00C416F2"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w:t>
      </w:r>
      <w:r w:rsidR="00C416F2"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26], and 30 to &lt;60</w:t>
      </w:r>
      <w:r w:rsidR="009B511B"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mL/min/1.73m</w:t>
      </w:r>
      <w:r w:rsidRPr="00456927">
        <w:rPr>
          <w:rFonts w:ascii="Times New Roman" w:eastAsia="Times New Roman" w:hAnsi="Times New Roman" w:cs="Times New Roman"/>
          <w:kern w:val="24"/>
          <w:sz w:val="24"/>
          <w:szCs w:val="24"/>
          <w:vertAlign w:val="superscript"/>
          <w:lang w:val="en-US"/>
        </w:rPr>
        <w:t>2</w:t>
      </w:r>
      <w:r w:rsidRPr="00456927">
        <w:rPr>
          <w:rFonts w:ascii="Times New Roman" w:eastAsia="Times New Roman" w:hAnsi="Times New Roman" w:cs="Times New Roman"/>
          <w:kern w:val="24"/>
          <w:sz w:val="24"/>
          <w:szCs w:val="24"/>
          <w:lang w:val="en-US"/>
        </w:rPr>
        <w:t xml:space="preserve"> [moderate, N</w:t>
      </w:r>
      <w:r w:rsidR="0099158F"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w:t>
      </w:r>
      <w:r w:rsidR="0099158F" w:rsidRPr="00456927">
        <w:rPr>
          <w:rFonts w:ascii="Times New Roman" w:eastAsia="Times New Roman" w:hAnsi="Times New Roman" w:cs="Times New Roman"/>
          <w:kern w:val="24"/>
          <w:sz w:val="24"/>
          <w:szCs w:val="24"/>
          <w:lang w:val="en-US"/>
        </w:rPr>
        <w:t> </w:t>
      </w:r>
      <w:r w:rsidRPr="00456927">
        <w:rPr>
          <w:rFonts w:ascii="Times New Roman" w:eastAsia="Times New Roman" w:hAnsi="Times New Roman" w:cs="Times New Roman"/>
          <w:kern w:val="24"/>
          <w:sz w:val="24"/>
          <w:szCs w:val="24"/>
          <w:lang w:val="en-US"/>
        </w:rPr>
        <w:t xml:space="preserve">2]) </w:t>
      </w:r>
      <w:r w:rsidR="00EC09D4">
        <w:rPr>
          <w:rFonts w:ascii="Times New Roman" w:eastAsia="Times New Roman" w:hAnsi="Times New Roman" w:cs="Times New Roman"/>
          <w:kern w:val="24"/>
          <w:sz w:val="24"/>
          <w:szCs w:val="24"/>
          <w:lang w:val="en-US"/>
        </w:rPr>
        <w:t xml:space="preserve">renal impairment </w:t>
      </w:r>
      <w:r w:rsidRPr="00456927">
        <w:rPr>
          <w:rFonts w:ascii="Times New Roman" w:eastAsia="Times New Roman" w:hAnsi="Times New Roman" w:cs="Times New Roman"/>
          <w:kern w:val="24"/>
          <w:sz w:val="24"/>
          <w:szCs w:val="24"/>
          <w:lang w:val="en-US"/>
        </w:rPr>
        <w:t>had no effect on the PK of garadacimab.</w:t>
      </w:r>
    </w:p>
    <w:p w14:paraId="173FB722" w14:textId="19217934" w:rsidR="00234FC1" w:rsidRPr="00456927" w:rsidRDefault="00234FC1" w:rsidP="009B511B">
      <w:pPr>
        <w:pStyle w:val="Heading3"/>
        <w:spacing w:before="0" w:after="120"/>
        <w:rPr>
          <w:rFonts w:ascii="Times New Roman" w:eastAsiaTheme="minorHAnsi" w:hAnsi="Times New Roman" w:cs="Times New Roman"/>
          <w:bCs w:val="0"/>
          <w:i/>
          <w:sz w:val="24"/>
          <w:szCs w:val="24"/>
        </w:rPr>
      </w:pPr>
      <w:r w:rsidRPr="00456927">
        <w:rPr>
          <w:rFonts w:ascii="Times New Roman" w:eastAsiaTheme="minorHAnsi" w:hAnsi="Times New Roman" w:cs="Times New Roman"/>
          <w:bCs w:val="0"/>
          <w:i/>
          <w:sz w:val="24"/>
          <w:szCs w:val="24"/>
        </w:rPr>
        <w:lastRenderedPageBreak/>
        <w:t xml:space="preserve">Hepatic </w:t>
      </w:r>
      <w:r w:rsidR="005A41FD">
        <w:rPr>
          <w:rFonts w:ascii="Times New Roman" w:eastAsiaTheme="minorHAnsi" w:hAnsi="Times New Roman" w:cs="Times New Roman"/>
          <w:bCs w:val="0"/>
          <w:i/>
          <w:sz w:val="24"/>
          <w:szCs w:val="24"/>
        </w:rPr>
        <w:t>i</w:t>
      </w:r>
      <w:r w:rsidRPr="00456927">
        <w:rPr>
          <w:rFonts w:ascii="Times New Roman" w:eastAsiaTheme="minorHAnsi" w:hAnsi="Times New Roman" w:cs="Times New Roman"/>
          <w:bCs w:val="0"/>
          <w:i/>
          <w:sz w:val="24"/>
          <w:szCs w:val="24"/>
        </w:rPr>
        <w:t>mpairment</w:t>
      </w:r>
    </w:p>
    <w:p w14:paraId="02614C3A" w14:textId="5349F0D1" w:rsidR="00234FC1" w:rsidRPr="00456927" w:rsidRDefault="00234FC1" w:rsidP="009B511B">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No dedicated </w:t>
      </w:r>
      <w:r w:rsidR="00EC09D4">
        <w:rPr>
          <w:rFonts w:ascii="Times New Roman" w:eastAsia="Times New Roman" w:hAnsi="Times New Roman" w:cs="Times New Roman"/>
          <w:kern w:val="24"/>
          <w:sz w:val="24"/>
          <w:szCs w:val="24"/>
          <w:lang w:val="en-US"/>
        </w:rPr>
        <w:t xml:space="preserve">hepatic impairment </w:t>
      </w:r>
      <w:r w:rsidRPr="00456927">
        <w:rPr>
          <w:rFonts w:ascii="Times New Roman" w:eastAsia="Times New Roman" w:hAnsi="Times New Roman" w:cs="Times New Roman"/>
          <w:kern w:val="24"/>
          <w:sz w:val="24"/>
          <w:szCs w:val="24"/>
          <w:lang w:val="en-US"/>
        </w:rPr>
        <w:t xml:space="preserve">studies have been conducted </w:t>
      </w:r>
      <w:r w:rsidR="00EC09D4">
        <w:rPr>
          <w:rFonts w:ascii="Times New Roman" w:eastAsia="Times New Roman" w:hAnsi="Times New Roman" w:cs="Times New Roman"/>
          <w:kern w:val="24"/>
          <w:sz w:val="24"/>
          <w:szCs w:val="24"/>
          <w:lang w:val="en-US"/>
        </w:rPr>
        <w:t>with</w:t>
      </w:r>
      <w:r w:rsidRPr="00456927">
        <w:rPr>
          <w:rFonts w:ascii="Times New Roman" w:eastAsia="Times New Roman" w:hAnsi="Times New Roman" w:cs="Times New Roman"/>
          <w:kern w:val="24"/>
          <w:sz w:val="24"/>
          <w:szCs w:val="24"/>
          <w:lang w:val="en-US"/>
        </w:rPr>
        <w:t xml:space="preserve"> garadacimab </w:t>
      </w:r>
      <w:r w:rsidR="00EC09D4">
        <w:rPr>
          <w:rFonts w:ascii="Times New Roman" w:eastAsia="Times New Roman" w:hAnsi="Times New Roman" w:cs="Times New Roman"/>
          <w:kern w:val="24"/>
          <w:sz w:val="24"/>
          <w:szCs w:val="24"/>
          <w:lang w:val="en-US"/>
        </w:rPr>
        <w:t xml:space="preserve">and there are no data </w:t>
      </w:r>
      <w:r w:rsidRPr="00456927">
        <w:rPr>
          <w:rFonts w:ascii="Times New Roman" w:eastAsia="Times New Roman" w:hAnsi="Times New Roman" w:cs="Times New Roman"/>
          <w:kern w:val="24"/>
          <w:sz w:val="24"/>
          <w:szCs w:val="24"/>
          <w:lang w:val="en-US"/>
        </w:rPr>
        <w:t>in</w:t>
      </w:r>
      <w:r w:rsidR="00037333" w:rsidRPr="00456927">
        <w:rPr>
          <w:rFonts w:ascii="Times New Roman" w:eastAsia="Times New Roman" w:hAnsi="Times New Roman" w:cs="Times New Roman"/>
          <w:kern w:val="24"/>
          <w:sz w:val="24"/>
          <w:szCs w:val="24"/>
          <w:lang w:val="en-US"/>
        </w:rPr>
        <w:t xml:space="preserve"> patients with</w:t>
      </w:r>
      <w:r w:rsidRPr="00456927">
        <w:rPr>
          <w:rFonts w:ascii="Times New Roman" w:eastAsia="Times New Roman" w:hAnsi="Times New Roman" w:cs="Times New Roman"/>
          <w:kern w:val="24"/>
          <w:sz w:val="24"/>
          <w:szCs w:val="24"/>
          <w:lang w:val="en-US"/>
        </w:rPr>
        <w:t xml:space="preserve"> hepatic impairment</w:t>
      </w:r>
      <w:r w:rsidR="00EC09D4">
        <w:rPr>
          <w:rFonts w:ascii="Times New Roman" w:eastAsia="Times New Roman" w:hAnsi="Times New Roman" w:cs="Times New Roman"/>
          <w:kern w:val="24"/>
          <w:sz w:val="24"/>
          <w:szCs w:val="24"/>
          <w:lang w:val="en-US"/>
        </w:rPr>
        <w:t xml:space="preserve"> from clinical studies</w:t>
      </w:r>
      <w:r w:rsidRPr="00456927">
        <w:rPr>
          <w:rFonts w:ascii="Times New Roman" w:eastAsia="Times New Roman" w:hAnsi="Times New Roman" w:cs="Times New Roman"/>
          <w:kern w:val="24"/>
          <w:sz w:val="24"/>
          <w:szCs w:val="24"/>
          <w:lang w:val="en-US"/>
        </w:rPr>
        <w:t>.</w:t>
      </w:r>
      <w:r w:rsidR="00473A8C">
        <w:rPr>
          <w:rFonts w:ascii="Times New Roman" w:eastAsia="Times New Roman" w:hAnsi="Times New Roman" w:cs="Times New Roman"/>
          <w:kern w:val="24"/>
          <w:sz w:val="24"/>
          <w:szCs w:val="24"/>
          <w:lang w:val="en-US"/>
        </w:rPr>
        <w:t xml:space="preserve"> </w:t>
      </w:r>
      <w:r w:rsidR="00EC09D4" w:rsidRPr="00EC09D4">
        <w:rPr>
          <w:rFonts w:ascii="Times New Roman" w:eastAsia="Times New Roman" w:hAnsi="Times New Roman" w:cs="Times New Roman"/>
          <w:kern w:val="24"/>
          <w:sz w:val="24"/>
          <w:szCs w:val="24"/>
        </w:rPr>
        <w:t>Clinically relevant differences in PK of garadacimab are not expected in patients with hepatic impairment</w:t>
      </w:r>
      <w:r w:rsidRPr="00456927">
        <w:rPr>
          <w:rFonts w:ascii="Times New Roman" w:eastAsia="Times New Roman" w:hAnsi="Times New Roman" w:cs="Times New Roman"/>
          <w:kern w:val="24"/>
          <w:sz w:val="24"/>
          <w:szCs w:val="24"/>
          <w:lang w:val="en-US"/>
        </w:rPr>
        <w:t>.</w:t>
      </w:r>
    </w:p>
    <w:p w14:paraId="69B5FB60" w14:textId="77777777" w:rsidR="00234FC1" w:rsidRPr="00456927" w:rsidRDefault="00234FC1" w:rsidP="009B511B">
      <w:pPr>
        <w:pStyle w:val="Heading3"/>
        <w:spacing w:before="0" w:after="120"/>
        <w:rPr>
          <w:rFonts w:ascii="Times New Roman" w:eastAsiaTheme="minorHAnsi" w:hAnsi="Times New Roman" w:cs="Times New Roman"/>
          <w:bCs w:val="0"/>
          <w:i/>
          <w:sz w:val="24"/>
          <w:szCs w:val="24"/>
        </w:rPr>
      </w:pPr>
      <w:r w:rsidRPr="00456927">
        <w:rPr>
          <w:rFonts w:ascii="Times New Roman" w:eastAsiaTheme="minorHAnsi" w:hAnsi="Times New Roman" w:cs="Times New Roman"/>
          <w:bCs w:val="0"/>
          <w:i/>
          <w:sz w:val="24"/>
          <w:szCs w:val="24"/>
        </w:rPr>
        <w:t>Concomitant medications</w:t>
      </w:r>
    </w:p>
    <w:p w14:paraId="05797576" w14:textId="21AA3FF2" w:rsidR="00234FC1" w:rsidRPr="00456927" w:rsidRDefault="008B644A" w:rsidP="009B511B">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Based on population PK analyses, t</w:t>
      </w:r>
      <w:r w:rsidR="00234FC1" w:rsidRPr="00456927">
        <w:rPr>
          <w:rFonts w:ascii="Times New Roman" w:eastAsia="Times New Roman" w:hAnsi="Times New Roman" w:cs="Times New Roman"/>
          <w:kern w:val="24"/>
          <w:sz w:val="24"/>
          <w:szCs w:val="24"/>
          <w:lang w:val="en-US"/>
        </w:rPr>
        <w:t>he use of analgesic, antibacterial, antihistamine, anti-inflammatory and anti-rheumatic medications had no effect on the PK of garadacimab.</w:t>
      </w:r>
    </w:p>
    <w:p w14:paraId="77EBB493" w14:textId="1B63F73D" w:rsidR="00234FC1" w:rsidRPr="00456927" w:rsidRDefault="008B644A" w:rsidP="009B511B">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Based on population PK analyses, f</w:t>
      </w:r>
      <w:r w:rsidR="00234FC1" w:rsidRPr="00456927">
        <w:rPr>
          <w:rFonts w:ascii="Times New Roman" w:eastAsia="Times New Roman" w:hAnsi="Times New Roman" w:cs="Times New Roman"/>
          <w:kern w:val="24"/>
          <w:sz w:val="24"/>
          <w:szCs w:val="24"/>
          <w:lang w:val="en-US"/>
        </w:rPr>
        <w:t xml:space="preserve">or breakthrough HAE attacks, use of rescue medications such as plasma-derived </w:t>
      </w:r>
      <w:r w:rsidR="005D6BF1" w:rsidRPr="00456927">
        <w:rPr>
          <w:rFonts w:ascii="Times New Roman" w:eastAsia="Times New Roman" w:hAnsi="Times New Roman" w:cs="Times New Roman"/>
          <w:kern w:val="24"/>
          <w:sz w:val="24"/>
          <w:szCs w:val="24"/>
          <w:lang w:val="en-US"/>
        </w:rPr>
        <w:t>or</w:t>
      </w:r>
      <w:r w:rsidR="00234FC1" w:rsidRPr="00456927">
        <w:rPr>
          <w:rFonts w:ascii="Times New Roman" w:eastAsia="Times New Roman" w:hAnsi="Times New Roman" w:cs="Times New Roman"/>
          <w:kern w:val="24"/>
          <w:sz w:val="24"/>
          <w:szCs w:val="24"/>
          <w:lang w:val="en-US"/>
        </w:rPr>
        <w:t xml:space="preserve"> recombinant C1-INH</w:t>
      </w:r>
      <w:r w:rsidR="005D6BF1" w:rsidRPr="00456927">
        <w:rPr>
          <w:rFonts w:ascii="Times New Roman" w:eastAsia="Times New Roman" w:hAnsi="Times New Roman" w:cs="Times New Roman"/>
          <w:kern w:val="24"/>
          <w:sz w:val="24"/>
          <w:szCs w:val="24"/>
          <w:lang w:val="en-US"/>
        </w:rPr>
        <w:t>, and</w:t>
      </w:r>
      <w:r w:rsidR="00234FC1" w:rsidRPr="00456927">
        <w:rPr>
          <w:rFonts w:ascii="Times New Roman" w:eastAsia="Times New Roman" w:hAnsi="Times New Roman" w:cs="Times New Roman"/>
          <w:kern w:val="24"/>
          <w:sz w:val="24"/>
          <w:szCs w:val="24"/>
          <w:lang w:val="en-US"/>
        </w:rPr>
        <w:t xml:space="preserve"> icatibant had no effect on the PK of garadacimab.</w:t>
      </w:r>
    </w:p>
    <w:p w14:paraId="1E0040E3" w14:textId="77777777" w:rsidR="001A3992" w:rsidRPr="00456927" w:rsidRDefault="001A3992" w:rsidP="006F61D4">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Preclinical safety data</w:t>
      </w:r>
    </w:p>
    <w:p w14:paraId="0AC61923" w14:textId="77C034FA" w:rsidR="001A3992" w:rsidRPr="00456927" w:rsidRDefault="001A3992" w:rsidP="001A3992">
      <w:pPr>
        <w:pStyle w:val="Heading3"/>
        <w:spacing w:before="0" w:after="120"/>
        <w:rPr>
          <w:rFonts w:ascii="Times New Roman" w:hAnsi="Times New Roman" w:cs="Times New Roman"/>
          <w:sz w:val="28"/>
          <w:szCs w:val="28"/>
        </w:rPr>
      </w:pPr>
      <w:r w:rsidRPr="00456927">
        <w:rPr>
          <w:rFonts w:ascii="Times New Roman" w:hAnsi="Times New Roman" w:cs="Times New Roman"/>
          <w:sz w:val="28"/>
          <w:szCs w:val="28"/>
        </w:rPr>
        <w:t>Genotoxicity</w:t>
      </w:r>
    </w:p>
    <w:p w14:paraId="6CBF10EE" w14:textId="0983C16D" w:rsidR="00470A26" w:rsidRPr="00456927" w:rsidRDefault="009B511B" w:rsidP="00470A26">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Animal studies have not been conducted to evaluate the genotoxic potential of garadacimab. Garadacimab is not expected to interact directly with DNA or other chromosomal material</w:t>
      </w:r>
      <w:r w:rsidR="007A52DC" w:rsidRPr="00456927">
        <w:rPr>
          <w:rFonts w:ascii="Times New Roman" w:eastAsia="Times New Roman" w:hAnsi="Times New Roman" w:cs="Times New Roman"/>
          <w:kern w:val="24"/>
          <w:sz w:val="24"/>
          <w:szCs w:val="24"/>
          <w:lang w:val="en-US"/>
        </w:rPr>
        <w:t xml:space="preserve"> due to its biological origin. As such, garadacimab has low potential for genotoxicity</w:t>
      </w:r>
      <w:r w:rsidRPr="00456927">
        <w:rPr>
          <w:rFonts w:ascii="Times New Roman" w:eastAsia="Times New Roman" w:hAnsi="Times New Roman" w:cs="Times New Roman"/>
          <w:kern w:val="24"/>
          <w:sz w:val="24"/>
          <w:szCs w:val="24"/>
          <w:lang w:val="en-US"/>
        </w:rPr>
        <w:t>.</w:t>
      </w:r>
    </w:p>
    <w:p w14:paraId="78F963A8" w14:textId="77777777" w:rsidR="001A3992" w:rsidRPr="00456927" w:rsidRDefault="001A3992" w:rsidP="001A3992">
      <w:pPr>
        <w:pStyle w:val="Heading3"/>
        <w:spacing w:before="0" w:after="120"/>
        <w:rPr>
          <w:rFonts w:ascii="Times New Roman" w:hAnsi="Times New Roman" w:cs="Times New Roman"/>
          <w:sz w:val="28"/>
          <w:szCs w:val="28"/>
          <w:lang w:val="en-US"/>
        </w:rPr>
      </w:pPr>
      <w:r w:rsidRPr="00456927">
        <w:rPr>
          <w:rFonts w:ascii="Times New Roman" w:hAnsi="Times New Roman" w:cs="Times New Roman"/>
          <w:sz w:val="28"/>
          <w:szCs w:val="28"/>
        </w:rPr>
        <w:t>Carcin</w:t>
      </w:r>
      <w:r w:rsidRPr="00456927">
        <w:rPr>
          <w:rFonts w:ascii="Times New Roman" w:hAnsi="Times New Roman" w:cs="Times New Roman"/>
          <w:sz w:val="28"/>
          <w:szCs w:val="28"/>
          <w:lang w:val="en-US"/>
        </w:rPr>
        <w:t>ogenicity</w:t>
      </w:r>
    </w:p>
    <w:p w14:paraId="12712523" w14:textId="1EA0307E" w:rsidR="00470A26" w:rsidRPr="00456927" w:rsidRDefault="009B511B" w:rsidP="009B511B">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Animal studies have not been conducted to evaluate the carcinogenic potential of garadacimab. A carcinogenicity risk assessment based on the weight of evidence approach </w:t>
      </w:r>
      <w:r w:rsidR="007A52DC" w:rsidRPr="00456927">
        <w:rPr>
          <w:rFonts w:ascii="Times New Roman" w:eastAsia="Times New Roman" w:hAnsi="Times New Roman" w:cs="Times New Roman"/>
          <w:kern w:val="24"/>
          <w:sz w:val="24"/>
          <w:szCs w:val="24"/>
          <w:lang w:val="en-US"/>
        </w:rPr>
        <w:t>suggests</w:t>
      </w:r>
      <w:r w:rsidRPr="00456927">
        <w:rPr>
          <w:rFonts w:ascii="Times New Roman" w:eastAsia="Times New Roman" w:hAnsi="Times New Roman" w:cs="Times New Roman"/>
          <w:kern w:val="24"/>
          <w:sz w:val="24"/>
          <w:szCs w:val="24"/>
          <w:lang w:val="en-US"/>
        </w:rPr>
        <w:t xml:space="preserve"> a low risk for carcinogenicity.</w:t>
      </w:r>
    </w:p>
    <w:p w14:paraId="19AA61FF" w14:textId="77777777" w:rsidR="001A3992" w:rsidRPr="00456927" w:rsidRDefault="001A3992" w:rsidP="003C3A7B">
      <w:pPr>
        <w:pStyle w:val="Heading1"/>
        <w:spacing w:before="0" w:after="120"/>
        <w:rPr>
          <w:rFonts w:ascii="Times New Roman" w:hAnsi="Times New Roman" w:cs="Times New Roman"/>
          <w:lang w:val="en-US"/>
        </w:rPr>
      </w:pPr>
      <w:r w:rsidRPr="00456927">
        <w:rPr>
          <w:rFonts w:ascii="Times New Roman" w:hAnsi="Times New Roman" w:cs="Times New Roman"/>
          <w:lang w:val="en-US"/>
        </w:rPr>
        <w:t>Pharmaceutical particulars</w:t>
      </w:r>
    </w:p>
    <w:p w14:paraId="387E228B" w14:textId="77777777" w:rsidR="001A3992" w:rsidRPr="00456927" w:rsidRDefault="001A3992" w:rsidP="003C3A7B">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List of excipients</w:t>
      </w:r>
    </w:p>
    <w:p w14:paraId="5072DB97" w14:textId="77777777" w:rsidR="004541E7" w:rsidRPr="00456927" w:rsidRDefault="004541E7" w:rsidP="00675B61">
      <w:pPr>
        <w:pStyle w:val="DocumentText"/>
        <w:keepNext/>
        <w:spacing w:after="0"/>
      </w:pPr>
      <w:r w:rsidRPr="00456927">
        <w:t>Histidine</w:t>
      </w:r>
    </w:p>
    <w:p w14:paraId="3D7DDFDC" w14:textId="77777777" w:rsidR="004541E7" w:rsidRPr="00456927" w:rsidRDefault="004541E7" w:rsidP="00675B61">
      <w:pPr>
        <w:pStyle w:val="DocumentText"/>
        <w:keepNext/>
        <w:spacing w:after="0"/>
      </w:pPr>
      <w:r w:rsidRPr="00456927">
        <w:t>Arginine hydrochloride</w:t>
      </w:r>
    </w:p>
    <w:p w14:paraId="37757FF8" w14:textId="77777777" w:rsidR="004541E7" w:rsidRPr="00456927" w:rsidRDefault="004541E7" w:rsidP="00675B61">
      <w:pPr>
        <w:pStyle w:val="DocumentText"/>
        <w:keepNext/>
        <w:spacing w:after="0"/>
      </w:pPr>
      <w:r w:rsidRPr="00456927">
        <w:t>Proline</w:t>
      </w:r>
    </w:p>
    <w:p w14:paraId="47783267" w14:textId="77777777" w:rsidR="004541E7" w:rsidRPr="00456927" w:rsidRDefault="004541E7" w:rsidP="00675B61">
      <w:pPr>
        <w:pStyle w:val="DocumentText"/>
        <w:keepNext/>
        <w:spacing w:after="0"/>
      </w:pPr>
      <w:r w:rsidRPr="00456927">
        <w:t>Polysorbate 80</w:t>
      </w:r>
    </w:p>
    <w:p w14:paraId="59FFFD18" w14:textId="05D7B1F5" w:rsidR="00470A26" w:rsidRPr="00456927" w:rsidRDefault="004541E7" w:rsidP="004541E7">
      <w:pPr>
        <w:pStyle w:val="DocumentText"/>
      </w:pPr>
      <w:r w:rsidRPr="00456927">
        <w:t>Water for injections.</w:t>
      </w:r>
    </w:p>
    <w:p w14:paraId="4C9D7050" w14:textId="77777777" w:rsidR="001A3992" w:rsidRPr="00456927" w:rsidRDefault="001A3992" w:rsidP="001A3992">
      <w:pPr>
        <w:pStyle w:val="Heading2"/>
        <w:keepNext/>
        <w:keepLines/>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Incompatibilities</w:t>
      </w:r>
    </w:p>
    <w:p w14:paraId="4EEA8ACC" w14:textId="4F56974F" w:rsidR="0096043F" w:rsidRPr="00456927" w:rsidRDefault="009B511B" w:rsidP="0096043F">
      <w:pPr>
        <w:pStyle w:val="DocumentText"/>
      </w:pPr>
      <w:r w:rsidRPr="00456927">
        <w:t>Not applicable.</w:t>
      </w:r>
    </w:p>
    <w:p w14:paraId="16DB96DE" w14:textId="77777777" w:rsidR="001A3992" w:rsidRPr="00456927" w:rsidRDefault="001A3992" w:rsidP="00F0483E">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lastRenderedPageBreak/>
        <w:t>Shelf life</w:t>
      </w:r>
    </w:p>
    <w:p w14:paraId="01378590" w14:textId="67776FDD" w:rsidR="009564DF" w:rsidRPr="00456927" w:rsidRDefault="009564DF" w:rsidP="007C3326">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 xml:space="preserve">In Australia, information on the shelf life can be found on the public summary of the </w:t>
      </w:r>
      <w:r w:rsidR="009272CC" w:rsidRPr="00456927">
        <w:rPr>
          <w:rFonts w:ascii="Times New Roman" w:eastAsia="Times New Roman" w:hAnsi="Times New Roman" w:cs="Times New Roman"/>
          <w:kern w:val="24"/>
          <w:sz w:val="24"/>
          <w:szCs w:val="24"/>
          <w:lang w:val="en-US"/>
        </w:rPr>
        <w:t>Australian Register of Therapeutic Goods (</w:t>
      </w:r>
      <w:r w:rsidRPr="00456927">
        <w:rPr>
          <w:rFonts w:ascii="Times New Roman" w:eastAsia="Times New Roman" w:hAnsi="Times New Roman" w:cs="Times New Roman"/>
          <w:kern w:val="24"/>
          <w:sz w:val="24"/>
          <w:szCs w:val="24"/>
          <w:lang w:val="en-US"/>
        </w:rPr>
        <w:t>ARTG</w:t>
      </w:r>
      <w:r w:rsidR="009272CC" w:rsidRPr="00456927">
        <w:rPr>
          <w:rFonts w:ascii="Times New Roman" w:eastAsia="Times New Roman" w:hAnsi="Times New Roman" w:cs="Times New Roman"/>
          <w:kern w:val="24"/>
          <w:sz w:val="24"/>
          <w:szCs w:val="24"/>
          <w:lang w:val="en-US"/>
        </w:rPr>
        <w:t>)</w:t>
      </w:r>
      <w:r w:rsidRPr="00456927">
        <w:rPr>
          <w:rFonts w:ascii="Times New Roman" w:eastAsia="Times New Roman" w:hAnsi="Times New Roman" w:cs="Times New Roman"/>
          <w:kern w:val="24"/>
          <w:sz w:val="24"/>
          <w:szCs w:val="24"/>
          <w:lang w:val="en-US"/>
        </w:rPr>
        <w:t>. The expiry date can be found on the packaging.</w:t>
      </w:r>
    </w:p>
    <w:p w14:paraId="3B1F217A" w14:textId="77777777" w:rsidR="001A3992" w:rsidRPr="00456927" w:rsidRDefault="001A3992" w:rsidP="001A3992">
      <w:pPr>
        <w:pStyle w:val="Heading2"/>
        <w:keepNext/>
        <w:keepLines/>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Special precautions for storage</w:t>
      </w:r>
    </w:p>
    <w:p w14:paraId="680E59E9" w14:textId="6DD6D1DB" w:rsidR="009B511B" w:rsidRPr="00456927" w:rsidRDefault="009B511B" w:rsidP="00B7614C">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Store in a refrigerator (2</w:t>
      </w:r>
      <w:r w:rsidR="00FE38EC" w:rsidRPr="00456927">
        <w:rPr>
          <w:rFonts w:ascii="Times New Roman" w:eastAsia="Times New Roman" w:hAnsi="Times New Roman" w:cs="Times New Roman"/>
          <w:kern w:val="24"/>
          <w:sz w:val="24"/>
          <w:szCs w:val="24"/>
          <w:lang w:val="en-US"/>
        </w:rPr>
        <w:t>°</w:t>
      </w:r>
      <w:r w:rsidRPr="00456927">
        <w:rPr>
          <w:rFonts w:ascii="Times New Roman" w:eastAsia="Times New Roman" w:hAnsi="Times New Roman" w:cs="Times New Roman"/>
          <w:kern w:val="24"/>
          <w:sz w:val="24"/>
          <w:szCs w:val="24"/>
          <w:lang w:val="en-US"/>
        </w:rPr>
        <w:t>C to 8</w:t>
      </w:r>
      <w:r w:rsidR="00FE38EC" w:rsidRPr="00456927">
        <w:rPr>
          <w:rFonts w:ascii="Times New Roman" w:eastAsia="Times New Roman" w:hAnsi="Times New Roman" w:cs="Times New Roman"/>
          <w:kern w:val="24"/>
          <w:sz w:val="24"/>
          <w:szCs w:val="24"/>
          <w:lang w:val="en-US"/>
        </w:rPr>
        <w:t>°</w:t>
      </w:r>
      <w:r w:rsidRPr="00456927">
        <w:rPr>
          <w:rFonts w:ascii="Times New Roman" w:eastAsia="Times New Roman" w:hAnsi="Times New Roman" w:cs="Times New Roman"/>
          <w:kern w:val="24"/>
          <w:sz w:val="24"/>
          <w:szCs w:val="24"/>
          <w:lang w:val="en-US"/>
        </w:rPr>
        <w:t>C).</w:t>
      </w:r>
    </w:p>
    <w:p w14:paraId="099C1F1B" w14:textId="77777777" w:rsidR="009B511B" w:rsidRPr="00456927" w:rsidRDefault="009B511B" w:rsidP="00B7614C">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Do not freeze.</w:t>
      </w:r>
    </w:p>
    <w:p w14:paraId="45621205" w14:textId="7A49D300" w:rsidR="009B511B" w:rsidRPr="00456927" w:rsidRDefault="009B511B" w:rsidP="00B7614C">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Keep the solution (</w:t>
      </w:r>
      <w:r w:rsidR="005967A0" w:rsidRPr="00456927">
        <w:rPr>
          <w:rFonts w:ascii="Times New Roman" w:eastAsia="Times New Roman" w:hAnsi="Times New Roman" w:cs="Times New Roman"/>
          <w:kern w:val="24"/>
          <w:sz w:val="24"/>
          <w:szCs w:val="24"/>
          <w:lang w:val="en-US"/>
        </w:rPr>
        <w:t>pre-filled pen</w:t>
      </w:r>
      <w:r w:rsidR="00675B61" w:rsidRPr="00456927">
        <w:rPr>
          <w:rFonts w:ascii="Times New Roman" w:eastAsia="Times New Roman" w:hAnsi="Times New Roman" w:cs="Times New Roman"/>
          <w:kern w:val="24"/>
          <w:sz w:val="24"/>
          <w:szCs w:val="24"/>
          <w:lang w:val="en-US"/>
        </w:rPr>
        <w:t xml:space="preserve"> or </w:t>
      </w:r>
      <w:r w:rsidRPr="00456927">
        <w:rPr>
          <w:rFonts w:ascii="Times New Roman" w:eastAsia="Times New Roman" w:hAnsi="Times New Roman" w:cs="Times New Roman"/>
          <w:kern w:val="24"/>
          <w:sz w:val="24"/>
          <w:szCs w:val="24"/>
          <w:lang w:val="en-US"/>
        </w:rPr>
        <w:t>pre</w:t>
      </w:r>
      <w:r w:rsidR="006F61D4" w:rsidRPr="00456927">
        <w:rPr>
          <w:rFonts w:ascii="Times New Roman" w:eastAsia="Times New Roman" w:hAnsi="Times New Roman" w:cs="Times New Roman"/>
          <w:kern w:val="24"/>
          <w:sz w:val="24"/>
          <w:szCs w:val="24"/>
          <w:lang w:val="en-US"/>
        </w:rPr>
        <w:t>-</w:t>
      </w:r>
      <w:r w:rsidRPr="00456927">
        <w:rPr>
          <w:rFonts w:ascii="Times New Roman" w:eastAsia="Times New Roman" w:hAnsi="Times New Roman" w:cs="Times New Roman"/>
          <w:kern w:val="24"/>
          <w:sz w:val="24"/>
          <w:szCs w:val="24"/>
          <w:lang w:val="en-US"/>
        </w:rPr>
        <w:t>filled syringe with needle safety device) in the outer carton in order to protect from light.</w:t>
      </w:r>
    </w:p>
    <w:p w14:paraId="5E5A2108" w14:textId="0271069A" w:rsidR="009B511B" w:rsidRPr="00456927" w:rsidRDefault="009B511B" w:rsidP="00B7614C">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The solution (</w:t>
      </w:r>
      <w:r w:rsidR="005967A0" w:rsidRPr="00456927">
        <w:rPr>
          <w:rFonts w:ascii="Times New Roman" w:eastAsia="Times New Roman" w:hAnsi="Times New Roman" w:cs="Times New Roman"/>
          <w:kern w:val="24"/>
          <w:sz w:val="24"/>
          <w:szCs w:val="24"/>
          <w:lang w:val="en-US"/>
        </w:rPr>
        <w:t>pre-filled pen</w:t>
      </w:r>
      <w:r w:rsidR="00675B61" w:rsidRPr="00456927">
        <w:rPr>
          <w:rFonts w:ascii="Times New Roman" w:eastAsia="Times New Roman" w:hAnsi="Times New Roman" w:cs="Times New Roman"/>
          <w:kern w:val="24"/>
          <w:sz w:val="24"/>
          <w:szCs w:val="24"/>
          <w:lang w:val="en-US"/>
        </w:rPr>
        <w:t xml:space="preserve"> or pre-filled syringe with needle safety device</w:t>
      </w:r>
      <w:r w:rsidRPr="00456927">
        <w:rPr>
          <w:rFonts w:ascii="Times New Roman" w:eastAsia="Times New Roman" w:hAnsi="Times New Roman" w:cs="Times New Roman"/>
          <w:kern w:val="24"/>
          <w:sz w:val="24"/>
          <w:szCs w:val="24"/>
          <w:lang w:val="en-US"/>
        </w:rPr>
        <w:t xml:space="preserve">) may be stored at room temperature up to 25°C for up to 2 months, but not beyond the expiry date. Do not return </w:t>
      </w:r>
      <w:r w:rsidR="00553863" w:rsidRPr="00456927">
        <w:rPr>
          <w:rFonts w:ascii="Times New Roman" w:eastAsia="Times New Roman" w:hAnsi="Times New Roman" w:cs="Times New Roman"/>
          <w:kern w:val="24"/>
          <w:sz w:val="24"/>
          <w:szCs w:val="24"/>
          <w:lang w:val="en-US"/>
        </w:rPr>
        <w:t>ANDEMBRY</w:t>
      </w:r>
      <w:r w:rsidR="009272CC"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lang w:val="en-US"/>
        </w:rPr>
        <w:t xml:space="preserve"> to refrigerated storage after storage at room temperature up to 25°C.</w:t>
      </w:r>
    </w:p>
    <w:p w14:paraId="4C92F0A1" w14:textId="77777777" w:rsidR="001A3992" w:rsidRPr="00456927" w:rsidRDefault="001A3992" w:rsidP="001A5B3C">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Nature and contents of container</w:t>
      </w:r>
    </w:p>
    <w:p w14:paraId="124B7278" w14:textId="4516F798" w:rsidR="00675B61" w:rsidRPr="00456927" w:rsidRDefault="00553863" w:rsidP="00675B61">
      <w:pPr>
        <w:keepNext/>
        <w:spacing w:after="120" w:line="240" w:lineRule="auto"/>
        <w:rPr>
          <w:rFonts w:ascii="Times New Roman" w:hAnsi="Times New Roman" w:cs="Times New Roman"/>
          <w:sz w:val="24"/>
          <w:szCs w:val="24"/>
          <w:u w:val="single"/>
        </w:rPr>
      </w:pPr>
      <w:r w:rsidRPr="00456927">
        <w:rPr>
          <w:rFonts w:ascii="Times New Roman" w:eastAsia="Times New Roman" w:hAnsi="Times New Roman" w:cs="Times New Roman"/>
          <w:kern w:val="24"/>
          <w:sz w:val="24"/>
          <w:szCs w:val="24"/>
          <w:u w:val="single"/>
          <w:lang w:val="en-US"/>
        </w:rPr>
        <w:t>ANDEMBRY</w:t>
      </w:r>
      <w:r w:rsidR="00675B61" w:rsidRPr="00456927">
        <w:rPr>
          <w:rFonts w:ascii="Times New Roman" w:eastAsia="Times New Roman" w:hAnsi="Times New Roman" w:cs="Times New Roman"/>
          <w:kern w:val="24"/>
          <w:sz w:val="24"/>
          <w:szCs w:val="24"/>
          <w:u w:val="single"/>
          <w:vertAlign w:val="superscript"/>
          <w:lang w:val="en-US"/>
        </w:rPr>
        <w:t>®</w:t>
      </w:r>
      <w:r w:rsidR="00675B61" w:rsidRPr="00456927">
        <w:rPr>
          <w:rFonts w:ascii="Times New Roman" w:hAnsi="Times New Roman" w:cs="Times New Roman"/>
          <w:sz w:val="24"/>
          <w:szCs w:val="24"/>
          <w:u w:val="single"/>
        </w:rPr>
        <w:t xml:space="preserve"> 200 mg solution for injection in </w:t>
      </w:r>
      <w:r w:rsidR="005967A0" w:rsidRPr="00456927">
        <w:rPr>
          <w:rFonts w:ascii="Times New Roman" w:hAnsi="Times New Roman" w:cs="Times New Roman"/>
          <w:sz w:val="24"/>
          <w:szCs w:val="24"/>
          <w:u w:val="single"/>
        </w:rPr>
        <w:t>pre-filled pen</w:t>
      </w:r>
    </w:p>
    <w:p w14:paraId="70734C85" w14:textId="1D255E29" w:rsidR="00675B61" w:rsidRPr="00456927" w:rsidRDefault="00675B61" w:rsidP="00675B61">
      <w:pPr>
        <w:spacing w:after="240" w:line="300" w:lineRule="auto"/>
        <w:rPr>
          <w:rFonts w:ascii="Times New Roman" w:hAnsi="Times New Roman" w:cs="Times New Roman"/>
          <w:sz w:val="24"/>
          <w:szCs w:val="24"/>
          <w:u w:val="single"/>
        </w:rPr>
      </w:pPr>
      <w:r w:rsidRPr="00456927">
        <w:rPr>
          <w:rFonts w:ascii="Times New Roman" w:hAnsi="Times New Roman" w:cs="Times New Roman"/>
          <w:sz w:val="24"/>
          <w:szCs w:val="24"/>
        </w:rPr>
        <w:t xml:space="preserve">1.2 mL of solution in a pre-filled glass syringe (type I glass) with a bromobutyl stopper, 27G x 1/2 5B special thin-walled (STW) staked needle. </w:t>
      </w:r>
      <w:r w:rsidR="00F06DF8" w:rsidRPr="00456927">
        <w:rPr>
          <w:rFonts w:ascii="Times New Roman" w:hAnsi="Times New Roman" w:cs="Times New Roman"/>
          <w:sz w:val="24"/>
          <w:szCs w:val="24"/>
        </w:rPr>
        <w:t>The</w:t>
      </w:r>
      <w:r w:rsidRPr="00456927">
        <w:rPr>
          <w:rFonts w:ascii="Times New Roman" w:hAnsi="Times New Roman" w:cs="Times New Roman"/>
          <w:sz w:val="24"/>
          <w:szCs w:val="24"/>
        </w:rPr>
        <w:t xml:space="preserve"> pre-filled syringe is assembled with a</w:t>
      </w:r>
      <w:r w:rsidR="005967A0" w:rsidRPr="00456927">
        <w:rPr>
          <w:rFonts w:ascii="Times New Roman" w:hAnsi="Times New Roman" w:cs="Times New Roman"/>
          <w:sz w:val="24"/>
          <w:szCs w:val="24"/>
        </w:rPr>
        <w:t xml:space="preserve"> pen</w:t>
      </w:r>
      <w:r w:rsidRPr="00456927">
        <w:rPr>
          <w:rFonts w:ascii="Times New Roman" w:hAnsi="Times New Roman" w:cs="Times New Roman"/>
          <w:sz w:val="24"/>
          <w:szCs w:val="24"/>
        </w:rPr>
        <w:t xml:space="preserve">. </w:t>
      </w:r>
      <w:r w:rsidR="00553863" w:rsidRPr="00456927">
        <w:rPr>
          <w:rFonts w:ascii="Times New Roman" w:eastAsia="Times New Roman" w:hAnsi="Times New Roman" w:cs="Times New Roman"/>
          <w:kern w:val="24"/>
          <w:sz w:val="24"/>
          <w:szCs w:val="24"/>
          <w:lang w:val="en-US"/>
        </w:rPr>
        <w:t>ANDEMBRY</w:t>
      </w:r>
      <w:r w:rsidRPr="00456927">
        <w:rPr>
          <w:rFonts w:ascii="Times New Roman" w:eastAsia="Times New Roman" w:hAnsi="Times New Roman" w:cs="Times New Roman"/>
          <w:kern w:val="24"/>
          <w:sz w:val="24"/>
          <w:szCs w:val="24"/>
          <w:vertAlign w:val="superscript"/>
          <w:lang w:val="en-US"/>
        </w:rPr>
        <w:t>®</w:t>
      </w:r>
      <w:r w:rsidRPr="00456927">
        <w:rPr>
          <w:rFonts w:ascii="Times New Roman" w:hAnsi="Times New Roman" w:cs="Times New Roman"/>
          <w:sz w:val="24"/>
          <w:szCs w:val="24"/>
        </w:rPr>
        <w:t xml:space="preserve"> is available as unit packs containing 1 </w:t>
      </w:r>
      <w:r w:rsidR="005967A0" w:rsidRPr="00456927">
        <w:rPr>
          <w:rFonts w:ascii="Times New Roman" w:hAnsi="Times New Roman" w:cs="Times New Roman"/>
          <w:sz w:val="24"/>
          <w:szCs w:val="24"/>
        </w:rPr>
        <w:t>pre-filled pen</w:t>
      </w:r>
      <w:r w:rsidR="00B31568" w:rsidRPr="00456927">
        <w:rPr>
          <w:rFonts w:ascii="Times New Roman" w:hAnsi="Times New Roman" w:cs="Times New Roman"/>
          <w:sz w:val="24"/>
          <w:szCs w:val="24"/>
        </w:rPr>
        <w:t xml:space="preserve"> and </w:t>
      </w:r>
      <w:r w:rsidR="0046672E" w:rsidRPr="00456927">
        <w:rPr>
          <w:rFonts w:ascii="Times New Roman" w:hAnsi="Times New Roman" w:cs="Times New Roman"/>
          <w:sz w:val="24"/>
          <w:szCs w:val="24"/>
        </w:rPr>
        <w:t xml:space="preserve">in multipacks containing 3 </w:t>
      </w:r>
      <w:r w:rsidR="005967A0" w:rsidRPr="00456927">
        <w:rPr>
          <w:rFonts w:ascii="Times New Roman" w:hAnsi="Times New Roman" w:cs="Times New Roman"/>
          <w:sz w:val="24"/>
          <w:szCs w:val="24"/>
        </w:rPr>
        <w:t>pre-filled pens</w:t>
      </w:r>
      <w:r w:rsidRPr="00456927">
        <w:rPr>
          <w:rFonts w:ascii="Times New Roman" w:hAnsi="Times New Roman" w:cs="Times New Roman"/>
          <w:sz w:val="24"/>
          <w:szCs w:val="24"/>
        </w:rPr>
        <w:t>.</w:t>
      </w:r>
    </w:p>
    <w:p w14:paraId="436B4E35" w14:textId="3D9A1081" w:rsidR="009B7A3F" w:rsidRPr="00456927" w:rsidRDefault="00553863" w:rsidP="006507F4">
      <w:pPr>
        <w:spacing w:after="120" w:line="240" w:lineRule="auto"/>
        <w:rPr>
          <w:rFonts w:ascii="Times New Roman" w:hAnsi="Times New Roman" w:cs="Times New Roman"/>
          <w:sz w:val="24"/>
          <w:szCs w:val="24"/>
          <w:u w:val="single"/>
        </w:rPr>
      </w:pPr>
      <w:r w:rsidRPr="00456927">
        <w:rPr>
          <w:rFonts w:ascii="Times New Roman" w:eastAsia="Times New Roman" w:hAnsi="Times New Roman" w:cs="Times New Roman"/>
          <w:kern w:val="24"/>
          <w:sz w:val="24"/>
          <w:szCs w:val="24"/>
          <w:u w:val="single"/>
          <w:lang w:val="en-US"/>
        </w:rPr>
        <w:t>ANDEMBRY</w:t>
      </w:r>
      <w:r w:rsidR="009272CC" w:rsidRPr="00456927">
        <w:rPr>
          <w:rFonts w:ascii="Times New Roman" w:eastAsia="Times New Roman" w:hAnsi="Times New Roman" w:cs="Times New Roman"/>
          <w:kern w:val="24"/>
          <w:sz w:val="24"/>
          <w:szCs w:val="24"/>
          <w:u w:val="single"/>
          <w:vertAlign w:val="superscript"/>
          <w:lang w:val="en-US"/>
        </w:rPr>
        <w:t>®</w:t>
      </w:r>
      <w:r w:rsidR="009B7A3F" w:rsidRPr="00456927">
        <w:rPr>
          <w:rFonts w:ascii="Times New Roman" w:hAnsi="Times New Roman" w:cs="Times New Roman"/>
          <w:sz w:val="24"/>
          <w:szCs w:val="24"/>
          <w:u w:val="single"/>
        </w:rPr>
        <w:t xml:space="preserve"> 200 mg solution for injection in pre</w:t>
      </w:r>
      <w:r w:rsidR="006F61D4" w:rsidRPr="00456927">
        <w:rPr>
          <w:rFonts w:ascii="Times New Roman" w:hAnsi="Times New Roman" w:cs="Times New Roman"/>
          <w:sz w:val="24"/>
          <w:szCs w:val="24"/>
          <w:u w:val="single"/>
        </w:rPr>
        <w:t>-</w:t>
      </w:r>
      <w:r w:rsidR="009B7A3F" w:rsidRPr="00456927">
        <w:rPr>
          <w:rFonts w:ascii="Times New Roman" w:hAnsi="Times New Roman" w:cs="Times New Roman"/>
          <w:sz w:val="24"/>
          <w:szCs w:val="24"/>
          <w:u w:val="single"/>
        </w:rPr>
        <w:t>filled syringe with needle safety device</w:t>
      </w:r>
    </w:p>
    <w:p w14:paraId="620F21F5" w14:textId="5A77F4E3" w:rsidR="009B7A3F" w:rsidRPr="00456927" w:rsidRDefault="009B7A3F" w:rsidP="006507F4">
      <w:pPr>
        <w:spacing w:after="240" w:line="300" w:lineRule="auto"/>
        <w:rPr>
          <w:rFonts w:ascii="Times New Roman" w:hAnsi="Times New Roman" w:cs="Times New Roman"/>
          <w:sz w:val="24"/>
          <w:szCs w:val="24"/>
          <w:u w:val="single"/>
        </w:rPr>
      </w:pPr>
      <w:bookmarkStart w:id="0" w:name="_Hlk125388498"/>
      <w:r w:rsidRPr="00456927">
        <w:rPr>
          <w:rFonts w:ascii="Times New Roman" w:hAnsi="Times New Roman" w:cs="Times New Roman"/>
          <w:sz w:val="24"/>
          <w:szCs w:val="24"/>
        </w:rPr>
        <w:t>1.2 mL of solution in a pre</w:t>
      </w:r>
      <w:r w:rsidR="006F61D4" w:rsidRPr="00456927">
        <w:rPr>
          <w:rFonts w:ascii="Times New Roman" w:hAnsi="Times New Roman" w:cs="Times New Roman"/>
          <w:sz w:val="24"/>
          <w:szCs w:val="24"/>
        </w:rPr>
        <w:t>-</w:t>
      </w:r>
      <w:r w:rsidRPr="00456927">
        <w:rPr>
          <w:rFonts w:ascii="Times New Roman" w:hAnsi="Times New Roman" w:cs="Times New Roman"/>
          <w:sz w:val="24"/>
          <w:szCs w:val="24"/>
        </w:rPr>
        <w:t xml:space="preserve">filled glass syringe (type I glass) with a bromobutyl stopper, 27G x 1/2 5B special thin-walled (STW) staked needle, and is assembled with an extended finger flange and needle safety device. </w:t>
      </w:r>
      <w:r w:rsidR="00553863" w:rsidRPr="00456927">
        <w:rPr>
          <w:rFonts w:ascii="Times New Roman" w:eastAsia="Times New Roman" w:hAnsi="Times New Roman" w:cs="Times New Roman"/>
          <w:kern w:val="24"/>
          <w:sz w:val="24"/>
          <w:szCs w:val="24"/>
          <w:lang w:val="en-US"/>
        </w:rPr>
        <w:t>ANDEMBRY</w:t>
      </w:r>
      <w:r w:rsidR="009272CC" w:rsidRPr="00456927">
        <w:rPr>
          <w:rFonts w:ascii="Times New Roman" w:eastAsia="Times New Roman" w:hAnsi="Times New Roman" w:cs="Times New Roman"/>
          <w:kern w:val="24"/>
          <w:sz w:val="24"/>
          <w:szCs w:val="24"/>
          <w:vertAlign w:val="superscript"/>
          <w:lang w:val="en-US"/>
        </w:rPr>
        <w:t>®</w:t>
      </w:r>
      <w:r w:rsidRPr="00456927">
        <w:rPr>
          <w:rFonts w:ascii="Times New Roman" w:hAnsi="Times New Roman" w:cs="Times New Roman"/>
          <w:sz w:val="24"/>
          <w:szCs w:val="24"/>
        </w:rPr>
        <w:t xml:space="preserve"> is available as unit packs containing 1 assembled pre</w:t>
      </w:r>
      <w:r w:rsidR="006F61D4" w:rsidRPr="00456927">
        <w:rPr>
          <w:rFonts w:ascii="Times New Roman" w:hAnsi="Times New Roman" w:cs="Times New Roman"/>
          <w:sz w:val="24"/>
          <w:szCs w:val="24"/>
        </w:rPr>
        <w:t>-</w:t>
      </w:r>
      <w:r w:rsidRPr="00456927">
        <w:rPr>
          <w:rFonts w:ascii="Times New Roman" w:hAnsi="Times New Roman" w:cs="Times New Roman"/>
          <w:sz w:val="24"/>
          <w:szCs w:val="24"/>
        </w:rPr>
        <w:t>filled syringe</w:t>
      </w:r>
      <w:r w:rsidR="00680D91" w:rsidRPr="00456927">
        <w:rPr>
          <w:rFonts w:ascii="Times New Roman" w:hAnsi="Times New Roman" w:cs="Times New Roman"/>
          <w:sz w:val="24"/>
          <w:szCs w:val="24"/>
        </w:rPr>
        <w:t xml:space="preserve"> and in multipacks containing 3</w:t>
      </w:r>
      <w:r w:rsidR="00BC5C09" w:rsidRPr="00456927">
        <w:rPr>
          <w:rFonts w:ascii="Times New Roman" w:hAnsi="Times New Roman" w:cs="Times New Roman"/>
          <w:sz w:val="24"/>
          <w:szCs w:val="24"/>
        </w:rPr>
        <w:t xml:space="preserve"> pre-filled syringes</w:t>
      </w:r>
      <w:r w:rsidRPr="00456927">
        <w:rPr>
          <w:rFonts w:ascii="Times New Roman" w:hAnsi="Times New Roman" w:cs="Times New Roman"/>
          <w:sz w:val="24"/>
          <w:szCs w:val="24"/>
        </w:rPr>
        <w:t>.</w:t>
      </w:r>
      <w:bookmarkEnd w:id="0"/>
    </w:p>
    <w:p w14:paraId="02B8F20A" w14:textId="61D8A8FD" w:rsidR="009B7A3F" w:rsidRPr="00456927" w:rsidRDefault="009B7A3F" w:rsidP="006507F4">
      <w:pPr>
        <w:spacing w:after="240" w:line="300" w:lineRule="auto"/>
        <w:rPr>
          <w:rFonts w:ascii="Times New Roman" w:hAnsi="Times New Roman" w:cs="Times New Roman"/>
          <w:sz w:val="24"/>
          <w:szCs w:val="24"/>
        </w:rPr>
      </w:pPr>
      <w:r w:rsidRPr="00456927">
        <w:rPr>
          <w:rFonts w:ascii="Times New Roman" w:hAnsi="Times New Roman" w:cs="Times New Roman"/>
          <w:sz w:val="24"/>
          <w:szCs w:val="24"/>
        </w:rPr>
        <w:t>Not all pack sizes may be marketed</w:t>
      </w:r>
      <w:r w:rsidR="00E8745D" w:rsidRPr="00456927">
        <w:rPr>
          <w:rFonts w:ascii="Times New Roman" w:hAnsi="Times New Roman" w:cs="Times New Roman"/>
          <w:sz w:val="24"/>
          <w:szCs w:val="24"/>
        </w:rPr>
        <w:t>.</w:t>
      </w:r>
    </w:p>
    <w:p w14:paraId="601845CF" w14:textId="77777777" w:rsidR="001A3992" w:rsidRPr="00456927" w:rsidRDefault="001A3992" w:rsidP="007C3326">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Special precautions for disposal</w:t>
      </w:r>
    </w:p>
    <w:p w14:paraId="1E3AEF5E" w14:textId="31235DAC" w:rsidR="00EE303B" w:rsidRPr="00456927" w:rsidRDefault="0085474F" w:rsidP="008A469C">
      <w:pPr>
        <w:pStyle w:val="DocumentText"/>
        <w:rPr>
          <w:bCs/>
        </w:rPr>
      </w:pPr>
      <w:r w:rsidRPr="00456927">
        <w:rPr>
          <w:bCs/>
        </w:rPr>
        <w:t>In Australia, any unused medicine or waste material should be disposed of in accordance with local requirements</w:t>
      </w:r>
      <w:r w:rsidR="008A469C" w:rsidRPr="00456927">
        <w:rPr>
          <w:bCs/>
        </w:rPr>
        <w:t>.</w:t>
      </w:r>
    </w:p>
    <w:p w14:paraId="55FDA278" w14:textId="77777777" w:rsidR="001A3992" w:rsidRPr="00456927" w:rsidRDefault="001A3992" w:rsidP="001C6622">
      <w:pPr>
        <w:pStyle w:val="Heading2"/>
        <w:keepNext/>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Physicochemical properties</w:t>
      </w:r>
    </w:p>
    <w:p w14:paraId="75CB64E2" w14:textId="135A3C87" w:rsidR="004541E7" w:rsidRPr="00456927" w:rsidRDefault="00553863" w:rsidP="004541E7">
      <w:pPr>
        <w:pStyle w:val="DocumentText"/>
      </w:pPr>
      <w:r w:rsidRPr="00456927">
        <w:t>ANDEMBRY</w:t>
      </w:r>
      <w:r w:rsidR="009272CC" w:rsidRPr="00456927">
        <w:rPr>
          <w:vertAlign w:val="superscript"/>
        </w:rPr>
        <w:t>®</w:t>
      </w:r>
      <w:r w:rsidR="004541E7" w:rsidRPr="00456927">
        <w:t xml:space="preserve"> is supplied as a sterile, preservative-free solution for </w:t>
      </w:r>
      <w:r w:rsidR="00CF4DF3" w:rsidRPr="00456927">
        <w:t>SC</w:t>
      </w:r>
      <w:r w:rsidR="004541E7" w:rsidRPr="00456927">
        <w:t xml:space="preserve"> administration. The solution of </w:t>
      </w:r>
      <w:r w:rsidRPr="00456927">
        <w:t>ANDEMBRY</w:t>
      </w:r>
      <w:r w:rsidR="009272CC" w:rsidRPr="00456927">
        <w:rPr>
          <w:vertAlign w:val="superscript"/>
        </w:rPr>
        <w:t>®</w:t>
      </w:r>
      <w:r w:rsidR="004541E7" w:rsidRPr="00456927">
        <w:t xml:space="preserve"> is slightly opalescent to clear, brownish-yellow to yellow liquid, </w:t>
      </w:r>
      <w:r w:rsidR="004541E7" w:rsidRPr="00456927">
        <w:lastRenderedPageBreak/>
        <w:t>with a pH of approximately 6.1. The solution has an osmolality of approximately 470 mOsm/kg.</w:t>
      </w:r>
    </w:p>
    <w:p w14:paraId="581FDD86" w14:textId="10A8BD6F" w:rsidR="004541E7" w:rsidRPr="00456927" w:rsidRDefault="0088202A" w:rsidP="0088202A">
      <w:pPr>
        <w:pStyle w:val="Heading3"/>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Chemical structure</w:t>
      </w:r>
    </w:p>
    <w:p w14:paraId="02F224C5" w14:textId="6B804CC7" w:rsidR="0088202A" w:rsidRPr="00456927" w:rsidRDefault="007B4861" w:rsidP="004541E7">
      <w:pPr>
        <w:spacing w:after="24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lang w:val="en-US"/>
        </w:rPr>
        <w:t>Garadacimab has a molecular weight of approximately 148 kDa.</w:t>
      </w:r>
    </w:p>
    <w:p w14:paraId="7E4EADB5" w14:textId="285B7839" w:rsidR="001A3992" w:rsidRPr="00456927" w:rsidRDefault="001A3992" w:rsidP="001A3992">
      <w:pPr>
        <w:pStyle w:val="Heading3"/>
        <w:spacing w:before="0" w:after="120"/>
        <w:rPr>
          <w:rFonts w:ascii="Times New Roman" w:hAnsi="Times New Roman" w:cs="Times New Roman"/>
          <w:sz w:val="28"/>
          <w:szCs w:val="28"/>
          <w:lang w:val="en-US"/>
        </w:rPr>
      </w:pPr>
      <w:r w:rsidRPr="00456927">
        <w:rPr>
          <w:rFonts w:ascii="Times New Roman" w:hAnsi="Times New Roman" w:cs="Times New Roman"/>
          <w:sz w:val="28"/>
          <w:szCs w:val="28"/>
          <w:lang w:val="en-US"/>
        </w:rPr>
        <w:t>CAS number</w:t>
      </w:r>
    </w:p>
    <w:p w14:paraId="2B6AE9F9" w14:textId="32757695" w:rsidR="008A469C" w:rsidRPr="00456927" w:rsidRDefault="00D824EA" w:rsidP="001C6622">
      <w:pPr>
        <w:spacing w:after="240" w:line="300" w:lineRule="auto"/>
        <w:rPr>
          <w:rFonts w:ascii="Times New Roman" w:hAnsi="Times New Roman" w:cs="Times New Roman"/>
          <w:sz w:val="24"/>
          <w:szCs w:val="24"/>
          <w:lang w:val="en-US"/>
        </w:rPr>
      </w:pPr>
      <w:r w:rsidRPr="00456927">
        <w:rPr>
          <w:rFonts w:ascii="Times New Roman" w:hAnsi="Times New Roman" w:cs="Times New Roman"/>
          <w:sz w:val="24"/>
          <w:szCs w:val="24"/>
          <w:lang w:val="en-US"/>
        </w:rPr>
        <w:t>2</w:t>
      </w:r>
      <w:r w:rsidR="00B755C4" w:rsidRPr="00456927">
        <w:rPr>
          <w:rFonts w:ascii="Times New Roman" w:hAnsi="Times New Roman" w:cs="Times New Roman"/>
          <w:sz w:val="24"/>
          <w:szCs w:val="24"/>
          <w:lang w:val="en-US"/>
        </w:rPr>
        <w:t>162134-62-3</w:t>
      </w:r>
    </w:p>
    <w:p w14:paraId="3F9EBA9E" w14:textId="77777777" w:rsidR="001A3992" w:rsidRPr="00456927" w:rsidRDefault="001A3992" w:rsidP="001A3992">
      <w:pPr>
        <w:pStyle w:val="Heading1"/>
        <w:spacing w:before="0" w:after="120"/>
        <w:rPr>
          <w:rFonts w:ascii="Times New Roman" w:hAnsi="Times New Roman" w:cs="Times New Roman"/>
          <w:lang w:val="en-US"/>
        </w:rPr>
      </w:pPr>
      <w:r w:rsidRPr="00456927">
        <w:rPr>
          <w:rFonts w:ascii="Times New Roman" w:hAnsi="Times New Roman" w:cs="Times New Roman"/>
          <w:lang w:val="en-US"/>
        </w:rPr>
        <w:t>Medicine schedule (Poisons Standard)</w:t>
      </w:r>
    </w:p>
    <w:p w14:paraId="476A0BFA" w14:textId="5D1FD65C" w:rsidR="004710F3" w:rsidRPr="00456927" w:rsidRDefault="004710F3" w:rsidP="001C6622">
      <w:pPr>
        <w:spacing w:after="240" w:line="300" w:lineRule="auto"/>
        <w:rPr>
          <w:rFonts w:ascii="Times New Roman" w:hAnsi="Times New Roman" w:cs="Times New Roman"/>
          <w:sz w:val="24"/>
          <w:szCs w:val="24"/>
          <w:lang w:val="en-US"/>
        </w:rPr>
      </w:pPr>
      <w:r w:rsidRPr="00456927">
        <w:rPr>
          <w:rFonts w:ascii="Times New Roman" w:hAnsi="Times New Roman" w:cs="Times New Roman"/>
          <w:sz w:val="24"/>
          <w:szCs w:val="24"/>
          <w:lang w:val="en-US"/>
        </w:rPr>
        <w:t>S</w:t>
      </w:r>
      <w:r w:rsidR="0085474F" w:rsidRPr="00456927">
        <w:rPr>
          <w:rFonts w:ascii="Times New Roman" w:hAnsi="Times New Roman" w:cs="Times New Roman"/>
          <w:sz w:val="24"/>
          <w:szCs w:val="24"/>
          <w:lang w:val="en-US"/>
        </w:rPr>
        <w:t>chedule 4, Prescription Only Medicine</w:t>
      </w:r>
    </w:p>
    <w:p w14:paraId="4A5A41B9" w14:textId="77777777" w:rsidR="001A3992" w:rsidRPr="00456927" w:rsidRDefault="001A3992" w:rsidP="001A3992">
      <w:pPr>
        <w:pStyle w:val="Heading1"/>
        <w:spacing w:before="0" w:after="120"/>
        <w:rPr>
          <w:rFonts w:ascii="Times New Roman" w:hAnsi="Times New Roman" w:cs="Times New Roman"/>
          <w:lang w:val="en-US"/>
        </w:rPr>
      </w:pPr>
      <w:r w:rsidRPr="00456927">
        <w:rPr>
          <w:rFonts w:ascii="Times New Roman" w:hAnsi="Times New Roman" w:cs="Times New Roman"/>
          <w:lang w:val="en-US"/>
        </w:rPr>
        <w:t>Sponsor</w:t>
      </w:r>
    </w:p>
    <w:p w14:paraId="03983020" w14:textId="77777777" w:rsidR="004710F3" w:rsidRPr="00456927" w:rsidRDefault="004710F3" w:rsidP="004710F3">
      <w:pPr>
        <w:pStyle w:val="DocumentText"/>
        <w:keepNext/>
        <w:spacing w:after="0"/>
      </w:pPr>
      <w:r w:rsidRPr="00456927">
        <w:t>CSL Behring (Australia) Pty Ltd</w:t>
      </w:r>
    </w:p>
    <w:p w14:paraId="007AEDE8" w14:textId="77777777" w:rsidR="004710F3" w:rsidRPr="00456927" w:rsidRDefault="004710F3" w:rsidP="004710F3">
      <w:pPr>
        <w:pStyle w:val="DocumentText"/>
        <w:keepNext/>
        <w:spacing w:after="0"/>
      </w:pPr>
      <w:r w:rsidRPr="00456927">
        <w:t>ABN 48 160 734 761</w:t>
      </w:r>
    </w:p>
    <w:p w14:paraId="07058C31" w14:textId="77777777" w:rsidR="004710F3" w:rsidRPr="00456927" w:rsidRDefault="004710F3" w:rsidP="004710F3">
      <w:pPr>
        <w:pStyle w:val="DocumentText"/>
        <w:keepNext/>
        <w:spacing w:after="0"/>
      </w:pPr>
      <w:r w:rsidRPr="00456927">
        <w:t>189–209 Camp Road</w:t>
      </w:r>
    </w:p>
    <w:p w14:paraId="7ADFDC09" w14:textId="77777777" w:rsidR="004710F3" w:rsidRPr="00456927" w:rsidRDefault="004710F3" w:rsidP="005A0AED">
      <w:pPr>
        <w:pStyle w:val="DocumentText"/>
      </w:pPr>
      <w:r w:rsidRPr="00456927">
        <w:t>Broadmeadows VIC 3047</w:t>
      </w:r>
    </w:p>
    <w:p w14:paraId="79093F5D" w14:textId="77777777" w:rsidR="00627778" w:rsidRPr="00456927" w:rsidRDefault="00627778" w:rsidP="00CF4DF3">
      <w:pPr>
        <w:keepNext/>
        <w:spacing w:after="120"/>
        <w:rPr>
          <w:rFonts w:ascii="Times New Roman" w:hAnsi="Times New Roman" w:cs="Times New Roman"/>
          <w:b/>
          <w:sz w:val="24"/>
          <w:szCs w:val="24"/>
        </w:rPr>
      </w:pPr>
      <w:r w:rsidRPr="00456927">
        <w:rPr>
          <w:rFonts w:ascii="Times New Roman" w:hAnsi="Times New Roman" w:cs="Times New Roman"/>
          <w:b/>
          <w:sz w:val="24"/>
          <w:szCs w:val="24"/>
        </w:rPr>
        <w:t>For Medical/Technical Enquiries</w:t>
      </w:r>
    </w:p>
    <w:p w14:paraId="72D0BF34" w14:textId="77777777" w:rsidR="00627778" w:rsidRPr="00456927" w:rsidRDefault="00627778" w:rsidP="00627778">
      <w:pPr>
        <w:pStyle w:val="DocumentText"/>
      </w:pPr>
      <w:r w:rsidRPr="00456927">
        <w:t>TOLL FREE: 1800 642 865</w:t>
      </w:r>
    </w:p>
    <w:p w14:paraId="4D4427CC" w14:textId="77777777" w:rsidR="00627778" w:rsidRPr="00456927" w:rsidRDefault="00627778" w:rsidP="001F1227">
      <w:pPr>
        <w:keepNext/>
        <w:spacing w:after="120"/>
        <w:rPr>
          <w:rFonts w:ascii="Times New Roman" w:hAnsi="Times New Roman" w:cs="Times New Roman"/>
          <w:b/>
          <w:sz w:val="24"/>
          <w:szCs w:val="24"/>
        </w:rPr>
      </w:pPr>
      <w:r w:rsidRPr="00456927">
        <w:rPr>
          <w:rFonts w:ascii="Times New Roman" w:hAnsi="Times New Roman" w:cs="Times New Roman"/>
          <w:b/>
          <w:sz w:val="24"/>
          <w:szCs w:val="24"/>
        </w:rPr>
        <w:t>For Customer Service Enquiries</w:t>
      </w:r>
    </w:p>
    <w:p w14:paraId="4AB7AB54" w14:textId="77777777" w:rsidR="00627778" w:rsidRPr="00456927" w:rsidRDefault="00627778" w:rsidP="00627778">
      <w:pPr>
        <w:pStyle w:val="DocumentText"/>
      </w:pPr>
      <w:r w:rsidRPr="00456927">
        <w:t>TOLL FREE: 1800 063 892</w:t>
      </w:r>
    </w:p>
    <w:p w14:paraId="449BE13D" w14:textId="7847EE8F" w:rsidR="00315779" w:rsidRPr="00456927" w:rsidRDefault="002B3438" w:rsidP="009B7A3F">
      <w:pPr>
        <w:pStyle w:val="DocumentText"/>
        <w:spacing w:after="120"/>
      </w:pPr>
      <w:r w:rsidRPr="00456927">
        <w:t>customerservice@cslbehring.com.au</w:t>
      </w:r>
    </w:p>
    <w:p w14:paraId="3A83D636" w14:textId="19ECCACB" w:rsidR="009272CC" w:rsidRPr="00456927" w:rsidRDefault="009272CC" w:rsidP="00715FE9">
      <w:pPr>
        <w:pStyle w:val="DocumentText"/>
      </w:pPr>
      <w:r w:rsidRPr="00456927">
        <w:t>www.cslbehring.com.au</w:t>
      </w:r>
    </w:p>
    <w:p w14:paraId="090F3D81" w14:textId="77777777" w:rsidR="001A3992" w:rsidRPr="00456927" w:rsidRDefault="001A3992" w:rsidP="001A3992">
      <w:pPr>
        <w:pStyle w:val="Heading1"/>
        <w:spacing w:before="0" w:after="120"/>
        <w:rPr>
          <w:rFonts w:ascii="Times New Roman" w:hAnsi="Times New Roman" w:cs="Times New Roman"/>
          <w:lang w:val="en-US"/>
        </w:rPr>
      </w:pPr>
      <w:r w:rsidRPr="00456927">
        <w:rPr>
          <w:rFonts w:ascii="Times New Roman" w:hAnsi="Times New Roman" w:cs="Times New Roman"/>
          <w:lang w:val="en-US"/>
        </w:rPr>
        <w:t>Date of first approval</w:t>
      </w:r>
    </w:p>
    <w:p w14:paraId="28B73B75" w14:textId="374CD79C" w:rsidR="004710F3" w:rsidRPr="00456927" w:rsidRDefault="00B71962" w:rsidP="00315779">
      <w:pPr>
        <w:spacing w:after="240" w:line="300" w:lineRule="auto"/>
        <w:rPr>
          <w:rFonts w:ascii="Times New Roman" w:hAnsi="Times New Roman" w:cs="Times New Roman"/>
          <w:sz w:val="24"/>
          <w:szCs w:val="24"/>
          <w:lang w:val="en-US"/>
        </w:rPr>
      </w:pPr>
      <w:r>
        <w:rPr>
          <w:rFonts w:ascii="Times New Roman" w:hAnsi="Times New Roman" w:cs="Times New Roman"/>
          <w:sz w:val="24"/>
          <w:szCs w:val="24"/>
          <w:lang w:val="en-US"/>
        </w:rPr>
        <w:t>14 January 2025</w:t>
      </w:r>
    </w:p>
    <w:p w14:paraId="1870B6D2" w14:textId="1E009760" w:rsidR="001A3992" w:rsidRPr="00456927" w:rsidRDefault="001A3992" w:rsidP="001A3992">
      <w:pPr>
        <w:pStyle w:val="Heading1"/>
        <w:spacing w:before="0" w:after="120"/>
        <w:rPr>
          <w:rFonts w:ascii="Times New Roman" w:hAnsi="Times New Roman" w:cs="Times New Roman"/>
          <w:lang w:val="en-US"/>
        </w:rPr>
      </w:pPr>
      <w:r w:rsidRPr="00456927">
        <w:rPr>
          <w:rFonts w:ascii="Times New Roman" w:hAnsi="Times New Roman" w:cs="Times New Roman"/>
          <w:lang w:val="en-US"/>
        </w:rPr>
        <w:t>Date of revision</w:t>
      </w:r>
    </w:p>
    <w:p w14:paraId="37225C6C" w14:textId="49089508" w:rsidR="004710F3" w:rsidRPr="00456927" w:rsidRDefault="00B71962" w:rsidP="00315779">
      <w:pPr>
        <w:spacing w:after="240" w:line="300" w:lineRule="auto"/>
        <w:rPr>
          <w:rFonts w:ascii="Times New Roman" w:hAnsi="Times New Roman" w:cs="Times New Roman"/>
          <w:sz w:val="24"/>
          <w:szCs w:val="24"/>
          <w:lang w:val="en-US"/>
        </w:rPr>
      </w:pPr>
      <w:r>
        <w:rPr>
          <w:rFonts w:ascii="Times New Roman" w:hAnsi="Times New Roman" w:cs="Times New Roman"/>
          <w:sz w:val="24"/>
          <w:szCs w:val="24"/>
          <w:lang w:val="en-US"/>
        </w:rPr>
        <w:t>14 January 2025</w:t>
      </w:r>
    </w:p>
    <w:p w14:paraId="3C4075AC" w14:textId="629D1FDB" w:rsidR="00627778" w:rsidRPr="00456927" w:rsidRDefault="00627778" w:rsidP="008B7D08">
      <w:pPr>
        <w:spacing w:after="120" w:line="300" w:lineRule="auto"/>
        <w:rPr>
          <w:rFonts w:ascii="Times New Roman" w:eastAsia="Times New Roman" w:hAnsi="Times New Roman" w:cs="Times New Roman"/>
          <w:kern w:val="24"/>
          <w:sz w:val="24"/>
          <w:szCs w:val="24"/>
          <w:lang w:val="en-US"/>
        </w:rPr>
      </w:pPr>
      <w:r w:rsidRPr="00456927">
        <w:rPr>
          <w:rFonts w:ascii="Times New Roman" w:eastAsia="Times New Roman" w:hAnsi="Times New Roman" w:cs="Times New Roman"/>
          <w:kern w:val="24"/>
          <w:sz w:val="24"/>
          <w:szCs w:val="24"/>
          <w:vertAlign w:val="superscript"/>
          <w:lang w:val="en-US"/>
        </w:rPr>
        <w:t>®</w:t>
      </w:r>
      <w:r w:rsidRPr="00456927">
        <w:rPr>
          <w:rFonts w:ascii="Times New Roman" w:eastAsia="Times New Roman" w:hAnsi="Times New Roman" w:cs="Times New Roman"/>
          <w:kern w:val="24"/>
          <w:sz w:val="24"/>
          <w:szCs w:val="24"/>
          <w:lang w:val="en-US"/>
        </w:rPr>
        <w:t xml:space="preserve"> Registered trademark of </w:t>
      </w:r>
      <w:r w:rsidR="007B4861" w:rsidRPr="00456927">
        <w:rPr>
          <w:rFonts w:ascii="Times New Roman" w:eastAsia="Times New Roman" w:hAnsi="Times New Roman" w:cs="Times New Roman"/>
          <w:kern w:val="24"/>
          <w:sz w:val="24"/>
          <w:szCs w:val="24"/>
          <w:lang w:val="en-US"/>
        </w:rPr>
        <w:t xml:space="preserve">CSL </w:t>
      </w:r>
      <w:r w:rsidR="1A441A6E" w:rsidRPr="00456927">
        <w:rPr>
          <w:rFonts w:ascii="Times New Roman" w:eastAsia="Times New Roman" w:hAnsi="Times New Roman" w:cs="Times New Roman"/>
          <w:kern w:val="24"/>
          <w:sz w:val="24"/>
          <w:szCs w:val="24"/>
          <w:lang w:val="en-US"/>
        </w:rPr>
        <w:t>Behring GmbH</w:t>
      </w:r>
    </w:p>
    <w:p w14:paraId="0FEF2A8B" w14:textId="77777777" w:rsidR="001A3992" w:rsidRPr="00456927" w:rsidRDefault="001A3992" w:rsidP="007C3326">
      <w:pPr>
        <w:pStyle w:val="Heading2"/>
        <w:keepNext/>
        <w:numPr>
          <w:ilvl w:val="0"/>
          <w:numId w:val="0"/>
        </w:numPr>
        <w:spacing w:before="0" w:after="60" w:line="240" w:lineRule="auto"/>
        <w:rPr>
          <w:rFonts w:ascii="Times New Roman" w:hAnsi="Times New Roman" w:cs="Times New Roman"/>
          <w:lang w:val="en-US"/>
        </w:rPr>
      </w:pPr>
      <w:r w:rsidRPr="00456927">
        <w:rPr>
          <w:rFonts w:ascii="Times New Roman" w:hAnsi="Times New Roman" w:cs="Times New Roman"/>
          <w:lang w:val="en-US"/>
        </w:rPr>
        <w:lastRenderedPageBreak/>
        <w:t>Summary table of changes</w:t>
      </w:r>
    </w:p>
    <w:tbl>
      <w:tblPr>
        <w:tblStyle w:val="LightGrid"/>
        <w:tblW w:w="0" w:type="auto"/>
        <w:tblCellMar>
          <w:top w:w="57" w:type="dxa"/>
          <w:bottom w:w="57" w:type="dxa"/>
        </w:tblCellMar>
        <w:tblLook w:val="06A0" w:firstRow="1" w:lastRow="0" w:firstColumn="1" w:lastColumn="0" w:noHBand="1" w:noVBand="1"/>
      </w:tblPr>
      <w:tblGrid>
        <w:gridCol w:w="1233"/>
        <w:gridCol w:w="7773"/>
      </w:tblGrid>
      <w:tr w:rsidR="00456927" w:rsidRPr="00456927" w14:paraId="68F54329" w14:textId="77777777" w:rsidTr="007A0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shd w:val="clear" w:color="auto" w:fill="F2F2F2" w:themeFill="background1" w:themeFillShade="F2"/>
            <w:vAlign w:val="center"/>
          </w:tcPr>
          <w:p w14:paraId="653FCEEA" w14:textId="77777777" w:rsidR="00ED0937" w:rsidRPr="00456927" w:rsidRDefault="00ED0937" w:rsidP="007C3326">
            <w:pPr>
              <w:keepNext/>
              <w:rPr>
                <w:rFonts w:ascii="Times New Roman" w:hAnsi="Times New Roman" w:cs="Times New Roman"/>
                <w:sz w:val="20"/>
                <w:lang w:val="en-US"/>
              </w:rPr>
            </w:pPr>
            <w:r w:rsidRPr="00456927">
              <w:rPr>
                <w:rFonts w:ascii="Times New Roman" w:hAnsi="Times New Roman" w:cs="Times New Roman"/>
                <w:sz w:val="20"/>
                <w:lang w:val="en-US"/>
              </w:rPr>
              <w:t>Section Changed</w:t>
            </w:r>
          </w:p>
        </w:tc>
        <w:tc>
          <w:tcPr>
            <w:tcW w:w="7773" w:type="dxa"/>
            <w:shd w:val="clear" w:color="auto" w:fill="F2F2F2" w:themeFill="background1" w:themeFillShade="F2"/>
            <w:vAlign w:val="center"/>
          </w:tcPr>
          <w:p w14:paraId="5BF1DE98" w14:textId="77777777" w:rsidR="00ED0937" w:rsidRPr="00456927" w:rsidRDefault="00ED0937" w:rsidP="007C332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456927">
              <w:rPr>
                <w:rFonts w:ascii="Times New Roman" w:hAnsi="Times New Roman" w:cs="Times New Roman"/>
                <w:sz w:val="20"/>
                <w:lang w:val="en-US"/>
              </w:rPr>
              <w:t>Summary of new information</w:t>
            </w:r>
          </w:p>
        </w:tc>
      </w:tr>
      <w:tr w:rsidR="00456927" w:rsidRPr="00456927" w14:paraId="1C580C5A" w14:textId="77777777" w:rsidTr="007A0151">
        <w:tc>
          <w:tcPr>
            <w:cnfStyle w:val="001000000000" w:firstRow="0" w:lastRow="0" w:firstColumn="1" w:lastColumn="0" w:oddVBand="0" w:evenVBand="0" w:oddHBand="0" w:evenHBand="0" w:firstRowFirstColumn="0" w:firstRowLastColumn="0" w:lastRowFirstColumn="0" w:lastRowLastColumn="0"/>
            <w:tcW w:w="1233" w:type="dxa"/>
            <w:vAlign w:val="center"/>
          </w:tcPr>
          <w:p w14:paraId="241E62D9" w14:textId="0DFC0BA2" w:rsidR="00ED0937" w:rsidRPr="00456927" w:rsidRDefault="009B7A3F" w:rsidP="00315779">
            <w:pPr>
              <w:rPr>
                <w:rFonts w:ascii="Times New Roman" w:hAnsi="Times New Roman" w:cs="Times New Roman"/>
                <w:sz w:val="24"/>
                <w:szCs w:val="24"/>
                <w:lang w:val="en-US"/>
              </w:rPr>
            </w:pPr>
            <w:r w:rsidRPr="00456927">
              <w:rPr>
                <w:rFonts w:ascii="Times New Roman" w:hAnsi="Times New Roman" w:cs="Times New Roman"/>
                <w:sz w:val="24"/>
                <w:szCs w:val="24"/>
                <w:lang w:val="en-US"/>
              </w:rPr>
              <w:t>All</w:t>
            </w:r>
          </w:p>
        </w:tc>
        <w:tc>
          <w:tcPr>
            <w:tcW w:w="7773" w:type="dxa"/>
            <w:vAlign w:val="center"/>
          </w:tcPr>
          <w:p w14:paraId="3CC2E856" w14:textId="1C489B18" w:rsidR="00ED0937" w:rsidRPr="00456927" w:rsidRDefault="00686652" w:rsidP="007A01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6927">
              <w:rPr>
                <w:rFonts w:ascii="Times New Roman" w:hAnsi="Times New Roman" w:cs="Times New Roman"/>
                <w:sz w:val="24"/>
                <w:szCs w:val="24"/>
                <w:lang w:val="en-US"/>
              </w:rPr>
              <w:t>Initial version</w:t>
            </w:r>
            <w:r w:rsidR="009B7A3F" w:rsidRPr="00456927">
              <w:rPr>
                <w:rFonts w:ascii="Times New Roman" w:hAnsi="Times New Roman" w:cs="Times New Roman"/>
                <w:sz w:val="24"/>
                <w:szCs w:val="24"/>
                <w:lang w:val="en-US"/>
              </w:rPr>
              <w:t>.</w:t>
            </w:r>
          </w:p>
        </w:tc>
      </w:tr>
    </w:tbl>
    <w:p w14:paraId="3C6C4768" w14:textId="77777777" w:rsidR="00960CD5" w:rsidRPr="00456927" w:rsidRDefault="00960CD5" w:rsidP="00E717AE">
      <w:pPr>
        <w:spacing w:after="0" w:line="240" w:lineRule="auto"/>
        <w:rPr>
          <w:rFonts w:ascii="Times New Roman" w:hAnsi="Times New Roman" w:cs="Times New Roman"/>
          <w:sz w:val="16"/>
          <w:szCs w:val="16"/>
        </w:rPr>
      </w:pPr>
    </w:p>
    <w:sectPr w:rsidR="00960CD5" w:rsidRPr="00456927" w:rsidSect="00CD1BAE">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A6DD" w14:textId="77777777" w:rsidR="00E77598" w:rsidRDefault="00E77598" w:rsidP="001A3992">
      <w:pPr>
        <w:spacing w:after="0" w:line="240" w:lineRule="auto"/>
      </w:pPr>
      <w:r>
        <w:separator/>
      </w:r>
    </w:p>
  </w:endnote>
  <w:endnote w:type="continuationSeparator" w:id="0">
    <w:p w14:paraId="1C89D43D" w14:textId="77777777" w:rsidR="00E77598" w:rsidRDefault="00E77598" w:rsidP="001A3992">
      <w:pPr>
        <w:spacing w:after="0" w:line="240" w:lineRule="auto"/>
      </w:pPr>
      <w:r>
        <w:continuationSeparator/>
      </w:r>
    </w:p>
  </w:endnote>
  <w:endnote w:type="continuationNotice" w:id="1">
    <w:p w14:paraId="090CA79C" w14:textId="77777777" w:rsidR="00E77598" w:rsidRDefault="00E77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3">
    <w:altName w:val="Symbol"/>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D60B" w14:textId="6D339C6A" w:rsidR="001B308D" w:rsidRPr="00786800" w:rsidRDefault="00D024E9" w:rsidP="00CD07C4">
    <w:pPr>
      <w:pStyle w:val="Footer"/>
      <w:rPr>
        <w:rFonts w:ascii="Times New Roman" w:hAnsi="Times New Roman" w:cs="Times New Roman"/>
        <w:sz w:val="20"/>
        <w:szCs w:val="20"/>
        <w:lang w:val="fr-CH"/>
      </w:rPr>
    </w:pPr>
    <w:r>
      <w:rPr>
        <w:rFonts w:ascii="Times New Roman" w:hAnsi="Times New Roman" w:cs="Times New Roman"/>
        <w:sz w:val="20"/>
        <w:szCs w:val="20"/>
        <w:lang w:val="fr-CH"/>
      </w:rPr>
      <w:t>ANDEMBRY</w:t>
    </w:r>
    <w:r w:rsidR="001B308D">
      <w:rPr>
        <w:rFonts w:ascii="Times New Roman" w:hAnsi="Times New Roman" w:cs="Times New Roman"/>
        <w:sz w:val="20"/>
        <w:szCs w:val="20"/>
        <w:lang w:val="fr-CH"/>
      </w:rPr>
      <w:t xml:space="preserve"> PI </w:t>
    </w:r>
    <w:r w:rsidR="00B71962">
      <w:rPr>
        <w:rFonts w:ascii="Times New Roman" w:hAnsi="Times New Roman" w:cs="Times New Roman"/>
        <w:sz w:val="20"/>
        <w:szCs w:val="20"/>
        <w:lang w:val="fr-CH"/>
      </w:rPr>
      <w:t>1</w:t>
    </w:r>
    <w:r w:rsidR="001B308D">
      <w:rPr>
        <w:rFonts w:ascii="Times New Roman" w:hAnsi="Times New Roman" w:cs="Times New Roman"/>
        <w:sz w:val="20"/>
        <w:szCs w:val="20"/>
        <w:lang w:val="fr-CH"/>
      </w:rPr>
      <w:t>.0</w:t>
    </w:r>
    <w:r w:rsidR="00B71962">
      <w:rPr>
        <w:rFonts w:ascii="Times New Roman" w:hAnsi="Times New Roman" w:cs="Times New Roman"/>
        <w:sz w:val="20"/>
        <w:szCs w:val="20"/>
        <w:lang w:val="fr-CH"/>
      </w:rPr>
      <w:t>0</w:t>
    </w:r>
    <w:r w:rsidR="001B308D" w:rsidRPr="00786800">
      <w:rPr>
        <w:rFonts w:ascii="Times New Roman" w:hAnsi="Times New Roman" w:cs="Times New Roman"/>
        <w:sz w:val="20"/>
        <w:szCs w:val="20"/>
        <w:lang w:val="fr-CH"/>
      </w:rPr>
      <w:tab/>
    </w:r>
    <w:r w:rsidR="001B308D" w:rsidRPr="00786800">
      <w:rPr>
        <w:rFonts w:ascii="Times New Roman" w:hAnsi="Times New Roman" w:cs="Times New Roman"/>
        <w:sz w:val="20"/>
        <w:szCs w:val="20"/>
        <w:lang w:val="fr-CH"/>
      </w:rPr>
      <w:tab/>
      <w:t xml:space="preserve">Page </w:t>
    </w:r>
    <w:r w:rsidR="001B308D" w:rsidRPr="00CD07C4">
      <w:rPr>
        <w:rFonts w:ascii="Times New Roman" w:hAnsi="Times New Roman" w:cs="Times New Roman"/>
        <w:sz w:val="20"/>
        <w:szCs w:val="20"/>
      </w:rPr>
      <w:fldChar w:fldCharType="begin"/>
    </w:r>
    <w:r w:rsidR="001B308D" w:rsidRPr="00786800">
      <w:rPr>
        <w:rFonts w:ascii="Times New Roman" w:hAnsi="Times New Roman" w:cs="Times New Roman"/>
        <w:sz w:val="20"/>
        <w:szCs w:val="20"/>
        <w:lang w:val="fr-CH"/>
      </w:rPr>
      <w:instrText xml:space="preserve"> PAGE  \* Arabic  \* MERGEFORMAT </w:instrText>
    </w:r>
    <w:r w:rsidR="001B308D" w:rsidRPr="00CD07C4">
      <w:rPr>
        <w:rFonts w:ascii="Times New Roman" w:hAnsi="Times New Roman" w:cs="Times New Roman"/>
        <w:sz w:val="20"/>
        <w:szCs w:val="20"/>
      </w:rPr>
      <w:fldChar w:fldCharType="separate"/>
    </w:r>
    <w:r w:rsidR="0005718F">
      <w:rPr>
        <w:rFonts w:ascii="Times New Roman" w:hAnsi="Times New Roman" w:cs="Times New Roman"/>
        <w:noProof/>
        <w:sz w:val="20"/>
        <w:szCs w:val="20"/>
        <w:lang w:val="fr-CH"/>
      </w:rPr>
      <w:t>20</w:t>
    </w:r>
    <w:r w:rsidR="001B308D" w:rsidRPr="00CD07C4">
      <w:rPr>
        <w:rFonts w:ascii="Times New Roman" w:hAnsi="Times New Roman" w:cs="Times New Roman"/>
        <w:sz w:val="20"/>
        <w:szCs w:val="20"/>
      </w:rPr>
      <w:fldChar w:fldCharType="end"/>
    </w:r>
    <w:r w:rsidR="001B308D" w:rsidRPr="00786800">
      <w:rPr>
        <w:rFonts w:ascii="Times New Roman" w:hAnsi="Times New Roman" w:cs="Times New Roman"/>
        <w:sz w:val="20"/>
        <w:szCs w:val="20"/>
        <w:lang w:val="fr-CH"/>
      </w:rPr>
      <w:t xml:space="preserve"> of </w:t>
    </w:r>
    <w:r w:rsidR="001B308D" w:rsidRPr="00CD07C4">
      <w:rPr>
        <w:rFonts w:ascii="Times New Roman" w:hAnsi="Times New Roman" w:cs="Times New Roman"/>
        <w:sz w:val="20"/>
        <w:szCs w:val="20"/>
      </w:rPr>
      <w:fldChar w:fldCharType="begin"/>
    </w:r>
    <w:r w:rsidR="001B308D" w:rsidRPr="00786800">
      <w:rPr>
        <w:rFonts w:ascii="Times New Roman" w:hAnsi="Times New Roman" w:cs="Times New Roman"/>
        <w:sz w:val="20"/>
        <w:szCs w:val="20"/>
        <w:lang w:val="fr-CH"/>
      </w:rPr>
      <w:instrText xml:space="preserve"> NUMPAGES  \* Arabic  \* MERGEFORMAT </w:instrText>
    </w:r>
    <w:r w:rsidR="001B308D" w:rsidRPr="00CD07C4">
      <w:rPr>
        <w:rFonts w:ascii="Times New Roman" w:hAnsi="Times New Roman" w:cs="Times New Roman"/>
        <w:sz w:val="20"/>
        <w:szCs w:val="20"/>
      </w:rPr>
      <w:fldChar w:fldCharType="separate"/>
    </w:r>
    <w:r w:rsidR="0005718F">
      <w:rPr>
        <w:rFonts w:ascii="Times New Roman" w:hAnsi="Times New Roman" w:cs="Times New Roman"/>
        <w:noProof/>
        <w:sz w:val="20"/>
        <w:szCs w:val="20"/>
        <w:lang w:val="fr-CH"/>
      </w:rPr>
      <w:t>20</w:t>
    </w:r>
    <w:r w:rsidR="001B308D" w:rsidRPr="00CD07C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7E59" w14:textId="77777777" w:rsidR="00E77598" w:rsidRDefault="00E77598" w:rsidP="001A3992">
      <w:pPr>
        <w:spacing w:after="0" w:line="240" w:lineRule="auto"/>
      </w:pPr>
      <w:r>
        <w:separator/>
      </w:r>
    </w:p>
  </w:footnote>
  <w:footnote w:type="continuationSeparator" w:id="0">
    <w:p w14:paraId="296A3570" w14:textId="77777777" w:rsidR="00E77598" w:rsidRDefault="00E77598" w:rsidP="001A3992">
      <w:pPr>
        <w:spacing w:after="0" w:line="240" w:lineRule="auto"/>
      </w:pPr>
      <w:r>
        <w:continuationSeparator/>
      </w:r>
    </w:p>
  </w:footnote>
  <w:footnote w:type="continuationNotice" w:id="1">
    <w:p w14:paraId="538C82AE" w14:textId="77777777" w:rsidR="00E77598" w:rsidRDefault="00E775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8445EC" w:rsidRPr="000B2145" w14:paraId="2FF4A90F" w14:textId="77777777" w:rsidTr="00EB2A1C">
      <w:trPr>
        <w:trHeight w:val="1012"/>
      </w:trPr>
      <w:tc>
        <w:tcPr>
          <w:tcW w:w="9180" w:type="dxa"/>
          <w:shd w:val="clear" w:color="auto" w:fill="E4F2E0"/>
        </w:tcPr>
        <w:p w14:paraId="1160F93C" w14:textId="77777777" w:rsidR="008445EC" w:rsidRPr="00A612B8" w:rsidRDefault="008445EC" w:rsidP="008445EC">
          <w:pPr>
            <w:pStyle w:val="Footer"/>
            <w:rPr>
              <w:b/>
              <w:sz w:val="18"/>
              <w:szCs w:val="18"/>
            </w:rPr>
          </w:pPr>
          <w:bookmarkStart w:id="1" w:name="_Hlk109054010"/>
          <w:r w:rsidRPr="00A612B8">
            <w:rPr>
              <w:b/>
              <w:sz w:val="18"/>
              <w:szCs w:val="18"/>
            </w:rPr>
            <w:t xml:space="preserve">AusPAR - Andembry – </w:t>
          </w:r>
          <w:proofErr w:type="spellStart"/>
          <w:r w:rsidRPr="00A612B8">
            <w:rPr>
              <w:b/>
              <w:sz w:val="18"/>
              <w:szCs w:val="18"/>
            </w:rPr>
            <w:t>garadacimab</w:t>
          </w:r>
          <w:proofErr w:type="spellEnd"/>
          <w:r w:rsidRPr="00A612B8">
            <w:rPr>
              <w:b/>
              <w:sz w:val="18"/>
              <w:szCs w:val="18"/>
            </w:rPr>
            <w:t xml:space="preserve"> – CSL Behring (Australia) - PM-2023-05358-1-2</w:t>
          </w:r>
        </w:p>
        <w:p w14:paraId="504631E3" w14:textId="77777777" w:rsidR="008445EC" w:rsidRPr="000E4791" w:rsidRDefault="008445EC" w:rsidP="008445EC">
          <w:pPr>
            <w:pStyle w:val="Footer"/>
            <w:rPr>
              <w:b/>
              <w:sz w:val="18"/>
              <w:szCs w:val="18"/>
            </w:rPr>
          </w:pPr>
          <w:r w:rsidRPr="00A612B8">
            <w:rPr>
              <w:b/>
              <w:sz w:val="18"/>
              <w:szCs w:val="18"/>
            </w:rPr>
            <w:t>Final – 12 June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1"/>
  </w:tbl>
  <w:p w14:paraId="1FE30185" w14:textId="3F1D3D96" w:rsidR="002910FC" w:rsidRDefault="00291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966E4"/>
    <w:multiLevelType w:val="hybridMultilevel"/>
    <w:tmpl w:val="02B4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767B"/>
    <w:multiLevelType w:val="hybridMultilevel"/>
    <w:tmpl w:val="B9322F94"/>
    <w:lvl w:ilvl="0" w:tplc="C40EE1B6">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3" w15:restartNumberingAfterBreak="0">
    <w:nsid w:val="06907ED8"/>
    <w:multiLevelType w:val="hybridMultilevel"/>
    <w:tmpl w:val="609A5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B1373"/>
    <w:multiLevelType w:val="hybridMultilevel"/>
    <w:tmpl w:val="C69CE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A5BE2"/>
    <w:multiLevelType w:val="hybridMultilevel"/>
    <w:tmpl w:val="DAFC9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5640B"/>
    <w:multiLevelType w:val="hybridMultilevel"/>
    <w:tmpl w:val="6F7A2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AD06F4E"/>
    <w:multiLevelType w:val="hybridMultilevel"/>
    <w:tmpl w:val="0786F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EE3D6A"/>
    <w:multiLevelType w:val="hybridMultilevel"/>
    <w:tmpl w:val="ADF86D96"/>
    <w:lvl w:ilvl="0" w:tplc="08D898CE">
      <w:start w:val="1"/>
      <w:numFmt w:val="decimal"/>
      <w:lvlRestart w:val="0"/>
      <w:pStyle w:val="ListNumbered"/>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77377A"/>
    <w:multiLevelType w:val="hybridMultilevel"/>
    <w:tmpl w:val="0E343D8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CD3958"/>
    <w:multiLevelType w:val="hybridMultilevel"/>
    <w:tmpl w:val="7A2C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5965A8"/>
    <w:multiLevelType w:val="hybridMultilevel"/>
    <w:tmpl w:val="B9322F94"/>
    <w:lvl w:ilvl="0" w:tplc="C40EE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97863"/>
    <w:multiLevelType w:val="multilevel"/>
    <w:tmpl w:val="752EF2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478192">
    <w:abstractNumId w:val="19"/>
  </w:num>
  <w:num w:numId="2" w16cid:durableId="1428622189">
    <w:abstractNumId w:val="4"/>
  </w:num>
  <w:num w:numId="3" w16cid:durableId="1075005429">
    <w:abstractNumId w:val="0"/>
  </w:num>
  <w:num w:numId="4" w16cid:durableId="1449466993">
    <w:abstractNumId w:val="13"/>
  </w:num>
  <w:num w:numId="5" w16cid:durableId="746725573">
    <w:abstractNumId w:val="22"/>
  </w:num>
  <w:num w:numId="6" w16cid:durableId="1004213111">
    <w:abstractNumId w:val="20"/>
  </w:num>
  <w:num w:numId="7" w16cid:durableId="627394775">
    <w:abstractNumId w:val="18"/>
  </w:num>
  <w:num w:numId="8" w16cid:durableId="226382556">
    <w:abstractNumId w:val="21"/>
  </w:num>
  <w:num w:numId="9" w16cid:durableId="148178329">
    <w:abstractNumId w:val="7"/>
  </w:num>
  <w:num w:numId="10" w16cid:durableId="1409159283">
    <w:abstractNumId w:val="17"/>
  </w:num>
  <w:num w:numId="11" w16cid:durableId="634679204">
    <w:abstractNumId w:val="11"/>
  </w:num>
  <w:num w:numId="12" w16cid:durableId="1985354776">
    <w:abstractNumId w:val="5"/>
  </w:num>
  <w:num w:numId="13" w16cid:durableId="1634171747">
    <w:abstractNumId w:val="10"/>
  </w:num>
  <w:num w:numId="14" w16cid:durableId="1111171272">
    <w:abstractNumId w:val="15"/>
  </w:num>
  <w:num w:numId="15" w16cid:durableId="495808549">
    <w:abstractNumId w:val="2"/>
  </w:num>
  <w:num w:numId="16" w16cid:durableId="917523970">
    <w:abstractNumId w:val="6"/>
  </w:num>
  <w:num w:numId="17" w16cid:durableId="1700662482">
    <w:abstractNumId w:val="19"/>
  </w:num>
  <w:num w:numId="18" w16cid:durableId="1945186938">
    <w:abstractNumId w:val="12"/>
  </w:num>
  <w:num w:numId="19" w16cid:durableId="1439253063">
    <w:abstractNumId w:val="3"/>
  </w:num>
  <w:num w:numId="20" w16cid:durableId="564682505">
    <w:abstractNumId w:val="11"/>
  </w:num>
  <w:num w:numId="21" w16cid:durableId="673530684">
    <w:abstractNumId w:val="1"/>
  </w:num>
  <w:num w:numId="22" w16cid:durableId="1299604404">
    <w:abstractNumId w:val="16"/>
  </w:num>
  <w:num w:numId="23" w16cid:durableId="283123386">
    <w:abstractNumId w:val="9"/>
  </w:num>
  <w:num w:numId="24" w16cid:durableId="1640497421">
    <w:abstractNumId w:val="14"/>
  </w:num>
  <w:num w:numId="25" w16cid:durableId="612176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AU" w:vendorID="64" w:dllVersion="0" w:nlCheck="1" w:checkStyle="0"/>
  <w:activeWritingStyle w:appName="MSWord" w:lang="fr-CH"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E73"/>
    <w:rsid w:val="0000227A"/>
    <w:rsid w:val="00003473"/>
    <w:rsid w:val="00006A89"/>
    <w:rsid w:val="00010BE2"/>
    <w:rsid w:val="000134CD"/>
    <w:rsid w:val="00014C41"/>
    <w:rsid w:val="000163C5"/>
    <w:rsid w:val="00016574"/>
    <w:rsid w:val="00017359"/>
    <w:rsid w:val="00021BC2"/>
    <w:rsid w:val="00022A54"/>
    <w:rsid w:val="000249A1"/>
    <w:rsid w:val="00025456"/>
    <w:rsid w:val="000256B3"/>
    <w:rsid w:val="0002700F"/>
    <w:rsid w:val="00032030"/>
    <w:rsid w:val="0003300E"/>
    <w:rsid w:val="000342BA"/>
    <w:rsid w:val="00034A26"/>
    <w:rsid w:val="000358E2"/>
    <w:rsid w:val="000360BF"/>
    <w:rsid w:val="00036AB1"/>
    <w:rsid w:val="00037333"/>
    <w:rsid w:val="00044400"/>
    <w:rsid w:val="000449D5"/>
    <w:rsid w:val="00050E42"/>
    <w:rsid w:val="00050E79"/>
    <w:rsid w:val="00051D79"/>
    <w:rsid w:val="0005297A"/>
    <w:rsid w:val="00052A68"/>
    <w:rsid w:val="00052E28"/>
    <w:rsid w:val="000540A6"/>
    <w:rsid w:val="00054C6A"/>
    <w:rsid w:val="00055540"/>
    <w:rsid w:val="000555D3"/>
    <w:rsid w:val="00055911"/>
    <w:rsid w:val="0005718F"/>
    <w:rsid w:val="000576E2"/>
    <w:rsid w:val="00065BF7"/>
    <w:rsid w:val="00065EBE"/>
    <w:rsid w:val="000663D7"/>
    <w:rsid w:val="00067EC0"/>
    <w:rsid w:val="0007116D"/>
    <w:rsid w:val="00072285"/>
    <w:rsid w:val="00076299"/>
    <w:rsid w:val="000771EB"/>
    <w:rsid w:val="00077242"/>
    <w:rsid w:val="0008026F"/>
    <w:rsid w:val="00081815"/>
    <w:rsid w:val="000826E9"/>
    <w:rsid w:val="00083EAE"/>
    <w:rsid w:val="00084187"/>
    <w:rsid w:val="00084634"/>
    <w:rsid w:val="00084BAF"/>
    <w:rsid w:val="00084D1A"/>
    <w:rsid w:val="00084F54"/>
    <w:rsid w:val="00085A0D"/>
    <w:rsid w:val="00087805"/>
    <w:rsid w:val="000904AF"/>
    <w:rsid w:val="00090CCD"/>
    <w:rsid w:val="00091F0D"/>
    <w:rsid w:val="00093BA2"/>
    <w:rsid w:val="00094B7A"/>
    <w:rsid w:val="000960E0"/>
    <w:rsid w:val="000967F3"/>
    <w:rsid w:val="000A065E"/>
    <w:rsid w:val="000A07B4"/>
    <w:rsid w:val="000A4D3B"/>
    <w:rsid w:val="000A6284"/>
    <w:rsid w:val="000A749E"/>
    <w:rsid w:val="000B0366"/>
    <w:rsid w:val="000B07D1"/>
    <w:rsid w:val="000B0CC9"/>
    <w:rsid w:val="000B2B9D"/>
    <w:rsid w:val="000B3EF0"/>
    <w:rsid w:val="000C3022"/>
    <w:rsid w:val="000C5938"/>
    <w:rsid w:val="000C77CF"/>
    <w:rsid w:val="000D51E2"/>
    <w:rsid w:val="000E1154"/>
    <w:rsid w:val="000E20E9"/>
    <w:rsid w:val="000E25B0"/>
    <w:rsid w:val="000E2E79"/>
    <w:rsid w:val="000E6430"/>
    <w:rsid w:val="000E7F16"/>
    <w:rsid w:val="000F029E"/>
    <w:rsid w:val="000F0358"/>
    <w:rsid w:val="000F2AEA"/>
    <w:rsid w:val="000F37D3"/>
    <w:rsid w:val="000F3B02"/>
    <w:rsid w:val="000F43CA"/>
    <w:rsid w:val="000F53A6"/>
    <w:rsid w:val="000F56D4"/>
    <w:rsid w:val="000F72F8"/>
    <w:rsid w:val="00100102"/>
    <w:rsid w:val="0010178B"/>
    <w:rsid w:val="00101CDD"/>
    <w:rsid w:val="00102AB7"/>
    <w:rsid w:val="00102C49"/>
    <w:rsid w:val="00103FF6"/>
    <w:rsid w:val="001056ED"/>
    <w:rsid w:val="00107227"/>
    <w:rsid w:val="001073FC"/>
    <w:rsid w:val="00110792"/>
    <w:rsid w:val="00110A97"/>
    <w:rsid w:val="00111495"/>
    <w:rsid w:val="00111872"/>
    <w:rsid w:val="0011303C"/>
    <w:rsid w:val="00113FDA"/>
    <w:rsid w:val="001161C8"/>
    <w:rsid w:val="00117FE8"/>
    <w:rsid w:val="0012113D"/>
    <w:rsid w:val="0012344D"/>
    <w:rsid w:val="00123BA1"/>
    <w:rsid w:val="001240BB"/>
    <w:rsid w:val="00125A47"/>
    <w:rsid w:val="001378E6"/>
    <w:rsid w:val="001379B9"/>
    <w:rsid w:val="00137BE4"/>
    <w:rsid w:val="00141494"/>
    <w:rsid w:val="00142A7C"/>
    <w:rsid w:val="00145524"/>
    <w:rsid w:val="0014588B"/>
    <w:rsid w:val="00145DB7"/>
    <w:rsid w:val="00146D7C"/>
    <w:rsid w:val="00156312"/>
    <w:rsid w:val="00157031"/>
    <w:rsid w:val="00161A60"/>
    <w:rsid w:val="00162B4E"/>
    <w:rsid w:val="0016384D"/>
    <w:rsid w:val="001647D7"/>
    <w:rsid w:val="00165202"/>
    <w:rsid w:val="00165D8A"/>
    <w:rsid w:val="00166DAB"/>
    <w:rsid w:val="00167A80"/>
    <w:rsid w:val="00167E50"/>
    <w:rsid w:val="001700CA"/>
    <w:rsid w:val="00171D4B"/>
    <w:rsid w:val="00171DF6"/>
    <w:rsid w:val="0017252F"/>
    <w:rsid w:val="00173101"/>
    <w:rsid w:val="00173474"/>
    <w:rsid w:val="00174E79"/>
    <w:rsid w:val="00180123"/>
    <w:rsid w:val="001834C2"/>
    <w:rsid w:val="001876BA"/>
    <w:rsid w:val="00190BC6"/>
    <w:rsid w:val="00191042"/>
    <w:rsid w:val="00191139"/>
    <w:rsid w:val="00191268"/>
    <w:rsid w:val="00192ABA"/>
    <w:rsid w:val="001930AD"/>
    <w:rsid w:val="00195516"/>
    <w:rsid w:val="00196B6A"/>
    <w:rsid w:val="001977F5"/>
    <w:rsid w:val="001A04CB"/>
    <w:rsid w:val="001A24E4"/>
    <w:rsid w:val="001A3992"/>
    <w:rsid w:val="001A5012"/>
    <w:rsid w:val="001A5B3C"/>
    <w:rsid w:val="001B02BF"/>
    <w:rsid w:val="001B2070"/>
    <w:rsid w:val="001B2A94"/>
    <w:rsid w:val="001B2E9D"/>
    <w:rsid w:val="001B308D"/>
    <w:rsid w:val="001B4327"/>
    <w:rsid w:val="001B54D6"/>
    <w:rsid w:val="001B5E96"/>
    <w:rsid w:val="001B6E00"/>
    <w:rsid w:val="001B71BB"/>
    <w:rsid w:val="001C002A"/>
    <w:rsid w:val="001C03DB"/>
    <w:rsid w:val="001C1C3B"/>
    <w:rsid w:val="001C4C05"/>
    <w:rsid w:val="001C5054"/>
    <w:rsid w:val="001C50E8"/>
    <w:rsid w:val="001C6359"/>
    <w:rsid w:val="001C6622"/>
    <w:rsid w:val="001C6B71"/>
    <w:rsid w:val="001C7608"/>
    <w:rsid w:val="001D07F9"/>
    <w:rsid w:val="001D1294"/>
    <w:rsid w:val="001D139C"/>
    <w:rsid w:val="001D37D3"/>
    <w:rsid w:val="001D490B"/>
    <w:rsid w:val="001D568F"/>
    <w:rsid w:val="001D6936"/>
    <w:rsid w:val="001E14D7"/>
    <w:rsid w:val="001E2795"/>
    <w:rsid w:val="001E4BB4"/>
    <w:rsid w:val="001E4ED9"/>
    <w:rsid w:val="001E5129"/>
    <w:rsid w:val="001F1227"/>
    <w:rsid w:val="001F4F4A"/>
    <w:rsid w:val="001F57C4"/>
    <w:rsid w:val="001F5B07"/>
    <w:rsid w:val="001F5CC2"/>
    <w:rsid w:val="001F7FE0"/>
    <w:rsid w:val="00200370"/>
    <w:rsid w:val="0020349F"/>
    <w:rsid w:val="00206F6B"/>
    <w:rsid w:val="00207BED"/>
    <w:rsid w:val="00210696"/>
    <w:rsid w:val="00211D07"/>
    <w:rsid w:val="0021427B"/>
    <w:rsid w:val="00215211"/>
    <w:rsid w:val="00220A3D"/>
    <w:rsid w:val="0022154E"/>
    <w:rsid w:val="00223598"/>
    <w:rsid w:val="00223F68"/>
    <w:rsid w:val="00225C69"/>
    <w:rsid w:val="00231CDB"/>
    <w:rsid w:val="00233D0A"/>
    <w:rsid w:val="0023436C"/>
    <w:rsid w:val="00234C4A"/>
    <w:rsid w:val="00234FC1"/>
    <w:rsid w:val="002357E5"/>
    <w:rsid w:val="00237F65"/>
    <w:rsid w:val="00240831"/>
    <w:rsid w:val="002412ED"/>
    <w:rsid w:val="002413B3"/>
    <w:rsid w:val="002413EE"/>
    <w:rsid w:val="0024199E"/>
    <w:rsid w:val="00241DC0"/>
    <w:rsid w:val="00242062"/>
    <w:rsid w:val="00242DA2"/>
    <w:rsid w:val="00243282"/>
    <w:rsid w:val="00243B9D"/>
    <w:rsid w:val="0024434D"/>
    <w:rsid w:val="002445E1"/>
    <w:rsid w:val="0024578B"/>
    <w:rsid w:val="00247717"/>
    <w:rsid w:val="00250E39"/>
    <w:rsid w:val="0025264B"/>
    <w:rsid w:val="00252689"/>
    <w:rsid w:val="00252E44"/>
    <w:rsid w:val="0025460A"/>
    <w:rsid w:val="00254798"/>
    <w:rsid w:val="00254D77"/>
    <w:rsid w:val="002551A7"/>
    <w:rsid w:val="00256EFD"/>
    <w:rsid w:val="00257C93"/>
    <w:rsid w:val="002602D3"/>
    <w:rsid w:val="0026070A"/>
    <w:rsid w:val="00260BEA"/>
    <w:rsid w:val="00261B54"/>
    <w:rsid w:val="00262D2B"/>
    <w:rsid w:val="002632F6"/>
    <w:rsid w:val="00263378"/>
    <w:rsid w:val="002655D1"/>
    <w:rsid w:val="00266125"/>
    <w:rsid w:val="002669B1"/>
    <w:rsid w:val="0027136D"/>
    <w:rsid w:val="002726EB"/>
    <w:rsid w:val="00274E01"/>
    <w:rsid w:val="00275CB7"/>
    <w:rsid w:val="00276477"/>
    <w:rsid w:val="002765D4"/>
    <w:rsid w:val="00277D47"/>
    <w:rsid w:val="002815EF"/>
    <w:rsid w:val="00282C95"/>
    <w:rsid w:val="0028396A"/>
    <w:rsid w:val="002863EE"/>
    <w:rsid w:val="0028767C"/>
    <w:rsid w:val="002910FC"/>
    <w:rsid w:val="00292DF1"/>
    <w:rsid w:val="00293411"/>
    <w:rsid w:val="00294050"/>
    <w:rsid w:val="002946A0"/>
    <w:rsid w:val="00294CE0"/>
    <w:rsid w:val="00294EA0"/>
    <w:rsid w:val="0029787B"/>
    <w:rsid w:val="002A1FF1"/>
    <w:rsid w:val="002A21D9"/>
    <w:rsid w:val="002A2655"/>
    <w:rsid w:val="002A33C2"/>
    <w:rsid w:val="002A375C"/>
    <w:rsid w:val="002A5095"/>
    <w:rsid w:val="002A562D"/>
    <w:rsid w:val="002A6383"/>
    <w:rsid w:val="002A67EA"/>
    <w:rsid w:val="002A79F4"/>
    <w:rsid w:val="002B0C22"/>
    <w:rsid w:val="002B0F89"/>
    <w:rsid w:val="002B1B2C"/>
    <w:rsid w:val="002B2689"/>
    <w:rsid w:val="002B2FFA"/>
    <w:rsid w:val="002B302B"/>
    <w:rsid w:val="002B30F6"/>
    <w:rsid w:val="002B3438"/>
    <w:rsid w:val="002B5043"/>
    <w:rsid w:val="002B5D70"/>
    <w:rsid w:val="002C0C93"/>
    <w:rsid w:val="002C0F41"/>
    <w:rsid w:val="002C1614"/>
    <w:rsid w:val="002C1DAC"/>
    <w:rsid w:val="002C3608"/>
    <w:rsid w:val="002C4AAF"/>
    <w:rsid w:val="002C4B56"/>
    <w:rsid w:val="002C6216"/>
    <w:rsid w:val="002C6239"/>
    <w:rsid w:val="002C63ED"/>
    <w:rsid w:val="002D178F"/>
    <w:rsid w:val="002D19CE"/>
    <w:rsid w:val="002D5FA8"/>
    <w:rsid w:val="002D71A7"/>
    <w:rsid w:val="002E1D47"/>
    <w:rsid w:val="002E277D"/>
    <w:rsid w:val="002E485B"/>
    <w:rsid w:val="002E52CD"/>
    <w:rsid w:val="002E6840"/>
    <w:rsid w:val="002F1162"/>
    <w:rsid w:val="002F3ADD"/>
    <w:rsid w:val="002F45DF"/>
    <w:rsid w:val="002F53B5"/>
    <w:rsid w:val="002F5663"/>
    <w:rsid w:val="002F7FDC"/>
    <w:rsid w:val="003006DC"/>
    <w:rsid w:val="00307D27"/>
    <w:rsid w:val="00310105"/>
    <w:rsid w:val="00311E7C"/>
    <w:rsid w:val="00314DEB"/>
    <w:rsid w:val="00315779"/>
    <w:rsid w:val="003157FD"/>
    <w:rsid w:val="00315E71"/>
    <w:rsid w:val="00317B6C"/>
    <w:rsid w:val="00317FA3"/>
    <w:rsid w:val="00320CC7"/>
    <w:rsid w:val="00321748"/>
    <w:rsid w:val="00322C69"/>
    <w:rsid w:val="00323582"/>
    <w:rsid w:val="00324557"/>
    <w:rsid w:val="003324D9"/>
    <w:rsid w:val="00333151"/>
    <w:rsid w:val="00333B5E"/>
    <w:rsid w:val="003361EA"/>
    <w:rsid w:val="003400D8"/>
    <w:rsid w:val="003405E6"/>
    <w:rsid w:val="0034072C"/>
    <w:rsid w:val="003409AC"/>
    <w:rsid w:val="0034134E"/>
    <w:rsid w:val="00342C1E"/>
    <w:rsid w:val="003431C1"/>
    <w:rsid w:val="0034756E"/>
    <w:rsid w:val="00350515"/>
    <w:rsid w:val="00350CB6"/>
    <w:rsid w:val="00356E6E"/>
    <w:rsid w:val="003575A0"/>
    <w:rsid w:val="00357AA2"/>
    <w:rsid w:val="00360516"/>
    <w:rsid w:val="00364B02"/>
    <w:rsid w:val="0036644C"/>
    <w:rsid w:val="003725DB"/>
    <w:rsid w:val="0037297E"/>
    <w:rsid w:val="00372D6F"/>
    <w:rsid w:val="00373B29"/>
    <w:rsid w:val="00373B88"/>
    <w:rsid w:val="00375263"/>
    <w:rsid w:val="003758D8"/>
    <w:rsid w:val="003802BE"/>
    <w:rsid w:val="00380621"/>
    <w:rsid w:val="00383644"/>
    <w:rsid w:val="0038365E"/>
    <w:rsid w:val="00383667"/>
    <w:rsid w:val="0038628F"/>
    <w:rsid w:val="0039026E"/>
    <w:rsid w:val="00393294"/>
    <w:rsid w:val="003933CD"/>
    <w:rsid w:val="0039460C"/>
    <w:rsid w:val="00394883"/>
    <w:rsid w:val="003A05A6"/>
    <w:rsid w:val="003A2007"/>
    <w:rsid w:val="003A37E1"/>
    <w:rsid w:val="003A3B89"/>
    <w:rsid w:val="003A47DA"/>
    <w:rsid w:val="003B546B"/>
    <w:rsid w:val="003B68C7"/>
    <w:rsid w:val="003B6D42"/>
    <w:rsid w:val="003C107B"/>
    <w:rsid w:val="003C3A7B"/>
    <w:rsid w:val="003C6164"/>
    <w:rsid w:val="003D1745"/>
    <w:rsid w:val="003D33D7"/>
    <w:rsid w:val="003D44E1"/>
    <w:rsid w:val="003D547B"/>
    <w:rsid w:val="003D5D15"/>
    <w:rsid w:val="003E0FB2"/>
    <w:rsid w:val="003E2267"/>
    <w:rsid w:val="003E3AD8"/>
    <w:rsid w:val="003E5E17"/>
    <w:rsid w:val="003E6013"/>
    <w:rsid w:val="003E72B9"/>
    <w:rsid w:val="003E7CCE"/>
    <w:rsid w:val="003F2E43"/>
    <w:rsid w:val="003F2FD7"/>
    <w:rsid w:val="003F4379"/>
    <w:rsid w:val="00401741"/>
    <w:rsid w:val="004026AA"/>
    <w:rsid w:val="004032BD"/>
    <w:rsid w:val="00406EE8"/>
    <w:rsid w:val="0040734A"/>
    <w:rsid w:val="004074F0"/>
    <w:rsid w:val="00410742"/>
    <w:rsid w:val="00410AC5"/>
    <w:rsid w:val="00410F4C"/>
    <w:rsid w:val="0041485C"/>
    <w:rsid w:val="004153B3"/>
    <w:rsid w:val="00421E83"/>
    <w:rsid w:val="00422008"/>
    <w:rsid w:val="00422888"/>
    <w:rsid w:val="00422EF1"/>
    <w:rsid w:val="004230B7"/>
    <w:rsid w:val="00423DDF"/>
    <w:rsid w:val="00424044"/>
    <w:rsid w:val="00424A1A"/>
    <w:rsid w:val="004252DC"/>
    <w:rsid w:val="00426021"/>
    <w:rsid w:val="00427629"/>
    <w:rsid w:val="00430799"/>
    <w:rsid w:val="00431ACD"/>
    <w:rsid w:val="00432718"/>
    <w:rsid w:val="00434938"/>
    <w:rsid w:val="00434999"/>
    <w:rsid w:val="00434A0F"/>
    <w:rsid w:val="00436E30"/>
    <w:rsid w:val="00437C99"/>
    <w:rsid w:val="00442DE1"/>
    <w:rsid w:val="00443FB9"/>
    <w:rsid w:val="004505BC"/>
    <w:rsid w:val="00451E2F"/>
    <w:rsid w:val="00452CEC"/>
    <w:rsid w:val="004541E7"/>
    <w:rsid w:val="00456560"/>
    <w:rsid w:val="00456927"/>
    <w:rsid w:val="0046019F"/>
    <w:rsid w:val="00461730"/>
    <w:rsid w:val="004640F8"/>
    <w:rsid w:val="0046567F"/>
    <w:rsid w:val="0046672E"/>
    <w:rsid w:val="00466884"/>
    <w:rsid w:val="00466A6A"/>
    <w:rsid w:val="00466F8E"/>
    <w:rsid w:val="00467795"/>
    <w:rsid w:val="00467BAE"/>
    <w:rsid w:val="00467F6A"/>
    <w:rsid w:val="00470A26"/>
    <w:rsid w:val="004710F3"/>
    <w:rsid w:val="0047151B"/>
    <w:rsid w:val="00473685"/>
    <w:rsid w:val="00473A8C"/>
    <w:rsid w:val="004740B2"/>
    <w:rsid w:val="00476A24"/>
    <w:rsid w:val="00477362"/>
    <w:rsid w:val="004816AE"/>
    <w:rsid w:val="00484928"/>
    <w:rsid w:val="004923F4"/>
    <w:rsid w:val="00492869"/>
    <w:rsid w:val="0049461E"/>
    <w:rsid w:val="00494A79"/>
    <w:rsid w:val="00494E94"/>
    <w:rsid w:val="004A089E"/>
    <w:rsid w:val="004A151F"/>
    <w:rsid w:val="004A435A"/>
    <w:rsid w:val="004A4605"/>
    <w:rsid w:val="004A6F6A"/>
    <w:rsid w:val="004B1D60"/>
    <w:rsid w:val="004B23A5"/>
    <w:rsid w:val="004B49E5"/>
    <w:rsid w:val="004B70D2"/>
    <w:rsid w:val="004C088D"/>
    <w:rsid w:val="004C133A"/>
    <w:rsid w:val="004C1BA6"/>
    <w:rsid w:val="004C3A96"/>
    <w:rsid w:val="004C469D"/>
    <w:rsid w:val="004C5D25"/>
    <w:rsid w:val="004C6132"/>
    <w:rsid w:val="004C6467"/>
    <w:rsid w:val="004C66F0"/>
    <w:rsid w:val="004C70E0"/>
    <w:rsid w:val="004C775F"/>
    <w:rsid w:val="004D1402"/>
    <w:rsid w:val="004D1629"/>
    <w:rsid w:val="004D396F"/>
    <w:rsid w:val="004E13ED"/>
    <w:rsid w:val="004E1D76"/>
    <w:rsid w:val="004E2BD5"/>
    <w:rsid w:val="004E65AE"/>
    <w:rsid w:val="004F02AE"/>
    <w:rsid w:val="004F171E"/>
    <w:rsid w:val="004F2A82"/>
    <w:rsid w:val="004F6775"/>
    <w:rsid w:val="004F68CE"/>
    <w:rsid w:val="0050043B"/>
    <w:rsid w:val="005052DC"/>
    <w:rsid w:val="00510AE3"/>
    <w:rsid w:val="00511EF3"/>
    <w:rsid w:val="00512BA0"/>
    <w:rsid w:val="0051524F"/>
    <w:rsid w:val="00517DD1"/>
    <w:rsid w:val="005209DE"/>
    <w:rsid w:val="00520E2A"/>
    <w:rsid w:val="00521478"/>
    <w:rsid w:val="005248A1"/>
    <w:rsid w:val="005251EC"/>
    <w:rsid w:val="00525709"/>
    <w:rsid w:val="005310EA"/>
    <w:rsid w:val="005312CE"/>
    <w:rsid w:val="00531E80"/>
    <w:rsid w:val="00531F17"/>
    <w:rsid w:val="0053238E"/>
    <w:rsid w:val="00532B59"/>
    <w:rsid w:val="00535334"/>
    <w:rsid w:val="0053652A"/>
    <w:rsid w:val="00536A35"/>
    <w:rsid w:val="00537147"/>
    <w:rsid w:val="005376E7"/>
    <w:rsid w:val="005379A2"/>
    <w:rsid w:val="00543E73"/>
    <w:rsid w:val="005475B5"/>
    <w:rsid w:val="00551661"/>
    <w:rsid w:val="00553863"/>
    <w:rsid w:val="00553DDC"/>
    <w:rsid w:val="00557789"/>
    <w:rsid w:val="005610BA"/>
    <w:rsid w:val="0056140B"/>
    <w:rsid w:val="00573F60"/>
    <w:rsid w:val="00574684"/>
    <w:rsid w:val="00574D9A"/>
    <w:rsid w:val="005765F5"/>
    <w:rsid w:val="0057714A"/>
    <w:rsid w:val="00577362"/>
    <w:rsid w:val="00577414"/>
    <w:rsid w:val="005824C9"/>
    <w:rsid w:val="00584272"/>
    <w:rsid w:val="00585924"/>
    <w:rsid w:val="005875A4"/>
    <w:rsid w:val="005878E7"/>
    <w:rsid w:val="00591F8A"/>
    <w:rsid w:val="00594BE0"/>
    <w:rsid w:val="005954C9"/>
    <w:rsid w:val="00595FA5"/>
    <w:rsid w:val="005967A0"/>
    <w:rsid w:val="005979C3"/>
    <w:rsid w:val="005A00C3"/>
    <w:rsid w:val="005A0AED"/>
    <w:rsid w:val="005A0D6C"/>
    <w:rsid w:val="005A1617"/>
    <w:rsid w:val="005A35DF"/>
    <w:rsid w:val="005A41FD"/>
    <w:rsid w:val="005A6E39"/>
    <w:rsid w:val="005A7299"/>
    <w:rsid w:val="005A75F3"/>
    <w:rsid w:val="005B16C2"/>
    <w:rsid w:val="005B19BA"/>
    <w:rsid w:val="005B2529"/>
    <w:rsid w:val="005B3117"/>
    <w:rsid w:val="005B53D3"/>
    <w:rsid w:val="005B5CF1"/>
    <w:rsid w:val="005C0840"/>
    <w:rsid w:val="005C3347"/>
    <w:rsid w:val="005C375C"/>
    <w:rsid w:val="005C3BC7"/>
    <w:rsid w:val="005C4F28"/>
    <w:rsid w:val="005C5011"/>
    <w:rsid w:val="005C518F"/>
    <w:rsid w:val="005C6CBE"/>
    <w:rsid w:val="005D1B8B"/>
    <w:rsid w:val="005D22BE"/>
    <w:rsid w:val="005D2604"/>
    <w:rsid w:val="005D4F45"/>
    <w:rsid w:val="005D588E"/>
    <w:rsid w:val="005D6BF1"/>
    <w:rsid w:val="005D6D06"/>
    <w:rsid w:val="005E0691"/>
    <w:rsid w:val="005E1356"/>
    <w:rsid w:val="005E52D1"/>
    <w:rsid w:val="005E53EC"/>
    <w:rsid w:val="005E57B5"/>
    <w:rsid w:val="005E6C7A"/>
    <w:rsid w:val="005F0586"/>
    <w:rsid w:val="005F1E0E"/>
    <w:rsid w:val="005F22E7"/>
    <w:rsid w:val="005F25A9"/>
    <w:rsid w:val="005F3C15"/>
    <w:rsid w:val="005F5E47"/>
    <w:rsid w:val="005F6582"/>
    <w:rsid w:val="006002D3"/>
    <w:rsid w:val="00600C14"/>
    <w:rsid w:val="00601718"/>
    <w:rsid w:val="00603A8C"/>
    <w:rsid w:val="00604318"/>
    <w:rsid w:val="00604952"/>
    <w:rsid w:val="00605CCF"/>
    <w:rsid w:val="00606517"/>
    <w:rsid w:val="00610CB0"/>
    <w:rsid w:val="00613DDC"/>
    <w:rsid w:val="00614253"/>
    <w:rsid w:val="006155CC"/>
    <w:rsid w:val="00616DC6"/>
    <w:rsid w:val="00617989"/>
    <w:rsid w:val="00621342"/>
    <w:rsid w:val="006226A6"/>
    <w:rsid w:val="006228B6"/>
    <w:rsid w:val="00622ADB"/>
    <w:rsid w:val="00625241"/>
    <w:rsid w:val="00625D2A"/>
    <w:rsid w:val="00627778"/>
    <w:rsid w:val="00631761"/>
    <w:rsid w:val="006332BE"/>
    <w:rsid w:val="00633C86"/>
    <w:rsid w:val="00634AD4"/>
    <w:rsid w:val="00634C55"/>
    <w:rsid w:val="00635661"/>
    <w:rsid w:val="00640EC9"/>
    <w:rsid w:val="006432F8"/>
    <w:rsid w:val="0064338F"/>
    <w:rsid w:val="006434DF"/>
    <w:rsid w:val="00643551"/>
    <w:rsid w:val="006459B0"/>
    <w:rsid w:val="006460F9"/>
    <w:rsid w:val="00646C7A"/>
    <w:rsid w:val="00646F34"/>
    <w:rsid w:val="006507F4"/>
    <w:rsid w:val="00650931"/>
    <w:rsid w:val="00650EFE"/>
    <w:rsid w:val="00651397"/>
    <w:rsid w:val="00651A7A"/>
    <w:rsid w:val="00651BFE"/>
    <w:rsid w:val="00652F51"/>
    <w:rsid w:val="00654C05"/>
    <w:rsid w:val="0065536A"/>
    <w:rsid w:val="00656A8B"/>
    <w:rsid w:val="00660B67"/>
    <w:rsid w:val="006615EE"/>
    <w:rsid w:val="00661CC0"/>
    <w:rsid w:val="00661E2E"/>
    <w:rsid w:val="00662030"/>
    <w:rsid w:val="00665C99"/>
    <w:rsid w:val="00666DEE"/>
    <w:rsid w:val="00666E57"/>
    <w:rsid w:val="00670457"/>
    <w:rsid w:val="00675B61"/>
    <w:rsid w:val="00676170"/>
    <w:rsid w:val="00676929"/>
    <w:rsid w:val="00680D91"/>
    <w:rsid w:val="00682952"/>
    <w:rsid w:val="0068306F"/>
    <w:rsid w:val="00683BEB"/>
    <w:rsid w:val="0068405F"/>
    <w:rsid w:val="006852C6"/>
    <w:rsid w:val="00685510"/>
    <w:rsid w:val="00686652"/>
    <w:rsid w:val="00687159"/>
    <w:rsid w:val="006878D1"/>
    <w:rsid w:val="0069046C"/>
    <w:rsid w:val="006928FA"/>
    <w:rsid w:val="0069536A"/>
    <w:rsid w:val="0069595C"/>
    <w:rsid w:val="006959F6"/>
    <w:rsid w:val="006973FB"/>
    <w:rsid w:val="00697FDC"/>
    <w:rsid w:val="006A0F58"/>
    <w:rsid w:val="006A1220"/>
    <w:rsid w:val="006A1A3D"/>
    <w:rsid w:val="006A5280"/>
    <w:rsid w:val="006A70A5"/>
    <w:rsid w:val="006A7321"/>
    <w:rsid w:val="006B04F6"/>
    <w:rsid w:val="006B074A"/>
    <w:rsid w:val="006B29B5"/>
    <w:rsid w:val="006B2E8E"/>
    <w:rsid w:val="006B3472"/>
    <w:rsid w:val="006B52B5"/>
    <w:rsid w:val="006C0334"/>
    <w:rsid w:val="006C2F7C"/>
    <w:rsid w:val="006C3247"/>
    <w:rsid w:val="006C4B61"/>
    <w:rsid w:val="006C4BF0"/>
    <w:rsid w:val="006C544E"/>
    <w:rsid w:val="006C7BDB"/>
    <w:rsid w:val="006D0C14"/>
    <w:rsid w:val="006D0FA2"/>
    <w:rsid w:val="006D39E9"/>
    <w:rsid w:val="006D65FE"/>
    <w:rsid w:val="006D69A9"/>
    <w:rsid w:val="006D6BCA"/>
    <w:rsid w:val="006E1831"/>
    <w:rsid w:val="006E33D8"/>
    <w:rsid w:val="006F0360"/>
    <w:rsid w:val="006F1408"/>
    <w:rsid w:val="006F1D19"/>
    <w:rsid w:val="006F477E"/>
    <w:rsid w:val="006F61D4"/>
    <w:rsid w:val="006F6706"/>
    <w:rsid w:val="0070208B"/>
    <w:rsid w:val="007022D5"/>
    <w:rsid w:val="00702FE8"/>
    <w:rsid w:val="007030A3"/>
    <w:rsid w:val="007040B9"/>
    <w:rsid w:val="00704A28"/>
    <w:rsid w:val="00705794"/>
    <w:rsid w:val="0071014D"/>
    <w:rsid w:val="00711E82"/>
    <w:rsid w:val="007120E5"/>
    <w:rsid w:val="00715FE9"/>
    <w:rsid w:val="007162F7"/>
    <w:rsid w:val="00716CA7"/>
    <w:rsid w:val="00724C8B"/>
    <w:rsid w:val="007301D7"/>
    <w:rsid w:val="00730BA1"/>
    <w:rsid w:val="00730E0E"/>
    <w:rsid w:val="00734510"/>
    <w:rsid w:val="00737A71"/>
    <w:rsid w:val="00740AC1"/>
    <w:rsid w:val="00743915"/>
    <w:rsid w:val="00744879"/>
    <w:rsid w:val="0074575B"/>
    <w:rsid w:val="00746B10"/>
    <w:rsid w:val="00746CB1"/>
    <w:rsid w:val="007551A7"/>
    <w:rsid w:val="00756772"/>
    <w:rsid w:val="007567BC"/>
    <w:rsid w:val="00756BB2"/>
    <w:rsid w:val="00760A3A"/>
    <w:rsid w:val="0076198F"/>
    <w:rsid w:val="00763380"/>
    <w:rsid w:val="007633D5"/>
    <w:rsid w:val="00763DB5"/>
    <w:rsid w:val="00765417"/>
    <w:rsid w:val="00767591"/>
    <w:rsid w:val="00770ECD"/>
    <w:rsid w:val="007712AF"/>
    <w:rsid w:val="007713AC"/>
    <w:rsid w:val="00772596"/>
    <w:rsid w:val="0077516B"/>
    <w:rsid w:val="0077660C"/>
    <w:rsid w:val="00776A73"/>
    <w:rsid w:val="00776AC6"/>
    <w:rsid w:val="007770BD"/>
    <w:rsid w:val="00781D63"/>
    <w:rsid w:val="0078319B"/>
    <w:rsid w:val="00785640"/>
    <w:rsid w:val="00786800"/>
    <w:rsid w:val="00787122"/>
    <w:rsid w:val="0078740E"/>
    <w:rsid w:val="00787E0C"/>
    <w:rsid w:val="00791B74"/>
    <w:rsid w:val="007930E1"/>
    <w:rsid w:val="00795076"/>
    <w:rsid w:val="00795558"/>
    <w:rsid w:val="0079684B"/>
    <w:rsid w:val="007A0151"/>
    <w:rsid w:val="007A0641"/>
    <w:rsid w:val="007A1277"/>
    <w:rsid w:val="007A1BF6"/>
    <w:rsid w:val="007A2413"/>
    <w:rsid w:val="007A52DC"/>
    <w:rsid w:val="007A6E5A"/>
    <w:rsid w:val="007A7383"/>
    <w:rsid w:val="007B1EDB"/>
    <w:rsid w:val="007B4861"/>
    <w:rsid w:val="007B4A06"/>
    <w:rsid w:val="007B6ACD"/>
    <w:rsid w:val="007B7FFA"/>
    <w:rsid w:val="007C0214"/>
    <w:rsid w:val="007C3326"/>
    <w:rsid w:val="007D097E"/>
    <w:rsid w:val="007D574B"/>
    <w:rsid w:val="007E0332"/>
    <w:rsid w:val="007E175C"/>
    <w:rsid w:val="007E4125"/>
    <w:rsid w:val="007E5759"/>
    <w:rsid w:val="007E5C1C"/>
    <w:rsid w:val="007E693C"/>
    <w:rsid w:val="007F1893"/>
    <w:rsid w:val="007F1C2F"/>
    <w:rsid w:val="007F2E1C"/>
    <w:rsid w:val="007F35B4"/>
    <w:rsid w:val="007F4A1C"/>
    <w:rsid w:val="007F51C3"/>
    <w:rsid w:val="007F7754"/>
    <w:rsid w:val="00804B2A"/>
    <w:rsid w:val="00805084"/>
    <w:rsid w:val="008079AB"/>
    <w:rsid w:val="00813D96"/>
    <w:rsid w:val="008146FF"/>
    <w:rsid w:val="00814884"/>
    <w:rsid w:val="008157E2"/>
    <w:rsid w:val="00816379"/>
    <w:rsid w:val="00816ECD"/>
    <w:rsid w:val="00817511"/>
    <w:rsid w:val="00820574"/>
    <w:rsid w:val="00822A4C"/>
    <w:rsid w:val="00823EA6"/>
    <w:rsid w:val="0082565A"/>
    <w:rsid w:val="00826880"/>
    <w:rsid w:val="00826A2E"/>
    <w:rsid w:val="00830AF9"/>
    <w:rsid w:val="00830B76"/>
    <w:rsid w:val="008312BA"/>
    <w:rsid w:val="0083144A"/>
    <w:rsid w:val="00832CFD"/>
    <w:rsid w:val="00834D1D"/>
    <w:rsid w:val="00835233"/>
    <w:rsid w:val="008369D6"/>
    <w:rsid w:val="00837081"/>
    <w:rsid w:val="008425C7"/>
    <w:rsid w:val="00842FC5"/>
    <w:rsid w:val="00843120"/>
    <w:rsid w:val="008445EC"/>
    <w:rsid w:val="00844B8D"/>
    <w:rsid w:val="00850930"/>
    <w:rsid w:val="00850E93"/>
    <w:rsid w:val="0085232A"/>
    <w:rsid w:val="0085474F"/>
    <w:rsid w:val="008547F9"/>
    <w:rsid w:val="008552A6"/>
    <w:rsid w:val="00856530"/>
    <w:rsid w:val="00857D4E"/>
    <w:rsid w:val="0086174B"/>
    <w:rsid w:val="008619FD"/>
    <w:rsid w:val="00862D7A"/>
    <w:rsid w:val="00864281"/>
    <w:rsid w:val="00865CFA"/>
    <w:rsid w:val="00867414"/>
    <w:rsid w:val="00867CD2"/>
    <w:rsid w:val="0087039A"/>
    <w:rsid w:val="00871B5F"/>
    <w:rsid w:val="00872A1D"/>
    <w:rsid w:val="0088202A"/>
    <w:rsid w:val="008821AE"/>
    <w:rsid w:val="008822F5"/>
    <w:rsid w:val="00884013"/>
    <w:rsid w:val="00884D15"/>
    <w:rsid w:val="00893D34"/>
    <w:rsid w:val="00893E7B"/>
    <w:rsid w:val="00894274"/>
    <w:rsid w:val="00896DD2"/>
    <w:rsid w:val="008A0D6D"/>
    <w:rsid w:val="008A3AB9"/>
    <w:rsid w:val="008A469C"/>
    <w:rsid w:val="008A5A22"/>
    <w:rsid w:val="008A6384"/>
    <w:rsid w:val="008A6541"/>
    <w:rsid w:val="008A659A"/>
    <w:rsid w:val="008A74C7"/>
    <w:rsid w:val="008B0AD2"/>
    <w:rsid w:val="008B1DEA"/>
    <w:rsid w:val="008B2833"/>
    <w:rsid w:val="008B5B0D"/>
    <w:rsid w:val="008B5F7D"/>
    <w:rsid w:val="008B644A"/>
    <w:rsid w:val="008B68AE"/>
    <w:rsid w:val="008B7403"/>
    <w:rsid w:val="008B7D08"/>
    <w:rsid w:val="008B7E07"/>
    <w:rsid w:val="008C125F"/>
    <w:rsid w:val="008C404E"/>
    <w:rsid w:val="008C49B6"/>
    <w:rsid w:val="008D03CF"/>
    <w:rsid w:val="008D09FF"/>
    <w:rsid w:val="008D24D7"/>
    <w:rsid w:val="008E4801"/>
    <w:rsid w:val="008E5752"/>
    <w:rsid w:val="008E6405"/>
    <w:rsid w:val="008E7222"/>
    <w:rsid w:val="008E7A02"/>
    <w:rsid w:val="008E7B02"/>
    <w:rsid w:val="008F497B"/>
    <w:rsid w:val="008F67E7"/>
    <w:rsid w:val="008F74B4"/>
    <w:rsid w:val="009026D3"/>
    <w:rsid w:val="00902A75"/>
    <w:rsid w:val="009030C5"/>
    <w:rsid w:val="00911071"/>
    <w:rsid w:val="00912728"/>
    <w:rsid w:val="00912C3D"/>
    <w:rsid w:val="009150C7"/>
    <w:rsid w:val="00916F59"/>
    <w:rsid w:val="0092048D"/>
    <w:rsid w:val="00922DBC"/>
    <w:rsid w:val="00923617"/>
    <w:rsid w:val="00926FE5"/>
    <w:rsid w:val="009272CC"/>
    <w:rsid w:val="00927A0D"/>
    <w:rsid w:val="00927E90"/>
    <w:rsid w:val="00930AA4"/>
    <w:rsid w:val="0093277A"/>
    <w:rsid w:val="009364B4"/>
    <w:rsid w:val="00943905"/>
    <w:rsid w:val="00944C33"/>
    <w:rsid w:val="00944E9A"/>
    <w:rsid w:val="0094727B"/>
    <w:rsid w:val="00950C30"/>
    <w:rsid w:val="009564DF"/>
    <w:rsid w:val="00956508"/>
    <w:rsid w:val="0095690D"/>
    <w:rsid w:val="0096043F"/>
    <w:rsid w:val="00960CD5"/>
    <w:rsid w:val="00960DC7"/>
    <w:rsid w:val="009626AE"/>
    <w:rsid w:val="009626F2"/>
    <w:rsid w:val="009638AC"/>
    <w:rsid w:val="00965647"/>
    <w:rsid w:val="00970C92"/>
    <w:rsid w:val="009717CC"/>
    <w:rsid w:val="00972F2B"/>
    <w:rsid w:val="009760DE"/>
    <w:rsid w:val="00977AC2"/>
    <w:rsid w:val="009815D0"/>
    <w:rsid w:val="00981893"/>
    <w:rsid w:val="00982083"/>
    <w:rsid w:val="009862B2"/>
    <w:rsid w:val="0099128D"/>
    <w:rsid w:val="0099158F"/>
    <w:rsid w:val="00991A07"/>
    <w:rsid w:val="00994816"/>
    <w:rsid w:val="00995928"/>
    <w:rsid w:val="0099631F"/>
    <w:rsid w:val="009A1049"/>
    <w:rsid w:val="009A34A5"/>
    <w:rsid w:val="009A364C"/>
    <w:rsid w:val="009A3FA1"/>
    <w:rsid w:val="009A70FC"/>
    <w:rsid w:val="009B0B37"/>
    <w:rsid w:val="009B275E"/>
    <w:rsid w:val="009B2A43"/>
    <w:rsid w:val="009B4704"/>
    <w:rsid w:val="009B511B"/>
    <w:rsid w:val="009B58FF"/>
    <w:rsid w:val="009B6420"/>
    <w:rsid w:val="009B6711"/>
    <w:rsid w:val="009B7A3F"/>
    <w:rsid w:val="009C0D05"/>
    <w:rsid w:val="009C75CA"/>
    <w:rsid w:val="009D55FD"/>
    <w:rsid w:val="009D737A"/>
    <w:rsid w:val="009D7F46"/>
    <w:rsid w:val="009E021D"/>
    <w:rsid w:val="009E1329"/>
    <w:rsid w:val="009E1BB1"/>
    <w:rsid w:val="009E721C"/>
    <w:rsid w:val="009E7DEA"/>
    <w:rsid w:val="009F0493"/>
    <w:rsid w:val="009F0D94"/>
    <w:rsid w:val="009F12A2"/>
    <w:rsid w:val="009F2EAB"/>
    <w:rsid w:val="009F2F50"/>
    <w:rsid w:val="009F3FFC"/>
    <w:rsid w:val="009F4260"/>
    <w:rsid w:val="009F68DF"/>
    <w:rsid w:val="009F6F23"/>
    <w:rsid w:val="009F711A"/>
    <w:rsid w:val="009F7D61"/>
    <w:rsid w:val="00A011C5"/>
    <w:rsid w:val="00A0276F"/>
    <w:rsid w:val="00A03218"/>
    <w:rsid w:val="00A0344F"/>
    <w:rsid w:val="00A06117"/>
    <w:rsid w:val="00A10B6B"/>
    <w:rsid w:val="00A1634E"/>
    <w:rsid w:val="00A16A91"/>
    <w:rsid w:val="00A20B35"/>
    <w:rsid w:val="00A20FEE"/>
    <w:rsid w:val="00A23872"/>
    <w:rsid w:val="00A23C39"/>
    <w:rsid w:val="00A24D21"/>
    <w:rsid w:val="00A24E9F"/>
    <w:rsid w:val="00A25908"/>
    <w:rsid w:val="00A27994"/>
    <w:rsid w:val="00A27D60"/>
    <w:rsid w:val="00A30592"/>
    <w:rsid w:val="00A33C76"/>
    <w:rsid w:val="00A33FAB"/>
    <w:rsid w:val="00A37304"/>
    <w:rsid w:val="00A3759E"/>
    <w:rsid w:val="00A431B4"/>
    <w:rsid w:val="00A433B3"/>
    <w:rsid w:val="00A461D6"/>
    <w:rsid w:val="00A46A30"/>
    <w:rsid w:val="00A46A38"/>
    <w:rsid w:val="00A46D45"/>
    <w:rsid w:val="00A52381"/>
    <w:rsid w:val="00A544F3"/>
    <w:rsid w:val="00A551D5"/>
    <w:rsid w:val="00A55C79"/>
    <w:rsid w:val="00A563F3"/>
    <w:rsid w:val="00A56CDA"/>
    <w:rsid w:val="00A57BEF"/>
    <w:rsid w:val="00A612B9"/>
    <w:rsid w:val="00A6133F"/>
    <w:rsid w:val="00A623A6"/>
    <w:rsid w:val="00A62E57"/>
    <w:rsid w:val="00A637E4"/>
    <w:rsid w:val="00A66018"/>
    <w:rsid w:val="00A678D4"/>
    <w:rsid w:val="00A67A98"/>
    <w:rsid w:val="00A705F3"/>
    <w:rsid w:val="00A71219"/>
    <w:rsid w:val="00A71311"/>
    <w:rsid w:val="00A717AD"/>
    <w:rsid w:val="00A753E6"/>
    <w:rsid w:val="00A76371"/>
    <w:rsid w:val="00A80874"/>
    <w:rsid w:val="00A8253C"/>
    <w:rsid w:val="00A846CB"/>
    <w:rsid w:val="00A8680C"/>
    <w:rsid w:val="00A876E0"/>
    <w:rsid w:val="00A91AEF"/>
    <w:rsid w:val="00A9467F"/>
    <w:rsid w:val="00A96E00"/>
    <w:rsid w:val="00AA4F17"/>
    <w:rsid w:val="00AA6BDD"/>
    <w:rsid w:val="00AA7DF4"/>
    <w:rsid w:val="00AB0950"/>
    <w:rsid w:val="00AB1DB7"/>
    <w:rsid w:val="00AB2B73"/>
    <w:rsid w:val="00AB416C"/>
    <w:rsid w:val="00AC09B6"/>
    <w:rsid w:val="00AC684A"/>
    <w:rsid w:val="00AC7390"/>
    <w:rsid w:val="00AD141D"/>
    <w:rsid w:val="00AD1BB5"/>
    <w:rsid w:val="00AD361C"/>
    <w:rsid w:val="00AD48AB"/>
    <w:rsid w:val="00AD6F21"/>
    <w:rsid w:val="00AD70C6"/>
    <w:rsid w:val="00AD781B"/>
    <w:rsid w:val="00AE2643"/>
    <w:rsid w:val="00AE3530"/>
    <w:rsid w:val="00AE3E2F"/>
    <w:rsid w:val="00AE5AFB"/>
    <w:rsid w:val="00AE67AF"/>
    <w:rsid w:val="00AE6C82"/>
    <w:rsid w:val="00AE7F3C"/>
    <w:rsid w:val="00AF2D8F"/>
    <w:rsid w:val="00AF446A"/>
    <w:rsid w:val="00AF47C9"/>
    <w:rsid w:val="00AF5197"/>
    <w:rsid w:val="00AF554D"/>
    <w:rsid w:val="00AF6272"/>
    <w:rsid w:val="00AF647D"/>
    <w:rsid w:val="00B00742"/>
    <w:rsid w:val="00B013FB"/>
    <w:rsid w:val="00B014E5"/>
    <w:rsid w:val="00B04475"/>
    <w:rsid w:val="00B04C05"/>
    <w:rsid w:val="00B06FAC"/>
    <w:rsid w:val="00B10ED5"/>
    <w:rsid w:val="00B11A23"/>
    <w:rsid w:val="00B140F8"/>
    <w:rsid w:val="00B1477C"/>
    <w:rsid w:val="00B15CC0"/>
    <w:rsid w:val="00B1653A"/>
    <w:rsid w:val="00B16A63"/>
    <w:rsid w:val="00B17BEA"/>
    <w:rsid w:val="00B22020"/>
    <w:rsid w:val="00B235EE"/>
    <w:rsid w:val="00B23BE8"/>
    <w:rsid w:val="00B247C4"/>
    <w:rsid w:val="00B25407"/>
    <w:rsid w:val="00B264C9"/>
    <w:rsid w:val="00B276A9"/>
    <w:rsid w:val="00B30703"/>
    <w:rsid w:val="00B31568"/>
    <w:rsid w:val="00B3214C"/>
    <w:rsid w:val="00B33519"/>
    <w:rsid w:val="00B33DC7"/>
    <w:rsid w:val="00B34081"/>
    <w:rsid w:val="00B345DF"/>
    <w:rsid w:val="00B363A7"/>
    <w:rsid w:val="00B40C1F"/>
    <w:rsid w:val="00B412F3"/>
    <w:rsid w:val="00B413E9"/>
    <w:rsid w:val="00B45232"/>
    <w:rsid w:val="00B51E49"/>
    <w:rsid w:val="00B53356"/>
    <w:rsid w:val="00B54802"/>
    <w:rsid w:val="00B54DE3"/>
    <w:rsid w:val="00B55A9F"/>
    <w:rsid w:val="00B55D71"/>
    <w:rsid w:val="00B56B98"/>
    <w:rsid w:val="00B60C6C"/>
    <w:rsid w:val="00B62C8C"/>
    <w:rsid w:val="00B65ACE"/>
    <w:rsid w:val="00B66C80"/>
    <w:rsid w:val="00B71962"/>
    <w:rsid w:val="00B755C4"/>
    <w:rsid w:val="00B7614C"/>
    <w:rsid w:val="00B76EDD"/>
    <w:rsid w:val="00B775F7"/>
    <w:rsid w:val="00B77DE7"/>
    <w:rsid w:val="00B81299"/>
    <w:rsid w:val="00B83804"/>
    <w:rsid w:val="00B83B95"/>
    <w:rsid w:val="00B84CDA"/>
    <w:rsid w:val="00B84CDE"/>
    <w:rsid w:val="00B85D71"/>
    <w:rsid w:val="00B91358"/>
    <w:rsid w:val="00B92433"/>
    <w:rsid w:val="00B93139"/>
    <w:rsid w:val="00B93290"/>
    <w:rsid w:val="00B93ADA"/>
    <w:rsid w:val="00B9625C"/>
    <w:rsid w:val="00B96F7C"/>
    <w:rsid w:val="00B9783B"/>
    <w:rsid w:val="00BA1C45"/>
    <w:rsid w:val="00BA7598"/>
    <w:rsid w:val="00BB09E5"/>
    <w:rsid w:val="00BB11F7"/>
    <w:rsid w:val="00BB13D4"/>
    <w:rsid w:val="00BB416A"/>
    <w:rsid w:val="00BB499C"/>
    <w:rsid w:val="00BB65C0"/>
    <w:rsid w:val="00BB6BD9"/>
    <w:rsid w:val="00BC1492"/>
    <w:rsid w:val="00BC1826"/>
    <w:rsid w:val="00BC1DFB"/>
    <w:rsid w:val="00BC45DD"/>
    <w:rsid w:val="00BC5C09"/>
    <w:rsid w:val="00BC6D35"/>
    <w:rsid w:val="00BC7482"/>
    <w:rsid w:val="00BC7FD6"/>
    <w:rsid w:val="00BD0619"/>
    <w:rsid w:val="00BD113A"/>
    <w:rsid w:val="00BD1395"/>
    <w:rsid w:val="00BD3FFE"/>
    <w:rsid w:val="00BD4084"/>
    <w:rsid w:val="00BD63AF"/>
    <w:rsid w:val="00BD66D9"/>
    <w:rsid w:val="00BD7FDB"/>
    <w:rsid w:val="00BE0189"/>
    <w:rsid w:val="00BE16BC"/>
    <w:rsid w:val="00BE16C1"/>
    <w:rsid w:val="00BE2040"/>
    <w:rsid w:val="00BE2581"/>
    <w:rsid w:val="00BE2B9D"/>
    <w:rsid w:val="00BE481B"/>
    <w:rsid w:val="00BE54C6"/>
    <w:rsid w:val="00BE6442"/>
    <w:rsid w:val="00BE658D"/>
    <w:rsid w:val="00BE718C"/>
    <w:rsid w:val="00BE7919"/>
    <w:rsid w:val="00BE7EC4"/>
    <w:rsid w:val="00BF1164"/>
    <w:rsid w:val="00BF334E"/>
    <w:rsid w:val="00BF4599"/>
    <w:rsid w:val="00BF5361"/>
    <w:rsid w:val="00BF6880"/>
    <w:rsid w:val="00BF7874"/>
    <w:rsid w:val="00BF7D3A"/>
    <w:rsid w:val="00C01AD6"/>
    <w:rsid w:val="00C02C0B"/>
    <w:rsid w:val="00C1198B"/>
    <w:rsid w:val="00C1289B"/>
    <w:rsid w:val="00C15BEC"/>
    <w:rsid w:val="00C15F5D"/>
    <w:rsid w:val="00C20966"/>
    <w:rsid w:val="00C21398"/>
    <w:rsid w:val="00C2222C"/>
    <w:rsid w:val="00C236BF"/>
    <w:rsid w:val="00C31DDF"/>
    <w:rsid w:val="00C37A30"/>
    <w:rsid w:val="00C37EB4"/>
    <w:rsid w:val="00C411CA"/>
    <w:rsid w:val="00C413AF"/>
    <w:rsid w:val="00C416F2"/>
    <w:rsid w:val="00C43251"/>
    <w:rsid w:val="00C435D0"/>
    <w:rsid w:val="00C4369D"/>
    <w:rsid w:val="00C45A4D"/>
    <w:rsid w:val="00C45DB5"/>
    <w:rsid w:val="00C466F2"/>
    <w:rsid w:val="00C46B56"/>
    <w:rsid w:val="00C51368"/>
    <w:rsid w:val="00C52162"/>
    <w:rsid w:val="00C5402E"/>
    <w:rsid w:val="00C5461F"/>
    <w:rsid w:val="00C549EC"/>
    <w:rsid w:val="00C56865"/>
    <w:rsid w:val="00C61335"/>
    <w:rsid w:val="00C613FE"/>
    <w:rsid w:val="00C61CC1"/>
    <w:rsid w:val="00C61FC3"/>
    <w:rsid w:val="00C621CD"/>
    <w:rsid w:val="00C6430F"/>
    <w:rsid w:val="00C662BF"/>
    <w:rsid w:val="00C66367"/>
    <w:rsid w:val="00C665CA"/>
    <w:rsid w:val="00C7037F"/>
    <w:rsid w:val="00C7678F"/>
    <w:rsid w:val="00C8105F"/>
    <w:rsid w:val="00C819C6"/>
    <w:rsid w:val="00C81E94"/>
    <w:rsid w:val="00C82428"/>
    <w:rsid w:val="00C8260F"/>
    <w:rsid w:val="00C83CDA"/>
    <w:rsid w:val="00C913D5"/>
    <w:rsid w:val="00C94A0A"/>
    <w:rsid w:val="00C9510E"/>
    <w:rsid w:val="00C95842"/>
    <w:rsid w:val="00C958BB"/>
    <w:rsid w:val="00C96257"/>
    <w:rsid w:val="00CA1CCB"/>
    <w:rsid w:val="00CA27C5"/>
    <w:rsid w:val="00CA38BB"/>
    <w:rsid w:val="00CA3E20"/>
    <w:rsid w:val="00CA4971"/>
    <w:rsid w:val="00CA6CCF"/>
    <w:rsid w:val="00CB0420"/>
    <w:rsid w:val="00CB12E3"/>
    <w:rsid w:val="00CB14A4"/>
    <w:rsid w:val="00CB3DF4"/>
    <w:rsid w:val="00CB505F"/>
    <w:rsid w:val="00CB7BA5"/>
    <w:rsid w:val="00CB7CB8"/>
    <w:rsid w:val="00CC3702"/>
    <w:rsid w:val="00CC3A7F"/>
    <w:rsid w:val="00CC6807"/>
    <w:rsid w:val="00CC6C9D"/>
    <w:rsid w:val="00CC7220"/>
    <w:rsid w:val="00CC79F7"/>
    <w:rsid w:val="00CC7CF8"/>
    <w:rsid w:val="00CC7DAD"/>
    <w:rsid w:val="00CD07C4"/>
    <w:rsid w:val="00CD1BAE"/>
    <w:rsid w:val="00CD33D4"/>
    <w:rsid w:val="00CD3A72"/>
    <w:rsid w:val="00CD41EA"/>
    <w:rsid w:val="00CD42CD"/>
    <w:rsid w:val="00CD48E9"/>
    <w:rsid w:val="00CD4E81"/>
    <w:rsid w:val="00CD5C66"/>
    <w:rsid w:val="00CD6FF0"/>
    <w:rsid w:val="00CD7237"/>
    <w:rsid w:val="00CE108B"/>
    <w:rsid w:val="00CE1804"/>
    <w:rsid w:val="00CE1DBF"/>
    <w:rsid w:val="00CE5D0C"/>
    <w:rsid w:val="00CE630A"/>
    <w:rsid w:val="00CE7300"/>
    <w:rsid w:val="00CE78A5"/>
    <w:rsid w:val="00CF0A99"/>
    <w:rsid w:val="00CF1DF6"/>
    <w:rsid w:val="00CF33B9"/>
    <w:rsid w:val="00CF49B0"/>
    <w:rsid w:val="00CF4DF3"/>
    <w:rsid w:val="00CF5A34"/>
    <w:rsid w:val="00CF67D5"/>
    <w:rsid w:val="00CF6B16"/>
    <w:rsid w:val="00D0197C"/>
    <w:rsid w:val="00D01B70"/>
    <w:rsid w:val="00D024E9"/>
    <w:rsid w:val="00D05166"/>
    <w:rsid w:val="00D072EF"/>
    <w:rsid w:val="00D07381"/>
    <w:rsid w:val="00D07894"/>
    <w:rsid w:val="00D07FDE"/>
    <w:rsid w:val="00D11368"/>
    <w:rsid w:val="00D13096"/>
    <w:rsid w:val="00D13E5C"/>
    <w:rsid w:val="00D1443D"/>
    <w:rsid w:val="00D14764"/>
    <w:rsid w:val="00D16716"/>
    <w:rsid w:val="00D167B0"/>
    <w:rsid w:val="00D17B44"/>
    <w:rsid w:val="00D2042F"/>
    <w:rsid w:val="00D21299"/>
    <w:rsid w:val="00D22400"/>
    <w:rsid w:val="00D24AD6"/>
    <w:rsid w:val="00D261F3"/>
    <w:rsid w:val="00D267A8"/>
    <w:rsid w:val="00D274FF"/>
    <w:rsid w:val="00D302D5"/>
    <w:rsid w:val="00D352B3"/>
    <w:rsid w:val="00D35574"/>
    <w:rsid w:val="00D368D4"/>
    <w:rsid w:val="00D42086"/>
    <w:rsid w:val="00D422F7"/>
    <w:rsid w:val="00D42D71"/>
    <w:rsid w:val="00D44BA0"/>
    <w:rsid w:val="00D4782E"/>
    <w:rsid w:val="00D52782"/>
    <w:rsid w:val="00D542F9"/>
    <w:rsid w:val="00D558DA"/>
    <w:rsid w:val="00D55E79"/>
    <w:rsid w:val="00D56D50"/>
    <w:rsid w:val="00D57B90"/>
    <w:rsid w:val="00D57EB7"/>
    <w:rsid w:val="00D6096E"/>
    <w:rsid w:val="00D60BDC"/>
    <w:rsid w:val="00D617BB"/>
    <w:rsid w:val="00D629F6"/>
    <w:rsid w:val="00D6437E"/>
    <w:rsid w:val="00D647D6"/>
    <w:rsid w:val="00D65FDD"/>
    <w:rsid w:val="00D67BB4"/>
    <w:rsid w:val="00D73DFD"/>
    <w:rsid w:val="00D73ED3"/>
    <w:rsid w:val="00D74001"/>
    <w:rsid w:val="00D74E73"/>
    <w:rsid w:val="00D75D90"/>
    <w:rsid w:val="00D824EA"/>
    <w:rsid w:val="00D83B12"/>
    <w:rsid w:val="00D84867"/>
    <w:rsid w:val="00D91D85"/>
    <w:rsid w:val="00D92954"/>
    <w:rsid w:val="00D9481C"/>
    <w:rsid w:val="00D95195"/>
    <w:rsid w:val="00D96382"/>
    <w:rsid w:val="00D96766"/>
    <w:rsid w:val="00D976EF"/>
    <w:rsid w:val="00D978E5"/>
    <w:rsid w:val="00DA147A"/>
    <w:rsid w:val="00DA3717"/>
    <w:rsid w:val="00DB0BB7"/>
    <w:rsid w:val="00DB488E"/>
    <w:rsid w:val="00DB5610"/>
    <w:rsid w:val="00DB6662"/>
    <w:rsid w:val="00DC1D38"/>
    <w:rsid w:val="00DC21FF"/>
    <w:rsid w:val="00DC52FB"/>
    <w:rsid w:val="00DD08CB"/>
    <w:rsid w:val="00DD1D94"/>
    <w:rsid w:val="00DD3D99"/>
    <w:rsid w:val="00DD4470"/>
    <w:rsid w:val="00DD4A4E"/>
    <w:rsid w:val="00DD5FDE"/>
    <w:rsid w:val="00DE0367"/>
    <w:rsid w:val="00DE3371"/>
    <w:rsid w:val="00DE4774"/>
    <w:rsid w:val="00DE48E8"/>
    <w:rsid w:val="00DE493E"/>
    <w:rsid w:val="00DE5050"/>
    <w:rsid w:val="00DF316C"/>
    <w:rsid w:val="00DF5E99"/>
    <w:rsid w:val="00DF6A09"/>
    <w:rsid w:val="00DF6DDF"/>
    <w:rsid w:val="00E01DDE"/>
    <w:rsid w:val="00E0261F"/>
    <w:rsid w:val="00E03CF3"/>
    <w:rsid w:val="00E0680D"/>
    <w:rsid w:val="00E074FE"/>
    <w:rsid w:val="00E07C94"/>
    <w:rsid w:val="00E11909"/>
    <w:rsid w:val="00E15E5C"/>
    <w:rsid w:val="00E17E95"/>
    <w:rsid w:val="00E20D21"/>
    <w:rsid w:val="00E21895"/>
    <w:rsid w:val="00E219B1"/>
    <w:rsid w:val="00E22FE4"/>
    <w:rsid w:val="00E26C39"/>
    <w:rsid w:val="00E27E2F"/>
    <w:rsid w:val="00E30B67"/>
    <w:rsid w:val="00E319EF"/>
    <w:rsid w:val="00E32664"/>
    <w:rsid w:val="00E33ADB"/>
    <w:rsid w:val="00E34BE3"/>
    <w:rsid w:val="00E34EE9"/>
    <w:rsid w:val="00E36853"/>
    <w:rsid w:val="00E37E4C"/>
    <w:rsid w:val="00E40000"/>
    <w:rsid w:val="00E41077"/>
    <w:rsid w:val="00E413C6"/>
    <w:rsid w:val="00E46108"/>
    <w:rsid w:val="00E501FB"/>
    <w:rsid w:val="00E50212"/>
    <w:rsid w:val="00E52D23"/>
    <w:rsid w:val="00E533A2"/>
    <w:rsid w:val="00E53AE2"/>
    <w:rsid w:val="00E600FA"/>
    <w:rsid w:val="00E606B8"/>
    <w:rsid w:val="00E637D5"/>
    <w:rsid w:val="00E65BCC"/>
    <w:rsid w:val="00E67D9D"/>
    <w:rsid w:val="00E717AE"/>
    <w:rsid w:val="00E73184"/>
    <w:rsid w:val="00E74356"/>
    <w:rsid w:val="00E745FB"/>
    <w:rsid w:val="00E74A56"/>
    <w:rsid w:val="00E773B6"/>
    <w:rsid w:val="00E77598"/>
    <w:rsid w:val="00E80DB9"/>
    <w:rsid w:val="00E81615"/>
    <w:rsid w:val="00E81A4E"/>
    <w:rsid w:val="00E82E66"/>
    <w:rsid w:val="00E84AFE"/>
    <w:rsid w:val="00E8745D"/>
    <w:rsid w:val="00E87DFB"/>
    <w:rsid w:val="00E90B00"/>
    <w:rsid w:val="00E931BB"/>
    <w:rsid w:val="00E941A8"/>
    <w:rsid w:val="00E941BD"/>
    <w:rsid w:val="00E962EB"/>
    <w:rsid w:val="00E964C2"/>
    <w:rsid w:val="00EA0500"/>
    <w:rsid w:val="00EA16E9"/>
    <w:rsid w:val="00EA233A"/>
    <w:rsid w:val="00EA325A"/>
    <w:rsid w:val="00EA5452"/>
    <w:rsid w:val="00EA603A"/>
    <w:rsid w:val="00EA7279"/>
    <w:rsid w:val="00EA7695"/>
    <w:rsid w:val="00EA7EC1"/>
    <w:rsid w:val="00EA7F4E"/>
    <w:rsid w:val="00EB7DCB"/>
    <w:rsid w:val="00EC09D4"/>
    <w:rsid w:val="00EC0F04"/>
    <w:rsid w:val="00EC1ED6"/>
    <w:rsid w:val="00EC5BAF"/>
    <w:rsid w:val="00EC6F66"/>
    <w:rsid w:val="00EC798B"/>
    <w:rsid w:val="00ED0106"/>
    <w:rsid w:val="00ED0937"/>
    <w:rsid w:val="00ED3255"/>
    <w:rsid w:val="00ED4C2A"/>
    <w:rsid w:val="00ED6E62"/>
    <w:rsid w:val="00EE303B"/>
    <w:rsid w:val="00EE5236"/>
    <w:rsid w:val="00EE540E"/>
    <w:rsid w:val="00EE7427"/>
    <w:rsid w:val="00EF13B1"/>
    <w:rsid w:val="00EF21A8"/>
    <w:rsid w:val="00EF4CEE"/>
    <w:rsid w:val="00EF54F0"/>
    <w:rsid w:val="00EF61F3"/>
    <w:rsid w:val="00EF627C"/>
    <w:rsid w:val="00F028E7"/>
    <w:rsid w:val="00F03AA6"/>
    <w:rsid w:val="00F0483E"/>
    <w:rsid w:val="00F05F7D"/>
    <w:rsid w:val="00F064FC"/>
    <w:rsid w:val="00F06DF8"/>
    <w:rsid w:val="00F07A22"/>
    <w:rsid w:val="00F114AA"/>
    <w:rsid w:val="00F12557"/>
    <w:rsid w:val="00F15532"/>
    <w:rsid w:val="00F20505"/>
    <w:rsid w:val="00F209DB"/>
    <w:rsid w:val="00F239E6"/>
    <w:rsid w:val="00F249C2"/>
    <w:rsid w:val="00F27B3B"/>
    <w:rsid w:val="00F3052F"/>
    <w:rsid w:val="00F31092"/>
    <w:rsid w:val="00F31201"/>
    <w:rsid w:val="00F315C3"/>
    <w:rsid w:val="00F32F41"/>
    <w:rsid w:val="00F34727"/>
    <w:rsid w:val="00F35262"/>
    <w:rsid w:val="00F36D8A"/>
    <w:rsid w:val="00F41888"/>
    <w:rsid w:val="00F43166"/>
    <w:rsid w:val="00F43F23"/>
    <w:rsid w:val="00F44CB9"/>
    <w:rsid w:val="00F55BBB"/>
    <w:rsid w:val="00F55DA4"/>
    <w:rsid w:val="00F55E1E"/>
    <w:rsid w:val="00F5669E"/>
    <w:rsid w:val="00F56E5E"/>
    <w:rsid w:val="00F5719E"/>
    <w:rsid w:val="00F57344"/>
    <w:rsid w:val="00F57DC0"/>
    <w:rsid w:val="00F613B1"/>
    <w:rsid w:val="00F626E2"/>
    <w:rsid w:val="00F63114"/>
    <w:rsid w:val="00F64F64"/>
    <w:rsid w:val="00F7106C"/>
    <w:rsid w:val="00F71897"/>
    <w:rsid w:val="00F71ABA"/>
    <w:rsid w:val="00F75666"/>
    <w:rsid w:val="00F76137"/>
    <w:rsid w:val="00F778B8"/>
    <w:rsid w:val="00F811EF"/>
    <w:rsid w:val="00F81C5F"/>
    <w:rsid w:val="00F859FE"/>
    <w:rsid w:val="00F86D6F"/>
    <w:rsid w:val="00F91298"/>
    <w:rsid w:val="00F91F46"/>
    <w:rsid w:val="00F95068"/>
    <w:rsid w:val="00F95FFA"/>
    <w:rsid w:val="00F96C47"/>
    <w:rsid w:val="00FA04AE"/>
    <w:rsid w:val="00FA23F8"/>
    <w:rsid w:val="00FA4978"/>
    <w:rsid w:val="00FA6E92"/>
    <w:rsid w:val="00FA726B"/>
    <w:rsid w:val="00FB0D49"/>
    <w:rsid w:val="00FB3F1D"/>
    <w:rsid w:val="00FB4984"/>
    <w:rsid w:val="00FB4EC8"/>
    <w:rsid w:val="00FB7FE7"/>
    <w:rsid w:val="00FC02A2"/>
    <w:rsid w:val="00FC0713"/>
    <w:rsid w:val="00FC0E45"/>
    <w:rsid w:val="00FC305B"/>
    <w:rsid w:val="00FC327F"/>
    <w:rsid w:val="00FC4085"/>
    <w:rsid w:val="00FC41F3"/>
    <w:rsid w:val="00FC7104"/>
    <w:rsid w:val="00FD2D9A"/>
    <w:rsid w:val="00FD3615"/>
    <w:rsid w:val="00FD41CE"/>
    <w:rsid w:val="00FD4AFF"/>
    <w:rsid w:val="00FE1897"/>
    <w:rsid w:val="00FE1B38"/>
    <w:rsid w:val="00FE20B6"/>
    <w:rsid w:val="00FE2204"/>
    <w:rsid w:val="00FE2292"/>
    <w:rsid w:val="00FE38EC"/>
    <w:rsid w:val="00FE4924"/>
    <w:rsid w:val="00FE5473"/>
    <w:rsid w:val="00FF40DC"/>
    <w:rsid w:val="00FF5089"/>
    <w:rsid w:val="01666341"/>
    <w:rsid w:val="063E4993"/>
    <w:rsid w:val="11BD42ED"/>
    <w:rsid w:val="19983360"/>
    <w:rsid w:val="1A441A6E"/>
    <w:rsid w:val="1D4E4BD2"/>
    <w:rsid w:val="1DFF5517"/>
    <w:rsid w:val="25E1BDC0"/>
    <w:rsid w:val="2AB52EE3"/>
    <w:rsid w:val="36A4E726"/>
    <w:rsid w:val="4501EDC5"/>
    <w:rsid w:val="49AD50BB"/>
    <w:rsid w:val="4FF0A17C"/>
    <w:rsid w:val="52954C7D"/>
    <w:rsid w:val="54E28270"/>
    <w:rsid w:val="585F0581"/>
    <w:rsid w:val="61217E70"/>
    <w:rsid w:val="6E66B11E"/>
    <w:rsid w:val="72C5B35C"/>
    <w:rsid w:val="73D226FB"/>
    <w:rsid w:val="7A7191E6"/>
    <w:rsid w:val="7B2C0BC9"/>
    <w:rsid w:val="7C99CBC4"/>
    <w:rsid w:val="7E63AC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2A909"/>
  <w15:docId w15:val="{ABCC42B9-1C2A-4CD9-A5DB-6FE334C5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rsid w:val="001A3992"/>
    <w:rPr>
      <w:rFonts w:asciiTheme="majorHAnsi" w:eastAsiaTheme="majorEastAsia" w:hAnsiTheme="majorHAnsi" w:cstheme="majorBidi"/>
      <w:b/>
      <w:bCs/>
    </w:rPr>
  </w:style>
  <w:style w:type="character" w:customStyle="1" w:styleId="Heading4Char">
    <w:name w:val="Heading 4 Char"/>
    <w:basedOn w:val="DefaultParagraphFont"/>
    <w:link w:val="Heading4"/>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DocumentText">
    <w:name w:val="Document Text"/>
    <w:basedOn w:val="Normal"/>
    <w:link w:val="DocumentTextChar"/>
    <w:qFormat/>
    <w:rsid w:val="00EF13B1"/>
    <w:pPr>
      <w:spacing w:after="240" w:line="300" w:lineRule="auto"/>
    </w:pPr>
    <w:rPr>
      <w:rFonts w:ascii="Times New Roman" w:eastAsia="Times New Roman" w:hAnsi="Times New Roman" w:cs="Times New Roman"/>
      <w:kern w:val="24"/>
      <w:sz w:val="24"/>
      <w:szCs w:val="24"/>
      <w:lang w:val="en-US"/>
    </w:rPr>
  </w:style>
  <w:style w:type="character" w:customStyle="1" w:styleId="DocumentTextChar">
    <w:name w:val="Document Text Char"/>
    <w:link w:val="DocumentText"/>
    <w:qFormat/>
    <w:rsid w:val="00EF13B1"/>
    <w:rPr>
      <w:rFonts w:ascii="Times New Roman" w:eastAsia="Times New Roman" w:hAnsi="Times New Roman" w:cs="Times New Roman"/>
      <w:kern w:val="24"/>
      <w:sz w:val="24"/>
      <w:szCs w:val="24"/>
      <w:lang w:val="en-US"/>
    </w:rPr>
  </w:style>
  <w:style w:type="paragraph" w:styleId="Caption">
    <w:name w:val="caption"/>
    <w:basedOn w:val="Normal"/>
    <w:next w:val="Normal"/>
    <w:qFormat/>
    <w:rsid w:val="00467795"/>
    <w:pPr>
      <w:keepNext/>
      <w:spacing w:before="240" w:after="120" w:line="240" w:lineRule="auto"/>
      <w:ind w:left="2160" w:hanging="2160"/>
    </w:pPr>
    <w:rPr>
      <w:rFonts w:ascii="Times New Roman" w:eastAsia="Times New Roman" w:hAnsi="Times New Roman" w:cs="Times New Roman"/>
      <w:b/>
      <w:bCs/>
      <w:kern w:val="24"/>
      <w:sz w:val="24"/>
      <w:szCs w:val="20"/>
      <w:lang w:val="en-US"/>
    </w:rPr>
  </w:style>
  <w:style w:type="paragraph" w:customStyle="1" w:styleId="TableFootnote">
    <w:name w:val="Table Footnote"/>
    <w:basedOn w:val="DocumentText"/>
    <w:next w:val="DocumentText"/>
    <w:link w:val="TableFootnoteChar"/>
    <w:qFormat/>
    <w:rsid w:val="00467795"/>
    <w:pPr>
      <w:keepNext/>
      <w:keepLines/>
      <w:spacing w:before="40" w:after="0" w:line="240" w:lineRule="auto"/>
      <w:ind w:left="360" w:hanging="360"/>
    </w:pPr>
    <w:rPr>
      <w:kern w:val="20"/>
      <w:sz w:val="20"/>
      <w:szCs w:val="20"/>
    </w:rPr>
  </w:style>
  <w:style w:type="character" w:customStyle="1" w:styleId="TableFootnoteChar">
    <w:name w:val="Table Footnote Char"/>
    <w:link w:val="TableFootnote"/>
    <w:rsid w:val="00467795"/>
    <w:rPr>
      <w:rFonts w:ascii="Times New Roman" w:eastAsia="Times New Roman" w:hAnsi="Times New Roman" w:cs="Times New Roman"/>
      <w:kern w:val="20"/>
      <w:sz w:val="20"/>
      <w:szCs w:val="20"/>
      <w:lang w:val="en-US"/>
    </w:rPr>
  </w:style>
  <w:style w:type="paragraph" w:customStyle="1" w:styleId="TableCellText10pt">
    <w:name w:val="Table Cell Text 10pt"/>
    <w:basedOn w:val="Normal"/>
    <w:rsid w:val="00467795"/>
    <w:pPr>
      <w:keepNext/>
      <w:spacing w:before="40" w:after="40" w:line="240" w:lineRule="auto"/>
    </w:pPr>
    <w:rPr>
      <w:rFonts w:ascii="Times New Roman" w:eastAsia="Times New Roman" w:hAnsi="Times New Roman" w:cs="Times New Roman"/>
      <w:kern w:val="24"/>
      <w:sz w:val="20"/>
      <w:szCs w:val="24"/>
      <w:lang w:val="en-US"/>
    </w:rPr>
  </w:style>
  <w:style w:type="paragraph" w:customStyle="1" w:styleId="ListBulleted">
    <w:name w:val="List Bulleted"/>
    <w:basedOn w:val="DocumentText"/>
    <w:rsid w:val="00617989"/>
    <w:pPr>
      <w:keepLines/>
      <w:numPr>
        <w:numId w:val="11"/>
      </w:numPr>
      <w:adjustRightInd w:val="0"/>
      <w:spacing w:before="120" w:after="120"/>
    </w:pPr>
  </w:style>
  <w:style w:type="paragraph" w:customStyle="1" w:styleId="ListNumbered">
    <w:name w:val="List Numbered"/>
    <w:basedOn w:val="DocumentText"/>
    <w:rsid w:val="00617989"/>
    <w:pPr>
      <w:keepLines/>
      <w:numPr>
        <w:numId w:val="13"/>
      </w:numPr>
      <w:snapToGrid w:val="0"/>
      <w:spacing w:before="120" w:after="120"/>
    </w:pPr>
  </w:style>
  <w:style w:type="paragraph" w:styleId="CommentSubject">
    <w:name w:val="annotation subject"/>
    <w:basedOn w:val="CommentText"/>
    <w:next w:val="CommentText"/>
    <w:link w:val="CommentSubjectChar"/>
    <w:uiPriority w:val="99"/>
    <w:semiHidden/>
    <w:unhideWhenUsed/>
    <w:rsid w:val="00EA0500"/>
    <w:rPr>
      <w:rFonts w:asciiTheme="minorHAnsi" w:hAnsiTheme="minorHAnsi"/>
      <w:b/>
      <w:bCs/>
    </w:rPr>
  </w:style>
  <w:style w:type="character" w:customStyle="1" w:styleId="CommentSubjectChar">
    <w:name w:val="Comment Subject Char"/>
    <w:basedOn w:val="CommentTextChar"/>
    <w:link w:val="CommentSubject"/>
    <w:uiPriority w:val="99"/>
    <w:semiHidden/>
    <w:rsid w:val="00EA0500"/>
    <w:rPr>
      <w:rFonts w:ascii="Cambria" w:hAnsi="Cambria"/>
      <w:b/>
      <w:bCs/>
      <w:sz w:val="20"/>
      <w:szCs w:val="20"/>
    </w:rPr>
  </w:style>
  <w:style w:type="table" w:styleId="TableGrid">
    <w:name w:val="Table Grid"/>
    <w:basedOn w:val="TableNormal"/>
    <w:uiPriority w:val="59"/>
    <w:rsid w:val="00EA0500"/>
    <w:pPr>
      <w:spacing w:after="240" w:line="30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0pt">
    <w:name w:val="Table Cell Heading 10pt"/>
    <w:basedOn w:val="Normal"/>
    <w:rsid w:val="00EA0500"/>
    <w:pPr>
      <w:keepNext/>
      <w:spacing w:before="40" w:after="40" w:line="240" w:lineRule="auto"/>
      <w:jc w:val="center"/>
    </w:pPr>
    <w:rPr>
      <w:rFonts w:ascii="Times New Roman" w:eastAsia="Times New Roman" w:hAnsi="Times New Roman" w:cs="Times New Roman"/>
      <w:b/>
      <w:kern w:val="20"/>
      <w:sz w:val="20"/>
      <w:szCs w:val="24"/>
      <w:lang w:val="en-US"/>
    </w:rPr>
  </w:style>
  <w:style w:type="paragraph" w:customStyle="1" w:styleId="LAFISPCNormal">
    <w:name w:val="LA_FI_SPC_Normal"/>
    <w:basedOn w:val="Normal"/>
    <w:rsid w:val="00536A35"/>
    <w:pPr>
      <w:tabs>
        <w:tab w:val="left" w:pos="567"/>
      </w:tabs>
      <w:spacing w:after="240" w:line="120" w:lineRule="auto"/>
      <w:ind w:left="567"/>
    </w:pPr>
    <w:rPr>
      <w:rFonts w:ascii="Times New Roman" w:eastAsia="Times New Roman" w:hAnsi="Times New Roman" w:cs="Times New Roman"/>
      <w:kern w:val="24"/>
      <w:sz w:val="24"/>
      <w:szCs w:val="24"/>
      <w:lang w:val="en-US"/>
    </w:rPr>
  </w:style>
  <w:style w:type="paragraph" w:customStyle="1" w:styleId="Default">
    <w:name w:val="Default"/>
    <w:rsid w:val="00C95842"/>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4F171E"/>
    <w:pPr>
      <w:spacing w:after="0" w:line="240" w:lineRule="auto"/>
    </w:pPr>
    <w:rPr>
      <w:rFonts w:ascii="Times New Roman" w:eastAsia="Times New Roman" w:hAnsi="Times New Roman" w:cs="Times New Roman"/>
      <w:sz w:val="24"/>
      <w:szCs w:val="20"/>
    </w:rPr>
  </w:style>
  <w:style w:type="paragraph" w:customStyle="1" w:styleId="C-TableHeader">
    <w:name w:val="C-Table Header"/>
    <w:next w:val="C-TableText"/>
    <w:rsid w:val="005878E7"/>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rsid w:val="005878E7"/>
    <w:pPr>
      <w:spacing w:before="60" w:after="60" w:line="240" w:lineRule="auto"/>
    </w:pPr>
    <w:rPr>
      <w:rFonts w:ascii="Times New Roman" w:eastAsia="Times New Roman" w:hAnsi="Times New Roman" w:cs="Times New Roman"/>
      <w:szCs w:val="20"/>
      <w:lang w:val="en-US"/>
    </w:rPr>
  </w:style>
  <w:style w:type="character" w:customStyle="1" w:styleId="ui-provider">
    <w:name w:val="ui-provider"/>
    <w:basedOn w:val="DefaultParagraphFont"/>
    <w:rsid w:val="005878E7"/>
  </w:style>
  <w:style w:type="character" w:styleId="UnresolvedMention">
    <w:name w:val="Unresolved Mention"/>
    <w:basedOn w:val="DefaultParagraphFont"/>
    <w:uiPriority w:val="99"/>
    <w:semiHidden/>
    <w:unhideWhenUsed/>
    <w:rsid w:val="009272CC"/>
    <w:rPr>
      <w:color w:val="605E5C"/>
      <w:shd w:val="clear" w:color="auto" w:fill="E1DFDD"/>
    </w:rPr>
  </w:style>
  <w:style w:type="character" w:styleId="Mention">
    <w:name w:val="Mention"/>
    <w:basedOn w:val="DefaultParagraphFont"/>
    <w:uiPriority w:val="99"/>
    <w:unhideWhenUsed/>
    <w:rsid w:val="0069595C"/>
    <w:rPr>
      <w:color w:val="2B579A"/>
      <w:shd w:val="clear" w:color="auto" w:fill="E1DFDD"/>
    </w:rPr>
  </w:style>
  <w:style w:type="paragraph" w:styleId="NormalWeb">
    <w:name w:val="Normal (Web)"/>
    <w:basedOn w:val="Normal"/>
    <w:uiPriority w:val="99"/>
    <w:unhideWhenUsed/>
    <w:rsid w:val="002726E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40AC1"/>
  </w:style>
  <w:style w:type="character" w:customStyle="1" w:styleId="eop">
    <w:name w:val="eop"/>
    <w:basedOn w:val="DefaultParagraphFont"/>
    <w:rsid w:val="0074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290834">
      <w:bodyDiv w:val="1"/>
      <w:marLeft w:val="0"/>
      <w:marRight w:val="0"/>
      <w:marTop w:val="0"/>
      <w:marBottom w:val="0"/>
      <w:divBdr>
        <w:top w:val="none" w:sz="0" w:space="0" w:color="auto"/>
        <w:left w:val="none" w:sz="0" w:space="0" w:color="auto"/>
        <w:bottom w:val="none" w:sz="0" w:space="0" w:color="auto"/>
        <w:right w:val="none" w:sz="0" w:space="0" w:color="auto"/>
      </w:divBdr>
    </w:div>
    <w:div w:id="20531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f08f69-20aa-4e12-96dd-feef3d1cd9cb">
      <UserInfo>
        <DisplayName>Olaya, Cam AU/MEL</DisplayName>
        <AccountId>383</AccountId>
        <AccountType/>
      </UserInfo>
      <UserInfo>
        <DisplayName>Binko, Justin AU/MEL</DisplayName>
        <AccountId>384</AccountId>
        <AccountType/>
      </UserInfo>
      <UserInfo>
        <DisplayName>Cleminson, Max AU/MEL</DisplayName>
        <AccountId>385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D13F5FF273E44868F72488E6922AE" ma:contentTypeVersion="10" ma:contentTypeDescription="Create a new document." ma:contentTypeScope="" ma:versionID="cb44e584a15c8a7d6d2b92c8c8b06d16">
  <xsd:schema xmlns:xsd="http://www.w3.org/2001/XMLSchema" xmlns:xs="http://www.w3.org/2001/XMLSchema" xmlns:p="http://schemas.microsoft.com/office/2006/metadata/properties" xmlns:ns2="6aba25d7-c2e2-4a22-8767-ac9beb5a5035" xmlns:ns3="c7f08f69-20aa-4e12-96dd-feef3d1cd9cb" targetNamespace="http://schemas.microsoft.com/office/2006/metadata/properties" ma:root="true" ma:fieldsID="635a8d7f2adef678b43db640fd990034" ns2:_="" ns3:_="">
    <xsd:import namespace="6aba25d7-c2e2-4a22-8767-ac9beb5a5035"/>
    <xsd:import namespace="c7f08f69-20aa-4e12-96dd-feef3d1cd9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a25d7-c2e2-4a22-8767-ac9beb5a5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08f69-20aa-4e12-96dd-feef3d1cd9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D97F-6909-498E-83D2-D59E866928B8}">
  <ds:schemaRefs>
    <ds:schemaRef ds:uri="http://schemas.microsoft.com/office/2006/metadata/properties"/>
    <ds:schemaRef ds:uri="http://schemas.microsoft.com/office/infopath/2007/PartnerControls"/>
    <ds:schemaRef ds:uri="c7f08f69-20aa-4e12-96dd-feef3d1cd9cb"/>
  </ds:schemaRefs>
</ds:datastoreItem>
</file>

<file path=customXml/itemProps2.xml><?xml version="1.0" encoding="utf-8"?>
<ds:datastoreItem xmlns:ds="http://schemas.openxmlformats.org/officeDocument/2006/customXml" ds:itemID="{3D309E44-6E14-47C6-93C2-3C4DABCEE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a25d7-c2e2-4a22-8767-ac9beb5a5035"/>
    <ds:schemaRef ds:uri="c7f08f69-20aa-4e12-96dd-feef3d1cd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26780-AC69-43EA-AD36-1E88601A4A4F}">
  <ds:schemaRefs>
    <ds:schemaRef ds:uri="http://schemas.microsoft.com/sharepoint/v3/contenttype/forms"/>
  </ds:schemaRefs>
</ds:datastoreItem>
</file>

<file path=customXml/itemProps4.xml><?xml version="1.0" encoding="utf-8"?>
<ds:datastoreItem xmlns:ds="http://schemas.openxmlformats.org/officeDocument/2006/customXml" ds:itemID="{5939E871-97CF-46E0-A3F5-DFB0A3C8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3990</Words>
  <Characters>23266</Characters>
  <Application>Microsoft Office Word</Application>
  <DocSecurity>0</DocSecurity>
  <Lines>430</Lines>
  <Paragraphs>203</Paragraphs>
  <ScaleCrop>false</ScaleCrop>
  <HeadingPairs>
    <vt:vector size="2" baseType="variant">
      <vt:variant>
        <vt:lpstr>Title</vt:lpstr>
      </vt:variant>
      <vt:variant>
        <vt:i4>1</vt:i4>
      </vt:variant>
    </vt:vector>
  </HeadingPairs>
  <TitlesOfParts>
    <vt:vector size="1" baseType="lpstr">
      <vt:lpstr>Attachment Product information for Andembry</vt:lpstr>
    </vt:vector>
  </TitlesOfParts>
  <Company>Department of Health, Disability and Ageing Therapeutic Goods Administration</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Andembry</dc:title>
  <dc:subject>prescription medicines</dc:subject>
  <dc:creator>CSL Behring (Australia) Pty Ltd</dc:creator>
  <cp:keywords/>
  <dc:description/>
  <cp:lastModifiedBy>LACK, Janet</cp:lastModifiedBy>
  <cp:revision>3</cp:revision>
  <cp:lastPrinted>2024-05-21T23:28:00Z</cp:lastPrinted>
  <dcterms:created xsi:type="dcterms:W3CDTF">2025-06-23T02:34:00Z</dcterms:created>
  <dcterms:modified xsi:type="dcterms:W3CDTF">2025-06-23T02:37:00Z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0x010100DB2D13F5FF273E44868F72488E6922AE</vt:lpwstr>
  </property>
</Properties>
</file>