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C20D" w14:textId="77777777" w:rsidR="006946A9" w:rsidRDefault="006946A9"/>
    <w:p w14:paraId="408B1C9A" w14:textId="77777777" w:rsidR="005F6958" w:rsidRDefault="005F6958"/>
    <w:p w14:paraId="33D51C68" w14:textId="77777777" w:rsidR="005F6958" w:rsidRDefault="005F6958"/>
    <w:p w14:paraId="19C6AADE" w14:textId="2309F188" w:rsidR="005F6958" w:rsidRDefault="000A67A8" w:rsidP="00FD16B5">
      <w:pPr>
        <w:pStyle w:val="Title"/>
        <w:numPr>
          <w:ilvl w:val="1"/>
          <w:numId w:val="0"/>
        </w:numPr>
      </w:pPr>
      <w:r>
        <w:t xml:space="preserve">Safety Review of Seven Active Sunscreen Ingredients </w:t>
      </w:r>
    </w:p>
    <w:p w14:paraId="7595BB9F" w14:textId="31EECF0D" w:rsidR="005F6958" w:rsidRDefault="0091265B" w:rsidP="00FD16B5">
      <w:pPr>
        <w:pStyle w:val="Subtitle"/>
        <w:ind w:left="0"/>
      </w:pPr>
      <w:r w:rsidRPr="00211F5F">
        <w:t xml:space="preserve">Butyl </w:t>
      </w:r>
      <w:proofErr w:type="spellStart"/>
      <w:r w:rsidRPr="00211F5F">
        <w:t>methoxydibenzoylmethane</w:t>
      </w:r>
      <w:proofErr w:type="spellEnd"/>
      <w:r w:rsidRPr="00211F5F">
        <w:t xml:space="preserve"> (avobenzone), </w:t>
      </w:r>
      <w:proofErr w:type="spellStart"/>
      <w:r w:rsidRPr="00211F5F">
        <w:t>ethylhexyl</w:t>
      </w:r>
      <w:proofErr w:type="spellEnd"/>
      <w:r w:rsidRPr="00211F5F">
        <w:t xml:space="preserve"> </w:t>
      </w:r>
      <w:proofErr w:type="spellStart"/>
      <w:r w:rsidRPr="00211F5F">
        <w:t>triazone</w:t>
      </w:r>
      <w:proofErr w:type="spellEnd"/>
      <w:r w:rsidRPr="00211F5F">
        <w:t xml:space="preserve">, </w:t>
      </w:r>
      <w:proofErr w:type="spellStart"/>
      <w:r w:rsidRPr="00211F5F">
        <w:t>homosalate</w:t>
      </w:r>
      <w:proofErr w:type="spellEnd"/>
      <w:r w:rsidRPr="00211F5F">
        <w:t>, octocrylene, octyl methoxycinnamate (</w:t>
      </w:r>
      <w:proofErr w:type="spellStart"/>
      <w:r w:rsidRPr="00211F5F">
        <w:t>octinoxate</w:t>
      </w:r>
      <w:proofErr w:type="spellEnd"/>
      <w:r w:rsidRPr="00211F5F">
        <w:t xml:space="preserve">), oxybenzone and </w:t>
      </w:r>
      <w:proofErr w:type="spellStart"/>
      <w:r w:rsidRPr="00211F5F">
        <w:t>phenylbenzimidazole</w:t>
      </w:r>
      <w:proofErr w:type="spellEnd"/>
      <w:r w:rsidRPr="00211F5F">
        <w:t xml:space="preserve"> sulfonic acid</w:t>
      </w:r>
      <w:r w:rsidR="00FD16B5">
        <w:t xml:space="preserve"> (PBSA)</w:t>
      </w:r>
    </w:p>
    <w:p w14:paraId="0C4BACB7" w14:textId="77777777" w:rsidR="005F6958" w:rsidRDefault="005F6958" w:rsidP="00FD16B5">
      <w:pPr>
        <w:pStyle w:val="Standard"/>
      </w:pPr>
    </w:p>
    <w:p w14:paraId="1FF8A013" w14:textId="77777777" w:rsidR="00BB77F0" w:rsidRDefault="00BB77F0"/>
    <w:p w14:paraId="4B73A225" w14:textId="77777777" w:rsidR="00BB77F0" w:rsidRDefault="00BB77F0"/>
    <w:p w14:paraId="2714343A" w14:textId="77777777" w:rsidR="00BB77F0" w:rsidRDefault="00BB77F0"/>
    <w:p w14:paraId="050868A3" w14:textId="77777777" w:rsidR="00BB77F0" w:rsidRDefault="00BB77F0"/>
    <w:p w14:paraId="2C2CE733" w14:textId="6E02790D" w:rsidR="005F6958" w:rsidRDefault="00B77348" w:rsidP="005F6958">
      <w:pPr>
        <w:pStyle w:val="Date"/>
      </w:pPr>
      <w:r>
        <w:t>Jul</w:t>
      </w:r>
      <w:r w:rsidR="001213D9">
        <w:t xml:space="preserve">y </w:t>
      </w:r>
      <w:r w:rsidR="002B65A5">
        <w:t>2025</w:t>
      </w:r>
    </w:p>
    <w:p w14:paraId="51AE5A61" w14:textId="15AF4ED3" w:rsidR="005F6958" w:rsidRDefault="005F6958">
      <w:r>
        <w:br w:type="page"/>
      </w:r>
    </w:p>
    <w:p w14:paraId="28CE26B0" w14:textId="77777777" w:rsidR="00DD3815" w:rsidRPr="004E2F19" w:rsidRDefault="00DD3815" w:rsidP="004E2F19">
      <w:pPr>
        <w:pStyle w:val="LegalSubheading"/>
        <w:rPr>
          <w:b/>
          <w:bCs/>
        </w:rPr>
      </w:pPr>
      <w:bookmarkStart w:id="0" w:name="_Toc126664137"/>
      <w:r w:rsidRPr="004E2F19">
        <w:rPr>
          <w:b/>
          <w:bCs/>
        </w:rPr>
        <w:lastRenderedPageBreak/>
        <w:t>Copyright</w:t>
      </w:r>
      <w:bookmarkEnd w:id="0"/>
    </w:p>
    <w:p w14:paraId="07AEF38D" w14:textId="79A8E027" w:rsidR="0089410A" w:rsidRDefault="00DD3815" w:rsidP="004E2F19">
      <w:pPr>
        <w:pStyle w:val="LegalSubheading"/>
      </w:pPr>
      <w:bookmarkStart w:id="1" w:name="_Toc126664138"/>
      <w:r w:rsidRPr="00DD3815">
        <w:t>© Commonwealth of Australia</w:t>
      </w:r>
      <w:r w:rsidR="00F35094">
        <w:t xml:space="preserve"> 202</w:t>
      </w:r>
      <w:r w:rsidR="002642BC">
        <w:t>5</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w:t>
      </w:r>
      <w:proofErr w:type="gramStart"/>
      <w:r w:rsidRPr="00DD3815">
        <w:t>reserved</w:t>
      </w:r>
      <w:proofErr w:type="gramEnd"/>
      <w:r w:rsidRPr="00DD3815">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8" w:history="1">
        <w:r w:rsidR="00BA4549" w:rsidRPr="006121D7">
          <w:rPr>
            <w:rStyle w:val="Hyperlink"/>
            <w:rFonts w:cs="Arial"/>
            <w:b/>
            <w:bCs/>
          </w:rPr>
          <w:t>tga.copyright@tga.gov.au</w:t>
        </w:r>
      </w:hyperlink>
      <w:r w:rsidRPr="00DD3815">
        <w:t>.</w:t>
      </w:r>
      <w:bookmarkEnd w:id="1"/>
    </w:p>
    <w:p w14:paraId="5DC211E2" w14:textId="77777777" w:rsidR="0089410A" w:rsidRDefault="0089410A" w:rsidP="00DD3815">
      <w:pPr>
        <w:pStyle w:val="LegalSubheading"/>
        <w:rPr>
          <w:rFonts w:cs="Arial"/>
          <w:b/>
          <w:bCs/>
        </w:rPr>
      </w:pPr>
      <w:r>
        <w:rPr>
          <w:rFonts w:cs="Arial"/>
          <w:b/>
          <w:bCs/>
        </w:rPr>
        <w:br w:type="page"/>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7934E4A3" w14:textId="77777777" w:rsidR="0089410A" w:rsidRPr="00215D48" w:rsidRDefault="0089410A" w:rsidP="0089410A">
          <w:pPr>
            <w:pStyle w:val="NonTOCheading2"/>
          </w:pPr>
          <w:r w:rsidRPr="00215D48">
            <w:t>Contents</w:t>
          </w:r>
        </w:p>
        <w:p w14:paraId="10D6FE33" w14:textId="5D56E140" w:rsidR="00333F71" w:rsidRDefault="0089410A">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99254925" w:history="1">
            <w:r w:rsidR="00333F71" w:rsidRPr="00352853">
              <w:rPr>
                <w:rStyle w:val="Hyperlink"/>
                <w:noProof/>
              </w:rPr>
              <w:t>Glossary</w:t>
            </w:r>
            <w:r w:rsidR="00333F71">
              <w:rPr>
                <w:noProof/>
                <w:webHidden/>
              </w:rPr>
              <w:tab/>
            </w:r>
            <w:r w:rsidR="00333F71">
              <w:rPr>
                <w:noProof/>
                <w:webHidden/>
              </w:rPr>
              <w:fldChar w:fldCharType="begin"/>
            </w:r>
            <w:r w:rsidR="00333F71">
              <w:rPr>
                <w:noProof/>
                <w:webHidden/>
              </w:rPr>
              <w:instrText xml:space="preserve"> PAGEREF _Toc199254925 \h </w:instrText>
            </w:r>
            <w:r w:rsidR="00333F71">
              <w:rPr>
                <w:noProof/>
                <w:webHidden/>
              </w:rPr>
            </w:r>
            <w:r w:rsidR="00333F71">
              <w:rPr>
                <w:noProof/>
                <w:webHidden/>
              </w:rPr>
              <w:fldChar w:fldCharType="separate"/>
            </w:r>
            <w:r w:rsidR="00CB5A59">
              <w:rPr>
                <w:noProof/>
                <w:webHidden/>
              </w:rPr>
              <w:t>5</w:t>
            </w:r>
            <w:r w:rsidR="00333F71">
              <w:rPr>
                <w:noProof/>
                <w:webHidden/>
              </w:rPr>
              <w:fldChar w:fldCharType="end"/>
            </w:r>
          </w:hyperlink>
        </w:p>
        <w:p w14:paraId="22E2B203" w14:textId="1BCE8A75" w:rsidR="00333F71" w:rsidRDefault="00333F7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9254926" w:history="1">
            <w:r w:rsidRPr="00352853">
              <w:rPr>
                <w:rStyle w:val="Hyperlink"/>
                <w:noProof/>
              </w:rPr>
              <w:t>Executive summary</w:t>
            </w:r>
            <w:r>
              <w:rPr>
                <w:noProof/>
                <w:webHidden/>
              </w:rPr>
              <w:tab/>
            </w:r>
            <w:r>
              <w:rPr>
                <w:noProof/>
                <w:webHidden/>
              </w:rPr>
              <w:fldChar w:fldCharType="begin"/>
            </w:r>
            <w:r>
              <w:rPr>
                <w:noProof/>
                <w:webHidden/>
              </w:rPr>
              <w:instrText xml:space="preserve"> PAGEREF _Toc199254926 \h </w:instrText>
            </w:r>
            <w:r>
              <w:rPr>
                <w:noProof/>
                <w:webHidden/>
              </w:rPr>
            </w:r>
            <w:r>
              <w:rPr>
                <w:noProof/>
                <w:webHidden/>
              </w:rPr>
              <w:fldChar w:fldCharType="separate"/>
            </w:r>
            <w:r w:rsidR="00CB5A59">
              <w:rPr>
                <w:noProof/>
                <w:webHidden/>
              </w:rPr>
              <w:t>6</w:t>
            </w:r>
            <w:r>
              <w:rPr>
                <w:noProof/>
                <w:webHidden/>
              </w:rPr>
              <w:fldChar w:fldCharType="end"/>
            </w:r>
          </w:hyperlink>
        </w:p>
        <w:p w14:paraId="6DD3DB81" w14:textId="3C7D0F82" w:rsidR="00333F71" w:rsidRDefault="00333F7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9254927" w:history="1">
            <w:r w:rsidRPr="00352853">
              <w:rPr>
                <w:rStyle w:val="Hyperlink"/>
                <w:noProof/>
              </w:rPr>
              <w:t>Introduction</w:t>
            </w:r>
            <w:r>
              <w:rPr>
                <w:noProof/>
                <w:webHidden/>
              </w:rPr>
              <w:tab/>
            </w:r>
            <w:r>
              <w:rPr>
                <w:noProof/>
                <w:webHidden/>
              </w:rPr>
              <w:fldChar w:fldCharType="begin"/>
            </w:r>
            <w:r>
              <w:rPr>
                <w:noProof/>
                <w:webHidden/>
              </w:rPr>
              <w:instrText xml:space="preserve"> PAGEREF _Toc199254927 \h </w:instrText>
            </w:r>
            <w:r>
              <w:rPr>
                <w:noProof/>
                <w:webHidden/>
              </w:rPr>
            </w:r>
            <w:r>
              <w:rPr>
                <w:noProof/>
                <w:webHidden/>
              </w:rPr>
              <w:fldChar w:fldCharType="separate"/>
            </w:r>
            <w:r w:rsidR="00CB5A59">
              <w:rPr>
                <w:noProof/>
                <w:webHidden/>
              </w:rPr>
              <w:t>8</w:t>
            </w:r>
            <w:r>
              <w:rPr>
                <w:noProof/>
                <w:webHidden/>
              </w:rPr>
              <w:fldChar w:fldCharType="end"/>
            </w:r>
          </w:hyperlink>
        </w:p>
        <w:p w14:paraId="7398C977" w14:textId="42A7E8C4"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28" w:history="1">
            <w:r w:rsidRPr="00352853">
              <w:rPr>
                <w:rStyle w:val="Hyperlink"/>
                <w:noProof/>
              </w:rPr>
              <w:t>US FDA’s proposed rule relating to sunscreen active ingredients</w:t>
            </w:r>
            <w:r>
              <w:rPr>
                <w:noProof/>
                <w:webHidden/>
              </w:rPr>
              <w:tab/>
            </w:r>
            <w:r>
              <w:rPr>
                <w:noProof/>
                <w:webHidden/>
              </w:rPr>
              <w:fldChar w:fldCharType="begin"/>
            </w:r>
            <w:r>
              <w:rPr>
                <w:noProof/>
                <w:webHidden/>
              </w:rPr>
              <w:instrText xml:space="preserve"> PAGEREF _Toc199254928 \h </w:instrText>
            </w:r>
            <w:r>
              <w:rPr>
                <w:noProof/>
                <w:webHidden/>
              </w:rPr>
            </w:r>
            <w:r>
              <w:rPr>
                <w:noProof/>
                <w:webHidden/>
              </w:rPr>
              <w:fldChar w:fldCharType="separate"/>
            </w:r>
            <w:r w:rsidR="00CB5A59">
              <w:rPr>
                <w:noProof/>
                <w:webHidden/>
              </w:rPr>
              <w:t>8</w:t>
            </w:r>
            <w:r>
              <w:rPr>
                <w:noProof/>
                <w:webHidden/>
              </w:rPr>
              <w:fldChar w:fldCharType="end"/>
            </w:r>
          </w:hyperlink>
        </w:p>
        <w:p w14:paraId="4775BFC2" w14:textId="21ECD530"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29" w:history="1">
            <w:r w:rsidRPr="00352853">
              <w:rPr>
                <w:rStyle w:val="Hyperlink"/>
                <w:noProof/>
              </w:rPr>
              <w:t>TGA’s safety review</w:t>
            </w:r>
            <w:r>
              <w:rPr>
                <w:noProof/>
                <w:webHidden/>
              </w:rPr>
              <w:tab/>
            </w:r>
            <w:r>
              <w:rPr>
                <w:noProof/>
                <w:webHidden/>
              </w:rPr>
              <w:fldChar w:fldCharType="begin"/>
            </w:r>
            <w:r>
              <w:rPr>
                <w:noProof/>
                <w:webHidden/>
              </w:rPr>
              <w:instrText xml:space="preserve"> PAGEREF _Toc199254929 \h </w:instrText>
            </w:r>
            <w:r>
              <w:rPr>
                <w:noProof/>
                <w:webHidden/>
              </w:rPr>
            </w:r>
            <w:r>
              <w:rPr>
                <w:noProof/>
                <w:webHidden/>
              </w:rPr>
              <w:fldChar w:fldCharType="separate"/>
            </w:r>
            <w:r w:rsidR="00CB5A59">
              <w:rPr>
                <w:noProof/>
                <w:webHidden/>
              </w:rPr>
              <w:t>9</w:t>
            </w:r>
            <w:r>
              <w:rPr>
                <w:noProof/>
                <w:webHidden/>
              </w:rPr>
              <w:fldChar w:fldCharType="end"/>
            </w:r>
          </w:hyperlink>
        </w:p>
        <w:p w14:paraId="0B4A541D" w14:textId="4EDD1801" w:rsidR="00333F71" w:rsidRDefault="00333F71">
          <w:pPr>
            <w:pStyle w:val="TOC2"/>
            <w:rPr>
              <w:rFonts w:asciiTheme="minorHAnsi" w:eastAsiaTheme="minorEastAsia" w:hAnsiTheme="minorHAnsi" w:cstheme="minorBidi"/>
              <w:noProof/>
              <w:color w:val="auto"/>
              <w:kern w:val="2"/>
              <w:szCs w:val="24"/>
              <w:lang w:eastAsia="en-AU"/>
              <w14:ligatures w14:val="standardContextual"/>
            </w:rPr>
          </w:pPr>
          <w:hyperlink w:anchor="_Toc199254930" w:history="1">
            <w:r w:rsidRPr="00352853">
              <w:rPr>
                <w:rStyle w:val="Hyperlink"/>
                <w:noProof/>
              </w:rPr>
              <w:t>What are these ingredients?</w:t>
            </w:r>
            <w:r>
              <w:rPr>
                <w:noProof/>
                <w:webHidden/>
              </w:rPr>
              <w:tab/>
            </w:r>
            <w:r>
              <w:rPr>
                <w:noProof/>
                <w:webHidden/>
              </w:rPr>
              <w:fldChar w:fldCharType="begin"/>
            </w:r>
            <w:r>
              <w:rPr>
                <w:noProof/>
                <w:webHidden/>
              </w:rPr>
              <w:instrText xml:space="preserve"> PAGEREF _Toc199254930 \h </w:instrText>
            </w:r>
            <w:r>
              <w:rPr>
                <w:noProof/>
                <w:webHidden/>
              </w:rPr>
            </w:r>
            <w:r>
              <w:rPr>
                <w:noProof/>
                <w:webHidden/>
              </w:rPr>
              <w:fldChar w:fldCharType="separate"/>
            </w:r>
            <w:r w:rsidR="00CB5A59">
              <w:rPr>
                <w:noProof/>
                <w:webHidden/>
              </w:rPr>
              <w:t>10</w:t>
            </w:r>
            <w:r>
              <w:rPr>
                <w:noProof/>
                <w:webHidden/>
              </w:rPr>
              <w:fldChar w:fldCharType="end"/>
            </w:r>
          </w:hyperlink>
        </w:p>
        <w:p w14:paraId="3D899FD2" w14:textId="6B1D748F"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31" w:history="1">
            <w:r w:rsidRPr="00352853">
              <w:rPr>
                <w:rStyle w:val="Hyperlink"/>
                <w:noProof/>
              </w:rPr>
              <w:t>Chemical properties</w:t>
            </w:r>
            <w:r>
              <w:rPr>
                <w:noProof/>
                <w:webHidden/>
              </w:rPr>
              <w:tab/>
            </w:r>
            <w:r>
              <w:rPr>
                <w:noProof/>
                <w:webHidden/>
              </w:rPr>
              <w:fldChar w:fldCharType="begin"/>
            </w:r>
            <w:r>
              <w:rPr>
                <w:noProof/>
                <w:webHidden/>
              </w:rPr>
              <w:instrText xml:space="preserve"> PAGEREF _Toc199254931 \h </w:instrText>
            </w:r>
            <w:r>
              <w:rPr>
                <w:noProof/>
                <w:webHidden/>
              </w:rPr>
            </w:r>
            <w:r>
              <w:rPr>
                <w:noProof/>
                <w:webHidden/>
              </w:rPr>
              <w:fldChar w:fldCharType="separate"/>
            </w:r>
            <w:r w:rsidR="00CB5A59">
              <w:rPr>
                <w:noProof/>
                <w:webHidden/>
              </w:rPr>
              <w:t>10</w:t>
            </w:r>
            <w:r>
              <w:rPr>
                <w:noProof/>
                <w:webHidden/>
              </w:rPr>
              <w:fldChar w:fldCharType="end"/>
            </w:r>
          </w:hyperlink>
        </w:p>
        <w:p w14:paraId="63C51979" w14:textId="779B74B0"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32" w:history="1">
            <w:r w:rsidRPr="00352853">
              <w:rPr>
                <w:rStyle w:val="Hyperlink"/>
                <w:noProof/>
              </w:rPr>
              <w:t>Current restrictions in Australia and internationally</w:t>
            </w:r>
            <w:r>
              <w:rPr>
                <w:noProof/>
                <w:webHidden/>
              </w:rPr>
              <w:tab/>
            </w:r>
            <w:r>
              <w:rPr>
                <w:noProof/>
                <w:webHidden/>
              </w:rPr>
              <w:fldChar w:fldCharType="begin"/>
            </w:r>
            <w:r>
              <w:rPr>
                <w:noProof/>
                <w:webHidden/>
              </w:rPr>
              <w:instrText xml:space="preserve"> PAGEREF _Toc199254932 \h </w:instrText>
            </w:r>
            <w:r>
              <w:rPr>
                <w:noProof/>
                <w:webHidden/>
              </w:rPr>
            </w:r>
            <w:r>
              <w:rPr>
                <w:noProof/>
                <w:webHidden/>
              </w:rPr>
              <w:fldChar w:fldCharType="separate"/>
            </w:r>
            <w:r w:rsidR="00CB5A59">
              <w:rPr>
                <w:noProof/>
                <w:webHidden/>
              </w:rPr>
              <w:t>13</w:t>
            </w:r>
            <w:r>
              <w:rPr>
                <w:noProof/>
                <w:webHidden/>
              </w:rPr>
              <w:fldChar w:fldCharType="end"/>
            </w:r>
          </w:hyperlink>
        </w:p>
        <w:p w14:paraId="1B6F1D29" w14:textId="0941170A" w:rsidR="00333F71" w:rsidRDefault="00333F71">
          <w:pPr>
            <w:pStyle w:val="TOC2"/>
            <w:rPr>
              <w:rFonts w:asciiTheme="minorHAnsi" w:eastAsiaTheme="minorEastAsia" w:hAnsiTheme="minorHAnsi" w:cstheme="minorBidi"/>
              <w:noProof/>
              <w:color w:val="auto"/>
              <w:kern w:val="2"/>
              <w:szCs w:val="24"/>
              <w:lang w:eastAsia="en-AU"/>
              <w14:ligatures w14:val="standardContextual"/>
            </w:rPr>
          </w:pPr>
          <w:hyperlink w:anchor="_Toc199254933" w:history="1">
            <w:r w:rsidRPr="00352853">
              <w:rPr>
                <w:rStyle w:val="Hyperlink"/>
                <w:noProof/>
              </w:rPr>
              <w:t>How is safety evaluated for sunscreen ingredient?</w:t>
            </w:r>
            <w:r>
              <w:rPr>
                <w:noProof/>
                <w:webHidden/>
              </w:rPr>
              <w:tab/>
            </w:r>
            <w:r>
              <w:rPr>
                <w:noProof/>
                <w:webHidden/>
              </w:rPr>
              <w:fldChar w:fldCharType="begin"/>
            </w:r>
            <w:r>
              <w:rPr>
                <w:noProof/>
                <w:webHidden/>
              </w:rPr>
              <w:instrText xml:space="preserve"> PAGEREF _Toc199254933 \h </w:instrText>
            </w:r>
            <w:r>
              <w:rPr>
                <w:noProof/>
                <w:webHidden/>
              </w:rPr>
            </w:r>
            <w:r>
              <w:rPr>
                <w:noProof/>
                <w:webHidden/>
              </w:rPr>
              <w:fldChar w:fldCharType="separate"/>
            </w:r>
            <w:r w:rsidR="00CB5A59">
              <w:rPr>
                <w:noProof/>
                <w:webHidden/>
              </w:rPr>
              <w:t>14</w:t>
            </w:r>
            <w:r>
              <w:rPr>
                <w:noProof/>
                <w:webHidden/>
              </w:rPr>
              <w:fldChar w:fldCharType="end"/>
            </w:r>
          </w:hyperlink>
        </w:p>
        <w:p w14:paraId="10BE7E72" w14:textId="06FE2D0B"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34" w:history="1">
            <w:r w:rsidRPr="00352853">
              <w:rPr>
                <w:rStyle w:val="Hyperlink"/>
                <w:noProof/>
              </w:rPr>
              <w:t>Margin of Safety (MoS)</w:t>
            </w:r>
            <w:r>
              <w:rPr>
                <w:noProof/>
                <w:webHidden/>
              </w:rPr>
              <w:tab/>
            </w:r>
            <w:r>
              <w:rPr>
                <w:noProof/>
                <w:webHidden/>
              </w:rPr>
              <w:fldChar w:fldCharType="begin"/>
            </w:r>
            <w:r>
              <w:rPr>
                <w:noProof/>
                <w:webHidden/>
              </w:rPr>
              <w:instrText xml:space="preserve"> PAGEREF _Toc199254934 \h </w:instrText>
            </w:r>
            <w:r>
              <w:rPr>
                <w:noProof/>
                <w:webHidden/>
              </w:rPr>
            </w:r>
            <w:r>
              <w:rPr>
                <w:noProof/>
                <w:webHidden/>
              </w:rPr>
              <w:fldChar w:fldCharType="separate"/>
            </w:r>
            <w:r w:rsidR="00CB5A59">
              <w:rPr>
                <w:noProof/>
                <w:webHidden/>
              </w:rPr>
              <w:t>14</w:t>
            </w:r>
            <w:r>
              <w:rPr>
                <w:noProof/>
                <w:webHidden/>
              </w:rPr>
              <w:fldChar w:fldCharType="end"/>
            </w:r>
          </w:hyperlink>
        </w:p>
        <w:p w14:paraId="77059901" w14:textId="4A5DE638"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35" w:history="1">
            <w:r w:rsidRPr="00352853">
              <w:rPr>
                <w:rStyle w:val="Hyperlink"/>
                <w:noProof/>
                <w:snapToGrid w:val="0"/>
              </w:rPr>
              <w:t>ASEM Formula</w:t>
            </w:r>
            <w:r>
              <w:rPr>
                <w:noProof/>
                <w:webHidden/>
              </w:rPr>
              <w:tab/>
            </w:r>
            <w:r>
              <w:rPr>
                <w:noProof/>
                <w:webHidden/>
              </w:rPr>
              <w:fldChar w:fldCharType="begin"/>
            </w:r>
            <w:r>
              <w:rPr>
                <w:noProof/>
                <w:webHidden/>
              </w:rPr>
              <w:instrText xml:space="preserve"> PAGEREF _Toc199254935 \h </w:instrText>
            </w:r>
            <w:r>
              <w:rPr>
                <w:noProof/>
                <w:webHidden/>
              </w:rPr>
            </w:r>
            <w:r>
              <w:rPr>
                <w:noProof/>
                <w:webHidden/>
              </w:rPr>
              <w:fldChar w:fldCharType="separate"/>
            </w:r>
            <w:r w:rsidR="00CB5A59">
              <w:rPr>
                <w:noProof/>
                <w:webHidden/>
              </w:rPr>
              <w:t>14</w:t>
            </w:r>
            <w:r>
              <w:rPr>
                <w:noProof/>
                <w:webHidden/>
              </w:rPr>
              <w:fldChar w:fldCharType="end"/>
            </w:r>
          </w:hyperlink>
        </w:p>
        <w:p w14:paraId="2CCBA10B" w14:textId="6CA8F4A9"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36" w:history="1">
            <w:r w:rsidRPr="00352853">
              <w:rPr>
                <w:rStyle w:val="Hyperlink"/>
                <w:noProof/>
              </w:rPr>
              <w:t>Calculation for the highest estimated average daily sunscreen exposure</w:t>
            </w:r>
            <w:r>
              <w:rPr>
                <w:noProof/>
                <w:webHidden/>
              </w:rPr>
              <w:tab/>
            </w:r>
            <w:r>
              <w:rPr>
                <w:noProof/>
                <w:webHidden/>
              </w:rPr>
              <w:fldChar w:fldCharType="begin"/>
            </w:r>
            <w:r>
              <w:rPr>
                <w:noProof/>
                <w:webHidden/>
              </w:rPr>
              <w:instrText xml:space="preserve"> PAGEREF _Toc199254936 \h </w:instrText>
            </w:r>
            <w:r>
              <w:rPr>
                <w:noProof/>
                <w:webHidden/>
              </w:rPr>
            </w:r>
            <w:r>
              <w:rPr>
                <w:noProof/>
                <w:webHidden/>
              </w:rPr>
              <w:fldChar w:fldCharType="separate"/>
            </w:r>
            <w:r w:rsidR="00CB5A59">
              <w:rPr>
                <w:noProof/>
                <w:webHidden/>
              </w:rPr>
              <w:t>16</w:t>
            </w:r>
            <w:r>
              <w:rPr>
                <w:noProof/>
                <w:webHidden/>
              </w:rPr>
              <w:fldChar w:fldCharType="end"/>
            </w:r>
          </w:hyperlink>
        </w:p>
        <w:p w14:paraId="1AEDE935" w14:textId="41475917" w:rsidR="00333F71" w:rsidRDefault="00333F7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9254937" w:history="1">
            <w:r w:rsidRPr="00352853">
              <w:rPr>
                <w:rStyle w:val="Hyperlink"/>
                <w:noProof/>
              </w:rPr>
              <w:t>Literature review of the selected ingredients</w:t>
            </w:r>
            <w:r>
              <w:rPr>
                <w:noProof/>
                <w:webHidden/>
              </w:rPr>
              <w:tab/>
            </w:r>
            <w:r>
              <w:rPr>
                <w:noProof/>
                <w:webHidden/>
              </w:rPr>
              <w:fldChar w:fldCharType="begin"/>
            </w:r>
            <w:r>
              <w:rPr>
                <w:noProof/>
                <w:webHidden/>
              </w:rPr>
              <w:instrText xml:space="preserve"> PAGEREF _Toc199254937 \h </w:instrText>
            </w:r>
            <w:r>
              <w:rPr>
                <w:noProof/>
                <w:webHidden/>
              </w:rPr>
            </w:r>
            <w:r>
              <w:rPr>
                <w:noProof/>
                <w:webHidden/>
              </w:rPr>
              <w:fldChar w:fldCharType="separate"/>
            </w:r>
            <w:r w:rsidR="00CB5A59">
              <w:rPr>
                <w:noProof/>
                <w:webHidden/>
              </w:rPr>
              <w:t>18</w:t>
            </w:r>
            <w:r>
              <w:rPr>
                <w:noProof/>
                <w:webHidden/>
              </w:rPr>
              <w:fldChar w:fldCharType="end"/>
            </w:r>
          </w:hyperlink>
        </w:p>
        <w:p w14:paraId="3418514C" w14:textId="30216B6A" w:rsidR="00333F71" w:rsidRDefault="00333F71">
          <w:pPr>
            <w:pStyle w:val="TOC2"/>
            <w:rPr>
              <w:rFonts w:asciiTheme="minorHAnsi" w:eastAsiaTheme="minorEastAsia" w:hAnsiTheme="minorHAnsi" w:cstheme="minorBidi"/>
              <w:noProof/>
              <w:color w:val="auto"/>
              <w:kern w:val="2"/>
              <w:szCs w:val="24"/>
              <w:lang w:eastAsia="en-AU"/>
              <w14:ligatures w14:val="standardContextual"/>
            </w:rPr>
          </w:pPr>
          <w:hyperlink w:anchor="_Toc199254938" w:history="1">
            <w:r w:rsidRPr="00352853">
              <w:rPr>
                <w:rStyle w:val="Hyperlink"/>
                <w:noProof/>
              </w:rPr>
              <w:t>Method of data search</w:t>
            </w:r>
            <w:r>
              <w:rPr>
                <w:noProof/>
                <w:webHidden/>
              </w:rPr>
              <w:tab/>
            </w:r>
            <w:r>
              <w:rPr>
                <w:noProof/>
                <w:webHidden/>
              </w:rPr>
              <w:fldChar w:fldCharType="begin"/>
            </w:r>
            <w:r>
              <w:rPr>
                <w:noProof/>
                <w:webHidden/>
              </w:rPr>
              <w:instrText xml:space="preserve"> PAGEREF _Toc199254938 \h </w:instrText>
            </w:r>
            <w:r>
              <w:rPr>
                <w:noProof/>
                <w:webHidden/>
              </w:rPr>
            </w:r>
            <w:r>
              <w:rPr>
                <w:noProof/>
                <w:webHidden/>
              </w:rPr>
              <w:fldChar w:fldCharType="separate"/>
            </w:r>
            <w:r w:rsidR="00CB5A59">
              <w:rPr>
                <w:noProof/>
                <w:webHidden/>
              </w:rPr>
              <w:t>18</w:t>
            </w:r>
            <w:r>
              <w:rPr>
                <w:noProof/>
                <w:webHidden/>
              </w:rPr>
              <w:fldChar w:fldCharType="end"/>
            </w:r>
          </w:hyperlink>
        </w:p>
        <w:p w14:paraId="23F3AF8C" w14:textId="0291E3D0" w:rsidR="00333F71" w:rsidRDefault="00333F71">
          <w:pPr>
            <w:pStyle w:val="TOC2"/>
            <w:rPr>
              <w:rFonts w:asciiTheme="minorHAnsi" w:eastAsiaTheme="minorEastAsia" w:hAnsiTheme="minorHAnsi" w:cstheme="minorBidi"/>
              <w:noProof/>
              <w:color w:val="auto"/>
              <w:kern w:val="2"/>
              <w:szCs w:val="24"/>
              <w:lang w:eastAsia="en-AU"/>
              <w14:ligatures w14:val="standardContextual"/>
            </w:rPr>
          </w:pPr>
          <w:hyperlink w:anchor="_Toc199254939" w:history="1">
            <w:r w:rsidRPr="00352853">
              <w:rPr>
                <w:rStyle w:val="Hyperlink"/>
                <w:noProof/>
              </w:rPr>
              <w:t>Pharmacokinetics</w:t>
            </w:r>
            <w:r>
              <w:rPr>
                <w:noProof/>
                <w:webHidden/>
              </w:rPr>
              <w:tab/>
            </w:r>
            <w:r>
              <w:rPr>
                <w:noProof/>
                <w:webHidden/>
              </w:rPr>
              <w:fldChar w:fldCharType="begin"/>
            </w:r>
            <w:r>
              <w:rPr>
                <w:noProof/>
                <w:webHidden/>
              </w:rPr>
              <w:instrText xml:space="preserve"> PAGEREF _Toc199254939 \h </w:instrText>
            </w:r>
            <w:r>
              <w:rPr>
                <w:noProof/>
                <w:webHidden/>
              </w:rPr>
            </w:r>
            <w:r>
              <w:rPr>
                <w:noProof/>
                <w:webHidden/>
              </w:rPr>
              <w:fldChar w:fldCharType="separate"/>
            </w:r>
            <w:r w:rsidR="00CB5A59">
              <w:rPr>
                <w:noProof/>
                <w:webHidden/>
              </w:rPr>
              <w:t>18</w:t>
            </w:r>
            <w:r>
              <w:rPr>
                <w:noProof/>
                <w:webHidden/>
              </w:rPr>
              <w:fldChar w:fldCharType="end"/>
            </w:r>
          </w:hyperlink>
        </w:p>
        <w:p w14:paraId="56A246A7" w14:textId="110FC845"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40" w:history="1">
            <w:r w:rsidRPr="00352853">
              <w:rPr>
                <w:rStyle w:val="Hyperlink"/>
                <w:noProof/>
              </w:rPr>
              <w:t>Butyl methoxydibenzoylmethane</w:t>
            </w:r>
            <w:r>
              <w:rPr>
                <w:noProof/>
                <w:webHidden/>
              </w:rPr>
              <w:tab/>
            </w:r>
            <w:r>
              <w:rPr>
                <w:noProof/>
                <w:webHidden/>
              </w:rPr>
              <w:fldChar w:fldCharType="begin"/>
            </w:r>
            <w:r>
              <w:rPr>
                <w:noProof/>
                <w:webHidden/>
              </w:rPr>
              <w:instrText xml:space="preserve"> PAGEREF _Toc199254940 \h </w:instrText>
            </w:r>
            <w:r>
              <w:rPr>
                <w:noProof/>
                <w:webHidden/>
              </w:rPr>
            </w:r>
            <w:r>
              <w:rPr>
                <w:noProof/>
                <w:webHidden/>
              </w:rPr>
              <w:fldChar w:fldCharType="separate"/>
            </w:r>
            <w:r w:rsidR="00CB5A59">
              <w:rPr>
                <w:noProof/>
                <w:webHidden/>
              </w:rPr>
              <w:t>18</w:t>
            </w:r>
            <w:r>
              <w:rPr>
                <w:noProof/>
                <w:webHidden/>
              </w:rPr>
              <w:fldChar w:fldCharType="end"/>
            </w:r>
          </w:hyperlink>
        </w:p>
        <w:p w14:paraId="2A7D68BC" w14:textId="23DFBAF6"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41" w:history="1">
            <w:r w:rsidRPr="00352853">
              <w:rPr>
                <w:rStyle w:val="Hyperlink"/>
                <w:noProof/>
              </w:rPr>
              <w:t>Ethylhexyl triazone</w:t>
            </w:r>
            <w:r>
              <w:rPr>
                <w:noProof/>
                <w:webHidden/>
              </w:rPr>
              <w:tab/>
            </w:r>
            <w:r>
              <w:rPr>
                <w:noProof/>
                <w:webHidden/>
              </w:rPr>
              <w:fldChar w:fldCharType="begin"/>
            </w:r>
            <w:r>
              <w:rPr>
                <w:noProof/>
                <w:webHidden/>
              </w:rPr>
              <w:instrText xml:space="preserve"> PAGEREF _Toc199254941 \h </w:instrText>
            </w:r>
            <w:r>
              <w:rPr>
                <w:noProof/>
                <w:webHidden/>
              </w:rPr>
            </w:r>
            <w:r>
              <w:rPr>
                <w:noProof/>
                <w:webHidden/>
              </w:rPr>
              <w:fldChar w:fldCharType="separate"/>
            </w:r>
            <w:r w:rsidR="00CB5A59">
              <w:rPr>
                <w:noProof/>
                <w:webHidden/>
              </w:rPr>
              <w:t>19</w:t>
            </w:r>
            <w:r>
              <w:rPr>
                <w:noProof/>
                <w:webHidden/>
              </w:rPr>
              <w:fldChar w:fldCharType="end"/>
            </w:r>
          </w:hyperlink>
        </w:p>
        <w:p w14:paraId="2827B5A3" w14:textId="76ABB191"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42" w:history="1">
            <w:r w:rsidRPr="00352853">
              <w:rPr>
                <w:rStyle w:val="Hyperlink"/>
                <w:noProof/>
              </w:rPr>
              <w:t>Homosalate</w:t>
            </w:r>
            <w:r>
              <w:rPr>
                <w:noProof/>
                <w:webHidden/>
              </w:rPr>
              <w:tab/>
            </w:r>
            <w:r>
              <w:rPr>
                <w:noProof/>
                <w:webHidden/>
              </w:rPr>
              <w:fldChar w:fldCharType="begin"/>
            </w:r>
            <w:r>
              <w:rPr>
                <w:noProof/>
                <w:webHidden/>
              </w:rPr>
              <w:instrText xml:space="preserve"> PAGEREF _Toc199254942 \h </w:instrText>
            </w:r>
            <w:r>
              <w:rPr>
                <w:noProof/>
                <w:webHidden/>
              </w:rPr>
            </w:r>
            <w:r>
              <w:rPr>
                <w:noProof/>
                <w:webHidden/>
              </w:rPr>
              <w:fldChar w:fldCharType="separate"/>
            </w:r>
            <w:r w:rsidR="00CB5A59">
              <w:rPr>
                <w:noProof/>
                <w:webHidden/>
              </w:rPr>
              <w:t>20</w:t>
            </w:r>
            <w:r>
              <w:rPr>
                <w:noProof/>
                <w:webHidden/>
              </w:rPr>
              <w:fldChar w:fldCharType="end"/>
            </w:r>
          </w:hyperlink>
        </w:p>
        <w:p w14:paraId="166FF0AE" w14:textId="1976306C"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43" w:history="1">
            <w:r w:rsidRPr="00352853">
              <w:rPr>
                <w:rStyle w:val="Hyperlink"/>
                <w:noProof/>
              </w:rPr>
              <w:t>Octocrylene</w:t>
            </w:r>
            <w:r>
              <w:rPr>
                <w:noProof/>
                <w:webHidden/>
              </w:rPr>
              <w:tab/>
            </w:r>
            <w:r>
              <w:rPr>
                <w:noProof/>
                <w:webHidden/>
              </w:rPr>
              <w:fldChar w:fldCharType="begin"/>
            </w:r>
            <w:r>
              <w:rPr>
                <w:noProof/>
                <w:webHidden/>
              </w:rPr>
              <w:instrText xml:space="preserve"> PAGEREF _Toc199254943 \h </w:instrText>
            </w:r>
            <w:r>
              <w:rPr>
                <w:noProof/>
                <w:webHidden/>
              </w:rPr>
            </w:r>
            <w:r>
              <w:rPr>
                <w:noProof/>
                <w:webHidden/>
              </w:rPr>
              <w:fldChar w:fldCharType="separate"/>
            </w:r>
            <w:r w:rsidR="00CB5A59">
              <w:rPr>
                <w:noProof/>
                <w:webHidden/>
              </w:rPr>
              <w:t>21</w:t>
            </w:r>
            <w:r>
              <w:rPr>
                <w:noProof/>
                <w:webHidden/>
              </w:rPr>
              <w:fldChar w:fldCharType="end"/>
            </w:r>
          </w:hyperlink>
        </w:p>
        <w:p w14:paraId="5F70FB1B" w14:textId="4F92E916"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44" w:history="1">
            <w:r w:rsidRPr="00352853">
              <w:rPr>
                <w:rStyle w:val="Hyperlink"/>
                <w:noProof/>
              </w:rPr>
              <w:t>Octyl methoxycinnamate</w:t>
            </w:r>
            <w:r>
              <w:rPr>
                <w:noProof/>
                <w:webHidden/>
              </w:rPr>
              <w:tab/>
            </w:r>
            <w:r>
              <w:rPr>
                <w:noProof/>
                <w:webHidden/>
              </w:rPr>
              <w:fldChar w:fldCharType="begin"/>
            </w:r>
            <w:r>
              <w:rPr>
                <w:noProof/>
                <w:webHidden/>
              </w:rPr>
              <w:instrText xml:space="preserve"> PAGEREF _Toc199254944 \h </w:instrText>
            </w:r>
            <w:r>
              <w:rPr>
                <w:noProof/>
                <w:webHidden/>
              </w:rPr>
            </w:r>
            <w:r>
              <w:rPr>
                <w:noProof/>
                <w:webHidden/>
              </w:rPr>
              <w:fldChar w:fldCharType="separate"/>
            </w:r>
            <w:r w:rsidR="00CB5A59">
              <w:rPr>
                <w:noProof/>
                <w:webHidden/>
              </w:rPr>
              <w:t>22</w:t>
            </w:r>
            <w:r>
              <w:rPr>
                <w:noProof/>
                <w:webHidden/>
              </w:rPr>
              <w:fldChar w:fldCharType="end"/>
            </w:r>
          </w:hyperlink>
        </w:p>
        <w:p w14:paraId="0C5E27FC" w14:textId="1F9ADFE3"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45" w:history="1">
            <w:r w:rsidRPr="00352853">
              <w:rPr>
                <w:rStyle w:val="Hyperlink"/>
                <w:noProof/>
              </w:rPr>
              <w:t>Oxybenzone</w:t>
            </w:r>
            <w:r>
              <w:rPr>
                <w:noProof/>
                <w:webHidden/>
              </w:rPr>
              <w:tab/>
            </w:r>
            <w:r>
              <w:rPr>
                <w:noProof/>
                <w:webHidden/>
              </w:rPr>
              <w:fldChar w:fldCharType="begin"/>
            </w:r>
            <w:r>
              <w:rPr>
                <w:noProof/>
                <w:webHidden/>
              </w:rPr>
              <w:instrText xml:space="preserve"> PAGEREF _Toc199254945 \h </w:instrText>
            </w:r>
            <w:r>
              <w:rPr>
                <w:noProof/>
                <w:webHidden/>
              </w:rPr>
            </w:r>
            <w:r>
              <w:rPr>
                <w:noProof/>
                <w:webHidden/>
              </w:rPr>
              <w:fldChar w:fldCharType="separate"/>
            </w:r>
            <w:r w:rsidR="00CB5A59">
              <w:rPr>
                <w:noProof/>
                <w:webHidden/>
              </w:rPr>
              <w:t>23</w:t>
            </w:r>
            <w:r>
              <w:rPr>
                <w:noProof/>
                <w:webHidden/>
              </w:rPr>
              <w:fldChar w:fldCharType="end"/>
            </w:r>
          </w:hyperlink>
        </w:p>
        <w:p w14:paraId="1330949D" w14:textId="73221AA0"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46" w:history="1">
            <w:r w:rsidRPr="00352853">
              <w:rPr>
                <w:rStyle w:val="Hyperlink"/>
                <w:noProof/>
              </w:rPr>
              <w:t>Phenylbenzimidazole sulfonic acid</w:t>
            </w:r>
            <w:r>
              <w:rPr>
                <w:noProof/>
                <w:webHidden/>
              </w:rPr>
              <w:tab/>
            </w:r>
            <w:r>
              <w:rPr>
                <w:noProof/>
                <w:webHidden/>
              </w:rPr>
              <w:fldChar w:fldCharType="begin"/>
            </w:r>
            <w:r>
              <w:rPr>
                <w:noProof/>
                <w:webHidden/>
              </w:rPr>
              <w:instrText xml:space="preserve"> PAGEREF _Toc199254946 \h </w:instrText>
            </w:r>
            <w:r>
              <w:rPr>
                <w:noProof/>
                <w:webHidden/>
              </w:rPr>
            </w:r>
            <w:r>
              <w:rPr>
                <w:noProof/>
                <w:webHidden/>
              </w:rPr>
              <w:fldChar w:fldCharType="separate"/>
            </w:r>
            <w:r w:rsidR="00CB5A59">
              <w:rPr>
                <w:noProof/>
                <w:webHidden/>
              </w:rPr>
              <w:t>24</w:t>
            </w:r>
            <w:r>
              <w:rPr>
                <w:noProof/>
                <w:webHidden/>
              </w:rPr>
              <w:fldChar w:fldCharType="end"/>
            </w:r>
          </w:hyperlink>
        </w:p>
        <w:p w14:paraId="49C20900" w14:textId="6ACB24A5" w:rsidR="00333F71" w:rsidRDefault="00333F71">
          <w:pPr>
            <w:pStyle w:val="TOC2"/>
            <w:rPr>
              <w:rFonts w:asciiTheme="minorHAnsi" w:eastAsiaTheme="minorEastAsia" w:hAnsiTheme="minorHAnsi" w:cstheme="minorBidi"/>
              <w:noProof/>
              <w:color w:val="auto"/>
              <w:kern w:val="2"/>
              <w:szCs w:val="24"/>
              <w:lang w:eastAsia="en-AU"/>
              <w14:ligatures w14:val="standardContextual"/>
            </w:rPr>
          </w:pPr>
          <w:hyperlink w:anchor="_Toc199254947" w:history="1">
            <w:r w:rsidRPr="00352853">
              <w:rPr>
                <w:rStyle w:val="Hyperlink"/>
                <w:noProof/>
              </w:rPr>
              <w:t>Clinical trials</w:t>
            </w:r>
            <w:r>
              <w:rPr>
                <w:noProof/>
                <w:webHidden/>
              </w:rPr>
              <w:tab/>
            </w:r>
            <w:r>
              <w:rPr>
                <w:noProof/>
                <w:webHidden/>
              </w:rPr>
              <w:fldChar w:fldCharType="begin"/>
            </w:r>
            <w:r>
              <w:rPr>
                <w:noProof/>
                <w:webHidden/>
              </w:rPr>
              <w:instrText xml:space="preserve"> PAGEREF _Toc199254947 \h </w:instrText>
            </w:r>
            <w:r>
              <w:rPr>
                <w:noProof/>
                <w:webHidden/>
              </w:rPr>
            </w:r>
            <w:r>
              <w:rPr>
                <w:noProof/>
                <w:webHidden/>
              </w:rPr>
              <w:fldChar w:fldCharType="separate"/>
            </w:r>
            <w:r w:rsidR="00CB5A59">
              <w:rPr>
                <w:noProof/>
                <w:webHidden/>
              </w:rPr>
              <w:t>24</w:t>
            </w:r>
            <w:r>
              <w:rPr>
                <w:noProof/>
                <w:webHidden/>
              </w:rPr>
              <w:fldChar w:fldCharType="end"/>
            </w:r>
          </w:hyperlink>
        </w:p>
        <w:p w14:paraId="33E02728" w14:textId="4031364B" w:rsidR="00333F71" w:rsidRDefault="00333F71">
          <w:pPr>
            <w:pStyle w:val="TOC2"/>
            <w:rPr>
              <w:rFonts w:asciiTheme="minorHAnsi" w:eastAsiaTheme="minorEastAsia" w:hAnsiTheme="minorHAnsi" w:cstheme="minorBidi"/>
              <w:noProof/>
              <w:color w:val="auto"/>
              <w:kern w:val="2"/>
              <w:szCs w:val="24"/>
              <w:lang w:eastAsia="en-AU"/>
              <w14:ligatures w14:val="standardContextual"/>
            </w:rPr>
          </w:pPr>
          <w:hyperlink w:anchor="_Toc199254948" w:history="1">
            <w:r w:rsidRPr="00352853">
              <w:rPr>
                <w:rStyle w:val="Hyperlink"/>
                <w:noProof/>
              </w:rPr>
              <w:t>Toxicity</w:t>
            </w:r>
            <w:r>
              <w:rPr>
                <w:noProof/>
                <w:webHidden/>
              </w:rPr>
              <w:tab/>
            </w:r>
            <w:r>
              <w:rPr>
                <w:noProof/>
                <w:webHidden/>
              </w:rPr>
              <w:fldChar w:fldCharType="begin"/>
            </w:r>
            <w:r>
              <w:rPr>
                <w:noProof/>
                <w:webHidden/>
              </w:rPr>
              <w:instrText xml:space="preserve"> PAGEREF _Toc199254948 \h </w:instrText>
            </w:r>
            <w:r>
              <w:rPr>
                <w:noProof/>
                <w:webHidden/>
              </w:rPr>
            </w:r>
            <w:r>
              <w:rPr>
                <w:noProof/>
                <w:webHidden/>
              </w:rPr>
              <w:fldChar w:fldCharType="separate"/>
            </w:r>
            <w:r w:rsidR="00CB5A59">
              <w:rPr>
                <w:noProof/>
                <w:webHidden/>
              </w:rPr>
              <w:t>26</w:t>
            </w:r>
            <w:r>
              <w:rPr>
                <w:noProof/>
                <w:webHidden/>
              </w:rPr>
              <w:fldChar w:fldCharType="end"/>
            </w:r>
          </w:hyperlink>
        </w:p>
        <w:p w14:paraId="394B016C" w14:textId="0A490F5A"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49" w:history="1">
            <w:r w:rsidRPr="00352853">
              <w:rPr>
                <w:rStyle w:val="Hyperlink"/>
                <w:noProof/>
              </w:rPr>
              <w:t>Acute toxicity</w:t>
            </w:r>
            <w:r>
              <w:rPr>
                <w:noProof/>
                <w:webHidden/>
              </w:rPr>
              <w:tab/>
            </w:r>
            <w:r>
              <w:rPr>
                <w:noProof/>
                <w:webHidden/>
              </w:rPr>
              <w:fldChar w:fldCharType="begin"/>
            </w:r>
            <w:r>
              <w:rPr>
                <w:noProof/>
                <w:webHidden/>
              </w:rPr>
              <w:instrText xml:space="preserve"> PAGEREF _Toc199254949 \h </w:instrText>
            </w:r>
            <w:r>
              <w:rPr>
                <w:noProof/>
                <w:webHidden/>
              </w:rPr>
            </w:r>
            <w:r>
              <w:rPr>
                <w:noProof/>
                <w:webHidden/>
              </w:rPr>
              <w:fldChar w:fldCharType="separate"/>
            </w:r>
            <w:r w:rsidR="00CB5A59">
              <w:rPr>
                <w:noProof/>
                <w:webHidden/>
              </w:rPr>
              <w:t>26</w:t>
            </w:r>
            <w:r>
              <w:rPr>
                <w:noProof/>
                <w:webHidden/>
              </w:rPr>
              <w:fldChar w:fldCharType="end"/>
            </w:r>
          </w:hyperlink>
        </w:p>
        <w:p w14:paraId="0D82688D" w14:textId="0A438AE0"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50" w:history="1">
            <w:r w:rsidRPr="00352853">
              <w:rPr>
                <w:rStyle w:val="Hyperlink"/>
                <w:noProof/>
              </w:rPr>
              <w:t>Local tolerance</w:t>
            </w:r>
            <w:r>
              <w:rPr>
                <w:noProof/>
                <w:webHidden/>
              </w:rPr>
              <w:tab/>
            </w:r>
            <w:r>
              <w:rPr>
                <w:noProof/>
                <w:webHidden/>
              </w:rPr>
              <w:fldChar w:fldCharType="begin"/>
            </w:r>
            <w:r>
              <w:rPr>
                <w:noProof/>
                <w:webHidden/>
              </w:rPr>
              <w:instrText xml:space="preserve"> PAGEREF _Toc199254950 \h </w:instrText>
            </w:r>
            <w:r>
              <w:rPr>
                <w:noProof/>
                <w:webHidden/>
              </w:rPr>
            </w:r>
            <w:r>
              <w:rPr>
                <w:noProof/>
                <w:webHidden/>
              </w:rPr>
              <w:fldChar w:fldCharType="separate"/>
            </w:r>
            <w:r w:rsidR="00CB5A59">
              <w:rPr>
                <w:noProof/>
                <w:webHidden/>
              </w:rPr>
              <w:t>27</w:t>
            </w:r>
            <w:r>
              <w:rPr>
                <w:noProof/>
                <w:webHidden/>
              </w:rPr>
              <w:fldChar w:fldCharType="end"/>
            </w:r>
          </w:hyperlink>
        </w:p>
        <w:p w14:paraId="5EF1944E" w14:textId="3DB80B71"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51" w:history="1">
            <w:r w:rsidRPr="00352853">
              <w:rPr>
                <w:rStyle w:val="Hyperlink"/>
                <w:noProof/>
              </w:rPr>
              <w:t>Sensitisation</w:t>
            </w:r>
            <w:r>
              <w:rPr>
                <w:noProof/>
                <w:webHidden/>
              </w:rPr>
              <w:tab/>
            </w:r>
            <w:r>
              <w:rPr>
                <w:noProof/>
                <w:webHidden/>
              </w:rPr>
              <w:fldChar w:fldCharType="begin"/>
            </w:r>
            <w:r>
              <w:rPr>
                <w:noProof/>
                <w:webHidden/>
              </w:rPr>
              <w:instrText xml:space="preserve"> PAGEREF _Toc199254951 \h </w:instrText>
            </w:r>
            <w:r>
              <w:rPr>
                <w:noProof/>
                <w:webHidden/>
              </w:rPr>
            </w:r>
            <w:r>
              <w:rPr>
                <w:noProof/>
                <w:webHidden/>
              </w:rPr>
              <w:fldChar w:fldCharType="separate"/>
            </w:r>
            <w:r w:rsidR="00CB5A59">
              <w:rPr>
                <w:noProof/>
                <w:webHidden/>
              </w:rPr>
              <w:t>27</w:t>
            </w:r>
            <w:r>
              <w:rPr>
                <w:noProof/>
                <w:webHidden/>
              </w:rPr>
              <w:fldChar w:fldCharType="end"/>
            </w:r>
          </w:hyperlink>
        </w:p>
        <w:p w14:paraId="74D35F2E" w14:textId="6AA6AF21"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52" w:history="1">
            <w:r w:rsidRPr="00352853">
              <w:rPr>
                <w:rStyle w:val="Hyperlink"/>
                <w:noProof/>
              </w:rPr>
              <w:t>Repeat dose toxicity</w:t>
            </w:r>
            <w:r>
              <w:rPr>
                <w:noProof/>
                <w:webHidden/>
              </w:rPr>
              <w:tab/>
            </w:r>
            <w:r>
              <w:rPr>
                <w:noProof/>
                <w:webHidden/>
              </w:rPr>
              <w:fldChar w:fldCharType="begin"/>
            </w:r>
            <w:r>
              <w:rPr>
                <w:noProof/>
                <w:webHidden/>
              </w:rPr>
              <w:instrText xml:space="preserve"> PAGEREF _Toc199254952 \h </w:instrText>
            </w:r>
            <w:r>
              <w:rPr>
                <w:noProof/>
                <w:webHidden/>
              </w:rPr>
            </w:r>
            <w:r>
              <w:rPr>
                <w:noProof/>
                <w:webHidden/>
              </w:rPr>
              <w:fldChar w:fldCharType="separate"/>
            </w:r>
            <w:r w:rsidR="00CB5A59">
              <w:rPr>
                <w:noProof/>
                <w:webHidden/>
              </w:rPr>
              <w:t>27</w:t>
            </w:r>
            <w:r>
              <w:rPr>
                <w:noProof/>
                <w:webHidden/>
              </w:rPr>
              <w:fldChar w:fldCharType="end"/>
            </w:r>
          </w:hyperlink>
        </w:p>
        <w:p w14:paraId="6BF768A9" w14:textId="73B7C716"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53" w:history="1">
            <w:r w:rsidRPr="00352853">
              <w:rPr>
                <w:rStyle w:val="Hyperlink"/>
                <w:noProof/>
              </w:rPr>
              <w:t>Genotoxicity</w:t>
            </w:r>
            <w:r>
              <w:rPr>
                <w:noProof/>
                <w:webHidden/>
              </w:rPr>
              <w:tab/>
            </w:r>
            <w:r>
              <w:rPr>
                <w:noProof/>
                <w:webHidden/>
              </w:rPr>
              <w:fldChar w:fldCharType="begin"/>
            </w:r>
            <w:r>
              <w:rPr>
                <w:noProof/>
                <w:webHidden/>
              </w:rPr>
              <w:instrText xml:space="preserve"> PAGEREF _Toc199254953 \h </w:instrText>
            </w:r>
            <w:r>
              <w:rPr>
                <w:noProof/>
                <w:webHidden/>
              </w:rPr>
            </w:r>
            <w:r>
              <w:rPr>
                <w:noProof/>
                <w:webHidden/>
              </w:rPr>
              <w:fldChar w:fldCharType="separate"/>
            </w:r>
            <w:r w:rsidR="00CB5A59">
              <w:rPr>
                <w:noProof/>
                <w:webHidden/>
              </w:rPr>
              <w:t>31</w:t>
            </w:r>
            <w:r>
              <w:rPr>
                <w:noProof/>
                <w:webHidden/>
              </w:rPr>
              <w:fldChar w:fldCharType="end"/>
            </w:r>
          </w:hyperlink>
        </w:p>
        <w:p w14:paraId="0D770C77" w14:textId="5DC6079A"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54" w:history="1">
            <w:r w:rsidRPr="00352853">
              <w:rPr>
                <w:rStyle w:val="Hyperlink"/>
                <w:noProof/>
              </w:rPr>
              <w:t>Carcinogenicity</w:t>
            </w:r>
            <w:r>
              <w:rPr>
                <w:noProof/>
                <w:webHidden/>
              </w:rPr>
              <w:tab/>
            </w:r>
            <w:r>
              <w:rPr>
                <w:noProof/>
                <w:webHidden/>
              </w:rPr>
              <w:fldChar w:fldCharType="begin"/>
            </w:r>
            <w:r>
              <w:rPr>
                <w:noProof/>
                <w:webHidden/>
              </w:rPr>
              <w:instrText xml:space="preserve"> PAGEREF _Toc199254954 \h </w:instrText>
            </w:r>
            <w:r>
              <w:rPr>
                <w:noProof/>
                <w:webHidden/>
              </w:rPr>
            </w:r>
            <w:r>
              <w:rPr>
                <w:noProof/>
                <w:webHidden/>
              </w:rPr>
              <w:fldChar w:fldCharType="separate"/>
            </w:r>
            <w:r w:rsidR="00CB5A59">
              <w:rPr>
                <w:noProof/>
                <w:webHidden/>
              </w:rPr>
              <w:t>32</w:t>
            </w:r>
            <w:r>
              <w:rPr>
                <w:noProof/>
                <w:webHidden/>
              </w:rPr>
              <w:fldChar w:fldCharType="end"/>
            </w:r>
          </w:hyperlink>
        </w:p>
        <w:p w14:paraId="2B25E874" w14:textId="5ACCF484"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55" w:history="1">
            <w:r w:rsidRPr="00352853">
              <w:rPr>
                <w:rStyle w:val="Hyperlink"/>
                <w:noProof/>
              </w:rPr>
              <w:t>Reproductive and developmental studies</w:t>
            </w:r>
            <w:r>
              <w:rPr>
                <w:noProof/>
                <w:webHidden/>
              </w:rPr>
              <w:tab/>
            </w:r>
            <w:r>
              <w:rPr>
                <w:noProof/>
                <w:webHidden/>
              </w:rPr>
              <w:fldChar w:fldCharType="begin"/>
            </w:r>
            <w:r>
              <w:rPr>
                <w:noProof/>
                <w:webHidden/>
              </w:rPr>
              <w:instrText xml:space="preserve"> PAGEREF _Toc199254955 \h </w:instrText>
            </w:r>
            <w:r>
              <w:rPr>
                <w:noProof/>
                <w:webHidden/>
              </w:rPr>
            </w:r>
            <w:r>
              <w:rPr>
                <w:noProof/>
                <w:webHidden/>
              </w:rPr>
              <w:fldChar w:fldCharType="separate"/>
            </w:r>
            <w:r w:rsidR="00CB5A59">
              <w:rPr>
                <w:noProof/>
                <w:webHidden/>
              </w:rPr>
              <w:t>33</w:t>
            </w:r>
            <w:r>
              <w:rPr>
                <w:noProof/>
                <w:webHidden/>
              </w:rPr>
              <w:fldChar w:fldCharType="end"/>
            </w:r>
          </w:hyperlink>
        </w:p>
        <w:p w14:paraId="68537EF5" w14:textId="764E7F28"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56" w:history="1">
            <w:r w:rsidRPr="00352853">
              <w:rPr>
                <w:rStyle w:val="Hyperlink"/>
                <w:noProof/>
              </w:rPr>
              <w:t>Endocrine activity modulation</w:t>
            </w:r>
            <w:r>
              <w:rPr>
                <w:noProof/>
                <w:webHidden/>
              </w:rPr>
              <w:tab/>
            </w:r>
            <w:r>
              <w:rPr>
                <w:noProof/>
                <w:webHidden/>
              </w:rPr>
              <w:fldChar w:fldCharType="begin"/>
            </w:r>
            <w:r>
              <w:rPr>
                <w:noProof/>
                <w:webHidden/>
              </w:rPr>
              <w:instrText xml:space="preserve"> PAGEREF _Toc199254956 \h </w:instrText>
            </w:r>
            <w:r>
              <w:rPr>
                <w:noProof/>
                <w:webHidden/>
              </w:rPr>
            </w:r>
            <w:r>
              <w:rPr>
                <w:noProof/>
                <w:webHidden/>
              </w:rPr>
              <w:fldChar w:fldCharType="separate"/>
            </w:r>
            <w:r w:rsidR="00CB5A59">
              <w:rPr>
                <w:noProof/>
                <w:webHidden/>
              </w:rPr>
              <w:t>37</w:t>
            </w:r>
            <w:r>
              <w:rPr>
                <w:noProof/>
                <w:webHidden/>
              </w:rPr>
              <w:fldChar w:fldCharType="end"/>
            </w:r>
          </w:hyperlink>
        </w:p>
        <w:p w14:paraId="663A6E85" w14:textId="57342891" w:rsidR="00333F71" w:rsidRDefault="00333F71">
          <w:pPr>
            <w:pStyle w:val="TOC2"/>
            <w:rPr>
              <w:rFonts w:asciiTheme="minorHAnsi" w:eastAsiaTheme="minorEastAsia" w:hAnsiTheme="minorHAnsi" w:cstheme="minorBidi"/>
              <w:noProof/>
              <w:color w:val="auto"/>
              <w:kern w:val="2"/>
              <w:szCs w:val="24"/>
              <w:lang w:eastAsia="en-AU"/>
              <w14:ligatures w14:val="standardContextual"/>
            </w:rPr>
          </w:pPr>
          <w:hyperlink w:anchor="_Toc199254957" w:history="1">
            <w:r w:rsidRPr="00352853">
              <w:rPr>
                <w:rStyle w:val="Hyperlink"/>
                <w:noProof/>
              </w:rPr>
              <w:t>Other studies</w:t>
            </w:r>
            <w:r>
              <w:rPr>
                <w:noProof/>
                <w:webHidden/>
              </w:rPr>
              <w:tab/>
            </w:r>
            <w:r>
              <w:rPr>
                <w:noProof/>
                <w:webHidden/>
              </w:rPr>
              <w:fldChar w:fldCharType="begin"/>
            </w:r>
            <w:r>
              <w:rPr>
                <w:noProof/>
                <w:webHidden/>
              </w:rPr>
              <w:instrText xml:space="preserve"> PAGEREF _Toc199254957 \h </w:instrText>
            </w:r>
            <w:r>
              <w:rPr>
                <w:noProof/>
                <w:webHidden/>
              </w:rPr>
            </w:r>
            <w:r>
              <w:rPr>
                <w:noProof/>
                <w:webHidden/>
              </w:rPr>
              <w:fldChar w:fldCharType="separate"/>
            </w:r>
            <w:r w:rsidR="00CB5A59">
              <w:rPr>
                <w:noProof/>
                <w:webHidden/>
              </w:rPr>
              <w:t>41</w:t>
            </w:r>
            <w:r>
              <w:rPr>
                <w:noProof/>
                <w:webHidden/>
              </w:rPr>
              <w:fldChar w:fldCharType="end"/>
            </w:r>
          </w:hyperlink>
        </w:p>
        <w:p w14:paraId="6AAEC545" w14:textId="6A09E6C9" w:rsidR="00333F71" w:rsidRDefault="00333F7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9254958" w:history="1">
            <w:r w:rsidRPr="00352853">
              <w:rPr>
                <w:rStyle w:val="Hyperlink"/>
                <w:noProof/>
              </w:rPr>
              <w:t>Safety assessment of the selected ingredients</w:t>
            </w:r>
            <w:r>
              <w:rPr>
                <w:noProof/>
                <w:webHidden/>
              </w:rPr>
              <w:tab/>
            </w:r>
            <w:r>
              <w:rPr>
                <w:noProof/>
                <w:webHidden/>
              </w:rPr>
              <w:fldChar w:fldCharType="begin"/>
            </w:r>
            <w:r>
              <w:rPr>
                <w:noProof/>
                <w:webHidden/>
              </w:rPr>
              <w:instrText xml:space="preserve"> PAGEREF _Toc199254958 \h </w:instrText>
            </w:r>
            <w:r>
              <w:rPr>
                <w:noProof/>
                <w:webHidden/>
              </w:rPr>
            </w:r>
            <w:r>
              <w:rPr>
                <w:noProof/>
                <w:webHidden/>
              </w:rPr>
              <w:fldChar w:fldCharType="separate"/>
            </w:r>
            <w:r w:rsidR="00CB5A59">
              <w:rPr>
                <w:noProof/>
                <w:webHidden/>
              </w:rPr>
              <w:t>45</w:t>
            </w:r>
            <w:r>
              <w:rPr>
                <w:noProof/>
                <w:webHidden/>
              </w:rPr>
              <w:fldChar w:fldCharType="end"/>
            </w:r>
          </w:hyperlink>
        </w:p>
        <w:p w14:paraId="4DD2E9EB" w14:textId="0AAB185B" w:rsidR="00333F71" w:rsidRDefault="00333F71">
          <w:pPr>
            <w:pStyle w:val="TOC2"/>
            <w:rPr>
              <w:rFonts w:asciiTheme="minorHAnsi" w:eastAsiaTheme="minorEastAsia" w:hAnsiTheme="minorHAnsi" w:cstheme="minorBidi"/>
              <w:noProof/>
              <w:color w:val="auto"/>
              <w:kern w:val="2"/>
              <w:szCs w:val="24"/>
              <w:lang w:eastAsia="en-AU"/>
              <w14:ligatures w14:val="standardContextual"/>
            </w:rPr>
          </w:pPr>
          <w:hyperlink w:anchor="_Toc199254959" w:history="1">
            <w:r w:rsidRPr="00352853">
              <w:rPr>
                <w:rStyle w:val="Hyperlink"/>
                <w:noProof/>
              </w:rPr>
              <w:t>Butyl methoxydibenzoylmethane (Avobenzone) safety assessment</w:t>
            </w:r>
            <w:r>
              <w:rPr>
                <w:noProof/>
                <w:webHidden/>
              </w:rPr>
              <w:tab/>
            </w:r>
            <w:r>
              <w:rPr>
                <w:noProof/>
                <w:webHidden/>
              </w:rPr>
              <w:fldChar w:fldCharType="begin"/>
            </w:r>
            <w:r>
              <w:rPr>
                <w:noProof/>
                <w:webHidden/>
              </w:rPr>
              <w:instrText xml:space="preserve"> PAGEREF _Toc199254959 \h </w:instrText>
            </w:r>
            <w:r>
              <w:rPr>
                <w:noProof/>
                <w:webHidden/>
              </w:rPr>
            </w:r>
            <w:r>
              <w:rPr>
                <w:noProof/>
                <w:webHidden/>
              </w:rPr>
              <w:fldChar w:fldCharType="separate"/>
            </w:r>
            <w:r w:rsidR="00CB5A59">
              <w:rPr>
                <w:noProof/>
                <w:webHidden/>
              </w:rPr>
              <w:t>45</w:t>
            </w:r>
            <w:r>
              <w:rPr>
                <w:noProof/>
                <w:webHidden/>
              </w:rPr>
              <w:fldChar w:fldCharType="end"/>
            </w:r>
          </w:hyperlink>
        </w:p>
        <w:p w14:paraId="2F64ADE5" w14:textId="7827F10C"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60" w:history="1">
            <w:r w:rsidRPr="00352853">
              <w:rPr>
                <w:rStyle w:val="Hyperlink"/>
                <w:noProof/>
              </w:rPr>
              <w:t>Exposure estimate and Margin of Safety for Avobenzone</w:t>
            </w:r>
            <w:r>
              <w:rPr>
                <w:noProof/>
                <w:webHidden/>
              </w:rPr>
              <w:tab/>
            </w:r>
            <w:r>
              <w:rPr>
                <w:noProof/>
                <w:webHidden/>
              </w:rPr>
              <w:fldChar w:fldCharType="begin"/>
            </w:r>
            <w:r>
              <w:rPr>
                <w:noProof/>
                <w:webHidden/>
              </w:rPr>
              <w:instrText xml:space="preserve"> PAGEREF _Toc199254960 \h </w:instrText>
            </w:r>
            <w:r>
              <w:rPr>
                <w:noProof/>
                <w:webHidden/>
              </w:rPr>
            </w:r>
            <w:r>
              <w:rPr>
                <w:noProof/>
                <w:webHidden/>
              </w:rPr>
              <w:fldChar w:fldCharType="separate"/>
            </w:r>
            <w:r w:rsidR="00CB5A59">
              <w:rPr>
                <w:noProof/>
                <w:webHidden/>
              </w:rPr>
              <w:t>46</w:t>
            </w:r>
            <w:r>
              <w:rPr>
                <w:noProof/>
                <w:webHidden/>
              </w:rPr>
              <w:fldChar w:fldCharType="end"/>
            </w:r>
          </w:hyperlink>
        </w:p>
        <w:p w14:paraId="446FF5A5" w14:textId="439B2BED"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61" w:history="1">
            <w:r w:rsidRPr="00352853">
              <w:rPr>
                <w:rStyle w:val="Hyperlink"/>
                <w:noProof/>
              </w:rPr>
              <w:t>Recommendation</w:t>
            </w:r>
            <w:r>
              <w:rPr>
                <w:noProof/>
                <w:webHidden/>
              </w:rPr>
              <w:tab/>
            </w:r>
            <w:r>
              <w:rPr>
                <w:noProof/>
                <w:webHidden/>
              </w:rPr>
              <w:fldChar w:fldCharType="begin"/>
            </w:r>
            <w:r>
              <w:rPr>
                <w:noProof/>
                <w:webHidden/>
              </w:rPr>
              <w:instrText xml:space="preserve"> PAGEREF _Toc199254961 \h </w:instrText>
            </w:r>
            <w:r>
              <w:rPr>
                <w:noProof/>
                <w:webHidden/>
              </w:rPr>
            </w:r>
            <w:r>
              <w:rPr>
                <w:noProof/>
                <w:webHidden/>
              </w:rPr>
              <w:fldChar w:fldCharType="separate"/>
            </w:r>
            <w:r w:rsidR="00CB5A59">
              <w:rPr>
                <w:noProof/>
                <w:webHidden/>
              </w:rPr>
              <w:t>46</w:t>
            </w:r>
            <w:r>
              <w:rPr>
                <w:noProof/>
                <w:webHidden/>
              </w:rPr>
              <w:fldChar w:fldCharType="end"/>
            </w:r>
          </w:hyperlink>
        </w:p>
        <w:p w14:paraId="162F9169" w14:textId="627D70D9" w:rsidR="00333F71" w:rsidRDefault="00333F71">
          <w:pPr>
            <w:pStyle w:val="TOC2"/>
            <w:rPr>
              <w:rFonts w:asciiTheme="minorHAnsi" w:eastAsiaTheme="minorEastAsia" w:hAnsiTheme="minorHAnsi" w:cstheme="minorBidi"/>
              <w:noProof/>
              <w:color w:val="auto"/>
              <w:kern w:val="2"/>
              <w:szCs w:val="24"/>
              <w:lang w:eastAsia="en-AU"/>
              <w14:ligatures w14:val="standardContextual"/>
            </w:rPr>
          </w:pPr>
          <w:hyperlink w:anchor="_Toc199254962" w:history="1">
            <w:r w:rsidRPr="00352853">
              <w:rPr>
                <w:rStyle w:val="Hyperlink"/>
                <w:noProof/>
              </w:rPr>
              <w:t>Ethylhexyl triazone safety assessment</w:t>
            </w:r>
            <w:r>
              <w:rPr>
                <w:noProof/>
                <w:webHidden/>
              </w:rPr>
              <w:tab/>
            </w:r>
            <w:r>
              <w:rPr>
                <w:noProof/>
                <w:webHidden/>
              </w:rPr>
              <w:fldChar w:fldCharType="begin"/>
            </w:r>
            <w:r>
              <w:rPr>
                <w:noProof/>
                <w:webHidden/>
              </w:rPr>
              <w:instrText xml:space="preserve"> PAGEREF _Toc199254962 \h </w:instrText>
            </w:r>
            <w:r>
              <w:rPr>
                <w:noProof/>
                <w:webHidden/>
              </w:rPr>
            </w:r>
            <w:r>
              <w:rPr>
                <w:noProof/>
                <w:webHidden/>
              </w:rPr>
              <w:fldChar w:fldCharType="separate"/>
            </w:r>
            <w:r w:rsidR="00CB5A59">
              <w:rPr>
                <w:noProof/>
                <w:webHidden/>
              </w:rPr>
              <w:t>47</w:t>
            </w:r>
            <w:r>
              <w:rPr>
                <w:noProof/>
                <w:webHidden/>
              </w:rPr>
              <w:fldChar w:fldCharType="end"/>
            </w:r>
          </w:hyperlink>
        </w:p>
        <w:p w14:paraId="39EA3426" w14:textId="3A8B6293"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63" w:history="1">
            <w:r w:rsidRPr="00352853">
              <w:rPr>
                <w:rStyle w:val="Hyperlink"/>
                <w:noProof/>
              </w:rPr>
              <w:t>Exposure estimate and Margin of Safety for Ethylhexyl triazone</w:t>
            </w:r>
            <w:r>
              <w:rPr>
                <w:noProof/>
                <w:webHidden/>
              </w:rPr>
              <w:tab/>
            </w:r>
            <w:r>
              <w:rPr>
                <w:noProof/>
                <w:webHidden/>
              </w:rPr>
              <w:fldChar w:fldCharType="begin"/>
            </w:r>
            <w:r>
              <w:rPr>
                <w:noProof/>
                <w:webHidden/>
              </w:rPr>
              <w:instrText xml:space="preserve"> PAGEREF _Toc199254963 \h </w:instrText>
            </w:r>
            <w:r>
              <w:rPr>
                <w:noProof/>
                <w:webHidden/>
              </w:rPr>
            </w:r>
            <w:r>
              <w:rPr>
                <w:noProof/>
                <w:webHidden/>
              </w:rPr>
              <w:fldChar w:fldCharType="separate"/>
            </w:r>
            <w:r w:rsidR="00CB5A59">
              <w:rPr>
                <w:noProof/>
                <w:webHidden/>
              </w:rPr>
              <w:t>47</w:t>
            </w:r>
            <w:r>
              <w:rPr>
                <w:noProof/>
                <w:webHidden/>
              </w:rPr>
              <w:fldChar w:fldCharType="end"/>
            </w:r>
          </w:hyperlink>
        </w:p>
        <w:p w14:paraId="68DF68D3" w14:textId="1FB884C2"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64" w:history="1">
            <w:r w:rsidRPr="00352853">
              <w:rPr>
                <w:rStyle w:val="Hyperlink"/>
                <w:noProof/>
              </w:rPr>
              <w:t>Recommendation</w:t>
            </w:r>
            <w:r>
              <w:rPr>
                <w:noProof/>
                <w:webHidden/>
              </w:rPr>
              <w:tab/>
            </w:r>
            <w:r>
              <w:rPr>
                <w:noProof/>
                <w:webHidden/>
              </w:rPr>
              <w:fldChar w:fldCharType="begin"/>
            </w:r>
            <w:r>
              <w:rPr>
                <w:noProof/>
                <w:webHidden/>
              </w:rPr>
              <w:instrText xml:space="preserve"> PAGEREF _Toc199254964 \h </w:instrText>
            </w:r>
            <w:r>
              <w:rPr>
                <w:noProof/>
                <w:webHidden/>
              </w:rPr>
            </w:r>
            <w:r>
              <w:rPr>
                <w:noProof/>
                <w:webHidden/>
              </w:rPr>
              <w:fldChar w:fldCharType="separate"/>
            </w:r>
            <w:r w:rsidR="00CB5A59">
              <w:rPr>
                <w:noProof/>
                <w:webHidden/>
              </w:rPr>
              <w:t>48</w:t>
            </w:r>
            <w:r>
              <w:rPr>
                <w:noProof/>
                <w:webHidden/>
              </w:rPr>
              <w:fldChar w:fldCharType="end"/>
            </w:r>
          </w:hyperlink>
        </w:p>
        <w:p w14:paraId="5DC54A61" w14:textId="4CBE36FB" w:rsidR="00333F71" w:rsidRDefault="00333F71">
          <w:pPr>
            <w:pStyle w:val="TOC2"/>
            <w:rPr>
              <w:rFonts w:asciiTheme="minorHAnsi" w:eastAsiaTheme="minorEastAsia" w:hAnsiTheme="minorHAnsi" w:cstheme="minorBidi"/>
              <w:noProof/>
              <w:color w:val="auto"/>
              <w:kern w:val="2"/>
              <w:szCs w:val="24"/>
              <w:lang w:eastAsia="en-AU"/>
              <w14:ligatures w14:val="standardContextual"/>
            </w:rPr>
          </w:pPr>
          <w:hyperlink w:anchor="_Toc199254965" w:history="1">
            <w:r w:rsidRPr="00352853">
              <w:rPr>
                <w:rStyle w:val="Hyperlink"/>
                <w:noProof/>
              </w:rPr>
              <w:t>Homosalate safety assessment</w:t>
            </w:r>
            <w:r>
              <w:rPr>
                <w:noProof/>
                <w:webHidden/>
              </w:rPr>
              <w:tab/>
            </w:r>
            <w:r>
              <w:rPr>
                <w:noProof/>
                <w:webHidden/>
              </w:rPr>
              <w:fldChar w:fldCharType="begin"/>
            </w:r>
            <w:r>
              <w:rPr>
                <w:noProof/>
                <w:webHidden/>
              </w:rPr>
              <w:instrText xml:space="preserve"> PAGEREF _Toc199254965 \h </w:instrText>
            </w:r>
            <w:r>
              <w:rPr>
                <w:noProof/>
                <w:webHidden/>
              </w:rPr>
            </w:r>
            <w:r>
              <w:rPr>
                <w:noProof/>
                <w:webHidden/>
              </w:rPr>
              <w:fldChar w:fldCharType="separate"/>
            </w:r>
            <w:r w:rsidR="00CB5A59">
              <w:rPr>
                <w:noProof/>
                <w:webHidden/>
              </w:rPr>
              <w:t>48</w:t>
            </w:r>
            <w:r>
              <w:rPr>
                <w:noProof/>
                <w:webHidden/>
              </w:rPr>
              <w:fldChar w:fldCharType="end"/>
            </w:r>
          </w:hyperlink>
        </w:p>
        <w:p w14:paraId="74C3625F" w14:textId="7406D00E"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66" w:history="1">
            <w:r w:rsidRPr="00352853">
              <w:rPr>
                <w:rStyle w:val="Hyperlink"/>
                <w:noProof/>
              </w:rPr>
              <w:t>Exposure estimate and Margin of Safety for Homosalate</w:t>
            </w:r>
            <w:r>
              <w:rPr>
                <w:noProof/>
                <w:webHidden/>
              </w:rPr>
              <w:tab/>
            </w:r>
            <w:r>
              <w:rPr>
                <w:noProof/>
                <w:webHidden/>
              </w:rPr>
              <w:fldChar w:fldCharType="begin"/>
            </w:r>
            <w:r>
              <w:rPr>
                <w:noProof/>
                <w:webHidden/>
              </w:rPr>
              <w:instrText xml:space="preserve"> PAGEREF _Toc199254966 \h </w:instrText>
            </w:r>
            <w:r>
              <w:rPr>
                <w:noProof/>
                <w:webHidden/>
              </w:rPr>
            </w:r>
            <w:r>
              <w:rPr>
                <w:noProof/>
                <w:webHidden/>
              </w:rPr>
              <w:fldChar w:fldCharType="separate"/>
            </w:r>
            <w:r w:rsidR="00CB5A59">
              <w:rPr>
                <w:noProof/>
                <w:webHidden/>
              </w:rPr>
              <w:t>50</w:t>
            </w:r>
            <w:r>
              <w:rPr>
                <w:noProof/>
                <w:webHidden/>
              </w:rPr>
              <w:fldChar w:fldCharType="end"/>
            </w:r>
          </w:hyperlink>
        </w:p>
        <w:p w14:paraId="06A1CF60" w14:textId="7C61A294"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67" w:history="1">
            <w:r w:rsidRPr="00352853">
              <w:rPr>
                <w:rStyle w:val="Hyperlink"/>
                <w:noProof/>
              </w:rPr>
              <w:t>Further consideration for homosalate</w:t>
            </w:r>
            <w:r>
              <w:rPr>
                <w:noProof/>
                <w:webHidden/>
              </w:rPr>
              <w:tab/>
            </w:r>
            <w:r>
              <w:rPr>
                <w:noProof/>
                <w:webHidden/>
              </w:rPr>
              <w:fldChar w:fldCharType="begin"/>
            </w:r>
            <w:r>
              <w:rPr>
                <w:noProof/>
                <w:webHidden/>
              </w:rPr>
              <w:instrText xml:space="preserve"> PAGEREF _Toc199254967 \h </w:instrText>
            </w:r>
            <w:r>
              <w:rPr>
                <w:noProof/>
                <w:webHidden/>
              </w:rPr>
            </w:r>
            <w:r>
              <w:rPr>
                <w:noProof/>
                <w:webHidden/>
              </w:rPr>
              <w:fldChar w:fldCharType="separate"/>
            </w:r>
            <w:r w:rsidR="00CB5A59">
              <w:rPr>
                <w:noProof/>
                <w:webHidden/>
              </w:rPr>
              <w:t>51</w:t>
            </w:r>
            <w:r>
              <w:rPr>
                <w:noProof/>
                <w:webHidden/>
              </w:rPr>
              <w:fldChar w:fldCharType="end"/>
            </w:r>
          </w:hyperlink>
        </w:p>
        <w:p w14:paraId="089D48E8" w14:textId="48740316"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68" w:history="1">
            <w:r w:rsidRPr="00352853">
              <w:rPr>
                <w:rStyle w:val="Hyperlink"/>
                <w:noProof/>
              </w:rPr>
              <w:t>Recommendation</w:t>
            </w:r>
            <w:r>
              <w:rPr>
                <w:noProof/>
                <w:webHidden/>
              </w:rPr>
              <w:tab/>
            </w:r>
            <w:r>
              <w:rPr>
                <w:noProof/>
                <w:webHidden/>
              </w:rPr>
              <w:fldChar w:fldCharType="begin"/>
            </w:r>
            <w:r>
              <w:rPr>
                <w:noProof/>
                <w:webHidden/>
              </w:rPr>
              <w:instrText xml:space="preserve"> PAGEREF _Toc199254968 \h </w:instrText>
            </w:r>
            <w:r>
              <w:rPr>
                <w:noProof/>
                <w:webHidden/>
              </w:rPr>
            </w:r>
            <w:r>
              <w:rPr>
                <w:noProof/>
                <w:webHidden/>
              </w:rPr>
              <w:fldChar w:fldCharType="separate"/>
            </w:r>
            <w:r w:rsidR="00CB5A59">
              <w:rPr>
                <w:noProof/>
                <w:webHidden/>
              </w:rPr>
              <w:t>52</w:t>
            </w:r>
            <w:r>
              <w:rPr>
                <w:noProof/>
                <w:webHidden/>
              </w:rPr>
              <w:fldChar w:fldCharType="end"/>
            </w:r>
          </w:hyperlink>
        </w:p>
        <w:p w14:paraId="15029425" w14:textId="1EC9870A" w:rsidR="00333F71" w:rsidRDefault="00333F71">
          <w:pPr>
            <w:pStyle w:val="TOC2"/>
            <w:rPr>
              <w:rFonts w:asciiTheme="minorHAnsi" w:eastAsiaTheme="minorEastAsia" w:hAnsiTheme="minorHAnsi" w:cstheme="minorBidi"/>
              <w:noProof/>
              <w:color w:val="auto"/>
              <w:kern w:val="2"/>
              <w:szCs w:val="24"/>
              <w:lang w:eastAsia="en-AU"/>
              <w14:ligatures w14:val="standardContextual"/>
            </w:rPr>
          </w:pPr>
          <w:hyperlink w:anchor="_Toc199254969" w:history="1">
            <w:r w:rsidRPr="00352853">
              <w:rPr>
                <w:rStyle w:val="Hyperlink"/>
                <w:noProof/>
              </w:rPr>
              <w:t>Octocrylene safety assessment</w:t>
            </w:r>
            <w:r>
              <w:rPr>
                <w:noProof/>
                <w:webHidden/>
              </w:rPr>
              <w:tab/>
            </w:r>
            <w:r>
              <w:rPr>
                <w:noProof/>
                <w:webHidden/>
              </w:rPr>
              <w:fldChar w:fldCharType="begin"/>
            </w:r>
            <w:r>
              <w:rPr>
                <w:noProof/>
                <w:webHidden/>
              </w:rPr>
              <w:instrText xml:space="preserve"> PAGEREF _Toc199254969 \h </w:instrText>
            </w:r>
            <w:r>
              <w:rPr>
                <w:noProof/>
                <w:webHidden/>
              </w:rPr>
            </w:r>
            <w:r>
              <w:rPr>
                <w:noProof/>
                <w:webHidden/>
              </w:rPr>
              <w:fldChar w:fldCharType="separate"/>
            </w:r>
            <w:r w:rsidR="00CB5A59">
              <w:rPr>
                <w:noProof/>
                <w:webHidden/>
              </w:rPr>
              <w:t>53</w:t>
            </w:r>
            <w:r>
              <w:rPr>
                <w:noProof/>
                <w:webHidden/>
              </w:rPr>
              <w:fldChar w:fldCharType="end"/>
            </w:r>
          </w:hyperlink>
        </w:p>
        <w:p w14:paraId="1EFA1B32" w14:textId="3CED3917"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70" w:history="1">
            <w:r w:rsidRPr="00352853">
              <w:rPr>
                <w:rStyle w:val="Hyperlink"/>
                <w:noProof/>
              </w:rPr>
              <w:t>Exposure estimate and Margin of Safety for Octocrylene</w:t>
            </w:r>
            <w:r>
              <w:rPr>
                <w:noProof/>
                <w:webHidden/>
              </w:rPr>
              <w:tab/>
            </w:r>
            <w:r>
              <w:rPr>
                <w:noProof/>
                <w:webHidden/>
              </w:rPr>
              <w:fldChar w:fldCharType="begin"/>
            </w:r>
            <w:r>
              <w:rPr>
                <w:noProof/>
                <w:webHidden/>
              </w:rPr>
              <w:instrText xml:space="preserve"> PAGEREF _Toc199254970 \h </w:instrText>
            </w:r>
            <w:r>
              <w:rPr>
                <w:noProof/>
                <w:webHidden/>
              </w:rPr>
            </w:r>
            <w:r>
              <w:rPr>
                <w:noProof/>
                <w:webHidden/>
              </w:rPr>
              <w:fldChar w:fldCharType="separate"/>
            </w:r>
            <w:r w:rsidR="00CB5A59">
              <w:rPr>
                <w:noProof/>
                <w:webHidden/>
              </w:rPr>
              <w:t>54</w:t>
            </w:r>
            <w:r>
              <w:rPr>
                <w:noProof/>
                <w:webHidden/>
              </w:rPr>
              <w:fldChar w:fldCharType="end"/>
            </w:r>
          </w:hyperlink>
        </w:p>
        <w:p w14:paraId="7BF21923" w14:textId="58B06E97"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71" w:history="1">
            <w:r w:rsidRPr="00352853">
              <w:rPr>
                <w:rStyle w:val="Hyperlink"/>
                <w:noProof/>
              </w:rPr>
              <w:t>Recommendation</w:t>
            </w:r>
            <w:r>
              <w:rPr>
                <w:noProof/>
                <w:webHidden/>
              </w:rPr>
              <w:tab/>
            </w:r>
            <w:r>
              <w:rPr>
                <w:noProof/>
                <w:webHidden/>
              </w:rPr>
              <w:fldChar w:fldCharType="begin"/>
            </w:r>
            <w:r>
              <w:rPr>
                <w:noProof/>
                <w:webHidden/>
              </w:rPr>
              <w:instrText xml:space="preserve"> PAGEREF _Toc199254971 \h </w:instrText>
            </w:r>
            <w:r>
              <w:rPr>
                <w:noProof/>
                <w:webHidden/>
              </w:rPr>
            </w:r>
            <w:r>
              <w:rPr>
                <w:noProof/>
                <w:webHidden/>
              </w:rPr>
              <w:fldChar w:fldCharType="separate"/>
            </w:r>
            <w:r w:rsidR="00CB5A59">
              <w:rPr>
                <w:noProof/>
                <w:webHidden/>
              </w:rPr>
              <w:t>55</w:t>
            </w:r>
            <w:r>
              <w:rPr>
                <w:noProof/>
                <w:webHidden/>
              </w:rPr>
              <w:fldChar w:fldCharType="end"/>
            </w:r>
          </w:hyperlink>
        </w:p>
        <w:p w14:paraId="11BB5AF7" w14:textId="310B6C87" w:rsidR="00333F71" w:rsidRDefault="00333F71">
          <w:pPr>
            <w:pStyle w:val="TOC2"/>
            <w:rPr>
              <w:rFonts w:asciiTheme="minorHAnsi" w:eastAsiaTheme="minorEastAsia" w:hAnsiTheme="minorHAnsi" w:cstheme="minorBidi"/>
              <w:noProof/>
              <w:color w:val="auto"/>
              <w:kern w:val="2"/>
              <w:szCs w:val="24"/>
              <w:lang w:eastAsia="en-AU"/>
              <w14:ligatures w14:val="standardContextual"/>
            </w:rPr>
          </w:pPr>
          <w:hyperlink w:anchor="_Toc199254972" w:history="1">
            <w:r w:rsidRPr="00352853">
              <w:rPr>
                <w:rStyle w:val="Hyperlink"/>
                <w:noProof/>
              </w:rPr>
              <w:t>Octyl methoxycinnamate (Octinoxate) safety assessment</w:t>
            </w:r>
            <w:r>
              <w:rPr>
                <w:noProof/>
                <w:webHidden/>
              </w:rPr>
              <w:tab/>
            </w:r>
            <w:r>
              <w:rPr>
                <w:noProof/>
                <w:webHidden/>
              </w:rPr>
              <w:fldChar w:fldCharType="begin"/>
            </w:r>
            <w:r>
              <w:rPr>
                <w:noProof/>
                <w:webHidden/>
              </w:rPr>
              <w:instrText xml:space="preserve"> PAGEREF _Toc199254972 \h </w:instrText>
            </w:r>
            <w:r>
              <w:rPr>
                <w:noProof/>
                <w:webHidden/>
              </w:rPr>
            </w:r>
            <w:r>
              <w:rPr>
                <w:noProof/>
                <w:webHidden/>
              </w:rPr>
              <w:fldChar w:fldCharType="separate"/>
            </w:r>
            <w:r w:rsidR="00CB5A59">
              <w:rPr>
                <w:noProof/>
                <w:webHidden/>
              </w:rPr>
              <w:t>55</w:t>
            </w:r>
            <w:r>
              <w:rPr>
                <w:noProof/>
                <w:webHidden/>
              </w:rPr>
              <w:fldChar w:fldCharType="end"/>
            </w:r>
          </w:hyperlink>
        </w:p>
        <w:p w14:paraId="5B9D63F6" w14:textId="60E7E1EA"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73" w:history="1">
            <w:r w:rsidRPr="00352853">
              <w:rPr>
                <w:rStyle w:val="Hyperlink"/>
                <w:noProof/>
              </w:rPr>
              <w:t>Exposure estimate and Margin of Safety for octyl methoxycinnamate</w:t>
            </w:r>
            <w:r>
              <w:rPr>
                <w:noProof/>
                <w:webHidden/>
              </w:rPr>
              <w:tab/>
            </w:r>
            <w:r>
              <w:rPr>
                <w:noProof/>
                <w:webHidden/>
              </w:rPr>
              <w:fldChar w:fldCharType="begin"/>
            </w:r>
            <w:r>
              <w:rPr>
                <w:noProof/>
                <w:webHidden/>
              </w:rPr>
              <w:instrText xml:space="preserve"> PAGEREF _Toc199254973 \h </w:instrText>
            </w:r>
            <w:r>
              <w:rPr>
                <w:noProof/>
                <w:webHidden/>
              </w:rPr>
            </w:r>
            <w:r>
              <w:rPr>
                <w:noProof/>
                <w:webHidden/>
              </w:rPr>
              <w:fldChar w:fldCharType="separate"/>
            </w:r>
            <w:r w:rsidR="00CB5A59">
              <w:rPr>
                <w:noProof/>
                <w:webHidden/>
              </w:rPr>
              <w:t>56</w:t>
            </w:r>
            <w:r>
              <w:rPr>
                <w:noProof/>
                <w:webHidden/>
              </w:rPr>
              <w:fldChar w:fldCharType="end"/>
            </w:r>
          </w:hyperlink>
        </w:p>
        <w:p w14:paraId="4010B0FB" w14:textId="407DAA7C"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74" w:history="1">
            <w:r w:rsidRPr="00352853">
              <w:rPr>
                <w:rStyle w:val="Hyperlink"/>
                <w:noProof/>
              </w:rPr>
              <w:t>Recommendation</w:t>
            </w:r>
            <w:r>
              <w:rPr>
                <w:noProof/>
                <w:webHidden/>
              </w:rPr>
              <w:tab/>
            </w:r>
            <w:r>
              <w:rPr>
                <w:noProof/>
                <w:webHidden/>
              </w:rPr>
              <w:fldChar w:fldCharType="begin"/>
            </w:r>
            <w:r>
              <w:rPr>
                <w:noProof/>
                <w:webHidden/>
              </w:rPr>
              <w:instrText xml:space="preserve"> PAGEREF _Toc199254974 \h </w:instrText>
            </w:r>
            <w:r>
              <w:rPr>
                <w:noProof/>
                <w:webHidden/>
              </w:rPr>
            </w:r>
            <w:r>
              <w:rPr>
                <w:noProof/>
                <w:webHidden/>
              </w:rPr>
              <w:fldChar w:fldCharType="separate"/>
            </w:r>
            <w:r w:rsidR="00CB5A59">
              <w:rPr>
                <w:noProof/>
                <w:webHidden/>
              </w:rPr>
              <w:t>56</w:t>
            </w:r>
            <w:r>
              <w:rPr>
                <w:noProof/>
                <w:webHidden/>
              </w:rPr>
              <w:fldChar w:fldCharType="end"/>
            </w:r>
          </w:hyperlink>
        </w:p>
        <w:p w14:paraId="5B625424" w14:textId="5E56CEEE" w:rsidR="00333F71" w:rsidRDefault="00333F71">
          <w:pPr>
            <w:pStyle w:val="TOC2"/>
            <w:rPr>
              <w:rFonts w:asciiTheme="minorHAnsi" w:eastAsiaTheme="minorEastAsia" w:hAnsiTheme="minorHAnsi" w:cstheme="minorBidi"/>
              <w:noProof/>
              <w:color w:val="auto"/>
              <w:kern w:val="2"/>
              <w:szCs w:val="24"/>
              <w:lang w:eastAsia="en-AU"/>
              <w14:ligatures w14:val="standardContextual"/>
            </w:rPr>
          </w:pPr>
          <w:hyperlink w:anchor="_Toc199254975" w:history="1">
            <w:r w:rsidRPr="00352853">
              <w:rPr>
                <w:rStyle w:val="Hyperlink"/>
                <w:noProof/>
              </w:rPr>
              <w:t>Oxybenzone safety assessment</w:t>
            </w:r>
            <w:r>
              <w:rPr>
                <w:noProof/>
                <w:webHidden/>
              </w:rPr>
              <w:tab/>
            </w:r>
            <w:r>
              <w:rPr>
                <w:noProof/>
                <w:webHidden/>
              </w:rPr>
              <w:fldChar w:fldCharType="begin"/>
            </w:r>
            <w:r>
              <w:rPr>
                <w:noProof/>
                <w:webHidden/>
              </w:rPr>
              <w:instrText xml:space="preserve"> PAGEREF _Toc199254975 \h </w:instrText>
            </w:r>
            <w:r>
              <w:rPr>
                <w:noProof/>
                <w:webHidden/>
              </w:rPr>
            </w:r>
            <w:r>
              <w:rPr>
                <w:noProof/>
                <w:webHidden/>
              </w:rPr>
              <w:fldChar w:fldCharType="separate"/>
            </w:r>
            <w:r w:rsidR="00CB5A59">
              <w:rPr>
                <w:noProof/>
                <w:webHidden/>
              </w:rPr>
              <w:t>57</w:t>
            </w:r>
            <w:r>
              <w:rPr>
                <w:noProof/>
                <w:webHidden/>
              </w:rPr>
              <w:fldChar w:fldCharType="end"/>
            </w:r>
          </w:hyperlink>
        </w:p>
        <w:p w14:paraId="6642C371" w14:textId="0B3D3A40"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76" w:history="1">
            <w:r w:rsidRPr="00352853">
              <w:rPr>
                <w:rStyle w:val="Hyperlink"/>
                <w:noProof/>
              </w:rPr>
              <w:t>Exposure estimate and Margin of Safety for Oxybenzone</w:t>
            </w:r>
            <w:r>
              <w:rPr>
                <w:noProof/>
                <w:webHidden/>
              </w:rPr>
              <w:tab/>
            </w:r>
            <w:r>
              <w:rPr>
                <w:noProof/>
                <w:webHidden/>
              </w:rPr>
              <w:fldChar w:fldCharType="begin"/>
            </w:r>
            <w:r>
              <w:rPr>
                <w:noProof/>
                <w:webHidden/>
              </w:rPr>
              <w:instrText xml:space="preserve"> PAGEREF _Toc199254976 \h </w:instrText>
            </w:r>
            <w:r>
              <w:rPr>
                <w:noProof/>
                <w:webHidden/>
              </w:rPr>
            </w:r>
            <w:r>
              <w:rPr>
                <w:noProof/>
                <w:webHidden/>
              </w:rPr>
              <w:fldChar w:fldCharType="separate"/>
            </w:r>
            <w:r w:rsidR="00CB5A59">
              <w:rPr>
                <w:noProof/>
                <w:webHidden/>
              </w:rPr>
              <w:t>58</w:t>
            </w:r>
            <w:r>
              <w:rPr>
                <w:noProof/>
                <w:webHidden/>
              </w:rPr>
              <w:fldChar w:fldCharType="end"/>
            </w:r>
          </w:hyperlink>
        </w:p>
        <w:p w14:paraId="2A50A224" w14:textId="0D6A2586"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77" w:history="1">
            <w:r w:rsidRPr="00352853">
              <w:rPr>
                <w:rStyle w:val="Hyperlink"/>
                <w:noProof/>
              </w:rPr>
              <w:t>Recommendation</w:t>
            </w:r>
            <w:r>
              <w:rPr>
                <w:noProof/>
                <w:webHidden/>
              </w:rPr>
              <w:tab/>
            </w:r>
            <w:r>
              <w:rPr>
                <w:noProof/>
                <w:webHidden/>
              </w:rPr>
              <w:fldChar w:fldCharType="begin"/>
            </w:r>
            <w:r>
              <w:rPr>
                <w:noProof/>
                <w:webHidden/>
              </w:rPr>
              <w:instrText xml:space="preserve"> PAGEREF _Toc199254977 \h </w:instrText>
            </w:r>
            <w:r>
              <w:rPr>
                <w:noProof/>
                <w:webHidden/>
              </w:rPr>
            </w:r>
            <w:r>
              <w:rPr>
                <w:noProof/>
                <w:webHidden/>
              </w:rPr>
              <w:fldChar w:fldCharType="separate"/>
            </w:r>
            <w:r w:rsidR="00CB5A59">
              <w:rPr>
                <w:noProof/>
                <w:webHidden/>
              </w:rPr>
              <w:t>61</w:t>
            </w:r>
            <w:r>
              <w:rPr>
                <w:noProof/>
                <w:webHidden/>
              </w:rPr>
              <w:fldChar w:fldCharType="end"/>
            </w:r>
          </w:hyperlink>
        </w:p>
        <w:p w14:paraId="7268FB9E" w14:textId="538A4E41" w:rsidR="00333F71" w:rsidRDefault="00333F71">
          <w:pPr>
            <w:pStyle w:val="TOC2"/>
            <w:rPr>
              <w:rFonts w:asciiTheme="minorHAnsi" w:eastAsiaTheme="minorEastAsia" w:hAnsiTheme="minorHAnsi" w:cstheme="minorBidi"/>
              <w:noProof/>
              <w:color w:val="auto"/>
              <w:kern w:val="2"/>
              <w:szCs w:val="24"/>
              <w:lang w:eastAsia="en-AU"/>
              <w14:ligatures w14:val="standardContextual"/>
            </w:rPr>
          </w:pPr>
          <w:hyperlink w:anchor="_Toc199254978" w:history="1">
            <w:r w:rsidRPr="00352853">
              <w:rPr>
                <w:rStyle w:val="Hyperlink"/>
                <w:noProof/>
              </w:rPr>
              <w:t>Phenylbenzimidazole sulfonic acid safety assessment</w:t>
            </w:r>
            <w:r>
              <w:rPr>
                <w:noProof/>
                <w:webHidden/>
              </w:rPr>
              <w:tab/>
            </w:r>
            <w:r>
              <w:rPr>
                <w:noProof/>
                <w:webHidden/>
              </w:rPr>
              <w:fldChar w:fldCharType="begin"/>
            </w:r>
            <w:r>
              <w:rPr>
                <w:noProof/>
                <w:webHidden/>
              </w:rPr>
              <w:instrText xml:space="preserve"> PAGEREF _Toc199254978 \h </w:instrText>
            </w:r>
            <w:r>
              <w:rPr>
                <w:noProof/>
                <w:webHidden/>
              </w:rPr>
            </w:r>
            <w:r>
              <w:rPr>
                <w:noProof/>
                <w:webHidden/>
              </w:rPr>
              <w:fldChar w:fldCharType="separate"/>
            </w:r>
            <w:r w:rsidR="00CB5A59">
              <w:rPr>
                <w:noProof/>
                <w:webHidden/>
              </w:rPr>
              <w:t>61</w:t>
            </w:r>
            <w:r>
              <w:rPr>
                <w:noProof/>
                <w:webHidden/>
              </w:rPr>
              <w:fldChar w:fldCharType="end"/>
            </w:r>
          </w:hyperlink>
        </w:p>
        <w:p w14:paraId="4089D39C" w14:textId="34D5AB30"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79" w:history="1">
            <w:r w:rsidRPr="00352853">
              <w:rPr>
                <w:rStyle w:val="Hyperlink"/>
                <w:noProof/>
              </w:rPr>
              <w:t>Exposure estimate and Margin of Safety for phenylbenzimidazole sulfonic acid</w:t>
            </w:r>
            <w:r>
              <w:rPr>
                <w:noProof/>
                <w:webHidden/>
              </w:rPr>
              <w:tab/>
            </w:r>
            <w:r>
              <w:rPr>
                <w:noProof/>
                <w:webHidden/>
              </w:rPr>
              <w:fldChar w:fldCharType="begin"/>
            </w:r>
            <w:r>
              <w:rPr>
                <w:noProof/>
                <w:webHidden/>
              </w:rPr>
              <w:instrText xml:space="preserve"> PAGEREF _Toc199254979 \h </w:instrText>
            </w:r>
            <w:r>
              <w:rPr>
                <w:noProof/>
                <w:webHidden/>
              </w:rPr>
            </w:r>
            <w:r>
              <w:rPr>
                <w:noProof/>
                <w:webHidden/>
              </w:rPr>
              <w:fldChar w:fldCharType="separate"/>
            </w:r>
            <w:r w:rsidR="00CB5A59">
              <w:rPr>
                <w:noProof/>
                <w:webHidden/>
              </w:rPr>
              <w:t>62</w:t>
            </w:r>
            <w:r>
              <w:rPr>
                <w:noProof/>
                <w:webHidden/>
              </w:rPr>
              <w:fldChar w:fldCharType="end"/>
            </w:r>
          </w:hyperlink>
        </w:p>
        <w:p w14:paraId="0287E137" w14:textId="3B5FB354"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80" w:history="1">
            <w:r w:rsidRPr="00352853">
              <w:rPr>
                <w:rStyle w:val="Hyperlink"/>
                <w:noProof/>
              </w:rPr>
              <w:t>Recommendation</w:t>
            </w:r>
            <w:r>
              <w:rPr>
                <w:noProof/>
                <w:webHidden/>
              </w:rPr>
              <w:tab/>
            </w:r>
            <w:r>
              <w:rPr>
                <w:noProof/>
                <w:webHidden/>
              </w:rPr>
              <w:fldChar w:fldCharType="begin"/>
            </w:r>
            <w:r>
              <w:rPr>
                <w:noProof/>
                <w:webHidden/>
              </w:rPr>
              <w:instrText xml:space="preserve"> PAGEREF _Toc199254980 \h </w:instrText>
            </w:r>
            <w:r>
              <w:rPr>
                <w:noProof/>
                <w:webHidden/>
              </w:rPr>
            </w:r>
            <w:r>
              <w:rPr>
                <w:noProof/>
                <w:webHidden/>
              </w:rPr>
              <w:fldChar w:fldCharType="separate"/>
            </w:r>
            <w:r w:rsidR="00CB5A59">
              <w:rPr>
                <w:noProof/>
                <w:webHidden/>
              </w:rPr>
              <w:t>63</w:t>
            </w:r>
            <w:r>
              <w:rPr>
                <w:noProof/>
                <w:webHidden/>
              </w:rPr>
              <w:fldChar w:fldCharType="end"/>
            </w:r>
          </w:hyperlink>
        </w:p>
        <w:p w14:paraId="31D7B0C8" w14:textId="09AD8D7B" w:rsidR="00333F71" w:rsidRDefault="00333F7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9254981" w:history="1">
            <w:r w:rsidRPr="00352853">
              <w:rPr>
                <w:rStyle w:val="Hyperlink"/>
                <w:noProof/>
              </w:rPr>
              <w:t>Conclusion</w:t>
            </w:r>
            <w:r>
              <w:rPr>
                <w:noProof/>
                <w:webHidden/>
              </w:rPr>
              <w:tab/>
            </w:r>
            <w:r>
              <w:rPr>
                <w:noProof/>
                <w:webHidden/>
              </w:rPr>
              <w:fldChar w:fldCharType="begin"/>
            </w:r>
            <w:r>
              <w:rPr>
                <w:noProof/>
                <w:webHidden/>
              </w:rPr>
              <w:instrText xml:space="preserve"> PAGEREF _Toc199254981 \h </w:instrText>
            </w:r>
            <w:r>
              <w:rPr>
                <w:noProof/>
                <w:webHidden/>
              </w:rPr>
            </w:r>
            <w:r>
              <w:rPr>
                <w:noProof/>
                <w:webHidden/>
              </w:rPr>
              <w:fldChar w:fldCharType="separate"/>
            </w:r>
            <w:r w:rsidR="00CB5A59">
              <w:rPr>
                <w:noProof/>
                <w:webHidden/>
              </w:rPr>
              <w:t>63</w:t>
            </w:r>
            <w:r>
              <w:rPr>
                <w:noProof/>
                <w:webHidden/>
              </w:rPr>
              <w:fldChar w:fldCharType="end"/>
            </w:r>
          </w:hyperlink>
        </w:p>
        <w:p w14:paraId="3AA5AC2B" w14:textId="000A99BF" w:rsidR="00333F71" w:rsidRDefault="00333F7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9254982" w:history="1">
            <w:r w:rsidRPr="00352853">
              <w:rPr>
                <w:rStyle w:val="Hyperlink"/>
                <w:rFonts w:cs="Arial"/>
                <w:noProof/>
              </w:rPr>
              <w:t>Attachments</w:t>
            </w:r>
            <w:r>
              <w:rPr>
                <w:noProof/>
                <w:webHidden/>
              </w:rPr>
              <w:tab/>
            </w:r>
            <w:r>
              <w:rPr>
                <w:noProof/>
                <w:webHidden/>
              </w:rPr>
              <w:fldChar w:fldCharType="begin"/>
            </w:r>
            <w:r>
              <w:rPr>
                <w:noProof/>
                <w:webHidden/>
              </w:rPr>
              <w:instrText xml:space="preserve"> PAGEREF _Toc199254982 \h </w:instrText>
            </w:r>
            <w:r>
              <w:rPr>
                <w:noProof/>
                <w:webHidden/>
              </w:rPr>
            </w:r>
            <w:r>
              <w:rPr>
                <w:noProof/>
                <w:webHidden/>
              </w:rPr>
              <w:fldChar w:fldCharType="separate"/>
            </w:r>
            <w:r w:rsidR="00CB5A59">
              <w:rPr>
                <w:noProof/>
                <w:webHidden/>
              </w:rPr>
              <w:t>64</w:t>
            </w:r>
            <w:r>
              <w:rPr>
                <w:noProof/>
                <w:webHidden/>
              </w:rPr>
              <w:fldChar w:fldCharType="end"/>
            </w:r>
          </w:hyperlink>
        </w:p>
        <w:p w14:paraId="00CAD15B" w14:textId="1C2E2BC6" w:rsidR="00333F71" w:rsidRDefault="00333F71">
          <w:pPr>
            <w:pStyle w:val="TOC2"/>
            <w:rPr>
              <w:rFonts w:asciiTheme="minorHAnsi" w:eastAsiaTheme="minorEastAsia" w:hAnsiTheme="minorHAnsi" w:cstheme="minorBidi"/>
              <w:noProof/>
              <w:color w:val="auto"/>
              <w:kern w:val="2"/>
              <w:szCs w:val="24"/>
              <w:lang w:eastAsia="en-AU"/>
              <w14:ligatures w14:val="standardContextual"/>
            </w:rPr>
          </w:pPr>
          <w:hyperlink w:anchor="_Toc199254983" w:history="1">
            <w:r w:rsidRPr="00352853">
              <w:rPr>
                <w:rStyle w:val="Hyperlink"/>
                <w:noProof/>
              </w:rPr>
              <w:t>Attachment 1: Literature review search strategy</w:t>
            </w:r>
            <w:r>
              <w:rPr>
                <w:noProof/>
                <w:webHidden/>
              </w:rPr>
              <w:tab/>
            </w:r>
            <w:r>
              <w:rPr>
                <w:noProof/>
                <w:webHidden/>
              </w:rPr>
              <w:fldChar w:fldCharType="begin"/>
            </w:r>
            <w:r>
              <w:rPr>
                <w:noProof/>
                <w:webHidden/>
              </w:rPr>
              <w:instrText xml:space="preserve"> PAGEREF _Toc199254983 \h </w:instrText>
            </w:r>
            <w:r>
              <w:rPr>
                <w:noProof/>
                <w:webHidden/>
              </w:rPr>
            </w:r>
            <w:r>
              <w:rPr>
                <w:noProof/>
                <w:webHidden/>
              </w:rPr>
              <w:fldChar w:fldCharType="separate"/>
            </w:r>
            <w:r w:rsidR="00CB5A59">
              <w:rPr>
                <w:noProof/>
                <w:webHidden/>
              </w:rPr>
              <w:t>64</w:t>
            </w:r>
            <w:r>
              <w:rPr>
                <w:noProof/>
                <w:webHidden/>
              </w:rPr>
              <w:fldChar w:fldCharType="end"/>
            </w:r>
          </w:hyperlink>
        </w:p>
        <w:p w14:paraId="7FCE3A77" w14:textId="105FD906"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84" w:history="1">
            <w:r w:rsidRPr="00352853">
              <w:rPr>
                <w:rStyle w:val="Hyperlink"/>
                <w:rFonts w:cs="Arial"/>
                <w:noProof/>
              </w:rPr>
              <w:t>Search criteria (word input)</w:t>
            </w:r>
            <w:r>
              <w:rPr>
                <w:noProof/>
                <w:webHidden/>
              </w:rPr>
              <w:tab/>
            </w:r>
            <w:r>
              <w:rPr>
                <w:noProof/>
                <w:webHidden/>
              </w:rPr>
              <w:fldChar w:fldCharType="begin"/>
            </w:r>
            <w:r>
              <w:rPr>
                <w:noProof/>
                <w:webHidden/>
              </w:rPr>
              <w:instrText xml:space="preserve"> PAGEREF _Toc199254984 \h </w:instrText>
            </w:r>
            <w:r>
              <w:rPr>
                <w:noProof/>
                <w:webHidden/>
              </w:rPr>
            </w:r>
            <w:r>
              <w:rPr>
                <w:noProof/>
                <w:webHidden/>
              </w:rPr>
              <w:fldChar w:fldCharType="separate"/>
            </w:r>
            <w:r w:rsidR="00CB5A59">
              <w:rPr>
                <w:noProof/>
                <w:webHidden/>
              </w:rPr>
              <w:t>64</w:t>
            </w:r>
            <w:r>
              <w:rPr>
                <w:noProof/>
                <w:webHidden/>
              </w:rPr>
              <w:fldChar w:fldCharType="end"/>
            </w:r>
          </w:hyperlink>
        </w:p>
        <w:p w14:paraId="25A5E018" w14:textId="7959F3AA" w:rsidR="00333F71" w:rsidRDefault="00333F71">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254985" w:history="1">
            <w:r w:rsidRPr="00352853">
              <w:rPr>
                <w:rStyle w:val="Hyperlink"/>
                <w:rFonts w:cs="Arial"/>
                <w:noProof/>
              </w:rPr>
              <w:t>Websites searched for the sunscreen active ingredients:</w:t>
            </w:r>
            <w:r>
              <w:rPr>
                <w:noProof/>
                <w:webHidden/>
              </w:rPr>
              <w:tab/>
            </w:r>
            <w:r>
              <w:rPr>
                <w:noProof/>
                <w:webHidden/>
              </w:rPr>
              <w:fldChar w:fldCharType="begin"/>
            </w:r>
            <w:r>
              <w:rPr>
                <w:noProof/>
                <w:webHidden/>
              </w:rPr>
              <w:instrText xml:space="preserve"> PAGEREF _Toc199254985 \h </w:instrText>
            </w:r>
            <w:r>
              <w:rPr>
                <w:noProof/>
                <w:webHidden/>
              </w:rPr>
            </w:r>
            <w:r>
              <w:rPr>
                <w:noProof/>
                <w:webHidden/>
              </w:rPr>
              <w:fldChar w:fldCharType="separate"/>
            </w:r>
            <w:r w:rsidR="00CB5A59">
              <w:rPr>
                <w:noProof/>
                <w:webHidden/>
              </w:rPr>
              <w:t>64</w:t>
            </w:r>
            <w:r>
              <w:rPr>
                <w:noProof/>
                <w:webHidden/>
              </w:rPr>
              <w:fldChar w:fldCharType="end"/>
            </w:r>
          </w:hyperlink>
        </w:p>
        <w:p w14:paraId="6792B748" w14:textId="2BE62694" w:rsidR="00333F71" w:rsidRDefault="00333F71">
          <w:pPr>
            <w:pStyle w:val="TOC2"/>
            <w:rPr>
              <w:rFonts w:asciiTheme="minorHAnsi" w:eastAsiaTheme="minorEastAsia" w:hAnsiTheme="minorHAnsi" w:cstheme="minorBidi"/>
              <w:noProof/>
              <w:color w:val="auto"/>
              <w:kern w:val="2"/>
              <w:szCs w:val="24"/>
              <w:lang w:eastAsia="en-AU"/>
              <w14:ligatures w14:val="standardContextual"/>
            </w:rPr>
          </w:pPr>
          <w:hyperlink w:anchor="_Toc199254986" w:history="1">
            <w:r w:rsidRPr="00352853">
              <w:rPr>
                <w:rStyle w:val="Hyperlink"/>
                <w:noProof/>
              </w:rPr>
              <w:t>Attachment 2: List of endocrine activity modulation effects of commonly used UV filters</w:t>
            </w:r>
            <w:r>
              <w:rPr>
                <w:noProof/>
                <w:webHidden/>
              </w:rPr>
              <w:tab/>
            </w:r>
            <w:r>
              <w:rPr>
                <w:noProof/>
                <w:webHidden/>
              </w:rPr>
              <w:fldChar w:fldCharType="begin"/>
            </w:r>
            <w:r>
              <w:rPr>
                <w:noProof/>
                <w:webHidden/>
              </w:rPr>
              <w:instrText xml:space="preserve"> PAGEREF _Toc199254986 \h </w:instrText>
            </w:r>
            <w:r>
              <w:rPr>
                <w:noProof/>
                <w:webHidden/>
              </w:rPr>
            </w:r>
            <w:r>
              <w:rPr>
                <w:noProof/>
                <w:webHidden/>
              </w:rPr>
              <w:fldChar w:fldCharType="separate"/>
            </w:r>
            <w:r w:rsidR="00CB5A59">
              <w:rPr>
                <w:noProof/>
                <w:webHidden/>
              </w:rPr>
              <w:t>66</w:t>
            </w:r>
            <w:r>
              <w:rPr>
                <w:noProof/>
                <w:webHidden/>
              </w:rPr>
              <w:fldChar w:fldCharType="end"/>
            </w:r>
          </w:hyperlink>
        </w:p>
        <w:p w14:paraId="028E38B3" w14:textId="661F47AD" w:rsidR="00333F71" w:rsidRDefault="00333F7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9254987" w:history="1">
            <w:r w:rsidRPr="00352853">
              <w:rPr>
                <w:rStyle w:val="Hyperlink"/>
                <w:noProof/>
              </w:rPr>
              <w:t>References</w:t>
            </w:r>
            <w:r>
              <w:rPr>
                <w:noProof/>
                <w:webHidden/>
              </w:rPr>
              <w:tab/>
            </w:r>
            <w:r>
              <w:rPr>
                <w:noProof/>
                <w:webHidden/>
              </w:rPr>
              <w:fldChar w:fldCharType="begin"/>
            </w:r>
            <w:r>
              <w:rPr>
                <w:noProof/>
                <w:webHidden/>
              </w:rPr>
              <w:instrText xml:space="preserve"> PAGEREF _Toc199254987 \h </w:instrText>
            </w:r>
            <w:r>
              <w:rPr>
                <w:noProof/>
                <w:webHidden/>
              </w:rPr>
            </w:r>
            <w:r>
              <w:rPr>
                <w:noProof/>
                <w:webHidden/>
              </w:rPr>
              <w:fldChar w:fldCharType="separate"/>
            </w:r>
            <w:r w:rsidR="00CB5A59">
              <w:rPr>
                <w:noProof/>
                <w:webHidden/>
              </w:rPr>
              <w:t>67</w:t>
            </w:r>
            <w:r>
              <w:rPr>
                <w:noProof/>
                <w:webHidden/>
              </w:rPr>
              <w:fldChar w:fldCharType="end"/>
            </w:r>
          </w:hyperlink>
        </w:p>
        <w:p w14:paraId="7728D171" w14:textId="2521E1F4" w:rsidR="0089410A" w:rsidRDefault="0089410A" w:rsidP="0089410A">
          <w:r w:rsidRPr="00215D48">
            <w:fldChar w:fldCharType="end"/>
          </w:r>
        </w:p>
      </w:sdtContent>
    </w:sdt>
    <w:p w14:paraId="73F7E46B" w14:textId="77777777" w:rsidR="0089410A" w:rsidRDefault="0089410A"/>
    <w:p w14:paraId="0802CD31" w14:textId="77777777" w:rsidR="00DD3815" w:rsidRDefault="00DD3815" w:rsidP="00FD16B5">
      <w:pPr>
        <w:pStyle w:val="Standard"/>
      </w:pPr>
    </w:p>
    <w:p w14:paraId="6E868F10" w14:textId="77777777" w:rsidR="0089410A" w:rsidRDefault="0089410A">
      <w:pPr>
        <w:rPr>
          <w:rFonts w:eastAsia="Cambria" w:cs="Times New Roman"/>
          <w:bCs/>
          <w:color w:val="333F4A"/>
          <w:sz w:val="17"/>
        </w:rPr>
      </w:pPr>
      <w:r>
        <w:rPr>
          <w:b/>
          <w:bCs/>
        </w:rPr>
        <w:br w:type="page"/>
      </w:r>
    </w:p>
    <w:p w14:paraId="29AF4A6E" w14:textId="77777777" w:rsidR="00C3727E" w:rsidRDefault="00C3727E" w:rsidP="00C3727E">
      <w:pPr>
        <w:pStyle w:val="Heading2"/>
      </w:pPr>
      <w:bookmarkStart w:id="2" w:name="_Toc190944888"/>
      <w:bookmarkStart w:id="3" w:name="_Toc199254925"/>
      <w:r>
        <w:lastRenderedPageBreak/>
        <w:t>Glossary</w:t>
      </w:r>
      <w:bookmarkEnd w:id="2"/>
      <w:bookmarkEnd w:id="3"/>
    </w:p>
    <w:tbl>
      <w:tblPr>
        <w:tblStyle w:val="TableTGAblue2023"/>
        <w:tblW w:w="0" w:type="auto"/>
        <w:tblLook w:val="04A0" w:firstRow="1" w:lastRow="0" w:firstColumn="1" w:lastColumn="0" w:noHBand="0" w:noVBand="1"/>
      </w:tblPr>
      <w:tblGrid>
        <w:gridCol w:w="2540"/>
        <w:gridCol w:w="6476"/>
      </w:tblGrid>
      <w:tr w:rsidR="00C3727E" w14:paraId="0C388069" w14:textId="77777777" w:rsidTr="00E070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4C717E1" w14:textId="77777777" w:rsidR="00C3727E" w:rsidRPr="001E762C" w:rsidRDefault="00C3727E" w:rsidP="00E07077">
            <w:pPr>
              <w:ind w:left="0"/>
              <w:rPr>
                <w:rFonts w:cs="Arial"/>
                <w:color w:val="auto"/>
              </w:rPr>
            </w:pPr>
            <w:r>
              <w:rPr>
                <w:rFonts w:cs="Arial"/>
                <w:color w:val="auto"/>
              </w:rPr>
              <w:t>Abbreviation</w:t>
            </w:r>
          </w:p>
        </w:tc>
        <w:tc>
          <w:tcPr>
            <w:tcW w:w="6513" w:type="dxa"/>
          </w:tcPr>
          <w:p w14:paraId="24EBFC3D" w14:textId="77777777" w:rsidR="00C3727E" w:rsidRPr="001E762C" w:rsidRDefault="00C3727E" w:rsidP="00E07077">
            <w:pPr>
              <w:ind w:left="0"/>
              <w:cnfStyle w:val="100000000000" w:firstRow="1" w:lastRow="0" w:firstColumn="0" w:lastColumn="0" w:oddVBand="0" w:evenVBand="0" w:oddHBand="0" w:evenHBand="0" w:firstRowFirstColumn="0" w:firstRowLastColumn="0" w:lastRowFirstColumn="0" w:lastRowLastColumn="0"/>
              <w:rPr>
                <w:rFonts w:cs="Arial"/>
                <w:color w:val="auto"/>
              </w:rPr>
            </w:pPr>
            <w:r>
              <w:rPr>
                <w:rFonts w:cs="Arial"/>
                <w:color w:val="auto"/>
              </w:rPr>
              <w:t xml:space="preserve">Explanation </w:t>
            </w:r>
          </w:p>
        </w:tc>
      </w:tr>
      <w:tr w:rsidR="00C3727E" w:rsidRPr="005B4130" w14:paraId="56EFD3B8" w14:textId="77777777" w:rsidTr="00E07077">
        <w:tc>
          <w:tcPr>
            <w:cnfStyle w:val="001000000000" w:firstRow="0" w:lastRow="0" w:firstColumn="1" w:lastColumn="0" w:oddVBand="0" w:evenVBand="0" w:oddHBand="0" w:evenHBand="0" w:firstRowFirstColumn="0" w:firstRowLastColumn="0" w:lastRowFirstColumn="0" w:lastRowLastColumn="0"/>
            <w:tcW w:w="2547" w:type="dxa"/>
          </w:tcPr>
          <w:p w14:paraId="6EA30439" w14:textId="77777777" w:rsidR="00C3727E" w:rsidRDefault="00C3727E" w:rsidP="00E07077">
            <w:pPr>
              <w:ind w:left="0"/>
              <w:rPr>
                <w:rFonts w:cs="Arial"/>
              </w:rPr>
            </w:pPr>
            <w:r>
              <w:rPr>
                <w:rFonts w:cs="Arial"/>
              </w:rPr>
              <w:t>ABS</w:t>
            </w:r>
          </w:p>
        </w:tc>
        <w:tc>
          <w:tcPr>
            <w:tcW w:w="6513" w:type="dxa"/>
          </w:tcPr>
          <w:p w14:paraId="7EE5F4DE" w14:textId="77777777" w:rsidR="00C3727E" w:rsidRDefault="00C3727E" w:rsidP="00E07077">
            <w:pPr>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Australian Bureau of Statistics</w:t>
            </w:r>
          </w:p>
        </w:tc>
      </w:tr>
      <w:tr w:rsidR="00C3727E" w:rsidRPr="005B4130" w14:paraId="66AB2891" w14:textId="77777777" w:rsidTr="00E07077">
        <w:tc>
          <w:tcPr>
            <w:cnfStyle w:val="001000000000" w:firstRow="0" w:lastRow="0" w:firstColumn="1" w:lastColumn="0" w:oddVBand="0" w:evenVBand="0" w:oddHBand="0" w:evenHBand="0" w:firstRowFirstColumn="0" w:firstRowLastColumn="0" w:lastRowFirstColumn="0" w:lastRowLastColumn="0"/>
            <w:tcW w:w="2547" w:type="dxa"/>
          </w:tcPr>
          <w:p w14:paraId="499A2969" w14:textId="77777777" w:rsidR="00C3727E" w:rsidRDefault="00C3727E" w:rsidP="00E07077">
            <w:pPr>
              <w:ind w:left="0"/>
              <w:rPr>
                <w:rFonts w:cs="Arial"/>
              </w:rPr>
            </w:pPr>
            <w:r>
              <w:rPr>
                <w:rFonts w:cs="Arial"/>
              </w:rPr>
              <w:t>AICIS</w:t>
            </w:r>
          </w:p>
        </w:tc>
        <w:tc>
          <w:tcPr>
            <w:tcW w:w="6513" w:type="dxa"/>
          </w:tcPr>
          <w:p w14:paraId="3A338CBE" w14:textId="77777777" w:rsidR="00C3727E" w:rsidRDefault="00C3727E" w:rsidP="00E07077">
            <w:pPr>
              <w:ind w:left="0"/>
              <w:cnfStyle w:val="000000000000" w:firstRow="0" w:lastRow="0" w:firstColumn="0" w:lastColumn="0" w:oddVBand="0" w:evenVBand="0" w:oddHBand="0" w:evenHBand="0" w:firstRowFirstColumn="0" w:firstRowLastColumn="0" w:lastRowFirstColumn="0" w:lastRowLastColumn="0"/>
              <w:rPr>
                <w:rFonts w:cs="Arial"/>
              </w:rPr>
            </w:pPr>
            <w:r w:rsidRPr="0038499F">
              <w:rPr>
                <w:rFonts w:cs="Arial"/>
              </w:rPr>
              <w:t>Australian Industrial Chemicals Introduction Scheme</w:t>
            </w:r>
          </w:p>
        </w:tc>
      </w:tr>
      <w:tr w:rsidR="00C3727E" w:rsidRPr="00D6696D" w14:paraId="7B3E7CE2" w14:textId="77777777" w:rsidTr="00E07077">
        <w:tc>
          <w:tcPr>
            <w:cnfStyle w:val="001000000000" w:firstRow="0" w:lastRow="0" w:firstColumn="1" w:lastColumn="0" w:oddVBand="0" w:evenVBand="0" w:oddHBand="0" w:evenHBand="0" w:firstRowFirstColumn="0" w:firstRowLastColumn="0" w:lastRowFirstColumn="0" w:lastRowLastColumn="0"/>
            <w:tcW w:w="2547" w:type="dxa"/>
          </w:tcPr>
          <w:p w14:paraId="4F4030D2" w14:textId="77777777" w:rsidR="00C3727E" w:rsidRDefault="00C3727E" w:rsidP="00E07077">
            <w:pPr>
              <w:ind w:left="0"/>
              <w:rPr>
                <w:rFonts w:cs="Arial"/>
              </w:rPr>
            </w:pPr>
            <w:r>
              <w:rPr>
                <w:rFonts w:cs="Arial"/>
              </w:rPr>
              <w:t>ARGS</w:t>
            </w:r>
          </w:p>
        </w:tc>
        <w:tc>
          <w:tcPr>
            <w:tcW w:w="6513" w:type="dxa"/>
          </w:tcPr>
          <w:p w14:paraId="6C9DC293" w14:textId="77777777" w:rsidR="00C3727E" w:rsidRDefault="00C3727E" w:rsidP="00E07077">
            <w:pPr>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Australian Regulatory Guidelines for Sunscreens</w:t>
            </w:r>
          </w:p>
        </w:tc>
      </w:tr>
      <w:tr w:rsidR="00C3727E" w:rsidRPr="005B4130" w14:paraId="5AA2FEB9" w14:textId="77777777" w:rsidTr="00E07077">
        <w:tc>
          <w:tcPr>
            <w:cnfStyle w:val="001000000000" w:firstRow="0" w:lastRow="0" w:firstColumn="1" w:lastColumn="0" w:oddVBand="0" w:evenVBand="0" w:oddHBand="0" w:evenHBand="0" w:firstRowFirstColumn="0" w:firstRowLastColumn="0" w:lastRowFirstColumn="0" w:lastRowLastColumn="0"/>
            <w:tcW w:w="2547" w:type="dxa"/>
          </w:tcPr>
          <w:p w14:paraId="2749D121" w14:textId="77777777" w:rsidR="00C3727E" w:rsidRDefault="00C3727E" w:rsidP="00E07077">
            <w:pPr>
              <w:ind w:left="0"/>
              <w:rPr>
                <w:rFonts w:cs="Arial"/>
              </w:rPr>
            </w:pPr>
            <w:r>
              <w:rPr>
                <w:rFonts w:cs="Arial"/>
              </w:rPr>
              <w:t>ARGS</w:t>
            </w:r>
          </w:p>
        </w:tc>
        <w:tc>
          <w:tcPr>
            <w:tcW w:w="6513" w:type="dxa"/>
          </w:tcPr>
          <w:p w14:paraId="55E8AF89" w14:textId="77777777" w:rsidR="00C3727E" w:rsidRDefault="00C3727E" w:rsidP="00E07077">
            <w:pPr>
              <w:ind w:left="0"/>
              <w:cnfStyle w:val="000000000000" w:firstRow="0" w:lastRow="0" w:firstColumn="0" w:lastColumn="0" w:oddVBand="0" w:evenVBand="0" w:oddHBand="0" w:evenHBand="0" w:firstRowFirstColumn="0" w:firstRowLastColumn="0" w:lastRowFirstColumn="0" w:lastRowLastColumn="0"/>
              <w:rPr>
                <w:rFonts w:cs="Arial"/>
              </w:rPr>
            </w:pPr>
            <w:r w:rsidRPr="0038499F">
              <w:rPr>
                <w:rFonts w:cs="Arial"/>
              </w:rPr>
              <w:t>Australian regulatory guidelines for sunscreens</w:t>
            </w:r>
          </w:p>
        </w:tc>
      </w:tr>
      <w:tr w:rsidR="00C3727E" w:rsidRPr="005B4130" w14:paraId="14482E06" w14:textId="77777777" w:rsidTr="00E07077">
        <w:tc>
          <w:tcPr>
            <w:cnfStyle w:val="001000000000" w:firstRow="0" w:lastRow="0" w:firstColumn="1" w:lastColumn="0" w:oddVBand="0" w:evenVBand="0" w:oddHBand="0" w:evenHBand="0" w:firstRowFirstColumn="0" w:firstRowLastColumn="0" w:lastRowFirstColumn="0" w:lastRowLastColumn="0"/>
            <w:tcW w:w="2547" w:type="dxa"/>
          </w:tcPr>
          <w:p w14:paraId="3A12E4E3" w14:textId="77777777" w:rsidR="00C3727E" w:rsidRDefault="00C3727E" w:rsidP="00E07077">
            <w:pPr>
              <w:ind w:left="0"/>
              <w:rPr>
                <w:rFonts w:cs="Arial"/>
              </w:rPr>
            </w:pPr>
            <w:r>
              <w:rPr>
                <w:rFonts w:cs="Arial"/>
              </w:rPr>
              <w:t>ARNS</w:t>
            </w:r>
          </w:p>
        </w:tc>
        <w:tc>
          <w:tcPr>
            <w:tcW w:w="6513" w:type="dxa"/>
          </w:tcPr>
          <w:p w14:paraId="01E39E9A" w14:textId="77777777" w:rsidR="00C3727E" w:rsidRDefault="00C3727E" w:rsidP="00E07077">
            <w:pPr>
              <w:ind w:left="0"/>
              <w:cnfStyle w:val="000000000000" w:firstRow="0" w:lastRow="0" w:firstColumn="0" w:lastColumn="0" w:oddVBand="0" w:evenVBand="0" w:oddHBand="0" w:evenHBand="0" w:firstRowFirstColumn="0" w:firstRowLastColumn="0" w:lastRowFirstColumn="0" w:lastRowLastColumn="0"/>
              <w:rPr>
                <w:rFonts w:cs="Arial"/>
              </w:rPr>
            </w:pPr>
            <w:r w:rsidRPr="00CE4ECE">
              <w:rPr>
                <w:rFonts w:cs="Arial"/>
              </w:rPr>
              <w:t xml:space="preserve">Application </w:t>
            </w:r>
            <w:r>
              <w:rPr>
                <w:rFonts w:cs="Arial"/>
              </w:rPr>
              <w:t>R</w:t>
            </w:r>
            <w:r w:rsidRPr="00CE4ECE">
              <w:rPr>
                <w:rFonts w:cs="Arial"/>
              </w:rPr>
              <w:t xml:space="preserve">equirements for </w:t>
            </w:r>
            <w:r>
              <w:rPr>
                <w:rFonts w:cs="Arial"/>
              </w:rPr>
              <w:t>N</w:t>
            </w:r>
            <w:r w:rsidRPr="00CE4ECE">
              <w:rPr>
                <w:rFonts w:cs="Arial"/>
              </w:rPr>
              <w:t xml:space="preserve">ew </w:t>
            </w:r>
            <w:r>
              <w:rPr>
                <w:rFonts w:cs="Arial"/>
              </w:rPr>
              <w:t>S</w:t>
            </w:r>
            <w:r w:rsidRPr="00CE4ECE">
              <w:rPr>
                <w:rFonts w:cs="Arial"/>
              </w:rPr>
              <w:t>ubstances in listed medicines</w:t>
            </w:r>
          </w:p>
        </w:tc>
      </w:tr>
      <w:tr w:rsidR="00C3727E" w:rsidRPr="005B4130" w14:paraId="3CEB78A1" w14:textId="77777777" w:rsidTr="00E07077">
        <w:tc>
          <w:tcPr>
            <w:cnfStyle w:val="001000000000" w:firstRow="0" w:lastRow="0" w:firstColumn="1" w:lastColumn="0" w:oddVBand="0" w:evenVBand="0" w:oddHBand="0" w:evenHBand="0" w:firstRowFirstColumn="0" w:firstRowLastColumn="0" w:lastRowFirstColumn="0" w:lastRowLastColumn="0"/>
            <w:tcW w:w="2547" w:type="dxa"/>
          </w:tcPr>
          <w:p w14:paraId="301A58E0" w14:textId="77777777" w:rsidR="00C3727E" w:rsidRDefault="00C3727E" w:rsidP="00E07077">
            <w:pPr>
              <w:ind w:left="0"/>
              <w:rPr>
                <w:rFonts w:cs="Arial"/>
              </w:rPr>
            </w:pPr>
            <w:r>
              <w:rPr>
                <w:rFonts w:cs="Arial"/>
              </w:rPr>
              <w:t>ARPANSA</w:t>
            </w:r>
          </w:p>
        </w:tc>
        <w:tc>
          <w:tcPr>
            <w:tcW w:w="6513" w:type="dxa"/>
          </w:tcPr>
          <w:p w14:paraId="7DD058CC" w14:textId="77777777" w:rsidR="00C3727E" w:rsidRDefault="00C3727E" w:rsidP="00E07077">
            <w:pPr>
              <w:ind w:left="0"/>
              <w:cnfStyle w:val="000000000000" w:firstRow="0" w:lastRow="0" w:firstColumn="0" w:lastColumn="0" w:oddVBand="0" w:evenVBand="0" w:oddHBand="0" w:evenHBand="0" w:firstRowFirstColumn="0" w:firstRowLastColumn="0" w:lastRowFirstColumn="0" w:lastRowLastColumn="0"/>
              <w:rPr>
                <w:rFonts w:cs="Arial"/>
              </w:rPr>
            </w:pPr>
            <w:r w:rsidRPr="00947D22">
              <w:rPr>
                <w:rFonts w:cs="Arial"/>
              </w:rPr>
              <w:t>Australian Radiation Protection and Nuclear Safety Agency</w:t>
            </w:r>
          </w:p>
        </w:tc>
      </w:tr>
      <w:tr w:rsidR="00C3727E" w:rsidRPr="00D6696D" w14:paraId="2EB1E934" w14:textId="77777777" w:rsidTr="00E07077">
        <w:tc>
          <w:tcPr>
            <w:cnfStyle w:val="001000000000" w:firstRow="0" w:lastRow="0" w:firstColumn="1" w:lastColumn="0" w:oddVBand="0" w:evenVBand="0" w:oddHBand="0" w:evenHBand="0" w:firstRowFirstColumn="0" w:firstRowLastColumn="0" w:lastRowFirstColumn="0" w:lastRowLastColumn="0"/>
            <w:tcW w:w="2547" w:type="dxa"/>
          </w:tcPr>
          <w:p w14:paraId="307F8F55" w14:textId="77777777" w:rsidR="00C3727E" w:rsidRDefault="00C3727E" w:rsidP="00E07077">
            <w:pPr>
              <w:ind w:left="0"/>
              <w:rPr>
                <w:rFonts w:cs="Arial"/>
              </w:rPr>
            </w:pPr>
            <w:r>
              <w:rPr>
                <w:rFonts w:cs="Arial"/>
              </w:rPr>
              <w:t>ARTG</w:t>
            </w:r>
          </w:p>
        </w:tc>
        <w:tc>
          <w:tcPr>
            <w:tcW w:w="6513" w:type="dxa"/>
          </w:tcPr>
          <w:p w14:paraId="28AA775D" w14:textId="77777777" w:rsidR="00C3727E" w:rsidRDefault="00C3727E" w:rsidP="00E07077">
            <w:pPr>
              <w:ind w:left="0"/>
              <w:cnfStyle w:val="000000000000" w:firstRow="0" w:lastRow="0" w:firstColumn="0" w:lastColumn="0" w:oddVBand="0" w:evenVBand="0" w:oddHBand="0" w:evenHBand="0" w:firstRowFirstColumn="0" w:firstRowLastColumn="0" w:lastRowFirstColumn="0" w:lastRowLastColumn="0"/>
              <w:rPr>
                <w:rFonts w:cs="Arial"/>
              </w:rPr>
            </w:pPr>
            <w:r w:rsidRPr="009B26F9">
              <w:rPr>
                <w:rFonts w:cs="Arial"/>
              </w:rPr>
              <w:t>Australian Register of Therapeutic Goods</w:t>
            </w:r>
          </w:p>
        </w:tc>
      </w:tr>
      <w:tr w:rsidR="00C3727E" w:rsidRPr="005B4130" w14:paraId="6C09A896" w14:textId="77777777" w:rsidTr="00E07077">
        <w:tc>
          <w:tcPr>
            <w:cnfStyle w:val="001000000000" w:firstRow="0" w:lastRow="0" w:firstColumn="1" w:lastColumn="0" w:oddVBand="0" w:evenVBand="0" w:oddHBand="0" w:evenHBand="0" w:firstRowFirstColumn="0" w:firstRowLastColumn="0" w:lastRowFirstColumn="0" w:lastRowLastColumn="0"/>
            <w:tcW w:w="2547" w:type="dxa"/>
          </w:tcPr>
          <w:p w14:paraId="7A4C2F20" w14:textId="77777777" w:rsidR="00C3727E" w:rsidRDefault="00C3727E" w:rsidP="00E07077">
            <w:pPr>
              <w:ind w:left="0"/>
              <w:rPr>
                <w:rFonts w:cs="Arial"/>
              </w:rPr>
            </w:pPr>
            <w:r>
              <w:rPr>
                <w:rFonts w:cs="Arial"/>
              </w:rPr>
              <w:t>ASEM</w:t>
            </w:r>
          </w:p>
        </w:tc>
        <w:tc>
          <w:tcPr>
            <w:tcW w:w="6513" w:type="dxa"/>
          </w:tcPr>
          <w:p w14:paraId="57B8EA84" w14:textId="77777777" w:rsidR="00C3727E" w:rsidRDefault="00C3727E" w:rsidP="00E07077">
            <w:pPr>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Australian Sunscreen Exposure Model</w:t>
            </w:r>
          </w:p>
        </w:tc>
      </w:tr>
      <w:tr w:rsidR="00C3727E" w:rsidRPr="005B4130" w14:paraId="51BED348" w14:textId="77777777" w:rsidTr="00E07077">
        <w:tc>
          <w:tcPr>
            <w:cnfStyle w:val="001000000000" w:firstRow="0" w:lastRow="0" w:firstColumn="1" w:lastColumn="0" w:oddVBand="0" w:evenVBand="0" w:oddHBand="0" w:evenHBand="0" w:firstRowFirstColumn="0" w:firstRowLastColumn="0" w:lastRowFirstColumn="0" w:lastRowLastColumn="0"/>
            <w:tcW w:w="2547" w:type="dxa"/>
          </w:tcPr>
          <w:p w14:paraId="49956C24" w14:textId="77777777" w:rsidR="00C3727E" w:rsidRDefault="00C3727E" w:rsidP="00E07077">
            <w:pPr>
              <w:ind w:left="0"/>
              <w:rPr>
                <w:rFonts w:cs="Arial"/>
              </w:rPr>
            </w:pPr>
            <w:r>
              <w:rPr>
                <w:rFonts w:cs="Arial"/>
              </w:rPr>
              <w:t>BoM</w:t>
            </w:r>
          </w:p>
        </w:tc>
        <w:tc>
          <w:tcPr>
            <w:tcW w:w="6513" w:type="dxa"/>
          </w:tcPr>
          <w:p w14:paraId="04627F6B" w14:textId="77777777" w:rsidR="00C3727E" w:rsidRDefault="00C3727E" w:rsidP="00E07077">
            <w:pPr>
              <w:ind w:left="0"/>
              <w:cnfStyle w:val="000000000000" w:firstRow="0" w:lastRow="0" w:firstColumn="0" w:lastColumn="0" w:oddVBand="0" w:evenVBand="0" w:oddHBand="0" w:evenHBand="0" w:firstRowFirstColumn="0" w:firstRowLastColumn="0" w:lastRowFirstColumn="0" w:lastRowLastColumn="0"/>
              <w:rPr>
                <w:rFonts w:cs="Arial"/>
              </w:rPr>
            </w:pPr>
            <w:r w:rsidRPr="00DA24F3">
              <w:rPr>
                <w:rFonts w:cs="Arial"/>
              </w:rPr>
              <w:t>Bureau of Meteorology</w:t>
            </w:r>
          </w:p>
        </w:tc>
      </w:tr>
      <w:tr w:rsidR="00C3727E" w:rsidRPr="00D6696D" w14:paraId="3CC1AFB2" w14:textId="77777777" w:rsidTr="00E07077">
        <w:tc>
          <w:tcPr>
            <w:cnfStyle w:val="001000000000" w:firstRow="0" w:lastRow="0" w:firstColumn="1" w:lastColumn="0" w:oddVBand="0" w:evenVBand="0" w:oddHBand="0" w:evenHBand="0" w:firstRowFirstColumn="0" w:firstRowLastColumn="0" w:lastRowFirstColumn="0" w:lastRowLastColumn="0"/>
            <w:tcW w:w="2547" w:type="dxa"/>
          </w:tcPr>
          <w:p w14:paraId="20BC5FD4" w14:textId="77777777" w:rsidR="00C3727E" w:rsidRDefault="00C3727E" w:rsidP="00E07077">
            <w:pPr>
              <w:ind w:left="0"/>
              <w:rPr>
                <w:rFonts w:cs="Arial"/>
              </w:rPr>
            </w:pPr>
            <w:r>
              <w:rPr>
                <w:rFonts w:cs="Arial"/>
              </w:rPr>
              <w:t>MoS</w:t>
            </w:r>
          </w:p>
        </w:tc>
        <w:tc>
          <w:tcPr>
            <w:tcW w:w="6513" w:type="dxa"/>
          </w:tcPr>
          <w:p w14:paraId="75B5065A" w14:textId="77777777" w:rsidR="00C3727E" w:rsidRDefault="00C3727E" w:rsidP="00E07077">
            <w:pPr>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Margin of Safety</w:t>
            </w:r>
          </w:p>
        </w:tc>
      </w:tr>
      <w:tr w:rsidR="00C3727E" w:rsidRPr="005B4130" w14:paraId="3865B91C" w14:textId="77777777" w:rsidTr="00E07077">
        <w:tc>
          <w:tcPr>
            <w:cnfStyle w:val="001000000000" w:firstRow="0" w:lastRow="0" w:firstColumn="1" w:lastColumn="0" w:oddVBand="0" w:evenVBand="0" w:oddHBand="0" w:evenHBand="0" w:firstRowFirstColumn="0" w:firstRowLastColumn="0" w:lastRowFirstColumn="0" w:lastRowLastColumn="0"/>
            <w:tcW w:w="2547" w:type="dxa"/>
          </w:tcPr>
          <w:p w14:paraId="6D7E0306" w14:textId="77777777" w:rsidR="00C3727E" w:rsidRDefault="00C3727E" w:rsidP="00E07077">
            <w:pPr>
              <w:ind w:left="0"/>
              <w:rPr>
                <w:rFonts w:cs="Arial"/>
              </w:rPr>
            </w:pPr>
            <w:r>
              <w:rPr>
                <w:rFonts w:cs="Arial"/>
              </w:rPr>
              <w:t>NOAEL</w:t>
            </w:r>
          </w:p>
        </w:tc>
        <w:tc>
          <w:tcPr>
            <w:tcW w:w="6513" w:type="dxa"/>
          </w:tcPr>
          <w:p w14:paraId="1646E256" w14:textId="77777777" w:rsidR="00C3727E" w:rsidRDefault="00C3727E" w:rsidP="00E07077">
            <w:pPr>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N</w:t>
            </w:r>
            <w:r w:rsidRPr="005A3A0E">
              <w:rPr>
                <w:rFonts w:cs="Arial"/>
              </w:rPr>
              <w:t xml:space="preserve">o </w:t>
            </w:r>
            <w:r>
              <w:rPr>
                <w:rFonts w:cs="Arial"/>
              </w:rPr>
              <w:t>O</w:t>
            </w:r>
            <w:r w:rsidRPr="005A3A0E">
              <w:rPr>
                <w:rFonts w:cs="Arial"/>
              </w:rPr>
              <w:t xml:space="preserve">bserved </w:t>
            </w:r>
            <w:r>
              <w:rPr>
                <w:rFonts w:cs="Arial"/>
              </w:rPr>
              <w:t>A</w:t>
            </w:r>
            <w:r w:rsidRPr="005A3A0E">
              <w:rPr>
                <w:rFonts w:cs="Arial"/>
              </w:rPr>
              <w:t xml:space="preserve">dverse </w:t>
            </w:r>
            <w:r>
              <w:rPr>
                <w:rFonts w:cs="Arial"/>
              </w:rPr>
              <w:t>E</w:t>
            </w:r>
            <w:r w:rsidRPr="005A3A0E">
              <w:rPr>
                <w:rFonts w:cs="Arial"/>
              </w:rPr>
              <w:t xml:space="preserve">ffect </w:t>
            </w:r>
            <w:r>
              <w:rPr>
                <w:rFonts w:cs="Arial"/>
              </w:rPr>
              <w:t>L</w:t>
            </w:r>
            <w:r w:rsidRPr="005A3A0E">
              <w:rPr>
                <w:rFonts w:cs="Arial"/>
              </w:rPr>
              <w:t>evel</w:t>
            </w:r>
          </w:p>
        </w:tc>
      </w:tr>
      <w:tr w:rsidR="00C3727E" w:rsidRPr="005B4130" w14:paraId="1B4485E8" w14:textId="77777777" w:rsidTr="00E07077">
        <w:tc>
          <w:tcPr>
            <w:cnfStyle w:val="001000000000" w:firstRow="0" w:lastRow="0" w:firstColumn="1" w:lastColumn="0" w:oddVBand="0" w:evenVBand="0" w:oddHBand="0" w:evenHBand="0" w:firstRowFirstColumn="0" w:firstRowLastColumn="0" w:lastRowFirstColumn="0" w:lastRowLastColumn="0"/>
            <w:tcW w:w="2547" w:type="dxa"/>
          </w:tcPr>
          <w:p w14:paraId="317B4608" w14:textId="77777777" w:rsidR="00C3727E" w:rsidRDefault="00C3727E" w:rsidP="00E07077">
            <w:pPr>
              <w:ind w:left="0"/>
              <w:rPr>
                <w:rFonts w:cs="Arial"/>
              </w:rPr>
            </w:pPr>
            <w:r>
              <w:rPr>
                <w:rFonts w:cs="Arial"/>
              </w:rPr>
              <w:t>NOEL</w:t>
            </w:r>
          </w:p>
        </w:tc>
        <w:tc>
          <w:tcPr>
            <w:tcW w:w="6513" w:type="dxa"/>
          </w:tcPr>
          <w:p w14:paraId="613A7918" w14:textId="77777777" w:rsidR="00C3727E" w:rsidRDefault="00C3727E" w:rsidP="00E07077">
            <w:pPr>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No Observed Effect Level</w:t>
            </w:r>
          </w:p>
        </w:tc>
      </w:tr>
      <w:tr w:rsidR="00C3727E" w:rsidRPr="005B4130" w14:paraId="1602DB84" w14:textId="77777777" w:rsidTr="00E07077">
        <w:tc>
          <w:tcPr>
            <w:cnfStyle w:val="001000000000" w:firstRow="0" w:lastRow="0" w:firstColumn="1" w:lastColumn="0" w:oddVBand="0" w:evenVBand="0" w:oddHBand="0" w:evenHBand="0" w:firstRowFirstColumn="0" w:firstRowLastColumn="0" w:lastRowFirstColumn="0" w:lastRowLastColumn="0"/>
            <w:tcW w:w="2547" w:type="dxa"/>
          </w:tcPr>
          <w:p w14:paraId="2ED1D63F" w14:textId="77777777" w:rsidR="00C3727E" w:rsidRDefault="00C3727E" w:rsidP="00E07077">
            <w:pPr>
              <w:ind w:left="0"/>
              <w:rPr>
                <w:rFonts w:cs="Arial"/>
              </w:rPr>
            </w:pPr>
            <w:proofErr w:type="spellStart"/>
            <w:r>
              <w:rPr>
                <w:rFonts w:cs="Arial"/>
              </w:rPr>
              <w:t>PoD</w:t>
            </w:r>
            <w:proofErr w:type="spellEnd"/>
          </w:p>
        </w:tc>
        <w:tc>
          <w:tcPr>
            <w:tcW w:w="6513" w:type="dxa"/>
          </w:tcPr>
          <w:p w14:paraId="4314F4DF" w14:textId="77777777" w:rsidR="00C3727E" w:rsidRDefault="00C3727E" w:rsidP="00E07077">
            <w:pPr>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Point of Departure</w:t>
            </w:r>
          </w:p>
        </w:tc>
      </w:tr>
      <w:tr w:rsidR="00C3727E" w:rsidRPr="005B4130" w14:paraId="62C453C4" w14:textId="77777777" w:rsidTr="00E07077">
        <w:tc>
          <w:tcPr>
            <w:cnfStyle w:val="001000000000" w:firstRow="0" w:lastRow="0" w:firstColumn="1" w:lastColumn="0" w:oddVBand="0" w:evenVBand="0" w:oddHBand="0" w:evenHBand="0" w:firstRowFirstColumn="0" w:firstRowLastColumn="0" w:lastRowFirstColumn="0" w:lastRowLastColumn="0"/>
            <w:tcW w:w="2547" w:type="dxa"/>
          </w:tcPr>
          <w:p w14:paraId="06AC1BE4" w14:textId="77777777" w:rsidR="00C3727E" w:rsidRDefault="00C3727E" w:rsidP="00E07077">
            <w:pPr>
              <w:ind w:left="0"/>
              <w:rPr>
                <w:rFonts w:cs="Arial"/>
              </w:rPr>
            </w:pPr>
            <w:r w:rsidRPr="00D6696D">
              <w:rPr>
                <w:rFonts w:cs="Arial"/>
              </w:rPr>
              <w:t>SCCNFP</w:t>
            </w:r>
          </w:p>
        </w:tc>
        <w:tc>
          <w:tcPr>
            <w:tcW w:w="6513" w:type="dxa"/>
          </w:tcPr>
          <w:p w14:paraId="13B6B181" w14:textId="77777777" w:rsidR="00C3727E" w:rsidRDefault="00C3727E" w:rsidP="00E07077">
            <w:pPr>
              <w:ind w:left="0"/>
              <w:cnfStyle w:val="000000000000" w:firstRow="0" w:lastRow="0" w:firstColumn="0" w:lastColumn="0" w:oddVBand="0" w:evenVBand="0" w:oddHBand="0" w:evenHBand="0" w:firstRowFirstColumn="0" w:firstRowLastColumn="0" w:lastRowFirstColumn="0" w:lastRowLastColumn="0"/>
              <w:rPr>
                <w:rFonts w:cs="Arial"/>
              </w:rPr>
            </w:pPr>
            <w:r w:rsidRPr="00D6696D">
              <w:rPr>
                <w:rFonts w:cs="Arial"/>
              </w:rPr>
              <w:t xml:space="preserve">Scientific Committee on Cosmetic and Non-Food Products intended for Consumers </w:t>
            </w:r>
          </w:p>
        </w:tc>
      </w:tr>
      <w:tr w:rsidR="00C3727E" w:rsidRPr="00D6696D" w14:paraId="4C214A0A" w14:textId="77777777" w:rsidTr="00E07077">
        <w:tc>
          <w:tcPr>
            <w:cnfStyle w:val="001000000000" w:firstRow="0" w:lastRow="0" w:firstColumn="1" w:lastColumn="0" w:oddVBand="0" w:evenVBand="0" w:oddHBand="0" w:evenHBand="0" w:firstRowFirstColumn="0" w:firstRowLastColumn="0" w:lastRowFirstColumn="0" w:lastRowLastColumn="0"/>
            <w:tcW w:w="2547" w:type="dxa"/>
          </w:tcPr>
          <w:p w14:paraId="20CE5EFF" w14:textId="77777777" w:rsidR="00C3727E" w:rsidRDefault="00C3727E" w:rsidP="00E07077">
            <w:pPr>
              <w:ind w:left="0"/>
              <w:rPr>
                <w:rFonts w:cs="Arial"/>
              </w:rPr>
            </w:pPr>
            <w:r>
              <w:rPr>
                <w:rFonts w:cs="Arial"/>
              </w:rPr>
              <w:t>SCCS</w:t>
            </w:r>
          </w:p>
        </w:tc>
        <w:tc>
          <w:tcPr>
            <w:tcW w:w="6513" w:type="dxa"/>
          </w:tcPr>
          <w:p w14:paraId="281F197B" w14:textId="77777777" w:rsidR="00C3727E" w:rsidRDefault="00C3727E" w:rsidP="00E07077">
            <w:pPr>
              <w:ind w:left="0"/>
              <w:cnfStyle w:val="000000000000" w:firstRow="0" w:lastRow="0" w:firstColumn="0" w:lastColumn="0" w:oddVBand="0" w:evenVBand="0" w:oddHBand="0" w:evenHBand="0" w:firstRowFirstColumn="0" w:firstRowLastColumn="0" w:lastRowFirstColumn="0" w:lastRowLastColumn="0"/>
              <w:rPr>
                <w:rFonts w:cs="Arial"/>
              </w:rPr>
            </w:pPr>
            <w:r w:rsidRPr="00D6696D">
              <w:rPr>
                <w:rFonts w:cs="Arial"/>
              </w:rPr>
              <w:t xml:space="preserve">Scientific Committee on Consumer Safety </w:t>
            </w:r>
          </w:p>
        </w:tc>
      </w:tr>
      <w:tr w:rsidR="00C3727E" w:rsidRPr="00D6696D" w14:paraId="67D54A7F" w14:textId="77777777" w:rsidTr="00E07077">
        <w:tc>
          <w:tcPr>
            <w:cnfStyle w:val="001000000000" w:firstRow="0" w:lastRow="0" w:firstColumn="1" w:lastColumn="0" w:oddVBand="0" w:evenVBand="0" w:oddHBand="0" w:evenHBand="0" w:firstRowFirstColumn="0" w:firstRowLastColumn="0" w:lastRowFirstColumn="0" w:lastRowLastColumn="0"/>
            <w:tcW w:w="2547" w:type="dxa"/>
          </w:tcPr>
          <w:p w14:paraId="342250FA" w14:textId="77777777" w:rsidR="00C3727E" w:rsidRDefault="00C3727E" w:rsidP="00E07077">
            <w:pPr>
              <w:ind w:left="0"/>
              <w:rPr>
                <w:rFonts w:cs="Arial"/>
              </w:rPr>
            </w:pPr>
            <w:r>
              <w:rPr>
                <w:rFonts w:cs="Arial"/>
              </w:rPr>
              <w:t>SED</w:t>
            </w:r>
          </w:p>
        </w:tc>
        <w:tc>
          <w:tcPr>
            <w:tcW w:w="6513" w:type="dxa"/>
          </w:tcPr>
          <w:p w14:paraId="23895D84" w14:textId="77777777" w:rsidR="00C3727E" w:rsidRDefault="00C3727E" w:rsidP="00E07077">
            <w:pPr>
              <w:ind w:left="0"/>
              <w:cnfStyle w:val="000000000000" w:firstRow="0" w:lastRow="0" w:firstColumn="0" w:lastColumn="0" w:oddVBand="0" w:evenVBand="0" w:oddHBand="0" w:evenHBand="0" w:firstRowFirstColumn="0" w:firstRowLastColumn="0" w:lastRowFirstColumn="0" w:lastRowLastColumn="0"/>
              <w:rPr>
                <w:rFonts w:cs="Arial"/>
              </w:rPr>
            </w:pPr>
            <w:r w:rsidRPr="006C4A45">
              <w:rPr>
                <w:rFonts w:cs="Arial"/>
              </w:rPr>
              <w:t>Systemic Exposure Dose</w:t>
            </w:r>
          </w:p>
        </w:tc>
      </w:tr>
      <w:tr w:rsidR="00C3727E" w:rsidRPr="00D6696D" w14:paraId="149CE253" w14:textId="77777777" w:rsidTr="00E07077">
        <w:tc>
          <w:tcPr>
            <w:cnfStyle w:val="001000000000" w:firstRow="0" w:lastRow="0" w:firstColumn="1" w:lastColumn="0" w:oddVBand="0" w:evenVBand="0" w:oddHBand="0" w:evenHBand="0" w:firstRowFirstColumn="0" w:firstRowLastColumn="0" w:lastRowFirstColumn="0" w:lastRowLastColumn="0"/>
            <w:tcW w:w="2547" w:type="dxa"/>
          </w:tcPr>
          <w:p w14:paraId="7C97D727" w14:textId="77777777" w:rsidR="00C3727E" w:rsidRDefault="00C3727E" w:rsidP="00E07077">
            <w:pPr>
              <w:ind w:left="0"/>
              <w:rPr>
                <w:rFonts w:cs="Arial"/>
              </w:rPr>
            </w:pPr>
            <w:r>
              <w:rPr>
                <w:rFonts w:cs="Arial"/>
              </w:rPr>
              <w:t>SPF</w:t>
            </w:r>
          </w:p>
        </w:tc>
        <w:tc>
          <w:tcPr>
            <w:tcW w:w="6513" w:type="dxa"/>
          </w:tcPr>
          <w:p w14:paraId="6825FE62" w14:textId="77777777" w:rsidR="00C3727E" w:rsidRDefault="00C3727E" w:rsidP="00E07077">
            <w:pPr>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Sun Protection Factor</w:t>
            </w:r>
          </w:p>
        </w:tc>
      </w:tr>
      <w:tr w:rsidR="00C3727E" w:rsidRPr="005B4130" w14:paraId="448F83E8" w14:textId="77777777" w:rsidTr="00E07077">
        <w:tc>
          <w:tcPr>
            <w:cnfStyle w:val="001000000000" w:firstRow="0" w:lastRow="0" w:firstColumn="1" w:lastColumn="0" w:oddVBand="0" w:evenVBand="0" w:oddHBand="0" w:evenHBand="0" w:firstRowFirstColumn="0" w:firstRowLastColumn="0" w:lastRowFirstColumn="0" w:lastRowLastColumn="0"/>
            <w:tcW w:w="2547" w:type="dxa"/>
          </w:tcPr>
          <w:p w14:paraId="61A35321" w14:textId="77777777" w:rsidR="00C3727E" w:rsidRDefault="00C3727E" w:rsidP="00E07077">
            <w:pPr>
              <w:ind w:left="0"/>
              <w:rPr>
                <w:rFonts w:cs="Arial"/>
              </w:rPr>
            </w:pPr>
            <w:r>
              <w:rPr>
                <w:rFonts w:cs="Arial"/>
              </w:rPr>
              <w:t>SSA</w:t>
            </w:r>
          </w:p>
        </w:tc>
        <w:tc>
          <w:tcPr>
            <w:tcW w:w="6513" w:type="dxa"/>
          </w:tcPr>
          <w:p w14:paraId="51B9160B" w14:textId="77777777" w:rsidR="00C3727E" w:rsidRDefault="00C3727E" w:rsidP="00E07077">
            <w:pPr>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Skin Surface Area</w:t>
            </w:r>
          </w:p>
        </w:tc>
      </w:tr>
      <w:tr w:rsidR="00C3727E" w:rsidRPr="00D6696D" w14:paraId="11D14135" w14:textId="77777777" w:rsidTr="00E07077">
        <w:tc>
          <w:tcPr>
            <w:cnfStyle w:val="001000000000" w:firstRow="0" w:lastRow="0" w:firstColumn="1" w:lastColumn="0" w:oddVBand="0" w:evenVBand="0" w:oddHBand="0" w:evenHBand="0" w:firstRowFirstColumn="0" w:firstRowLastColumn="0" w:lastRowFirstColumn="0" w:lastRowLastColumn="0"/>
            <w:tcW w:w="2547" w:type="dxa"/>
          </w:tcPr>
          <w:p w14:paraId="50C421F0" w14:textId="77777777" w:rsidR="00C3727E" w:rsidRDefault="00C3727E" w:rsidP="00E07077">
            <w:pPr>
              <w:ind w:left="0"/>
              <w:rPr>
                <w:rFonts w:cs="Arial"/>
              </w:rPr>
            </w:pPr>
            <w:r>
              <w:rPr>
                <w:rFonts w:cs="Arial"/>
              </w:rPr>
              <w:t>Sunscreen Standard</w:t>
            </w:r>
          </w:p>
        </w:tc>
        <w:tc>
          <w:tcPr>
            <w:tcW w:w="6513" w:type="dxa"/>
          </w:tcPr>
          <w:p w14:paraId="0F56D90B" w14:textId="77777777" w:rsidR="00C3727E" w:rsidRDefault="00C3727E" w:rsidP="00E07077">
            <w:pPr>
              <w:ind w:left="0"/>
              <w:cnfStyle w:val="000000000000" w:firstRow="0" w:lastRow="0" w:firstColumn="0" w:lastColumn="0" w:oddVBand="0" w:evenVBand="0" w:oddHBand="0" w:evenHBand="0" w:firstRowFirstColumn="0" w:firstRowLastColumn="0" w:lastRowFirstColumn="0" w:lastRowLastColumn="0"/>
              <w:rPr>
                <w:rFonts w:cs="Arial"/>
              </w:rPr>
            </w:pPr>
            <w:bookmarkStart w:id="4" w:name="_Hlk132967692"/>
            <w:r w:rsidRPr="00CD437F">
              <w:rPr>
                <w:rFonts w:cs="Arial"/>
              </w:rPr>
              <w:t>Australian</w:t>
            </w:r>
            <w:r>
              <w:rPr>
                <w:rFonts w:cs="Arial"/>
              </w:rPr>
              <w:t>/</w:t>
            </w:r>
            <w:r w:rsidRPr="00CD437F">
              <w:rPr>
                <w:rFonts w:cs="Arial"/>
              </w:rPr>
              <w:t>New Zealand Standard</w:t>
            </w:r>
            <w:r>
              <w:rPr>
                <w:rFonts w:cs="Arial"/>
              </w:rPr>
              <w:t xml:space="preserve"> Sunscreen products -</w:t>
            </w:r>
            <w:r w:rsidRPr="00F637D4">
              <w:rPr>
                <w:rFonts w:cs="Arial"/>
              </w:rPr>
              <w:t xml:space="preserve"> Evaluation and classification</w:t>
            </w:r>
            <w:r>
              <w:rPr>
                <w:rFonts w:cs="Arial"/>
              </w:rPr>
              <w:t xml:space="preserve"> </w:t>
            </w:r>
            <w:hyperlink r:id="rId9" w:history="1">
              <w:r w:rsidRPr="009B26F9">
                <w:rPr>
                  <w:rFonts w:cs="Arial"/>
                </w:rPr>
                <w:t xml:space="preserve">AS/NZS 2604:2021 </w:t>
              </w:r>
              <w:proofErr w:type="spellStart"/>
              <w:r w:rsidRPr="009B26F9">
                <w:rPr>
                  <w:rFonts w:cs="Arial"/>
                </w:rPr>
                <w:t>Amd</w:t>
              </w:r>
              <w:proofErr w:type="spellEnd"/>
              <w:r w:rsidRPr="009B26F9">
                <w:rPr>
                  <w:rFonts w:cs="Arial"/>
                </w:rPr>
                <w:t xml:space="preserve"> 1:2022</w:t>
              </w:r>
            </w:hyperlink>
            <w:bookmarkEnd w:id="4"/>
          </w:p>
        </w:tc>
      </w:tr>
      <w:tr w:rsidR="00C3727E" w:rsidRPr="00D6696D" w14:paraId="4DD2FEA8" w14:textId="77777777" w:rsidTr="00E07077">
        <w:tc>
          <w:tcPr>
            <w:cnfStyle w:val="001000000000" w:firstRow="0" w:lastRow="0" w:firstColumn="1" w:lastColumn="0" w:oddVBand="0" w:evenVBand="0" w:oddHBand="0" w:evenHBand="0" w:firstRowFirstColumn="0" w:firstRowLastColumn="0" w:lastRowFirstColumn="0" w:lastRowLastColumn="0"/>
            <w:tcW w:w="2547" w:type="dxa"/>
          </w:tcPr>
          <w:p w14:paraId="23BF494D" w14:textId="77777777" w:rsidR="00C3727E" w:rsidRDefault="00C3727E" w:rsidP="00E07077">
            <w:pPr>
              <w:ind w:left="0"/>
              <w:rPr>
                <w:rFonts w:cs="Arial"/>
              </w:rPr>
            </w:pPr>
            <w:r>
              <w:rPr>
                <w:rFonts w:cs="Arial"/>
              </w:rPr>
              <w:t>TGA</w:t>
            </w:r>
          </w:p>
        </w:tc>
        <w:tc>
          <w:tcPr>
            <w:tcW w:w="6513" w:type="dxa"/>
          </w:tcPr>
          <w:p w14:paraId="7C6BC78A" w14:textId="77777777" w:rsidR="00C3727E" w:rsidRDefault="00C3727E" w:rsidP="00E07077">
            <w:pPr>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Therapeutic Goods Administration</w:t>
            </w:r>
          </w:p>
        </w:tc>
      </w:tr>
      <w:tr w:rsidR="00C3727E" w:rsidRPr="005B4130" w14:paraId="7EB05C74" w14:textId="77777777" w:rsidTr="00E07077">
        <w:tc>
          <w:tcPr>
            <w:cnfStyle w:val="001000000000" w:firstRow="0" w:lastRow="0" w:firstColumn="1" w:lastColumn="0" w:oddVBand="0" w:evenVBand="0" w:oddHBand="0" w:evenHBand="0" w:firstRowFirstColumn="0" w:firstRowLastColumn="0" w:lastRowFirstColumn="0" w:lastRowLastColumn="0"/>
            <w:tcW w:w="2547" w:type="dxa"/>
          </w:tcPr>
          <w:p w14:paraId="328040E2" w14:textId="77777777" w:rsidR="00C3727E" w:rsidRPr="00D6696D" w:rsidRDefault="00C3727E" w:rsidP="00E07077">
            <w:pPr>
              <w:ind w:left="0"/>
              <w:rPr>
                <w:rFonts w:cs="Arial"/>
              </w:rPr>
            </w:pPr>
            <w:r>
              <w:rPr>
                <w:rFonts w:cs="Arial"/>
              </w:rPr>
              <w:t>Therapeutic sunscreen</w:t>
            </w:r>
          </w:p>
        </w:tc>
        <w:tc>
          <w:tcPr>
            <w:tcW w:w="6513" w:type="dxa"/>
          </w:tcPr>
          <w:p w14:paraId="7D45ED5F" w14:textId="6BBC960C" w:rsidR="00C3727E" w:rsidRPr="00D6696D" w:rsidRDefault="00C3727E" w:rsidP="00E07077">
            <w:pPr>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Primary and some secondary sunscreens regulated under the </w:t>
            </w:r>
            <w:r w:rsidRPr="00BC35C9">
              <w:rPr>
                <w:rFonts w:cs="Arial"/>
                <w:i/>
                <w:iCs/>
              </w:rPr>
              <w:t xml:space="preserve">Therapeutic Goods Act 1989 </w:t>
            </w:r>
          </w:p>
        </w:tc>
      </w:tr>
      <w:tr w:rsidR="00C3727E" w:rsidRPr="005B4130" w14:paraId="63885C2F" w14:textId="77777777" w:rsidTr="00E07077">
        <w:tc>
          <w:tcPr>
            <w:cnfStyle w:val="001000000000" w:firstRow="0" w:lastRow="0" w:firstColumn="1" w:lastColumn="0" w:oddVBand="0" w:evenVBand="0" w:oddHBand="0" w:evenHBand="0" w:firstRowFirstColumn="0" w:firstRowLastColumn="0" w:lastRowFirstColumn="0" w:lastRowLastColumn="0"/>
            <w:tcW w:w="2547" w:type="dxa"/>
          </w:tcPr>
          <w:p w14:paraId="4ED7D396" w14:textId="77777777" w:rsidR="00C3727E" w:rsidRDefault="00C3727E" w:rsidP="00E07077">
            <w:pPr>
              <w:ind w:left="0"/>
              <w:rPr>
                <w:rFonts w:cs="Arial"/>
              </w:rPr>
            </w:pPr>
            <w:r>
              <w:rPr>
                <w:rFonts w:cs="Arial"/>
              </w:rPr>
              <w:t>UF</w:t>
            </w:r>
          </w:p>
        </w:tc>
        <w:tc>
          <w:tcPr>
            <w:tcW w:w="6513" w:type="dxa"/>
          </w:tcPr>
          <w:p w14:paraId="48DD0EAA" w14:textId="77777777" w:rsidR="00C3727E" w:rsidRDefault="00C3727E" w:rsidP="00E07077">
            <w:pPr>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Uncertainty Factor</w:t>
            </w:r>
          </w:p>
        </w:tc>
      </w:tr>
      <w:tr w:rsidR="00C3727E" w:rsidRPr="00D6696D" w14:paraId="4115BF4B" w14:textId="77777777" w:rsidTr="00E07077">
        <w:tc>
          <w:tcPr>
            <w:cnfStyle w:val="001000000000" w:firstRow="0" w:lastRow="0" w:firstColumn="1" w:lastColumn="0" w:oddVBand="0" w:evenVBand="0" w:oddHBand="0" w:evenHBand="0" w:firstRowFirstColumn="0" w:firstRowLastColumn="0" w:lastRowFirstColumn="0" w:lastRowLastColumn="0"/>
            <w:tcW w:w="2547" w:type="dxa"/>
          </w:tcPr>
          <w:p w14:paraId="01455B68" w14:textId="77777777" w:rsidR="00C3727E" w:rsidRDefault="00C3727E" w:rsidP="00E07077">
            <w:pPr>
              <w:ind w:left="0"/>
              <w:rPr>
                <w:rFonts w:cs="Arial"/>
              </w:rPr>
            </w:pPr>
            <w:r>
              <w:rPr>
                <w:rFonts w:cs="Arial"/>
              </w:rPr>
              <w:t>UV</w:t>
            </w:r>
          </w:p>
        </w:tc>
        <w:tc>
          <w:tcPr>
            <w:tcW w:w="6513" w:type="dxa"/>
          </w:tcPr>
          <w:p w14:paraId="5CD06093" w14:textId="77777777" w:rsidR="00C3727E" w:rsidRDefault="00C3727E" w:rsidP="00E07077">
            <w:pPr>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Ultraviolet</w:t>
            </w:r>
          </w:p>
        </w:tc>
      </w:tr>
    </w:tbl>
    <w:p w14:paraId="1B6FC397" w14:textId="2117E4A9" w:rsidR="00EE4414" w:rsidRDefault="00EE4414" w:rsidP="00C3727E"/>
    <w:p w14:paraId="2CABF9AB" w14:textId="77777777" w:rsidR="00EE4414" w:rsidRDefault="00EE4414">
      <w:r>
        <w:br w:type="page"/>
      </w:r>
    </w:p>
    <w:p w14:paraId="24EDB205" w14:textId="77777777" w:rsidR="009C7A11" w:rsidRDefault="009C7A11" w:rsidP="009C7A11">
      <w:pPr>
        <w:pStyle w:val="Heading2"/>
      </w:pPr>
      <w:bookmarkStart w:id="5" w:name="_Toc190944889"/>
      <w:bookmarkStart w:id="6" w:name="_Toc199254926"/>
      <w:bookmarkStart w:id="7" w:name="_Toc323739590"/>
      <w:bookmarkStart w:id="8" w:name="_Toc356305217"/>
      <w:r>
        <w:lastRenderedPageBreak/>
        <w:t>Executive summary</w:t>
      </w:r>
      <w:bookmarkEnd w:id="5"/>
      <w:bookmarkEnd w:id="6"/>
    </w:p>
    <w:p w14:paraId="10BEF009" w14:textId="77777777" w:rsidR="00F479D8" w:rsidRPr="00946B5A" w:rsidRDefault="00F479D8" w:rsidP="00F479D8">
      <w:pPr>
        <w:spacing w:line="240" w:lineRule="auto"/>
        <w:rPr>
          <w:rFonts w:cs="Arial"/>
        </w:rPr>
      </w:pPr>
      <w:r w:rsidRPr="00946B5A">
        <w:rPr>
          <w:rFonts w:cs="Arial"/>
        </w:rPr>
        <w:t xml:space="preserve">The TGA conducted a safety review of 7 active ingredients in therapeutic sunscreens: </w:t>
      </w:r>
    </w:p>
    <w:p w14:paraId="080B3CAD" w14:textId="77777777" w:rsidR="00F479D8" w:rsidRPr="00946B5A" w:rsidRDefault="00F479D8" w:rsidP="00C47348">
      <w:pPr>
        <w:pStyle w:val="ListParagraph"/>
      </w:pPr>
      <w:r w:rsidRPr="00946B5A">
        <w:t xml:space="preserve">butyl </w:t>
      </w:r>
      <w:proofErr w:type="spellStart"/>
      <w:r w:rsidRPr="00946B5A">
        <w:t>methoxydibenzoylmethane</w:t>
      </w:r>
      <w:proofErr w:type="spellEnd"/>
      <w:r w:rsidRPr="00946B5A">
        <w:t xml:space="preserve"> (also known as ‘avobenzone’)</w:t>
      </w:r>
    </w:p>
    <w:p w14:paraId="32235D30" w14:textId="77777777" w:rsidR="00F479D8" w:rsidRPr="00946B5A" w:rsidRDefault="00F479D8" w:rsidP="00C47348">
      <w:pPr>
        <w:pStyle w:val="ListParagraph"/>
      </w:pPr>
      <w:proofErr w:type="spellStart"/>
      <w:r w:rsidRPr="00946B5A">
        <w:t>ethylhexyl</w:t>
      </w:r>
      <w:proofErr w:type="spellEnd"/>
      <w:r w:rsidRPr="00946B5A">
        <w:t xml:space="preserve"> </w:t>
      </w:r>
      <w:proofErr w:type="spellStart"/>
      <w:r w:rsidRPr="00946B5A">
        <w:t>triazone</w:t>
      </w:r>
      <w:proofErr w:type="spellEnd"/>
    </w:p>
    <w:p w14:paraId="11BAD7F3" w14:textId="77777777" w:rsidR="00F479D8" w:rsidRPr="00946B5A" w:rsidRDefault="00F479D8" w:rsidP="00C47348">
      <w:pPr>
        <w:pStyle w:val="ListParagraph"/>
      </w:pPr>
      <w:proofErr w:type="spellStart"/>
      <w:r w:rsidRPr="00946B5A">
        <w:t>homosalate</w:t>
      </w:r>
      <w:proofErr w:type="spellEnd"/>
    </w:p>
    <w:p w14:paraId="47FB5321" w14:textId="77777777" w:rsidR="00F479D8" w:rsidRPr="00946B5A" w:rsidRDefault="00F479D8" w:rsidP="00C47348">
      <w:pPr>
        <w:pStyle w:val="ListParagraph"/>
      </w:pPr>
      <w:r w:rsidRPr="00946B5A">
        <w:t>octocrylene</w:t>
      </w:r>
    </w:p>
    <w:p w14:paraId="0FB0E844" w14:textId="77777777" w:rsidR="00F479D8" w:rsidRPr="00946B5A" w:rsidRDefault="00F479D8" w:rsidP="00C47348">
      <w:pPr>
        <w:pStyle w:val="ListParagraph"/>
      </w:pPr>
      <w:r w:rsidRPr="00946B5A">
        <w:t>octyl methoxycinnamate (also known as ‘</w:t>
      </w:r>
      <w:proofErr w:type="spellStart"/>
      <w:r w:rsidRPr="00946B5A">
        <w:t>octinoxate</w:t>
      </w:r>
      <w:proofErr w:type="spellEnd"/>
      <w:r w:rsidRPr="00946B5A">
        <w:t>’)</w:t>
      </w:r>
    </w:p>
    <w:p w14:paraId="10CB32ED" w14:textId="77777777" w:rsidR="00F479D8" w:rsidRPr="00946B5A" w:rsidRDefault="00F479D8" w:rsidP="00C47348">
      <w:pPr>
        <w:pStyle w:val="ListParagraph"/>
      </w:pPr>
      <w:r w:rsidRPr="00946B5A">
        <w:t>oxybenzone</w:t>
      </w:r>
    </w:p>
    <w:p w14:paraId="5E6D66BE" w14:textId="15F61516" w:rsidR="00F479D8" w:rsidRDefault="00F479D8" w:rsidP="00C47348">
      <w:pPr>
        <w:pStyle w:val="ListParagraph"/>
      </w:pPr>
      <w:proofErr w:type="spellStart"/>
      <w:r w:rsidRPr="00946B5A">
        <w:t>phenylbenzimidazole</w:t>
      </w:r>
      <w:proofErr w:type="spellEnd"/>
      <w:r w:rsidRPr="00946B5A">
        <w:t xml:space="preserve"> sulfonic aci</w:t>
      </w:r>
      <w:r w:rsidR="00946B5A">
        <w:t>d</w:t>
      </w:r>
    </w:p>
    <w:p w14:paraId="174C44EE" w14:textId="77777777" w:rsidR="007E1E01" w:rsidRPr="00946B5A" w:rsidRDefault="007E1E01" w:rsidP="000874CD">
      <w:pPr>
        <w:ind w:left="357"/>
      </w:pPr>
    </w:p>
    <w:p w14:paraId="260B6D27" w14:textId="77777777" w:rsidR="00F479D8" w:rsidRPr="00946B5A" w:rsidRDefault="00F479D8" w:rsidP="007E1E01">
      <w:r w:rsidRPr="00946B5A">
        <w:t xml:space="preserve">This safety review was dependent on the national and international safety assessment reports and peer reviewed publications investigating the safety and </w:t>
      </w:r>
      <w:proofErr w:type="spellStart"/>
      <w:r w:rsidRPr="00946B5A">
        <w:t>toxicokinetics</w:t>
      </w:r>
      <w:proofErr w:type="spellEnd"/>
      <w:r w:rsidRPr="00946B5A">
        <w:t xml:space="preserve"> of the ingredients, where available. These ingredients were selected for priority review considering the status of the availability of nonclinical safety data to TGA and their reported use in higher number of sunscreen products marketed in Australia in addition to the safety signals reported overseas. </w:t>
      </w:r>
    </w:p>
    <w:p w14:paraId="1F673AC0" w14:textId="77777777" w:rsidR="00F479D8" w:rsidRPr="00946B5A" w:rsidRDefault="00F479D8" w:rsidP="00F479D8">
      <w:pPr>
        <w:spacing w:line="240" w:lineRule="auto"/>
        <w:rPr>
          <w:rFonts w:cs="Arial"/>
        </w:rPr>
      </w:pPr>
      <w:r w:rsidRPr="00946B5A">
        <w:rPr>
          <w:rFonts w:cs="Arial"/>
        </w:rPr>
        <w:t xml:space="preserve">Based on available scientific data, the following active ingredients </w:t>
      </w:r>
      <w:proofErr w:type="gramStart"/>
      <w:r w:rsidRPr="00946B5A">
        <w:rPr>
          <w:rFonts w:cs="Arial"/>
        </w:rPr>
        <w:t>were considered to be</w:t>
      </w:r>
      <w:proofErr w:type="gramEnd"/>
      <w:r w:rsidRPr="00946B5A">
        <w:rPr>
          <w:rFonts w:cs="Arial"/>
        </w:rPr>
        <w:t xml:space="preserve"> low risk and appropriate for use in therapeutic sunscreens:</w:t>
      </w:r>
    </w:p>
    <w:p w14:paraId="56459976" w14:textId="77777777" w:rsidR="00F479D8" w:rsidRPr="00946B5A" w:rsidRDefault="00F479D8" w:rsidP="00C47348">
      <w:pPr>
        <w:pStyle w:val="ListParagraph"/>
      </w:pPr>
      <w:r w:rsidRPr="00946B5A">
        <w:t xml:space="preserve">butyl </w:t>
      </w:r>
      <w:proofErr w:type="spellStart"/>
      <w:r w:rsidRPr="00946B5A">
        <w:t>methoxydibenzoylmethane</w:t>
      </w:r>
      <w:proofErr w:type="spellEnd"/>
      <w:r w:rsidRPr="00946B5A">
        <w:t xml:space="preserve"> </w:t>
      </w:r>
    </w:p>
    <w:p w14:paraId="471D292C" w14:textId="77777777" w:rsidR="00F479D8" w:rsidRPr="00946B5A" w:rsidRDefault="00F479D8" w:rsidP="00C47348">
      <w:pPr>
        <w:pStyle w:val="ListParagraph"/>
      </w:pPr>
      <w:proofErr w:type="spellStart"/>
      <w:r w:rsidRPr="00946B5A">
        <w:t>ethylhexyl</w:t>
      </w:r>
      <w:proofErr w:type="spellEnd"/>
      <w:r w:rsidRPr="00946B5A">
        <w:t xml:space="preserve"> </w:t>
      </w:r>
      <w:proofErr w:type="spellStart"/>
      <w:r w:rsidRPr="00946B5A">
        <w:t>triazone</w:t>
      </w:r>
      <w:proofErr w:type="spellEnd"/>
    </w:p>
    <w:p w14:paraId="44C146A4" w14:textId="77777777" w:rsidR="00F479D8" w:rsidRPr="00946B5A" w:rsidRDefault="00F479D8" w:rsidP="00C47348">
      <w:pPr>
        <w:pStyle w:val="ListParagraph"/>
      </w:pPr>
      <w:r w:rsidRPr="00946B5A">
        <w:t>octocrylene</w:t>
      </w:r>
    </w:p>
    <w:p w14:paraId="45BFCA42" w14:textId="77777777" w:rsidR="00F479D8" w:rsidRPr="00946B5A" w:rsidRDefault="00F479D8" w:rsidP="00C47348">
      <w:pPr>
        <w:pStyle w:val="ListParagraph"/>
      </w:pPr>
      <w:r w:rsidRPr="00946B5A">
        <w:t>octyl methoxycinnamate</w:t>
      </w:r>
    </w:p>
    <w:p w14:paraId="69BF2728" w14:textId="77777777" w:rsidR="00F479D8" w:rsidRPr="00946B5A" w:rsidRDefault="00F479D8" w:rsidP="00C47348">
      <w:pPr>
        <w:pStyle w:val="ListParagraph"/>
      </w:pPr>
      <w:proofErr w:type="spellStart"/>
      <w:r w:rsidRPr="00946B5A">
        <w:t>phenylbenzimidazole</w:t>
      </w:r>
      <w:proofErr w:type="spellEnd"/>
      <w:r w:rsidRPr="00946B5A">
        <w:t xml:space="preserve"> sulfonic acid.</w:t>
      </w:r>
    </w:p>
    <w:p w14:paraId="654E19EC" w14:textId="77777777" w:rsidR="00F479D8" w:rsidRPr="00946B5A" w:rsidRDefault="00F479D8" w:rsidP="00F479D8">
      <w:pPr>
        <w:rPr>
          <w:rFonts w:cs="Arial"/>
        </w:rPr>
      </w:pPr>
      <w:r w:rsidRPr="00946B5A">
        <w:rPr>
          <w:rFonts w:cs="Arial"/>
        </w:rPr>
        <w:t xml:space="preserve">However, based on the data considered in this safety review, the TGA recommends regulatory controls for </w:t>
      </w:r>
      <w:proofErr w:type="spellStart"/>
      <w:r w:rsidRPr="00946B5A">
        <w:rPr>
          <w:rFonts w:cs="Arial"/>
        </w:rPr>
        <w:t>homosalate</w:t>
      </w:r>
      <w:proofErr w:type="spellEnd"/>
      <w:r w:rsidRPr="00946B5A">
        <w:rPr>
          <w:rFonts w:cs="Arial"/>
        </w:rPr>
        <w:t xml:space="preserve"> and oxybenzone to restrict their permitted concentrations and use in therapeutic sunscreens. </w:t>
      </w:r>
    </w:p>
    <w:p w14:paraId="00455E43" w14:textId="77777777" w:rsidR="00F479D8" w:rsidRPr="00946B5A" w:rsidRDefault="00F479D8" w:rsidP="00F479D8">
      <w:pPr>
        <w:spacing w:line="240" w:lineRule="auto"/>
        <w:rPr>
          <w:rFonts w:cs="Arial"/>
        </w:rPr>
      </w:pPr>
      <w:r w:rsidRPr="00946B5A">
        <w:rPr>
          <w:rFonts w:cs="Arial"/>
        </w:rPr>
        <w:t xml:space="preserve">The two main issues considered in this safety review were the evidence for the ability of these ingredients to penetrate the skin to reach viable cells systemically and the potential toxicity exerted by them. </w:t>
      </w:r>
    </w:p>
    <w:p w14:paraId="003DD68F" w14:textId="77777777" w:rsidR="00F479D8" w:rsidRPr="00946B5A" w:rsidRDefault="00F479D8" w:rsidP="00F479D8">
      <w:pPr>
        <w:spacing w:line="240" w:lineRule="auto"/>
        <w:rPr>
          <w:rFonts w:cs="Arial"/>
        </w:rPr>
      </w:pPr>
      <w:r w:rsidRPr="00946B5A">
        <w:rPr>
          <w:rFonts w:cs="Arial"/>
        </w:rPr>
        <w:t xml:space="preserve">Based on the data available for these ingredients, a Margin of Safety (MoS) was determined for each of the ingredients using the Australian Sunscreen Exposure Model (ASEM) which underwent public consultation in 2024. A MoS of 100 or more </w:t>
      </w:r>
      <w:proofErr w:type="gramStart"/>
      <w:r w:rsidRPr="00946B5A">
        <w:rPr>
          <w:rFonts w:cs="Arial"/>
        </w:rPr>
        <w:t>is considered to be</w:t>
      </w:r>
      <w:proofErr w:type="gramEnd"/>
      <w:r w:rsidRPr="00946B5A">
        <w:rPr>
          <w:rFonts w:cs="Arial"/>
        </w:rPr>
        <w:t xml:space="preserve"> satisfactory for controlling for the risks to human health and safety from long-term use of an ingredient by the Australian population. The MoS was calculated based on the current maximum permitted concentrations in therapeutic sunscreens (which are regulated as listed medicines). </w:t>
      </w:r>
    </w:p>
    <w:p w14:paraId="5F5CD17D" w14:textId="77777777" w:rsidR="00F479D8" w:rsidRPr="00946B5A" w:rsidRDefault="00F479D8" w:rsidP="00F479D8">
      <w:pPr>
        <w:spacing w:line="240" w:lineRule="auto"/>
        <w:rPr>
          <w:rFonts w:cs="Arial"/>
        </w:rPr>
      </w:pPr>
      <w:r w:rsidRPr="00946B5A">
        <w:rPr>
          <w:rFonts w:cs="Arial"/>
        </w:rPr>
        <w:t>However, it is important to note that the concentrations of these actives in products can be less than the maximum permitted amounts; and that some products contain a combination of the active ingredients.</w:t>
      </w:r>
    </w:p>
    <w:p w14:paraId="06DD90B4" w14:textId="77777777" w:rsidR="00F479D8" w:rsidRPr="00946B5A" w:rsidRDefault="00F479D8" w:rsidP="00F479D8">
      <w:pPr>
        <w:spacing w:line="240" w:lineRule="auto"/>
        <w:rPr>
          <w:rFonts w:cs="Arial"/>
        </w:rPr>
      </w:pPr>
      <w:r w:rsidRPr="00946B5A">
        <w:rPr>
          <w:rFonts w:cs="Arial"/>
        </w:rPr>
        <w:t xml:space="preserve">The ASEM has been used to calculate the highest estimated average daily sunscreen exposure modelled to account for use of therapeutic sunscreens applied long-term to the face and body by children and adults. The MoS for butyl </w:t>
      </w:r>
      <w:proofErr w:type="spellStart"/>
      <w:r w:rsidRPr="00946B5A">
        <w:rPr>
          <w:rFonts w:cs="Arial"/>
        </w:rPr>
        <w:t>methoxydibenzoylmethane</w:t>
      </w:r>
      <w:proofErr w:type="spellEnd"/>
      <w:r w:rsidRPr="00946B5A">
        <w:rPr>
          <w:rFonts w:cs="Arial"/>
        </w:rPr>
        <w:t xml:space="preserve">, </w:t>
      </w:r>
      <w:proofErr w:type="spellStart"/>
      <w:r w:rsidRPr="00946B5A">
        <w:rPr>
          <w:rFonts w:cs="Arial"/>
        </w:rPr>
        <w:t>ethylhexyl</w:t>
      </w:r>
      <w:proofErr w:type="spellEnd"/>
      <w:r w:rsidRPr="00946B5A">
        <w:rPr>
          <w:rFonts w:cs="Arial"/>
        </w:rPr>
        <w:t xml:space="preserve"> </w:t>
      </w:r>
      <w:proofErr w:type="spellStart"/>
      <w:r w:rsidRPr="00946B5A">
        <w:rPr>
          <w:rFonts w:cs="Arial"/>
        </w:rPr>
        <w:t>triazone</w:t>
      </w:r>
      <w:proofErr w:type="spellEnd"/>
      <w:r w:rsidRPr="00946B5A">
        <w:rPr>
          <w:rFonts w:cs="Arial"/>
        </w:rPr>
        <w:t>, octocrylene, octyl methoxycinnamate</w:t>
      </w:r>
      <w:r w:rsidRPr="00946B5A" w:rsidDel="007936A5">
        <w:rPr>
          <w:rFonts w:cs="Arial"/>
        </w:rPr>
        <w:t xml:space="preserve"> </w:t>
      </w:r>
      <w:r w:rsidRPr="00946B5A">
        <w:rPr>
          <w:rFonts w:cs="Arial"/>
        </w:rPr>
        <w:t xml:space="preserve">and </w:t>
      </w:r>
      <w:proofErr w:type="spellStart"/>
      <w:r w:rsidRPr="00946B5A">
        <w:rPr>
          <w:rFonts w:cs="Arial"/>
        </w:rPr>
        <w:t>phenylbenzimidazole</w:t>
      </w:r>
      <w:proofErr w:type="spellEnd"/>
      <w:r w:rsidRPr="00946B5A">
        <w:rPr>
          <w:rFonts w:cs="Arial"/>
        </w:rPr>
        <w:t xml:space="preserve"> sulfonic acid were above 100. These ingredients are unlikely to cause any significant systemic toxicity and are therefore considered low risk when used in therapeutic sunscreens.  </w:t>
      </w:r>
    </w:p>
    <w:p w14:paraId="7D04F140" w14:textId="77777777" w:rsidR="00F479D8" w:rsidRPr="00946B5A" w:rsidRDefault="00F479D8" w:rsidP="00F479D8">
      <w:pPr>
        <w:spacing w:line="240" w:lineRule="auto"/>
        <w:rPr>
          <w:rFonts w:cs="Arial"/>
        </w:rPr>
      </w:pPr>
      <w:r w:rsidRPr="00946B5A">
        <w:rPr>
          <w:rFonts w:cs="Arial"/>
        </w:rPr>
        <w:t xml:space="preserve">In the case of </w:t>
      </w:r>
      <w:proofErr w:type="spellStart"/>
      <w:r w:rsidRPr="00946B5A">
        <w:rPr>
          <w:rFonts w:cs="Arial"/>
        </w:rPr>
        <w:t>homosalate</w:t>
      </w:r>
      <w:proofErr w:type="spellEnd"/>
      <w:r w:rsidRPr="00946B5A">
        <w:rPr>
          <w:rFonts w:cs="Arial"/>
        </w:rPr>
        <w:t xml:space="preserve"> and oxybenzone, the MoS using the highest estimated sunscreen exposure for application of a general sunscreen to the body, at the maximum permitted concentration, was less than 100. Hence, the ASEM was utilised to estimate alternative exposures based on specific parts of the body e.g. head, face and/or hands. In this case, the MoS was more than 100 and considered low-risk for long-term use when limited to the face and hands at concentrations between 11.4% and 2.7% </w:t>
      </w:r>
      <w:proofErr w:type="spellStart"/>
      <w:r w:rsidRPr="00946B5A">
        <w:rPr>
          <w:rFonts w:cs="Arial"/>
        </w:rPr>
        <w:t>homosalate</w:t>
      </w:r>
      <w:proofErr w:type="spellEnd"/>
      <w:r w:rsidRPr="00946B5A">
        <w:rPr>
          <w:rFonts w:cs="Arial"/>
        </w:rPr>
        <w:t xml:space="preserve">, and 9.8% to 10 % for oxybenzone, depending on the type of product and the directions for use (e.g. limited to face-only use). </w:t>
      </w:r>
    </w:p>
    <w:p w14:paraId="18177C96" w14:textId="77777777" w:rsidR="00BA4549" w:rsidRDefault="00BA4549">
      <w:pPr>
        <w:rPr>
          <w:rFonts w:cs="Arial"/>
        </w:rPr>
      </w:pPr>
      <w:r>
        <w:rPr>
          <w:rFonts w:cs="Arial"/>
        </w:rPr>
        <w:br w:type="page"/>
      </w:r>
    </w:p>
    <w:p w14:paraId="41A8165E" w14:textId="76E05B32" w:rsidR="00F479D8" w:rsidRPr="00946B5A" w:rsidRDefault="00F479D8" w:rsidP="00F479D8">
      <w:pPr>
        <w:spacing w:line="240" w:lineRule="auto"/>
        <w:rPr>
          <w:rFonts w:cs="Arial"/>
        </w:rPr>
      </w:pPr>
      <w:r w:rsidRPr="00946B5A">
        <w:rPr>
          <w:rFonts w:cs="Arial"/>
        </w:rPr>
        <w:lastRenderedPageBreak/>
        <w:t>The limitations of this review are:</w:t>
      </w:r>
    </w:p>
    <w:p w14:paraId="686EE033" w14:textId="77777777" w:rsidR="00F479D8" w:rsidRPr="00946B5A" w:rsidRDefault="00F479D8" w:rsidP="000874CD">
      <w:pPr>
        <w:pStyle w:val="ListParagraph"/>
        <w:numPr>
          <w:ilvl w:val="0"/>
          <w:numId w:val="15"/>
        </w:numPr>
      </w:pPr>
      <w:r w:rsidRPr="00946B5A">
        <w:t xml:space="preserve">The toxicological endpoints, (NOAELs), were collected from published international safety assessment reports and scientific literature. As full data sets, including all raw study data, were not available for independent corroboration of the findings from these reports and literature, this review was dependent on the veracity of the details provided in those reports and literature. </w:t>
      </w:r>
    </w:p>
    <w:p w14:paraId="009BEC62" w14:textId="77777777" w:rsidR="00F479D8" w:rsidRPr="00946B5A" w:rsidRDefault="00F479D8" w:rsidP="000874CD">
      <w:pPr>
        <w:pStyle w:val="ListParagraph"/>
        <w:numPr>
          <w:ilvl w:val="0"/>
          <w:numId w:val="15"/>
        </w:numPr>
      </w:pPr>
      <w:r w:rsidRPr="00946B5A">
        <w:t>Additional studies would be required to fully evaluate the pharmacokinetics of the active ingredients.</w:t>
      </w:r>
    </w:p>
    <w:p w14:paraId="78C815A2" w14:textId="77777777" w:rsidR="00F479D8" w:rsidRPr="00946B5A" w:rsidRDefault="00F479D8" w:rsidP="000874CD">
      <w:pPr>
        <w:pStyle w:val="ListParagraph"/>
        <w:numPr>
          <w:ilvl w:val="0"/>
          <w:numId w:val="15"/>
        </w:numPr>
      </w:pPr>
      <w:r w:rsidRPr="00946B5A">
        <w:t xml:space="preserve">The available information on butyl </w:t>
      </w:r>
      <w:proofErr w:type="spellStart"/>
      <w:r w:rsidRPr="00946B5A">
        <w:t>methoxydibenzoylmethane</w:t>
      </w:r>
      <w:proofErr w:type="spellEnd"/>
      <w:r w:rsidRPr="00946B5A">
        <w:t xml:space="preserve">, </w:t>
      </w:r>
      <w:proofErr w:type="spellStart"/>
      <w:r w:rsidRPr="00946B5A">
        <w:t>homosalate</w:t>
      </w:r>
      <w:proofErr w:type="spellEnd"/>
      <w:r w:rsidRPr="00946B5A">
        <w:t>, octocrylene, octyl methoxycinnamate</w:t>
      </w:r>
      <w:r w:rsidRPr="00946B5A" w:rsidDel="007936A5">
        <w:t xml:space="preserve"> </w:t>
      </w:r>
      <w:r w:rsidRPr="00946B5A">
        <w:t xml:space="preserve">and oxybenzone indicate potential endocrine effects, however, the data are not adequate to derive a conclusion as to their causality in humans. Further data on the endocrine modifying potential of these chemicals are warranted. </w:t>
      </w:r>
    </w:p>
    <w:p w14:paraId="2EF2E43C" w14:textId="77777777" w:rsidR="00F479D8" w:rsidRPr="00946B5A" w:rsidRDefault="00F479D8" w:rsidP="000874CD">
      <w:pPr>
        <w:pStyle w:val="ListParagraph"/>
        <w:numPr>
          <w:ilvl w:val="0"/>
          <w:numId w:val="15"/>
        </w:numPr>
      </w:pPr>
      <w:r w:rsidRPr="00946B5A">
        <w:t>Consumer products other than sunscreens that contain the same active ingredients were not considered in this review.</w:t>
      </w:r>
    </w:p>
    <w:p w14:paraId="372AA4E5" w14:textId="77777777" w:rsidR="00F479D8" w:rsidRPr="00946B5A" w:rsidRDefault="00F479D8" w:rsidP="000874CD">
      <w:pPr>
        <w:pStyle w:val="ListParagraph"/>
        <w:numPr>
          <w:ilvl w:val="0"/>
          <w:numId w:val="15"/>
        </w:numPr>
      </w:pPr>
      <w:r w:rsidRPr="00946B5A">
        <w:t>The exposure to metabolites of these ingredients or impurities present in these ingredients has not been considered in this review.</w:t>
      </w:r>
    </w:p>
    <w:p w14:paraId="7A04A986" w14:textId="77777777" w:rsidR="00F479D8" w:rsidRPr="00946B5A" w:rsidRDefault="00F479D8" w:rsidP="000874CD">
      <w:pPr>
        <w:ind w:left="1440"/>
      </w:pPr>
    </w:p>
    <w:p w14:paraId="1AC76845" w14:textId="77777777" w:rsidR="005F6106" w:rsidRDefault="005F6106">
      <w:pPr>
        <w:rPr>
          <w:rFonts w:eastAsia="Times New Roman" w:cs="Times New Roman"/>
          <w:b/>
          <w:bCs/>
          <w:color w:val="001871"/>
          <w:sz w:val="38"/>
          <w:szCs w:val="38"/>
        </w:rPr>
      </w:pPr>
      <w:bookmarkStart w:id="9" w:name="_Toc190944890"/>
      <w:r>
        <w:br w:type="page"/>
      </w:r>
    </w:p>
    <w:p w14:paraId="7CDB7778" w14:textId="2EA8BF80" w:rsidR="00BB484E" w:rsidRDefault="00BB484E" w:rsidP="00BB484E">
      <w:pPr>
        <w:pStyle w:val="Heading2"/>
      </w:pPr>
      <w:bookmarkStart w:id="10" w:name="_Toc199254927"/>
      <w:r w:rsidRPr="00F637D4">
        <w:lastRenderedPageBreak/>
        <w:t>Introduction</w:t>
      </w:r>
      <w:bookmarkEnd w:id="9"/>
      <w:bookmarkEnd w:id="10"/>
    </w:p>
    <w:p w14:paraId="64A69B34" w14:textId="6CEDC63D" w:rsidR="00BB484E" w:rsidRPr="00946B5A" w:rsidRDefault="00BB484E" w:rsidP="00946B5A">
      <w:pPr>
        <w:rPr>
          <w:rFonts w:cs="Times New Roman"/>
          <w:lang w:val="en"/>
        </w:rPr>
      </w:pPr>
      <w:r w:rsidRPr="00946B5A">
        <w:t>The</w:t>
      </w:r>
      <w:r w:rsidRPr="00D55C27">
        <w:t xml:space="preserve"> </w:t>
      </w:r>
      <w:hyperlink r:id="rId10" w:history="1">
        <w:r w:rsidR="00DD6C57">
          <w:rPr>
            <w:rStyle w:val="Hyperlink"/>
            <w:rFonts w:asciiTheme="minorHAnsi" w:hAnsiTheme="minorHAnsi" w:cstheme="minorHAnsi"/>
            <w:i/>
            <w:iCs/>
          </w:rPr>
          <w:t>Therapeutic Goods (Permissible Ingredients) Determination (No. 1) 2025</w:t>
        </w:r>
      </w:hyperlink>
      <w:r w:rsidRPr="00946B5A">
        <w:rPr>
          <w:rFonts w:asciiTheme="minorHAnsi" w:hAnsiTheme="minorHAnsi" w:cstheme="minorHAnsi"/>
        </w:rPr>
        <w:t xml:space="preserve"> </w:t>
      </w:r>
      <w:r w:rsidRPr="00D55C27">
        <w:t>currently lists 3</w:t>
      </w:r>
      <w:r>
        <w:t>0</w:t>
      </w:r>
      <w:r w:rsidRPr="00D55C27">
        <w:t xml:space="preserve"> </w:t>
      </w:r>
      <w:r>
        <w:t xml:space="preserve">sunscreen </w:t>
      </w:r>
      <w:r w:rsidRPr="00D55C27">
        <w:t xml:space="preserve">active ingredients approved for use in Australia. </w:t>
      </w:r>
      <w:r w:rsidRPr="00CA6DCB">
        <w:t xml:space="preserve">The safety of these ingredients has been addressed by various means, including </w:t>
      </w:r>
      <w:r>
        <w:t xml:space="preserve">the </w:t>
      </w:r>
      <w:r w:rsidRPr="00CA6DCB">
        <w:t xml:space="preserve">assessment of toxicological data, utilisation of overseas regulatory reports, and consideration by committees such as the then Medicines Evaluation Committee. </w:t>
      </w:r>
    </w:p>
    <w:p w14:paraId="669CFC58" w14:textId="77777777" w:rsidR="00BB484E" w:rsidRPr="00CA6DCB" w:rsidRDefault="00BB484E" w:rsidP="00946B5A">
      <w:r w:rsidRPr="00CA6DCB">
        <w:t>The TGA has been monitoring the emerging scientific literature of the safety of sunscreens and working cooperatively with international agencies to monitor these issues to ensure that appropriate action is undertaken if any unacceptable risks are identified.</w:t>
      </w:r>
    </w:p>
    <w:p w14:paraId="2F89AFBC" w14:textId="77777777" w:rsidR="00BB484E" w:rsidRPr="00946B5A" w:rsidRDefault="00BB484E" w:rsidP="00946B5A">
      <w:pPr>
        <w:rPr>
          <w:rFonts w:eastAsia="Cambria" w:cs="Arial"/>
          <w:color w:val="000000"/>
        </w:rPr>
      </w:pPr>
      <w:r w:rsidRPr="00CA6DCB">
        <w:rPr>
          <w:rFonts w:eastAsia="Cambria" w:cs="Times New Roman"/>
          <w:color w:val="000000"/>
        </w:rPr>
        <w:t xml:space="preserve">The TGA seeks to promote high standards of therapeutic product vigilance for the protection of the health and safety of Australians. It does this by monitoring the continuing safety, quality and efficacy of therapeutic goods in the market through therapeutic product vigilance activities. The TGA’s strong pharmacovigilance program also involves the assessment of adverse events that are reported to the TGA by consumers, health professionals, the pharmaceutical industry, international medicines regulators or by the medical and scientific experts. Information on the TGA's approach to managing compliance risk is available via the TGA website: </w:t>
      </w:r>
      <w:hyperlink r:id="rId11" w:history="1">
        <w:r w:rsidRPr="00946B5A">
          <w:rPr>
            <w:rStyle w:val="Hyperlink"/>
            <w:rFonts w:eastAsia="Cambria" w:cs="Arial"/>
          </w:rPr>
          <w:t>www.tga.gov.au/about/compliance.htm</w:t>
        </w:r>
      </w:hyperlink>
      <w:r w:rsidRPr="00946B5A">
        <w:rPr>
          <w:rStyle w:val="Hyperlink"/>
          <w:rFonts w:eastAsia="Cambria" w:cs="Arial"/>
        </w:rPr>
        <w:t xml:space="preserve"> </w:t>
      </w:r>
      <w:hyperlink r:id="rId12" w:history="1">
        <w:r w:rsidRPr="00946B5A">
          <w:rPr>
            <w:rStyle w:val="Hyperlink"/>
            <w:rFonts w:cs="Arial"/>
          </w:rPr>
          <w:t>https://www.tga.gov.au/hubs/compliance-and-enforcement/compliance-management</w:t>
        </w:r>
      </w:hyperlink>
    </w:p>
    <w:p w14:paraId="63A846CC" w14:textId="2C7EF905" w:rsidR="00BB484E" w:rsidRPr="00946B5A" w:rsidRDefault="00BB484E" w:rsidP="00946B5A">
      <w:r w:rsidRPr="00CA6DCB">
        <w:t xml:space="preserve">Post-market monitoring of listed medicines also includes environmental scanning such as collection and review of scientific and medical literature, media reports and regulatory news to identify safety issues that require further investigation. </w:t>
      </w:r>
    </w:p>
    <w:p w14:paraId="49B0FB5E" w14:textId="77777777" w:rsidR="00BB484E" w:rsidRPr="00D809F4" w:rsidRDefault="00BB484E" w:rsidP="00BB484E">
      <w:pPr>
        <w:pStyle w:val="Heading4"/>
      </w:pPr>
      <w:bookmarkStart w:id="11" w:name="_Toc190944891"/>
      <w:bookmarkStart w:id="12" w:name="_Toc199254928"/>
      <w:r w:rsidRPr="00D809F4">
        <w:t>US FDA</w:t>
      </w:r>
      <w:r>
        <w:t>’s</w:t>
      </w:r>
      <w:r w:rsidRPr="00D809F4">
        <w:t xml:space="preserve"> proposed rule relating to sunscreen active ingredients</w:t>
      </w:r>
      <w:bookmarkEnd w:id="11"/>
      <w:bookmarkEnd w:id="12"/>
    </w:p>
    <w:p w14:paraId="25A81746" w14:textId="77777777" w:rsidR="00BB484E" w:rsidRDefault="00BB484E" w:rsidP="00946B5A">
      <w:r w:rsidRPr="00CA6DCB">
        <w:t xml:space="preserve">In 2019, the </w:t>
      </w:r>
      <w:r>
        <w:t xml:space="preserve">US </w:t>
      </w:r>
      <w:r w:rsidRPr="00CA6DCB">
        <w:t>FDA published a guidance for industry concerning safety and effectiveness data necessary to determine that a sunscreen active ingredient is generally recognized as safe and effective (GRASE) under the Sunscreen Innovation Act which introduced a new requirement to conduct Maximal Usage Trials (</w:t>
      </w:r>
      <w:proofErr w:type="spellStart"/>
      <w:r w:rsidRPr="00CA6DCB">
        <w:t>MUsT</w:t>
      </w:r>
      <w:proofErr w:type="spellEnd"/>
      <w:r w:rsidRPr="00CA6DCB">
        <w:t xml:space="preserve">) </w:t>
      </w:r>
      <w:proofErr w:type="gramStart"/>
      <w:r w:rsidRPr="00CA6DCB">
        <w:t>in order to</w:t>
      </w:r>
      <w:proofErr w:type="gramEnd"/>
      <w:r w:rsidRPr="00CA6DCB">
        <w:t xml:space="preserve"> study human absorption correlating to real-world use (FDA, 2019a). </w:t>
      </w:r>
      <w:r w:rsidRPr="00EC5E95">
        <w:t xml:space="preserve">The FDA published two studies in 2019 and 2020 looking at the dermal absorption of the most common active ingredients in sunscreens (Matta </w:t>
      </w:r>
      <w:r w:rsidRPr="00EC5E95">
        <w:rPr>
          <w:i/>
        </w:rPr>
        <w:t>et al.,</w:t>
      </w:r>
      <w:r w:rsidRPr="00EC5E95">
        <w:t xml:space="preserve"> 2020; 2019). Both studies demonstrated that the studied sunscreen active ingredients were absorbed in appreciable quantities</w:t>
      </w:r>
      <w:r>
        <w:t xml:space="preserve"> (i.e. detected at &gt;0.5 ng/mL in plasma)</w:t>
      </w:r>
      <w:r w:rsidRPr="00EC5E95">
        <w:t xml:space="preserve"> and that active ingredients can remain in plasma for an extended time after the last application.  </w:t>
      </w:r>
    </w:p>
    <w:p w14:paraId="3C918EE7" w14:textId="77777777" w:rsidR="00BB484E" w:rsidRPr="00CA6DCB" w:rsidRDefault="00BB484E" w:rsidP="00946B5A">
      <w:r w:rsidRPr="00CA6DCB">
        <w:t xml:space="preserve">This was followed by the publication of an FDA proposed rule in 2019 elaborating the requirement for testing and labelling of sunscreens by manufacturers (FDA, 2019b). The rule divided the 16 active ingredients approved in USA into three categories: </w:t>
      </w:r>
    </w:p>
    <w:p w14:paraId="37240FC8" w14:textId="77777777" w:rsidR="00BB484E" w:rsidRPr="00CA6DCB" w:rsidRDefault="00BB484E" w:rsidP="00946B5A">
      <w:pPr>
        <w:pStyle w:val="ListBullet"/>
      </w:pPr>
      <w:r>
        <w:t>C</w:t>
      </w:r>
      <w:r w:rsidRPr="00CA6DCB">
        <w:t xml:space="preserve">ategory I (GRASE) includes </w:t>
      </w:r>
      <w:proofErr w:type="spellStart"/>
      <w:r w:rsidRPr="00CA6DCB">
        <w:t>ZnO</w:t>
      </w:r>
      <w:proofErr w:type="spellEnd"/>
      <w:r w:rsidRPr="00CA6DCB">
        <w:t xml:space="preserve"> and </w:t>
      </w:r>
      <w:proofErr w:type="gramStart"/>
      <w:r w:rsidRPr="00CA6DCB">
        <w:t>TiO</w:t>
      </w:r>
      <w:r w:rsidRPr="00CA6DCB">
        <w:rPr>
          <w:vertAlign w:val="subscript"/>
        </w:rPr>
        <w:t>2</w:t>
      </w:r>
      <w:r w:rsidRPr="00CA6DCB">
        <w:t>;</w:t>
      </w:r>
      <w:proofErr w:type="gramEnd"/>
      <w:r w:rsidRPr="00CA6DCB">
        <w:t xml:space="preserve"> </w:t>
      </w:r>
    </w:p>
    <w:p w14:paraId="7D7E39A7" w14:textId="77777777" w:rsidR="00BB484E" w:rsidRPr="00CA6DCB" w:rsidRDefault="00BB484E" w:rsidP="00946B5A">
      <w:pPr>
        <w:pStyle w:val="ListBullet"/>
      </w:pPr>
      <w:r>
        <w:t>C</w:t>
      </w:r>
      <w:r w:rsidRPr="00CA6DCB">
        <w:t xml:space="preserve">ategory II (not GRASE) includes trolamine salicylate and para-aminobenzoic acid (PABA) (neither of which is used in products currently marketed in Australia); and </w:t>
      </w:r>
    </w:p>
    <w:p w14:paraId="6E76BF3D" w14:textId="77777777" w:rsidR="00BB484E" w:rsidRPr="00CA6DCB" w:rsidRDefault="00BB484E" w:rsidP="00946B5A">
      <w:pPr>
        <w:pStyle w:val="ListBullet"/>
      </w:pPr>
      <w:r>
        <w:t>C</w:t>
      </w:r>
      <w:r w:rsidRPr="00CA6DCB">
        <w:t xml:space="preserve">ategory III (additional data needed) includes the remaining 12 organic filters (cinoxate, </w:t>
      </w:r>
      <w:proofErr w:type="spellStart"/>
      <w:r w:rsidRPr="00CA6DCB">
        <w:t>dioxybenzone</w:t>
      </w:r>
      <w:proofErr w:type="spellEnd"/>
      <w:r w:rsidRPr="00CA6DCB">
        <w:t xml:space="preserve">, </w:t>
      </w:r>
      <w:proofErr w:type="spellStart"/>
      <w:r w:rsidRPr="00CA6DCB">
        <w:t>ensulizole</w:t>
      </w:r>
      <w:proofErr w:type="spellEnd"/>
      <w:r w:rsidRPr="00CA6DCB">
        <w:t xml:space="preserve">, </w:t>
      </w:r>
      <w:proofErr w:type="spellStart"/>
      <w:r w:rsidRPr="00CA6DCB">
        <w:t>homosalate</w:t>
      </w:r>
      <w:proofErr w:type="spellEnd"/>
      <w:r w:rsidRPr="00CA6DCB">
        <w:t xml:space="preserve">, </w:t>
      </w:r>
      <w:proofErr w:type="spellStart"/>
      <w:r w:rsidRPr="00CA6DCB">
        <w:t>meradimate</w:t>
      </w:r>
      <w:proofErr w:type="spellEnd"/>
      <w:r w:rsidRPr="00CA6DCB">
        <w:t xml:space="preserve">, </w:t>
      </w:r>
      <w:proofErr w:type="spellStart"/>
      <w:r w:rsidRPr="00CA6DCB">
        <w:t>octinoxate</w:t>
      </w:r>
      <w:proofErr w:type="spellEnd"/>
      <w:r w:rsidRPr="00CA6DCB">
        <w:t xml:space="preserve">, </w:t>
      </w:r>
      <w:proofErr w:type="spellStart"/>
      <w:r w:rsidRPr="00CA6DCB">
        <w:t>octisalate</w:t>
      </w:r>
      <w:proofErr w:type="spellEnd"/>
      <w:r w:rsidRPr="00CA6DCB">
        <w:t xml:space="preserve">, octocrylene, padimate O, </w:t>
      </w:r>
      <w:proofErr w:type="spellStart"/>
      <w:r w:rsidRPr="00CA6DCB">
        <w:t>sulisobenzone</w:t>
      </w:r>
      <w:proofErr w:type="spellEnd"/>
      <w:r w:rsidRPr="00CA6DCB">
        <w:t xml:space="preserve">, oxybenzone, avobenzone; (FDA, 2019b)). </w:t>
      </w:r>
      <w:proofErr w:type="spellStart"/>
      <w:r w:rsidRPr="00CA6DCB">
        <w:t>Ensulizole</w:t>
      </w:r>
      <w:proofErr w:type="spellEnd"/>
      <w:r w:rsidRPr="00CA6DCB">
        <w:t xml:space="preserve">, </w:t>
      </w:r>
      <w:proofErr w:type="spellStart"/>
      <w:r w:rsidRPr="00CA6DCB">
        <w:t>homosalate</w:t>
      </w:r>
      <w:proofErr w:type="spellEnd"/>
      <w:r w:rsidRPr="00CA6DCB">
        <w:t xml:space="preserve">, </w:t>
      </w:r>
      <w:proofErr w:type="spellStart"/>
      <w:r w:rsidRPr="00CA6DCB">
        <w:t>octinoxate</w:t>
      </w:r>
      <w:proofErr w:type="spellEnd"/>
      <w:r w:rsidRPr="00CA6DCB">
        <w:t xml:space="preserve">, </w:t>
      </w:r>
      <w:proofErr w:type="spellStart"/>
      <w:r w:rsidRPr="00CA6DCB">
        <w:t>octisalate</w:t>
      </w:r>
      <w:proofErr w:type="spellEnd"/>
      <w:r w:rsidRPr="00CA6DCB">
        <w:t>, octocrylene, oxybenzone, avobenzone are used in Australian products</w:t>
      </w:r>
      <w:r>
        <w:t xml:space="preserve">, as of </w:t>
      </w:r>
      <w:r w:rsidRPr="00D0065D">
        <w:t>12February 2025</w:t>
      </w:r>
      <w:r w:rsidRPr="00CA6DCB">
        <w:t xml:space="preserve">. </w:t>
      </w:r>
    </w:p>
    <w:p w14:paraId="5C9385DD" w14:textId="77777777" w:rsidR="00BB484E" w:rsidRPr="00946B5A" w:rsidRDefault="00BB484E" w:rsidP="00946B5A">
      <w:r w:rsidRPr="00946B5A">
        <w:t xml:space="preserve">The FDA proposed rule also dictated that if an adequately conducted </w:t>
      </w:r>
      <w:proofErr w:type="spellStart"/>
      <w:r w:rsidRPr="00946B5A">
        <w:t>MUsT</w:t>
      </w:r>
      <w:proofErr w:type="spellEnd"/>
      <w:r w:rsidRPr="00946B5A">
        <w:t xml:space="preserve"> demonstrates a steady-state blood level of an ingredient under 0.5 ng/mL, and an adequately conducted toxicological study does not raise any other safety concerns, then studies on systemic carcinogenicity and developmental and reproductive toxicity may not be required. The 0.5 ng/mL limit was selected because it represents approximately the highest plasma concentration under which the risk of carcinogenicity of any unknown compound would be below 1/100,000 following a single dose (FDA, 2019c).</w:t>
      </w:r>
    </w:p>
    <w:p w14:paraId="22834F1F" w14:textId="77777777" w:rsidR="00BB484E" w:rsidRPr="00D809F4" w:rsidRDefault="00BB484E" w:rsidP="00BB484E">
      <w:pPr>
        <w:pStyle w:val="Heading4"/>
      </w:pPr>
      <w:bookmarkStart w:id="13" w:name="_Toc190944892"/>
      <w:bookmarkStart w:id="14" w:name="_Toc199254929"/>
      <w:r w:rsidRPr="00D809F4">
        <w:lastRenderedPageBreak/>
        <w:t>TGA’s safety review</w:t>
      </w:r>
      <w:bookmarkEnd w:id="13"/>
      <w:bookmarkEnd w:id="14"/>
    </w:p>
    <w:p w14:paraId="227F17F4" w14:textId="77777777" w:rsidR="00BB484E" w:rsidRPr="00946B5A" w:rsidRDefault="00BB484E" w:rsidP="00946B5A">
      <w:r w:rsidRPr="00946B5A">
        <w:t xml:space="preserve">Given the greater use and importance of sunscreens in Australia; and the current interest by the US FDA in the ongoing safety of sunscreen active ingredients, the TGA conducted a safety review to better understand the safety profile of these ingredients. Following consideration of the highest reported use of the sunscreen products in Australia containing these active ingredients, a targeted safety assessment of was undertaken for 7 ingredients: butyl </w:t>
      </w:r>
      <w:proofErr w:type="spellStart"/>
      <w:r w:rsidRPr="00946B5A">
        <w:t>methoxydibenzoylmethane</w:t>
      </w:r>
      <w:proofErr w:type="spellEnd"/>
      <w:r w:rsidRPr="00946B5A">
        <w:t xml:space="preserve">, </w:t>
      </w:r>
      <w:proofErr w:type="spellStart"/>
      <w:r w:rsidRPr="00946B5A">
        <w:t>ethylhexyl</w:t>
      </w:r>
      <w:proofErr w:type="spellEnd"/>
      <w:r w:rsidRPr="00946B5A">
        <w:t xml:space="preserve"> </w:t>
      </w:r>
      <w:proofErr w:type="spellStart"/>
      <w:r w:rsidRPr="00946B5A">
        <w:t>triazone</w:t>
      </w:r>
      <w:proofErr w:type="spellEnd"/>
      <w:r w:rsidRPr="00946B5A">
        <w:t xml:space="preserve">, </w:t>
      </w:r>
      <w:proofErr w:type="spellStart"/>
      <w:r w:rsidRPr="00946B5A">
        <w:t>homosalate</w:t>
      </w:r>
      <w:proofErr w:type="spellEnd"/>
      <w:r w:rsidRPr="00946B5A">
        <w:t xml:space="preserve">, octocrylene, octyl methoxycinnamate, oxybenzone and </w:t>
      </w:r>
      <w:proofErr w:type="spellStart"/>
      <w:r w:rsidRPr="00946B5A">
        <w:t>phenylbenzimidazole</w:t>
      </w:r>
      <w:proofErr w:type="spellEnd"/>
      <w:r w:rsidRPr="00946B5A">
        <w:t xml:space="preserve"> sulfonic acid. This document reviews whether these ingredients are low-risk and appropriate for use in therapeutic sunscreens. </w:t>
      </w:r>
    </w:p>
    <w:p w14:paraId="00C6AE42" w14:textId="70E14F51" w:rsidR="00BB484E" w:rsidRPr="00946B5A" w:rsidRDefault="00BB484E" w:rsidP="00946B5A">
      <w:r w:rsidRPr="00946B5A">
        <w:t xml:space="preserve">A literature review was conducted for the scientific information available for the 7 active ingredients butyl </w:t>
      </w:r>
      <w:proofErr w:type="spellStart"/>
      <w:r w:rsidRPr="00946B5A">
        <w:t>methoxydibenzoylmethane</w:t>
      </w:r>
      <w:proofErr w:type="spellEnd"/>
      <w:r w:rsidRPr="00946B5A">
        <w:t xml:space="preserve">, </w:t>
      </w:r>
      <w:proofErr w:type="spellStart"/>
      <w:r w:rsidRPr="00946B5A">
        <w:t>ethylhexyl</w:t>
      </w:r>
      <w:proofErr w:type="spellEnd"/>
      <w:r w:rsidRPr="00946B5A">
        <w:t xml:space="preserve"> </w:t>
      </w:r>
      <w:proofErr w:type="spellStart"/>
      <w:r w:rsidRPr="00946B5A">
        <w:t>triazone</w:t>
      </w:r>
      <w:proofErr w:type="spellEnd"/>
      <w:r w:rsidRPr="00946B5A">
        <w:t xml:space="preserve">, </w:t>
      </w:r>
      <w:proofErr w:type="spellStart"/>
      <w:r w:rsidRPr="00946B5A">
        <w:t>homosalate</w:t>
      </w:r>
      <w:proofErr w:type="spellEnd"/>
      <w:r w:rsidRPr="00946B5A">
        <w:t xml:space="preserve">, octyl methoxycinnamate, octocrylene, oxybenzone and </w:t>
      </w:r>
      <w:proofErr w:type="spellStart"/>
      <w:r w:rsidRPr="00946B5A">
        <w:t>phenylbenzimidazole</w:t>
      </w:r>
      <w:proofErr w:type="spellEnd"/>
      <w:r w:rsidRPr="00946B5A">
        <w:t xml:space="preserve"> sulfonic acid for use in sunscreens. These ingredients have been widely used in sunscreen products in Australia. The safety review is intended to provide an overview of the publicly available safety information for these ingredients, calculate the MoS as per the </w:t>
      </w:r>
      <w:r w:rsidR="00E51451">
        <w:t>Australian Sunscreen Exposure Model (</w:t>
      </w:r>
      <w:r w:rsidRPr="00946B5A">
        <w:t>ASEM</w:t>
      </w:r>
      <w:r w:rsidR="00E51451">
        <w:t>)</w:t>
      </w:r>
      <w:r w:rsidRPr="00946B5A">
        <w:t xml:space="preserve"> using the maximum concentration of the ingredients approved in Australia, and provide information needed to assess the suitability of these ingredients for use in therapeutic sunscreens. </w:t>
      </w:r>
    </w:p>
    <w:p w14:paraId="6117B972" w14:textId="77777777" w:rsidR="00BB484E" w:rsidRPr="00946B5A" w:rsidRDefault="00BB484E" w:rsidP="00946B5A">
      <w:r w:rsidRPr="00946B5A">
        <w:t>Given the TGA makes use of assessments from comparable overseas bodies (COBs), where possible, in evaluations for complementary medicines and ingredients for use in listed medicine (e.g. sunscreens) and the list for COBs includes the SCCS to support the safety of sunscreen ingredients,</w:t>
      </w:r>
      <w:r w:rsidRPr="00946B5A">
        <w:rPr>
          <w:rStyle w:val="FootnoteReference"/>
          <w:rFonts w:asciiTheme="minorHAnsi" w:hAnsiTheme="minorHAnsi" w:cstheme="minorHAnsi"/>
        </w:rPr>
        <w:footnoteReference w:id="1"/>
      </w:r>
      <w:r w:rsidRPr="00946B5A">
        <w:t xml:space="preserve">  the safety assessment of the selected ingredients was based on information provided in the newest opinions from the SCCS where available, and information identified from a literature search in PubMed and an open search for information on specific endpoints from published reports from the internet. Review articles and documents focusing on the individual toxicological endpoints were featured in the hazard assessment where no recent SCCS opinions were available. REACH registration dossiers for individual ingredients published by ECHA and risk assessment by national regulatory agencies (i.e. AICIS) were also considered if available. Exposure to metabolites of these ingredients or impurities present in these ingredients has not been considered for safety assessment in this review.</w:t>
      </w:r>
    </w:p>
    <w:p w14:paraId="66322F57" w14:textId="77777777" w:rsidR="00BB484E" w:rsidRPr="00946B5A" w:rsidRDefault="00BB484E" w:rsidP="00946B5A">
      <w:r w:rsidRPr="00946B5A">
        <w:t xml:space="preserve">Within 2020-21, the European Commission published opinions (preliminary and/or final) on the safety of </w:t>
      </w:r>
      <w:hyperlink r:id="rId13" w:history="1">
        <w:r w:rsidRPr="00946B5A">
          <w:rPr>
            <w:rStyle w:val="Hyperlink"/>
            <w:rFonts w:cs="Arial"/>
          </w:rPr>
          <w:t>oxybenzone</w:t>
        </w:r>
      </w:hyperlink>
      <w:r w:rsidRPr="00946B5A">
        <w:t>, </w:t>
      </w:r>
      <w:proofErr w:type="spellStart"/>
      <w:r>
        <w:fldChar w:fldCharType="begin"/>
      </w:r>
      <w:r>
        <w:instrText>HYPERLINK "https://ec.europa.eu/health/sites/health/files/scientific_committees/consumer_safety/docs/sccs_o_244.pdf"</w:instrText>
      </w:r>
      <w:r>
        <w:fldChar w:fldCharType="separate"/>
      </w:r>
      <w:r w:rsidRPr="00946B5A">
        <w:t>homosalate</w:t>
      </w:r>
      <w:proofErr w:type="spellEnd"/>
      <w:r w:rsidRPr="00946B5A">
        <w:t xml:space="preserve"> (</w:t>
      </w:r>
      <w:r>
        <w:fldChar w:fldCharType="end"/>
      </w:r>
      <w:r w:rsidRPr="00946B5A">
        <w:rPr>
          <w:rStyle w:val="Hyperlink"/>
          <w:rFonts w:cs="Arial"/>
        </w:rPr>
        <w:t>2021</w:t>
      </w:r>
      <w:r w:rsidRPr="00946B5A">
        <w:t xml:space="preserve"> and later updated in </w:t>
      </w:r>
      <w:hyperlink r:id="rId14" w:history="1">
        <w:r w:rsidRPr="00946B5A">
          <w:rPr>
            <w:rStyle w:val="Hyperlink"/>
            <w:rFonts w:cs="Arial"/>
          </w:rPr>
          <w:t>December 2021</w:t>
        </w:r>
      </w:hyperlink>
      <w:r w:rsidRPr="00946B5A">
        <w:t>) and </w:t>
      </w:r>
      <w:hyperlink r:id="rId15" w:history="1">
        <w:r w:rsidRPr="00946B5A">
          <w:rPr>
            <w:rStyle w:val="Hyperlink"/>
            <w:rFonts w:cs="Arial"/>
          </w:rPr>
          <w:t>octocrylene</w:t>
        </w:r>
      </w:hyperlink>
      <w:r w:rsidRPr="00946B5A">
        <w:t>. Based on the available information, the SCCS conducted risk assessments of each of these ingredients and determined a Margin of Safety (MoS) as per SCCS guidelines.</w:t>
      </w:r>
      <w:r w:rsidRPr="00946B5A">
        <w:rPr>
          <w:vertAlign w:val="superscript"/>
        </w:rPr>
        <w:t xml:space="preserve"> </w:t>
      </w:r>
      <w:r w:rsidRPr="00946B5A">
        <w:t xml:space="preserve">The SCCS found that the levels of oxybenzone and </w:t>
      </w:r>
      <w:proofErr w:type="spellStart"/>
      <w:r w:rsidRPr="00946B5A">
        <w:t>homosalate</w:t>
      </w:r>
      <w:proofErr w:type="spellEnd"/>
      <w:r w:rsidRPr="00946B5A">
        <w:t xml:space="preserve"> used in the European market were not safe and proposed limits later put into effect by the European Union (EU).  For </w:t>
      </w:r>
      <w:hyperlink r:id="rId16" w:history="1">
        <w:r w:rsidRPr="00946B5A">
          <w:rPr>
            <w:rStyle w:val="Hyperlink"/>
            <w:rFonts w:cs="Arial"/>
          </w:rPr>
          <w:t>oxybenzone</w:t>
        </w:r>
      </w:hyperlink>
      <w:r w:rsidRPr="00946B5A">
        <w:t xml:space="preserve">, the new EU requirements are 6% in face, hand and lip products, excluding aerosols, 2.2% in body products including aerosols, and 0.5% in other products. Cosmetic products containing oxybenzone complying with the previous restrictions set out in Regulation (EC) No 1223/2009 as applicable on 27 July 2022, may be placed on the Union market until 28 January 2023 and be made available on the Union market until 28 July 2023. For </w:t>
      </w:r>
      <w:hyperlink r:id="rId17" w:history="1">
        <w:proofErr w:type="spellStart"/>
        <w:r w:rsidRPr="00946B5A">
          <w:rPr>
            <w:rStyle w:val="Hyperlink"/>
            <w:rFonts w:cs="Arial"/>
          </w:rPr>
          <w:t>homosalate</w:t>
        </w:r>
        <w:proofErr w:type="spellEnd"/>
      </w:hyperlink>
      <w:r w:rsidRPr="00946B5A">
        <w:t xml:space="preserve">, the new EU requirements and transition periods are: from 1 January 2025 cosmetic products containing </w:t>
      </w:r>
      <w:proofErr w:type="spellStart"/>
      <w:r w:rsidRPr="00946B5A">
        <w:t>homosalate</w:t>
      </w:r>
      <w:proofErr w:type="spellEnd"/>
      <w:r w:rsidRPr="00946B5A">
        <w:t xml:space="preserve"> and not complying with the conditions (maximum 7.34% in face products - not permitted in propellent spray products) shall not be placed on the Union market. From 1 July 2025 cosmetic products containing </w:t>
      </w:r>
      <w:proofErr w:type="spellStart"/>
      <w:r w:rsidRPr="00946B5A">
        <w:t>homosalate</w:t>
      </w:r>
      <w:proofErr w:type="spellEnd"/>
      <w:r w:rsidRPr="00946B5A">
        <w:t xml:space="preserve"> and not complying with the conditions shall not be made available on the Union market. For </w:t>
      </w:r>
      <w:hyperlink r:id="rId18" w:history="1">
        <w:r w:rsidRPr="00946B5A">
          <w:rPr>
            <w:rStyle w:val="Hyperlink"/>
            <w:rFonts w:cs="Arial"/>
          </w:rPr>
          <w:t>octocrylene</w:t>
        </w:r>
      </w:hyperlink>
      <w:r w:rsidRPr="00946B5A">
        <w:t>, the new EU requirements and transition periods are that octocrylene can only be present at a maximum concentration of 9% in propellant spray products, and 10% in other products.  Cosmetic products containing octocrylene complying with the previous restrictions set out in Regulation (EC) No 1223/2009 as applicable on 27 July 2022, may be placed on the Union market until 28 January 2023 and be made available on the Union market until 28 July 2023.</w:t>
      </w:r>
    </w:p>
    <w:p w14:paraId="262889B3" w14:textId="77777777" w:rsidR="00BA4549" w:rsidRDefault="00BA4549">
      <w:r>
        <w:br w:type="page"/>
      </w:r>
    </w:p>
    <w:p w14:paraId="2E4F1B9C" w14:textId="19363F4E" w:rsidR="00BB484E" w:rsidRDefault="00BB484E" w:rsidP="00946B5A">
      <w:r w:rsidRPr="00EC5E95">
        <w:lastRenderedPageBreak/>
        <w:t xml:space="preserve">The TGA </w:t>
      </w:r>
      <w:r>
        <w:t>safety</w:t>
      </w:r>
      <w:r w:rsidRPr="00EC5E95">
        <w:t xml:space="preserve"> review follows a similar approach of risk assessment based on a MoS determination as per the SCCS guidelines while recognising limited available data (2008-202</w:t>
      </w:r>
      <w:r>
        <w:t>3</w:t>
      </w:r>
      <w:r w:rsidRPr="00EC5E95">
        <w:t xml:space="preserve">). To accurately evaluate the long-term risk of exposure to these active ingredients from sunscreen, further randomized controlled trials may need to be conducted. However, this is subject to ethical considerations. </w:t>
      </w:r>
    </w:p>
    <w:p w14:paraId="2BE304F1" w14:textId="77777777" w:rsidR="00BB484E" w:rsidRPr="00CA6DCB" w:rsidRDefault="00BB484E" w:rsidP="00946B5A">
      <w:pPr>
        <w:rPr>
          <w:rFonts w:cstheme="minorHAnsi"/>
        </w:rPr>
      </w:pPr>
      <w:r>
        <w:rPr>
          <w:rFonts w:cstheme="minorHAnsi"/>
        </w:rPr>
        <w:t>It</w:t>
      </w:r>
      <w:r w:rsidRPr="00CA6DCB">
        <w:rPr>
          <w:rFonts w:cstheme="minorHAnsi"/>
        </w:rPr>
        <w:t xml:space="preserve"> was noted that some of the </w:t>
      </w:r>
      <w:r>
        <w:rPr>
          <w:rFonts w:cstheme="minorHAnsi"/>
        </w:rPr>
        <w:t>C</w:t>
      </w:r>
      <w:r w:rsidRPr="00CA6DCB">
        <w:rPr>
          <w:rFonts w:cstheme="minorHAnsi"/>
        </w:rPr>
        <w:t xml:space="preserve">ategory III (additional data needed) organic filters have been widely used in sunscreen products in Australia. One of them was </w:t>
      </w:r>
      <w:proofErr w:type="spellStart"/>
      <w:r w:rsidRPr="00CA6DCB">
        <w:rPr>
          <w:rFonts w:cstheme="minorHAnsi"/>
        </w:rPr>
        <w:t>octisalate</w:t>
      </w:r>
      <w:proofErr w:type="spellEnd"/>
      <w:r w:rsidRPr="00CA6DCB">
        <w:rPr>
          <w:rFonts w:cstheme="minorHAnsi"/>
        </w:rPr>
        <w:t xml:space="preserve"> (octyl salicylate also known as </w:t>
      </w:r>
      <w:proofErr w:type="spellStart"/>
      <w:r w:rsidRPr="00CA6DCB">
        <w:rPr>
          <w:rFonts w:cstheme="minorHAnsi"/>
        </w:rPr>
        <w:t>ethylhexyl</w:t>
      </w:r>
      <w:proofErr w:type="spellEnd"/>
      <w:r w:rsidRPr="00CA6DCB">
        <w:rPr>
          <w:rFonts w:cstheme="minorHAnsi"/>
        </w:rPr>
        <w:t xml:space="preserve"> salicylate). Based on the available information, the Cosmetic Ingredient Review Expert Panel (Cosmetic Ingredient Review Expert Panel, 2019) reached the conclusion that </w:t>
      </w:r>
      <w:proofErr w:type="spellStart"/>
      <w:r w:rsidRPr="00CA6DCB">
        <w:rPr>
          <w:rFonts w:cstheme="minorHAnsi"/>
        </w:rPr>
        <w:t>octisalate</w:t>
      </w:r>
      <w:proofErr w:type="spellEnd"/>
      <w:r w:rsidRPr="00CA6DCB">
        <w:rPr>
          <w:rFonts w:cstheme="minorHAnsi"/>
        </w:rPr>
        <w:t xml:space="preserve"> is safe as used in cosmetics in the European use settings and concentration (at 0.003% to 5% concentration as of 2018 data) described in the safety assessment when formulated to be non-irritating and non-sensitizing, which may be based on a quantitative risk assessment (QRA). As such, the literature review was not conducted for </w:t>
      </w:r>
      <w:proofErr w:type="spellStart"/>
      <w:r w:rsidRPr="00CA6DCB">
        <w:rPr>
          <w:rFonts w:cstheme="minorHAnsi"/>
        </w:rPr>
        <w:t>octisalate</w:t>
      </w:r>
      <w:proofErr w:type="spellEnd"/>
      <w:r w:rsidRPr="00CA6DCB">
        <w:rPr>
          <w:rFonts w:cstheme="minorHAnsi"/>
        </w:rPr>
        <w:t xml:space="preserve"> (octyl salicylate).</w:t>
      </w:r>
    </w:p>
    <w:p w14:paraId="3F416027" w14:textId="653E14B7" w:rsidR="00BB484E" w:rsidRDefault="00BB484E" w:rsidP="00946B5A">
      <w:r w:rsidRPr="003B2610">
        <w:t xml:space="preserve">To ensure the safety review was based on current sun protection practices and recommendations in Australia, the TGA developed </w:t>
      </w:r>
      <w:r w:rsidR="003C6CB5">
        <w:t>the</w:t>
      </w:r>
      <w:r w:rsidR="003C6CB5" w:rsidRPr="003B2610">
        <w:t xml:space="preserve"> </w:t>
      </w:r>
      <w:r w:rsidRPr="003B2610">
        <w:t>ASEM. This model estimates how much sunscreen Australians use, rather than relying on international models such as from the</w:t>
      </w:r>
      <w:r>
        <w:t xml:space="preserve"> European</w:t>
      </w:r>
      <w:r w:rsidRPr="006E36B2">
        <w:t xml:space="preserve"> </w:t>
      </w:r>
      <w:r w:rsidRPr="00EC5E95">
        <w:t>Scientific Committee on Consumer Safety</w:t>
      </w:r>
      <w:r>
        <w:t xml:space="preserve"> (SCCS</w:t>
      </w:r>
      <w:r w:rsidRPr="003B2610">
        <w:t xml:space="preserve">) that may not reflect Australia’s unique environment and practices. </w:t>
      </w:r>
      <w:r w:rsidR="00C16786" w:rsidRPr="003B2610">
        <w:t xml:space="preserve">The model was subject to targeted and </w:t>
      </w:r>
      <w:hyperlink r:id="rId19" w:history="1">
        <w:r w:rsidR="00C16786" w:rsidRPr="00946B5A">
          <w:rPr>
            <w:rStyle w:val="Hyperlink"/>
            <w:rFonts w:cs="Arial"/>
          </w:rPr>
          <w:t>public consultation</w:t>
        </w:r>
      </w:hyperlink>
      <w:r w:rsidR="00C16786" w:rsidRPr="003B2610">
        <w:t xml:space="preserve"> in 2024 before it was finalised and used in this review</w:t>
      </w:r>
      <w:r w:rsidR="00C16786">
        <w:t>. The model</w:t>
      </w:r>
      <w:r w:rsidR="00C16786" w:rsidRPr="00C16786">
        <w:t xml:space="preserve"> incorporates evidence-based data on sunscreen application frequency and quantity, highlighting</w:t>
      </w:r>
      <w:r w:rsidR="00C16786">
        <w:t xml:space="preserve"> </w:t>
      </w:r>
      <w:r w:rsidR="00C16786" w:rsidRPr="00C16786">
        <w:t>that Australians apply sunscreen more often and in larger amounts than populations in other countries</w:t>
      </w:r>
      <w:r w:rsidR="00C16786">
        <w:t>.</w:t>
      </w:r>
    </w:p>
    <w:p w14:paraId="64C20097" w14:textId="77777777" w:rsidR="009433BF" w:rsidRPr="007874EE" w:rsidRDefault="009433BF" w:rsidP="009433BF">
      <w:pPr>
        <w:pStyle w:val="Heading3"/>
      </w:pPr>
      <w:bookmarkStart w:id="15" w:name="_Toc190944893"/>
      <w:bookmarkStart w:id="16" w:name="_Toc199254930"/>
      <w:r>
        <w:t>What are these ingredients?</w:t>
      </w:r>
      <w:bookmarkEnd w:id="15"/>
      <w:bookmarkEnd w:id="16"/>
      <w:r>
        <w:t xml:space="preserve"> </w:t>
      </w:r>
    </w:p>
    <w:p w14:paraId="019D7CF2" w14:textId="77777777" w:rsidR="009433BF" w:rsidRDefault="009433BF" w:rsidP="009433BF">
      <w:pPr>
        <w:pStyle w:val="Heading4"/>
      </w:pPr>
      <w:bookmarkStart w:id="17" w:name="_Toc190944894"/>
      <w:bookmarkStart w:id="18" w:name="_Toc199254931"/>
      <w:r>
        <w:t>Chemical properties</w:t>
      </w:r>
      <w:bookmarkEnd w:id="17"/>
      <w:bookmarkEnd w:id="18"/>
    </w:p>
    <w:p w14:paraId="11CF0C76" w14:textId="77777777" w:rsidR="009433BF" w:rsidRPr="00385BCA" w:rsidRDefault="009433BF" w:rsidP="00385BCA">
      <w:pPr>
        <w:rPr>
          <w:i/>
          <w:iCs/>
        </w:rPr>
      </w:pPr>
      <w:r w:rsidRPr="00385BCA">
        <w:t>The chemical and physical properties and the molecular structures of these seven ingredients are provided in the following tables (Yap et al. 2017; Gilbert et al. 2013).</w:t>
      </w:r>
    </w:p>
    <w:p w14:paraId="4F1DB55A" w14:textId="77777777" w:rsidR="009433BF" w:rsidRPr="00B35001" w:rsidRDefault="009433BF" w:rsidP="004C3D51">
      <w:pPr>
        <w:pStyle w:val="Tabletitle"/>
        <w:rPr>
          <w:i/>
          <w:iCs/>
        </w:rPr>
      </w:pPr>
      <w:r w:rsidRPr="00B35001">
        <w:t>Chemical and Physical Properties of the active ingredients under review</w:t>
      </w:r>
    </w:p>
    <w:tbl>
      <w:tblPr>
        <w:tblpPr w:leftFromText="180" w:rightFromText="180" w:vertAnchor="text" w:tblpXSpec="center" w:tblpY="1"/>
        <w:tblOverlap w:val="never"/>
        <w:tblW w:w="10196" w:type="dxa"/>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Layout w:type="fixed"/>
        <w:tblCellMar>
          <w:top w:w="28" w:type="dxa"/>
          <w:left w:w="57" w:type="dxa"/>
          <w:bottom w:w="28" w:type="dxa"/>
          <w:right w:w="57" w:type="dxa"/>
        </w:tblCellMar>
        <w:tblLook w:val="01E0" w:firstRow="1" w:lastRow="1" w:firstColumn="1" w:lastColumn="1" w:noHBand="0" w:noVBand="0"/>
      </w:tblPr>
      <w:tblGrid>
        <w:gridCol w:w="1246"/>
        <w:gridCol w:w="1154"/>
        <w:gridCol w:w="1559"/>
        <w:gridCol w:w="1134"/>
        <w:gridCol w:w="993"/>
        <w:gridCol w:w="850"/>
        <w:gridCol w:w="851"/>
        <w:gridCol w:w="567"/>
        <w:gridCol w:w="1842"/>
      </w:tblGrid>
      <w:tr w:rsidR="009433BF" w:rsidRPr="0074486E" w14:paraId="3C6588E3" w14:textId="77777777" w:rsidTr="00A238C9">
        <w:trPr>
          <w:trHeight w:val="229"/>
          <w:tblHeader/>
        </w:trPr>
        <w:tc>
          <w:tcPr>
            <w:tcW w:w="1246" w:type="dxa"/>
            <w:vMerge w:val="restart"/>
            <w:shd w:val="clear" w:color="auto" w:fill="B8CCEA"/>
            <w:tcMar>
              <w:top w:w="28" w:type="dxa"/>
              <w:left w:w="57" w:type="dxa"/>
              <w:bottom w:w="28" w:type="dxa"/>
              <w:right w:w="57" w:type="dxa"/>
            </w:tcMar>
            <w:vAlign w:val="center"/>
          </w:tcPr>
          <w:p w14:paraId="41C322A9" w14:textId="77777777" w:rsidR="009433BF" w:rsidRPr="00665402" w:rsidRDefault="009433BF" w:rsidP="006B06D6">
            <w:pPr>
              <w:keepNext/>
              <w:spacing w:before="80" w:after="40" w:line="264" w:lineRule="auto"/>
              <w:ind w:left="113"/>
              <w:rPr>
                <w:rFonts w:asciiTheme="minorHAnsi" w:hAnsiTheme="minorHAnsi" w:cstheme="minorHAnsi"/>
                <w:b/>
                <w:bCs/>
                <w:color w:val="263287"/>
              </w:rPr>
            </w:pPr>
            <w:r w:rsidRPr="00665402">
              <w:rPr>
                <w:rFonts w:asciiTheme="minorHAnsi" w:hAnsiTheme="minorHAnsi" w:cstheme="minorHAnsi"/>
                <w:b/>
                <w:bCs/>
                <w:color w:val="263287"/>
              </w:rPr>
              <w:t>Active ingredient</w:t>
            </w:r>
          </w:p>
          <w:p w14:paraId="76159132" w14:textId="77777777" w:rsidR="009433BF" w:rsidRPr="00665402" w:rsidRDefault="009433BF" w:rsidP="00E07077">
            <w:pPr>
              <w:pStyle w:val="TableHeader"/>
              <w:rPr>
                <w:rFonts w:asciiTheme="minorHAnsi" w:hAnsiTheme="minorHAnsi" w:cstheme="minorHAnsi"/>
                <w:bCs/>
                <w:color w:val="263287"/>
                <w:sz w:val="20"/>
                <w:szCs w:val="20"/>
              </w:rPr>
            </w:pPr>
            <w:r w:rsidRPr="00665402">
              <w:rPr>
                <w:rFonts w:asciiTheme="minorHAnsi" w:hAnsiTheme="minorHAnsi" w:cstheme="minorHAnsi"/>
                <w:bCs/>
                <w:color w:val="263287"/>
                <w:sz w:val="20"/>
                <w:szCs w:val="20"/>
              </w:rPr>
              <w:t>(</w:t>
            </w:r>
            <w:r w:rsidRPr="00665402">
              <w:rPr>
                <w:rFonts w:asciiTheme="minorHAnsi" w:hAnsiTheme="minorHAnsi" w:cstheme="minorHAnsi"/>
                <w:bCs/>
                <w:i/>
                <w:color w:val="263287"/>
                <w:sz w:val="20"/>
                <w:szCs w:val="20"/>
              </w:rPr>
              <w:t>absorption spectrum</w:t>
            </w:r>
            <w:r w:rsidRPr="00665402">
              <w:rPr>
                <w:rFonts w:asciiTheme="minorHAnsi" w:hAnsiTheme="minorHAnsi" w:cstheme="minorHAnsi"/>
                <w:bCs/>
                <w:color w:val="263287"/>
                <w:sz w:val="20"/>
                <w:szCs w:val="20"/>
              </w:rPr>
              <w:t>)</w:t>
            </w:r>
          </w:p>
        </w:tc>
        <w:tc>
          <w:tcPr>
            <w:tcW w:w="1154" w:type="dxa"/>
            <w:vMerge w:val="restart"/>
            <w:shd w:val="clear" w:color="auto" w:fill="B8CCEA"/>
            <w:vAlign w:val="center"/>
          </w:tcPr>
          <w:p w14:paraId="34702945" w14:textId="77777777" w:rsidR="009433BF" w:rsidRPr="00665402" w:rsidRDefault="009433BF" w:rsidP="0039518B">
            <w:pPr>
              <w:keepNext/>
              <w:spacing w:before="80" w:after="40" w:line="264" w:lineRule="auto"/>
              <w:ind w:left="113"/>
              <w:rPr>
                <w:rFonts w:asciiTheme="minorHAnsi" w:hAnsiTheme="minorHAnsi" w:cstheme="minorHAnsi"/>
                <w:b/>
                <w:bCs/>
                <w:color w:val="263287"/>
              </w:rPr>
            </w:pPr>
            <w:r w:rsidRPr="00665402">
              <w:rPr>
                <w:rFonts w:cs="Times New Roman"/>
                <w:b/>
                <w:bCs/>
                <w:color w:val="263287"/>
              </w:rPr>
              <w:t>CAS no.</w:t>
            </w:r>
          </w:p>
        </w:tc>
        <w:tc>
          <w:tcPr>
            <w:tcW w:w="1559" w:type="dxa"/>
            <w:vMerge w:val="restart"/>
            <w:shd w:val="clear" w:color="auto" w:fill="B8CCEA"/>
            <w:vAlign w:val="center"/>
          </w:tcPr>
          <w:p w14:paraId="4DEC0A84" w14:textId="77777777" w:rsidR="009433BF" w:rsidRPr="00665402" w:rsidRDefault="009433BF" w:rsidP="00E07077">
            <w:pPr>
              <w:pStyle w:val="TableHeader"/>
              <w:rPr>
                <w:rFonts w:asciiTheme="minorHAnsi" w:hAnsiTheme="minorHAnsi" w:cstheme="minorHAnsi"/>
                <w:bCs/>
                <w:color w:val="263287"/>
                <w:sz w:val="20"/>
                <w:szCs w:val="20"/>
              </w:rPr>
            </w:pPr>
            <w:r w:rsidRPr="00665402">
              <w:rPr>
                <w:rFonts w:asciiTheme="minorHAnsi" w:hAnsiTheme="minorHAnsi" w:cstheme="minorHAnsi"/>
                <w:bCs/>
                <w:color w:val="263287"/>
                <w:sz w:val="20"/>
                <w:szCs w:val="20"/>
              </w:rPr>
              <w:t>Chemical name</w:t>
            </w:r>
          </w:p>
        </w:tc>
        <w:tc>
          <w:tcPr>
            <w:tcW w:w="1134" w:type="dxa"/>
            <w:vMerge w:val="restart"/>
            <w:shd w:val="clear" w:color="auto" w:fill="B8CCEA"/>
            <w:tcMar>
              <w:left w:w="57" w:type="dxa"/>
              <w:right w:w="57" w:type="dxa"/>
            </w:tcMar>
            <w:vAlign w:val="center"/>
          </w:tcPr>
          <w:p w14:paraId="735C4A9C" w14:textId="77777777" w:rsidR="009433BF" w:rsidRPr="00665402" w:rsidRDefault="009433BF" w:rsidP="00E07077">
            <w:pPr>
              <w:pStyle w:val="TableHeader"/>
              <w:rPr>
                <w:rFonts w:asciiTheme="minorHAnsi" w:hAnsiTheme="minorHAnsi" w:cstheme="minorHAnsi"/>
                <w:bCs/>
                <w:color w:val="263287"/>
                <w:sz w:val="20"/>
                <w:szCs w:val="20"/>
              </w:rPr>
            </w:pPr>
            <w:r w:rsidRPr="00665402">
              <w:rPr>
                <w:rFonts w:asciiTheme="minorHAnsi" w:hAnsiTheme="minorHAnsi" w:cstheme="minorHAnsi"/>
                <w:bCs/>
                <w:color w:val="263287"/>
                <w:sz w:val="20"/>
                <w:szCs w:val="20"/>
              </w:rPr>
              <w:t>Molecular formula</w:t>
            </w:r>
          </w:p>
        </w:tc>
        <w:tc>
          <w:tcPr>
            <w:tcW w:w="3261" w:type="dxa"/>
            <w:gridSpan w:val="4"/>
            <w:shd w:val="clear" w:color="auto" w:fill="B8CCEA"/>
          </w:tcPr>
          <w:p w14:paraId="36A728A6" w14:textId="77777777" w:rsidR="009433BF" w:rsidRPr="00665402" w:rsidRDefault="009433BF" w:rsidP="00E07077">
            <w:pPr>
              <w:pStyle w:val="TableHeader"/>
              <w:rPr>
                <w:rFonts w:asciiTheme="minorHAnsi" w:hAnsiTheme="minorHAnsi" w:cstheme="minorHAnsi"/>
                <w:bCs/>
                <w:color w:val="263287"/>
                <w:sz w:val="20"/>
                <w:szCs w:val="20"/>
              </w:rPr>
            </w:pPr>
            <w:r w:rsidRPr="00665402">
              <w:rPr>
                <w:rFonts w:asciiTheme="minorHAnsi" w:hAnsiTheme="minorHAnsi" w:cstheme="minorHAnsi"/>
                <w:bCs/>
                <w:color w:val="263287"/>
                <w:sz w:val="20"/>
                <w:szCs w:val="20"/>
              </w:rPr>
              <w:t xml:space="preserve">Physical properties  </w:t>
            </w:r>
          </w:p>
        </w:tc>
        <w:tc>
          <w:tcPr>
            <w:tcW w:w="1842" w:type="dxa"/>
            <w:vMerge w:val="restart"/>
            <w:shd w:val="clear" w:color="auto" w:fill="B8CCEA"/>
            <w:vAlign w:val="center"/>
          </w:tcPr>
          <w:p w14:paraId="45CF4A63" w14:textId="77777777" w:rsidR="009433BF" w:rsidRPr="00665402" w:rsidRDefault="009433BF" w:rsidP="00E07077">
            <w:pPr>
              <w:pStyle w:val="TableHeader"/>
              <w:rPr>
                <w:rFonts w:asciiTheme="minorHAnsi" w:hAnsiTheme="minorHAnsi" w:cstheme="minorHAnsi"/>
                <w:color w:val="263287"/>
                <w:sz w:val="20"/>
                <w:szCs w:val="20"/>
              </w:rPr>
            </w:pPr>
            <w:r w:rsidRPr="00665402">
              <w:rPr>
                <w:rFonts w:asciiTheme="minorHAnsi" w:hAnsiTheme="minorHAnsi" w:cstheme="minorHAnsi"/>
                <w:color w:val="263287"/>
                <w:sz w:val="20"/>
                <w:szCs w:val="20"/>
              </w:rPr>
              <w:t>Other names</w:t>
            </w:r>
          </w:p>
        </w:tc>
      </w:tr>
      <w:tr w:rsidR="003E7531" w:rsidRPr="0074486E" w14:paraId="272442AD" w14:textId="77777777" w:rsidTr="00A238C9">
        <w:trPr>
          <w:trHeight w:val="228"/>
          <w:tblHeader/>
        </w:trPr>
        <w:tc>
          <w:tcPr>
            <w:tcW w:w="1246" w:type="dxa"/>
            <w:vMerge/>
            <w:shd w:val="clear" w:color="auto" w:fill="B8CCEA"/>
            <w:tcMar>
              <w:top w:w="28" w:type="dxa"/>
              <w:left w:w="57" w:type="dxa"/>
              <w:bottom w:w="28" w:type="dxa"/>
              <w:right w:w="57" w:type="dxa"/>
            </w:tcMar>
            <w:vAlign w:val="center"/>
          </w:tcPr>
          <w:p w14:paraId="1E414CE6" w14:textId="77777777" w:rsidR="009433BF" w:rsidRPr="0008488D" w:rsidRDefault="009433BF" w:rsidP="00E07077">
            <w:pPr>
              <w:pStyle w:val="Tabletextleft"/>
              <w:rPr>
                <w:rFonts w:asciiTheme="minorHAnsi" w:hAnsiTheme="minorHAnsi" w:cstheme="minorHAnsi"/>
                <w:b/>
                <w:bCs/>
                <w:sz w:val="20"/>
                <w:szCs w:val="20"/>
              </w:rPr>
            </w:pPr>
          </w:p>
        </w:tc>
        <w:tc>
          <w:tcPr>
            <w:tcW w:w="1154" w:type="dxa"/>
            <w:vMerge/>
            <w:shd w:val="clear" w:color="auto" w:fill="B8CCEA"/>
            <w:vAlign w:val="center"/>
          </w:tcPr>
          <w:p w14:paraId="4A2FE4A0" w14:textId="77777777" w:rsidR="009433BF" w:rsidRPr="0008488D" w:rsidRDefault="009433BF" w:rsidP="00E07077">
            <w:pPr>
              <w:pStyle w:val="Tabletextleft"/>
              <w:rPr>
                <w:rFonts w:asciiTheme="minorHAnsi" w:hAnsiTheme="minorHAnsi" w:cstheme="minorHAnsi"/>
                <w:b/>
                <w:bCs/>
                <w:sz w:val="20"/>
                <w:szCs w:val="20"/>
              </w:rPr>
            </w:pPr>
          </w:p>
        </w:tc>
        <w:tc>
          <w:tcPr>
            <w:tcW w:w="1559" w:type="dxa"/>
            <w:vMerge/>
            <w:shd w:val="clear" w:color="auto" w:fill="B8CCEA"/>
            <w:vAlign w:val="center"/>
          </w:tcPr>
          <w:p w14:paraId="2A62BC7F" w14:textId="77777777" w:rsidR="009433BF" w:rsidRPr="0008488D" w:rsidRDefault="009433BF" w:rsidP="00E07077">
            <w:pPr>
              <w:pStyle w:val="Tabletextleft"/>
              <w:rPr>
                <w:rFonts w:asciiTheme="minorHAnsi" w:hAnsiTheme="minorHAnsi" w:cstheme="minorHAnsi"/>
                <w:b/>
                <w:bCs/>
                <w:sz w:val="20"/>
                <w:szCs w:val="20"/>
              </w:rPr>
            </w:pPr>
          </w:p>
        </w:tc>
        <w:tc>
          <w:tcPr>
            <w:tcW w:w="1134" w:type="dxa"/>
            <w:vMerge/>
            <w:shd w:val="clear" w:color="auto" w:fill="B8CCEA"/>
            <w:tcMar>
              <w:left w:w="57" w:type="dxa"/>
              <w:right w:w="57" w:type="dxa"/>
            </w:tcMar>
            <w:vAlign w:val="center"/>
          </w:tcPr>
          <w:p w14:paraId="28E61CF8" w14:textId="77777777" w:rsidR="009433BF" w:rsidRPr="0008488D" w:rsidRDefault="009433BF" w:rsidP="00E07077">
            <w:pPr>
              <w:pStyle w:val="Tabletextleft"/>
              <w:rPr>
                <w:rFonts w:asciiTheme="minorHAnsi" w:hAnsiTheme="minorHAnsi" w:cstheme="minorHAnsi"/>
                <w:b/>
                <w:bCs/>
                <w:sz w:val="20"/>
                <w:szCs w:val="20"/>
              </w:rPr>
            </w:pPr>
          </w:p>
        </w:tc>
        <w:tc>
          <w:tcPr>
            <w:tcW w:w="993" w:type="dxa"/>
            <w:shd w:val="clear" w:color="auto" w:fill="B8CCEA"/>
          </w:tcPr>
          <w:p w14:paraId="1EF21EDA" w14:textId="77777777" w:rsidR="009433BF" w:rsidRPr="00665402" w:rsidRDefault="009433BF" w:rsidP="00E07077">
            <w:pPr>
              <w:pStyle w:val="Tabletextleft"/>
              <w:rPr>
                <w:rFonts w:asciiTheme="minorHAnsi" w:hAnsiTheme="minorHAnsi" w:cstheme="minorHAnsi"/>
                <w:b/>
                <w:bCs/>
                <w:color w:val="263287"/>
                <w:sz w:val="16"/>
                <w:szCs w:val="16"/>
              </w:rPr>
            </w:pPr>
            <w:r w:rsidRPr="00665402">
              <w:rPr>
                <w:rFonts w:asciiTheme="minorHAnsi" w:hAnsiTheme="minorHAnsi" w:cstheme="minorHAnsi"/>
                <w:b/>
                <w:bCs/>
                <w:color w:val="263287"/>
                <w:sz w:val="16"/>
                <w:szCs w:val="16"/>
              </w:rPr>
              <w:t xml:space="preserve">Water solubility </w:t>
            </w:r>
          </w:p>
        </w:tc>
        <w:tc>
          <w:tcPr>
            <w:tcW w:w="850" w:type="dxa"/>
            <w:shd w:val="clear" w:color="auto" w:fill="B8CCEA"/>
          </w:tcPr>
          <w:p w14:paraId="499652FB" w14:textId="77777777" w:rsidR="009433BF" w:rsidRPr="00665402" w:rsidRDefault="009433BF" w:rsidP="00E07077">
            <w:pPr>
              <w:pStyle w:val="Tabletextleft"/>
              <w:rPr>
                <w:rFonts w:asciiTheme="minorHAnsi" w:hAnsiTheme="minorHAnsi" w:cstheme="minorHAnsi"/>
                <w:b/>
                <w:bCs/>
                <w:color w:val="263287"/>
                <w:sz w:val="16"/>
                <w:szCs w:val="16"/>
              </w:rPr>
            </w:pPr>
            <w:r w:rsidRPr="00665402">
              <w:rPr>
                <w:rFonts w:asciiTheme="minorHAnsi" w:hAnsiTheme="minorHAnsi" w:cstheme="minorHAnsi"/>
                <w:b/>
                <w:bCs/>
                <w:color w:val="263287"/>
                <w:sz w:val="16"/>
                <w:szCs w:val="16"/>
              </w:rPr>
              <w:t>MW g/mol</w:t>
            </w:r>
          </w:p>
        </w:tc>
        <w:tc>
          <w:tcPr>
            <w:tcW w:w="851" w:type="dxa"/>
            <w:shd w:val="clear" w:color="auto" w:fill="B8CCEA"/>
          </w:tcPr>
          <w:p w14:paraId="26FA5375" w14:textId="77777777" w:rsidR="009433BF" w:rsidRPr="00665402" w:rsidRDefault="009433BF" w:rsidP="00E07077">
            <w:pPr>
              <w:pStyle w:val="Tabletextleft"/>
              <w:rPr>
                <w:rFonts w:asciiTheme="minorHAnsi" w:hAnsiTheme="minorHAnsi" w:cstheme="minorHAnsi"/>
                <w:b/>
                <w:bCs/>
                <w:color w:val="263287"/>
                <w:sz w:val="16"/>
                <w:szCs w:val="16"/>
              </w:rPr>
            </w:pPr>
            <w:r w:rsidRPr="00665402">
              <w:rPr>
                <w:rFonts w:asciiTheme="minorHAnsi" w:hAnsiTheme="minorHAnsi" w:cstheme="minorHAnsi"/>
                <w:b/>
                <w:bCs/>
                <w:color w:val="263287"/>
                <w:sz w:val="16"/>
                <w:szCs w:val="16"/>
              </w:rPr>
              <w:t>Density</w:t>
            </w:r>
          </w:p>
        </w:tc>
        <w:tc>
          <w:tcPr>
            <w:tcW w:w="567" w:type="dxa"/>
            <w:shd w:val="clear" w:color="auto" w:fill="B8CCEA"/>
          </w:tcPr>
          <w:p w14:paraId="6C607509" w14:textId="77777777" w:rsidR="009433BF" w:rsidRPr="00665402" w:rsidRDefault="009433BF" w:rsidP="00E07077">
            <w:pPr>
              <w:pStyle w:val="Tabletextleft"/>
              <w:rPr>
                <w:rFonts w:asciiTheme="minorHAnsi" w:hAnsiTheme="minorHAnsi" w:cstheme="minorHAnsi"/>
                <w:b/>
                <w:bCs/>
                <w:color w:val="263287"/>
                <w:sz w:val="16"/>
                <w:szCs w:val="16"/>
              </w:rPr>
            </w:pPr>
            <w:r w:rsidRPr="00665402">
              <w:rPr>
                <w:rFonts w:asciiTheme="minorHAnsi" w:hAnsiTheme="minorHAnsi" w:cstheme="minorHAnsi"/>
                <w:b/>
                <w:bCs/>
                <w:color w:val="263287"/>
                <w:sz w:val="16"/>
                <w:szCs w:val="16"/>
              </w:rPr>
              <w:t>Log P</w:t>
            </w:r>
            <w:r w:rsidRPr="00665402">
              <w:rPr>
                <w:rFonts w:asciiTheme="minorHAnsi" w:hAnsiTheme="minorHAnsi" w:cstheme="minorHAnsi"/>
                <w:b/>
                <w:bCs/>
                <w:color w:val="263287"/>
                <w:sz w:val="16"/>
                <w:szCs w:val="16"/>
                <w:vertAlign w:val="subscript"/>
              </w:rPr>
              <w:t>ow</w:t>
            </w:r>
          </w:p>
        </w:tc>
        <w:tc>
          <w:tcPr>
            <w:tcW w:w="1842" w:type="dxa"/>
            <w:vMerge/>
            <w:shd w:val="clear" w:color="auto" w:fill="B8CCEA"/>
            <w:vAlign w:val="center"/>
          </w:tcPr>
          <w:p w14:paraId="4B76C9B0" w14:textId="77777777" w:rsidR="009433BF" w:rsidRPr="0074486E" w:rsidRDefault="009433BF" w:rsidP="00E07077">
            <w:pPr>
              <w:pStyle w:val="Tabletextleft"/>
              <w:rPr>
                <w:sz w:val="22"/>
                <w:szCs w:val="22"/>
              </w:rPr>
            </w:pPr>
          </w:p>
        </w:tc>
      </w:tr>
      <w:tr w:rsidR="009433BF" w:rsidRPr="0074486E" w14:paraId="6FF77AE1" w14:textId="77777777" w:rsidTr="00A238C9">
        <w:trPr>
          <w:trHeight w:val="2692"/>
        </w:trPr>
        <w:tc>
          <w:tcPr>
            <w:tcW w:w="1246" w:type="dxa"/>
            <w:shd w:val="clear" w:color="auto" w:fill="auto"/>
            <w:tcMar>
              <w:top w:w="57" w:type="dxa"/>
              <w:bottom w:w="57" w:type="dxa"/>
            </w:tcMar>
            <w:vAlign w:val="center"/>
          </w:tcPr>
          <w:p w14:paraId="351EA33E" w14:textId="77777777" w:rsidR="009433BF" w:rsidRPr="00980585" w:rsidRDefault="009433BF" w:rsidP="00E07077">
            <w:pPr>
              <w:pStyle w:val="Tabletext"/>
              <w:rPr>
                <w:rFonts w:asciiTheme="minorHAnsi" w:eastAsia="Cambria" w:hAnsiTheme="minorHAnsi" w:cstheme="minorHAnsi"/>
                <w:sz w:val="18"/>
                <w:szCs w:val="18"/>
              </w:rPr>
            </w:pPr>
            <w:r w:rsidRPr="00980585">
              <w:rPr>
                <w:rFonts w:asciiTheme="minorHAnsi" w:hAnsiTheme="minorHAnsi" w:cstheme="minorHAnsi"/>
                <w:sz w:val="18"/>
                <w:szCs w:val="18"/>
              </w:rPr>
              <w:t xml:space="preserve">Butyl </w:t>
            </w:r>
            <w:proofErr w:type="spellStart"/>
            <w:r w:rsidRPr="00980585">
              <w:rPr>
                <w:rFonts w:asciiTheme="minorHAnsi" w:hAnsiTheme="minorHAnsi" w:cstheme="minorHAnsi"/>
                <w:sz w:val="18"/>
                <w:szCs w:val="18"/>
              </w:rPr>
              <w:t>methoxydibenzoylmethane</w:t>
            </w:r>
            <w:proofErr w:type="spellEnd"/>
            <w:r w:rsidRPr="00980585">
              <w:rPr>
                <w:rFonts w:asciiTheme="minorHAnsi" w:hAnsiTheme="minorHAnsi" w:cstheme="minorHAnsi"/>
                <w:sz w:val="18"/>
                <w:szCs w:val="18"/>
              </w:rPr>
              <w:t xml:space="preserve"> </w:t>
            </w:r>
            <w:r w:rsidRPr="00980585">
              <w:rPr>
                <w:rFonts w:asciiTheme="minorHAnsi" w:eastAsia="Cambria" w:hAnsiTheme="minorHAnsi" w:cstheme="minorHAnsi"/>
                <w:sz w:val="18"/>
                <w:szCs w:val="18"/>
              </w:rPr>
              <w:t xml:space="preserve">(avobenzone, </w:t>
            </w:r>
            <w:r w:rsidRPr="00980585">
              <w:rPr>
                <w:rFonts w:asciiTheme="minorHAnsi" w:hAnsiTheme="minorHAnsi" w:cstheme="minorHAnsi"/>
                <w:sz w:val="18"/>
                <w:szCs w:val="18"/>
              </w:rPr>
              <w:t>BMDM</w:t>
            </w:r>
            <w:r w:rsidRPr="00980585">
              <w:rPr>
                <w:rFonts w:asciiTheme="minorHAnsi" w:eastAsia="Cambria" w:hAnsiTheme="minorHAnsi" w:cstheme="minorHAnsi"/>
                <w:sz w:val="18"/>
                <w:szCs w:val="18"/>
              </w:rPr>
              <w:t xml:space="preserve"> or BMDBM)</w:t>
            </w:r>
          </w:p>
          <w:p w14:paraId="7369446E" w14:textId="77777777" w:rsidR="009433BF" w:rsidRPr="00980585" w:rsidRDefault="009433BF" w:rsidP="00E07077">
            <w:pPr>
              <w:pStyle w:val="Tabletext"/>
              <w:rPr>
                <w:rFonts w:asciiTheme="minorHAnsi" w:hAnsiTheme="minorHAnsi" w:cstheme="minorHAnsi"/>
                <w:i/>
                <w:sz w:val="18"/>
                <w:szCs w:val="18"/>
              </w:rPr>
            </w:pPr>
            <w:r w:rsidRPr="00980585">
              <w:rPr>
                <w:rFonts w:asciiTheme="minorHAnsi" w:hAnsiTheme="minorHAnsi" w:cstheme="minorHAnsi"/>
                <w:i/>
                <w:sz w:val="18"/>
                <w:szCs w:val="18"/>
              </w:rPr>
              <w:t>UVA</w:t>
            </w:r>
          </w:p>
          <w:p w14:paraId="28733808" w14:textId="77777777" w:rsidR="009433BF" w:rsidRPr="00980585" w:rsidRDefault="009433BF" w:rsidP="00E07077">
            <w:pPr>
              <w:pStyle w:val="Tabletext"/>
              <w:rPr>
                <w:rFonts w:asciiTheme="minorHAnsi" w:hAnsiTheme="minorHAnsi" w:cstheme="minorHAnsi"/>
                <w:i/>
                <w:sz w:val="18"/>
                <w:szCs w:val="18"/>
              </w:rPr>
            </w:pPr>
            <w:proofErr w:type="spellStart"/>
            <w:r w:rsidRPr="00980585">
              <w:rPr>
                <w:rFonts w:asciiTheme="minorHAnsi" w:hAnsiTheme="minorHAnsi" w:cstheme="minorHAnsi"/>
                <w:i/>
                <w:sz w:val="18"/>
                <w:szCs w:val="18"/>
              </w:rPr>
              <w:t>λ</w:t>
            </w:r>
            <w:r w:rsidRPr="00980585">
              <w:rPr>
                <w:rFonts w:asciiTheme="minorHAnsi" w:hAnsiTheme="minorHAnsi" w:cstheme="minorHAnsi"/>
                <w:i/>
                <w:sz w:val="18"/>
                <w:szCs w:val="18"/>
                <w:vertAlign w:val="subscript"/>
              </w:rPr>
              <w:t>max</w:t>
            </w:r>
            <w:proofErr w:type="spellEnd"/>
            <w:r w:rsidRPr="00980585">
              <w:rPr>
                <w:rFonts w:asciiTheme="minorHAnsi" w:hAnsiTheme="minorHAnsi" w:cstheme="minorHAnsi"/>
                <w:i/>
                <w:sz w:val="18"/>
                <w:szCs w:val="18"/>
                <w:vertAlign w:val="subscript"/>
              </w:rPr>
              <w:t xml:space="preserve"> </w:t>
            </w:r>
            <w:r w:rsidRPr="00980585">
              <w:rPr>
                <w:rFonts w:asciiTheme="minorHAnsi" w:hAnsiTheme="minorHAnsi" w:cstheme="minorHAnsi"/>
                <w:i/>
                <w:sz w:val="18"/>
                <w:szCs w:val="18"/>
              </w:rPr>
              <w:t>355 nm</w:t>
            </w:r>
          </w:p>
        </w:tc>
        <w:tc>
          <w:tcPr>
            <w:tcW w:w="1154" w:type="dxa"/>
            <w:shd w:val="clear" w:color="auto" w:fill="auto"/>
            <w:vAlign w:val="center"/>
          </w:tcPr>
          <w:p w14:paraId="67395F59"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70356-09-1</w:t>
            </w:r>
          </w:p>
        </w:tc>
        <w:tc>
          <w:tcPr>
            <w:tcW w:w="1559" w:type="dxa"/>
            <w:shd w:val="clear" w:color="auto" w:fill="auto"/>
            <w:vAlign w:val="center"/>
          </w:tcPr>
          <w:p w14:paraId="1F0BCE5F"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1,3-Propanedione, 1-[4-(1,1-</w:t>
            </w:r>
            <w:proofErr w:type="gramStart"/>
            <w:r w:rsidRPr="00980585">
              <w:rPr>
                <w:rFonts w:asciiTheme="minorHAnsi" w:hAnsiTheme="minorHAnsi" w:cstheme="minorHAnsi"/>
                <w:sz w:val="18"/>
                <w:szCs w:val="18"/>
              </w:rPr>
              <w:t>dimethylethyl)phenyl</w:t>
            </w:r>
            <w:proofErr w:type="gramEnd"/>
            <w:r w:rsidRPr="00980585">
              <w:rPr>
                <w:rFonts w:asciiTheme="minorHAnsi" w:hAnsiTheme="minorHAnsi" w:cstheme="minorHAnsi"/>
                <w:sz w:val="18"/>
                <w:szCs w:val="18"/>
              </w:rPr>
              <w:t>]-3-(4-methoxyphenyl)-</w:t>
            </w:r>
          </w:p>
        </w:tc>
        <w:tc>
          <w:tcPr>
            <w:tcW w:w="1134" w:type="dxa"/>
            <w:shd w:val="clear" w:color="auto" w:fill="auto"/>
            <w:vAlign w:val="center"/>
          </w:tcPr>
          <w:p w14:paraId="22F8E1B7"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C</w:t>
            </w:r>
            <w:r w:rsidRPr="00980585">
              <w:rPr>
                <w:rFonts w:asciiTheme="minorHAnsi" w:hAnsiTheme="minorHAnsi" w:cstheme="minorHAnsi"/>
                <w:sz w:val="18"/>
                <w:szCs w:val="18"/>
                <w:vertAlign w:val="subscript"/>
              </w:rPr>
              <w:t>20</w:t>
            </w:r>
            <w:r w:rsidRPr="00980585">
              <w:rPr>
                <w:rFonts w:asciiTheme="minorHAnsi" w:hAnsiTheme="minorHAnsi" w:cstheme="minorHAnsi"/>
                <w:sz w:val="18"/>
                <w:szCs w:val="18"/>
              </w:rPr>
              <w:t>H</w:t>
            </w:r>
            <w:r w:rsidRPr="00980585">
              <w:rPr>
                <w:rFonts w:asciiTheme="minorHAnsi" w:hAnsiTheme="minorHAnsi" w:cstheme="minorHAnsi"/>
                <w:sz w:val="18"/>
                <w:szCs w:val="18"/>
                <w:vertAlign w:val="subscript"/>
              </w:rPr>
              <w:t>22</w:t>
            </w:r>
            <w:r w:rsidRPr="00980585">
              <w:rPr>
                <w:rFonts w:asciiTheme="minorHAnsi" w:hAnsiTheme="minorHAnsi" w:cstheme="minorHAnsi"/>
                <w:sz w:val="18"/>
                <w:szCs w:val="18"/>
              </w:rPr>
              <w:t>O</w:t>
            </w:r>
            <w:r w:rsidRPr="00980585">
              <w:rPr>
                <w:rFonts w:asciiTheme="minorHAnsi" w:hAnsiTheme="minorHAnsi" w:cstheme="minorHAnsi"/>
                <w:sz w:val="18"/>
                <w:szCs w:val="18"/>
                <w:vertAlign w:val="subscript"/>
              </w:rPr>
              <w:t>3</w:t>
            </w:r>
          </w:p>
        </w:tc>
        <w:tc>
          <w:tcPr>
            <w:tcW w:w="993" w:type="dxa"/>
            <w:shd w:val="clear" w:color="auto" w:fill="auto"/>
            <w:vAlign w:val="center"/>
          </w:tcPr>
          <w:p w14:paraId="40F7DCBB"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 xml:space="preserve">0.01 mg/L </w:t>
            </w:r>
          </w:p>
        </w:tc>
        <w:tc>
          <w:tcPr>
            <w:tcW w:w="850" w:type="dxa"/>
            <w:shd w:val="clear" w:color="auto" w:fill="auto"/>
            <w:vAlign w:val="center"/>
          </w:tcPr>
          <w:p w14:paraId="7FDBD50F"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310.4</w:t>
            </w:r>
          </w:p>
        </w:tc>
        <w:tc>
          <w:tcPr>
            <w:tcW w:w="851" w:type="dxa"/>
            <w:vAlign w:val="center"/>
          </w:tcPr>
          <w:p w14:paraId="2F89AC91"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1.1±0.1 g/cm</w:t>
            </w:r>
            <w:r w:rsidRPr="00980585">
              <w:rPr>
                <w:rFonts w:asciiTheme="minorHAnsi" w:hAnsiTheme="minorHAnsi" w:cstheme="minorHAnsi"/>
                <w:sz w:val="18"/>
                <w:szCs w:val="18"/>
                <w:vertAlign w:val="superscript"/>
              </w:rPr>
              <w:t>3</w:t>
            </w:r>
          </w:p>
        </w:tc>
        <w:tc>
          <w:tcPr>
            <w:tcW w:w="567" w:type="dxa"/>
            <w:shd w:val="clear" w:color="auto" w:fill="auto"/>
            <w:vAlign w:val="center"/>
          </w:tcPr>
          <w:p w14:paraId="4FAE03ED"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4.5-6.1</w:t>
            </w:r>
          </w:p>
        </w:tc>
        <w:tc>
          <w:tcPr>
            <w:tcW w:w="1842" w:type="dxa"/>
            <w:vAlign w:val="center"/>
          </w:tcPr>
          <w:p w14:paraId="61D97F5A" w14:textId="77777777" w:rsidR="009433BF" w:rsidRPr="00980585" w:rsidRDefault="009433BF" w:rsidP="00E07077">
            <w:pPr>
              <w:pStyle w:val="Tabletext"/>
              <w:rPr>
                <w:rFonts w:asciiTheme="minorHAnsi" w:eastAsiaTheme="minorHAnsi" w:hAnsiTheme="minorHAnsi" w:cstheme="minorHAnsi"/>
                <w:sz w:val="18"/>
                <w:szCs w:val="18"/>
              </w:rPr>
            </w:pPr>
            <w:r w:rsidRPr="00980585">
              <w:rPr>
                <w:rFonts w:asciiTheme="minorHAnsi" w:hAnsiTheme="minorHAnsi" w:cstheme="minorHAnsi"/>
                <w:sz w:val="18"/>
                <w:szCs w:val="18"/>
              </w:rPr>
              <w:t xml:space="preserve">Butyl </w:t>
            </w:r>
            <w:proofErr w:type="spellStart"/>
            <w:r w:rsidRPr="00980585">
              <w:rPr>
                <w:rFonts w:asciiTheme="minorHAnsi" w:hAnsiTheme="minorHAnsi" w:cstheme="minorHAnsi"/>
                <w:sz w:val="18"/>
                <w:szCs w:val="18"/>
              </w:rPr>
              <w:t>methoxydibenzoylmethane</w:t>
            </w:r>
            <w:proofErr w:type="spellEnd"/>
            <w:r w:rsidRPr="00980585">
              <w:rPr>
                <w:rFonts w:asciiTheme="minorHAnsi" w:eastAsiaTheme="minorHAnsi" w:hAnsiTheme="minorHAnsi" w:cstheme="minorHAnsi"/>
                <w:sz w:val="18"/>
                <w:szCs w:val="18"/>
              </w:rPr>
              <w:t xml:space="preserve">, </w:t>
            </w:r>
            <w:proofErr w:type="spellStart"/>
            <w:r w:rsidRPr="00980585">
              <w:rPr>
                <w:rFonts w:asciiTheme="minorHAnsi" w:hAnsiTheme="minorHAnsi" w:cstheme="minorHAnsi"/>
                <w:sz w:val="18"/>
                <w:szCs w:val="18"/>
              </w:rPr>
              <w:t>Eusolex</w:t>
            </w:r>
            <w:proofErr w:type="spellEnd"/>
            <w:r w:rsidRPr="00980585">
              <w:rPr>
                <w:rFonts w:asciiTheme="minorHAnsi" w:eastAsia="Cambria" w:hAnsiTheme="minorHAnsi" w:cstheme="minorHAnsi"/>
                <w:sz w:val="18"/>
                <w:szCs w:val="18"/>
              </w:rPr>
              <w:t xml:space="preserve">® 020, </w:t>
            </w:r>
            <w:proofErr w:type="spellStart"/>
            <w:r w:rsidRPr="00980585">
              <w:rPr>
                <w:rFonts w:asciiTheme="minorHAnsi" w:eastAsia="Cambria" w:hAnsiTheme="minorHAnsi" w:cstheme="minorHAnsi"/>
                <w:sz w:val="18"/>
                <w:szCs w:val="18"/>
              </w:rPr>
              <w:t>Parsol</w:t>
            </w:r>
            <w:proofErr w:type="spellEnd"/>
            <w:r w:rsidRPr="00980585">
              <w:rPr>
                <w:rFonts w:asciiTheme="minorHAnsi" w:eastAsia="Cambria" w:hAnsiTheme="minorHAnsi" w:cstheme="minorHAnsi"/>
                <w:sz w:val="18"/>
                <w:szCs w:val="18"/>
              </w:rPr>
              <w:t>® 1789, 4-tert-butyl-4’methoxydibenzoylmethane, BMDBM</w:t>
            </w:r>
          </w:p>
        </w:tc>
      </w:tr>
      <w:tr w:rsidR="009433BF" w:rsidRPr="0074486E" w14:paraId="29396C1C" w14:textId="77777777" w:rsidTr="00A238C9">
        <w:trPr>
          <w:trHeight w:val="255"/>
        </w:trPr>
        <w:tc>
          <w:tcPr>
            <w:tcW w:w="1246" w:type="dxa"/>
            <w:shd w:val="clear" w:color="auto" w:fill="auto"/>
            <w:tcMar>
              <w:top w:w="57" w:type="dxa"/>
              <w:bottom w:w="57" w:type="dxa"/>
            </w:tcMar>
            <w:vAlign w:val="center"/>
          </w:tcPr>
          <w:p w14:paraId="04320C1E" w14:textId="77777777" w:rsidR="009433BF" w:rsidRPr="00980585" w:rsidRDefault="009433BF" w:rsidP="00E07077">
            <w:pPr>
              <w:pStyle w:val="Tabletext"/>
              <w:rPr>
                <w:rFonts w:asciiTheme="minorHAnsi" w:hAnsiTheme="minorHAnsi" w:cstheme="minorHAnsi"/>
                <w:sz w:val="18"/>
                <w:szCs w:val="18"/>
              </w:rPr>
            </w:pPr>
            <w:proofErr w:type="spellStart"/>
            <w:r w:rsidRPr="00980585">
              <w:rPr>
                <w:rFonts w:asciiTheme="minorHAnsi" w:hAnsiTheme="minorHAnsi" w:cstheme="minorHAnsi"/>
                <w:sz w:val="18"/>
                <w:szCs w:val="18"/>
              </w:rPr>
              <w:t>Ethylhexyl</w:t>
            </w:r>
            <w:proofErr w:type="spellEnd"/>
            <w:r w:rsidRPr="00980585">
              <w:rPr>
                <w:rFonts w:asciiTheme="minorHAnsi" w:hAnsiTheme="minorHAnsi" w:cstheme="minorHAnsi"/>
                <w:sz w:val="18"/>
                <w:szCs w:val="18"/>
              </w:rPr>
              <w:t xml:space="preserve"> </w:t>
            </w:r>
            <w:proofErr w:type="spellStart"/>
            <w:r w:rsidRPr="00980585">
              <w:rPr>
                <w:rFonts w:asciiTheme="minorHAnsi" w:hAnsiTheme="minorHAnsi" w:cstheme="minorHAnsi"/>
                <w:sz w:val="18"/>
                <w:szCs w:val="18"/>
              </w:rPr>
              <w:t>triazone</w:t>
            </w:r>
            <w:proofErr w:type="spellEnd"/>
            <w:r w:rsidRPr="00980585">
              <w:rPr>
                <w:rFonts w:asciiTheme="minorHAnsi" w:hAnsiTheme="minorHAnsi" w:cstheme="minorHAnsi"/>
                <w:sz w:val="18"/>
                <w:szCs w:val="18"/>
              </w:rPr>
              <w:t xml:space="preserve"> </w:t>
            </w:r>
          </w:p>
          <w:p w14:paraId="0F07907A" w14:textId="77777777" w:rsidR="009433BF" w:rsidRPr="00980585" w:rsidRDefault="009433BF" w:rsidP="00E07077">
            <w:pPr>
              <w:pStyle w:val="Tabletext"/>
              <w:rPr>
                <w:rFonts w:asciiTheme="minorHAnsi" w:hAnsiTheme="minorHAnsi" w:cstheme="minorHAnsi"/>
                <w:i/>
                <w:sz w:val="18"/>
                <w:szCs w:val="18"/>
              </w:rPr>
            </w:pPr>
            <w:r w:rsidRPr="00980585">
              <w:rPr>
                <w:rFonts w:asciiTheme="minorHAnsi" w:hAnsiTheme="minorHAnsi" w:cstheme="minorHAnsi"/>
                <w:i/>
                <w:sz w:val="18"/>
                <w:szCs w:val="18"/>
              </w:rPr>
              <w:t>UVB</w:t>
            </w:r>
          </w:p>
          <w:p w14:paraId="6033CB30" w14:textId="6B11C551" w:rsidR="009433BF" w:rsidRPr="00980585" w:rsidRDefault="009433BF" w:rsidP="00BA4549">
            <w:pPr>
              <w:pStyle w:val="Tabletext"/>
              <w:rPr>
                <w:rFonts w:asciiTheme="minorHAnsi" w:hAnsiTheme="minorHAnsi" w:cstheme="minorHAnsi"/>
                <w:sz w:val="18"/>
                <w:szCs w:val="18"/>
              </w:rPr>
            </w:pPr>
            <w:proofErr w:type="spellStart"/>
            <w:r w:rsidRPr="00980585">
              <w:rPr>
                <w:rFonts w:asciiTheme="minorHAnsi" w:hAnsiTheme="minorHAnsi" w:cstheme="minorHAnsi"/>
                <w:i/>
                <w:sz w:val="18"/>
                <w:szCs w:val="18"/>
              </w:rPr>
              <w:t>λ</w:t>
            </w:r>
            <w:r w:rsidRPr="00980585">
              <w:rPr>
                <w:rFonts w:asciiTheme="minorHAnsi" w:hAnsiTheme="minorHAnsi" w:cstheme="minorHAnsi"/>
                <w:i/>
                <w:sz w:val="18"/>
                <w:szCs w:val="18"/>
                <w:vertAlign w:val="subscript"/>
              </w:rPr>
              <w:t>max</w:t>
            </w:r>
            <w:proofErr w:type="spellEnd"/>
            <w:r w:rsidRPr="00980585">
              <w:rPr>
                <w:rFonts w:asciiTheme="minorHAnsi" w:hAnsiTheme="minorHAnsi" w:cstheme="minorHAnsi"/>
                <w:i/>
                <w:sz w:val="18"/>
                <w:szCs w:val="18"/>
              </w:rPr>
              <w:t xml:space="preserve"> 314 nm</w:t>
            </w:r>
          </w:p>
        </w:tc>
        <w:tc>
          <w:tcPr>
            <w:tcW w:w="1154" w:type="dxa"/>
            <w:shd w:val="clear" w:color="auto" w:fill="auto"/>
            <w:vAlign w:val="center"/>
          </w:tcPr>
          <w:p w14:paraId="3E06C927"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 xml:space="preserve">88122-99-0 </w:t>
            </w:r>
          </w:p>
        </w:tc>
        <w:tc>
          <w:tcPr>
            <w:tcW w:w="1559" w:type="dxa"/>
            <w:shd w:val="clear" w:color="auto" w:fill="auto"/>
            <w:vAlign w:val="center"/>
          </w:tcPr>
          <w:p w14:paraId="255FB968"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2,4,6-Trianilino-(p-carbo-2’-ethylhexyl-l’-oxy)-1,3,5- triazine</w:t>
            </w:r>
          </w:p>
        </w:tc>
        <w:tc>
          <w:tcPr>
            <w:tcW w:w="1134" w:type="dxa"/>
            <w:shd w:val="clear" w:color="auto" w:fill="auto"/>
            <w:vAlign w:val="center"/>
          </w:tcPr>
          <w:p w14:paraId="64589542"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C</w:t>
            </w:r>
            <w:r w:rsidRPr="00980585">
              <w:rPr>
                <w:rFonts w:asciiTheme="minorHAnsi" w:hAnsiTheme="minorHAnsi" w:cstheme="minorHAnsi"/>
                <w:sz w:val="18"/>
                <w:szCs w:val="18"/>
                <w:vertAlign w:val="subscript"/>
              </w:rPr>
              <w:t>48</w:t>
            </w:r>
            <w:r w:rsidRPr="00980585">
              <w:rPr>
                <w:rFonts w:asciiTheme="minorHAnsi" w:hAnsiTheme="minorHAnsi" w:cstheme="minorHAnsi"/>
                <w:sz w:val="18"/>
                <w:szCs w:val="18"/>
              </w:rPr>
              <w:t>H</w:t>
            </w:r>
            <w:r w:rsidRPr="00980585">
              <w:rPr>
                <w:rFonts w:asciiTheme="minorHAnsi" w:hAnsiTheme="minorHAnsi" w:cstheme="minorHAnsi"/>
                <w:sz w:val="18"/>
                <w:szCs w:val="18"/>
                <w:vertAlign w:val="subscript"/>
              </w:rPr>
              <w:t>66</w:t>
            </w:r>
            <w:r w:rsidRPr="00980585">
              <w:rPr>
                <w:rFonts w:asciiTheme="minorHAnsi" w:hAnsiTheme="minorHAnsi" w:cstheme="minorHAnsi"/>
                <w:sz w:val="18"/>
                <w:szCs w:val="18"/>
              </w:rPr>
              <w:t>N</w:t>
            </w:r>
            <w:r w:rsidRPr="00980585">
              <w:rPr>
                <w:rFonts w:asciiTheme="minorHAnsi" w:hAnsiTheme="minorHAnsi" w:cstheme="minorHAnsi"/>
                <w:sz w:val="18"/>
                <w:szCs w:val="18"/>
                <w:vertAlign w:val="subscript"/>
              </w:rPr>
              <w:t>6</w:t>
            </w:r>
            <w:r w:rsidRPr="00980585">
              <w:rPr>
                <w:rFonts w:asciiTheme="minorHAnsi" w:hAnsiTheme="minorHAnsi" w:cstheme="minorHAnsi"/>
                <w:sz w:val="18"/>
                <w:szCs w:val="18"/>
              </w:rPr>
              <w:t>O</w:t>
            </w:r>
            <w:r w:rsidRPr="00980585">
              <w:rPr>
                <w:rFonts w:asciiTheme="minorHAnsi" w:hAnsiTheme="minorHAnsi" w:cstheme="minorHAnsi"/>
                <w:sz w:val="18"/>
                <w:szCs w:val="18"/>
                <w:vertAlign w:val="subscript"/>
              </w:rPr>
              <w:t>6</w:t>
            </w:r>
          </w:p>
        </w:tc>
        <w:tc>
          <w:tcPr>
            <w:tcW w:w="993" w:type="dxa"/>
            <w:shd w:val="clear" w:color="auto" w:fill="auto"/>
            <w:vAlign w:val="center"/>
          </w:tcPr>
          <w:p w14:paraId="3562F3F2"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0.005 mg/L at 20°C</w:t>
            </w:r>
          </w:p>
        </w:tc>
        <w:tc>
          <w:tcPr>
            <w:tcW w:w="850" w:type="dxa"/>
            <w:shd w:val="clear" w:color="auto" w:fill="auto"/>
            <w:vAlign w:val="center"/>
          </w:tcPr>
          <w:p w14:paraId="30356521"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823.1</w:t>
            </w:r>
          </w:p>
        </w:tc>
        <w:tc>
          <w:tcPr>
            <w:tcW w:w="851" w:type="dxa"/>
            <w:vAlign w:val="center"/>
          </w:tcPr>
          <w:p w14:paraId="0B757124"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1.1±0.1 g/cm</w:t>
            </w:r>
            <w:r w:rsidRPr="00980585">
              <w:rPr>
                <w:rFonts w:asciiTheme="minorHAnsi" w:hAnsiTheme="minorHAnsi" w:cstheme="minorHAnsi"/>
                <w:sz w:val="18"/>
                <w:szCs w:val="18"/>
                <w:vertAlign w:val="superscript"/>
              </w:rPr>
              <w:t>3</w:t>
            </w:r>
          </w:p>
        </w:tc>
        <w:tc>
          <w:tcPr>
            <w:tcW w:w="567" w:type="dxa"/>
            <w:shd w:val="clear" w:color="auto" w:fill="auto"/>
            <w:vAlign w:val="center"/>
          </w:tcPr>
          <w:p w14:paraId="338236DD"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 xml:space="preserve">15.5 </w:t>
            </w:r>
          </w:p>
        </w:tc>
        <w:tc>
          <w:tcPr>
            <w:tcW w:w="1842" w:type="dxa"/>
            <w:vAlign w:val="center"/>
          </w:tcPr>
          <w:p w14:paraId="257F8C63" w14:textId="77777777" w:rsidR="009433BF" w:rsidRPr="00980585" w:rsidRDefault="009433BF" w:rsidP="00E07077">
            <w:pPr>
              <w:pStyle w:val="Tabletext"/>
              <w:rPr>
                <w:rFonts w:asciiTheme="minorHAnsi" w:eastAsiaTheme="minorHAnsi" w:hAnsiTheme="minorHAnsi" w:cstheme="minorHAnsi"/>
                <w:sz w:val="18"/>
                <w:szCs w:val="18"/>
              </w:rPr>
            </w:pPr>
            <w:proofErr w:type="spellStart"/>
            <w:r w:rsidRPr="00980585">
              <w:rPr>
                <w:rFonts w:asciiTheme="minorHAnsi" w:hAnsiTheme="minorHAnsi" w:cstheme="minorHAnsi"/>
                <w:sz w:val="18"/>
                <w:szCs w:val="18"/>
              </w:rPr>
              <w:t>Uvinul</w:t>
            </w:r>
            <w:proofErr w:type="spellEnd"/>
            <w:r w:rsidRPr="00980585">
              <w:rPr>
                <w:rFonts w:asciiTheme="minorHAnsi" w:hAnsiTheme="minorHAnsi" w:cstheme="minorHAnsi"/>
                <w:sz w:val="18"/>
                <w:szCs w:val="18"/>
              </w:rPr>
              <w:t xml:space="preserve"> T150, (octyl </w:t>
            </w:r>
            <w:proofErr w:type="spellStart"/>
            <w:r w:rsidRPr="00980585">
              <w:rPr>
                <w:rFonts w:asciiTheme="minorHAnsi" w:hAnsiTheme="minorHAnsi" w:cstheme="minorHAnsi"/>
                <w:sz w:val="18"/>
                <w:szCs w:val="18"/>
              </w:rPr>
              <w:t>triazone</w:t>
            </w:r>
            <w:proofErr w:type="spellEnd"/>
            <w:r w:rsidRPr="00980585">
              <w:rPr>
                <w:rFonts w:asciiTheme="minorHAnsi" w:hAnsiTheme="minorHAnsi" w:cstheme="minorHAnsi"/>
                <w:sz w:val="18"/>
                <w:szCs w:val="18"/>
              </w:rPr>
              <w:t>)</w:t>
            </w:r>
          </w:p>
        </w:tc>
      </w:tr>
      <w:tr w:rsidR="009433BF" w:rsidRPr="0074486E" w14:paraId="11EADC71" w14:textId="77777777" w:rsidTr="00A238C9">
        <w:trPr>
          <w:trHeight w:val="255"/>
        </w:trPr>
        <w:tc>
          <w:tcPr>
            <w:tcW w:w="1246" w:type="dxa"/>
            <w:shd w:val="clear" w:color="auto" w:fill="auto"/>
            <w:tcMar>
              <w:top w:w="57" w:type="dxa"/>
              <w:bottom w:w="57" w:type="dxa"/>
            </w:tcMar>
            <w:vAlign w:val="center"/>
          </w:tcPr>
          <w:p w14:paraId="1AF54637" w14:textId="77777777" w:rsidR="009433BF" w:rsidRPr="00980585" w:rsidRDefault="009433BF" w:rsidP="00E07077">
            <w:pPr>
              <w:pStyle w:val="Tabletext"/>
              <w:rPr>
                <w:rFonts w:asciiTheme="minorHAnsi" w:hAnsiTheme="minorHAnsi" w:cstheme="minorHAnsi"/>
                <w:sz w:val="18"/>
                <w:szCs w:val="18"/>
              </w:rPr>
            </w:pPr>
            <w:proofErr w:type="spellStart"/>
            <w:r w:rsidRPr="00980585">
              <w:rPr>
                <w:rFonts w:asciiTheme="minorHAnsi" w:hAnsiTheme="minorHAnsi" w:cstheme="minorHAnsi"/>
                <w:sz w:val="18"/>
                <w:szCs w:val="18"/>
              </w:rPr>
              <w:lastRenderedPageBreak/>
              <w:t>Homosalate</w:t>
            </w:r>
            <w:proofErr w:type="spellEnd"/>
          </w:p>
          <w:p w14:paraId="4E936FDD" w14:textId="77777777" w:rsidR="009433BF" w:rsidRPr="00980585" w:rsidRDefault="009433BF" w:rsidP="00E07077">
            <w:pPr>
              <w:pStyle w:val="Tabletext"/>
              <w:rPr>
                <w:rFonts w:asciiTheme="minorHAnsi" w:hAnsiTheme="minorHAnsi" w:cstheme="minorHAnsi"/>
                <w:i/>
                <w:sz w:val="18"/>
                <w:szCs w:val="18"/>
              </w:rPr>
            </w:pPr>
            <w:r w:rsidRPr="00980585">
              <w:rPr>
                <w:rFonts w:asciiTheme="minorHAnsi" w:hAnsiTheme="minorHAnsi" w:cstheme="minorHAnsi"/>
                <w:i/>
                <w:sz w:val="18"/>
                <w:szCs w:val="18"/>
              </w:rPr>
              <w:t xml:space="preserve">UVB </w:t>
            </w:r>
          </w:p>
          <w:p w14:paraId="093760DB" w14:textId="77777777" w:rsidR="009433BF" w:rsidRPr="00980585" w:rsidRDefault="009433BF" w:rsidP="00E07077">
            <w:pPr>
              <w:pStyle w:val="Tabletext"/>
              <w:rPr>
                <w:rFonts w:asciiTheme="minorHAnsi" w:hAnsiTheme="minorHAnsi" w:cstheme="minorHAnsi"/>
                <w:i/>
                <w:sz w:val="18"/>
                <w:szCs w:val="18"/>
              </w:rPr>
            </w:pPr>
            <w:proofErr w:type="spellStart"/>
            <w:r w:rsidRPr="00980585">
              <w:rPr>
                <w:rFonts w:asciiTheme="minorHAnsi" w:hAnsiTheme="minorHAnsi" w:cstheme="minorHAnsi"/>
                <w:i/>
                <w:sz w:val="18"/>
                <w:szCs w:val="18"/>
              </w:rPr>
              <w:t>λ</w:t>
            </w:r>
            <w:r w:rsidRPr="00980585">
              <w:rPr>
                <w:rFonts w:asciiTheme="minorHAnsi" w:hAnsiTheme="minorHAnsi" w:cstheme="minorHAnsi"/>
                <w:i/>
                <w:sz w:val="18"/>
                <w:szCs w:val="18"/>
                <w:vertAlign w:val="subscript"/>
              </w:rPr>
              <w:t>max</w:t>
            </w:r>
            <w:proofErr w:type="spellEnd"/>
            <w:r w:rsidRPr="00980585">
              <w:rPr>
                <w:rFonts w:asciiTheme="minorHAnsi" w:hAnsiTheme="minorHAnsi" w:cstheme="minorHAnsi"/>
                <w:i/>
                <w:sz w:val="18"/>
                <w:szCs w:val="18"/>
              </w:rPr>
              <w:t xml:space="preserve"> 306 nm</w:t>
            </w:r>
          </w:p>
        </w:tc>
        <w:tc>
          <w:tcPr>
            <w:tcW w:w="1154" w:type="dxa"/>
            <w:shd w:val="clear" w:color="auto" w:fill="auto"/>
            <w:vAlign w:val="center"/>
          </w:tcPr>
          <w:p w14:paraId="2C8B76CB"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118-56-9</w:t>
            </w:r>
          </w:p>
        </w:tc>
        <w:tc>
          <w:tcPr>
            <w:tcW w:w="1559" w:type="dxa"/>
            <w:shd w:val="clear" w:color="auto" w:fill="auto"/>
            <w:vAlign w:val="center"/>
          </w:tcPr>
          <w:p w14:paraId="7D591D4A"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3,3,5-trimethylcyclohexyl) 2-hydroxybenzoate</w:t>
            </w:r>
          </w:p>
        </w:tc>
        <w:tc>
          <w:tcPr>
            <w:tcW w:w="1134" w:type="dxa"/>
            <w:shd w:val="clear" w:color="auto" w:fill="auto"/>
            <w:vAlign w:val="center"/>
          </w:tcPr>
          <w:p w14:paraId="5EC58E07"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C</w:t>
            </w:r>
            <w:r w:rsidRPr="00980585">
              <w:rPr>
                <w:rFonts w:asciiTheme="minorHAnsi" w:hAnsiTheme="minorHAnsi" w:cstheme="minorHAnsi"/>
                <w:sz w:val="18"/>
                <w:szCs w:val="18"/>
                <w:vertAlign w:val="subscript"/>
              </w:rPr>
              <w:t>16</w:t>
            </w:r>
            <w:r w:rsidRPr="00980585">
              <w:rPr>
                <w:rFonts w:asciiTheme="minorHAnsi" w:hAnsiTheme="minorHAnsi" w:cstheme="minorHAnsi"/>
                <w:sz w:val="18"/>
                <w:szCs w:val="18"/>
              </w:rPr>
              <w:t>H</w:t>
            </w:r>
            <w:r w:rsidRPr="00980585">
              <w:rPr>
                <w:rFonts w:asciiTheme="minorHAnsi" w:hAnsiTheme="minorHAnsi" w:cstheme="minorHAnsi"/>
                <w:sz w:val="18"/>
                <w:szCs w:val="18"/>
                <w:vertAlign w:val="subscript"/>
              </w:rPr>
              <w:t>22</w:t>
            </w:r>
            <w:r w:rsidRPr="00980585">
              <w:rPr>
                <w:rFonts w:asciiTheme="minorHAnsi" w:hAnsiTheme="minorHAnsi" w:cstheme="minorHAnsi"/>
                <w:sz w:val="18"/>
                <w:szCs w:val="18"/>
              </w:rPr>
              <w:t>O</w:t>
            </w:r>
            <w:r w:rsidRPr="00980585">
              <w:rPr>
                <w:rFonts w:asciiTheme="minorHAnsi" w:hAnsiTheme="minorHAnsi" w:cstheme="minorHAnsi"/>
                <w:sz w:val="18"/>
                <w:szCs w:val="18"/>
                <w:vertAlign w:val="subscript"/>
              </w:rPr>
              <w:t>3</w:t>
            </w:r>
          </w:p>
        </w:tc>
        <w:tc>
          <w:tcPr>
            <w:tcW w:w="993" w:type="dxa"/>
            <w:shd w:val="clear" w:color="auto" w:fill="auto"/>
            <w:vAlign w:val="center"/>
          </w:tcPr>
          <w:p w14:paraId="5BE67CFB"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0.4 mg/L at 25°C</w:t>
            </w:r>
          </w:p>
        </w:tc>
        <w:tc>
          <w:tcPr>
            <w:tcW w:w="850" w:type="dxa"/>
            <w:shd w:val="clear" w:color="auto" w:fill="auto"/>
            <w:vAlign w:val="center"/>
          </w:tcPr>
          <w:p w14:paraId="34558C3D"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 xml:space="preserve">262.3 </w:t>
            </w:r>
          </w:p>
        </w:tc>
        <w:tc>
          <w:tcPr>
            <w:tcW w:w="851" w:type="dxa"/>
            <w:vAlign w:val="center"/>
          </w:tcPr>
          <w:p w14:paraId="50F1DEF2"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1.045 g/cm</w:t>
            </w:r>
            <w:r w:rsidRPr="00980585">
              <w:rPr>
                <w:rFonts w:asciiTheme="minorHAnsi" w:hAnsiTheme="minorHAnsi" w:cstheme="minorHAnsi"/>
                <w:sz w:val="18"/>
                <w:szCs w:val="18"/>
                <w:vertAlign w:val="superscript"/>
              </w:rPr>
              <w:t>3</w:t>
            </w:r>
          </w:p>
        </w:tc>
        <w:tc>
          <w:tcPr>
            <w:tcW w:w="567" w:type="dxa"/>
            <w:shd w:val="clear" w:color="auto" w:fill="auto"/>
            <w:vAlign w:val="center"/>
          </w:tcPr>
          <w:p w14:paraId="6A02BB22"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4.7</w:t>
            </w:r>
          </w:p>
        </w:tc>
        <w:tc>
          <w:tcPr>
            <w:tcW w:w="1842" w:type="dxa"/>
            <w:vAlign w:val="center"/>
          </w:tcPr>
          <w:p w14:paraId="05D203A9"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Benzoic Acid, 2-Hydroxy-, 3,3,5-Trimethylcyclohexyl Ester Cyclohexanol, 3,3,5-trimethyl-, salicylate.</w:t>
            </w:r>
          </w:p>
          <w:p w14:paraId="64E32AFB" w14:textId="77777777" w:rsidR="009433BF" w:rsidRPr="00980585" w:rsidRDefault="009433BF" w:rsidP="00E07077">
            <w:pPr>
              <w:pStyle w:val="Tabletext"/>
              <w:rPr>
                <w:rFonts w:asciiTheme="minorHAnsi" w:hAnsiTheme="minorHAnsi" w:cstheme="minorHAnsi"/>
                <w:sz w:val="18"/>
                <w:szCs w:val="18"/>
              </w:rPr>
            </w:pPr>
            <w:proofErr w:type="spellStart"/>
            <w:r w:rsidRPr="00980585">
              <w:rPr>
                <w:rFonts w:asciiTheme="minorHAnsi" w:hAnsiTheme="minorHAnsi" w:cstheme="minorHAnsi"/>
                <w:sz w:val="18"/>
                <w:szCs w:val="18"/>
              </w:rPr>
              <w:t>Homomethyl</w:t>
            </w:r>
            <w:proofErr w:type="spellEnd"/>
            <w:r w:rsidRPr="00980585">
              <w:rPr>
                <w:rFonts w:asciiTheme="minorHAnsi" w:hAnsiTheme="minorHAnsi" w:cstheme="minorHAnsi"/>
                <w:sz w:val="18"/>
                <w:szCs w:val="18"/>
              </w:rPr>
              <w:t xml:space="preserve"> salicylate </w:t>
            </w:r>
          </w:p>
          <w:p w14:paraId="79F4CF0C"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Salicylic acid, 3,3,5-trimethylcyclohexyl ester</w:t>
            </w:r>
          </w:p>
          <w:p w14:paraId="3FB806D4" w14:textId="77777777" w:rsidR="009433BF" w:rsidRPr="00980585" w:rsidRDefault="009433BF" w:rsidP="00BA4549">
            <w:pPr>
              <w:pStyle w:val="Tabletext"/>
              <w:spacing w:after="0"/>
              <w:rPr>
                <w:rFonts w:asciiTheme="minorHAnsi" w:eastAsiaTheme="minorHAnsi" w:hAnsiTheme="minorHAnsi" w:cstheme="minorHAnsi"/>
                <w:sz w:val="18"/>
                <w:szCs w:val="18"/>
              </w:rPr>
            </w:pPr>
            <w:r w:rsidRPr="00980585">
              <w:rPr>
                <w:rFonts w:asciiTheme="minorHAnsi" w:hAnsiTheme="minorHAnsi" w:cstheme="minorHAnsi"/>
                <w:sz w:val="18"/>
                <w:szCs w:val="18"/>
              </w:rPr>
              <w:t xml:space="preserve">Caswell No. 482B, Neo </w:t>
            </w:r>
            <w:proofErr w:type="spellStart"/>
            <w:r w:rsidRPr="00980585">
              <w:rPr>
                <w:rFonts w:asciiTheme="minorHAnsi" w:hAnsiTheme="minorHAnsi" w:cstheme="minorHAnsi"/>
                <w:sz w:val="18"/>
                <w:szCs w:val="18"/>
              </w:rPr>
              <w:t>Heliopan</w:t>
            </w:r>
            <w:proofErr w:type="spellEnd"/>
            <w:r w:rsidRPr="00980585">
              <w:rPr>
                <w:rFonts w:asciiTheme="minorHAnsi" w:hAnsiTheme="minorHAnsi" w:cstheme="minorHAnsi"/>
                <w:sz w:val="18"/>
                <w:szCs w:val="18"/>
              </w:rPr>
              <w:t xml:space="preserve">® HMS, CCRIS 4885, </w:t>
            </w:r>
            <w:proofErr w:type="spellStart"/>
            <w:r w:rsidRPr="00980585">
              <w:rPr>
                <w:rFonts w:asciiTheme="minorHAnsi" w:hAnsiTheme="minorHAnsi" w:cstheme="minorHAnsi"/>
                <w:sz w:val="18"/>
                <w:szCs w:val="18"/>
              </w:rPr>
              <w:t>Filtersol</w:t>
            </w:r>
            <w:proofErr w:type="spellEnd"/>
            <w:r w:rsidRPr="00980585">
              <w:rPr>
                <w:rFonts w:asciiTheme="minorHAnsi" w:hAnsiTheme="minorHAnsi" w:cstheme="minorHAnsi"/>
                <w:sz w:val="18"/>
                <w:szCs w:val="18"/>
              </w:rPr>
              <w:t xml:space="preserve"> ''A''</w:t>
            </w:r>
          </w:p>
        </w:tc>
      </w:tr>
      <w:tr w:rsidR="009433BF" w:rsidRPr="0074486E" w14:paraId="35B7BDD7" w14:textId="77777777" w:rsidTr="00A238C9">
        <w:trPr>
          <w:trHeight w:val="255"/>
        </w:trPr>
        <w:tc>
          <w:tcPr>
            <w:tcW w:w="1246" w:type="dxa"/>
            <w:shd w:val="clear" w:color="auto" w:fill="auto"/>
            <w:tcMar>
              <w:top w:w="57" w:type="dxa"/>
              <w:bottom w:w="57" w:type="dxa"/>
            </w:tcMar>
            <w:vAlign w:val="center"/>
          </w:tcPr>
          <w:p w14:paraId="56B76ADD" w14:textId="77777777" w:rsidR="003C6F5A"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Octyl methoxycinnamate</w:t>
            </w:r>
            <w:r w:rsidRPr="00980585" w:rsidDel="00054E33">
              <w:rPr>
                <w:rFonts w:asciiTheme="minorHAnsi" w:hAnsiTheme="minorHAnsi" w:cstheme="minorHAnsi"/>
                <w:sz w:val="18"/>
                <w:szCs w:val="18"/>
              </w:rPr>
              <w:t xml:space="preserve"> </w:t>
            </w:r>
          </w:p>
          <w:p w14:paraId="7A17A454" w14:textId="11E34414"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(OMC or EHMC)</w:t>
            </w:r>
          </w:p>
          <w:p w14:paraId="78081D14" w14:textId="77777777" w:rsidR="009433BF" w:rsidRPr="00980585" w:rsidRDefault="009433BF" w:rsidP="00E07077">
            <w:pPr>
              <w:pStyle w:val="Tabletext"/>
              <w:rPr>
                <w:rFonts w:asciiTheme="minorHAnsi" w:hAnsiTheme="minorHAnsi" w:cstheme="minorHAnsi"/>
                <w:i/>
                <w:sz w:val="18"/>
                <w:szCs w:val="18"/>
              </w:rPr>
            </w:pPr>
            <w:r w:rsidRPr="00980585">
              <w:rPr>
                <w:rFonts w:asciiTheme="minorHAnsi" w:hAnsiTheme="minorHAnsi" w:cstheme="minorHAnsi"/>
                <w:i/>
                <w:sz w:val="18"/>
                <w:szCs w:val="18"/>
              </w:rPr>
              <w:t>UVB</w:t>
            </w:r>
          </w:p>
          <w:p w14:paraId="6A507E20" w14:textId="6940DA34" w:rsidR="009433BF" w:rsidRPr="00980585" w:rsidRDefault="009433BF" w:rsidP="00BA4549">
            <w:pPr>
              <w:pStyle w:val="Tabletext"/>
              <w:spacing w:after="0"/>
              <w:rPr>
                <w:rFonts w:asciiTheme="minorHAnsi" w:hAnsiTheme="minorHAnsi" w:cstheme="minorHAnsi"/>
                <w:i/>
                <w:sz w:val="18"/>
                <w:szCs w:val="18"/>
              </w:rPr>
            </w:pPr>
            <w:proofErr w:type="spellStart"/>
            <w:r w:rsidRPr="00980585">
              <w:rPr>
                <w:rFonts w:asciiTheme="minorHAnsi" w:hAnsiTheme="minorHAnsi" w:cstheme="minorHAnsi"/>
                <w:i/>
                <w:sz w:val="18"/>
                <w:szCs w:val="18"/>
              </w:rPr>
              <w:t>λ</w:t>
            </w:r>
            <w:r w:rsidRPr="00980585">
              <w:rPr>
                <w:rFonts w:asciiTheme="minorHAnsi" w:hAnsiTheme="minorHAnsi" w:cstheme="minorHAnsi"/>
                <w:i/>
                <w:sz w:val="18"/>
                <w:szCs w:val="18"/>
                <w:vertAlign w:val="subscript"/>
              </w:rPr>
              <w:t>max</w:t>
            </w:r>
            <w:proofErr w:type="spellEnd"/>
            <w:r w:rsidRPr="00980585">
              <w:rPr>
                <w:rFonts w:asciiTheme="minorHAnsi" w:hAnsiTheme="minorHAnsi" w:cstheme="minorHAnsi"/>
                <w:i/>
                <w:sz w:val="18"/>
                <w:szCs w:val="18"/>
              </w:rPr>
              <w:t xml:space="preserve"> 310nm</w:t>
            </w:r>
          </w:p>
        </w:tc>
        <w:tc>
          <w:tcPr>
            <w:tcW w:w="1154" w:type="dxa"/>
            <w:shd w:val="clear" w:color="auto" w:fill="auto"/>
            <w:vAlign w:val="center"/>
          </w:tcPr>
          <w:p w14:paraId="2D038730"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5466-77-3</w:t>
            </w:r>
          </w:p>
        </w:tc>
        <w:tc>
          <w:tcPr>
            <w:tcW w:w="1559" w:type="dxa"/>
            <w:shd w:val="clear" w:color="auto" w:fill="auto"/>
            <w:vAlign w:val="center"/>
          </w:tcPr>
          <w:p w14:paraId="7B66160C"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2-Ethylhexyl 4-methoxycinnamate</w:t>
            </w:r>
          </w:p>
          <w:p w14:paraId="1668D3DB" w14:textId="77777777" w:rsidR="009433BF" w:rsidRPr="00980585" w:rsidRDefault="009433BF" w:rsidP="00E07077">
            <w:pPr>
              <w:pStyle w:val="Tabletext"/>
              <w:rPr>
                <w:rFonts w:asciiTheme="minorHAnsi" w:hAnsiTheme="minorHAnsi" w:cstheme="minorHAnsi"/>
                <w:sz w:val="18"/>
                <w:szCs w:val="18"/>
              </w:rPr>
            </w:pPr>
          </w:p>
        </w:tc>
        <w:tc>
          <w:tcPr>
            <w:tcW w:w="1134" w:type="dxa"/>
            <w:shd w:val="clear" w:color="auto" w:fill="auto"/>
            <w:vAlign w:val="center"/>
          </w:tcPr>
          <w:p w14:paraId="4E943806"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C</w:t>
            </w:r>
            <w:r w:rsidRPr="00980585">
              <w:rPr>
                <w:rFonts w:asciiTheme="minorHAnsi" w:hAnsiTheme="minorHAnsi" w:cstheme="minorHAnsi"/>
                <w:sz w:val="18"/>
                <w:szCs w:val="18"/>
                <w:vertAlign w:val="subscript"/>
              </w:rPr>
              <w:t>18</w:t>
            </w:r>
            <w:r w:rsidRPr="00980585">
              <w:rPr>
                <w:rFonts w:asciiTheme="minorHAnsi" w:hAnsiTheme="minorHAnsi" w:cstheme="minorHAnsi"/>
                <w:sz w:val="18"/>
                <w:szCs w:val="18"/>
              </w:rPr>
              <w:t>H</w:t>
            </w:r>
            <w:r w:rsidRPr="00980585">
              <w:rPr>
                <w:rFonts w:asciiTheme="minorHAnsi" w:hAnsiTheme="minorHAnsi" w:cstheme="minorHAnsi"/>
                <w:sz w:val="18"/>
                <w:szCs w:val="18"/>
                <w:vertAlign w:val="subscript"/>
              </w:rPr>
              <w:t>26</w:t>
            </w:r>
            <w:r w:rsidRPr="00980585">
              <w:rPr>
                <w:rFonts w:asciiTheme="minorHAnsi" w:hAnsiTheme="minorHAnsi" w:cstheme="minorHAnsi"/>
                <w:sz w:val="18"/>
                <w:szCs w:val="18"/>
              </w:rPr>
              <w:t>O</w:t>
            </w:r>
            <w:r w:rsidRPr="00980585">
              <w:rPr>
                <w:rFonts w:asciiTheme="minorHAnsi" w:hAnsiTheme="minorHAnsi" w:cstheme="minorHAnsi"/>
                <w:sz w:val="18"/>
                <w:szCs w:val="18"/>
                <w:vertAlign w:val="subscript"/>
              </w:rPr>
              <w:t>3</w:t>
            </w:r>
          </w:p>
        </w:tc>
        <w:tc>
          <w:tcPr>
            <w:tcW w:w="993" w:type="dxa"/>
            <w:shd w:val="clear" w:color="auto" w:fill="auto"/>
            <w:vAlign w:val="center"/>
          </w:tcPr>
          <w:p w14:paraId="27361240"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0.1 g/100 mL at 27°C</w:t>
            </w:r>
          </w:p>
        </w:tc>
        <w:tc>
          <w:tcPr>
            <w:tcW w:w="850" w:type="dxa"/>
            <w:shd w:val="clear" w:color="auto" w:fill="auto"/>
            <w:vAlign w:val="center"/>
          </w:tcPr>
          <w:p w14:paraId="6066F372"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 xml:space="preserve">290.4 </w:t>
            </w:r>
          </w:p>
        </w:tc>
        <w:tc>
          <w:tcPr>
            <w:tcW w:w="851" w:type="dxa"/>
            <w:vAlign w:val="center"/>
          </w:tcPr>
          <w:p w14:paraId="68964037"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1.01 to 1.02 g/cm</w:t>
            </w:r>
            <w:r w:rsidRPr="00980585">
              <w:rPr>
                <w:rFonts w:asciiTheme="minorHAnsi" w:hAnsiTheme="minorHAnsi" w:cstheme="minorHAnsi"/>
                <w:sz w:val="18"/>
                <w:szCs w:val="18"/>
                <w:vertAlign w:val="superscript"/>
              </w:rPr>
              <w:t>3</w:t>
            </w:r>
          </w:p>
        </w:tc>
        <w:tc>
          <w:tcPr>
            <w:tcW w:w="567" w:type="dxa"/>
            <w:shd w:val="clear" w:color="auto" w:fill="auto"/>
            <w:vAlign w:val="center"/>
          </w:tcPr>
          <w:p w14:paraId="672A7C15"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5.9</w:t>
            </w:r>
          </w:p>
        </w:tc>
        <w:tc>
          <w:tcPr>
            <w:tcW w:w="1842" w:type="dxa"/>
            <w:vAlign w:val="center"/>
          </w:tcPr>
          <w:p w14:paraId="63E7265E"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eastAsiaTheme="minorHAnsi" w:hAnsiTheme="minorHAnsi" w:cstheme="minorHAnsi"/>
                <w:sz w:val="18"/>
                <w:szCs w:val="18"/>
              </w:rPr>
              <w:t xml:space="preserve">EHMC or octyl-methoxycinnamate (OMC) </w:t>
            </w:r>
          </w:p>
        </w:tc>
      </w:tr>
      <w:tr w:rsidR="009433BF" w:rsidRPr="0074486E" w14:paraId="1D940555" w14:textId="77777777" w:rsidTr="00A238C9">
        <w:trPr>
          <w:trHeight w:val="255"/>
        </w:trPr>
        <w:tc>
          <w:tcPr>
            <w:tcW w:w="1246" w:type="dxa"/>
            <w:shd w:val="clear" w:color="auto" w:fill="auto"/>
            <w:tcMar>
              <w:top w:w="57" w:type="dxa"/>
              <w:bottom w:w="57" w:type="dxa"/>
            </w:tcMar>
            <w:vAlign w:val="center"/>
          </w:tcPr>
          <w:p w14:paraId="64FAA4D7"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Octocrylene (OC)</w:t>
            </w:r>
          </w:p>
          <w:p w14:paraId="7E92ADBC" w14:textId="77777777" w:rsidR="009433BF" w:rsidRPr="00980585" w:rsidRDefault="009433BF" w:rsidP="00E07077">
            <w:pPr>
              <w:pStyle w:val="Tabletext"/>
              <w:rPr>
                <w:rFonts w:asciiTheme="minorHAnsi" w:hAnsiTheme="minorHAnsi" w:cstheme="minorHAnsi"/>
                <w:i/>
                <w:sz w:val="18"/>
                <w:szCs w:val="18"/>
              </w:rPr>
            </w:pPr>
            <w:r w:rsidRPr="00980585">
              <w:rPr>
                <w:rFonts w:asciiTheme="minorHAnsi" w:hAnsiTheme="minorHAnsi" w:cstheme="minorHAnsi"/>
                <w:i/>
                <w:sz w:val="18"/>
                <w:szCs w:val="18"/>
              </w:rPr>
              <w:t>UVB</w:t>
            </w:r>
          </w:p>
          <w:p w14:paraId="5C1FF922" w14:textId="77777777" w:rsidR="009433BF" w:rsidRPr="00980585" w:rsidRDefault="009433BF" w:rsidP="00BA4549">
            <w:pPr>
              <w:pStyle w:val="Tabletext"/>
              <w:spacing w:after="0"/>
              <w:rPr>
                <w:rFonts w:asciiTheme="minorHAnsi" w:hAnsiTheme="minorHAnsi" w:cstheme="minorHAnsi"/>
                <w:i/>
                <w:sz w:val="18"/>
                <w:szCs w:val="18"/>
              </w:rPr>
            </w:pPr>
            <w:proofErr w:type="spellStart"/>
            <w:r w:rsidRPr="00980585">
              <w:rPr>
                <w:rFonts w:asciiTheme="minorHAnsi" w:hAnsiTheme="minorHAnsi" w:cstheme="minorHAnsi"/>
                <w:i/>
                <w:sz w:val="18"/>
                <w:szCs w:val="18"/>
              </w:rPr>
              <w:t>λ</w:t>
            </w:r>
            <w:r w:rsidRPr="00980585">
              <w:rPr>
                <w:rFonts w:asciiTheme="minorHAnsi" w:hAnsiTheme="minorHAnsi" w:cstheme="minorHAnsi"/>
                <w:i/>
                <w:sz w:val="18"/>
                <w:szCs w:val="18"/>
                <w:vertAlign w:val="subscript"/>
              </w:rPr>
              <w:t>max</w:t>
            </w:r>
            <w:proofErr w:type="spellEnd"/>
            <w:r w:rsidRPr="00980585">
              <w:rPr>
                <w:rFonts w:asciiTheme="minorHAnsi" w:hAnsiTheme="minorHAnsi" w:cstheme="minorHAnsi"/>
                <w:i/>
                <w:sz w:val="18"/>
                <w:szCs w:val="18"/>
              </w:rPr>
              <w:t xml:space="preserve"> 303 nm</w:t>
            </w:r>
          </w:p>
        </w:tc>
        <w:tc>
          <w:tcPr>
            <w:tcW w:w="1154" w:type="dxa"/>
            <w:shd w:val="clear" w:color="auto" w:fill="auto"/>
            <w:vAlign w:val="center"/>
          </w:tcPr>
          <w:p w14:paraId="51A586A9"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6197-30-4</w:t>
            </w:r>
          </w:p>
        </w:tc>
        <w:tc>
          <w:tcPr>
            <w:tcW w:w="1559" w:type="dxa"/>
            <w:shd w:val="clear" w:color="auto" w:fill="auto"/>
            <w:vAlign w:val="center"/>
          </w:tcPr>
          <w:p w14:paraId="562BDE28"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2-Propenoic acid, 2-cyano-3,3-diphenyl-, 2-ethylhexyl ester</w:t>
            </w:r>
          </w:p>
        </w:tc>
        <w:tc>
          <w:tcPr>
            <w:tcW w:w="1134" w:type="dxa"/>
            <w:shd w:val="clear" w:color="auto" w:fill="auto"/>
            <w:vAlign w:val="center"/>
          </w:tcPr>
          <w:p w14:paraId="6BF6796C"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C</w:t>
            </w:r>
            <w:r w:rsidRPr="00980585">
              <w:rPr>
                <w:rFonts w:asciiTheme="minorHAnsi" w:hAnsiTheme="minorHAnsi" w:cstheme="minorHAnsi"/>
                <w:sz w:val="18"/>
                <w:szCs w:val="18"/>
                <w:vertAlign w:val="subscript"/>
              </w:rPr>
              <w:t>24</w:t>
            </w:r>
            <w:r w:rsidRPr="00980585">
              <w:rPr>
                <w:rFonts w:asciiTheme="minorHAnsi" w:hAnsiTheme="minorHAnsi" w:cstheme="minorHAnsi"/>
                <w:sz w:val="18"/>
                <w:szCs w:val="18"/>
              </w:rPr>
              <w:t>H</w:t>
            </w:r>
            <w:r w:rsidRPr="00980585">
              <w:rPr>
                <w:rFonts w:asciiTheme="minorHAnsi" w:hAnsiTheme="minorHAnsi" w:cstheme="minorHAnsi"/>
                <w:sz w:val="18"/>
                <w:szCs w:val="18"/>
                <w:vertAlign w:val="subscript"/>
              </w:rPr>
              <w:t>27</w:t>
            </w:r>
            <w:r w:rsidRPr="00980585">
              <w:rPr>
                <w:rFonts w:asciiTheme="minorHAnsi" w:hAnsiTheme="minorHAnsi" w:cstheme="minorHAnsi"/>
                <w:sz w:val="18"/>
                <w:szCs w:val="18"/>
              </w:rPr>
              <w:t>NO</w:t>
            </w:r>
            <w:r w:rsidRPr="00980585">
              <w:rPr>
                <w:rFonts w:asciiTheme="minorHAnsi" w:hAnsiTheme="minorHAnsi" w:cstheme="minorHAnsi"/>
                <w:sz w:val="18"/>
                <w:szCs w:val="18"/>
                <w:vertAlign w:val="subscript"/>
              </w:rPr>
              <w:t>2</w:t>
            </w:r>
          </w:p>
        </w:tc>
        <w:tc>
          <w:tcPr>
            <w:tcW w:w="993" w:type="dxa"/>
            <w:shd w:val="clear" w:color="auto" w:fill="auto"/>
            <w:vAlign w:val="center"/>
          </w:tcPr>
          <w:p w14:paraId="699D1CB8"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 xml:space="preserve">40 </w:t>
            </w:r>
            <w:proofErr w:type="spellStart"/>
            <w:r w:rsidRPr="00980585">
              <w:rPr>
                <w:rFonts w:asciiTheme="minorHAnsi" w:hAnsiTheme="minorHAnsi" w:cstheme="minorHAnsi"/>
                <w:sz w:val="18"/>
                <w:szCs w:val="18"/>
              </w:rPr>
              <w:t>μg</w:t>
            </w:r>
            <w:proofErr w:type="spellEnd"/>
            <w:r w:rsidRPr="00980585">
              <w:rPr>
                <w:rFonts w:asciiTheme="minorHAnsi" w:hAnsiTheme="minorHAnsi" w:cstheme="minorHAnsi"/>
                <w:sz w:val="18"/>
                <w:szCs w:val="18"/>
              </w:rPr>
              <w:t xml:space="preserve">/L at 20 °C </w:t>
            </w:r>
          </w:p>
        </w:tc>
        <w:tc>
          <w:tcPr>
            <w:tcW w:w="850" w:type="dxa"/>
            <w:shd w:val="clear" w:color="auto" w:fill="auto"/>
            <w:vAlign w:val="center"/>
          </w:tcPr>
          <w:p w14:paraId="4B639BAE"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 xml:space="preserve">361.5 </w:t>
            </w:r>
          </w:p>
        </w:tc>
        <w:tc>
          <w:tcPr>
            <w:tcW w:w="851" w:type="dxa"/>
            <w:vAlign w:val="center"/>
          </w:tcPr>
          <w:p w14:paraId="47583E13"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1.051 g/mL</w:t>
            </w:r>
          </w:p>
        </w:tc>
        <w:tc>
          <w:tcPr>
            <w:tcW w:w="567" w:type="dxa"/>
            <w:shd w:val="clear" w:color="auto" w:fill="auto"/>
            <w:vAlign w:val="center"/>
          </w:tcPr>
          <w:p w14:paraId="1F522CE8"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 xml:space="preserve">6.1 </w:t>
            </w:r>
          </w:p>
        </w:tc>
        <w:tc>
          <w:tcPr>
            <w:tcW w:w="1842" w:type="dxa"/>
            <w:vAlign w:val="center"/>
          </w:tcPr>
          <w:p w14:paraId="2E917721"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 xml:space="preserve">2-Cyano-3,3-diphenyl acrylic acid, 2-ethylhexyl ester, 2-Ethylhexyl-2-cyano-3,3 </w:t>
            </w:r>
            <w:proofErr w:type="spellStart"/>
            <w:r w:rsidRPr="00980585">
              <w:rPr>
                <w:rFonts w:asciiTheme="minorHAnsi" w:hAnsiTheme="minorHAnsi" w:cstheme="minorHAnsi"/>
                <w:sz w:val="18"/>
                <w:szCs w:val="18"/>
              </w:rPr>
              <w:t>diphenylacrylate</w:t>
            </w:r>
            <w:proofErr w:type="spellEnd"/>
            <w:r w:rsidRPr="00980585">
              <w:rPr>
                <w:rFonts w:asciiTheme="minorHAnsi" w:hAnsiTheme="minorHAnsi" w:cstheme="minorHAnsi"/>
                <w:sz w:val="18"/>
                <w:szCs w:val="18"/>
              </w:rPr>
              <w:t xml:space="preserve">, </w:t>
            </w:r>
            <w:proofErr w:type="gramStart"/>
            <w:r w:rsidRPr="00980585">
              <w:rPr>
                <w:rFonts w:asciiTheme="minorHAnsi" w:hAnsiTheme="minorHAnsi" w:cstheme="minorHAnsi"/>
                <w:sz w:val="18"/>
                <w:szCs w:val="18"/>
              </w:rPr>
              <w:t>K.SORB</w:t>
            </w:r>
            <w:proofErr w:type="gramEnd"/>
            <w:r w:rsidRPr="00980585">
              <w:rPr>
                <w:rFonts w:asciiTheme="minorHAnsi" w:hAnsiTheme="minorHAnsi" w:cstheme="minorHAnsi"/>
                <w:sz w:val="18"/>
                <w:szCs w:val="18"/>
              </w:rPr>
              <w:t xml:space="preserve"> 1139, Octocrylene USP, </w:t>
            </w:r>
            <w:proofErr w:type="spellStart"/>
            <w:r w:rsidRPr="00980585">
              <w:rPr>
                <w:rFonts w:asciiTheme="minorHAnsi" w:hAnsiTheme="minorHAnsi" w:cstheme="minorHAnsi"/>
                <w:sz w:val="18"/>
                <w:szCs w:val="18"/>
              </w:rPr>
              <w:t>Parsol</w:t>
            </w:r>
            <w:proofErr w:type="spellEnd"/>
            <w:r w:rsidRPr="00980585">
              <w:rPr>
                <w:rFonts w:asciiTheme="minorHAnsi" w:hAnsiTheme="minorHAnsi" w:cstheme="minorHAnsi"/>
                <w:sz w:val="18"/>
                <w:szCs w:val="18"/>
              </w:rPr>
              <w:t xml:space="preserve"> 340, </w:t>
            </w:r>
            <w:proofErr w:type="spellStart"/>
            <w:r w:rsidRPr="00980585">
              <w:rPr>
                <w:rFonts w:asciiTheme="minorHAnsi" w:hAnsiTheme="minorHAnsi" w:cstheme="minorHAnsi"/>
                <w:sz w:val="18"/>
                <w:szCs w:val="18"/>
              </w:rPr>
              <w:t>Sunkem</w:t>
            </w:r>
            <w:proofErr w:type="spellEnd"/>
            <w:r w:rsidRPr="00980585">
              <w:rPr>
                <w:rFonts w:asciiTheme="minorHAnsi" w:hAnsiTheme="minorHAnsi" w:cstheme="minorHAnsi"/>
                <w:sz w:val="18"/>
                <w:szCs w:val="18"/>
              </w:rPr>
              <w:t xml:space="preserve"> OTC, Sunobel®23 OCT, </w:t>
            </w:r>
            <w:proofErr w:type="spellStart"/>
            <w:r w:rsidRPr="00980585">
              <w:rPr>
                <w:rFonts w:asciiTheme="minorHAnsi" w:hAnsiTheme="minorHAnsi" w:cstheme="minorHAnsi"/>
                <w:sz w:val="18"/>
                <w:szCs w:val="18"/>
              </w:rPr>
              <w:t>Uvinul</w:t>
            </w:r>
            <w:proofErr w:type="spellEnd"/>
            <w:r w:rsidRPr="00980585">
              <w:rPr>
                <w:rFonts w:asciiTheme="minorHAnsi" w:hAnsiTheme="minorHAnsi" w:cstheme="minorHAnsi"/>
                <w:sz w:val="18"/>
                <w:szCs w:val="18"/>
              </w:rPr>
              <w:t xml:space="preserve"> 3039, 24 UVINUL N 539 T</w:t>
            </w:r>
          </w:p>
        </w:tc>
      </w:tr>
      <w:tr w:rsidR="009433BF" w:rsidRPr="0074486E" w14:paraId="0B5B68F9" w14:textId="77777777" w:rsidTr="00A238C9">
        <w:trPr>
          <w:trHeight w:val="255"/>
        </w:trPr>
        <w:tc>
          <w:tcPr>
            <w:tcW w:w="1246" w:type="dxa"/>
            <w:shd w:val="clear" w:color="auto" w:fill="auto"/>
            <w:tcMar>
              <w:top w:w="57" w:type="dxa"/>
              <w:bottom w:w="57" w:type="dxa"/>
            </w:tcMar>
            <w:vAlign w:val="center"/>
          </w:tcPr>
          <w:p w14:paraId="529D4746"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Oxybenzone (BP-3)</w:t>
            </w:r>
          </w:p>
          <w:p w14:paraId="76C42783" w14:textId="77777777" w:rsidR="009433BF" w:rsidRPr="00980585" w:rsidRDefault="009433BF" w:rsidP="00E07077">
            <w:pPr>
              <w:pStyle w:val="Tabletext"/>
              <w:rPr>
                <w:rFonts w:asciiTheme="minorHAnsi" w:hAnsiTheme="minorHAnsi" w:cstheme="minorHAnsi"/>
                <w:i/>
                <w:sz w:val="18"/>
                <w:szCs w:val="18"/>
              </w:rPr>
            </w:pPr>
            <w:r w:rsidRPr="00980585">
              <w:rPr>
                <w:rFonts w:asciiTheme="minorHAnsi" w:hAnsiTheme="minorHAnsi" w:cstheme="minorHAnsi"/>
                <w:i/>
                <w:sz w:val="18"/>
                <w:szCs w:val="18"/>
              </w:rPr>
              <w:t>UVB</w:t>
            </w:r>
          </w:p>
          <w:p w14:paraId="5E2CB9AF" w14:textId="77777777" w:rsidR="009433BF" w:rsidRPr="00980585" w:rsidRDefault="009433BF" w:rsidP="00BA4549">
            <w:pPr>
              <w:pStyle w:val="Tabletext"/>
              <w:spacing w:after="0"/>
              <w:rPr>
                <w:rFonts w:asciiTheme="minorHAnsi" w:hAnsiTheme="minorHAnsi" w:cstheme="minorHAnsi"/>
                <w:i/>
                <w:sz w:val="18"/>
                <w:szCs w:val="18"/>
              </w:rPr>
            </w:pPr>
            <w:proofErr w:type="spellStart"/>
            <w:r w:rsidRPr="00980585">
              <w:rPr>
                <w:rFonts w:asciiTheme="minorHAnsi" w:hAnsiTheme="minorHAnsi" w:cstheme="minorHAnsi"/>
                <w:i/>
                <w:sz w:val="18"/>
                <w:szCs w:val="18"/>
              </w:rPr>
              <w:t>λ</w:t>
            </w:r>
            <w:r w:rsidRPr="00980585">
              <w:rPr>
                <w:rFonts w:asciiTheme="minorHAnsi" w:hAnsiTheme="minorHAnsi" w:cstheme="minorHAnsi"/>
                <w:i/>
                <w:sz w:val="18"/>
                <w:szCs w:val="18"/>
                <w:vertAlign w:val="subscript"/>
              </w:rPr>
              <w:t>max</w:t>
            </w:r>
            <w:proofErr w:type="spellEnd"/>
            <w:r w:rsidRPr="00980585">
              <w:rPr>
                <w:rFonts w:asciiTheme="minorHAnsi" w:hAnsiTheme="minorHAnsi" w:cstheme="minorHAnsi"/>
                <w:i/>
                <w:sz w:val="18"/>
                <w:szCs w:val="18"/>
              </w:rPr>
              <w:t xml:space="preserve"> 286 nm &amp; </w:t>
            </w:r>
            <w:proofErr w:type="spellStart"/>
            <w:r w:rsidRPr="00980585">
              <w:rPr>
                <w:rFonts w:asciiTheme="minorHAnsi" w:hAnsiTheme="minorHAnsi" w:cstheme="minorHAnsi"/>
                <w:i/>
                <w:sz w:val="18"/>
                <w:szCs w:val="18"/>
              </w:rPr>
              <w:t>λ</w:t>
            </w:r>
            <w:r w:rsidRPr="00980585">
              <w:rPr>
                <w:rFonts w:asciiTheme="minorHAnsi" w:hAnsiTheme="minorHAnsi" w:cstheme="minorHAnsi"/>
                <w:i/>
                <w:sz w:val="18"/>
                <w:szCs w:val="18"/>
                <w:vertAlign w:val="subscript"/>
              </w:rPr>
              <w:t>max</w:t>
            </w:r>
            <w:proofErr w:type="spellEnd"/>
            <w:r w:rsidRPr="00980585">
              <w:rPr>
                <w:rFonts w:asciiTheme="minorHAnsi" w:hAnsiTheme="minorHAnsi" w:cstheme="minorHAnsi"/>
                <w:i/>
                <w:sz w:val="18"/>
                <w:szCs w:val="18"/>
              </w:rPr>
              <w:t xml:space="preserve"> 324 nm</w:t>
            </w:r>
          </w:p>
        </w:tc>
        <w:tc>
          <w:tcPr>
            <w:tcW w:w="1154" w:type="dxa"/>
            <w:shd w:val="clear" w:color="auto" w:fill="auto"/>
            <w:vAlign w:val="center"/>
          </w:tcPr>
          <w:p w14:paraId="74DC5A65"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131-57-7</w:t>
            </w:r>
          </w:p>
        </w:tc>
        <w:tc>
          <w:tcPr>
            <w:tcW w:w="1559" w:type="dxa"/>
            <w:shd w:val="clear" w:color="auto" w:fill="auto"/>
            <w:vAlign w:val="center"/>
          </w:tcPr>
          <w:p w14:paraId="4484BD24"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2-benzoyl-5-methoxyphenol; 4-Methoxy-2-hydroxybenzophenone</w:t>
            </w:r>
          </w:p>
        </w:tc>
        <w:tc>
          <w:tcPr>
            <w:tcW w:w="1134" w:type="dxa"/>
            <w:shd w:val="clear" w:color="auto" w:fill="auto"/>
            <w:vAlign w:val="center"/>
          </w:tcPr>
          <w:p w14:paraId="3358F003"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C</w:t>
            </w:r>
            <w:r w:rsidRPr="00980585">
              <w:rPr>
                <w:rFonts w:asciiTheme="minorHAnsi" w:hAnsiTheme="minorHAnsi" w:cstheme="minorHAnsi"/>
                <w:sz w:val="18"/>
                <w:szCs w:val="18"/>
                <w:vertAlign w:val="subscript"/>
              </w:rPr>
              <w:t>14</w:t>
            </w:r>
            <w:r w:rsidRPr="00980585">
              <w:rPr>
                <w:rFonts w:asciiTheme="minorHAnsi" w:hAnsiTheme="minorHAnsi" w:cstheme="minorHAnsi"/>
                <w:sz w:val="18"/>
                <w:szCs w:val="18"/>
              </w:rPr>
              <w:t>H</w:t>
            </w:r>
            <w:r w:rsidRPr="00980585">
              <w:rPr>
                <w:rFonts w:asciiTheme="minorHAnsi" w:hAnsiTheme="minorHAnsi" w:cstheme="minorHAnsi"/>
                <w:sz w:val="18"/>
                <w:szCs w:val="18"/>
                <w:vertAlign w:val="subscript"/>
              </w:rPr>
              <w:t>12</w:t>
            </w:r>
            <w:r w:rsidRPr="00980585">
              <w:rPr>
                <w:rFonts w:asciiTheme="minorHAnsi" w:hAnsiTheme="minorHAnsi" w:cstheme="minorHAnsi"/>
                <w:sz w:val="18"/>
                <w:szCs w:val="18"/>
              </w:rPr>
              <w:t>O</w:t>
            </w:r>
            <w:r w:rsidRPr="00980585">
              <w:rPr>
                <w:rFonts w:asciiTheme="minorHAnsi" w:hAnsiTheme="minorHAnsi" w:cstheme="minorHAnsi"/>
                <w:sz w:val="18"/>
                <w:szCs w:val="18"/>
                <w:vertAlign w:val="subscript"/>
              </w:rPr>
              <w:t>3</w:t>
            </w:r>
          </w:p>
        </w:tc>
        <w:tc>
          <w:tcPr>
            <w:tcW w:w="993" w:type="dxa"/>
            <w:shd w:val="clear" w:color="auto" w:fill="auto"/>
            <w:vAlign w:val="center"/>
          </w:tcPr>
          <w:p w14:paraId="75FC6613"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0.0037 g/L at 20°C</w:t>
            </w:r>
          </w:p>
        </w:tc>
        <w:tc>
          <w:tcPr>
            <w:tcW w:w="850" w:type="dxa"/>
            <w:shd w:val="clear" w:color="auto" w:fill="auto"/>
            <w:vAlign w:val="center"/>
          </w:tcPr>
          <w:p w14:paraId="6EE4CF93"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228.3</w:t>
            </w:r>
          </w:p>
        </w:tc>
        <w:tc>
          <w:tcPr>
            <w:tcW w:w="851" w:type="dxa"/>
            <w:vAlign w:val="center"/>
          </w:tcPr>
          <w:p w14:paraId="5AFC312A"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1.32 g/mL</w:t>
            </w:r>
          </w:p>
        </w:tc>
        <w:tc>
          <w:tcPr>
            <w:tcW w:w="567" w:type="dxa"/>
            <w:shd w:val="clear" w:color="auto" w:fill="auto"/>
            <w:vAlign w:val="center"/>
          </w:tcPr>
          <w:p w14:paraId="17F6EE5A"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 xml:space="preserve">&gt;3.7 </w:t>
            </w:r>
          </w:p>
        </w:tc>
        <w:tc>
          <w:tcPr>
            <w:tcW w:w="1842" w:type="dxa"/>
            <w:vAlign w:val="center"/>
          </w:tcPr>
          <w:p w14:paraId="7722C138"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Benzophenone-3</w:t>
            </w:r>
          </w:p>
        </w:tc>
      </w:tr>
      <w:tr w:rsidR="009433BF" w:rsidRPr="0074486E" w14:paraId="635DEDF8" w14:textId="77777777" w:rsidTr="00BA4549">
        <w:trPr>
          <w:cantSplit/>
          <w:trHeight w:val="255"/>
        </w:trPr>
        <w:tc>
          <w:tcPr>
            <w:tcW w:w="1246" w:type="dxa"/>
            <w:shd w:val="clear" w:color="auto" w:fill="auto"/>
            <w:tcMar>
              <w:top w:w="57" w:type="dxa"/>
              <w:bottom w:w="57" w:type="dxa"/>
            </w:tcMar>
            <w:vAlign w:val="center"/>
          </w:tcPr>
          <w:p w14:paraId="4CD6D406" w14:textId="77777777" w:rsidR="009433BF" w:rsidRPr="00980585" w:rsidRDefault="009433BF" w:rsidP="00E07077">
            <w:pPr>
              <w:pStyle w:val="Tabletext"/>
              <w:rPr>
                <w:rFonts w:asciiTheme="minorHAnsi" w:hAnsiTheme="minorHAnsi" w:cstheme="minorHAnsi"/>
                <w:sz w:val="18"/>
                <w:szCs w:val="18"/>
              </w:rPr>
            </w:pPr>
            <w:proofErr w:type="spellStart"/>
            <w:r w:rsidRPr="00980585">
              <w:rPr>
                <w:rFonts w:asciiTheme="minorHAnsi" w:hAnsiTheme="minorHAnsi" w:cstheme="minorHAnsi"/>
                <w:sz w:val="18"/>
                <w:szCs w:val="18"/>
              </w:rPr>
              <w:t>Phenylbenz</w:t>
            </w:r>
            <w:proofErr w:type="spellEnd"/>
            <w:r w:rsidRPr="00980585">
              <w:rPr>
                <w:rFonts w:asciiTheme="minorHAnsi" w:hAnsiTheme="minorHAnsi" w:cstheme="minorHAnsi"/>
                <w:sz w:val="18"/>
                <w:szCs w:val="18"/>
              </w:rPr>
              <w:t>-imidazole sulfonic acid</w:t>
            </w:r>
          </w:p>
          <w:p w14:paraId="6890D387" w14:textId="77777777" w:rsidR="009433BF" w:rsidRPr="00980585" w:rsidRDefault="009433BF" w:rsidP="00E07077">
            <w:pPr>
              <w:pStyle w:val="Tabletext"/>
              <w:rPr>
                <w:rFonts w:asciiTheme="minorHAnsi" w:hAnsiTheme="minorHAnsi" w:cstheme="minorHAnsi"/>
                <w:i/>
                <w:sz w:val="18"/>
                <w:szCs w:val="18"/>
              </w:rPr>
            </w:pPr>
            <w:r w:rsidRPr="00980585">
              <w:rPr>
                <w:rFonts w:asciiTheme="minorHAnsi" w:hAnsiTheme="minorHAnsi" w:cstheme="minorHAnsi"/>
                <w:i/>
                <w:sz w:val="18"/>
                <w:szCs w:val="18"/>
              </w:rPr>
              <w:t>UVB</w:t>
            </w:r>
          </w:p>
          <w:p w14:paraId="170FCAB8" w14:textId="77777777" w:rsidR="009433BF" w:rsidRPr="00980585" w:rsidRDefault="009433BF" w:rsidP="00BA4549">
            <w:pPr>
              <w:pStyle w:val="Tabletext"/>
              <w:spacing w:after="0"/>
              <w:rPr>
                <w:rFonts w:asciiTheme="minorHAnsi" w:hAnsiTheme="minorHAnsi" w:cstheme="minorHAnsi"/>
                <w:i/>
                <w:sz w:val="18"/>
                <w:szCs w:val="18"/>
              </w:rPr>
            </w:pPr>
            <w:proofErr w:type="spellStart"/>
            <w:r w:rsidRPr="00980585">
              <w:rPr>
                <w:rFonts w:asciiTheme="minorHAnsi" w:hAnsiTheme="minorHAnsi" w:cstheme="minorHAnsi"/>
                <w:i/>
                <w:sz w:val="18"/>
                <w:szCs w:val="18"/>
              </w:rPr>
              <w:t>λ</w:t>
            </w:r>
            <w:r w:rsidRPr="00980585">
              <w:rPr>
                <w:rFonts w:asciiTheme="minorHAnsi" w:hAnsiTheme="minorHAnsi" w:cstheme="minorHAnsi"/>
                <w:i/>
                <w:sz w:val="18"/>
                <w:szCs w:val="18"/>
                <w:vertAlign w:val="subscript"/>
              </w:rPr>
              <w:t>max</w:t>
            </w:r>
            <w:proofErr w:type="spellEnd"/>
            <w:r w:rsidRPr="00980585">
              <w:rPr>
                <w:rFonts w:asciiTheme="minorHAnsi" w:hAnsiTheme="minorHAnsi" w:cstheme="minorHAnsi"/>
                <w:i/>
                <w:sz w:val="18"/>
                <w:szCs w:val="18"/>
              </w:rPr>
              <w:t xml:space="preserve"> 302 nm</w:t>
            </w:r>
          </w:p>
        </w:tc>
        <w:tc>
          <w:tcPr>
            <w:tcW w:w="1154" w:type="dxa"/>
            <w:shd w:val="clear" w:color="auto" w:fill="auto"/>
            <w:vAlign w:val="center"/>
          </w:tcPr>
          <w:p w14:paraId="53E0C52A"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27503-81-7</w:t>
            </w:r>
          </w:p>
        </w:tc>
        <w:tc>
          <w:tcPr>
            <w:tcW w:w="1559" w:type="dxa"/>
            <w:shd w:val="clear" w:color="auto" w:fill="auto"/>
            <w:vAlign w:val="center"/>
          </w:tcPr>
          <w:p w14:paraId="70F8D1AB"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2-Phenylbenzimidazole-5-sulfonic acid</w:t>
            </w:r>
          </w:p>
        </w:tc>
        <w:tc>
          <w:tcPr>
            <w:tcW w:w="1134" w:type="dxa"/>
            <w:shd w:val="clear" w:color="auto" w:fill="auto"/>
            <w:vAlign w:val="center"/>
          </w:tcPr>
          <w:p w14:paraId="14907F2A"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C</w:t>
            </w:r>
            <w:r w:rsidRPr="00980585">
              <w:rPr>
                <w:rFonts w:asciiTheme="minorHAnsi" w:hAnsiTheme="minorHAnsi" w:cstheme="minorHAnsi"/>
                <w:sz w:val="18"/>
                <w:szCs w:val="18"/>
                <w:vertAlign w:val="subscript"/>
              </w:rPr>
              <w:t>13</w:t>
            </w:r>
            <w:r w:rsidRPr="00980585">
              <w:rPr>
                <w:rFonts w:asciiTheme="minorHAnsi" w:hAnsiTheme="minorHAnsi" w:cstheme="minorHAnsi"/>
                <w:sz w:val="18"/>
                <w:szCs w:val="18"/>
              </w:rPr>
              <w:t>H</w:t>
            </w:r>
            <w:r w:rsidRPr="00980585">
              <w:rPr>
                <w:rFonts w:asciiTheme="minorHAnsi" w:hAnsiTheme="minorHAnsi" w:cstheme="minorHAnsi"/>
                <w:sz w:val="18"/>
                <w:szCs w:val="18"/>
                <w:vertAlign w:val="subscript"/>
              </w:rPr>
              <w:t>10</w:t>
            </w:r>
            <w:r w:rsidRPr="00980585">
              <w:rPr>
                <w:rFonts w:asciiTheme="minorHAnsi" w:hAnsiTheme="minorHAnsi" w:cstheme="minorHAnsi"/>
                <w:sz w:val="18"/>
                <w:szCs w:val="18"/>
              </w:rPr>
              <w:t>N</w:t>
            </w:r>
            <w:r w:rsidRPr="00980585">
              <w:rPr>
                <w:rFonts w:asciiTheme="minorHAnsi" w:hAnsiTheme="minorHAnsi" w:cstheme="minorHAnsi"/>
                <w:sz w:val="18"/>
                <w:szCs w:val="18"/>
                <w:vertAlign w:val="subscript"/>
              </w:rPr>
              <w:t>2</w:t>
            </w:r>
            <w:r w:rsidRPr="00980585">
              <w:rPr>
                <w:rFonts w:asciiTheme="minorHAnsi" w:hAnsiTheme="minorHAnsi" w:cstheme="minorHAnsi"/>
                <w:sz w:val="18"/>
                <w:szCs w:val="18"/>
              </w:rPr>
              <w:t>O</w:t>
            </w:r>
            <w:r w:rsidRPr="00980585">
              <w:rPr>
                <w:rFonts w:asciiTheme="minorHAnsi" w:hAnsiTheme="minorHAnsi" w:cstheme="minorHAnsi"/>
                <w:sz w:val="18"/>
                <w:szCs w:val="18"/>
                <w:vertAlign w:val="subscript"/>
              </w:rPr>
              <w:t>3</w:t>
            </w:r>
            <w:r w:rsidRPr="00980585">
              <w:rPr>
                <w:rFonts w:asciiTheme="minorHAnsi" w:hAnsiTheme="minorHAnsi" w:cstheme="minorHAnsi"/>
                <w:sz w:val="18"/>
                <w:szCs w:val="18"/>
              </w:rPr>
              <w:t>S</w:t>
            </w:r>
          </w:p>
        </w:tc>
        <w:tc>
          <w:tcPr>
            <w:tcW w:w="993" w:type="dxa"/>
            <w:shd w:val="clear" w:color="auto" w:fill="auto"/>
            <w:vAlign w:val="center"/>
          </w:tcPr>
          <w:p w14:paraId="066B336C"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&gt; 30%</w:t>
            </w:r>
          </w:p>
        </w:tc>
        <w:tc>
          <w:tcPr>
            <w:tcW w:w="850" w:type="dxa"/>
            <w:shd w:val="clear" w:color="auto" w:fill="auto"/>
            <w:vAlign w:val="center"/>
          </w:tcPr>
          <w:p w14:paraId="59A05C72"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274.3</w:t>
            </w:r>
          </w:p>
        </w:tc>
        <w:tc>
          <w:tcPr>
            <w:tcW w:w="851" w:type="dxa"/>
            <w:vAlign w:val="center"/>
          </w:tcPr>
          <w:p w14:paraId="780773AD"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1.5 g/cm</w:t>
            </w:r>
            <w:r w:rsidRPr="00980585">
              <w:rPr>
                <w:rFonts w:asciiTheme="minorHAnsi" w:hAnsiTheme="minorHAnsi" w:cstheme="minorHAnsi"/>
                <w:sz w:val="18"/>
                <w:szCs w:val="18"/>
                <w:vertAlign w:val="superscript"/>
              </w:rPr>
              <w:t>3</w:t>
            </w:r>
          </w:p>
        </w:tc>
        <w:tc>
          <w:tcPr>
            <w:tcW w:w="567" w:type="dxa"/>
            <w:shd w:val="clear" w:color="auto" w:fill="auto"/>
            <w:vAlign w:val="center"/>
          </w:tcPr>
          <w:p w14:paraId="50EDB420" w14:textId="77777777" w:rsidR="009433BF" w:rsidRPr="00980585" w:rsidRDefault="009433BF" w:rsidP="00E07077">
            <w:pPr>
              <w:pStyle w:val="Tabletext"/>
              <w:rPr>
                <w:rFonts w:asciiTheme="minorHAnsi" w:hAnsiTheme="minorHAnsi" w:cstheme="minorHAnsi"/>
                <w:sz w:val="18"/>
                <w:szCs w:val="18"/>
              </w:rPr>
            </w:pPr>
            <w:r w:rsidRPr="00980585">
              <w:rPr>
                <w:rFonts w:asciiTheme="minorHAnsi" w:hAnsiTheme="minorHAnsi" w:cstheme="minorHAnsi"/>
                <w:sz w:val="18"/>
                <w:szCs w:val="18"/>
              </w:rPr>
              <w:t>-1.1 at pH 5</w:t>
            </w:r>
          </w:p>
        </w:tc>
        <w:tc>
          <w:tcPr>
            <w:tcW w:w="1842" w:type="dxa"/>
            <w:vAlign w:val="center"/>
          </w:tcPr>
          <w:p w14:paraId="4A240844" w14:textId="77777777" w:rsidR="009433BF" w:rsidRPr="00980585" w:rsidRDefault="009433BF" w:rsidP="00E07077">
            <w:pPr>
              <w:pStyle w:val="Tabletext"/>
              <w:rPr>
                <w:rFonts w:asciiTheme="minorHAnsi" w:hAnsiTheme="minorHAnsi" w:cstheme="minorHAnsi"/>
                <w:sz w:val="18"/>
                <w:szCs w:val="18"/>
              </w:rPr>
            </w:pPr>
            <w:proofErr w:type="spellStart"/>
            <w:r w:rsidRPr="00980585">
              <w:rPr>
                <w:rFonts w:asciiTheme="minorHAnsi" w:hAnsiTheme="minorHAnsi" w:cstheme="minorHAnsi"/>
                <w:sz w:val="18"/>
                <w:szCs w:val="18"/>
              </w:rPr>
              <w:t>Ensulizole</w:t>
            </w:r>
            <w:proofErr w:type="spellEnd"/>
            <w:r w:rsidRPr="00980585">
              <w:rPr>
                <w:rFonts w:asciiTheme="minorHAnsi" w:hAnsiTheme="minorHAnsi" w:cstheme="minorHAnsi"/>
                <w:sz w:val="18"/>
                <w:szCs w:val="18"/>
              </w:rPr>
              <w:t>, Benzimidazole, 2-phenyl, 5-sulfonic acid</w:t>
            </w:r>
          </w:p>
        </w:tc>
      </w:tr>
    </w:tbl>
    <w:p w14:paraId="38A235D9" w14:textId="33EA683D" w:rsidR="00AE7ACB" w:rsidRDefault="009433BF" w:rsidP="00BA4549">
      <w:pPr>
        <w:pStyle w:val="TableCaption"/>
        <w:spacing w:before="0" w:after="0" w:line="240" w:lineRule="auto"/>
        <w:ind w:left="-567"/>
        <w:rPr>
          <w:b/>
          <w:bCs/>
          <w:sz w:val="22"/>
          <w:szCs w:val="22"/>
        </w:rPr>
      </w:pPr>
      <w:r w:rsidRPr="00206DA5">
        <w:rPr>
          <w:rFonts w:asciiTheme="minorHAnsi" w:hAnsiTheme="minorHAnsi" w:cstheme="minorHAnsi"/>
          <w:szCs w:val="18"/>
        </w:rPr>
        <w:t>*</w:t>
      </w:r>
      <w:proofErr w:type="gramStart"/>
      <w:r w:rsidRPr="00206DA5">
        <w:rPr>
          <w:rFonts w:asciiTheme="minorHAnsi" w:hAnsiTheme="minorHAnsi" w:cstheme="minorHAnsi"/>
          <w:szCs w:val="18"/>
        </w:rPr>
        <w:t>the</w:t>
      </w:r>
      <w:proofErr w:type="gramEnd"/>
      <w:r w:rsidRPr="00206DA5">
        <w:rPr>
          <w:rFonts w:asciiTheme="minorHAnsi" w:hAnsiTheme="minorHAnsi" w:cstheme="minorHAnsi"/>
          <w:szCs w:val="18"/>
        </w:rPr>
        <w:t xml:space="preserve"> active ingredients are referred to throughout the report as either their AAN, INN or the abbreviated names.</w:t>
      </w:r>
      <w:r w:rsidR="00A76CA2">
        <w:rPr>
          <w:rFonts w:asciiTheme="minorHAnsi" w:hAnsiTheme="minorHAnsi" w:cstheme="minorHAnsi"/>
          <w:szCs w:val="18"/>
        </w:rPr>
        <w:t xml:space="preserve"> </w:t>
      </w:r>
      <w:r w:rsidRPr="00206DA5">
        <w:rPr>
          <w:rFonts w:asciiTheme="minorHAnsi" w:hAnsiTheme="minorHAnsi" w:cstheme="minorHAnsi"/>
          <w:szCs w:val="18"/>
        </w:rPr>
        <w:t>UV absorption range: UVA: 320-400 nm; UVB: 290-340 nm.</w:t>
      </w:r>
    </w:p>
    <w:p w14:paraId="5867E7E5" w14:textId="7409D7A1" w:rsidR="00472026" w:rsidRPr="00206DA5" w:rsidRDefault="00472026" w:rsidP="00507D02">
      <w:pPr>
        <w:pStyle w:val="Tabletitle"/>
        <w:ind w:left="567"/>
      </w:pPr>
      <w:r w:rsidRPr="00206DA5">
        <w:lastRenderedPageBreak/>
        <w:t>Molecular structure of the active ingredients under review</w:t>
      </w:r>
    </w:p>
    <w:tbl>
      <w:tblPr>
        <w:tblW w:w="7939" w:type="dxa"/>
        <w:jc w:val="cente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Layout w:type="fixed"/>
        <w:tblCellMar>
          <w:top w:w="28" w:type="dxa"/>
          <w:left w:w="57" w:type="dxa"/>
          <w:bottom w:w="28" w:type="dxa"/>
          <w:right w:w="57" w:type="dxa"/>
        </w:tblCellMar>
        <w:tblLook w:val="01E0" w:firstRow="1" w:lastRow="1" w:firstColumn="1" w:lastColumn="1" w:noHBand="0" w:noVBand="0"/>
      </w:tblPr>
      <w:tblGrid>
        <w:gridCol w:w="3178"/>
        <w:gridCol w:w="4761"/>
      </w:tblGrid>
      <w:tr w:rsidR="00472026" w:rsidRPr="0074486E" w14:paraId="22F8758B" w14:textId="77777777" w:rsidTr="00AE7ACB">
        <w:trPr>
          <w:trHeight w:val="136"/>
          <w:jc w:val="center"/>
        </w:trPr>
        <w:tc>
          <w:tcPr>
            <w:tcW w:w="3178" w:type="dxa"/>
            <w:shd w:val="clear" w:color="auto" w:fill="B8CCEA"/>
            <w:tcMar>
              <w:top w:w="28" w:type="dxa"/>
              <w:left w:w="57" w:type="dxa"/>
              <w:bottom w:w="28" w:type="dxa"/>
              <w:right w:w="57" w:type="dxa"/>
            </w:tcMar>
            <w:vAlign w:val="center"/>
          </w:tcPr>
          <w:p w14:paraId="25380EEA" w14:textId="77777777" w:rsidR="00472026" w:rsidRPr="00AE7ACB" w:rsidRDefault="00472026" w:rsidP="00E07077">
            <w:pPr>
              <w:keepNext/>
              <w:keepLines/>
              <w:spacing w:before="40" w:after="40" w:line="205" w:lineRule="exact"/>
              <w:jc w:val="center"/>
              <w:rPr>
                <w:b/>
                <w:color w:val="263287"/>
                <w:sz w:val="22"/>
              </w:rPr>
            </w:pPr>
            <w:r w:rsidRPr="00AE7ACB">
              <w:rPr>
                <w:b/>
                <w:color w:val="263287"/>
                <w:sz w:val="22"/>
              </w:rPr>
              <w:t xml:space="preserve">Active ingredient </w:t>
            </w:r>
          </w:p>
        </w:tc>
        <w:tc>
          <w:tcPr>
            <w:tcW w:w="4761" w:type="dxa"/>
            <w:shd w:val="clear" w:color="auto" w:fill="B8CCEA"/>
            <w:vAlign w:val="center"/>
          </w:tcPr>
          <w:p w14:paraId="72A0EEDC" w14:textId="77777777" w:rsidR="00472026" w:rsidRPr="00AE7ACB" w:rsidRDefault="00472026" w:rsidP="00E07077">
            <w:pPr>
              <w:keepNext/>
              <w:keepLines/>
              <w:spacing w:before="40" w:after="40" w:line="205" w:lineRule="exact"/>
              <w:jc w:val="center"/>
              <w:rPr>
                <w:b/>
                <w:color w:val="263287"/>
                <w:sz w:val="22"/>
              </w:rPr>
            </w:pPr>
            <w:r w:rsidRPr="00AE7ACB">
              <w:rPr>
                <w:b/>
                <w:color w:val="263287"/>
                <w:sz w:val="22"/>
              </w:rPr>
              <w:t xml:space="preserve">Structure </w:t>
            </w:r>
          </w:p>
        </w:tc>
      </w:tr>
      <w:tr w:rsidR="00472026" w:rsidRPr="0074486E" w14:paraId="34C6F71C" w14:textId="77777777" w:rsidTr="00AE7ACB">
        <w:trPr>
          <w:trHeight w:val="1680"/>
          <w:jc w:val="center"/>
        </w:trPr>
        <w:tc>
          <w:tcPr>
            <w:tcW w:w="3178" w:type="dxa"/>
            <w:shd w:val="clear" w:color="auto" w:fill="auto"/>
            <w:tcMar>
              <w:top w:w="57" w:type="dxa"/>
              <w:bottom w:w="57" w:type="dxa"/>
            </w:tcMar>
            <w:vAlign w:val="center"/>
          </w:tcPr>
          <w:p w14:paraId="30C226A5" w14:textId="77777777" w:rsidR="00472026" w:rsidRPr="00AE7ACB" w:rsidRDefault="00472026" w:rsidP="00E07077">
            <w:pPr>
              <w:pStyle w:val="Tabletext"/>
              <w:keepNext/>
              <w:keepLines/>
              <w:jc w:val="center"/>
              <w:rPr>
                <w:rFonts w:asciiTheme="minorHAnsi" w:hAnsiTheme="minorHAnsi" w:cstheme="minorHAnsi"/>
                <w:sz w:val="20"/>
                <w:szCs w:val="20"/>
              </w:rPr>
            </w:pPr>
            <w:r w:rsidRPr="00AE7ACB">
              <w:rPr>
                <w:rFonts w:asciiTheme="minorHAnsi" w:hAnsiTheme="minorHAnsi" w:cstheme="minorHAnsi"/>
                <w:sz w:val="20"/>
                <w:szCs w:val="20"/>
              </w:rPr>
              <w:t xml:space="preserve">Butyl </w:t>
            </w:r>
            <w:proofErr w:type="spellStart"/>
            <w:r w:rsidRPr="00AE7ACB">
              <w:rPr>
                <w:rFonts w:asciiTheme="minorHAnsi" w:hAnsiTheme="minorHAnsi" w:cstheme="minorHAnsi"/>
                <w:sz w:val="20"/>
                <w:szCs w:val="20"/>
              </w:rPr>
              <w:t>methoxydibenzoylmethane</w:t>
            </w:r>
            <w:proofErr w:type="spellEnd"/>
          </w:p>
        </w:tc>
        <w:tc>
          <w:tcPr>
            <w:tcW w:w="4761" w:type="dxa"/>
            <w:shd w:val="clear" w:color="auto" w:fill="auto"/>
            <w:vAlign w:val="center"/>
          </w:tcPr>
          <w:p w14:paraId="235156EB" w14:textId="77777777" w:rsidR="00472026" w:rsidRDefault="00472026" w:rsidP="00E07077">
            <w:pPr>
              <w:pStyle w:val="Tabletext"/>
              <w:keepNext/>
              <w:keepLines/>
              <w:ind w:left="57"/>
              <w:jc w:val="center"/>
              <w:rPr>
                <w:noProof/>
                <w:sz w:val="22"/>
                <w:szCs w:val="22"/>
                <w:lang w:eastAsia="en-AU"/>
              </w:rPr>
            </w:pPr>
          </w:p>
          <w:p w14:paraId="02803A16" w14:textId="77777777" w:rsidR="00472026" w:rsidRDefault="00472026" w:rsidP="00E07077">
            <w:pPr>
              <w:pStyle w:val="Tabletext"/>
              <w:keepNext/>
              <w:keepLines/>
              <w:ind w:left="57"/>
              <w:jc w:val="center"/>
              <w:rPr>
                <w:noProof/>
                <w:sz w:val="22"/>
                <w:szCs w:val="22"/>
                <w:lang w:eastAsia="en-AU"/>
              </w:rPr>
            </w:pPr>
          </w:p>
          <w:p w14:paraId="0C4100C3" w14:textId="77777777" w:rsidR="00472026" w:rsidRPr="0074486E" w:rsidRDefault="00472026" w:rsidP="00E07077">
            <w:pPr>
              <w:pStyle w:val="Tabletext"/>
              <w:keepNext/>
              <w:keepLines/>
              <w:rPr>
                <w:noProof/>
                <w:sz w:val="22"/>
                <w:szCs w:val="22"/>
                <w:lang w:eastAsia="en-AU"/>
              </w:rPr>
            </w:pPr>
            <w:r>
              <w:rPr>
                <w:noProof/>
                <w:sz w:val="22"/>
                <w:szCs w:val="22"/>
                <w:lang w:eastAsia="en-AU"/>
              </w:rPr>
              <w:t xml:space="preserve">         </w:t>
            </w:r>
            <w:r w:rsidRPr="0074486E">
              <w:rPr>
                <w:noProof/>
                <w:sz w:val="22"/>
                <w:szCs w:val="22"/>
                <w:lang w:eastAsia="en-AU"/>
              </w:rPr>
              <w:drawing>
                <wp:inline distT="0" distB="0" distL="0" distR="0" wp14:anchorId="057F1BAD" wp14:editId="3C52A37D">
                  <wp:extent cx="1828800" cy="701827"/>
                  <wp:effectExtent l="0" t="0" r="0" b="3175"/>
                  <wp:docPr id="753126199" name="Picture 753126199" descr="A structure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26199" name="Picture 753126199" descr="A structure of a chemical formula&#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59036" cy="713431"/>
                          </a:xfrm>
                          <a:prstGeom prst="rect">
                            <a:avLst/>
                          </a:prstGeom>
                          <a:noFill/>
                          <a:ln>
                            <a:noFill/>
                          </a:ln>
                        </pic:spPr>
                      </pic:pic>
                    </a:graphicData>
                  </a:graphic>
                </wp:inline>
              </w:drawing>
            </w:r>
          </w:p>
        </w:tc>
      </w:tr>
      <w:tr w:rsidR="00472026" w:rsidRPr="0074486E" w14:paraId="625CDF6C" w14:textId="77777777" w:rsidTr="00AE7ACB">
        <w:trPr>
          <w:trHeight w:val="1449"/>
          <w:jc w:val="center"/>
        </w:trPr>
        <w:tc>
          <w:tcPr>
            <w:tcW w:w="3178" w:type="dxa"/>
            <w:shd w:val="clear" w:color="auto" w:fill="auto"/>
            <w:tcMar>
              <w:top w:w="57" w:type="dxa"/>
              <w:bottom w:w="57" w:type="dxa"/>
            </w:tcMar>
            <w:vAlign w:val="center"/>
          </w:tcPr>
          <w:p w14:paraId="5002B578" w14:textId="77777777" w:rsidR="00472026" w:rsidRPr="00AE7ACB" w:rsidRDefault="00472026" w:rsidP="00E07077">
            <w:pPr>
              <w:pStyle w:val="Tabletext"/>
              <w:keepNext/>
              <w:keepLines/>
              <w:jc w:val="center"/>
              <w:rPr>
                <w:rFonts w:asciiTheme="minorHAnsi" w:hAnsiTheme="minorHAnsi" w:cstheme="minorHAnsi"/>
                <w:sz w:val="20"/>
                <w:szCs w:val="20"/>
              </w:rPr>
            </w:pPr>
            <w:proofErr w:type="spellStart"/>
            <w:r w:rsidRPr="00AE7ACB">
              <w:rPr>
                <w:rFonts w:asciiTheme="minorHAnsi" w:hAnsiTheme="minorHAnsi" w:cstheme="minorHAnsi"/>
                <w:sz w:val="20"/>
                <w:szCs w:val="20"/>
              </w:rPr>
              <w:t>Ethylhexyl</w:t>
            </w:r>
            <w:proofErr w:type="spellEnd"/>
            <w:r w:rsidRPr="00AE7ACB">
              <w:rPr>
                <w:rFonts w:asciiTheme="minorHAnsi" w:hAnsiTheme="minorHAnsi" w:cstheme="minorHAnsi"/>
                <w:sz w:val="20"/>
                <w:szCs w:val="20"/>
              </w:rPr>
              <w:t xml:space="preserve"> </w:t>
            </w:r>
            <w:proofErr w:type="spellStart"/>
            <w:r w:rsidRPr="00AE7ACB">
              <w:rPr>
                <w:rFonts w:asciiTheme="minorHAnsi" w:hAnsiTheme="minorHAnsi" w:cstheme="minorHAnsi"/>
                <w:sz w:val="20"/>
                <w:szCs w:val="20"/>
              </w:rPr>
              <w:t>triazone</w:t>
            </w:r>
            <w:proofErr w:type="spellEnd"/>
          </w:p>
        </w:tc>
        <w:tc>
          <w:tcPr>
            <w:tcW w:w="4761" w:type="dxa"/>
            <w:shd w:val="clear" w:color="auto" w:fill="auto"/>
            <w:vAlign w:val="center"/>
          </w:tcPr>
          <w:p w14:paraId="12F8920D" w14:textId="77777777" w:rsidR="00472026" w:rsidRPr="0074486E" w:rsidRDefault="00472026" w:rsidP="00E07077">
            <w:pPr>
              <w:pStyle w:val="Tabletext"/>
              <w:keepNext/>
              <w:keepLines/>
              <w:ind w:left="57"/>
              <w:jc w:val="center"/>
              <w:rPr>
                <w:noProof/>
                <w:sz w:val="22"/>
                <w:szCs w:val="22"/>
                <w:lang w:eastAsia="en-AU"/>
              </w:rPr>
            </w:pPr>
          </w:p>
          <w:p w14:paraId="6507C999" w14:textId="77777777" w:rsidR="00472026" w:rsidRPr="0074486E" w:rsidRDefault="00472026" w:rsidP="00E07077">
            <w:pPr>
              <w:pStyle w:val="Tabletext"/>
              <w:keepNext/>
              <w:keepLines/>
              <w:ind w:left="57"/>
              <w:jc w:val="center"/>
              <w:rPr>
                <w:noProof/>
                <w:sz w:val="22"/>
                <w:szCs w:val="22"/>
                <w:lang w:eastAsia="en-AU"/>
              </w:rPr>
            </w:pPr>
          </w:p>
          <w:p w14:paraId="76CDDA5B" w14:textId="77777777" w:rsidR="00472026" w:rsidRPr="0074486E" w:rsidRDefault="00472026" w:rsidP="00E07077">
            <w:pPr>
              <w:pStyle w:val="Tabletext"/>
              <w:keepNext/>
              <w:keepLines/>
              <w:ind w:left="57"/>
              <w:jc w:val="center"/>
              <w:rPr>
                <w:noProof/>
                <w:sz w:val="22"/>
                <w:szCs w:val="22"/>
                <w:lang w:eastAsia="en-AU"/>
              </w:rPr>
            </w:pPr>
          </w:p>
          <w:p w14:paraId="523EC4DA" w14:textId="77777777" w:rsidR="00472026" w:rsidRPr="0074486E" w:rsidRDefault="00472026" w:rsidP="00E07077">
            <w:pPr>
              <w:pStyle w:val="Tabletext"/>
              <w:keepNext/>
              <w:keepLines/>
              <w:ind w:left="57"/>
              <w:jc w:val="center"/>
              <w:rPr>
                <w:noProof/>
                <w:sz w:val="22"/>
                <w:szCs w:val="22"/>
                <w:lang w:eastAsia="en-AU"/>
              </w:rPr>
            </w:pPr>
          </w:p>
          <w:p w14:paraId="4D12B955" w14:textId="77777777" w:rsidR="00472026" w:rsidRPr="0074486E" w:rsidRDefault="00472026" w:rsidP="00E07077">
            <w:pPr>
              <w:pStyle w:val="Tabletext"/>
              <w:keepNext/>
              <w:keepLines/>
              <w:ind w:left="57"/>
              <w:jc w:val="center"/>
              <w:rPr>
                <w:sz w:val="22"/>
                <w:szCs w:val="22"/>
              </w:rPr>
            </w:pPr>
            <w:r w:rsidRPr="0074486E">
              <w:rPr>
                <w:noProof/>
                <w:sz w:val="22"/>
                <w:szCs w:val="22"/>
                <w:lang w:eastAsia="en-AU"/>
              </w:rPr>
              <w:drawing>
                <wp:inline distT="0" distB="0" distL="0" distR="0" wp14:anchorId="01FB450D" wp14:editId="4956C9C7">
                  <wp:extent cx="1060935" cy="1170665"/>
                  <wp:effectExtent l="0" t="0" r="6350" b="0"/>
                  <wp:docPr id="195838254" name="Picture 195838254" descr="A structure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38254" name="Picture 195838254" descr="A structure of a chemical formula&#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81368" cy="1193212"/>
                          </a:xfrm>
                          <a:prstGeom prst="rect">
                            <a:avLst/>
                          </a:prstGeom>
                          <a:noFill/>
                          <a:ln>
                            <a:noFill/>
                          </a:ln>
                        </pic:spPr>
                      </pic:pic>
                    </a:graphicData>
                  </a:graphic>
                </wp:inline>
              </w:drawing>
            </w:r>
          </w:p>
        </w:tc>
      </w:tr>
      <w:tr w:rsidR="00472026" w:rsidRPr="0074486E" w14:paraId="03983FBB" w14:textId="77777777" w:rsidTr="00AE7ACB">
        <w:trPr>
          <w:trHeight w:val="1442"/>
          <w:jc w:val="center"/>
        </w:trPr>
        <w:tc>
          <w:tcPr>
            <w:tcW w:w="3178" w:type="dxa"/>
            <w:shd w:val="clear" w:color="auto" w:fill="auto"/>
            <w:tcMar>
              <w:top w:w="57" w:type="dxa"/>
              <w:bottom w:w="57" w:type="dxa"/>
            </w:tcMar>
            <w:vAlign w:val="center"/>
          </w:tcPr>
          <w:p w14:paraId="1FF42181" w14:textId="77777777" w:rsidR="00472026" w:rsidRPr="00AE7ACB" w:rsidRDefault="00472026" w:rsidP="00E07077">
            <w:pPr>
              <w:pStyle w:val="Tabletext"/>
              <w:keepNext/>
              <w:keepLines/>
              <w:jc w:val="center"/>
              <w:rPr>
                <w:rFonts w:asciiTheme="minorHAnsi" w:hAnsiTheme="minorHAnsi" w:cstheme="minorHAnsi"/>
                <w:sz w:val="20"/>
                <w:szCs w:val="20"/>
              </w:rPr>
            </w:pPr>
            <w:proofErr w:type="spellStart"/>
            <w:r w:rsidRPr="00AE7ACB">
              <w:rPr>
                <w:rFonts w:asciiTheme="minorHAnsi" w:hAnsiTheme="minorHAnsi" w:cstheme="minorHAnsi"/>
                <w:sz w:val="20"/>
                <w:szCs w:val="20"/>
              </w:rPr>
              <w:t>Homosalate</w:t>
            </w:r>
            <w:proofErr w:type="spellEnd"/>
          </w:p>
        </w:tc>
        <w:tc>
          <w:tcPr>
            <w:tcW w:w="4761" w:type="dxa"/>
            <w:shd w:val="clear" w:color="auto" w:fill="auto"/>
            <w:vAlign w:val="center"/>
          </w:tcPr>
          <w:p w14:paraId="73B62196" w14:textId="77777777" w:rsidR="00472026" w:rsidRPr="0074486E" w:rsidRDefault="00472026" w:rsidP="00E07077">
            <w:pPr>
              <w:pStyle w:val="Tabletext"/>
              <w:keepNext/>
              <w:keepLines/>
              <w:ind w:left="57"/>
              <w:jc w:val="center"/>
              <w:rPr>
                <w:noProof/>
                <w:sz w:val="22"/>
                <w:szCs w:val="22"/>
              </w:rPr>
            </w:pPr>
          </w:p>
          <w:p w14:paraId="2D335B86" w14:textId="77777777" w:rsidR="00472026" w:rsidRPr="0074486E" w:rsidRDefault="00472026" w:rsidP="00E07077">
            <w:pPr>
              <w:pStyle w:val="Tabletext"/>
              <w:keepNext/>
              <w:keepLines/>
              <w:ind w:left="57"/>
              <w:jc w:val="center"/>
              <w:rPr>
                <w:noProof/>
                <w:sz w:val="22"/>
                <w:szCs w:val="22"/>
              </w:rPr>
            </w:pPr>
          </w:p>
          <w:p w14:paraId="264AEA0A" w14:textId="77777777" w:rsidR="00472026" w:rsidRPr="0074486E" w:rsidRDefault="00472026" w:rsidP="00E07077">
            <w:pPr>
              <w:pStyle w:val="Tabletext"/>
              <w:keepNext/>
              <w:keepLines/>
              <w:ind w:left="57"/>
              <w:jc w:val="center"/>
              <w:rPr>
                <w:noProof/>
                <w:sz w:val="22"/>
                <w:szCs w:val="22"/>
              </w:rPr>
            </w:pPr>
          </w:p>
          <w:p w14:paraId="23014A9D" w14:textId="77777777" w:rsidR="00472026" w:rsidRPr="0074486E" w:rsidRDefault="00472026" w:rsidP="00E07077">
            <w:pPr>
              <w:pStyle w:val="Tabletext"/>
              <w:keepNext/>
              <w:keepLines/>
              <w:ind w:left="57"/>
              <w:jc w:val="center"/>
              <w:rPr>
                <w:noProof/>
                <w:sz w:val="22"/>
                <w:szCs w:val="22"/>
                <w:lang w:eastAsia="en-AU"/>
              </w:rPr>
            </w:pPr>
            <w:r w:rsidRPr="0074486E">
              <w:rPr>
                <w:noProof/>
                <w:sz w:val="22"/>
                <w:szCs w:val="22"/>
                <w:lang w:eastAsia="en-AU"/>
              </w:rPr>
              <w:drawing>
                <wp:inline distT="0" distB="0" distL="0" distR="0" wp14:anchorId="269878F7" wp14:editId="092D20C5">
                  <wp:extent cx="846193" cy="941725"/>
                  <wp:effectExtent l="9207" t="0" r="1588" b="1587"/>
                  <wp:docPr id="1372142658" name="Picture 1372142658" descr="A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42658" name="Picture 1372142658" descr="A structure of a molecule&#10;&#10;AI-generated content may be incorrect."/>
                          <pic:cNvPicPr/>
                        </pic:nvPicPr>
                        <pic:blipFill>
                          <a:blip r:embed="rId22"/>
                          <a:stretch>
                            <a:fillRect/>
                          </a:stretch>
                        </pic:blipFill>
                        <pic:spPr>
                          <a:xfrm rot="5400000">
                            <a:off x="0" y="0"/>
                            <a:ext cx="869169" cy="967295"/>
                          </a:xfrm>
                          <a:prstGeom prst="rect">
                            <a:avLst/>
                          </a:prstGeom>
                        </pic:spPr>
                      </pic:pic>
                    </a:graphicData>
                  </a:graphic>
                </wp:inline>
              </w:drawing>
            </w:r>
          </w:p>
        </w:tc>
      </w:tr>
      <w:tr w:rsidR="00472026" w:rsidRPr="0074486E" w14:paraId="07710612" w14:textId="77777777" w:rsidTr="00AE7ACB">
        <w:trPr>
          <w:trHeight w:val="1412"/>
          <w:jc w:val="center"/>
        </w:trPr>
        <w:tc>
          <w:tcPr>
            <w:tcW w:w="3178" w:type="dxa"/>
            <w:shd w:val="clear" w:color="auto" w:fill="auto"/>
            <w:tcMar>
              <w:top w:w="57" w:type="dxa"/>
              <w:bottom w:w="57" w:type="dxa"/>
            </w:tcMar>
            <w:vAlign w:val="center"/>
          </w:tcPr>
          <w:p w14:paraId="3F530F57" w14:textId="1DE542D3" w:rsidR="00472026" w:rsidRPr="00AE7ACB" w:rsidRDefault="00472026" w:rsidP="004E518C">
            <w:pPr>
              <w:pStyle w:val="Tabletext"/>
              <w:keepNext/>
              <w:keepLines/>
              <w:jc w:val="center"/>
              <w:rPr>
                <w:rFonts w:asciiTheme="minorHAnsi" w:hAnsiTheme="minorHAnsi" w:cstheme="minorHAnsi"/>
                <w:sz w:val="20"/>
                <w:szCs w:val="20"/>
              </w:rPr>
            </w:pPr>
            <w:r w:rsidRPr="00AE7ACB">
              <w:rPr>
                <w:rFonts w:asciiTheme="minorHAnsi" w:hAnsiTheme="minorHAnsi" w:cstheme="minorHAnsi"/>
                <w:sz w:val="20"/>
                <w:szCs w:val="20"/>
              </w:rPr>
              <w:t>Octyl methoxycinnamate</w:t>
            </w:r>
          </w:p>
        </w:tc>
        <w:tc>
          <w:tcPr>
            <w:tcW w:w="4761" w:type="dxa"/>
            <w:shd w:val="clear" w:color="auto" w:fill="auto"/>
            <w:vAlign w:val="center"/>
          </w:tcPr>
          <w:p w14:paraId="70806175" w14:textId="77777777" w:rsidR="00472026" w:rsidRPr="0074486E" w:rsidRDefault="00472026" w:rsidP="00E07077">
            <w:pPr>
              <w:pStyle w:val="Tabletext"/>
              <w:keepNext/>
              <w:keepLines/>
              <w:ind w:left="57"/>
              <w:rPr>
                <w:noProof/>
                <w:sz w:val="22"/>
                <w:szCs w:val="22"/>
              </w:rPr>
            </w:pPr>
          </w:p>
          <w:p w14:paraId="0827C915" w14:textId="77777777" w:rsidR="00472026" w:rsidRPr="0074486E" w:rsidRDefault="00472026" w:rsidP="00E07077">
            <w:pPr>
              <w:pStyle w:val="Tabletext"/>
              <w:keepNext/>
              <w:keepLines/>
              <w:ind w:left="57"/>
              <w:rPr>
                <w:noProof/>
                <w:sz w:val="22"/>
                <w:szCs w:val="22"/>
              </w:rPr>
            </w:pPr>
          </w:p>
          <w:p w14:paraId="7959DC9A" w14:textId="77777777" w:rsidR="00472026" w:rsidRPr="0074486E" w:rsidRDefault="00472026" w:rsidP="00E07077">
            <w:pPr>
              <w:pStyle w:val="Tabletext"/>
              <w:keepNext/>
              <w:keepLines/>
              <w:ind w:left="57"/>
              <w:rPr>
                <w:sz w:val="22"/>
                <w:szCs w:val="22"/>
              </w:rPr>
            </w:pPr>
            <w:r w:rsidRPr="0074486E">
              <w:rPr>
                <w:noProof/>
                <w:sz w:val="22"/>
                <w:szCs w:val="22"/>
                <w:lang w:eastAsia="en-AU"/>
              </w:rPr>
              <w:drawing>
                <wp:anchor distT="0" distB="0" distL="114300" distR="114300" simplePos="0" relativeHeight="251660288" behindDoc="0" locked="0" layoutInCell="1" allowOverlap="1" wp14:anchorId="43CD53BA" wp14:editId="27FDFA61">
                  <wp:simplePos x="0" y="0"/>
                  <wp:positionH relativeFrom="column">
                    <wp:posOffset>386715</wp:posOffset>
                  </wp:positionH>
                  <wp:positionV relativeFrom="paragraph">
                    <wp:posOffset>-889000</wp:posOffset>
                  </wp:positionV>
                  <wp:extent cx="1045845" cy="1747520"/>
                  <wp:effectExtent l="0" t="7937" r="0" b="0"/>
                  <wp:wrapSquare wrapText="bothSides"/>
                  <wp:docPr id="216" name="Picture 216" descr="A structure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descr="A structure of a chemical formula&#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rot="16200000">
                            <a:off x="0" y="0"/>
                            <a:ext cx="1045845" cy="1747520"/>
                          </a:xfrm>
                          <a:prstGeom prst="rect">
                            <a:avLst/>
                          </a:prstGeom>
                        </pic:spPr>
                      </pic:pic>
                    </a:graphicData>
                  </a:graphic>
                </wp:anchor>
              </w:drawing>
            </w:r>
          </w:p>
        </w:tc>
      </w:tr>
      <w:tr w:rsidR="00472026" w:rsidRPr="0074486E" w14:paraId="218D17F6" w14:textId="77777777" w:rsidTr="00AE7ACB">
        <w:trPr>
          <w:trHeight w:val="1088"/>
          <w:jc w:val="center"/>
        </w:trPr>
        <w:tc>
          <w:tcPr>
            <w:tcW w:w="3178" w:type="dxa"/>
            <w:shd w:val="clear" w:color="auto" w:fill="auto"/>
            <w:tcMar>
              <w:top w:w="57" w:type="dxa"/>
              <w:bottom w:w="57" w:type="dxa"/>
            </w:tcMar>
            <w:vAlign w:val="center"/>
          </w:tcPr>
          <w:p w14:paraId="7CC425CF" w14:textId="5FFB4AF2" w:rsidR="00472026" w:rsidRPr="00AE7ACB" w:rsidRDefault="00472026" w:rsidP="00605907">
            <w:pPr>
              <w:pStyle w:val="Tabletextleft"/>
              <w:keepNext/>
              <w:keepLines/>
              <w:jc w:val="center"/>
              <w:rPr>
                <w:rFonts w:asciiTheme="minorHAnsi" w:hAnsiTheme="minorHAnsi" w:cstheme="minorHAnsi"/>
                <w:sz w:val="20"/>
                <w:szCs w:val="20"/>
              </w:rPr>
            </w:pPr>
            <w:r w:rsidRPr="00AE7ACB">
              <w:rPr>
                <w:rFonts w:asciiTheme="minorHAnsi" w:hAnsiTheme="minorHAnsi" w:cstheme="minorHAnsi"/>
                <w:sz w:val="20"/>
                <w:szCs w:val="20"/>
              </w:rPr>
              <w:t>Octocrylene</w:t>
            </w:r>
          </w:p>
        </w:tc>
        <w:tc>
          <w:tcPr>
            <w:tcW w:w="4761" w:type="dxa"/>
            <w:shd w:val="clear" w:color="auto" w:fill="auto"/>
            <w:vAlign w:val="bottom"/>
          </w:tcPr>
          <w:p w14:paraId="649FCE5A" w14:textId="77777777" w:rsidR="00472026" w:rsidRPr="0074486E" w:rsidRDefault="00472026" w:rsidP="00E07077">
            <w:pPr>
              <w:pStyle w:val="Tabletext"/>
              <w:keepNext/>
              <w:keepLines/>
              <w:ind w:left="57"/>
              <w:jc w:val="center"/>
              <w:rPr>
                <w:noProof/>
                <w:sz w:val="22"/>
                <w:szCs w:val="22"/>
                <w:lang w:eastAsia="en-AU"/>
              </w:rPr>
            </w:pPr>
          </w:p>
          <w:p w14:paraId="61BC3466" w14:textId="77777777" w:rsidR="00472026" w:rsidRPr="0074486E" w:rsidRDefault="00472026" w:rsidP="00E07077">
            <w:pPr>
              <w:pStyle w:val="Tabletext"/>
              <w:keepNext/>
              <w:keepLines/>
              <w:ind w:left="57"/>
              <w:jc w:val="center"/>
              <w:rPr>
                <w:noProof/>
                <w:sz w:val="22"/>
                <w:szCs w:val="22"/>
                <w:lang w:eastAsia="en-AU"/>
              </w:rPr>
            </w:pPr>
          </w:p>
          <w:p w14:paraId="0C3327DE" w14:textId="77777777" w:rsidR="00472026" w:rsidRPr="0074486E" w:rsidRDefault="00472026" w:rsidP="00E07077">
            <w:pPr>
              <w:pStyle w:val="Tabletext"/>
              <w:keepNext/>
              <w:keepLines/>
              <w:ind w:left="57"/>
              <w:jc w:val="center"/>
              <w:rPr>
                <w:sz w:val="22"/>
                <w:szCs w:val="22"/>
              </w:rPr>
            </w:pPr>
            <w:r w:rsidRPr="0074486E">
              <w:rPr>
                <w:noProof/>
                <w:sz w:val="22"/>
                <w:szCs w:val="22"/>
                <w:lang w:eastAsia="en-AU"/>
              </w:rPr>
              <w:drawing>
                <wp:inline distT="0" distB="0" distL="0" distR="0" wp14:anchorId="44C98315" wp14:editId="24D4D68E">
                  <wp:extent cx="1554480" cy="868375"/>
                  <wp:effectExtent l="0" t="0" r="7620" b="8255"/>
                  <wp:docPr id="5" name="Picture 5" descr="A structure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tructure of a chemical formula&#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6851" cy="875286"/>
                          </a:xfrm>
                          <a:prstGeom prst="rect">
                            <a:avLst/>
                          </a:prstGeom>
                          <a:noFill/>
                        </pic:spPr>
                      </pic:pic>
                    </a:graphicData>
                  </a:graphic>
                </wp:inline>
              </w:drawing>
            </w:r>
          </w:p>
        </w:tc>
      </w:tr>
      <w:tr w:rsidR="00472026" w:rsidRPr="0074486E" w14:paraId="49553D03" w14:textId="77777777" w:rsidTr="00AE7ACB">
        <w:trPr>
          <w:trHeight w:val="1441"/>
          <w:jc w:val="center"/>
        </w:trPr>
        <w:tc>
          <w:tcPr>
            <w:tcW w:w="3178" w:type="dxa"/>
            <w:shd w:val="clear" w:color="auto" w:fill="auto"/>
            <w:tcMar>
              <w:top w:w="57" w:type="dxa"/>
              <w:bottom w:w="57" w:type="dxa"/>
            </w:tcMar>
            <w:vAlign w:val="center"/>
          </w:tcPr>
          <w:p w14:paraId="3CDD0791" w14:textId="77777777" w:rsidR="00472026" w:rsidRPr="00AE7ACB" w:rsidRDefault="00472026" w:rsidP="00E07077">
            <w:pPr>
              <w:pStyle w:val="Tabletextleft"/>
              <w:keepNext/>
              <w:keepLines/>
              <w:jc w:val="center"/>
              <w:rPr>
                <w:rFonts w:asciiTheme="minorHAnsi" w:hAnsiTheme="minorHAnsi" w:cstheme="minorHAnsi"/>
                <w:sz w:val="20"/>
                <w:szCs w:val="20"/>
              </w:rPr>
            </w:pPr>
            <w:r w:rsidRPr="00AE7ACB">
              <w:rPr>
                <w:rFonts w:asciiTheme="minorHAnsi" w:hAnsiTheme="minorHAnsi" w:cstheme="minorHAnsi"/>
                <w:sz w:val="20"/>
                <w:szCs w:val="20"/>
              </w:rPr>
              <w:t>Oxybenzone</w:t>
            </w:r>
          </w:p>
        </w:tc>
        <w:tc>
          <w:tcPr>
            <w:tcW w:w="4761" w:type="dxa"/>
            <w:shd w:val="clear" w:color="auto" w:fill="auto"/>
            <w:vAlign w:val="center"/>
          </w:tcPr>
          <w:p w14:paraId="06781F4B" w14:textId="77777777" w:rsidR="00472026" w:rsidRPr="0074486E" w:rsidRDefault="00472026" w:rsidP="00E07077">
            <w:pPr>
              <w:pStyle w:val="Tabletext"/>
              <w:keepNext/>
              <w:keepLines/>
              <w:jc w:val="center"/>
              <w:rPr>
                <w:sz w:val="22"/>
                <w:szCs w:val="22"/>
              </w:rPr>
            </w:pPr>
            <w:r w:rsidRPr="0074486E">
              <w:rPr>
                <w:noProof/>
                <w:sz w:val="22"/>
                <w:szCs w:val="22"/>
                <w:lang w:eastAsia="en-AU"/>
              </w:rPr>
              <w:drawing>
                <wp:anchor distT="0" distB="0" distL="114300" distR="114300" simplePos="0" relativeHeight="251659264" behindDoc="0" locked="0" layoutInCell="1" allowOverlap="1" wp14:anchorId="5521A67B" wp14:editId="06FC970E">
                  <wp:simplePos x="0" y="0"/>
                  <wp:positionH relativeFrom="column">
                    <wp:posOffset>290830</wp:posOffset>
                  </wp:positionH>
                  <wp:positionV relativeFrom="paragraph">
                    <wp:posOffset>-523875</wp:posOffset>
                  </wp:positionV>
                  <wp:extent cx="1377950" cy="76390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7950" cy="7639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72026" w:rsidRPr="0074486E" w14:paraId="283B497D" w14:textId="77777777" w:rsidTr="00AE7ACB">
        <w:trPr>
          <w:trHeight w:val="1418"/>
          <w:jc w:val="center"/>
        </w:trPr>
        <w:tc>
          <w:tcPr>
            <w:tcW w:w="3178" w:type="dxa"/>
            <w:shd w:val="clear" w:color="auto" w:fill="auto"/>
            <w:tcMar>
              <w:top w:w="57" w:type="dxa"/>
              <w:bottom w:w="57" w:type="dxa"/>
            </w:tcMar>
            <w:vAlign w:val="center"/>
          </w:tcPr>
          <w:p w14:paraId="6F0C0891" w14:textId="53766F91" w:rsidR="00472026" w:rsidRPr="00AE7ACB" w:rsidRDefault="00472026" w:rsidP="00605907">
            <w:pPr>
              <w:pStyle w:val="Tabletextleft"/>
              <w:keepNext/>
              <w:keepLines/>
              <w:jc w:val="center"/>
              <w:rPr>
                <w:rFonts w:asciiTheme="minorHAnsi" w:hAnsiTheme="minorHAnsi" w:cstheme="minorHAnsi"/>
                <w:sz w:val="20"/>
                <w:szCs w:val="20"/>
              </w:rPr>
            </w:pPr>
            <w:proofErr w:type="spellStart"/>
            <w:r w:rsidRPr="00AE7ACB">
              <w:rPr>
                <w:rFonts w:asciiTheme="minorHAnsi" w:hAnsiTheme="minorHAnsi" w:cstheme="minorHAnsi"/>
                <w:sz w:val="20"/>
                <w:szCs w:val="20"/>
              </w:rPr>
              <w:t>Phenylbenzimidazole</w:t>
            </w:r>
            <w:proofErr w:type="spellEnd"/>
            <w:r w:rsidRPr="00AE7ACB">
              <w:rPr>
                <w:rFonts w:asciiTheme="minorHAnsi" w:hAnsiTheme="minorHAnsi" w:cstheme="minorHAnsi"/>
                <w:sz w:val="20"/>
                <w:szCs w:val="20"/>
              </w:rPr>
              <w:t xml:space="preserve"> sulfonic acid</w:t>
            </w:r>
          </w:p>
        </w:tc>
        <w:tc>
          <w:tcPr>
            <w:tcW w:w="4761" w:type="dxa"/>
            <w:shd w:val="clear" w:color="auto" w:fill="auto"/>
            <w:vAlign w:val="center"/>
          </w:tcPr>
          <w:p w14:paraId="3BB19F5B" w14:textId="77777777" w:rsidR="00472026" w:rsidRPr="00477761" w:rsidRDefault="00472026" w:rsidP="00E07077">
            <w:r>
              <w:rPr>
                <w:noProof/>
              </w:rPr>
              <w:drawing>
                <wp:inline distT="0" distB="0" distL="0" distR="0" wp14:anchorId="233B9A74" wp14:editId="1437D0D1">
                  <wp:extent cx="1993313" cy="931242"/>
                  <wp:effectExtent l="0" t="0" r="6985" b="2540"/>
                  <wp:docPr id="1511769504" name="Picture 1" descr="A structure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769504" name="Picture 1" descr="A structure of a chemical formula&#10;&#10;AI-generated content may be incorrect."/>
                          <pic:cNvPicPr/>
                        </pic:nvPicPr>
                        <pic:blipFill>
                          <a:blip r:embed="rId26"/>
                          <a:stretch>
                            <a:fillRect/>
                          </a:stretch>
                        </pic:blipFill>
                        <pic:spPr>
                          <a:xfrm>
                            <a:off x="0" y="0"/>
                            <a:ext cx="2010310" cy="939183"/>
                          </a:xfrm>
                          <a:prstGeom prst="rect">
                            <a:avLst/>
                          </a:prstGeom>
                        </pic:spPr>
                      </pic:pic>
                    </a:graphicData>
                  </a:graphic>
                </wp:inline>
              </w:drawing>
            </w:r>
          </w:p>
        </w:tc>
      </w:tr>
    </w:tbl>
    <w:p w14:paraId="6375F59D" w14:textId="77777777" w:rsidR="00CB46B1" w:rsidRDefault="00CB46B1" w:rsidP="00CB46B1">
      <w:pPr>
        <w:pStyle w:val="Heading4"/>
      </w:pPr>
      <w:bookmarkStart w:id="19" w:name="_Toc190944895"/>
      <w:bookmarkStart w:id="20" w:name="_Toc199254932"/>
      <w:r>
        <w:lastRenderedPageBreak/>
        <w:t>Current restrictions in Australia and internationally</w:t>
      </w:r>
      <w:bookmarkEnd w:id="19"/>
      <w:bookmarkEnd w:id="20"/>
    </w:p>
    <w:p w14:paraId="3F5C73B5" w14:textId="77777777" w:rsidR="00CB46B1" w:rsidRPr="0074486E" w:rsidRDefault="00CB46B1" w:rsidP="00A76CA2">
      <w:r w:rsidRPr="0074486E">
        <w:t xml:space="preserve">The following ingredients are currently approved in Australia for use as active ingredients in </w:t>
      </w:r>
      <w:r>
        <w:t xml:space="preserve">therapeutic </w:t>
      </w:r>
      <w:r w:rsidRPr="0074486E">
        <w:t xml:space="preserve">sunscreens for dermal application (see the table below), not to be used in topical products for eyes, with appropriate safety warnings </w:t>
      </w:r>
      <w:r>
        <w:t>mandated on</w:t>
      </w:r>
      <w:r w:rsidRPr="0074486E">
        <w:t xml:space="preserve"> the label. It is noted that </w:t>
      </w:r>
      <w:r>
        <w:t>the regulation of sunscreens differs internationally, for example the USA regulate these as OTC drugs while they are regulated as cosmetics in the EU</w:t>
      </w:r>
      <w:r w:rsidRPr="0074486E">
        <w:t xml:space="preserve">. </w:t>
      </w:r>
    </w:p>
    <w:tbl>
      <w:tblPr>
        <w:tblW w:w="5000" w:type="pct"/>
        <w:jc w:val="cente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Layout w:type="fixed"/>
        <w:tblCellMar>
          <w:top w:w="28" w:type="dxa"/>
          <w:left w:w="57" w:type="dxa"/>
          <w:bottom w:w="28" w:type="dxa"/>
          <w:right w:w="57" w:type="dxa"/>
        </w:tblCellMar>
        <w:tblLook w:val="01E0" w:firstRow="1" w:lastRow="1" w:firstColumn="1" w:lastColumn="1" w:noHBand="0" w:noVBand="0"/>
      </w:tblPr>
      <w:tblGrid>
        <w:gridCol w:w="2688"/>
        <w:gridCol w:w="1266"/>
        <w:gridCol w:w="1266"/>
        <w:gridCol w:w="1266"/>
        <w:gridCol w:w="1266"/>
        <w:gridCol w:w="1264"/>
      </w:tblGrid>
      <w:tr w:rsidR="00CB46B1" w:rsidRPr="0074486E" w14:paraId="7C04B53B" w14:textId="77777777" w:rsidTr="00BA4549">
        <w:trPr>
          <w:cantSplit/>
          <w:trHeight w:val="160"/>
          <w:tblHeader/>
          <w:jc w:val="center"/>
        </w:trPr>
        <w:tc>
          <w:tcPr>
            <w:tcW w:w="1491" w:type="pct"/>
            <w:vMerge w:val="restart"/>
            <w:shd w:val="clear" w:color="auto" w:fill="B8CCEA"/>
            <w:tcMar>
              <w:top w:w="28" w:type="dxa"/>
              <w:left w:w="57" w:type="dxa"/>
              <w:bottom w:w="28" w:type="dxa"/>
              <w:right w:w="57" w:type="dxa"/>
            </w:tcMar>
            <w:vAlign w:val="center"/>
          </w:tcPr>
          <w:p w14:paraId="58CFC144" w14:textId="77777777" w:rsidR="00CB46B1" w:rsidRPr="00236236" w:rsidRDefault="00CB46B1" w:rsidP="00E07077">
            <w:pPr>
              <w:pStyle w:val="TableHeader"/>
              <w:rPr>
                <w:rFonts w:asciiTheme="minorHAnsi" w:hAnsiTheme="minorHAnsi" w:cstheme="minorHAnsi"/>
                <w:color w:val="263287"/>
                <w:sz w:val="20"/>
                <w:szCs w:val="20"/>
              </w:rPr>
            </w:pPr>
            <w:r w:rsidRPr="00236236">
              <w:rPr>
                <w:rFonts w:asciiTheme="minorHAnsi" w:hAnsiTheme="minorHAnsi" w:cstheme="minorHAnsi"/>
                <w:color w:val="263287"/>
                <w:sz w:val="20"/>
                <w:szCs w:val="20"/>
              </w:rPr>
              <w:t>Active ingredient</w:t>
            </w:r>
          </w:p>
        </w:tc>
        <w:tc>
          <w:tcPr>
            <w:tcW w:w="3509" w:type="pct"/>
            <w:gridSpan w:val="5"/>
            <w:shd w:val="clear" w:color="auto" w:fill="B8CCEA"/>
            <w:vAlign w:val="center"/>
          </w:tcPr>
          <w:p w14:paraId="353637BA" w14:textId="77777777" w:rsidR="00CB46B1" w:rsidRPr="00236236" w:rsidRDefault="00CB46B1" w:rsidP="00E07077">
            <w:pPr>
              <w:pStyle w:val="TableHeader"/>
              <w:rPr>
                <w:rFonts w:asciiTheme="minorHAnsi" w:eastAsia="Cambria" w:hAnsiTheme="minorHAnsi" w:cstheme="minorHAnsi"/>
                <w:color w:val="263287"/>
                <w:sz w:val="20"/>
                <w:szCs w:val="20"/>
              </w:rPr>
            </w:pPr>
            <w:r w:rsidRPr="00236236">
              <w:rPr>
                <w:rFonts w:asciiTheme="minorHAnsi" w:eastAsia="Cambria" w:hAnsiTheme="minorHAnsi" w:cstheme="minorHAnsi"/>
                <w:color w:val="263287"/>
                <w:sz w:val="20"/>
                <w:szCs w:val="20"/>
              </w:rPr>
              <w:t xml:space="preserve">Maximum % approved </w:t>
            </w:r>
          </w:p>
        </w:tc>
      </w:tr>
      <w:tr w:rsidR="00CB46B1" w:rsidRPr="0074486E" w14:paraId="01921215" w14:textId="77777777" w:rsidTr="00BA4549">
        <w:trPr>
          <w:cantSplit/>
          <w:trHeight w:val="160"/>
          <w:tblHeader/>
          <w:jc w:val="center"/>
        </w:trPr>
        <w:tc>
          <w:tcPr>
            <w:tcW w:w="1491" w:type="pct"/>
            <w:vMerge/>
            <w:shd w:val="clear" w:color="auto" w:fill="B8CCEA"/>
            <w:tcMar>
              <w:top w:w="28" w:type="dxa"/>
              <w:left w:w="57" w:type="dxa"/>
              <w:bottom w:w="28" w:type="dxa"/>
              <w:right w:w="57" w:type="dxa"/>
            </w:tcMar>
            <w:vAlign w:val="center"/>
          </w:tcPr>
          <w:p w14:paraId="5BA99064" w14:textId="77777777" w:rsidR="00CB46B1" w:rsidRPr="00236236" w:rsidRDefault="00CB46B1" w:rsidP="00E07077">
            <w:pPr>
              <w:pStyle w:val="TableHeader"/>
              <w:rPr>
                <w:rFonts w:asciiTheme="minorHAnsi" w:eastAsia="Cambria" w:hAnsiTheme="minorHAnsi" w:cstheme="minorHAnsi"/>
                <w:color w:val="263287"/>
                <w:sz w:val="20"/>
                <w:szCs w:val="20"/>
              </w:rPr>
            </w:pPr>
          </w:p>
        </w:tc>
        <w:tc>
          <w:tcPr>
            <w:tcW w:w="702" w:type="pct"/>
            <w:shd w:val="clear" w:color="auto" w:fill="B8CCEA"/>
            <w:vAlign w:val="center"/>
          </w:tcPr>
          <w:p w14:paraId="13154531" w14:textId="77777777" w:rsidR="00CB46B1" w:rsidRPr="00236236" w:rsidRDefault="00CB46B1" w:rsidP="00E07077">
            <w:pPr>
              <w:pStyle w:val="TableHeader"/>
              <w:rPr>
                <w:rFonts w:asciiTheme="minorHAnsi" w:eastAsia="Cambria" w:hAnsiTheme="minorHAnsi" w:cstheme="minorHAnsi"/>
                <w:color w:val="263287"/>
                <w:sz w:val="20"/>
                <w:szCs w:val="20"/>
              </w:rPr>
            </w:pPr>
            <w:r w:rsidRPr="00236236">
              <w:rPr>
                <w:rFonts w:asciiTheme="minorHAnsi" w:eastAsia="Cambria" w:hAnsiTheme="minorHAnsi" w:cstheme="minorHAnsi"/>
                <w:color w:val="263287"/>
                <w:sz w:val="20"/>
                <w:szCs w:val="20"/>
              </w:rPr>
              <w:t>Australia</w:t>
            </w:r>
          </w:p>
        </w:tc>
        <w:tc>
          <w:tcPr>
            <w:tcW w:w="702" w:type="pct"/>
            <w:shd w:val="clear" w:color="auto" w:fill="B8CCEA"/>
            <w:tcMar>
              <w:left w:w="57" w:type="dxa"/>
              <w:right w:w="57" w:type="dxa"/>
            </w:tcMar>
            <w:vAlign w:val="center"/>
          </w:tcPr>
          <w:p w14:paraId="320C1BC1" w14:textId="77777777" w:rsidR="00CB46B1" w:rsidRPr="00236236" w:rsidRDefault="00CB46B1" w:rsidP="00E07077">
            <w:pPr>
              <w:pStyle w:val="TableHeader"/>
              <w:rPr>
                <w:rFonts w:asciiTheme="minorHAnsi" w:eastAsia="Cambria" w:hAnsiTheme="minorHAnsi" w:cstheme="minorHAnsi"/>
                <w:color w:val="263287"/>
                <w:sz w:val="20"/>
                <w:szCs w:val="20"/>
              </w:rPr>
            </w:pPr>
            <w:r w:rsidRPr="00236236">
              <w:rPr>
                <w:rFonts w:asciiTheme="minorHAnsi" w:eastAsia="Cambria" w:hAnsiTheme="minorHAnsi" w:cstheme="minorHAnsi"/>
                <w:color w:val="263287"/>
                <w:sz w:val="20"/>
                <w:szCs w:val="20"/>
              </w:rPr>
              <w:t>EU</w:t>
            </w:r>
          </w:p>
        </w:tc>
        <w:tc>
          <w:tcPr>
            <w:tcW w:w="702" w:type="pct"/>
            <w:shd w:val="clear" w:color="auto" w:fill="B8CCEA"/>
            <w:tcMar>
              <w:left w:w="57" w:type="dxa"/>
              <w:right w:w="57" w:type="dxa"/>
            </w:tcMar>
            <w:vAlign w:val="center"/>
          </w:tcPr>
          <w:p w14:paraId="1591825F" w14:textId="77777777" w:rsidR="00CB46B1" w:rsidRPr="00236236" w:rsidRDefault="00CB46B1" w:rsidP="00E07077">
            <w:pPr>
              <w:pStyle w:val="TableHeader"/>
              <w:rPr>
                <w:rFonts w:asciiTheme="minorHAnsi" w:eastAsia="Cambria" w:hAnsiTheme="minorHAnsi" w:cstheme="minorHAnsi"/>
                <w:color w:val="263287"/>
                <w:sz w:val="20"/>
                <w:szCs w:val="20"/>
              </w:rPr>
            </w:pPr>
            <w:r w:rsidRPr="00236236">
              <w:rPr>
                <w:rFonts w:asciiTheme="minorHAnsi" w:eastAsia="Cambria" w:hAnsiTheme="minorHAnsi" w:cstheme="minorHAnsi"/>
                <w:color w:val="263287"/>
                <w:sz w:val="20"/>
                <w:szCs w:val="20"/>
              </w:rPr>
              <w:t>USA</w:t>
            </w:r>
          </w:p>
        </w:tc>
        <w:tc>
          <w:tcPr>
            <w:tcW w:w="702" w:type="pct"/>
            <w:shd w:val="clear" w:color="auto" w:fill="B8CCEA"/>
            <w:vAlign w:val="center"/>
          </w:tcPr>
          <w:p w14:paraId="0A434664" w14:textId="77777777" w:rsidR="00CB46B1" w:rsidRPr="00236236" w:rsidRDefault="00CB46B1" w:rsidP="00E07077">
            <w:pPr>
              <w:pStyle w:val="TableHeader"/>
              <w:rPr>
                <w:rFonts w:asciiTheme="minorHAnsi" w:eastAsia="Cambria" w:hAnsiTheme="minorHAnsi" w:cstheme="minorHAnsi"/>
                <w:color w:val="263287"/>
                <w:sz w:val="20"/>
                <w:szCs w:val="20"/>
              </w:rPr>
            </w:pPr>
            <w:r w:rsidRPr="00236236">
              <w:rPr>
                <w:rFonts w:asciiTheme="minorHAnsi" w:eastAsia="Cambria" w:hAnsiTheme="minorHAnsi" w:cstheme="minorHAnsi"/>
                <w:color w:val="263287"/>
                <w:sz w:val="20"/>
                <w:szCs w:val="20"/>
              </w:rPr>
              <w:t>Canada</w:t>
            </w:r>
            <w:r w:rsidRPr="00236236">
              <w:rPr>
                <w:rStyle w:val="FootnoteReference"/>
                <w:rFonts w:asciiTheme="minorHAnsi" w:eastAsia="Cambria" w:hAnsiTheme="minorHAnsi" w:cstheme="minorHAnsi"/>
                <w:color w:val="263287"/>
                <w:sz w:val="20"/>
                <w:szCs w:val="20"/>
              </w:rPr>
              <w:footnoteReference w:id="2"/>
            </w:r>
          </w:p>
        </w:tc>
        <w:tc>
          <w:tcPr>
            <w:tcW w:w="702" w:type="pct"/>
            <w:shd w:val="clear" w:color="auto" w:fill="B8CCEA"/>
            <w:tcMar>
              <w:left w:w="57" w:type="dxa"/>
              <w:right w:w="57" w:type="dxa"/>
            </w:tcMar>
            <w:vAlign w:val="center"/>
          </w:tcPr>
          <w:p w14:paraId="51F00F91" w14:textId="77777777" w:rsidR="00CB46B1" w:rsidRPr="00236236" w:rsidRDefault="00CB46B1" w:rsidP="00E07077">
            <w:pPr>
              <w:pStyle w:val="TableHeader"/>
              <w:rPr>
                <w:rFonts w:asciiTheme="minorHAnsi" w:eastAsia="Cambria" w:hAnsiTheme="minorHAnsi" w:cstheme="minorHAnsi"/>
                <w:color w:val="263287"/>
                <w:sz w:val="20"/>
                <w:szCs w:val="20"/>
              </w:rPr>
            </w:pPr>
            <w:r w:rsidRPr="00236236">
              <w:rPr>
                <w:rFonts w:asciiTheme="minorHAnsi" w:eastAsia="Cambria" w:hAnsiTheme="minorHAnsi" w:cstheme="minorHAnsi"/>
                <w:color w:val="263287"/>
                <w:sz w:val="20"/>
                <w:szCs w:val="20"/>
              </w:rPr>
              <w:t>Japan</w:t>
            </w:r>
            <w:r w:rsidRPr="00236236">
              <w:rPr>
                <w:rStyle w:val="FootnoteReference"/>
                <w:rFonts w:asciiTheme="minorHAnsi" w:eastAsia="Cambria" w:hAnsiTheme="minorHAnsi" w:cstheme="minorHAnsi"/>
                <w:color w:val="263287"/>
                <w:sz w:val="20"/>
                <w:szCs w:val="20"/>
              </w:rPr>
              <w:footnoteReference w:id="3"/>
            </w:r>
          </w:p>
        </w:tc>
      </w:tr>
      <w:tr w:rsidR="00CB46B1" w:rsidRPr="0074486E" w14:paraId="3EFF7CEC" w14:textId="77777777" w:rsidTr="00BA4549">
        <w:trPr>
          <w:cantSplit/>
          <w:trHeight w:val="253"/>
          <w:jc w:val="center"/>
        </w:trPr>
        <w:tc>
          <w:tcPr>
            <w:tcW w:w="1491" w:type="pct"/>
            <w:shd w:val="clear" w:color="auto" w:fill="auto"/>
            <w:vAlign w:val="center"/>
          </w:tcPr>
          <w:p w14:paraId="5BCC7263"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 xml:space="preserve">Butyl </w:t>
            </w:r>
            <w:proofErr w:type="spellStart"/>
            <w:r w:rsidRPr="00B07A4A">
              <w:rPr>
                <w:rFonts w:asciiTheme="minorHAnsi" w:hAnsiTheme="minorHAnsi" w:cstheme="minorHAnsi"/>
                <w:snapToGrid w:val="0"/>
              </w:rPr>
              <w:t>methoxydibenzoylmethane</w:t>
            </w:r>
            <w:proofErr w:type="spellEnd"/>
          </w:p>
        </w:tc>
        <w:tc>
          <w:tcPr>
            <w:tcW w:w="702" w:type="pct"/>
            <w:vAlign w:val="center"/>
          </w:tcPr>
          <w:p w14:paraId="4D4D3A19"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5</w:t>
            </w:r>
          </w:p>
        </w:tc>
        <w:tc>
          <w:tcPr>
            <w:tcW w:w="702" w:type="pct"/>
            <w:shd w:val="clear" w:color="auto" w:fill="auto"/>
            <w:vAlign w:val="center"/>
          </w:tcPr>
          <w:p w14:paraId="26BAB93C"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5</w:t>
            </w:r>
          </w:p>
        </w:tc>
        <w:tc>
          <w:tcPr>
            <w:tcW w:w="702" w:type="pct"/>
            <w:shd w:val="clear" w:color="auto" w:fill="auto"/>
            <w:vAlign w:val="center"/>
          </w:tcPr>
          <w:p w14:paraId="6460F8B4"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3</w:t>
            </w:r>
          </w:p>
        </w:tc>
        <w:tc>
          <w:tcPr>
            <w:tcW w:w="702" w:type="pct"/>
            <w:vAlign w:val="center"/>
          </w:tcPr>
          <w:p w14:paraId="7731FD49"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3</w:t>
            </w:r>
          </w:p>
        </w:tc>
        <w:tc>
          <w:tcPr>
            <w:tcW w:w="702" w:type="pct"/>
            <w:shd w:val="clear" w:color="auto" w:fill="auto"/>
            <w:vAlign w:val="center"/>
          </w:tcPr>
          <w:p w14:paraId="53CEC8F0"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10</w:t>
            </w:r>
          </w:p>
        </w:tc>
      </w:tr>
      <w:tr w:rsidR="00CB46B1" w:rsidRPr="0074486E" w14:paraId="3CF323B9" w14:textId="77777777" w:rsidTr="00BA4549">
        <w:trPr>
          <w:cantSplit/>
          <w:trHeight w:val="253"/>
          <w:jc w:val="center"/>
        </w:trPr>
        <w:tc>
          <w:tcPr>
            <w:tcW w:w="1491" w:type="pct"/>
            <w:shd w:val="clear" w:color="auto" w:fill="auto"/>
            <w:vAlign w:val="center"/>
          </w:tcPr>
          <w:p w14:paraId="6A684C7D" w14:textId="77777777" w:rsidR="00CB46B1" w:rsidRPr="00B07A4A" w:rsidRDefault="00CB46B1" w:rsidP="00E07077">
            <w:pPr>
              <w:pStyle w:val="Tabletextleft"/>
              <w:jc w:val="center"/>
              <w:rPr>
                <w:rFonts w:asciiTheme="minorHAnsi" w:hAnsiTheme="minorHAnsi" w:cstheme="minorHAnsi"/>
                <w:snapToGrid w:val="0"/>
              </w:rPr>
            </w:pPr>
            <w:proofErr w:type="spellStart"/>
            <w:r w:rsidRPr="00B07A4A">
              <w:rPr>
                <w:rFonts w:asciiTheme="minorHAnsi" w:hAnsiTheme="minorHAnsi" w:cstheme="minorHAnsi"/>
                <w:snapToGrid w:val="0"/>
              </w:rPr>
              <w:t>Ethylhexyl</w:t>
            </w:r>
            <w:proofErr w:type="spellEnd"/>
            <w:r w:rsidRPr="00B07A4A">
              <w:rPr>
                <w:rFonts w:asciiTheme="minorHAnsi" w:hAnsiTheme="minorHAnsi" w:cstheme="minorHAnsi"/>
                <w:snapToGrid w:val="0"/>
              </w:rPr>
              <w:t xml:space="preserve"> </w:t>
            </w:r>
            <w:proofErr w:type="spellStart"/>
            <w:r w:rsidRPr="00B07A4A">
              <w:rPr>
                <w:rFonts w:asciiTheme="minorHAnsi" w:hAnsiTheme="minorHAnsi" w:cstheme="minorHAnsi"/>
                <w:snapToGrid w:val="0"/>
              </w:rPr>
              <w:t>triazone</w:t>
            </w:r>
            <w:proofErr w:type="spellEnd"/>
            <w:r w:rsidRPr="00B07A4A">
              <w:rPr>
                <w:rFonts w:asciiTheme="minorHAnsi" w:hAnsiTheme="minorHAnsi" w:cstheme="minorHAnsi"/>
                <w:snapToGrid w:val="0"/>
              </w:rPr>
              <w:t xml:space="preserve"> </w:t>
            </w:r>
            <w:r w:rsidRPr="00B07A4A">
              <w:rPr>
                <w:rFonts w:asciiTheme="minorHAnsi" w:hAnsiTheme="minorHAnsi" w:cstheme="minorHAnsi"/>
                <w:snapToGrid w:val="0"/>
                <w:vertAlign w:val="superscript"/>
              </w:rPr>
              <w:t>ϯ</w:t>
            </w:r>
          </w:p>
        </w:tc>
        <w:tc>
          <w:tcPr>
            <w:tcW w:w="702" w:type="pct"/>
            <w:vAlign w:val="center"/>
          </w:tcPr>
          <w:p w14:paraId="3E4B40AF"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5</w:t>
            </w:r>
          </w:p>
        </w:tc>
        <w:tc>
          <w:tcPr>
            <w:tcW w:w="702" w:type="pct"/>
            <w:shd w:val="clear" w:color="auto" w:fill="auto"/>
            <w:vAlign w:val="center"/>
          </w:tcPr>
          <w:p w14:paraId="67FD5B47"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5</w:t>
            </w:r>
          </w:p>
        </w:tc>
        <w:tc>
          <w:tcPr>
            <w:tcW w:w="702" w:type="pct"/>
            <w:shd w:val="clear" w:color="auto" w:fill="auto"/>
            <w:vAlign w:val="center"/>
          </w:tcPr>
          <w:p w14:paraId="7DA3AD99"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Not approved</w:t>
            </w:r>
          </w:p>
        </w:tc>
        <w:tc>
          <w:tcPr>
            <w:tcW w:w="702" w:type="pct"/>
            <w:vAlign w:val="center"/>
          </w:tcPr>
          <w:p w14:paraId="0B47BBA0"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Not approved</w:t>
            </w:r>
          </w:p>
        </w:tc>
        <w:tc>
          <w:tcPr>
            <w:tcW w:w="702" w:type="pct"/>
            <w:shd w:val="clear" w:color="auto" w:fill="auto"/>
            <w:vAlign w:val="center"/>
          </w:tcPr>
          <w:p w14:paraId="59F5921C"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5</w:t>
            </w:r>
          </w:p>
        </w:tc>
      </w:tr>
      <w:tr w:rsidR="00CB46B1" w:rsidRPr="0074486E" w14:paraId="05B29587" w14:textId="77777777" w:rsidTr="00BA4549">
        <w:trPr>
          <w:cantSplit/>
          <w:trHeight w:val="253"/>
          <w:jc w:val="center"/>
        </w:trPr>
        <w:tc>
          <w:tcPr>
            <w:tcW w:w="1491" w:type="pct"/>
            <w:shd w:val="clear" w:color="auto" w:fill="auto"/>
            <w:vAlign w:val="center"/>
          </w:tcPr>
          <w:p w14:paraId="56AE4B18" w14:textId="77777777" w:rsidR="00CB46B1" w:rsidRPr="00B07A4A" w:rsidRDefault="00CB46B1" w:rsidP="00E07077">
            <w:pPr>
              <w:pStyle w:val="Tabletextleft"/>
              <w:jc w:val="center"/>
              <w:rPr>
                <w:rFonts w:asciiTheme="minorHAnsi" w:hAnsiTheme="minorHAnsi" w:cstheme="minorHAnsi"/>
                <w:snapToGrid w:val="0"/>
              </w:rPr>
            </w:pPr>
            <w:proofErr w:type="spellStart"/>
            <w:r w:rsidRPr="00B07A4A">
              <w:rPr>
                <w:rFonts w:asciiTheme="minorHAnsi" w:hAnsiTheme="minorHAnsi" w:cstheme="minorHAnsi"/>
                <w:snapToGrid w:val="0"/>
              </w:rPr>
              <w:t>Homosalate</w:t>
            </w:r>
            <w:proofErr w:type="spellEnd"/>
          </w:p>
        </w:tc>
        <w:tc>
          <w:tcPr>
            <w:tcW w:w="702" w:type="pct"/>
            <w:vAlign w:val="center"/>
          </w:tcPr>
          <w:p w14:paraId="7783BE38"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15</w:t>
            </w:r>
          </w:p>
        </w:tc>
        <w:tc>
          <w:tcPr>
            <w:tcW w:w="702" w:type="pct"/>
            <w:shd w:val="clear" w:color="auto" w:fill="auto"/>
            <w:vAlign w:val="center"/>
          </w:tcPr>
          <w:p w14:paraId="142556C5"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7.34 (restricted to face product)</w:t>
            </w:r>
          </w:p>
        </w:tc>
        <w:tc>
          <w:tcPr>
            <w:tcW w:w="702" w:type="pct"/>
            <w:shd w:val="clear" w:color="auto" w:fill="auto"/>
            <w:vAlign w:val="center"/>
          </w:tcPr>
          <w:p w14:paraId="777E70BF"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15</w:t>
            </w:r>
          </w:p>
        </w:tc>
        <w:tc>
          <w:tcPr>
            <w:tcW w:w="702" w:type="pct"/>
            <w:vAlign w:val="center"/>
          </w:tcPr>
          <w:p w14:paraId="48B83D88"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15</w:t>
            </w:r>
          </w:p>
        </w:tc>
        <w:tc>
          <w:tcPr>
            <w:tcW w:w="702" w:type="pct"/>
            <w:shd w:val="clear" w:color="auto" w:fill="auto"/>
            <w:vAlign w:val="center"/>
          </w:tcPr>
          <w:p w14:paraId="5F1D64D8"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10 (</w:t>
            </w:r>
            <w:r w:rsidRPr="00B07A4A">
              <w:rPr>
                <w:rFonts w:asciiTheme="minorHAnsi" w:hAnsiTheme="minorHAnsi" w:cstheme="minorHAnsi"/>
              </w:rPr>
              <w:t>restricted in all types of cosmetics)</w:t>
            </w:r>
          </w:p>
        </w:tc>
      </w:tr>
      <w:tr w:rsidR="00CB46B1" w:rsidRPr="0074486E" w14:paraId="49EA266D" w14:textId="77777777" w:rsidTr="00BA4549">
        <w:trPr>
          <w:cantSplit/>
          <w:trHeight w:val="253"/>
          <w:jc w:val="center"/>
        </w:trPr>
        <w:tc>
          <w:tcPr>
            <w:tcW w:w="1491" w:type="pct"/>
            <w:shd w:val="clear" w:color="auto" w:fill="auto"/>
            <w:vAlign w:val="center"/>
          </w:tcPr>
          <w:p w14:paraId="2F1F1477"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Octyl methoxycinnamate</w:t>
            </w:r>
          </w:p>
        </w:tc>
        <w:tc>
          <w:tcPr>
            <w:tcW w:w="702" w:type="pct"/>
            <w:vAlign w:val="center"/>
          </w:tcPr>
          <w:p w14:paraId="5660EA74"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10</w:t>
            </w:r>
          </w:p>
        </w:tc>
        <w:tc>
          <w:tcPr>
            <w:tcW w:w="702" w:type="pct"/>
            <w:shd w:val="clear" w:color="auto" w:fill="auto"/>
            <w:vAlign w:val="center"/>
          </w:tcPr>
          <w:p w14:paraId="5F0F3A15"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10</w:t>
            </w:r>
          </w:p>
        </w:tc>
        <w:tc>
          <w:tcPr>
            <w:tcW w:w="702" w:type="pct"/>
            <w:shd w:val="clear" w:color="auto" w:fill="auto"/>
            <w:vAlign w:val="center"/>
          </w:tcPr>
          <w:p w14:paraId="66341E94"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7.5</w:t>
            </w:r>
          </w:p>
        </w:tc>
        <w:tc>
          <w:tcPr>
            <w:tcW w:w="702" w:type="pct"/>
            <w:vAlign w:val="center"/>
          </w:tcPr>
          <w:p w14:paraId="788603A1"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7.5</w:t>
            </w:r>
          </w:p>
        </w:tc>
        <w:tc>
          <w:tcPr>
            <w:tcW w:w="702" w:type="pct"/>
            <w:shd w:val="clear" w:color="auto" w:fill="auto"/>
            <w:vAlign w:val="center"/>
          </w:tcPr>
          <w:p w14:paraId="48463EF5"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10</w:t>
            </w:r>
          </w:p>
        </w:tc>
      </w:tr>
      <w:tr w:rsidR="00CB46B1" w:rsidRPr="0074486E" w14:paraId="27ED3522" w14:textId="77777777" w:rsidTr="00BA4549">
        <w:trPr>
          <w:cantSplit/>
          <w:trHeight w:val="253"/>
          <w:jc w:val="center"/>
        </w:trPr>
        <w:tc>
          <w:tcPr>
            <w:tcW w:w="1491" w:type="pct"/>
            <w:shd w:val="clear" w:color="auto" w:fill="auto"/>
            <w:vAlign w:val="center"/>
          </w:tcPr>
          <w:p w14:paraId="36D1133E"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Octocrylene**</w:t>
            </w:r>
          </w:p>
        </w:tc>
        <w:tc>
          <w:tcPr>
            <w:tcW w:w="702" w:type="pct"/>
            <w:vAlign w:val="center"/>
          </w:tcPr>
          <w:p w14:paraId="0DDBFDBB"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10</w:t>
            </w:r>
          </w:p>
        </w:tc>
        <w:tc>
          <w:tcPr>
            <w:tcW w:w="702" w:type="pct"/>
            <w:shd w:val="clear" w:color="auto" w:fill="auto"/>
            <w:vAlign w:val="center"/>
          </w:tcPr>
          <w:p w14:paraId="4BA197FE"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9 (propellant spray products); 10 (other products)</w:t>
            </w:r>
          </w:p>
        </w:tc>
        <w:tc>
          <w:tcPr>
            <w:tcW w:w="702" w:type="pct"/>
            <w:shd w:val="clear" w:color="auto" w:fill="auto"/>
            <w:vAlign w:val="center"/>
          </w:tcPr>
          <w:p w14:paraId="1150D9CC"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10</w:t>
            </w:r>
          </w:p>
        </w:tc>
        <w:tc>
          <w:tcPr>
            <w:tcW w:w="702" w:type="pct"/>
            <w:vAlign w:val="center"/>
          </w:tcPr>
          <w:p w14:paraId="65C01783"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10</w:t>
            </w:r>
          </w:p>
        </w:tc>
        <w:tc>
          <w:tcPr>
            <w:tcW w:w="702" w:type="pct"/>
            <w:shd w:val="clear" w:color="auto" w:fill="auto"/>
            <w:vAlign w:val="center"/>
          </w:tcPr>
          <w:p w14:paraId="1552E378"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10 (r</w:t>
            </w:r>
            <w:r w:rsidRPr="00B07A4A">
              <w:rPr>
                <w:rFonts w:asciiTheme="minorHAnsi" w:hAnsiTheme="minorHAnsi" w:cstheme="minorHAnsi"/>
              </w:rPr>
              <w:t>estricted in all types of cosmetics)</w:t>
            </w:r>
          </w:p>
        </w:tc>
      </w:tr>
      <w:tr w:rsidR="00CB46B1" w:rsidRPr="0074486E" w14:paraId="180BE075" w14:textId="77777777" w:rsidTr="00BA4549">
        <w:trPr>
          <w:cantSplit/>
          <w:trHeight w:val="253"/>
          <w:jc w:val="center"/>
        </w:trPr>
        <w:tc>
          <w:tcPr>
            <w:tcW w:w="1491" w:type="pct"/>
            <w:shd w:val="clear" w:color="auto" w:fill="auto"/>
            <w:vAlign w:val="center"/>
          </w:tcPr>
          <w:p w14:paraId="521C1837"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Oxybenzone</w:t>
            </w:r>
            <w:r w:rsidRPr="00B07A4A">
              <w:rPr>
                <w:rFonts w:asciiTheme="minorHAnsi" w:hAnsiTheme="minorHAnsi" w:cstheme="minorHAnsi"/>
                <w:snapToGrid w:val="0"/>
                <w:vertAlign w:val="superscript"/>
              </w:rPr>
              <w:t>∆</w:t>
            </w:r>
          </w:p>
        </w:tc>
        <w:tc>
          <w:tcPr>
            <w:tcW w:w="702" w:type="pct"/>
            <w:vAlign w:val="center"/>
          </w:tcPr>
          <w:p w14:paraId="1AD9DF08"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10</w:t>
            </w:r>
          </w:p>
        </w:tc>
        <w:tc>
          <w:tcPr>
            <w:tcW w:w="702" w:type="pct"/>
            <w:shd w:val="clear" w:color="auto" w:fill="auto"/>
            <w:vAlign w:val="center"/>
          </w:tcPr>
          <w:p w14:paraId="334E02B5"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 xml:space="preserve">6 </w:t>
            </w:r>
          </w:p>
          <w:p w14:paraId="52CABA8F"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 xml:space="preserve">(for face /hand/lipstick products, excluding propellent and pump spray products); 2.2 </w:t>
            </w:r>
          </w:p>
          <w:p w14:paraId="4663F3DD"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(for body products)</w:t>
            </w:r>
          </w:p>
        </w:tc>
        <w:tc>
          <w:tcPr>
            <w:tcW w:w="702" w:type="pct"/>
            <w:shd w:val="clear" w:color="auto" w:fill="auto"/>
            <w:vAlign w:val="center"/>
          </w:tcPr>
          <w:p w14:paraId="038F3F0E"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6</w:t>
            </w:r>
          </w:p>
        </w:tc>
        <w:tc>
          <w:tcPr>
            <w:tcW w:w="702" w:type="pct"/>
            <w:vAlign w:val="center"/>
          </w:tcPr>
          <w:p w14:paraId="2972A06E"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6</w:t>
            </w:r>
          </w:p>
        </w:tc>
        <w:tc>
          <w:tcPr>
            <w:tcW w:w="702" w:type="pct"/>
            <w:shd w:val="clear" w:color="auto" w:fill="auto"/>
            <w:vAlign w:val="center"/>
          </w:tcPr>
          <w:p w14:paraId="2D81531C"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 xml:space="preserve">5 </w:t>
            </w:r>
          </w:p>
          <w:p w14:paraId="555E2705"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(cosmetics not used for mucosa and not to be washed away)</w:t>
            </w:r>
          </w:p>
        </w:tc>
      </w:tr>
      <w:tr w:rsidR="00CB46B1" w:rsidRPr="0074486E" w14:paraId="00685015" w14:textId="77777777" w:rsidTr="00BA4549">
        <w:trPr>
          <w:cantSplit/>
          <w:trHeight w:val="253"/>
          <w:jc w:val="center"/>
        </w:trPr>
        <w:tc>
          <w:tcPr>
            <w:tcW w:w="1491" w:type="pct"/>
            <w:shd w:val="clear" w:color="auto" w:fill="auto"/>
            <w:vAlign w:val="center"/>
          </w:tcPr>
          <w:p w14:paraId="1AAEA2BA" w14:textId="77777777" w:rsidR="00CB46B1" w:rsidRPr="00B07A4A" w:rsidRDefault="00CB46B1" w:rsidP="00E07077">
            <w:pPr>
              <w:pStyle w:val="Tabletextleft"/>
              <w:jc w:val="center"/>
              <w:rPr>
                <w:rFonts w:asciiTheme="minorHAnsi" w:hAnsiTheme="minorHAnsi" w:cstheme="minorHAnsi"/>
                <w:snapToGrid w:val="0"/>
              </w:rPr>
            </w:pPr>
            <w:proofErr w:type="spellStart"/>
            <w:r w:rsidRPr="00B07A4A">
              <w:rPr>
                <w:rFonts w:asciiTheme="minorHAnsi" w:hAnsiTheme="minorHAnsi" w:cstheme="minorHAnsi"/>
                <w:snapToGrid w:val="0"/>
              </w:rPr>
              <w:t>Phenylbenzimidazole</w:t>
            </w:r>
            <w:proofErr w:type="spellEnd"/>
            <w:r w:rsidRPr="00B07A4A">
              <w:rPr>
                <w:rFonts w:asciiTheme="minorHAnsi" w:hAnsiTheme="minorHAnsi" w:cstheme="minorHAnsi"/>
                <w:snapToGrid w:val="0"/>
              </w:rPr>
              <w:t xml:space="preserve"> sulfonic acid </w:t>
            </w:r>
            <w:r w:rsidRPr="00B07A4A">
              <w:rPr>
                <w:rFonts w:asciiTheme="minorHAnsi" w:hAnsiTheme="minorHAnsi" w:cstheme="minorHAnsi"/>
                <w:snapToGrid w:val="0"/>
                <w:vertAlign w:val="superscript"/>
              </w:rPr>
              <w:t>γ</w:t>
            </w:r>
          </w:p>
        </w:tc>
        <w:tc>
          <w:tcPr>
            <w:tcW w:w="702" w:type="pct"/>
            <w:vAlign w:val="center"/>
          </w:tcPr>
          <w:p w14:paraId="38A57238"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4</w:t>
            </w:r>
          </w:p>
        </w:tc>
        <w:tc>
          <w:tcPr>
            <w:tcW w:w="702" w:type="pct"/>
            <w:shd w:val="clear" w:color="auto" w:fill="auto"/>
            <w:vAlign w:val="center"/>
          </w:tcPr>
          <w:p w14:paraId="3E1B8E1C"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8</w:t>
            </w:r>
          </w:p>
        </w:tc>
        <w:tc>
          <w:tcPr>
            <w:tcW w:w="702" w:type="pct"/>
            <w:shd w:val="clear" w:color="auto" w:fill="auto"/>
            <w:vAlign w:val="center"/>
          </w:tcPr>
          <w:p w14:paraId="422791C0"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 xml:space="preserve">4 (referred to as </w:t>
            </w:r>
            <w:proofErr w:type="spellStart"/>
            <w:r w:rsidRPr="00B07A4A">
              <w:rPr>
                <w:rFonts w:asciiTheme="minorHAnsi" w:hAnsiTheme="minorHAnsi" w:cstheme="minorHAnsi"/>
              </w:rPr>
              <w:t>Ensulizole</w:t>
            </w:r>
            <w:proofErr w:type="spellEnd"/>
            <w:r w:rsidRPr="00B07A4A">
              <w:rPr>
                <w:rFonts w:asciiTheme="minorHAnsi" w:hAnsiTheme="minorHAnsi" w:cstheme="minorHAnsi"/>
              </w:rPr>
              <w:t>)</w:t>
            </w:r>
          </w:p>
        </w:tc>
        <w:tc>
          <w:tcPr>
            <w:tcW w:w="702" w:type="pct"/>
            <w:vAlign w:val="center"/>
          </w:tcPr>
          <w:p w14:paraId="030F5AD4"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4</w:t>
            </w:r>
          </w:p>
        </w:tc>
        <w:tc>
          <w:tcPr>
            <w:tcW w:w="702" w:type="pct"/>
            <w:shd w:val="clear" w:color="auto" w:fill="auto"/>
            <w:vAlign w:val="center"/>
          </w:tcPr>
          <w:p w14:paraId="7F1C35F4"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 xml:space="preserve">3 </w:t>
            </w:r>
          </w:p>
          <w:p w14:paraId="784EC1A8" w14:textId="77777777" w:rsidR="00CB46B1" w:rsidRPr="00B07A4A" w:rsidRDefault="00CB46B1" w:rsidP="00E07077">
            <w:pPr>
              <w:pStyle w:val="Tabletextleft"/>
              <w:jc w:val="center"/>
              <w:rPr>
                <w:rFonts w:asciiTheme="minorHAnsi" w:hAnsiTheme="minorHAnsi" w:cstheme="minorHAnsi"/>
                <w:snapToGrid w:val="0"/>
              </w:rPr>
            </w:pPr>
            <w:r w:rsidRPr="00B07A4A">
              <w:rPr>
                <w:rFonts w:asciiTheme="minorHAnsi" w:hAnsiTheme="minorHAnsi" w:cstheme="minorHAnsi"/>
                <w:snapToGrid w:val="0"/>
              </w:rPr>
              <w:t>(cosmetics not used for mucosa and to be/not to be washed away)</w:t>
            </w:r>
          </w:p>
        </w:tc>
      </w:tr>
    </w:tbl>
    <w:p w14:paraId="3CD4E775" w14:textId="7FECACEE" w:rsidR="00CB46B1" w:rsidRPr="00D55C27" w:rsidRDefault="00CB46B1" w:rsidP="005C1303">
      <w:pPr>
        <w:pStyle w:val="Tabledescription"/>
      </w:pPr>
      <w:r w:rsidRPr="00D55C27">
        <w:t xml:space="preserve">**Octocrylene is approved as a UV filter in cosmetic formulation at ≤10% (as acid) in both Europe (Annex VI/10) and USA. The specific migration limit (SML) of octocrylene from food contact materials is 0.05 mg/kg (FDA 2018); European Parliament and the Council (2009); </w:t>
      </w:r>
      <w:r>
        <w:t xml:space="preserve">Restriction in EU - </w:t>
      </w:r>
      <w:r w:rsidRPr="00471551">
        <w:t>Benzophenone as an impurity and/or degradation product of Octocrylene shall be kept at trace level.</w:t>
      </w:r>
      <w:r w:rsidRPr="00D55C27">
        <w:br/>
      </w:r>
      <w:proofErr w:type="spellStart"/>
      <w:r w:rsidRPr="00D55C27">
        <w:rPr>
          <w:vertAlign w:val="superscript"/>
        </w:rPr>
        <w:t>ϯ</w:t>
      </w:r>
      <w:r w:rsidRPr="00D55C27">
        <w:t>EU</w:t>
      </w:r>
      <w:proofErr w:type="spellEnd"/>
      <w:r w:rsidRPr="00D55C27">
        <w:t xml:space="preserve">: Annex VI, Regulation (EC) No. 1223/2009; γ EU: cosmetics directive in annex VII, part 1 list of permitted UV filters under entry 6; </w:t>
      </w:r>
      <w:r w:rsidRPr="00D55C27">
        <w:br/>
        <w:t>∆ Annex VI/4, oxybenzone is also allowed at concentrations of up to 0.5 % to protect product formulations in all other cosmetic products (Annex VI/4).</w:t>
      </w:r>
    </w:p>
    <w:p w14:paraId="4EC04554" w14:textId="77777777" w:rsidR="00CB46B1" w:rsidRPr="00E06C88" w:rsidRDefault="00CB46B1" w:rsidP="00CB46B1">
      <w:pPr>
        <w:pStyle w:val="Heading3"/>
      </w:pPr>
      <w:bookmarkStart w:id="21" w:name="_Toc190944896"/>
      <w:bookmarkStart w:id="22" w:name="_Toc199254933"/>
      <w:r>
        <w:lastRenderedPageBreak/>
        <w:t>How is safety evaluated for sunscreen ingredient?</w:t>
      </w:r>
      <w:bookmarkEnd w:id="21"/>
      <w:bookmarkEnd w:id="22"/>
      <w:r>
        <w:t xml:space="preserve"> </w:t>
      </w:r>
    </w:p>
    <w:p w14:paraId="413076DD" w14:textId="77777777" w:rsidR="00CB46B1" w:rsidRDefault="00CB46B1" w:rsidP="00CB46B1">
      <w:pPr>
        <w:pStyle w:val="Heading4"/>
      </w:pPr>
      <w:bookmarkStart w:id="23" w:name="_Toc190944897"/>
      <w:bookmarkStart w:id="24" w:name="_Toc199254934"/>
      <w:r>
        <w:t>Margin of Safety (MoS)</w:t>
      </w:r>
      <w:bookmarkEnd w:id="23"/>
      <w:bookmarkEnd w:id="24"/>
    </w:p>
    <w:p w14:paraId="4FCD63A1" w14:textId="5A6F4D0A" w:rsidR="00CB46B1" w:rsidRPr="005C1303" w:rsidRDefault="00CB46B1" w:rsidP="005C1303">
      <w:r w:rsidRPr="00EC5E95">
        <w:t xml:space="preserve">As per the </w:t>
      </w:r>
      <w:r w:rsidRPr="00EC5E95">
        <w:rPr>
          <w:i/>
        </w:rPr>
        <w:t>SCCNFP’s notes of guidance for the testing of cosmetic ingredients and their safety evaluation, 9</w:t>
      </w:r>
      <w:r w:rsidRPr="00EC5E95">
        <w:rPr>
          <w:i/>
          <w:vertAlign w:val="superscript"/>
        </w:rPr>
        <w:t>th</w:t>
      </w:r>
      <w:r w:rsidRPr="00DA4157">
        <w:rPr>
          <w:i/>
        </w:rPr>
        <w:t>-11</w:t>
      </w:r>
      <w:r>
        <w:rPr>
          <w:i/>
          <w:vertAlign w:val="superscript"/>
        </w:rPr>
        <w:t>th</w:t>
      </w:r>
      <w:r w:rsidRPr="00EC5E95">
        <w:rPr>
          <w:i/>
        </w:rPr>
        <w:t xml:space="preserve"> revision </w:t>
      </w:r>
      <w:r w:rsidRPr="00EC5E95">
        <w:t>(SCCS, 2016</w:t>
      </w:r>
      <w:r>
        <w:t>, 2018 and 2021a</w:t>
      </w:r>
      <w:r w:rsidRPr="00EC5E95">
        <w:t>), the risk assessment of active ingredients in sunscreens can be conducted by calculating the MoS using uncertainty factors. MoS can be extrapolated from animals to humans to predict the potential risk in human. Usually, a MoS &gt; 100 would indicate that the ingredient is safe under the proposed use conditions.</w:t>
      </w:r>
      <w:r>
        <w:t xml:space="preserve"> The</w:t>
      </w:r>
      <w:r w:rsidRPr="00EC5E95">
        <w:t xml:space="preserve"> MoS is the ratio between a NOAEL and a Systemic Exposure Dose (SED).  </w:t>
      </w:r>
    </w:p>
    <w:p w14:paraId="1573FE11" w14:textId="77777777" w:rsidR="00CB46B1" w:rsidRDefault="00CB46B1" w:rsidP="00CB46B1">
      <w:pPr>
        <w:pBdr>
          <w:top w:val="single" w:sz="4" w:space="1" w:color="auto"/>
          <w:left w:val="single" w:sz="4" w:space="4" w:color="auto"/>
          <w:bottom w:val="single" w:sz="4" w:space="1" w:color="auto"/>
          <w:right w:val="single" w:sz="4" w:space="4" w:color="auto"/>
        </w:pBdr>
        <w:rPr>
          <w:rFonts w:eastAsiaTheme="minorEastAsia"/>
        </w:rPr>
      </w:pPr>
      <m:oMathPara>
        <m:oMath>
          <m:r>
            <w:rPr>
              <w:rFonts w:ascii="Cambria Math" w:hAnsi="Cambria Math"/>
              <w:sz w:val="24"/>
              <w:szCs w:val="24"/>
            </w:rPr>
            <m:t xml:space="preserve">MoS= </m:t>
          </m:r>
          <m:f>
            <m:fPr>
              <m:ctrlPr>
                <w:rPr>
                  <w:rFonts w:ascii="Cambria Math" w:hAnsi="Cambria Math"/>
                  <w:i/>
                  <w:sz w:val="24"/>
                  <w:szCs w:val="24"/>
                </w:rPr>
              </m:ctrlPr>
            </m:fPr>
            <m:num>
              <m:r>
                <w:rPr>
                  <w:rFonts w:ascii="Cambria Math" w:hAnsi="Cambria Math"/>
                  <w:sz w:val="24"/>
                  <w:szCs w:val="24"/>
                </w:rPr>
                <m:t>NOAEL (mg/kg bw/day)</m:t>
              </m:r>
            </m:num>
            <m:den>
              <m:r>
                <w:rPr>
                  <w:rFonts w:ascii="Cambria Math" w:hAnsi="Cambria Math"/>
                  <w:sz w:val="24"/>
                  <w:szCs w:val="24"/>
                </w:rPr>
                <m:t>SED (mg/kg bw/day)</m:t>
              </m:r>
            </m:den>
          </m:f>
        </m:oMath>
      </m:oMathPara>
    </w:p>
    <w:p w14:paraId="33765D3E" w14:textId="77777777" w:rsidR="00CB46B1" w:rsidRDefault="00CB46B1" w:rsidP="005C1303">
      <w:r w:rsidRPr="00EC5E95">
        <w:t>The SED of a cosmetic substance is the amount expected to enter the blood stream (and therefore be systemically available) per kg body weight and per day. It is expressed in mg/kg body weight (</w:t>
      </w:r>
      <w:proofErr w:type="spellStart"/>
      <w:r w:rsidRPr="00EC5E95">
        <w:t>bw</w:t>
      </w:r>
      <w:proofErr w:type="spellEnd"/>
      <w:r w:rsidRPr="00EC5E95">
        <w:t xml:space="preserve">)/day. </w:t>
      </w:r>
      <w:r>
        <w:t>The NOAEL of a substance is the amount that has been demonstrated to not cause an adverse effect after being administered to test animals or human subjects. Similarly, it is expressed in mg/kg body weight (</w:t>
      </w:r>
      <w:proofErr w:type="spellStart"/>
      <w:r>
        <w:t>bw</w:t>
      </w:r>
      <w:proofErr w:type="spellEnd"/>
      <w:r>
        <w:t xml:space="preserve">)/day. </w:t>
      </w:r>
    </w:p>
    <w:p w14:paraId="5EE3D4B6" w14:textId="77777777" w:rsidR="00CB46B1" w:rsidRDefault="00CB46B1" w:rsidP="005C1303">
      <w:r w:rsidRPr="009A5E8C">
        <w:t xml:space="preserve">The TGA </w:t>
      </w:r>
      <w:r>
        <w:t xml:space="preserve">has </w:t>
      </w:r>
      <w:r w:rsidRPr="009A5E8C">
        <w:t>draw</w:t>
      </w:r>
      <w:r>
        <w:t>n</w:t>
      </w:r>
      <w:r w:rsidRPr="009A5E8C">
        <w:t xml:space="preserve"> upon the same risk assessment method developed by the SCCS for cosmetic ingredients to calculate the SED and </w:t>
      </w:r>
      <w:proofErr w:type="spellStart"/>
      <w:r w:rsidRPr="009A5E8C">
        <w:t>MoS.</w:t>
      </w:r>
      <w:proofErr w:type="spellEnd"/>
      <w:r w:rsidRPr="009A5E8C">
        <w:t xml:space="preserve"> However, the </w:t>
      </w:r>
      <w:r>
        <w:t>Australian Sunscreen Exposure Model (</w:t>
      </w:r>
      <w:r w:rsidRPr="009A5E8C">
        <w:t>ASEM</w:t>
      </w:r>
      <w:r>
        <w:t>)</w:t>
      </w:r>
      <w:r w:rsidRPr="009A5E8C">
        <w:t xml:space="preserve"> utilises a different </w:t>
      </w:r>
      <w:r>
        <w:t>estimated average daily</w:t>
      </w:r>
      <w:r w:rsidRPr="009A5E8C">
        <w:t xml:space="preserve"> sunscreen exposure (external exposure) </w:t>
      </w:r>
      <w:r>
        <w:t xml:space="preserve">for therapeutic sunscreens </w:t>
      </w:r>
      <w:r w:rsidRPr="009A5E8C">
        <w:t>than is used by the SCCS to calculate the SED and MoS</w:t>
      </w:r>
      <w:r>
        <w:t xml:space="preserve"> for cosmetics including sunscreens</w:t>
      </w:r>
      <w:r w:rsidRPr="009A5E8C">
        <w:t>.</w:t>
      </w:r>
    </w:p>
    <w:p w14:paraId="65642501" w14:textId="77777777" w:rsidR="00CB46B1" w:rsidRDefault="00CB46B1" w:rsidP="005C1303">
      <w:r w:rsidRPr="00A3463D">
        <w:t>The ASEM is a model t</w:t>
      </w:r>
      <w:r>
        <w:t>hat</w:t>
      </w:r>
      <w:r w:rsidRPr="00A3463D">
        <w:t xml:space="preserve"> calculate</w:t>
      </w:r>
      <w:r>
        <w:t>s</w:t>
      </w:r>
      <w:r w:rsidRPr="00A3463D">
        <w:t xml:space="preserve"> the </w:t>
      </w:r>
      <w:r>
        <w:t>estimated average daily</w:t>
      </w:r>
      <w:r w:rsidRPr="00A3463D">
        <w:t xml:space="preserve"> sunscreen exposure using a formula, and the input into that formula is based on Australian expected sunscreen use scenarios. </w:t>
      </w:r>
    </w:p>
    <w:p w14:paraId="35FBE429" w14:textId="77777777" w:rsidR="00690EC3" w:rsidRPr="00175A82" w:rsidRDefault="00690EC3" w:rsidP="00690EC3">
      <w:pPr>
        <w:pStyle w:val="Heading4"/>
      </w:pPr>
      <w:bookmarkStart w:id="25" w:name="_Toc190944898"/>
      <w:bookmarkStart w:id="26" w:name="_Toc199254935"/>
      <w:r w:rsidRPr="00175A82">
        <w:rPr>
          <w:snapToGrid w:val="0"/>
        </w:rPr>
        <w:t>ASEM Formula</w:t>
      </w:r>
      <w:bookmarkEnd w:id="25"/>
      <w:bookmarkEnd w:id="26"/>
      <w:r w:rsidRPr="00175A82">
        <w:rPr>
          <w:snapToGrid w:val="0"/>
        </w:rPr>
        <w:t xml:space="preserve"> </w:t>
      </w:r>
    </w:p>
    <w:p w14:paraId="1B6CB9C9" w14:textId="77777777" w:rsidR="00690EC3" w:rsidRDefault="00690EC3" w:rsidP="005C1303">
      <w:r w:rsidRPr="00175A82">
        <w:t>The ASEM formula calculate</w:t>
      </w:r>
      <w:r>
        <w:t>s</w:t>
      </w:r>
      <w:r w:rsidRPr="00175A82">
        <w:t xml:space="preserve"> and therefore estimate</w:t>
      </w:r>
      <w:r>
        <w:t>s</w:t>
      </w:r>
      <w:r w:rsidRPr="00175A82">
        <w:t xml:space="preserve"> how much sunscreen is used </w:t>
      </w:r>
      <w:r>
        <w:t xml:space="preserve">by Australians </w:t>
      </w:r>
      <w:r w:rsidRPr="00175A82">
        <w:t>daily. It is based on data for skin surface area, age, and body weight for the Australian population. The formula calculates the daily sunscreen exposure by considering how many times it is applied a day, number of days of the year it is applied, and the skin surface area of each body part it is applied to.</w:t>
      </w:r>
      <w:r>
        <w:t xml:space="preserve"> </w:t>
      </w:r>
    </w:p>
    <w:p w14:paraId="1A9FE5C1" w14:textId="77777777" w:rsidR="00690EC3" w:rsidRPr="001D0F17" w:rsidRDefault="00690EC3" w:rsidP="00690EC3">
      <w:pPr>
        <w:pBdr>
          <w:top w:val="single" w:sz="4" w:space="1" w:color="auto"/>
          <w:left w:val="single" w:sz="4" w:space="4" w:color="auto"/>
          <w:bottom w:val="single" w:sz="4" w:space="1" w:color="auto"/>
          <w:right w:val="single" w:sz="4" w:space="4" w:color="auto"/>
        </w:pBdr>
        <w:rPr>
          <w:rFonts w:eastAsiaTheme="minorEastAsia"/>
          <w:sz w:val="24"/>
          <w:szCs w:val="24"/>
        </w:rPr>
      </w:pPr>
      <m:oMathPara>
        <m:oMath>
          <m:r>
            <w:rPr>
              <w:rFonts w:ascii="Cambria Math" w:hAnsi="Cambria Math"/>
              <w:sz w:val="24"/>
              <w:szCs w:val="24"/>
            </w:rPr>
            <m:t xml:space="preserve">ASEM (method 1)= </m:t>
          </m:r>
          <m:f>
            <m:fPr>
              <m:ctrlPr>
                <w:rPr>
                  <w:rFonts w:ascii="Cambria Math" w:hAnsi="Cambria Math"/>
                  <w:i/>
                  <w:sz w:val="24"/>
                  <w:szCs w:val="24"/>
                </w:rPr>
              </m:ctrlPr>
            </m:fPr>
            <m:num>
              <m:r>
                <w:rPr>
                  <w:rFonts w:ascii="Cambria Math" w:hAnsi="Cambria Math"/>
                  <w:sz w:val="24"/>
                  <w:szCs w:val="24"/>
                </w:rPr>
                <m:t>Appl Rate x SSA x AF x Duration</m:t>
              </m:r>
            </m:num>
            <m:den>
              <m:r>
                <w:rPr>
                  <w:rFonts w:ascii="Cambria Math" w:hAnsi="Cambria Math"/>
                  <w:sz w:val="24"/>
                  <w:szCs w:val="24"/>
                </w:rPr>
                <m:t>BWt x AT</m:t>
              </m:r>
            </m:den>
          </m:f>
        </m:oMath>
      </m:oMathPara>
    </w:p>
    <w:p w14:paraId="033DD850" w14:textId="77777777" w:rsidR="00690EC3" w:rsidRDefault="00690EC3" w:rsidP="00690EC3">
      <w:pPr>
        <w:pBdr>
          <w:top w:val="single" w:sz="4" w:space="1" w:color="auto"/>
          <w:left w:val="single" w:sz="4" w:space="4" w:color="auto"/>
          <w:bottom w:val="single" w:sz="4" w:space="1" w:color="auto"/>
          <w:right w:val="single" w:sz="4" w:space="4" w:color="auto"/>
        </w:pBdr>
        <w:rPr>
          <w:rFonts w:eastAsiaTheme="minorEastAsia"/>
          <w:sz w:val="24"/>
          <w:szCs w:val="24"/>
        </w:rPr>
      </w:pPr>
    </w:p>
    <w:p w14:paraId="76A01534" w14:textId="77777777" w:rsidR="00690EC3" w:rsidRDefault="00690EC3" w:rsidP="00690EC3">
      <w:pPr>
        <w:pBdr>
          <w:top w:val="single" w:sz="4" w:space="1" w:color="auto"/>
          <w:left w:val="single" w:sz="4" w:space="4" w:color="auto"/>
          <w:bottom w:val="single" w:sz="4" w:space="1" w:color="auto"/>
          <w:right w:val="single" w:sz="4" w:space="4" w:color="auto"/>
        </w:pBdr>
        <w:rPr>
          <w:rFonts w:eastAsiaTheme="minorEastAsia"/>
        </w:rPr>
      </w:pPr>
      <m:oMathPara>
        <m:oMath>
          <m:r>
            <w:rPr>
              <w:rFonts w:ascii="Cambria Math" w:hAnsi="Cambria Math"/>
              <w:sz w:val="24"/>
              <w:szCs w:val="24"/>
            </w:rPr>
            <m:t xml:space="preserve">ASEM (method 2)= </m:t>
          </m:r>
          <m:f>
            <m:fPr>
              <m:ctrlPr>
                <w:rPr>
                  <w:rFonts w:ascii="Cambria Math" w:hAnsi="Cambria Math"/>
                  <w:i/>
                  <w:sz w:val="24"/>
                  <w:szCs w:val="24"/>
                </w:rPr>
              </m:ctrlPr>
            </m:fPr>
            <m:num>
              <m:r>
                <w:rPr>
                  <w:rFonts w:ascii="Cambria Math" w:hAnsi="Cambria Math"/>
                  <w:sz w:val="24"/>
                  <w:szCs w:val="24"/>
                </w:rPr>
                <m:t>SSA x AF x Duration</m:t>
              </m:r>
            </m:num>
            <m:den>
              <m:r>
                <w:rPr>
                  <w:rFonts w:ascii="Cambria Math" w:hAnsi="Cambria Math"/>
                  <w:sz w:val="24"/>
                  <w:szCs w:val="24"/>
                </w:rPr>
                <m:t>BWt x AT</m:t>
              </m:r>
            </m:den>
          </m:f>
        </m:oMath>
      </m:oMathPara>
    </w:p>
    <w:p w14:paraId="765A692C" w14:textId="77777777" w:rsidR="00690EC3" w:rsidRDefault="00690EC3" w:rsidP="00690EC3">
      <w:pPr>
        <w:pBdr>
          <w:top w:val="single" w:sz="4" w:space="1" w:color="auto"/>
          <w:left w:val="single" w:sz="4" w:space="4" w:color="auto"/>
          <w:bottom w:val="single" w:sz="4" w:space="1" w:color="auto"/>
          <w:right w:val="single" w:sz="4" w:space="4" w:color="auto"/>
        </w:pBdr>
        <w:rPr>
          <w:rFonts w:eastAsiaTheme="minorEastAsia"/>
        </w:rPr>
      </w:pPr>
    </w:p>
    <w:p w14:paraId="0581A284" w14:textId="77777777" w:rsidR="00690EC3" w:rsidRDefault="00690EC3" w:rsidP="00690EC3">
      <w:pPr>
        <w:pStyle w:val="Standard"/>
        <w:rPr>
          <w:rFonts w:cstheme="minorHAnsi"/>
          <w:sz w:val="22"/>
          <w:szCs w:val="22"/>
        </w:rPr>
      </w:pPr>
    </w:p>
    <w:tbl>
      <w:tblPr>
        <w:tblStyle w:val="TableTGAblue2023"/>
        <w:tblW w:w="0" w:type="auto"/>
        <w:tblLook w:val="04A0" w:firstRow="1" w:lastRow="0" w:firstColumn="1" w:lastColumn="0" w:noHBand="0" w:noVBand="1"/>
      </w:tblPr>
      <w:tblGrid>
        <w:gridCol w:w="1411"/>
        <w:gridCol w:w="2264"/>
        <w:gridCol w:w="5341"/>
      </w:tblGrid>
      <w:tr w:rsidR="00690EC3" w:rsidRPr="0056759A" w14:paraId="5BFEE3B9" w14:textId="77777777" w:rsidTr="00E070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9445A39" w14:textId="77777777" w:rsidR="00690EC3" w:rsidRPr="005C1303" w:rsidRDefault="00690EC3" w:rsidP="00E07077">
            <w:pPr>
              <w:pStyle w:val="Standard"/>
              <w:rPr>
                <w:rFonts w:ascii="Arial" w:hAnsi="Arial" w:cs="Arial"/>
                <w:sz w:val="20"/>
                <w:szCs w:val="20"/>
              </w:rPr>
            </w:pPr>
            <w:r w:rsidRPr="005C1303">
              <w:rPr>
                <w:rFonts w:ascii="Arial" w:hAnsi="Arial" w:cs="Arial"/>
                <w:color w:val="253186"/>
                <w:sz w:val="20"/>
                <w:szCs w:val="20"/>
              </w:rPr>
              <w:t xml:space="preserve">Parameter </w:t>
            </w:r>
          </w:p>
        </w:tc>
        <w:tc>
          <w:tcPr>
            <w:tcW w:w="2268" w:type="dxa"/>
          </w:tcPr>
          <w:p w14:paraId="2E46265B" w14:textId="77777777" w:rsidR="00690EC3" w:rsidRPr="005C1303" w:rsidRDefault="00690EC3" w:rsidP="00E07077">
            <w:pPr>
              <w:pStyle w:val="Standard"/>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C1303">
              <w:rPr>
                <w:rFonts w:ascii="Arial" w:hAnsi="Arial" w:cs="Arial"/>
                <w:color w:val="253186"/>
                <w:sz w:val="20"/>
                <w:szCs w:val="20"/>
              </w:rPr>
              <w:t xml:space="preserve">Description </w:t>
            </w:r>
          </w:p>
        </w:tc>
        <w:tc>
          <w:tcPr>
            <w:tcW w:w="5379" w:type="dxa"/>
          </w:tcPr>
          <w:p w14:paraId="543A4F3E" w14:textId="77777777" w:rsidR="00690EC3" w:rsidRPr="005C1303" w:rsidRDefault="00690EC3" w:rsidP="00E07077">
            <w:pPr>
              <w:pStyle w:val="Standard"/>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C1303">
              <w:rPr>
                <w:rFonts w:ascii="Arial" w:hAnsi="Arial" w:cs="Arial"/>
                <w:color w:val="253186"/>
                <w:sz w:val="20"/>
                <w:szCs w:val="20"/>
              </w:rPr>
              <w:t xml:space="preserve">Explanation </w:t>
            </w:r>
          </w:p>
        </w:tc>
      </w:tr>
      <w:tr w:rsidR="00690EC3" w:rsidRPr="0056759A" w14:paraId="5BD35C82" w14:textId="77777777" w:rsidTr="00E07077">
        <w:tc>
          <w:tcPr>
            <w:cnfStyle w:val="001000000000" w:firstRow="0" w:lastRow="0" w:firstColumn="1" w:lastColumn="0" w:oddVBand="0" w:evenVBand="0" w:oddHBand="0" w:evenHBand="0" w:firstRowFirstColumn="0" w:firstRowLastColumn="0" w:lastRowFirstColumn="0" w:lastRowLastColumn="0"/>
            <w:tcW w:w="1413" w:type="dxa"/>
          </w:tcPr>
          <w:p w14:paraId="5C73271E" w14:textId="77777777" w:rsidR="00690EC3" w:rsidRPr="005C1303" w:rsidRDefault="00690EC3" w:rsidP="00E07077">
            <w:pPr>
              <w:pStyle w:val="Standard"/>
              <w:rPr>
                <w:rFonts w:asciiTheme="minorHAnsi" w:hAnsiTheme="minorHAnsi" w:cstheme="minorHAnsi"/>
                <w:sz w:val="20"/>
                <w:szCs w:val="20"/>
              </w:rPr>
            </w:pPr>
            <w:r w:rsidRPr="005C1303">
              <w:rPr>
                <w:rFonts w:asciiTheme="minorHAnsi" w:hAnsiTheme="minorHAnsi" w:cstheme="minorHAnsi"/>
                <w:b/>
                <w:bCs/>
                <w:sz w:val="20"/>
                <w:szCs w:val="20"/>
              </w:rPr>
              <w:t xml:space="preserve">ASEM </w:t>
            </w:r>
          </w:p>
        </w:tc>
        <w:tc>
          <w:tcPr>
            <w:tcW w:w="2268" w:type="dxa"/>
          </w:tcPr>
          <w:p w14:paraId="48B08DDA" w14:textId="77777777" w:rsidR="00690EC3" w:rsidRPr="005C1303" w:rsidRDefault="00690EC3" w:rsidP="00E07077">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1303">
              <w:rPr>
                <w:rFonts w:asciiTheme="minorHAnsi" w:hAnsiTheme="minorHAnsi" w:cstheme="minorHAnsi"/>
                <w:sz w:val="20"/>
                <w:szCs w:val="20"/>
              </w:rPr>
              <w:t xml:space="preserve">Estimated average daily sunscreen exposure (mg/kg </w:t>
            </w:r>
            <w:proofErr w:type="spellStart"/>
            <w:r w:rsidRPr="005C1303">
              <w:rPr>
                <w:rFonts w:asciiTheme="minorHAnsi" w:hAnsiTheme="minorHAnsi" w:cstheme="minorHAnsi"/>
                <w:sz w:val="20"/>
                <w:szCs w:val="20"/>
              </w:rPr>
              <w:t>bw</w:t>
            </w:r>
            <w:proofErr w:type="spellEnd"/>
            <w:r w:rsidRPr="005C1303">
              <w:rPr>
                <w:rFonts w:asciiTheme="minorHAnsi" w:hAnsiTheme="minorHAnsi" w:cstheme="minorHAnsi"/>
                <w:sz w:val="20"/>
                <w:szCs w:val="20"/>
              </w:rPr>
              <w:t>/d) or (cm</w:t>
            </w:r>
            <w:r w:rsidRPr="005C1303">
              <w:rPr>
                <w:rFonts w:asciiTheme="minorHAnsi" w:hAnsiTheme="minorHAnsi" w:cstheme="minorHAnsi"/>
                <w:sz w:val="20"/>
                <w:szCs w:val="20"/>
                <w:vertAlign w:val="superscript"/>
              </w:rPr>
              <w:t>2</w:t>
            </w:r>
            <w:r w:rsidRPr="005C1303">
              <w:rPr>
                <w:rFonts w:asciiTheme="minorHAnsi" w:hAnsiTheme="minorHAnsi" w:cstheme="minorHAnsi"/>
                <w:sz w:val="20"/>
                <w:szCs w:val="20"/>
              </w:rPr>
              <w:t xml:space="preserve">/kg </w:t>
            </w:r>
            <w:proofErr w:type="spellStart"/>
            <w:r w:rsidRPr="005C1303">
              <w:rPr>
                <w:rFonts w:asciiTheme="minorHAnsi" w:hAnsiTheme="minorHAnsi" w:cstheme="minorHAnsi"/>
                <w:sz w:val="20"/>
                <w:szCs w:val="20"/>
              </w:rPr>
              <w:t>bw</w:t>
            </w:r>
            <w:proofErr w:type="spellEnd"/>
            <w:r w:rsidRPr="005C1303">
              <w:rPr>
                <w:rFonts w:asciiTheme="minorHAnsi" w:hAnsiTheme="minorHAnsi" w:cstheme="minorHAnsi"/>
                <w:sz w:val="20"/>
                <w:szCs w:val="20"/>
              </w:rPr>
              <w:t xml:space="preserve">/day) </w:t>
            </w:r>
          </w:p>
        </w:tc>
        <w:tc>
          <w:tcPr>
            <w:tcW w:w="5379" w:type="dxa"/>
          </w:tcPr>
          <w:p w14:paraId="383EC9E0" w14:textId="77777777" w:rsidR="00690EC3" w:rsidRPr="005C1303" w:rsidRDefault="00690EC3" w:rsidP="00E07077">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1303">
              <w:rPr>
                <w:rFonts w:asciiTheme="minorHAnsi" w:hAnsiTheme="minorHAnsi" w:cstheme="minorHAnsi"/>
                <w:sz w:val="20"/>
                <w:szCs w:val="20"/>
              </w:rPr>
              <w:t xml:space="preserve">The ASEM formula provides the amount of sunscreen applied to the skin per day relative to body weight (kg). The amount is expressed in units of either mass (mg) or surface area (cm2), depending on how the data for dermal absorption of an ingredient is reported. </w:t>
            </w:r>
          </w:p>
        </w:tc>
      </w:tr>
      <w:tr w:rsidR="00690EC3" w:rsidRPr="0056759A" w14:paraId="01D67F88" w14:textId="77777777" w:rsidTr="00E07077">
        <w:tc>
          <w:tcPr>
            <w:cnfStyle w:val="001000000000" w:firstRow="0" w:lastRow="0" w:firstColumn="1" w:lastColumn="0" w:oddVBand="0" w:evenVBand="0" w:oddHBand="0" w:evenHBand="0" w:firstRowFirstColumn="0" w:firstRowLastColumn="0" w:lastRowFirstColumn="0" w:lastRowLastColumn="0"/>
            <w:tcW w:w="1413" w:type="dxa"/>
          </w:tcPr>
          <w:p w14:paraId="5690C1AA" w14:textId="77777777" w:rsidR="00690EC3" w:rsidRPr="005C1303" w:rsidRDefault="00690EC3" w:rsidP="00E07077">
            <w:pPr>
              <w:pStyle w:val="Standard"/>
              <w:rPr>
                <w:rFonts w:asciiTheme="minorHAnsi" w:hAnsiTheme="minorHAnsi" w:cstheme="minorHAnsi"/>
                <w:sz w:val="20"/>
                <w:szCs w:val="20"/>
              </w:rPr>
            </w:pPr>
            <w:r w:rsidRPr="005C1303">
              <w:rPr>
                <w:rFonts w:asciiTheme="minorHAnsi" w:hAnsiTheme="minorHAnsi" w:cstheme="minorHAnsi"/>
                <w:b/>
                <w:bCs/>
                <w:sz w:val="20"/>
                <w:szCs w:val="20"/>
              </w:rPr>
              <w:lastRenderedPageBreak/>
              <w:t xml:space="preserve">Appl Rate </w:t>
            </w:r>
          </w:p>
        </w:tc>
        <w:tc>
          <w:tcPr>
            <w:tcW w:w="2268" w:type="dxa"/>
          </w:tcPr>
          <w:p w14:paraId="0A6279D1" w14:textId="77777777" w:rsidR="00690EC3" w:rsidRPr="005C1303" w:rsidRDefault="00690EC3" w:rsidP="00E07077">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1303">
              <w:rPr>
                <w:rFonts w:asciiTheme="minorHAnsi" w:hAnsiTheme="minorHAnsi" w:cstheme="minorHAnsi"/>
                <w:sz w:val="20"/>
                <w:szCs w:val="20"/>
              </w:rPr>
              <w:t>Application rate of product mg/cm</w:t>
            </w:r>
            <w:r w:rsidRPr="005C1303">
              <w:rPr>
                <w:rFonts w:asciiTheme="minorHAnsi" w:hAnsiTheme="minorHAnsi" w:cstheme="minorHAnsi"/>
                <w:sz w:val="20"/>
                <w:szCs w:val="20"/>
                <w:vertAlign w:val="superscript"/>
              </w:rPr>
              <w:t>2</w:t>
            </w:r>
            <w:r w:rsidRPr="005C1303">
              <w:rPr>
                <w:rFonts w:asciiTheme="minorHAnsi" w:hAnsiTheme="minorHAnsi" w:cstheme="minorHAnsi"/>
                <w:sz w:val="20"/>
                <w:szCs w:val="20"/>
              </w:rPr>
              <w:t xml:space="preserve"> </w:t>
            </w:r>
          </w:p>
        </w:tc>
        <w:tc>
          <w:tcPr>
            <w:tcW w:w="5379" w:type="dxa"/>
          </w:tcPr>
          <w:p w14:paraId="7EE7FF58" w14:textId="77777777" w:rsidR="00690EC3" w:rsidRPr="005C1303" w:rsidRDefault="00690EC3" w:rsidP="00E0707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1303">
              <w:rPr>
                <w:rFonts w:asciiTheme="minorHAnsi" w:hAnsiTheme="minorHAnsi" w:cstheme="minorHAnsi"/>
                <w:sz w:val="20"/>
                <w:szCs w:val="20"/>
              </w:rPr>
              <w:t xml:space="preserve">For a sunscreen product to reach the labelled sun protection factor (SPF), it must be applied in quantities </w:t>
            </w:r>
            <w:proofErr w:type="gramStart"/>
            <w:r w:rsidRPr="005C1303">
              <w:rPr>
                <w:rFonts w:asciiTheme="minorHAnsi" w:hAnsiTheme="minorHAnsi" w:cstheme="minorHAnsi"/>
                <w:sz w:val="20"/>
                <w:szCs w:val="20"/>
              </w:rPr>
              <w:t>similar to</w:t>
            </w:r>
            <w:proofErr w:type="gramEnd"/>
            <w:r w:rsidRPr="005C1303">
              <w:rPr>
                <w:rFonts w:asciiTheme="minorHAnsi" w:hAnsiTheme="minorHAnsi" w:cstheme="minorHAnsi"/>
                <w:sz w:val="20"/>
                <w:szCs w:val="20"/>
              </w:rPr>
              <w:t xml:space="preserve"> those used in SPF testing. This application rate of 2 mg/cm2 is specified in the Sunscreen Standard. </w:t>
            </w:r>
          </w:p>
          <w:p w14:paraId="253BCA8E" w14:textId="77777777" w:rsidR="00690EC3" w:rsidRPr="005C1303" w:rsidRDefault="00690EC3" w:rsidP="00E07077">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1303">
              <w:rPr>
                <w:rFonts w:asciiTheme="minorHAnsi" w:hAnsiTheme="minorHAnsi" w:cstheme="minorHAnsi"/>
                <w:b/>
                <w:bCs/>
                <w:sz w:val="20"/>
                <w:szCs w:val="20"/>
              </w:rPr>
              <w:t xml:space="preserve">NOTE: </w:t>
            </w:r>
            <w:r w:rsidRPr="005C1303">
              <w:rPr>
                <w:rFonts w:asciiTheme="minorHAnsi" w:hAnsiTheme="minorHAnsi" w:cstheme="minorHAnsi"/>
                <w:sz w:val="20"/>
                <w:szCs w:val="20"/>
              </w:rPr>
              <w:t xml:space="preserve">Appl rate is not required for Method 2 calculations because it is accounted for as part of the dermal absorption study protocol. </w:t>
            </w:r>
          </w:p>
        </w:tc>
      </w:tr>
      <w:tr w:rsidR="00690EC3" w:rsidRPr="0056759A" w14:paraId="763D2EDE" w14:textId="77777777" w:rsidTr="00E07077">
        <w:tc>
          <w:tcPr>
            <w:cnfStyle w:val="001000000000" w:firstRow="0" w:lastRow="0" w:firstColumn="1" w:lastColumn="0" w:oddVBand="0" w:evenVBand="0" w:oddHBand="0" w:evenHBand="0" w:firstRowFirstColumn="0" w:firstRowLastColumn="0" w:lastRowFirstColumn="0" w:lastRowLastColumn="0"/>
            <w:tcW w:w="1413" w:type="dxa"/>
          </w:tcPr>
          <w:p w14:paraId="1CE744FF" w14:textId="77777777" w:rsidR="00690EC3" w:rsidRPr="005C1303" w:rsidRDefault="00690EC3" w:rsidP="00E07077">
            <w:pPr>
              <w:pStyle w:val="Standard"/>
              <w:rPr>
                <w:rFonts w:asciiTheme="minorHAnsi" w:hAnsiTheme="minorHAnsi" w:cstheme="minorHAnsi"/>
                <w:sz w:val="20"/>
                <w:szCs w:val="20"/>
              </w:rPr>
            </w:pPr>
            <w:r w:rsidRPr="005C1303">
              <w:rPr>
                <w:rFonts w:asciiTheme="minorHAnsi" w:hAnsiTheme="minorHAnsi" w:cstheme="minorHAnsi"/>
                <w:b/>
                <w:bCs/>
                <w:sz w:val="20"/>
                <w:szCs w:val="20"/>
              </w:rPr>
              <w:t xml:space="preserve">SSA </w:t>
            </w:r>
          </w:p>
        </w:tc>
        <w:tc>
          <w:tcPr>
            <w:tcW w:w="2268" w:type="dxa"/>
          </w:tcPr>
          <w:p w14:paraId="6F4EB424" w14:textId="77777777" w:rsidR="00690EC3" w:rsidRPr="005C1303" w:rsidRDefault="00690EC3" w:rsidP="00E07077">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1303">
              <w:rPr>
                <w:rFonts w:asciiTheme="minorHAnsi" w:hAnsiTheme="minorHAnsi" w:cstheme="minorHAnsi"/>
                <w:sz w:val="20"/>
                <w:szCs w:val="20"/>
              </w:rPr>
              <w:t>Surface area of skin sunscreen applied to (cm</w:t>
            </w:r>
            <w:r w:rsidRPr="005C1303">
              <w:rPr>
                <w:rFonts w:asciiTheme="minorHAnsi" w:hAnsiTheme="minorHAnsi" w:cstheme="minorHAnsi"/>
                <w:sz w:val="20"/>
                <w:szCs w:val="20"/>
                <w:vertAlign w:val="superscript"/>
              </w:rPr>
              <w:t>2</w:t>
            </w:r>
            <w:r w:rsidRPr="005C1303">
              <w:rPr>
                <w:rFonts w:asciiTheme="minorHAnsi" w:hAnsiTheme="minorHAnsi" w:cstheme="minorHAnsi"/>
                <w:sz w:val="20"/>
                <w:szCs w:val="20"/>
              </w:rPr>
              <w:t xml:space="preserve">) per application </w:t>
            </w:r>
          </w:p>
        </w:tc>
        <w:tc>
          <w:tcPr>
            <w:tcW w:w="5379" w:type="dxa"/>
          </w:tcPr>
          <w:p w14:paraId="3961C130" w14:textId="77777777" w:rsidR="00690EC3" w:rsidRPr="005C1303" w:rsidRDefault="00690EC3" w:rsidP="00E07077">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1303">
              <w:rPr>
                <w:rFonts w:asciiTheme="minorHAnsi" w:hAnsiTheme="minorHAnsi" w:cstheme="minorHAnsi"/>
                <w:sz w:val="20"/>
                <w:szCs w:val="20"/>
              </w:rPr>
              <w:t>The skin surface area exposed to sunscreen (per application) is predicted based on the practices outlined in the various ASEM scenarios for different population groups and activities, e.g. an individual working outdoors may be wearing a hat, shorts. half-sleeved shirt and footwear, and therefore the exposed skin where sunscreen is applied would include the face, neck, hands, forearms, and lower legs. The scenarios account for parts of Australia with warmer climates where less clothing may be worn year-round. The 95</w:t>
            </w:r>
            <w:r w:rsidRPr="005C1303">
              <w:rPr>
                <w:rFonts w:asciiTheme="minorHAnsi" w:hAnsiTheme="minorHAnsi" w:cstheme="minorHAnsi"/>
                <w:sz w:val="20"/>
                <w:szCs w:val="20"/>
                <w:vertAlign w:val="superscript"/>
              </w:rPr>
              <w:t>th</w:t>
            </w:r>
            <w:r w:rsidRPr="005C1303">
              <w:rPr>
                <w:rFonts w:asciiTheme="minorHAnsi" w:hAnsiTheme="minorHAnsi" w:cstheme="minorHAnsi"/>
                <w:sz w:val="20"/>
                <w:szCs w:val="20"/>
              </w:rPr>
              <w:t xml:space="preserve"> percentile value has been chosen to capture </w:t>
            </w:r>
            <w:proofErr w:type="gramStart"/>
            <w:r w:rsidRPr="005C1303">
              <w:rPr>
                <w:rFonts w:asciiTheme="minorHAnsi" w:hAnsiTheme="minorHAnsi" w:cstheme="minorHAnsi"/>
                <w:sz w:val="20"/>
                <w:szCs w:val="20"/>
              </w:rPr>
              <w:t>the vast majority of</w:t>
            </w:r>
            <w:proofErr w:type="gramEnd"/>
            <w:r w:rsidRPr="005C1303">
              <w:rPr>
                <w:rFonts w:asciiTheme="minorHAnsi" w:hAnsiTheme="minorHAnsi" w:cstheme="minorHAnsi"/>
                <w:sz w:val="20"/>
                <w:szCs w:val="20"/>
              </w:rPr>
              <w:t xml:space="preserve"> the population.</w:t>
            </w:r>
          </w:p>
        </w:tc>
      </w:tr>
      <w:tr w:rsidR="00690EC3" w:rsidRPr="0056759A" w14:paraId="0E9002E9" w14:textId="77777777" w:rsidTr="00E07077">
        <w:tc>
          <w:tcPr>
            <w:cnfStyle w:val="001000000000" w:firstRow="0" w:lastRow="0" w:firstColumn="1" w:lastColumn="0" w:oddVBand="0" w:evenVBand="0" w:oddHBand="0" w:evenHBand="0" w:firstRowFirstColumn="0" w:firstRowLastColumn="0" w:lastRowFirstColumn="0" w:lastRowLastColumn="0"/>
            <w:tcW w:w="1413" w:type="dxa"/>
          </w:tcPr>
          <w:p w14:paraId="243BF216" w14:textId="77777777" w:rsidR="00690EC3" w:rsidRPr="005C1303" w:rsidRDefault="00690EC3" w:rsidP="00E07077">
            <w:pPr>
              <w:pStyle w:val="Default"/>
              <w:rPr>
                <w:rFonts w:asciiTheme="minorHAnsi" w:hAnsiTheme="minorHAnsi" w:cstheme="minorHAnsi"/>
                <w:sz w:val="20"/>
                <w:szCs w:val="20"/>
              </w:rPr>
            </w:pPr>
            <w:proofErr w:type="spellStart"/>
            <w:r w:rsidRPr="005C1303">
              <w:rPr>
                <w:rFonts w:asciiTheme="minorHAnsi" w:hAnsiTheme="minorHAnsi" w:cstheme="minorHAnsi"/>
                <w:b/>
                <w:bCs/>
                <w:sz w:val="20"/>
                <w:szCs w:val="20"/>
              </w:rPr>
              <w:t>Bwt</w:t>
            </w:r>
            <w:proofErr w:type="spellEnd"/>
            <w:r w:rsidRPr="005C1303">
              <w:rPr>
                <w:rFonts w:asciiTheme="minorHAnsi" w:hAnsiTheme="minorHAnsi" w:cstheme="minorHAnsi"/>
                <w:b/>
                <w:bCs/>
                <w:sz w:val="20"/>
                <w:szCs w:val="20"/>
              </w:rPr>
              <w:t xml:space="preserve"> </w:t>
            </w:r>
          </w:p>
          <w:p w14:paraId="2AC2FE26" w14:textId="77777777" w:rsidR="00690EC3" w:rsidRPr="005C1303" w:rsidRDefault="00690EC3" w:rsidP="00E07077">
            <w:pPr>
              <w:pStyle w:val="Standard"/>
              <w:rPr>
                <w:rFonts w:asciiTheme="minorHAnsi" w:hAnsiTheme="minorHAnsi" w:cstheme="minorHAnsi"/>
                <w:sz w:val="20"/>
                <w:szCs w:val="20"/>
              </w:rPr>
            </w:pPr>
          </w:p>
        </w:tc>
        <w:tc>
          <w:tcPr>
            <w:tcW w:w="2268" w:type="dxa"/>
          </w:tcPr>
          <w:p w14:paraId="159CCE93" w14:textId="77777777" w:rsidR="00690EC3" w:rsidRPr="005C1303" w:rsidRDefault="00690EC3" w:rsidP="00E0707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1303">
              <w:rPr>
                <w:rFonts w:asciiTheme="minorHAnsi" w:hAnsiTheme="minorHAnsi" w:cstheme="minorHAnsi"/>
                <w:sz w:val="20"/>
                <w:szCs w:val="20"/>
              </w:rPr>
              <w:t xml:space="preserve">Body weight linked to SSA (kg) </w:t>
            </w:r>
          </w:p>
        </w:tc>
        <w:tc>
          <w:tcPr>
            <w:tcW w:w="5379" w:type="dxa"/>
          </w:tcPr>
          <w:p w14:paraId="3BAD9DEB" w14:textId="77777777" w:rsidR="00690EC3" w:rsidRPr="005C1303" w:rsidRDefault="00690EC3" w:rsidP="00E07077">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1303">
              <w:rPr>
                <w:rFonts w:asciiTheme="minorHAnsi" w:hAnsiTheme="minorHAnsi" w:cstheme="minorHAnsi"/>
                <w:sz w:val="20"/>
                <w:szCs w:val="20"/>
              </w:rPr>
              <w:t>The 95</w:t>
            </w:r>
            <w:r w:rsidRPr="005C1303">
              <w:rPr>
                <w:rFonts w:asciiTheme="minorHAnsi" w:hAnsiTheme="minorHAnsi" w:cstheme="minorHAnsi"/>
                <w:sz w:val="20"/>
                <w:szCs w:val="20"/>
                <w:vertAlign w:val="superscript"/>
              </w:rPr>
              <w:t>th</w:t>
            </w:r>
            <w:r w:rsidRPr="005C1303">
              <w:rPr>
                <w:rFonts w:asciiTheme="minorHAnsi" w:hAnsiTheme="minorHAnsi" w:cstheme="minorHAnsi"/>
                <w:sz w:val="20"/>
                <w:szCs w:val="20"/>
              </w:rPr>
              <w:t xml:space="preserve"> percentile value has been chosen to capture </w:t>
            </w:r>
            <w:proofErr w:type="gramStart"/>
            <w:r w:rsidRPr="005C1303">
              <w:rPr>
                <w:rFonts w:asciiTheme="minorHAnsi" w:hAnsiTheme="minorHAnsi" w:cstheme="minorHAnsi"/>
                <w:sz w:val="20"/>
                <w:szCs w:val="20"/>
              </w:rPr>
              <w:t>the vast majority of</w:t>
            </w:r>
            <w:proofErr w:type="gramEnd"/>
            <w:r w:rsidRPr="005C1303">
              <w:rPr>
                <w:rFonts w:asciiTheme="minorHAnsi" w:hAnsiTheme="minorHAnsi" w:cstheme="minorHAnsi"/>
                <w:sz w:val="20"/>
                <w:szCs w:val="20"/>
              </w:rPr>
              <w:t xml:space="preserve"> the population.</w:t>
            </w:r>
          </w:p>
        </w:tc>
      </w:tr>
      <w:tr w:rsidR="00690EC3" w:rsidRPr="0056759A" w14:paraId="62DFCB06" w14:textId="77777777" w:rsidTr="00E07077">
        <w:tc>
          <w:tcPr>
            <w:cnfStyle w:val="001000000000" w:firstRow="0" w:lastRow="0" w:firstColumn="1" w:lastColumn="0" w:oddVBand="0" w:evenVBand="0" w:oddHBand="0" w:evenHBand="0" w:firstRowFirstColumn="0" w:firstRowLastColumn="0" w:lastRowFirstColumn="0" w:lastRowLastColumn="0"/>
            <w:tcW w:w="1413" w:type="dxa"/>
          </w:tcPr>
          <w:p w14:paraId="45CC6382" w14:textId="77777777" w:rsidR="00690EC3" w:rsidRPr="005C1303" w:rsidRDefault="00690EC3" w:rsidP="00E07077">
            <w:pPr>
              <w:pStyle w:val="Standard"/>
              <w:rPr>
                <w:rFonts w:asciiTheme="minorHAnsi" w:hAnsiTheme="minorHAnsi" w:cstheme="minorHAnsi"/>
                <w:sz w:val="20"/>
                <w:szCs w:val="20"/>
              </w:rPr>
            </w:pPr>
            <w:r w:rsidRPr="005C1303">
              <w:rPr>
                <w:rFonts w:asciiTheme="minorHAnsi" w:hAnsiTheme="minorHAnsi" w:cstheme="minorHAnsi"/>
                <w:b/>
                <w:bCs/>
                <w:sz w:val="20"/>
                <w:szCs w:val="20"/>
              </w:rPr>
              <w:t xml:space="preserve">AF </w:t>
            </w:r>
          </w:p>
        </w:tc>
        <w:tc>
          <w:tcPr>
            <w:tcW w:w="2268" w:type="dxa"/>
          </w:tcPr>
          <w:p w14:paraId="4D125B47" w14:textId="77777777" w:rsidR="00690EC3" w:rsidRPr="005C1303" w:rsidRDefault="00690EC3" w:rsidP="00E07077">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1303">
              <w:rPr>
                <w:rFonts w:asciiTheme="minorHAnsi" w:hAnsiTheme="minorHAnsi" w:cstheme="minorHAnsi"/>
                <w:sz w:val="20"/>
                <w:szCs w:val="20"/>
              </w:rPr>
              <w:t xml:space="preserve">Application Frequency (applications/day) </w:t>
            </w:r>
          </w:p>
        </w:tc>
        <w:tc>
          <w:tcPr>
            <w:tcW w:w="5379" w:type="dxa"/>
          </w:tcPr>
          <w:p w14:paraId="54447F98" w14:textId="77777777" w:rsidR="00690EC3" w:rsidRPr="005C1303" w:rsidRDefault="00690EC3" w:rsidP="00E07077">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1303">
              <w:rPr>
                <w:rFonts w:asciiTheme="minorHAnsi" w:hAnsiTheme="minorHAnsi" w:cstheme="minorHAnsi"/>
                <w:sz w:val="20"/>
                <w:szCs w:val="20"/>
              </w:rPr>
              <w:t xml:space="preserve">Application frequency is expressed as the number of sunscreen applications per day. This can range from 2 – 3 applications per day for the different exposure scenarios outlined in ASEM Scenarios. </w:t>
            </w:r>
          </w:p>
        </w:tc>
      </w:tr>
      <w:tr w:rsidR="00690EC3" w:rsidRPr="0056759A" w14:paraId="3AB3A543" w14:textId="77777777" w:rsidTr="00E07077">
        <w:tc>
          <w:tcPr>
            <w:cnfStyle w:val="001000000000" w:firstRow="0" w:lastRow="0" w:firstColumn="1" w:lastColumn="0" w:oddVBand="0" w:evenVBand="0" w:oddHBand="0" w:evenHBand="0" w:firstRowFirstColumn="0" w:firstRowLastColumn="0" w:lastRowFirstColumn="0" w:lastRowLastColumn="0"/>
            <w:tcW w:w="1413" w:type="dxa"/>
          </w:tcPr>
          <w:p w14:paraId="3E7C9918" w14:textId="77777777" w:rsidR="00690EC3" w:rsidRPr="005C1303" w:rsidRDefault="00690EC3" w:rsidP="00E07077">
            <w:pPr>
              <w:pStyle w:val="Standard"/>
              <w:rPr>
                <w:rFonts w:asciiTheme="minorHAnsi" w:hAnsiTheme="minorHAnsi" w:cstheme="minorHAnsi"/>
                <w:sz w:val="20"/>
                <w:szCs w:val="20"/>
              </w:rPr>
            </w:pPr>
            <w:r w:rsidRPr="005C1303">
              <w:rPr>
                <w:rFonts w:asciiTheme="minorHAnsi" w:hAnsiTheme="minorHAnsi" w:cstheme="minorHAnsi"/>
                <w:b/>
                <w:bCs/>
                <w:sz w:val="20"/>
                <w:szCs w:val="20"/>
              </w:rPr>
              <w:t xml:space="preserve">Duration </w:t>
            </w:r>
          </w:p>
        </w:tc>
        <w:tc>
          <w:tcPr>
            <w:tcW w:w="2268" w:type="dxa"/>
          </w:tcPr>
          <w:p w14:paraId="4D0A077B" w14:textId="77777777" w:rsidR="00690EC3" w:rsidRPr="005C1303" w:rsidRDefault="00690EC3" w:rsidP="00E07077">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1303">
              <w:rPr>
                <w:rFonts w:asciiTheme="minorHAnsi" w:hAnsiTheme="minorHAnsi" w:cstheme="minorHAnsi"/>
                <w:sz w:val="20"/>
                <w:szCs w:val="20"/>
              </w:rPr>
              <w:t xml:space="preserve">Annual Use (days) </w:t>
            </w:r>
          </w:p>
        </w:tc>
        <w:tc>
          <w:tcPr>
            <w:tcW w:w="5379" w:type="dxa"/>
          </w:tcPr>
          <w:p w14:paraId="14CDEAC1" w14:textId="77777777" w:rsidR="00690EC3" w:rsidRPr="005C1303" w:rsidRDefault="00690EC3" w:rsidP="00E07077">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1303">
              <w:rPr>
                <w:rFonts w:asciiTheme="minorHAnsi" w:hAnsiTheme="minorHAnsi" w:cstheme="minorHAnsi"/>
                <w:sz w:val="20"/>
                <w:szCs w:val="20"/>
              </w:rPr>
              <w:t>Duration is expressed as the number of days in a year sunscreen application/exposure is expected to occur. The ASEM scenarios for the use of sunscreens in Australia provides information on the duration anticipated by different population groups.</w:t>
            </w:r>
          </w:p>
        </w:tc>
      </w:tr>
      <w:tr w:rsidR="00690EC3" w:rsidRPr="0056759A" w14:paraId="3E28350E" w14:textId="77777777" w:rsidTr="00E07077">
        <w:tc>
          <w:tcPr>
            <w:cnfStyle w:val="001000000000" w:firstRow="0" w:lastRow="0" w:firstColumn="1" w:lastColumn="0" w:oddVBand="0" w:evenVBand="0" w:oddHBand="0" w:evenHBand="0" w:firstRowFirstColumn="0" w:firstRowLastColumn="0" w:lastRowFirstColumn="0" w:lastRowLastColumn="0"/>
            <w:tcW w:w="1413" w:type="dxa"/>
          </w:tcPr>
          <w:p w14:paraId="18D7C931" w14:textId="77777777" w:rsidR="00690EC3" w:rsidRPr="005C1303" w:rsidRDefault="00690EC3" w:rsidP="00E07077">
            <w:pPr>
              <w:pStyle w:val="Standard"/>
              <w:rPr>
                <w:rFonts w:asciiTheme="minorHAnsi" w:hAnsiTheme="minorHAnsi" w:cstheme="minorHAnsi"/>
                <w:sz w:val="20"/>
                <w:szCs w:val="20"/>
              </w:rPr>
            </w:pPr>
            <w:r w:rsidRPr="005C1303">
              <w:rPr>
                <w:rFonts w:asciiTheme="minorHAnsi" w:hAnsiTheme="minorHAnsi" w:cstheme="minorHAnsi"/>
                <w:b/>
                <w:bCs/>
                <w:sz w:val="20"/>
                <w:szCs w:val="20"/>
              </w:rPr>
              <w:t xml:space="preserve">AT </w:t>
            </w:r>
          </w:p>
        </w:tc>
        <w:tc>
          <w:tcPr>
            <w:tcW w:w="2268" w:type="dxa"/>
          </w:tcPr>
          <w:p w14:paraId="294E2C14" w14:textId="77777777" w:rsidR="00690EC3" w:rsidRPr="005C1303" w:rsidRDefault="00690EC3" w:rsidP="00E07077">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1303">
              <w:rPr>
                <w:rFonts w:asciiTheme="minorHAnsi" w:hAnsiTheme="minorHAnsi" w:cstheme="minorHAnsi"/>
                <w:sz w:val="20"/>
                <w:szCs w:val="20"/>
              </w:rPr>
              <w:t xml:space="preserve">Averaging time (365 days) </w:t>
            </w:r>
          </w:p>
        </w:tc>
        <w:tc>
          <w:tcPr>
            <w:tcW w:w="5379" w:type="dxa"/>
          </w:tcPr>
          <w:p w14:paraId="36FDB57C" w14:textId="77777777" w:rsidR="00690EC3" w:rsidRPr="005C1303" w:rsidRDefault="00690EC3" w:rsidP="00E07077">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1303">
              <w:rPr>
                <w:rFonts w:asciiTheme="minorHAnsi" w:hAnsiTheme="minorHAnsi" w:cstheme="minorHAnsi"/>
                <w:sz w:val="20"/>
                <w:szCs w:val="20"/>
              </w:rPr>
              <w:t xml:space="preserve">An average daily dose based on exposure over a 1-year period (i.e. 365) is being calculated. </w:t>
            </w:r>
          </w:p>
        </w:tc>
      </w:tr>
    </w:tbl>
    <w:p w14:paraId="27884037" w14:textId="77777777" w:rsidR="00690EC3" w:rsidRPr="00B35001" w:rsidRDefault="00690EC3" w:rsidP="00690EC3">
      <w:pPr>
        <w:pStyle w:val="Standard"/>
        <w:rPr>
          <w:rFonts w:cstheme="minorHAnsi"/>
          <w:sz w:val="24"/>
        </w:rPr>
      </w:pPr>
    </w:p>
    <w:p w14:paraId="31144790" w14:textId="77777777" w:rsidR="00690EC3" w:rsidRPr="00B35001" w:rsidRDefault="00690EC3" w:rsidP="005C1303">
      <w:pPr>
        <w:rPr>
          <w:rFonts w:cstheme="minorHAnsi"/>
          <w:sz w:val="24"/>
        </w:rPr>
      </w:pPr>
      <w:r w:rsidRPr="00B35001">
        <w:t xml:space="preserve">All the variables in the ASEM formula (SSA, BW, Age, AF and Duration) can change based on how the sunscreen is used and who it is used by. The respective input values for these variables are described in the </w:t>
      </w:r>
      <w:r>
        <w:t>various ASEM Scenarios provided in the Australian Sunscreens Exposure Model.</w:t>
      </w:r>
      <w:r>
        <w:rPr>
          <w:rStyle w:val="FootnoteReference"/>
          <w:sz w:val="22"/>
          <w:szCs w:val="22"/>
        </w:rPr>
        <w:footnoteReference w:id="4"/>
      </w:r>
      <w:r>
        <w:t xml:space="preserve"> </w:t>
      </w:r>
    </w:p>
    <w:p w14:paraId="720A2106" w14:textId="77777777" w:rsidR="00690EC3" w:rsidRDefault="00690EC3" w:rsidP="00690EC3">
      <w:pPr>
        <w:pStyle w:val="Heading4"/>
      </w:pPr>
      <w:bookmarkStart w:id="27" w:name="_Toc190944899"/>
      <w:bookmarkStart w:id="28" w:name="_Toc199254936"/>
      <w:r>
        <w:lastRenderedPageBreak/>
        <w:t>Calculation for the highest estimated average daily sunscreen exposure</w:t>
      </w:r>
      <w:bookmarkEnd w:id="27"/>
      <w:bookmarkEnd w:id="28"/>
    </w:p>
    <w:p w14:paraId="09A1C87D" w14:textId="77777777" w:rsidR="00690EC3" w:rsidRDefault="00690EC3" w:rsidP="005C1303">
      <w:r>
        <w:t xml:space="preserve">For general therapeutic sunscreens meant to be used by the whole population, a highest estimated average daily sunscreen exposure amount was calculated based on the highest use scenarios in the most vulnerable population (toddlers aged 1-2 years). This has been calculated to account for the highest realistic exposure across the year.  </w:t>
      </w:r>
    </w:p>
    <w:p w14:paraId="562EF012" w14:textId="77777777" w:rsidR="00690EC3" w:rsidRDefault="00690EC3" w:rsidP="005C1303">
      <w:r>
        <w:rPr>
          <w:rFonts w:eastAsia="Times New Roman" w:cstheme="minorHAnsi"/>
          <w:snapToGrid w:val="0"/>
          <w:kern w:val="16"/>
        </w:rPr>
        <w:t xml:space="preserve">More details on how the highest estimated average daily sunscreen exposure values were derived can be found in the recent ASEM </w:t>
      </w:r>
      <w:hyperlink r:id="rId27" w:history="1">
        <w:r w:rsidRPr="00605907">
          <w:rPr>
            <w:rStyle w:val="Hyperlink"/>
            <w:rFonts w:eastAsia="Times New Roman" w:cs="Arial"/>
            <w:snapToGrid w:val="0"/>
            <w:kern w:val="16"/>
          </w:rPr>
          <w:t>consultation paper</w:t>
        </w:r>
      </w:hyperlink>
      <w:r w:rsidRPr="00605907">
        <w:rPr>
          <w:rFonts w:eastAsia="Times New Roman" w:cs="Arial"/>
          <w:snapToGrid w:val="0"/>
          <w:kern w:val="16"/>
        </w:rPr>
        <w:t>.</w:t>
      </w:r>
      <w:r>
        <w:rPr>
          <w:rFonts w:eastAsia="Times New Roman" w:cstheme="minorHAnsi"/>
          <w:snapToGrid w:val="0"/>
          <w:kern w:val="16"/>
        </w:rPr>
        <w:t xml:space="preserve"> </w:t>
      </w:r>
      <w:r w:rsidRPr="00873EBD">
        <w:t xml:space="preserve">The exposure values are </w:t>
      </w:r>
      <w:r>
        <w:t>reproduced</w:t>
      </w:r>
      <w:r w:rsidRPr="00873EBD">
        <w:t xml:space="preserve"> below depending on how dermal absorption data for the ingredient is reported</w:t>
      </w:r>
      <w:r>
        <w:t xml:space="preserve">. </w:t>
      </w:r>
    </w:p>
    <w:p w14:paraId="36102E4B" w14:textId="77777777" w:rsidR="005C1303" w:rsidRDefault="005C1303" w:rsidP="005C1303"/>
    <w:tbl>
      <w:tblPr>
        <w:tblStyle w:val="TableTGAblue2023"/>
        <w:tblW w:w="0" w:type="auto"/>
        <w:tblLook w:val="04A0" w:firstRow="1" w:lastRow="0" w:firstColumn="1" w:lastColumn="0" w:noHBand="0" w:noVBand="1"/>
      </w:tblPr>
      <w:tblGrid>
        <w:gridCol w:w="3114"/>
        <w:gridCol w:w="3705"/>
      </w:tblGrid>
      <w:tr w:rsidR="00F17F3F" w14:paraId="28BC1411" w14:textId="77777777" w:rsidTr="00E07077">
        <w:trPr>
          <w:cnfStyle w:val="100000000000" w:firstRow="1" w:lastRow="0" w:firstColumn="0" w:lastColumn="0" w:oddVBand="0" w:evenVBand="0" w:oddHBand="0"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3114" w:type="dxa"/>
          </w:tcPr>
          <w:p w14:paraId="725F478E" w14:textId="77777777" w:rsidR="00F17F3F" w:rsidRPr="005C1303" w:rsidRDefault="00F17F3F" w:rsidP="00E07077">
            <w:pPr>
              <w:pStyle w:val="Standard"/>
              <w:jc w:val="center"/>
              <w:rPr>
                <w:rFonts w:asciiTheme="minorHAnsi" w:hAnsiTheme="minorHAnsi" w:cstheme="minorHAnsi"/>
                <w:sz w:val="20"/>
                <w:szCs w:val="20"/>
              </w:rPr>
            </w:pPr>
            <w:r w:rsidRPr="005C1303">
              <w:rPr>
                <w:rFonts w:asciiTheme="minorHAnsi" w:hAnsiTheme="minorHAnsi" w:cstheme="minorHAnsi"/>
                <w:color w:val="253186"/>
                <w:sz w:val="20"/>
                <w:szCs w:val="20"/>
              </w:rPr>
              <w:t>How dermal absorption data is reported</w:t>
            </w:r>
          </w:p>
        </w:tc>
        <w:tc>
          <w:tcPr>
            <w:tcW w:w="3705" w:type="dxa"/>
          </w:tcPr>
          <w:p w14:paraId="4C4907C6" w14:textId="77777777" w:rsidR="00F17F3F" w:rsidRPr="005C1303" w:rsidRDefault="00F17F3F" w:rsidP="00E07077">
            <w:pPr>
              <w:pStyle w:val="Standard"/>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1303">
              <w:rPr>
                <w:rFonts w:asciiTheme="minorHAnsi" w:hAnsiTheme="minorHAnsi" w:cstheme="minorHAnsi"/>
                <w:color w:val="253186"/>
                <w:sz w:val="20"/>
                <w:szCs w:val="20"/>
              </w:rPr>
              <w:t>ASEM highest estimated average daily</w:t>
            </w:r>
          </w:p>
        </w:tc>
      </w:tr>
      <w:tr w:rsidR="00F17F3F" w14:paraId="236246C5" w14:textId="77777777" w:rsidTr="00E07077">
        <w:trPr>
          <w:trHeight w:val="1260"/>
        </w:trPr>
        <w:tc>
          <w:tcPr>
            <w:cnfStyle w:val="001000000000" w:firstRow="0" w:lastRow="0" w:firstColumn="1" w:lastColumn="0" w:oddVBand="0" w:evenVBand="0" w:oddHBand="0" w:evenHBand="0" w:firstRowFirstColumn="0" w:firstRowLastColumn="0" w:lastRowFirstColumn="0" w:lastRowLastColumn="0"/>
            <w:tcW w:w="3114" w:type="dxa"/>
          </w:tcPr>
          <w:p w14:paraId="525AA18C" w14:textId="77777777" w:rsidR="00F17F3F" w:rsidRPr="005C1303" w:rsidRDefault="00F17F3F" w:rsidP="00E07077">
            <w:pPr>
              <w:pStyle w:val="Standard"/>
              <w:jc w:val="center"/>
              <w:rPr>
                <w:rFonts w:asciiTheme="minorHAnsi" w:hAnsiTheme="minorHAnsi" w:cstheme="minorHAnsi"/>
                <w:sz w:val="20"/>
                <w:szCs w:val="20"/>
              </w:rPr>
            </w:pPr>
            <w:r w:rsidRPr="005C1303">
              <w:rPr>
                <w:rFonts w:asciiTheme="minorHAnsi" w:hAnsiTheme="minorHAnsi" w:cstheme="minorHAnsi"/>
                <w:sz w:val="20"/>
                <w:szCs w:val="20"/>
              </w:rPr>
              <w:t>Method 1 (%)</w:t>
            </w:r>
          </w:p>
        </w:tc>
        <w:tc>
          <w:tcPr>
            <w:tcW w:w="3705" w:type="dxa"/>
          </w:tcPr>
          <w:p w14:paraId="79F45BBC" w14:textId="77777777" w:rsidR="00F17F3F" w:rsidRPr="005C1303" w:rsidRDefault="00000000" w:rsidP="00E07077">
            <w:pPr>
              <w:pStyle w:val="Standard"/>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m:oMathPara>
              <m:oMath>
                <m:f>
                  <m:fPr>
                    <m:ctrlPr>
                      <w:rPr>
                        <w:rFonts w:ascii="Cambria Math" w:hAnsi="Cambria Math" w:cstheme="minorHAnsi"/>
                        <w:i/>
                        <w:sz w:val="20"/>
                        <w:szCs w:val="20"/>
                      </w:rPr>
                    </m:ctrlPr>
                  </m:fPr>
                  <m:num>
                    <m:r>
                      <w:rPr>
                        <w:rFonts w:ascii="Cambria Math" w:hAnsi="Cambria Math" w:cstheme="minorHAnsi"/>
                        <w:sz w:val="20"/>
                        <w:szCs w:val="20"/>
                      </w:rPr>
                      <m:t>Appl Rate x SSA x AF x Duration</m:t>
                    </m:r>
                  </m:num>
                  <m:den>
                    <m:r>
                      <w:rPr>
                        <w:rFonts w:ascii="Cambria Math" w:hAnsi="Cambria Math" w:cstheme="minorHAnsi"/>
                        <w:sz w:val="20"/>
                        <w:szCs w:val="20"/>
                      </w:rPr>
                      <m:t>BWt x AT</m:t>
                    </m:r>
                  </m:den>
                </m:f>
              </m:oMath>
            </m:oMathPara>
          </w:p>
          <w:p w14:paraId="2E70405F" w14:textId="77777777" w:rsidR="00F17F3F" w:rsidRPr="005C1303" w:rsidRDefault="00F17F3F" w:rsidP="00E07077">
            <w:pPr>
              <w:pStyle w:val="Standard"/>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1303">
              <w:rPr>
                <w:rFonts w:asciiTheme="minorHAnsi" w:hAnsiTheme="minorHAnsi" w:cstheme="minorHAnsi"/>
                <w:sz w:val="20"/>
                <w:szCs w:val="20"/>
              </w:rPr>
              <w:t xml:space="preserve">= 673 mg/kg </w:t>
            </w:r>
            <w:proofErr w:type="spellStart"/>
            <w:r w:rsidRPr="005C1303">
              <w:rPr>
                <w:rFonts w:asciiTheme="minorHAnsi" w:hAnsiTheme="minorHAnsi" w:cstheme="minorHAnsi"/>
                <w:sz w:val="20"/>
                <w:szCs w:val="20"/>
              </w:rPr>
              <w:t>bw</w:t>
            </w:r>
            <w:proofErr w:type="spellEnd"/>
            <w:r w:rsidRPr="005C1303">
              <w:rPr>
                <w:rFonts w:asciiTheme="minorHAnsi" w:hAnsiTheme="minorHAnsi" w:cstheme="minorHAnsi"/>
                <w:sz w:val="20"/>
                <w:szCs w:val="20"/>
              </w:rPr>
              <w:t>/day</w:t>
            </w:r>
          </w:p>
        </w:tc>
      </w:tr>
      <w:tr w:rsidR="00F17F3F" w14:paraId="19EC076D" w14:textId="77777777" w:rsidTr="00E07077">
        <w:trPr>
          <w:trHeight w:val="1244"/>
        </w:trPr>
        <w:tc>
          <w:tcPr>
            <w:cnfStyle w:val="001000000000" w:firstRow="0" w:lastRow="0" w:firstColumn="1" w:lastColumn="0" w:oddVBand="0" w:evenVBand="0" w:oddHBand="0" w:evenHBand="0" w:firstRowFirstColumn="0" w:firstRowLastColumn="0" w:lastRowFirstColumn="0" w:lastRowLastColumn="0"/>
            <w:tcW w:w="3114" w:type="dxa"/>
          </w:tcPr>
          <w:p w14:paraId="0C41A745" w14:textId="77777777" w:rsidR="00F17F3F" w:rsidRPr="005C1303" w:rsidRDefault="00F17F3F" w:rsidP="00E07077">
            <w:pPr>
              <w:pStyle w:val="Standard"/>
              <w:jc w:val="center"/>
              <w:rPr>
                <w:rFonts w:asciiTheme="minorHAnsi" w:hAnsiTheme="minorHAnsi" w:cstheme="minorHAnsi"/>
                <w:sz w:val="20"/>
                <w:szCs w:val="20"/>
              </w:rPr>
            </w:pPr>
            <w:r w:rsidRPr="005C1303">
              <w:rPr>
                <w:rFonts w:asciiTheme="minorHAnsi" w:hAnsiTheme="minorHAnsi" w:cstheme="minorHAnsi"/>
                <w:sz w:val="20"/>
                <w:szCs w:val="20"/>
              </w:rPr>
              <w:t>Method 2 (</w:t>
            </w:r>
            <w:proofErr w:type="spellStart"/>
            <w:r w:rsidRPr="005C1303">
              <w:rPr>
                <w:rFonts w:asciiTheme="minorHAnsi" w:hAnsiTheme="minorHAnsi" w:cstheme="minorHAnsi"/>
                <w:sz w:val="20"/>
                <w:szCs w:val="20"/>
              </w:rPr>
              <w:t>μg</w:t>
            </w:r>
            <w:proofErr w:type="spellEnd"/>
            <w:r w:rsidRPr="005C1303">
              <w:rPr>
                <w:rFonts w:asciiTheme="minorHAnsi" w:hAnsiTheme="minorHAnsi" w:cstheme="minorHAnsi"/>
                <w:sz w:val="20"/>
                <w:szCs w:val="20"/>
              </w:rPr>
              <w:t>/cm</w:t>
            </w:r>
            <w:r w:rsidRPr="005C1303">
              <w:rPr>
                <w:rFonts w:asciiTheme="minorHAnsi" w:hAnsiTheme="minorHAnsi" w:cstheme="minorHAnsi"/>
                <w:sz w:val="20"/>
                <w:szCs w:val="20"/>
                <w:vertAlign w:val="superscript"/>
              </w:rPr>
              <w:t>2</w:t>
            </w:r>
            <w:r w:rsidRPr="005C1303">
              <w:rPr>
                <w:rFonts w:asciiTheme="minorHAnsi" w:hAnsiTheme="minorHAnsi" w:cstheme="minorHAnsi"/>
                <w:sz w:val="20"/>
                <w:szCs w:val="20"/>
              </w:rPr>
              <w:t>)</w:t>
            </w:r>
          </w:p>
        </w:tc>
        <w:tc>
          <w:tcPr>
            <w:tcW w:w="3705" w:type="dxa"/>
          </w:tcPr>
          <w:p w14:paraId="4DBAC248" w14:textId="77777777" w:rsidR="00F17F3F" w:rsidRPr="005C1303" w:rsidRDefault="00000000" w:rsidP="00E07077">
            <w:pPr>
              <w:pStyle w:val="Standard"/>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m:oMathPara>
              <m:oMath>
                <m:f>
                  <m:fPr>
                    <m:ctrlPr>
                      <w:rPr>
                        <w:rFonts w:ascii="Cambria Math" w:hAnsi="Cambria Math" w:cstheme="minorHAnsi"/>
                        <w:i/>
                        <w:sz w:val="20"/>
                        <w:szCs w:val="20"/>
                      </w:rPr>
                    </m:ctrlPr>
                  </m:fPr>
                  <m:num>
                    <m:r>
                      <w:rPr>
                        <w:rFonts w:ascii="Cambria Math" w:hAnsi="Cambria Math" w:cstheme="minorHAnsi"/>
                        <w:sz w:val="20"/>
                        <w:szCs w:val="20"/>
                      </w:rPr>
                      <m:t>SSA x AF x Duration</m:t>
                    </m:r>
                  </m:num>
                  <m:den>
                    <m:r>
                      <w:rPr>
                        <w:rFonts w:ascii="Cambria Math" w:hAnsi="Cambria Math" w:cstheme="minorHAnsi"/>
                        <w:sz w:val="20"/>
                        <w:szCs w:val="20"/>
                      </w:rPr>
                      <m:t>BWt x AT</m:t>
                    </m:r>
                  </m:den>
                </m:f>
              </m:oMath>
            </m:oMathPara>
          </w:p>
          <w:p w14:paraId="10BC1130" w14:textId="77777777" w:rsidR="00F17F3F" w:rsidRPr="005C1303" w:rsidRDefault="00F17F3F" w:rsidP="00E07077">
            <w:pPr>
              <w:pStyle w:val="Standard"/>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1303">
              <w:rPr>
                <w:rFonts w:asciiTheme="minorHAnsi" w:hAnsiTheme="minorHAnsi" w:cstheme="minorHAnsi"/>
                <w:sz w:val="20"/>
                <w:szCs w:val="20"/>
              </w:rPr>
              <w:t>= 336 cm</w:t>
            </w:r>
            <w:r w:rsidRPr="005C1303">
              <w:rPr>
                <w:rFonts w:asciiTheme="minorHAnsi" w:hAnsiTheme="minorHAnsi" w:cstheme="minorHAnsi"/>
                <w:sz w:val="20"/>
                <w:szCs w:val="20"/>
                <w:vertAlign w:val="superscript"/>
              </w:rPr>
              <w:t>2</w:t>
            </w:r>
            <w:r w:rsidRPr="005C1303">
              <w:rPr>
                <w:rFonts w:asciiTheme="minorHAnsi" w:hAnsiTheme="minorHAnsi" w:cstheme="minorHAnsi"/>
                <w:sz w:val="20"/>
                <w:szCs w:val="20"/>
              </w:rPr>
              <w:t xml:space="preserve">/kg </w:t>
            </w:r>
            <w:proofErr w:type="spellStart"/>
            <w:r w:rsidRPr="005C1303">
              <w:rPr>
                <w:rFonts w:asciiTheme="minorHAnsi" w:hAnsiTheme="minorHAnsi" w:cstheme="minorHAnsi"/>
                <w:sz w:val="20"/>
                <w:szCs w:val="20"/>
              </w:rPr>
              <w:t>bw</w:t>
            </w:r>
            <w:proofErr w:type="spellEnd"/>
            <w:r w:rsidRPr="005C1303">
              <w:rPr>
                <w:rFonts w:asciiTheme="minorHAnsi" w:hAnsiTheme="minorHAnsi" w:cstheme="minorHAnsi"/>
                <w:sz w:val="20"/>
                <w:szCs w:val="20"/>
              </w:rPr>
              <w:t>/day</w:t>
            </w:r>
          </w:p>
        </w:tc>
      </w:tr>
    </w:tbl>
    <w:p w14:paraId="0EE5A1CA" w14:textId="77777777" w:rsidR="00F17F3F" w:rsidRDefault="00F17F3F" w:rsidP="00F17F3F">
      <w:pPr>
        <w:rPr>
          <w:rFonts w:ascii="Cambria" w:eastAsia="Times New Roman" w:hAnsi="Cambria" w:cstheme="minorHAnsi"/>
          <w:snapToGrid w:val="0"/>
          <w:kern w:val="16"/>
          <w:sz w:val="22"/>
          <w:szCs w:val="22"/>
        </w:rPr>
      </w:pPr>
    </w:p>
    <w:p w14:paraId="1A7C76E9" w14:textId="77777777" w:rsidR="00F17F3F" w:rsidRDefault="00F17F3F" w:rsidP="005C1303">
      <w:r w:rsidRPr="00223EEC">
        <w:t xml:space="preserve">In </w:t>
      </w:r>
      <w:r>
        <w:t>circumstances</w:t>
      </w:r>
      <w:r w:rsidRPr="00223EEC">
        <w:t xml:space="preserve"> where </w:t>
      </w:r>
      <w:r>
        <w:t xml:space="preserve">ingredients are not considered low risk for use in general therapeutic sunscreens, exposure estimation has been conducted based on specific use restricted to a subset of the population, using the ASEM. The specific circumstances and the approaches considered have been discussed further below in the respective safety assessment sections. </w:t>
      </w:r>
    </w:p>
    <w:p w14:paraId="392FCBBD" w14:textId="77777777" w:rsidR="00F17F3F" w:rsidRDefault="00F17F3F" w:rsidP="00F17F3F">
      <w:pPr>
        <w:pStyle w:val="Heading5sub"/>
      </w:pPr>
      <w:r>
        <w:t>Calculation of SED and MoS – ASEM Method 1</w:t>
      </w:r>
    </w:p>
    <w:p w14:paraId="79A7D278" w14:textId="77777777" w:rsidR="00F17F3F" w:rsidRDefault="00F17F3F" w:rsidP="00F17F3F">
      <w:pPr>
        <w:pBdr>
          <w:top w:val="single" w:sz="4" w:space="1" w:color="auto"/>
          <w:left w:val="single" w:sz="4" w:space="4" w:color="auto"/>
          <w:bottom w:val="single" w:sz="4" w:space="1" w:color="auto"/>
          <w:right w:val="single" w:sz="4" w:space="4" w:color="auto"/>
        </w:pBdr>
        <w:rPr>
          <w:rFonts w:eastAsiaTheme="minorEastAsia"/>
        </w:rPr>
      </w:pPr>
      <m:oMathPara>
        <m:oMath>
          <m:r>
            <w:rPr>
              <w:rFonts w:ascii="Cambria Math" w:hAnsi="Cambria Math"/>
              <w:sz w:val="24"/>
              <w:szCs w:val="24"/>
            </w:rPr>
            <m:t xml:space="preserve">ASEM (method 1)= </m:t>
          </m:r>
          <m:f>
            <m:fPr>
              <m:ctrlPr>
                <w:rPr>
                  <w:rFonts w:ascii="Cambria Math" w:hAnsi="Cambria Math"/>
                  <w:i/>
                  <w:sz w:val="24"/>
                  <w:szCs w:val="24"/>
                </w:rPr>
              </m:ctrlPr>
            </m:fPr>
            <m:num>
              <m:r>
                <w:rPr>
                  <w:rFonts w:ascii="Cambria Math" w:hAnsi="Cambria Math"/>
                  <w:sz w:val="24"/>
                  <w:szCs w:val="24"/>
                </w:rPr>
                <m:t>Appl Rate x SSA x AF x Duration</m:t>
              </m:r>
            </m:num>
            <m:den>
              <m:r>
                <w:rPr>
                  <w:rFonts w:ascii="Cambria Math" w:hAnsi="Cambria Math"/>
                  <w:sz w:val="24"/>
                  <w:szCs w:val="24"/>
                </w:rPr>
                <m:t>BWt x AT</m:t>
              </m:r>
            </m:den>
          </m:f>
        </m:oMath>
      </m:oMathPara>
    </w:p>
    <w:p w14:paraId="36424A5E" w14:textId="77777777" w:rsidR="00F17F3F" w:rsidRDefault="00F17F3F" w:rsidP="00F17F3F">
      <w:pPr>
        <w:pBdr>
          <w:top w:val="single" w:sz="4" w:space="1" w:color="auto"/>
          <w:left w:val="single" w:sz="4" w:space="4" w:color="auto"/>
          <w:bottom w:val="single" w:sz="4" w:space="1" w:color="auto"/>
          <w:right w:val="single" w:sz="4" w:space="4" w:color="auto"/>
        </w:pBdr>
        <w:rPr>
          <w:rFonts w:eastAsiaTheme="minorEastAsia"/>
        </w:rPr>
      </w:pPr>
      <m:oMathPara>
        <m:oMath>
          <m:r>
            <w:rPr>
              <w:rFonts w:ascii="Cambria Math" w:hAnsi="Cambria Math" w:cs="Cambria Math"/>
              <w:sz w:val="24"/>
              <w:szCs w:val="24"/>
            </w:rPr>
            <m:t>SED=</m:t>
          </m:r>
          <m:sSub>
            <m:sSubPr>
              <m:ctrlPr>
                <w:rPr>
                  <w:rFonts w:ascii="Cambria Math" w:hAnsi="Cambria Math" w:cs="Cambria Math"/>
                  <w:i/>
                  <w:iCs/>
                  <w:sz w:val="24"/>
                  <w:szCs w:val="24"/>
                </w:rPr>
              </m:ctrlPr>
            </m:sSubPr>
            <m:e>
              <m:r>
                <w:rPr>
                  <w:rFonts w:ascii="Cambria Math" w:hAnsi="Cambria Math" w:cs="Cambria Math"/>
                  <w:sz w:val="24"/>
                  <w:szCs w:val="24"/>
                </w:rPr>
                <m:t>ASEM</m:t>
              </m:r>
            </m:e>
            <m:sub>
              <m:r>
                <w:rPr>
                  <w:rFonts w:ascii="Cambria Math" w:hAnsi="Cambria Math" w:cs="Arial"/>
                  <w:sz w:val="24"/>
                  <w:szCs w:val="24"/>
                </w:rPr>
                <m:t>(method 1)</m:t>
              </m:r>
              <m:r>
                <m:rPr>
                  <m:sty m:val="p"/>
                </m:rPr>
                <w:rPr>
                  <w:rFonts w:ascii="Cambria Math" w:hAnsi="Cambria Math" w:cs="Arial"/>
                  <w:sz w:val="24"/>
                  <w:szCs w:val="24"/>
                </w:rPr>
                <m:t xml:space="preserve"> </m:t>
              </m:r>
            </m:sub>
          </m:sSub>
          <m:r>
            <w:rPr>
              <w:rFonts w:ascii="Cambria Math" w:hAnsi="Cambria Math" w:cs="Cambria Math"/>
              <w:sz w:val="24"/>
              <w:szCs w:val="24"/>
            </w:rPr>
            <m:t>×</m:t>
          </m:r>
          <m:sSub>
            <m:sSubPr>
              <m:ctrlPr>
                <w:rPr>
                  <w:rFonts w:ascii="Cambria Math" w:hAnsi="Cambria Math" w:cs="Cambria Math"/>
                  <w:i/>
                  <w:sz w:val="24"/>
                  <w:szCs w:val="24"/>
                </w:rPr>
              </m:ctrlPr>
            </m:sSubPr>
            <m:e>
              <m:r>
                <w:rPr>
                  <w:rFonts w:ascii="Cambria Math" w:hAnsi="Cambria Math" w:cs="Cambria Math"/>
                  <w:sz w:val="24"/>
                  <w:szCs w:val="24"/>
                </w:rPr>
                <m:t>DA</m:t>
              </m:r>
            </m:e>
            <m:sub>
              <m:r>
                <w:rPr>
                  <w:rFonts w:ascii="Cambria Math" w:hAnsi="Cambria Math" w:cs="Cambria Math"/>
                  <w:sz w:val="24"/>
                  <w:szCs w:val="24"/>
                </w:rPr>
                <m:t>p</m:t>
              </m:r>
            </m:sub>
          </m:sSub>
          <m:r>
            <w:rPr>
              <w:rFonts w:ascii="Cambria Math" w:hAnsi="Cambria Math" w:cs="Cambria Math"/>
              <w:sz w:val="24"/>
              <w:szCs w:val="24"/>
            </w:rPr>
            <m:t xml:space="preserve">×C  </m:t>
          </m:r>
        </m:oMath>
      </m:oMathPara>
    </w:p>
    <w:p w14:paraId="282BCCE5" w14:textId="77777777" w:rsidR="00F17F3F" w:rsidRDefault="00F17F3F" w:rsidP="00F17F3F">
      <w:pPr>
        <w:pBdr>
          <w:top w:val="single" w:sz="4" w:space="1" w:color="auto"/>
          <w:left w:val="single" w:sz="4" w:space="4" w:color="auto"/>
          <w:bottom w:val="single" w:sz="4" w:space="1" w:color="auto"/>
          <w:right w:val="single" w:sz="4" w:space="4" w:color="auto"/>
        </w:pBdr>
        <w:rPr>
          <w:rFonts w:eastAsiaTheme="minorEastAsia"/>
        </w:rPr>
      </w:pPr>
      <m:oMathPara>
        <m:oMath>
          <m:r>
            <w:rPr>
              <w:rFonts w:ascii="Cambria Math" w:hAnsi="Cambria Math"/>
              <w:sz w:val="24"/>
              <w:szCs w:val="24"/>
            </w:rPr>
            <m:t xml:space="preserve">MoS= </m:t>
          </m:r>
          <m:f>
            <m:fPr>
              <m:ctrlPr>
                <w:rPr>
                  <w:rFonts w:ascii="Cambria Math" w:hAnsi="Cambria Math"/>
                  <w:i/>
                  <w:sz w:val="24"/>
                  <w:szCs w:val="24"/>
                </w:rPr>
              </m:ctrlPr>
            </m:fPr>
            <m:num>
              <m:r>
                <w:rPr>
                  <w:rFonts w:ascii="Cambria Math" w:hAnsi="Cambria Math"/>
                  <w:sz w:val="24"/>
                  <w:szCs w:val="24"/>
                </w:rPr>
                <m:t>NOAEL</m:t>
              </m:r>
            </m:num>
            <m:den>
              <m:r>
                <w:rPr>
                  <w:rFonts w:ascii="Cambria Math" w:hAnsi="Cambria Math"/>
                  <w:sz w:val="24"/>
                  <w:szCs w:val="24"/>
                </w:rPr>
                <m:t>SED</m:t>
              </m:r>
            </m:den>
          </m:f>
        </m:oMath>
      </m:oMathPara>
    </w:p>
    <w:p w14:paraId="33603161" w14:textId="77777777" w:rsidR="00F17F3F" w:rsidRPr="00DA62A0" w:rsidRDefault="00F17F3F" w:rsidP="00F17F3F">
      <w:pPr>
        <w:pBdr>
          <w:top w:val="single" w:sz="4" w:space="1" w:color="auto"/>
          <w:left w:val="single" w:sz="4" w:space="4" w:color="auto"/>
          <w:bottom w:val="single" w:sz="4" w:space="1" w:color="auto"/>
          <w:right w:val="single" w:sz="4" w:space="4" w:color="auto"/>
        </w:pBdr>
      </w:pPr>
    </w:p>
    <w:p w14:paraId="0C5314F5" w14:textId="77777777" w:rsidR="00F17F3F" w:rsidRPr="00DA62A0" w:rsidRDefault="00F17F3F" w:rsidP="00F17F3F"/>
    <w:p w14:paraId="6A57AFC0" w14:textId="77777777" w:rsidR="00F17F3F" w:rsidRDefault="00F17F3F" w:rsidP="00F17F3F">
      <w:r>
        <w:t>ASEM</w:t>
      </w:r>
      <w:r>
        <w:tab/>
      </w:r>
      <w:r>
        <w:tab/>
      </w:r>
      <w:proofErr w:type="spellStart"/>
      <w:r>
        <w:t>ASEM</w:t>
      </w:r>
      <w:proofErr w:type="spellEnd"/>
      <w:r>
        <w:t xml:space="preserve"> Method 1 – highest estimated sunscreen exposure (673 mg/kg </w:t>
      </w:r>
      <w:proofErr w:type="spellStart"/>
      <w:r>
        <w:t>bw</w:t>
      </w:r>
      <w:proofErr w:type="spellEnd"/>
      <w:r>
        <w:t>/day)</w:t>
      </w:r>
    </w:p>
    <w:p w14:paraId="40FE5428" w14:textId="77777777" w:rsidR="00F17F3F" w:rsidRDefault="00F17F3F" w:rsidP="00F17F3F">
      <w:r>
        <w:t>Appl Rate</w:t>
      </w:r>
      <w:r>
        <w:tab/>
        <w:t>Application rate of product (2 mg/cm</w:t>
      </w:r>
      <w:r w:rsidRPr="00957FDF">
        <w:rPr>
          <w:vertAlign w:val="superscript"/>
        </w:rPr>
        <w:t>2</w:t>
      </w:r>
      <w:r>
        <w:t>) (A/NZ Standard)</w:t>
      </w:r>
    </w:p>
    <w:p w14:paraId="77EF6296" w14:textId="77777777" w:rsidR="00F17F3F" w:rsidRDefault="00F17F3F" w:rsidP="00F17F3F">
      <w:r>
        <w:t>SSA</w:t>
      </w:r>
      <w:r>
        <w:tab/>
      </w:r>
      <w:r>
        <w:tab/>
        <w:t>Skin Surface Area that had sunscreen applied to (cm</w:t>
      </w:r>
      <w:r w:rsidRPr="00957FDF">
        <w:rPr>
          <w:vertAlign w:val="superscript"/>
        </w:rPr>
        <w:t>2</w:t>
      </w:r>
      <w:r>
        <w:t>)</w:t>
      </w:r>
    </w:p>
    <w:p w14:paraId="35A60F73" w14:textId="77777777" w:rsidR="00F17F3F" w:rsidRDefault="00F17F3F" w:rsidP="00F17F3F">
      <w:r>
        <w:t>AF</w:t>
      </w:r>
      <w:r>
        <w:tab/>
      </w:r>
      <w:r>
        <w:tab/>
        <w:t>Application Frequency of daily application (1-4/day)</w:t>
      </w:r>
    </w:p>
    <w:p w14:paraId="3EAB8B77" w14:textId="77777777" w:rsidR="00F17F3F" w:rsidRDefault="00F17F3F" w:rsidP="00F17F3F">
      <w:r>
        <w:t>Duration</w:t>
      </w:r>
      <w:r>
        <w:tab/>
        <w:t>Annual Use (days)</w:t>
      </w:r>
    </w:p>
    <w:p w14:paraId="56122228" w14:textId="77777777" w:rsidR="00F17F3F" w:rsidRDefault="00F17F3F" w:rsidP="00F17F3F">
      <w:proofErr w:type="spellStart"/>
      <w:r>
        <w:t>BWt</w:t>
      </w:r>
      <w:proofErr w:type="spellEnd"/>
      <w:r>
        <w:tab/>
      </w:r>
      <w:r>
        <w:tab/>
        <w:t>Body weight linked to SSA (kg)</w:t>
      </w:r>
    </w:p>
    <w:p w14:paraId="10B52EC7" w14:textId="77777777" w:rsidR="00F17F3F" w:rsidRDefault="00F17F3F" w:rsidP="00F17F3F">
      <w:r>
        <w:t>AT</w:t>
      </w:r>
      <w:r>
        <w:tab/>
      </w:r>
      <w:r>
        <w:tab/>
        <w:t>Averaging Time. Average daily dose over a 1-year period (365 days)</w:t>
      </w:r>
    </w:p>
    <w:p w14:paraId="11D03E65" w14:textId="77777777" w:rsidR="00F17F3F" w:rsidRDefault="00F17F3F" w:rsidP="00F17F3F">
      <w:proofErr w:type="spellStart"/>
      <w:r>
        <w:t>DAp</w:t>
      </w:r>
      <w:proofErr w:type="spellEnd"/>
      <w:r>
        <w:tab/>
      </w:r>
      <w:r>
        <w:tab/>
        <w:t>Dermal Absorption of the active ingredient reported as a percentage (%)</w:t>
      </w:r>
    </w:p>
    <w:p w14:paraId="7CF661B5" w14:textId="77777777" w:rsidR="00F17F3F" w:rsidRDefault="00F17F3F" w:rsidP="00F17F3F">
      <w:r>
        <w:lastRenderedPageBreak/>
        <w:t>C</w:t>
      </w:r>
      <w:r>
        <w:tab/>
      </w:r>
      <w:r>
        <w:tab/>
        <w:t>Concentration of the active ingredient in the finished sunscreen product (%)</w:t>
      </w:r>
    </w:p>
    <w:p w14:paraId="130F65BA" w14:textId="77777777" w:rsidR="00F17F3F" w:rsidRDefault="00F17F3F" w:rsidP="00F17F3F">
      <w:r>
        <w:t>MoS</w:t>
      </w:r>
      <w:r>
        <w:tab/>
      </w:r>
      <w:r>
        <w:tab/>
        <w:t>Margin of Safety</w:t>
      </w:r>
    </w:p>
    <w:p w14:paraId="50BE458B" w14:textId="77777777" w:rsidR="00F17F3F" w:rsidRDefault="00F17F3F" w:rsidP="00F17F3F">
      <w:r>
        <w:t>NOAEL</w:t>
      </w:r>
      <w:r>
        <w:tab/>
      </w:r>
      <w:r>
        <w:tab/>
        <w:t xml:space="preserve">No Observed Adverse Effect Level (mg/kg </w:t>
      </w:r>
      <w:proofErr w:type="spellStart"/>
      <w:r>
        <w:t>bw</w:t>
      </w:r>
      <w:proofErr w:type="spellEnd"/>
      <w:r>
        <w:t>/day)</w:t>
      </w:r>
    </w:p>
    <w:p w14:paraId="2E7ECF72" w14:textId="77777777" w:rsidR="00F17F3F" w:rsidRDefault="00F17F3F" w:rsidP="00F17F3F">
      <w:r>
        <w:t>SED</w:t>
      </w:r>
      <w:r>
        <w:tab/>
      </w:r>
      <w:r>
        <w:tab/>
        <w:t xml:space="preserve">Systemic Exposure Dose (mg/kg </w:t>
      </w:r>
      <w:proofErr w:type="spellStart"/>
      <w:r>
        <w:t>bw</w:t>
      </w:r>
      <w:proofErr w:type="spellEnd"/>
      <w:r>
        <w:t>/day)</w:t>
      </w:r>
    </w:p>
    <w:p w14:paraId="493BE9C0" w14:textId="77777777" w:rsidR="00B14C0C" w:rsidRDefault="00B14C0C" w:rsidP="00B14C0C">
      <w:pPr>
        <w:pStyle w:val="Heading5sub"/>
      </w:pPr>
      <w:r>
        <w:t>Calculation of SED and MoS – ASEM Method 2</w:t>
      </w:r>
    </w:p>
    <w:p w14:paraId="36F6FD08" w14:textId="77777777" w:rsidR="00B14C0C" w:rsidRDefault="00B14C0C" w:rsidP="00B14C0C">
      <w:pPr>
        <w:pBdr>
          <w:top w:val="single" w:sz="4" w:space="1" w:color="auto"/>
          <w:left w:val="single" w:sz="4" w:space="4" w:color="auto"/>
          <w:bottom w:val="single" w:sz="4" w:space="1" w:color="auto"/>
          <w:right w:val="single" w:sz="4" w:space="4" w:color="auto"/>
        </w:pBdr>
        <w:rPr>
          <w:rFonts w:eastAsiaTheme="minorEastAsia"/>
        </w:rPr>
      </w:pPr>
      <m:oMathPara>
        <m:oMath>
          <m:r>
            <w:rPr>
              <w:rFonts w:ascii="Cambria Math" w:hAnsi="Cambria Math"/>
              <w:sz w:val="24"/>
              <w:szCs w:val="24"/>
            </w:rPr>
            <m:t xml:space="preserve">ASEM (method 2)= </m:t>
          </m:r>
          <m:f>
            <m:fPr>
              <m:ctrlPr>
                <w:rPr>
                  <w:rFonts w:ascii="Cambria Math" w:hAnsi="Cambria Math"/>
                  <w:i/>
                  <w:sz w:val="24"/>
                  <w:szCs w:val="24"/>
                </w:rPr>
              </m:ctrlPr>
            </m:fPr>
            <m:num>
              <m:r>
                <w:rPr>
                  <w:rFonts w:ascii="Cambria Math" w:hAnsi="Cambria Math"/>
                  <w:sz w:val="24"/>
                  <w:szCs w:val="24"/>
                </w:rPr>
                <m:t>SSA x AF x Duration</m:t>
              </m:r>
            </m:num>
            <m:den>
              <m:r>
                <w:rPr>
                  <w:rFonts w:ascii="Cambria Math" w:hAnsi="Cambria Math"/>
                  <w:sz w:val="24"/>
                  <w:szCs w:val="24"/>
                </w:rPr>
                <m:t>BWt x AT</m:t>
              </m:r>
            </m:den>
          </m:f>
        </m:oMath>
      </m:oMathPara>
    </w:p>
    <w:p w14:paraId="3C55E975" w14:textId="77777777" w:rsidR="00B14C0C" w:rsidRDefault="00B14C0C" w:rsidP="00B14C0C">
      <w:pPr>
        <w:pBdr>
          <w:top w:val="single" w:sz="4" w:space="1" w:color="auto"/>
          <w:left w:val="single" w:sz="4" w:space="4" w:color="auto"/>
          <w:bottom w:val="single" w:sz="4" w:space="1" w:color="auto"/>
          <w:right w:val="single" w:sz="4" w:space="4" w:color="auto"/>
        </w:pBdr>
        <w:rPr>
          <w:rFonts w:eastAsiaTheme="minorEastAsia"/>
        </w:rPr>
      </w:pPr>
      <m:oMathPara>
        <m:oMath>
          <m:r>
            <w:rPr>
              <w:rFonts w:ascii="Cambria Math" w:hAnsi="Cambria Math" w:cs="Cambria Math"/>
              <w:sz w:val="24"/>
              <w:szCs w:val="24"/>
            </w:rPr>
            <m:t>SED=</m:t>
          </m:r>
          <m:sSub>
            <m:sSubPr>
              <m:ctrlPr>
                <w:rPr>
                  <w:rFonts w:ascii="Cambria Math" w:hAnsi="Cambria Math" w:cs="Cambria Math"/>
                  <w:i/>
                  <w:iCs/>
                  <w:sz w:val="24"/>
                  <w:szCs w:val="24"/>
                </w:rPr>
              </m:ctrlPr>
            </m:sSubPr>
            <m:e>
              <m:r>
                <w:rPr>
                  <w:rFonts w:ascii="Cambria Math" w:hAnsi="Cambria Math" w:cs="Cambria Math"/>
                  <w:sz w:val="24"/>
                  <w:szCs w:val="24"/>
                </w:rPr>
                <m:t>ASEM</m:t>
              </m:r>
            </m:e>
            <m:sub>
              <m:r>
                <m:rPr>
                  <m:sty m:val="p"/>
                </m:rPr>
                <w:rPr>
                  <w:rFonts w:ascii="Cambria Math" w:hAnsi="Cambria Math" w:cs="Arial"/>
                  <w:sz w:val="24"/>
                  <w:szCs w:val="24"/>
                </w:rPr>
                <m:t>(</m:t>
              </m:r>
              <m:r>
                <w:rPr>
                  <w:rFonts w:ascii="Cambria Math" w:hAnsi="Cambria Math" w:cs="Arial"/>
                  <w:sz w:val="24"/>
                  <w:szCs w:val="24"/>
                </w:rPr>
                <m:t>method 2</m:t>
              </m:r>
              <m:r>
                <m:rPr>
                  <m:sty m:val="p"/>
                </m:rPr>
                <w:rPr>
                  <w:rFonts w:ascii="Cambria Math" w:hAnsi="Cambria Math" w:cs="Arial"/>
                  <w:sz w:val="24"/>
                  <w:szCs w:val="24"/>
                </w:rPr>
                <m:t xml:space="preserve">) </m:t>
              </m:r>
            </m:sub>
          </m:sSub>
          <m:r>
            <w:rPr>
              <w:rFonts w:ascii="Cambria Math" w:hAnsi="Cambria Math" w:cs="Cambria Math"/>
              <w:sz w:val="24"/>
              <w:szCs w:val="24"/>
            </w:rPr>
            <m:t>×</m:t>
          </m:r>
          <m:sSub>
            <m:sSubPr>
              <m:ctrlPr>
                <w:rPr>
                  <w:rFonts w:ascii="Cambria Math" w:hAnsi="Cambria Math" w:cs="Cambria Math"/>
                  <w:i/>
                  <w:sz w:val="24"/>
                  <w:szCs w:val="24"/>
                </w:rPr>
              </m:ctrlPr>
            </m:sSubPr>
            <m:e>
              <m:r>
                <w:rPr>
                  <w:rFonts w:ascii="Cambria Math" w:hAnsi="Cambria Math" w:cs="Cambria Math"/>
                  <w:sz w:val="24"/>
                  <w:szCs w:val="24"/>
                </w:rPr>
                <m:t>DA</m:t>
              </m:r>
            </m:e>
            <m:sub>
              <m:r>
                <w:rPr>
                  <w:rFonts w:ascii="Cambria Math" w:hAnsi="Cambria Math" w:cs="Cambria Math"/>
                  <w:sz w:val="24"/>
                  <w:szCs w:val="24"/>
                </w:rPr>
                <m:t>p</m:t>
              </m:r>
            </m:sub>
          </m:sSub>
          <m:r>
            <w:rPr>
              <w:rFonts w:ascii="Cambria Math" w:hAnsi="Cambria Math" w:cs="Cambria Math"/>
              <w:sz w:val="24"/>
              <w:szCs w:val="24"/>
            </w:rPr>
            <m:t xml:space="preserve">×C  </m:t>
          </m:r>
        </m:oMath>
      </m:oMathPara>
    </w:p>
    <w:p w14:paraId="46EA0745" w14:textId="77777777" w:rsidR="00B14C0C" w:rsidRDefault="00B14C0C" w:rsidP="00B14C0C">
      <w:pPr>
        <w:pBdr>
          <w:top w:val="single" w:sz="4" w:space="1" w:color="auto"/>
          <w:left w:val="single" w:sz="4" w:space="4" w:color="auto"/>
          <w:bottom w:val="single" w:sz="4" w:space="1" w:color="auto"/>
          <w:right w:val="single" w:sz="4" w:space="4" w:color="auto"/>
        </w:pBdr>
        <w:rPr>
          <w:rFonts w:eastAsiaTheme="minorEastAsia"/>
        </w:rPr>
      </w:pPr>
      <m:oMathPara>
        <m:oMath>
          <m:r>
            <w:rPr>
              <w:rFonts w:ascii="Cambria Math" w:hAnsi="Cambria Math"/>
              <w:sz w:val="24"/>
              <w:szCs w:val="24"/>
            </w:rPr>
            <m:t xml:space="preserve">MoS= </m:t>
          </m:r>
          <m:f>
            <m:fPr>
              <m:ctrlPr>
                <w:rPr>
                  <w:rFonts w:ascii="Cambria Math" w:hAnsi="Cambria Math"/>
                  <w:i/>
                  <w:sz w:val="24"/>
                  <w:szCs w:val="24"/>
                </w:rPr>
              </m:ctrlPr>
            </m:fPr>
            <m:num>
              <m:r>
                <w:rPr>
                  <w:rFonts w:ascii="Cambria Math" w:hAnsi="Cambria Math"/>
                  <w:sz w:val="24"/>
                  <w:szCs w:val="24"/>
                </w:rPr>
                <m:t>NOAEL</m:t>
              </m:r>
            </m:num>
            <m:den>
              <m:r>
                <w:rPr>
                  <w:rFonts w:ascii="Cambria Math" w:hAnsi="Cambria Math"/>
                  <w:sz w:val="24"/>
                  <w:szCs w:val="24"/>
                </w:rPr>
                <m:t>SED</m:t>
              </m:r>
            </m:den>
          </m:f>
        </m:oMath>
      </m:oMathPara>
    </w:p>
    <w:p w14:paraId="1B25ACC6" w14:textId="77777777" w:rsidR="00B14C0C" w:rsidRPr="00DA62A0" w:rsidRDefault="00B14C0C" w:rsidP="00B14C0C">
      <w:pPr>
        <w:pBdr>
          <w:top w:val="single" w:sz="4" w:space="1" w:color="auto"/>
          <w:left w:val="single" w:sz="4" w:space="4" w:color="auto"/>
          <w:bottom w:val="single" w:sz="4" w:space="1" w:color="auto"/>
          <w:right w:val="single" w:sz="4" w:space="4" w:color="auto"/>
        </w:pBdr>
      </w:pPr>
    </w:p>
    <w:p w14:paraId="0F61DF15" w14:textId="77777777" w:rsidR="00B14C0C" w:rsidRPr="00DA62A0" w:rsidRDefault="00B14C0C" w:rsidP="00B14C0C"/>
    <w:p w14:paraId="38B7D01E" w14:textId="77777777" w:rsidR="00B14C0C" w:rsidRDefault="00B14C0C" w:rsidP="00B14C0C">
      <w:r>
        <w:t>ASEM</w:t>
      </w:r>
      <w:r>
        <w:tab/>
      </w:r>
      <w:r>
        <w:tab/>
      </w:r>
      <w:proofErr w:type="spellStart"/>
      <w:r>
        <w:t>ASEM</w:t>
      </w:r>
      <w:proofErr w:type="spellEnd"/>
      <w:r>
        <w:t xml:space="preserve"> Method 2 – highest estimated sunscreen exposure (336 cm</w:t>
      </w:r>
      <w:r w:rsidRPr="00B35001">
        <w:rPr>
          <w:vertAlign w:val="superscript"/>
        </w:rPr>
        <w:t>2</w:t>
      </w:r>
      <w:r>
        <w:t xml:space="preserve">/kg </w:t>
      </w:r>
      <w:proofErr w:type="spellStart"/>
      <w:r>
        <w:t>bw</w:t>
      </w:r>
      <w:proofErr w:type="spellEnd"/>
      <w:r>
        <w:t>/day)</w:t>
      </w:r>
    </w:p>
    <w:p w14:paraId="7EB7DE2B" w14:textId="77777777" w:rsidR="00B14C0C" w:rsidRDefault="00B14C0C" w:rsidP="00B14C0C">
      <w:r>
        <w:t>Appl Rate</w:t>
      </w:r>
      <w:r>
        <w:tab/>
        <w:t>Application rate of product (2 mg/cm</w:t>
      </w:r>
      <w:r w:rsidRPr="00957FDF">
        <w:rPr>
          <w:vertAlign w:val="superscript"/>
        </w:rPr>
        <w:t>2</w:t>
      </w:r>
      <w:r>
        <w:t>) (A/NZ Standard)</w:t>
      </w:r>
    </w:p>
    <w:p w14:paraId="6ED31E90" w14:textId="77777777" w:rsidR="00B14C0C" w:rsidRDefault="00B14C0C" w:rsidP="00B14C0C">
      <w:r>
        <w:t>SSA</w:t>
      </w:r>
      <w:r>
        <w:tab/>
      </w:r>
      <w:r>
        <w:tab/>
        <w:t>Skin Surface Area that had sunscreen applied to (cm</w:t>
      </w:r>
      <w:r w:rsidRPr="00957FDF">
        <w:rPr>
          <w:vertAlign w:val="superscript"/>
        </w:rPr>
        <w:t>2</w:t>
      </w:r>
      <w:r>
        <w:t>)</w:t>
      </w:r>
    </w:p>
    <w:p w14:paraId="34487FC3" w14:textId="77777777" w:rsidR="00B14C0C" w:rsidRDefault="00B14C0C" w:rsidP="00B14C0C">
      <w:r>
        <w:t>AF</w:t>
      </w:r>
      <w:r>
        <w:tab/>
      </w:r>
      <w:r>
        <w:tab/>
        <w:t>Application Frequency of daily application (1-4/day)</w:t>
      </w:r>
    </w:p>
    <w:p w14:paraId="5C5A22A5" w14:textId="77777777" w:rsidR="00B14C0C" w:rsidRDefault="00B14C0C" w:rsidP="00B14C0C">
      <w:r>
        <w:t>Duration</w:t>
      </w:r>
      <w:r>
        <w:tab/>
        <w:t>Annual Use (days)</w:t>
      </w:r>
    </w:p>
    <w:p w14:paraId="08F006BC" w14:textId="77777777" w:rsidR="00B14C0C" w:rsidRDefault="00B14C0C" w:rsidP="00B14C0C">
      <w:proofErr w:type="spellStart"/>
      <w:r>
        <w:t>BWt</w:t>
      </w:r>
      <w:proofErr w:type="spellEnd"/>
      <w:r>
        <w:tab/>
      </w:r>
      <w:r>
        <w:tab/>
        <w:t>Body weight linked to SSA (kg)</w:t>
      </w:r>
    </w:p>
    <w:p w14:paraId="7B3F1842" w14:textId="77777777" w:rsidR="00B14C0C" w:rsidRDefault="00B14C0C" w:rsidP="00B14C0C">
      <w:r>
        <w:t>AT</w:t>
      </w:r>
      <w:r>
        <w:tab/>
      </w:r>
      <w:r>
        <w:tab/>
        <w:t>Averaging Time. Average daily dose over a 1-year period (365 days)</w:t>
      </w:r>
    </w:p>
    <w:p w14:paraId="3E92A47F" w14:textId="77777777" w:rsidR="00B14C0C" w:rsidRDefault="00B14C0C" w:rsidP="00B14C0C">
      <w:proofErr w:type="spellStart"/>
      <w:r>
        <w:t>DAp</w:t>
      </w:r>
      <w:proofErr w:type="spellEnd"/>
      <w:r>
        <w:tab/>
      </w:r>
      <w:r>
        <w:tab/>
        <w:t xml:space="preserve">Dermal Absorption of the active ingredient reported as </w:t>
      </w:r>
      <w:r>
        <w:rPr>
          <w:rFonts w:cs="Arial"/>
        </w:rPr>
        <w:t>µ</w:t>
      </w:r>
      <w:r>
        <w:t>g/cm</w:t>
      </w:r>
      <w:r w:rsidRPr="00B35001">
        <w:rPr>
          <w:vertAlign w:val="superscript"/>
        </w:rPr>
        <w:t>2</w:t>
      </w:r>
      <w:r>
        <w:t xml:space="preserve"> </w:t>
      </w:r>
    </w:p>
    <w:p w14:paraId="1ABD742E" w14:textId="77777777" w:rsidR="00B14C0C" w:rsidRDefault="00B14C0C" w:rsidP="00B14C0C">
      <w:r>
        <w:t>C</w:t>
      </w:r>
      <w:r>
        <w:tab/>
      </w:r>
      <w:r>
        <w:tab/>
        <w:t>Concentration of the active ingredient in the finished sunscreen product (%)</w:t>
      </w:r>
    </w:p>
    <w:p w14:paraId="711ECC98" w14:textId="77777777" w:rsidR="00B14C0C" w:rsidRDefault="00B14C0C" w:rsidP="00B14C0C">
      <w:r>
        <w:t>MoS</w:t>
      </w:r>
      <w:r>
        <w:tab/>
      </w:r>
      <w:r>
        <w:tab/>
        <w:t>Margin of Safety</w:t>
      </w:r>
    </w:p>
    <w:p w14:paraId="459BD2C9" w14:textId="77777777" w:rsidR="00B14C0C" w:rsidRDefault="00B14C0C" w:rsidP="00B14C0C">
      <w:r>
        <w:t>NOAEL</w:t>
      </w:r>
      <w:r>
        <w:tab/>
      </w:r>
      <w:r>
        <w:tab/>
        <w:t xml:space="preserve">No Observed Adverse Effect Level (mg/kg </w:t>
      </w:r>
      <w:proofErr w:type="spellStart"/>
      <w:r>
        <w:t>bw</w:t>
      </w:r>
      <w:proofErr w:type="spellEnd"/>
      <w:r>
        <w:t>/day)</w:t>
      </w:r>
    </w:p>
    <w:p w14:paraId="05F254B2" w14:textId="77777777" w:rsidR="00B14C0C" w:rsidRDefault="00B14C0C" w:rsidP="00B14C0C">
      <w:r>
        <w:t>SED</w:t>
      </w:r>
      <w:r>
        <w:tab/>
      </w:r>
      <w:r>
        <w:tab/>
        <w:t xml:space="preserve">Systemic Exposure Dose (mg/kg </w:t>
      </w:r>
      <w:proofErr w:type="spellStart"/>
      <w:r>
        <w:t>bw</w:t>
      </w:r>
      <w:proofErr w:type="spellEnd"/>
      <w:r>
        <w:t>/day)</w:t>
      </w:r>
    </w:p>
    <w:p w14:paraId="3CA7E4D1" w14:textId="77777777" w:rsidR="00B14C0C" w:rsidRDefault="00B14C0C" w:rsidP="00B14C0C">
      <w:pPr>
        <w:pStyle w:val="Standard"/>
        <w:rPr>
          <w:rFonts w:cstheme="minorHAnsi"/>
          <w:sz w:val="22"/>
          <w:szCs w:val="22"/>
        </w:rPr>
      </w:pPr>
    </w:p>
    <w:p w14:paraId="1001E997" w14:textId="77777777" w:rsidR="00B14C0C" w:rsidRPr="00D32CE1" w:rsidRDefault="00B14C0C" w:rsidP="00B14C0C">
      <w:pPr>
        <w:rPr>
          <w:rFonts w:eastAsia="Times New Roman" w:cstheme="minorHAnsi"/>
          <w:b/>
          <w:bCs/>
          <w:i/>
          <w:sz w:val="22"/>
          <w:szCs w:val="22"/>
        </w:rPr>
      </w:pPr>
      <w:r>
        <w:rPr>
          <w:rFonts w:cstheme="minorHAnsi"/>
          <w:i/>
          <w:color w:val="FF0000"/>
          <w:sz w:val="22"/>
          <w:szCs w:val="22"/>
        </w:rPr>
        <w:br w:type="page"/>
      </w:r>
    </w:p>
    <w:p w14:paraId="346AFA28" w14:textId="77777777" w:rsidR="00B14C0C" w:rsidRPr="00A7593C" w:rsidRDefault="00B14C0C" w:rsidP="00B14C0C">
      <w:pPr>
        <w:pStyle w:val="Heading2"/>
      </w:pPr>
      <w:bookmarkStart w:id="29" w:name="_Toc190944900"/>
      <w:bookmarkStart w:id="30" w:name="_Toc199254937"/>
      <w:r>
        <w:lastRenderedPageBreak/>
        <w:t>Literature review of the selected ingredients</w:t>
      </w:r>
      <w:bookmarkEnd w:id="29"/>
      <w:bookmarkEnd w:id="30"/>
    </w:p>
    <w:p w14:paraId="070BA222" w14:textId="77777777" w:rsidR="00B14C0C" w:rsidRDefault="00B14C0C" w:rsidP="00B14C0C">
      <w:pPr>
        <w:pStyle w:val="Heading3"/>
      </w:pPr>
      <w:bookmarkStart w:id="31" w:name="_Toc190944901"/>
      <w:bookmarkStart w:id="32" w:name="_Toc199254938"/>
      <w:r>
        <w:t>Method of data search</w:t>
      </w:r>
      <w:bookmarkEnd w:id="31"/>
      <w:bookmarkEnd w:id="32"/>
      <w:r>
        <w:t xml:space="preserve"> </w:t>
      </w:r>
    </w:p>
    <w:p w14:paraId="64579E68" w14:textId="7B8ADB4A" w:rsidR="00B14C0C" w:rsidRPr="0074486E" w:rsidRDefault="00B14C0C" w:rsidP="005C1303">
      <w:r>
        <w:t>The</w:t>
      </w:r>
      <w:r w:rsidRPr="0074486E">
        <w:t xml:space="preserve"> literature review was conducted </w:t>
      </w:r>
      <w:r>
        <w:t>using k</w:t>
      </w:r>
      <w:r w:rsidRPr="0074486E">
        <w:t xml:space="preserve">eywords </w:t>
      </w:r>
      <w:r>
        <w:t xml:space="preserve">such as </w:t>
      </w:r>
      <w:r w:rsidRPr="0074486E">
        <w:t>the chemical name,</w:t>
      </w:r>
      <w:r>
        <w:t xml:space="preserve"> Australian Approved Name (</w:t>
      </w:r>
      <w:r w:rsidRPr="0074486E">
        <w:t>AAN</w:t>
      </w:r>
      <w:r>
        <w:t>)</w:t>
      </w:r>
      <w:r w:rsidRPr="0074486E">
        <w:t xml:space="preserve"> or the </w:t>
      </w:r>
      <w:r>
        <w:t>International Nomenclature Cosmetic Ingredient (</w:t>
      </w:r>
      <w:r w:rsidRPr="0074486E">
        <w:t>INCI</w:t>
      </w:r>
      <w:r>
        <w:t>)</w:t>
      </w:r>
      <w:r w:rsidRPr="0074486E">
        <w:t xml:space="preserve"> names, and “sunscreen” as the search items. Publications </w:t>
      </w:r>
      <w:r>
        <w:t>during a</w:t>
      </w:r>
      <w:r w:rsidRPr="0074486E">
        <w:t xml:space="preserve"> </w:t>
      </w:r>
      <w:r>
        <w:t>15-</w:t>
      </w:r>
      <w:r w:rsidRPr="0074486E">
        <w:t>year</w:t>
      </w:r>
      <w:r>
        <w:t xml:space="preserve"> period</w:t>
      </w:r>
      <w:r w:rsidRPr="0074486E">
        <w:t xml:space="preserve"> were searched (</w:t>
      </w:r>
      <w:r>
        <w:t xml:space="preserve">between </w:t>
      </w:r>
      <w:r w:rsidRPr="0074486E">
        <w:t>2008</w:t>
      </w:r>
      <w:r>
        <w:t xml:space="preserve"> and March </w:t>
      </w:r>
      <w:r w:rsidRPr="0074486E">
        <w:t>202</w:t>
      </w:r>
      <w:r>
        <w:t>3</w:t>
      </w:r>
      <w:r w:rsidRPr="0074486E">
        <w:t>)</w:t>
      </w:r>
      <w:bookmarkStart w:id="33" w:name="_Hlk172709947"/>
      <w:r w:rsidRPr="002C7324">
        <w:t>.</w:t>
      </w:r>
      <w:bookmarkEnd w:id="33"/>
      <w:r>
        <w:rPr>
          <w:color w:val="00B050"/>
        </w:rPr>
        <w:t xml:space="preserve"> </w:t>
      </w:r>
      <w:r>
        <w:t xml:space="preserve">See </w:t>
      </w:r>
      <w:r w:rsidR="00032671">
        <w:fldChar w:fldCharType="begin"/>
      </w:r>
      <w:r w:rsidR="00032671">
        <w:instrText xml:space="preserve"> REF _Ref195174755 \h </w:instrText>
      </w:r>
      <w:r w:rsidR="00032671">
        <w:fldChar w:fldCharType="separate"/>
      </w:r>
      <w:r w:rsidR="00CB5A59" w:rsidRPr="00C77BE7">
        <w:t xml:space="preserve">Attachment 1: </w:t>
      </w:r>
      <w:r w:rsidR="00CB5A59">
        <w:t>Literature review search strategy</w:t>
      </w:r>
      <w:r w:rsidR="00032671">
        <w:fldChar w:fldCharType="end"/>
      </w:r>
      <w:r>
        <w:t xml:space="preserve"> for details. </w:t>
      </w:r>
    </w:p>
    <w:p w14:paraId="1064F47E" w14:textId="77777777" w:rsidR="00B14C0C" w:rsidRPr="0074486E" w:rsidRDefault="00B14C0C" w:rsidP="005C1303">
      <w:r w:rsidRPr="0074486E">
        <w:t xml:space="preserve">In summary, the following data sources have been used for the literature search: </w:t>
      </w:r>
    </w:p>
    <w:p w14:paraId="0C045128" w14:textId="77777777" w:rsidR="00B14C0C" w:rsidRPr="0074486E" w:rsidRDefault="00B14C0C" w:rsidP="003E097B">
      <w:pPr>
        <w:pStyle w:val="ListBullet"/>
      </w:pPr>
      <w:r w:rsidRPr="0074486E">
        <w:t>Assessments from national regulatory agencies (e.g., AICIS, previously known as NICNAS) where available.</w:t>
      </w:r>
    </w:p>
    <w:p w14:paraId="1CAA14AB" w14:textId="77777777" w:rsidR="00B14C0C" w:rsidRPr="0074486E" w:rsidRDefault="00B14C0C" w:rsidP="003E097B">
      <w:pPr>
        <w:pStyle w:val="ListBullet"/>
      </w:pPr>
      <w:r w:rsidRPr="0074486E">
        <w:t>Opinions from the Scientific Committee on Consumer Safety (SCCS, previously known as SCC</w:t>
      </w:r>
      <w:r>
        <w:t>NFP</w:t>
      </w:r>
      <w:r w:rsidRPr="0074486E">
        <w:t>/SCCP</w:t>
      </w:r>
      <w:r>
        <w:t>/SCC</w:t>
      </w:r>
      <w:r w:rsidRPr="0074486E">
        <w:t>) where available.</w:t>
      </w:r>
      <w:r w:rsidRPr="0074486E">
        <w:rPr>
          <w:rStyle w:val="FootnoteReference"/>
          <w:sz w:val="22"/>
          <w:szCs w:val="22"/>
        </w:rPr>
        <w:footnoteReference w:id="5"/>
      </w:r>
      <w:r w:rsidRPr="0074486E">
        <w:t xml:space="preserve"> </w:t>
      </w:r>
    </w:p>
    <w:p w14:paraId="43E7B33F" w14:textId="77777777" w:rsidR="00B14C0C" w:rsidRPr="0074486E" w:rsidRDefault="00B14C0C" w:rsidP="003E097B">
      <w:pPr>
        <w:pStyle w:val="ListBullet"/>
      </w:pPr>
      <w:r w:rsidRPr="0074486E">
        <w:t>Information identified through literature search in PubMed and on the internet where a newer SCCS is not available.</w:t>
      </w:r>
    </w:p>
    <w:p w14:paraId="2AD44A89" w14:textId="77777777" w:rsidR="00B14C0C" w:rsidRPr="0074486E" w:rsidRDefault="00B14C0C" w:rsidP="003E097B">
      <w:pPr>
        <w:pStyle w:val="ListBullet"/>
      </w:pPr>
      <w:r w:rsidRPr="0074486E">
        <w:t>The publicly available registration dossiers for the ingredients submitted by industry under the EU REACH</w:t>
      </w:r>
      <w:r w:rsidRPr="00D47D55" w:rsidDel="00D47D55">
        <w:rPr>
          <w:rStyle w:val="FootnoteReference"/>
          <w:sz w:val="22"/>
          <w:szCs w:val="22"/>
        </w:rPr>
        <w:t xml:space="preserve"> </w:t>
      </w:r>
      <w:r>
        <w:t>(</w:t>
      </w:r>
      <w:r w:rsidRPr="00470F7D">
        <w:t>Registration, Evaluation, Authorisation and Restriction of Chemicals</w:t>
      </w:r>
      <w:r>
        <w:t>)</w:t>
      </w:r>
      <w:r w:rsidRPr="0074486E">
        <w:t xml:space="preserve"> Regulation and available on the website of the European Chemicals Agency (ECHA). This information includes unpublished study summaries submitted by industry, in response to the standard data requirements of the REACH Regulation. Data from key studies in the registration dossiers have been considered </w:t>
      </w:r>
      <w:r>
        <w:t>for assessment in</w:t>
      </w:r>
      <w:r w:rsidRPr="0074486E">
        <w:t xml:space="preserve"> this review. </w:t>
      </w:r>
    </w:p>
    <w:p w14:paraId="2D3C2AA9" w14:textId="77777777" w:rsidR="00B14C0C" w:rsidRPr="0074486E" w:rsidRDefault="00B14C0C" w:rsidP="003E097B">
      <w:r w:rsidRPr="0074486E">
        <w:t xml:space="preserve">Information on the health hazards is available for all the selected ingredients considered, although the amount of information available varies considerably and does not cover all toxicological endpoints for all ingredients. Endocrine </w:t>
      </w:r>
      <w:r>
        <w:t>activity modulation</w:t>
      </w:r>
      <w:r w:rsidRPr="0074486E">
        <w:t xml:space="preserve"> properties of ingredients may give rise to a concern for human health. The evaluation of endocrine </w:t>
      </w:r>
      <w:r>
        <w:t>activity modulation</w:t>
      </w:r>
      <w:r w:rsidRPr="0074486E">
        <w:t xml:space="preserve"> properties was described collectively.  Of note, all articles dealing with environmental </w:t>
      </w:r>
      <w:r>
        <w:t>matters</w:t>
      </w:r>
      <w:r w:rsidRPr="0074486E">
        <w:t xml:space="preserve"> </w:t>
      </w:r>
      <w:r>
        <w:t>relating to</w:t>
      </w:r>
      <w:r w:rsidRPr="0074486E">
        <w:t xml:space="preserve"> the ingredients were excluded</w:t>
      </w:r>
      <w:r>
        <w:t xml:space="preserve"> as they do not fall under Australian therapeutic goods legislation</w:t>
      </w:r>
      <w:r w:rsidRPr="0074486E">
        <w:t>.</w:t>
      </w:r>
    </w:p>
    <w:p w14:paraId="23AC6FFA" w14:textId="77777777" w:rsidR="00667553" w:rsidRDefault="00667553" w:rsidP="00667553">
      <w:pPr>
        <w:pStyle w:val="Heading3"/>
      </w:pPr>
      <w:bookmarkStart w:id="34" w:name="_Toc190944902"/>
      <w:bookmarkStart w:id="35" w:name="_Toc199254939"/>
      <w:r>
        <w:t>Pharmacokinetics</w:t>
      </w:r>
      <w:bookmarkEnd w:id="34"/>
      <w:bookmarkEnd w:id="35"/>
    </w:p>
    <w:p w14:paraId="2950A084" w14:textId="77777777" w:rsidR="00667553" w:rsidRPr="002D45A6" w:rsidRDefault="00667553" w:rsidP="003E097B">
      <w:r>
        <w:t>The main safety concerns for these active ingredients arise from the knowledge gap around the toxicokinetic and pharmacokinetics data. C</w:t>
      </w:r>
      <w:r w:rsidRPr="002A0321">
        <w:t xml:space="preserve">utaneous </w:t>
      </w:r>
      <w:r w:rsidRPr="006B4310">
        <w:t>permeation</w:t>
      </w:r>
      <w:r w:rsidRPr="002A0321">
        <w:t xml:space="preserve"> is a critical parameter</w:t>
      </w:r>
      <w:r>
        <w:t xml:space="preserve"> in the kinetics of these active ingredients</w:t>
      </w:r>
      <w:r w:rsidRPr="002A0321">
        <w:t>. Although most organic</w:t>
      </w:r>
      <w:r>
        <w:t xml:space="preserve"> </w:t>
      </w:r>
      <w:r w:rsidRPr="002A0321">
        <w:t xml:space="preserve">UV filters are lipophilic, </w:t>
      </w:r>
      <w:r w:rsidRPr="009C5979">
        <w:rPr>
          <w:i/>
          <w:iCs/>
        </w:rPr>
        <w:t>in vitro</w:t>
      </w:r>
      <w:r w:rsidRPr="002A0321">
        <w:t xml:space="preserve"> cell</w:t>
      </w:r>
      <w:r>
        <w:t xml:space="preserve"> </w:t>
      </w:r>
      <w:r w:rsidRPr="006B4310">
        <w:t>permeation</w:t>
      </w:r>
      <w:r w:rsidRPr="002A0321">
        <w:t xml:space="preserve"> studies</w:t>
      </w:r>
      <w:r>
        <w:t xml:space="preserve"> were also conducted with some of these ingredients to</w:t>
      </w:r>
      <w:r w:rsidRPr="002A0321">
        <w:t xml:space="preserve"> </w:t>
      </w:r>
      <w:r>
        <w:t xml:space="preserve">demonstrate </w:t>
      </w:r>
      <w:r w:rsidRPr="002A0321">
        <w:t xml:space="preserve">systemic absorption by intact skin. </w:t>
      </w:r>
      <w:r>
        <w:t xml:space="preserve">Dermal absorption data from either relevant SCCS opinion, ECHA dossiers, AICIS assessments or published literature were reviewed in this document. Limited </w:t>
      </w:r>
      <w:r w:rsidRPr="006B4310">
        <w:t>permeation</w:t>
      </w:r>
      <w:r>
        <w:t xml:space="preserve"> data were noted for some active ingredients. I</w:t>
      </w:r>
      <w:r w:rsidRPr="002D45A6">
        <w:t>n the absence of dermal toxicity data, oral toxicity data w</w:t>
      </w:r>
      <w:r>
        <w:t>ere</w:t>
      </w:r>
      <w:r w:rsidRPr="002D45A6">
        <w:t xml:space="preserve"> considered </w:t>
      </w:r>
      <w:r>
        <w:t xml:space="preserve">when considering systemic toxicity in the </w:t>
      </w:r>
      <w:r w:rsidRPr="002D45A6">
        <w:t>worst</w:t>
      </w:r>
      <w:r>
        <w:t>-</w:t>
      </w:r>
      <w:r w:rsidRPr="002D45A6">
        <w:t xml:space="preserve">case scenario. </w:t>
      </w:r>
      <w:r>
        <w:t>Where appropriate, the dermal absorption value from the most recent SCCS opinions for the relevant active ingredients, were noted. Note that dermal absorption values apply to intact skin and may not be applicable for abraded skin or areas of sensitive skin e.g. lips.</w:t>
      </w:r>
    </w:p>
    <w:p w14:paraId="152AA180" w14:textId="77777777" w:rsidR="00667553" w:rsidRDefault="00667553" w:rsidP="00667553">
      <w:pPr>
        <w:pStyle w:val="Heading4"/>
      </w:pPr>
      <w:bookmarkStart w:id="36" w:name="_Toc190944903"/>
      <w:bookmarkStart w:id="37" w:name="_Toc199254940"/>
      <w:r>
        <w:t>B</w:t>
      </w:r>
      <w:r w:rsidRPr="00812039">
        <w:t xml:space="preserve">utyl </w:t>
      </w:r>
      <w:proofErr w:type="spellStart"/>
      <w:r w:rsidRPr="00812039">
        <w:t>methoxydibenzoylmethane</w:t>
      </w:r>
      <w:bookmarkEnd w:id="36"/>
      <w:bookmarkEnd w:id="37"/>
      <w:proofErr w:type="spellEnd"/>
      <w:r w:rsidRPr="00812039" w:rsidDel="00812039">
        <w:t xml:space="preserve"> </w:t>
      </w:r>
      <w:r>
        <w:t xml:space="preserve"> </w:t>
      </w:r>
    </w:p>
    <w:p w14:paraId="1F827229" w14:textId="6F910868" w:rsidR="00667553" w:rsidRPr="00F51D16" w:rsidRDefault="00667553" w:rsidP="003E097B">
      <w:r w:rsidRPr="008C5D86">
        <w:t xml:space="preserve">The molecular weight of </w:t>
      </w:r>
      <w:r>
        <w:t>b</w:t>
      </w:r>
      <w:r w:rsidRPr="00FB4BE3">
        <w:t xml:space="preserve">utyl </w:t>
      </w:r>
      <w:proofErr w:type="spellStart"/>
      <w:r w:rsidRPr="00FB4BE3">
        <w:t>methoxydibenzoylmethane</w:t>
      </w:r>
      <w:proofErr w:type="spellEnd"/>
      <w:r w:rsidRPr="008C5D86">
        <w:t xml:space="preserve"> is in the range (MW &lt; 500 D) where skin penetration can occur</w:t>
      </w:r>
      <w:r w:rsidR="000C6914">
        <w:t>,</w:t>
      </w:r>
      <w:r w:rsidRPr="008C5D86">
        <w:t xml:space="preserve"> but the log P</w:t>
      </w:r>
      <w:r w:rsidRPr="009F5266">
        <w:rPr>
          <w:vertAlign w:val="subscript"/>
        </w:rPr>
        <w:t>ow</w:t>
      </w:r>
      <w:r w:rsidRPr="008C5D86">
        <w:t xml:space="preserve"> is slightly above the range favouring penetration (log P</w:t>
      </w:r>
      <w:r w:rsidRPr="009F5266">
        <w:rPr>
          <w:vertAlign w:val="subscript"/>
        </w:rPr>
        <w:t xml:space="preserve">ow </w:t>
      </w:r>
      <w:r w:rsidRPr="008C5D86">
        <w:t xml:space="preserve">in </w:t>
      </w:r>
      <w:r w:rsidRPr="008C5D86">
        <w:lastRenderedPageBreak/>
        <w:t xml:space="preserve">range -1 to +4). </w:t>
      </w:r>
      <w:r>
        <w:t>B</w:t>
      </w:r>
      <w:r w:rsidRPr="00FB4BE3">
        <w:t xml:space="preserve">utyl </w:t>
      </w:r>
      <w:proofErr w:type="spellStart"/>
      <w:r w:rsidRPr="00FB4BE3">
        <w:t>methoxydibenzoylmethane</w:t>
      </w:r>
      <w:proofErr w:type="spellEnd"/>
      <w:r>
        <w:t xml:space="preserve"> has a low </w:t>
      </w:r>
      <w:r w:rsidRPr="008C5D86">
        <w:t xml:space="preserve">water solubility. </w:t>
      </w:r>
      <w:r>
        <w:t>B</w:t>
      </w:r>
      <w:r w:rsidRPr="00F51D16">
        <w:t xml:space="preserve">ased on these </w:t>
      </w:r>
      <w:proofErr w:type="spellStart"/>
      <w:r w:rsidRPr="00F51D16">
        <w:t>physico</w:t>
      </w:r>
      <w:proofErr w:type="spellEnd"/>
      <w:r w:rsidRPr="00F51D16">
        <w:t>-chemical data, only low dermal penetration is expected.</w:t>
      </w:r>
    </w:p>
    <w:p w14:paraId="6A624D62" w14:textId="77777777" w:rsidR="00667553" w:rsidRDefault="00667553" w:rsidP="003E097B">
      <w:r>
        <w:t>The toxicokinetic data for b</w:t>
      </w:r>
      <w:r w:rsidRPr="00FB4BE3">
        <w:t xml:space="preserve">utyl </w:t>
      </w:r>
      <w:proofErr w:type="spellStart"/>
      <w:r w:rsidRPr="00FB4BE3">
        <w:t>methoxydibenzoylmethane</w:t>
      </w:r>
      <w:proofErr w:type="spellEnd"/>
      <w:r>
        <w:t xml:space="preserve"> were assessed in ECHA 2021 (</w:t>
      </w:r>
      <w:r w:rsidRPr="0074486E">
        <w:rPr>
          <w:szCs w:val="22"/>
        </w:rPr>
        <w:t>ECHA 2021</w:t>
      </w:r>
      <w:r>
        <w:rPr>
          <w:szCs w:val="22"/>
        </w:rPr>
        <w:t>a</w:t>
      </w:r>
      <w:r w:rsidRPr="0074486E">
        <w:rPr>
          <w:szCs w:val="22"/>
        </w:rPr>
        <w:t>)</w:t>
      </w:r>
      <w:r>
        <w:t xml:space="preserve">. The executive summary of the assessed data is given below (for details see </w:t>
      </w:r>
      <w:r w:rsidRPr="0074486E">
        <w:rPr>
          <w:szCs w:val="22"/>
        </w:rPr>
        <w:t>ECHA 2021</w:t>
      </w:r>
      <w:r>
        <w:rPr>
          <w:szCs w:val="22"/>
        </w:rPr>
        <w:t xml:space="preserve">a). </w:t>
      </w:r>
    </w:p>
    <w:p w14:paraId="583F952C" w14:textId="77777777" w:rsidR="00667553" w:rsidRPr="008C5D86" w:rsidRDefault="00667553" w:rsidP="003E097B">
      <w:pPr>
        <w:pStyle w:val="ListBullet"/>
      </w:pPr>
      <w:r w:rsidRPr="008C5D86">
        <w:t xml:space="preserve">In a </w:t>
      </w:r>
      <w:proofErr w:type="gramStart"/>
      <w:r w:rsidRPr="008C5D86">
        <w:t>21 day</w:t>
      </w:r>
      <w:proofErr w:type="gramEnd"/>
      <w:r w:rsidRPr="008C5D86">
        <w:t xml:space="preserve"> dermal rabbit toxicity study (Keller 1980), </w:t>
      </w:r>
      <w:r>
        <w:t>there was an</w:t>
      </w:r>
      <w:r w:rsidRPr="008C5D86">
        <w:t xml:space="preserve"> absence of a biological response </w:t>
      </w:r>
      <w:r>
        <w:t>(</w:t>
      </w:r>
      <w:r w:rsidRPr="008C5D86">
        <w:t xml:space="preserve">no adverse effects were observed in rats up to the high dose of 360 mg/kg </w:t>
      </w:r>
      <w:proofErr w:type="spellStart"/>
      <w:r w:rsidRPr="008C5D86">
        <w:t>bw</w:t>
      </w:r>
      <w:proofErr w:type="spellEnd"/>
      <w:r w:rsidRPr="008C5D86">
        <w:t>/day, both in groups with intact skin or with abraded skin),</w:t>
      </w:r>
      <w:r>
        <w:t xml:space="preserve"> and</w:t>
      </w:r>
      <w:r w:rsidRPr="008C5D86">
        <w:t xml:space="preserve"> there was no indication of systemic bioavailability following dermal exposure.</w:t>
      </w:r>
    </w:p>
    <w:p w14:paraId="1A4A9A65" w14:textId="77777777" w:rsidR="00667553" w:rsidRPr="008C5D86" w:rsidRDefault="00667553" w:rsidP="003E097B">
      <w:pPr>
        <w:pStyle w:val="ListBullet"/>
      </w:pPr>
      <w:r w:rsidRPr="008A6B9A">
        <w:rPr>
          <w:i/>
          <w:iCs/>
        </w:rPr>
        <w:t>In vitro</w:t>
      </w:r>
      <w:r w:rsidRPr="008C5D86">
        <w:t xml:space="preserve"> studies with isolated pig skin using </w:t>
      </w:r>
      <w:r w:rsidRPr="008C5D86">
        <w:rPr>
          <w:vertAlign w:val="superscript"/>
        </w:rPr>
        <w:t>14</w:t>
      </w:r>
      <w:r w:rsidRPr="008C5D86">
        <w:t>C-labelled BMBDM</w:t>
      </w:r>
      <w:r>
        <w:t xml:space="preserve"> (b</w:t>
      </w:r>
      <w:r w:rsidRPr="00FB4BE3">
        <w:t xml:space="preserve">utyl </w:t>
      </w:r>
      <w:proofErr w:type="spellStart"/>
      <w:r w:rsidRPr="00FB4BE3">
        <w:t>methoxydibenzoylmethane</w:t>
      </w:r>
      <w:proofErr w:type="spellEnd"/>
      <w:r>
        <w:t>)</w:t>
      </w:r>
      <w:r w:rsidRPr="008C5D86">
        <w:t xml:space="preserve"> at a concentration of 2</w:t>
      </w:r>
      <w:r>
        <w:t>% or 7.5</w:t>
      </w:r>
      <w:r w:rsidRPr="008C5D86">
        <w:t xml:space="preserve"> % in cream formulations exposed for 6 hours, showed </w:t>
      </w:r>
      <w:r w:rsidRPr="008C5D86">
        <w:rPr>
          <w:szCs w:val="22"/>
        </w:rPr>
        <w:t>that majority of the topically applied BMDBM remained on the skin surface</w:t>
      </w:r>
      <w:r>
        <w:rPr>
          <w:szCs w:val="22"/>
        </w:rPr>
        <w:t xml:space="preserve"> (95%)</w:t>
      </w:r>
      <w:r w:rsidRPr="008C5D86">
        <w:rPr>
          <w:szCs w:val="22"/>
        </w:rPr>
        <w:t>,</w:t>
      </w:r>
      <w:r>
        <w:rPr>
          <w:szCs w:val="22"/>
        </w:rPr>
        <w:t xml:space="preserve"> </w:t>
      </w:r>
      <w:r w:rsidRPr="008C5D86">
        <w:rPr>
          <w:szCs w:val="22"/>
        </w:rPr>
        <w:t>1.0-1.7% were found on the stratum corneum, 0.9-3.4% absorbed in the skin and only a minimum (≤ 0.5%) was found to pass the skin. Briefly, the results indicate</w:t>
      </w:r>
      <w:r w:rsidRPr="008C5D86">
        <w:t xml:space="preserve"> a low penetration rate of </w:t>
      </w:r>
      <w:r>
        <w:t>b</w:t>
      </w:r>
      <w:r w:rsidRPr="00FB4BE3">
        <w:t xml:space="preserve">utyl </w:t>
      </w:r>
      <w:proofErr w:type="spellStart"/>
      <w:r w:rsidRPr="00FB4BE3">
        <w:t>methoxydibenzoylmethane</w:t>
      </w:r>
      <w:proofErr w:type="spellEnd"/>
      <w:r w:rsidRPr="008C5D86" w:rsidDel="00812039">
        <w:t xml:space="preserve"> </w:t>
      </w:r>
      <w:r w:rsidRPr="008C5D86">
        <w:t>when applied on pig skin (up to 1.5 % of applied radioactivity 6 h post application). Dermal penetration in pig skin was not influenced by UV light (</w:t>
      </w:r>
      <w:r w:rsidRPr="0074486E">
        <w:rPr>
          <w:szCs w:val="22"/>
        </w:rPr>
        <w:t>ECHA 2021</w:t>
      </w:r>
      <w:r>
        <w:rPr>
          <w:szCs w:val="22"/>
        </w:rPr>
        <w:t>a</w:t>
      </w:r>
      <w:r w:rsidRPr="008C5D86">
        <w:t xml:space="preserve">). </w:t>
      </w:r>
    </w:p>
    <w:p w14:paraId="3B11CD43" w14:textId="77777777" w:rsidR="00667553" w:rsidRPr="008C5D86" w:rsidRDefault="00667553" w:rsidP="003E097B">
      <w:pPr>
        <w:pStyle w:val="ListBullet"/>
      </w:pPr>
      <w:r w:rsidRPr="0014353A">
        <w:t>In an</w:t>
      </w:r>
      <w:r>
        <w:rPr>
          <w:i/>
          <w:iCs/>
        </w:rPr>
        <w:t xml:space="preserve"> </w:t>
      </w:r>
      <w:r w:rsidRPr="008A6B9A">
        <w:rPr>
          <w:i/>
          <w:iCs/>
        </w:rPr>
        <w:t>in vitro</w:t>
      </w:r>
      <w:r w:rsidRPr="0014353A">
        <w:t xml:space="preserve"> study (DSM 1982) with </w:t>
      </w:r>
      <w:r w:rsidRPr="0014353A">
        <w:rPr>
          <w:vertAlign w:val="superscript"/>
        </w:rPr>
        <w:t>14</w:t>
      </w:r>
      <w:r w:rsidRPr="0014353A">
        <w:t>C-labelled BMDBM</w:t>
      </w:r>
      <w:r>
        <w:t xml:space="preserve"> (b</w:t>
      </w:r>
      <w:r w:rsidRPr="00FB4BE3">
        <w:t xml:space="preserve">utyl </w:t>
      </w:r>
      <w:proofErr w:type="spellStart"/>
      <w:r w:rsidRPr="00FB4BE3">
        <w:t>methoxydibenzoylmethane</w:t>
      </w:r>
      <w:proofErr w:type="spellEnd"/>
      <w:r>
        <w:t>)</w:t>
      </w:r>
      <w:r w:rsidRPr="0014353A">
        <w:t xml:space="preserve"> using isolated human abdominal cadaver skin, up to 2.7 % of the applied radioactivity was observed in the epidermis, 7.3 % in the dermis 18 hr post dose but no activity was found in the collection fluid at any time and lower skin corium contained only 0.34 % after the longest exposure period</w:t>
      </w:r>
      <w:r>
        <w:t xml:space="preserve"> (</w:t>
      </w:r>
      <w:r w:rsidRPr="0074486E">
        <w:rPr>
          <w:szCs w:val="22"/>
        </w:rPr>
        <w:t>ECHA 2021</w:t>
      </w:r>
      <w:r>
        <w:rPr>
          <w:szCs w:val="22"/>
        </w:rPr>
        <w:t>a).</w:t>
      </w:r>
    </w:p>
    <w:p w14:paraId="34FC6280" w14:textId="77777777" w:rsidR="00667553" w:rsidRPr="0014353A" w:rsidRDefault="00667553" w:rsidP="003E097B">
      <w:pPr>
        <w:pStyle w:val="ListBullet"/>
      </w:pPr>
      <w:r w:rsidRPr="0014353A">
        <w:t xml:space="preserve">A human </w:t>
      </w:r>
      <w:r w:rsidRPr="0014353A">
        <w:rPr>
          <w:i/>
          <w:iCs/>
        </w:rPr>
        <w:t>in vivo</w:t>
      </w:r>
      <w:r w:rsidRPr="0014353A">
        <w:t xml:space="preserve"> study also indicate</w:t>
      </w:r>
      <w:r>
        <w:t>d</w:t>
      </w:r>
      <w:r w:rsidRPr="0014353A">
        <w:t xml:space="preserve"> a very low level of systemic penetration of BMDBM</w:t>
      </w:r>
      <w:r>
        <w:t xml:space="preserve"> (b</w:t>
      </w:r>
      <w:r w:rsidRPr="00FB4BE3">
        <w:t xml:space="preserve">utyl </w:t>
      </w:r>
      <w:proofErr w:type="spellStart"/>
      <w:r w:rsidRPr="00FB4BE3">
        <w:t>methoxydibenzoylmethane</w:t>
      </w:r>
      <w:proofErr w:type="spellEnd"/>
      <w:r>
        <w:t>)</w:t>
      </w:r>
      <w:r w:rsidRPr="008C5D86">
        <w:t xml:space="preserve"> </w:t>
      </w:r>
      <w:r w:rsidRPr="0014353A">
        <w:t>or its metabolites. In the study, a preliminary study (occluded) was followed by the main study where human volunteers were exposed to a 10% solution of </w:t>
      </w:r>
      <w:r w:rsidRPr="0014353A">
        <w:rPr>
          <w:vertAlign w:val="superscript"/>
        </w:rPr>
        <w:t>14</w:t>
      </w:r>
      <w:r w:rsidRPr="0014353A">
        <w:t xml:space="preserve">C-labelled BMBDM in </w:t>
      </w:r>
      <w:proofErr w:type="spellStart"/>
      <w:r w:rsidRPr="0014353A">
        <w:t>carbitol</w:t>
      </w:r>
      <w:proofErr w:type="spellEnd"/>
      <w:r w:rsidRPr="0014353A">
        <w:t xml:space="preserve"> for 8 hours.</w:t>
      </w:r>
      <w:r w:rsidRPr="008C5D86">
        <w:rPr>
          <w:rStyle w:val="FootnoteReference"/>
          <w:sz w:val="22"/>
        </w:rPr>
        <w:footnoteReference w:id="6"/>
      </w:r>
      <w:r w:rsidRPr="0014353A">
        <w:t xml:space="preserve"> The amounts of BMDBM found in the urine were 0.08 and 0.016 % for the occluded and non-occluded experiment, respectively. No radioactivity was found in the blood or faeces in any subject. Therefore, these data confirm only a very low level of systemic penetration of BMDBM or its metabolites</w:t>
      </w:r>
      <w:r>
        <w:t xml:space="preserve"> (</w:t>
      </w:r>
      <w:r w:rsidRPr="0074486E">
        <w:rPr>
          <w:szCs w:val="22"/>
        </w:rPr>
        <w:t>ECHA 2021</w:t>
      </w:r>
      <w:r>
        <w:rPr>
          <w:szCs w:val="22"/>
        </w:rPr>
        <w:t>a).</w:t>
      </w:r>
    </w:p>
    <w:p w14:paraId="515B9633" w14:textId="77777777" w:rsidR="00667553" w:rsidRPr="00A52C38" w:rsidRDefault="00667553" w:rsidP="003E097B">
      <w:pPr>
        <w:rPr>
          <w:b/>
          <w:color w:val="00B050"/>
        </w:rPr>
      </w:pPr>
      <w:r>
        <w:t>A</w:t>
      </w:r>
      <w:r w:rsidRPr="0074486E">
        <w:t xml:space="preserve"> recent study demonstrated that there was very poor skin permeation of </w:t>
      </w:r>
      <w:r>
        <w:t>b</w:t>
      </w:r>
      <w:r w:rsidRPr="00FB4BE3">
        <w:t xml:space="preserve">utyl </w:t>
      </w:r>
      <w:proofErr w:type="spellStart"/>
      <w:r w:rsidRPr="00FB4BE3">
        <w:t>methoxydibenzoylmethane</w:t>
      </w:r>
      <w:proofErr w:type="spellEnd"/>
      <w:r w:rsidRPr="0074486E">
        <w:t xml:space="preserve"> after single or repeated applications</w:t>
      </w:r>
      <w:r>
        <w:t xml:space="preserve"> of sunscreens </w:t>
      </w:r>
      <w:r w:rsidRPr="0074486E">
        <w:t xml:space="preserve">(Montenegro </w:t>
      </w:r>
      <w:r w:rsidRPr="0074486E">
        <w:rPr>
          <w:i/>
        </w:rPr>
        <w:t xml:space="preserve">et al. </w:t>
      </w:r>
      <w:r w:rsidRPr="0074486E">
        <w:t>2018).</w:t>
      </w:r>
      <w:r>
        <w:t xml:space="preserve"> However, r</w:t>
      </w:r>
      <w:r w:rsidRPr="0074486E">
        <w:t xml:space="preserve">ecent randomised clinical trials indicate that </w:t>
      </w:r>
      <w:r>
        <w:t>b</w:t>
      </w:r>
      <w:r w:rsidRPr="00FB4BE3">
        <w:t xml:space="preserve">utyl </w:t>
      </w:r>
      <w:proofErr w:type="spellStart"/>
      <w:r w:rsidRPr="00FB4BE3">
        <w:t>methoxydibenzoylmethane</w:t>
      </w:r>
      <w:proofErr w:type="spellEnd"/>
      <w:r w:rsidRPr="0074486E" w:rsidDel="00812039">
        <w:t xml:space="preserve"> </w:t>
      </w:r>
      <w:r w:rsidRPr="0074486E">
        <w:t>was systemically absorbed in human</w:t>
      </w:r>
      <w:r>
        <w:t>s</w:t>
      </w:r>
      <w:r w:rsidRPr="0074486E">
        <w:t xml:space="preserve"> </w:t>
      </w:r>
      <w:r w:rsidRPr="00D47D0D">
        <w:t>(</w:t>
      </w:r>
      <w:bookmarkStart w:id="38" w:name="_Hlk173138476"/>
      <w:r w:rsidRPr="00812039">
        <w:t xml:space="preserve">see </w:t>
      </w:r>
      <w:bookmarkEnd w:id="38"/>
      <w:r w:rsidRPr="00644C80">
        <w:t>Clinical Trials</w:t>
      </w:r>
      <w:r w:rsidRPr="002C7324">
        <w:t>).</w:t>
      </w:r>
      <w:r w:rsidRPr="0074486E">
        <w:t xml:space="preserve">  </w:t>
      </w:r>
    </w:p>
    <w:p w14:paraId="419E0A3A" w14:textId="77777777" w:rsidR="00667553" w:rsidRPr="00CE76A7" w:rsidRDefault="00667553" w:rsidP="003E097B">
      <w:r w:rsidRPr="00CE76A7">
        <w:rPr>
          <w:iCs/>
        </w:rPr>
        <w:t xml:space="preserve">In the absence of further kinetic data for </w:t>
      </w:r>
      <w:r>
        <w:t>b</w:t>
      </w:r>
      <w:r w:rsidRPr="00FB4BE3">
        <w:t xml:space="preserve">utyl </w:t>
      </w:r>
      <w:proofErr w:type="spellStart"/>
      <w:r w:rsidRPr="00FB4BE3">
        <w:t>methoxydibenzoylmethane</w:t>
      </w:r>
      <w:proofErr w:type="spellEnd"/>
      <w:r w:rsidRPr="00CE76A7" w:rsidDel="007D43D4">
        <w:rPr>
          <w:iCs/>
        </w:rPr>
        <w:t xml:space="preserve"> </w:t>
      </w:r>
      <w:r>
        <w:rPr>
          <w:iCs/>
        </w:rPr>
        <w:t>and</w:t>
      </w:r>
      <w:r w:rsidRPr="00CE76A7">
        <w:rPr>
          <w:iCs/>
        </w:rPr>
        <w:t xml:space="preserve"> based on the data from the </w:t>
      </w:r>
      <w:r w:rsidRPr="008A6B9A">
        <w:rPr>
          <w:i/>
        </w:rPr>
        <w:t>in vitro</w:t>
      </w:r>
      <w:r w:rsidRPr="00CE76A7">
        <w:rPr>
          <w:iCs/>
        </w:rPr>
        <w:t xml:space="preserve"> study </w:t>
      </w:r>
      <w:r w:rsidRPr="00CE76A7">
        <w:t>using isolated human abdominal cadaver skin (</w:t>
      </w:r>
      <w:r w:rsidRPr="00003338">
        <w:t>(ECHA 2021</w:t>
      </w:r>
      <w:r>
        <w:t>a</w:t>
      </w:r>
      <w:r w:rsidRPr="00CE76A7">
        <w:t xml:space="preserve">), </w:t>
      </w:r>
      <w:r w:rsidRPr="00D55C27">
        <w:rPr>
          <w:b/>
          <w:bCs/>
          <w:iCs/>
        </w:rPr>
        <w:t>a 7.3% dermal absorption</w:t>
      </w:r>
      <w:r w:rsidRPr="00CE76A7">
        <w:rPr>
          <w:iCs/>
        </w:rPr>
        <w:t xml:space="preserve"> of </w:t>
      </w:r>
      <w:r>
        <w:t>b</w:t>
      </w:r>
      <w:r w:rsidRPr="00FB4BE3">
        <w:t xml:space="preserve">utyl </w:t>
      </w:r>
      <w:proofErr w:type="spellStart"/>
      <w:r w:rsidRPr="00FB4BE3">
        <w:t>methoxydibenzoylmethane</w:t>
      </w:r>
      <w:proofErr w:type="spellEnd"/>
      <w:r w:rsidRPr="00CE76A7" w:rsidDel="007D43D4">
        <w:rPr>
          <w:iCs/>
        </w:rPr>
        <w:t xml:space="preserve"> </w:t>
      </w:r>
      <w:r w:rsidRPr="00CE76A7">
        <w:rPr>
          <w:iCs/>
        </w:rPr>
        <w:t xml:space="preserve">was assumed. </w:t>
      </w:r>
    </w:p>
    <w:p w14:paraId="66FB3BE5" w14:textId="77777777" w:rsidR="00667553" w:rsidRDefault="00667553" w:rsidP="00667553">
      <w:pPr>
        <w:pStyle w:val="Heading4"/>
      </w:pPr>
      <w:bookmarkStart w:id="39" w:name="_Toc190944904"/>
      <w:bookmarkStart w:id="40" w:name="_Toc199254941"/>
      <w:proofErr w:type="spellStart"/>
      <w:r w:rsidRPr="002B6978">
        <w:t>Ethylhexyl</w:t>
      </w:r>
      <w:proofErr w:type="spellEnd"/>
      <w:r w:rsidRPr="002B6978">
        <w:t xml:space="preserve"> </w:t>
      </w:r>
      <w:proofErr w:type="spellStart"/>
      <w:r w:rsidRPr="002B6978">
        <w:t>triazone</w:t>
      </w:r>
      <w:bookmarkEnd w:id="39"/>
      <w:bookmarkEnd w:id="40"/>
      <w:proofErr w:type="spellEnd"/>
      <w:r>
        <w:t xml:space="preserve"> </w:t>
      </w:r>
    </w:p>
    <w:p w14:paraId="4F359E73" w14:textId="77777777" w:rsidR="00667553" w:rsidRPr="0074486E" w:rsidRDefault="00667553" w:rsidP="003E097B">
      <w:r w:rsidRPr="0074486E">
        <w:t xml:space="preserve">No specific pharmacokinetic data are available for </w:t>
      </w:r>
      <w:proofErr w:type="spellStart"/>
      <w:r w:rsidRPr="0074486E">
        <w:t>ethylhexyl</w:t>
      </w:r>
      <w:proofErr w:type="spellEnd"/>
      <w:r w:rsidRPr="0074486E">
        <w:t xml:space="preserve"> </w:t>
      </w:r>
      <w:proofErr w:type="spellStart"/>
      <w:r w:rsidRPr="0074486E">
        <w:t>triazone</w:t>
      </w:r>
      <w:proofErr w:type="spellEnd"/>
      <w:r w:rsidRPr="0074486E">
        <w:t>. The ingredient is expected to have low oral and dermal bioavailability based on its physiochemical properties</w:t>
      </w:r>
      <w:r>
        <w:t xml:space="preserve"> (Molecular weight &gt; 500 Dalton and Log </w:t>
      </w:r>
      <w:r w:rsidRPr="008C5D86">
        <w:t>P</w:t>
      </w:r>
      <w:r w:rsidRPr="009F5266">
        <w:rPr>
          <w:vertAlign w:val="subscript"/>
        </w:rPr>
        <w:t>ow</w:t>
      </w:r>
      <w:r>
        <w:t xml:space="preserve"> &gt; 4; Table 2.1)</w:t>
      </w:r>
      <w:r w:rsidRPr="0074486E">
        <w:t xml:space="preserve">  </w:t>
      </w:r>
    </w:p>
    <w:p w14:paraId="570C8EF2" w14:textId="77777777" w:rsidR="00667553" w:rsidRPr="0074486E" w:rsidRDefault="00667553" w:rsidP="003E097B">
      <w:proofErr w:type="spellStart"/>
      <w:r w:rsidRPr="0074486E">
        <w:t>Ethylhexyl</w:t>
      </w:r>
      <w:proofErr w:type="spellEnd"/>
      <w:r w:rsidRPr="0074486E">
        <w:t xml:space="preserve"> </w:t>
      </w:r>
      <w:proofErr w:type="spellStart"/>
      <w:r w:rsidRPr="0074486E">
        <w:t>triazone</w:t>
      </w:r>
      <w:proofErr w:type="spellEnd"/>
      <w:r w:rsidRPr="0074486E">
        <w:t xml:space="preserve"> did not penetrate the receptor fluid in an </w:t>
      </w:r>
      <w:r w:rsidRPr="0074486E">
        <w:rPr>
          <w:i/>
        </w:rPr>
        <w:t>in vitro</w:t>
      </w:r>
      <w:r w:rsidRPr="0074486E">
        <w:t xml:space="preserve"> study by Monti </w:t>
      </w:r>
      <w:r w:rsidRPr="0074486E">
        <w:rPr>
          <w:i/>
        </w:rPr>
        <w:t>et al.</w:t>
      </w:r>
      <w:r w:rsidRPr="0074486E">
        <w:t xml:space="preserve"> (2008) when applied to the reconstructed human skin model and the rat skin. However, BASF (1995) reported </w:t>
      </w:r>
      <w:r w:rsidRPr="0074486E">
        <w:rPr>
          <w:i/>
        </w:rPr>
        <w:t>in vitro</w:t>
      </w:r>
      <w:r w:rsidRPr="0074486E">
        <w:t xml:space="preserve"> permeation of </w:t>
      </w:r>
      <w:proofErr w:type="spellStart"/>
      <w:r w:rsidRPr="0074486E">
        <w:t>ethylhexyl</w:t>
      </w:r>
      <w:proofErr w:type="spellEnd"/>
      <w:r w:rsidRPr="0074486E">
        <w:t xml:space="preserve"> </w:t>
      </w:r>
      <w:proofErr w:type="spellStart"/>
      <w:r w:rsidRPr="0074486E">
        <w:t>triazone</w:t>
      </w:r>
      <w:proofErr w:type="spellEnd"/>
      <w:r w:rsidRPr="0074486E">
        <w:t xml:space="preserve"> in the sunscreen formulation,</w:t>
      </w:r>
      <w:r>
        <w:t xml:space="preserve"> but no value was provided</w:t>
      </w:r>
      <w:r w:rsidRPr="0074486E">
        <w:t>.</w:t>
      </w:r>
    </w:p>
    <w:p w14:paraId="17D4CCB5" w14:textId="77777777" w:rsidR="00667553" w:rsidRPr="0074486E" w:rsidRDefault="00667553" w:rsidP="003E097B">
      <w:r w:rsidRPr="0074486E">
        <w:t xml:space="preserve">In an </w:t>
      </w:r>
      <w:r w:rsidRPr="0074486E">
        <w:rPr>
          <w:i/>
        </w:rPr>
        <w:t>in vitro</w:t>
      </w:r>
      <w:r w:rsidRPr="0074486E">
        <w:t xml:space="preserve"> diffusion study (6-h exposure of the </w:t>
      </w:r>
      <w:r w:rsidRPr="0074486E">
        <w:rPr>
          <w:i/>
        </w:rPr>
        <w:t>ex-vivo</w:t>
      </w:r>
      <w:r w:rsidRPr="0074486E">
        <w:t xml:space="preserve"> porcine-ear skin to the sunscreen</w:t>
      </w:r>
      <w:r>
        <w:t>,</w:t>
      </w:r>
      <w:r w:rsidRPr="0074486E">
        <w:t xml:space="preserve"> water-oil emulsion containing 10% oxybenzone and 5% </w:t>
      </w:r>
      <w:proofErr w:type="spellStart"/>
      <w:r w:rsidRPr="0074486E">
        <w:t>ethylhexyl</w:t>
      </w:r>
      <w:proofErr w:type="spellEnd"/>
      <w:r w:rsidRPr="0074486E">
        <w:t xml:space="preserve"> </w:t>
      </w:r>
      <w:proofErr w:type="spellStart"/>
      <w:r w:rsidRPr="0074486E">
        <w:t>triazone</w:t>
      </w:r>
      <w:proofErr w:type="spellEnd"/>
      <w:r w:rsidRPr="0074486E">
        <w:t>, doses of 1 mg/cm</w:t>
      </w:r>
      <w:r w:rsidRPr="0074486E">
        <w:rPr>
          <w:vertAlign w:val="superscript"/>
        </w:rPr>
        <w:t>2</w:t>
      </w:r>
      <w:r w:rsidRPr="0074486E">
        <w:t xml:space="preserve"> and 2 mg/cm</w:t>
      </w:r>
      <w:r w:rsidRPr="0074486E">
        <w:rPr>
          <w:vertAlign w:val="superscript"/>
        </w:rPr>
        <w:t>2</w:t>
      </w:r>
      <w:r w:rsidRPr="0074486E">
        <w:t>), 23</w:t>
      </w:r>
      <w:r w:rsidRPr="0074486E">
        <w:rPr>
          <w:rFonts w:cs="AdvOT863180fb"/>
        </w:rPr>
        <w:t xml:space="preserve">.2 </w:t>
      </w:r>
      <w:r w:rsidRPr="0074486E">
        <w:rPr>
          <w:rFonts w:cs="AdvOTb0c9bf5d"/>
        </w:rPr>
        <w:t xml:space="preserve">± </w:t>
      </w:r>
      <w:r w:rsidRPr="0074486E">
        <w:rPr>
          <w:rFonts w:cs="AdvOT863180fb"/>
        </w:rPr>
        <w:t xml:space="preserve">4.1 </w:t>
      </w:r>
      <w:r w:rsidRPr="0074486E">
        <w:rPr>
          <w:rFonts w:cs="AdvP3F4C13"/>
        </w:rPr>
        <w:t>m</w:t>
      </w:r>
      <w:r w:rsidRPr="0074486E">
        <w:rPr>
          <w:rFonts w:cs="AdvOT863180fb"/>
        </w:rPr>
        <w:t>g/cm</w:t>
      </w:r>
      <w:r w:rsidRPr="0074486E">
        <w:rPr>
          <w:rFonts w:cs="AdvOT863180fb"/>
          <w:vertAlign w:val="superscript"/>
        </w:rPr>
        <w:t>2</w:t>
      </w:r>
      <w:r w:rsidRPr="0074486E">
        <w:rPr>
          <w:rFonts w:cs="AdvOT863180fb"/>
        </w:rPr>
        <w:t xml:space="preserve"> and 18.3 </w:t>
      </w:r>
      <w:r w:rsidRPr="0074486E">
        <w:rPr>
          <w:rFonts w:cs="AdvOTb0c9bf5d"/>
        </w:rPr>
        <w:t xml:space="preserve">± </w:t>
      </w:r>
      <w:r w:rsidRPr="0074486E">
        <w:rPr>
          <w:rFonts w:cs="AdvOT863180fb"/>
        </w:rPr>
        <w:t>2.5</w:t>
      </w:r>
      <w:r>
        <w:rPr>
          <w:rFonts w:cs="AdvOT863180fb"/>
        </w:rPr>
        <w:t xml:space="preserve"> </w:t>
      </w:r>
      <w:proofErr w:type="spellStart"/>
      <w:r w:rsidRPr="0074486E">
        <w:rPr>
          <w:rFonts w:cs="AdvOT863180fb"/>
        </w:rPr>
        <w:t>μg</w:t>
      </w:r>
      <w:proofErr w:type="spellEnd"/>
      <w:r w:rsidRPr="0074486E">
        <w:rPr>
          <w:rFonts w:cs="AdvOT863180fb"/>
        </w:rPr>
        <w:t>/cm</w:t>
      </w:r>
      <w:r w:rsidRPr="0074486E">
        <w:rPr>
          <w:rFonts w:cs="AdvOT863180fb"/>
          <w:vertAlign w:val="superscript"/>
        </w:rPr>
        <w:t>2</w:t>
      </w:r>
      <w:r w:rsidRPr="0074486E">
        <w:rPr>
          <w:rFonts w:cs="AdvOT863180fb"/>
        </w:rPr>
        <w:t xml:space="preserve"> of oxybenzone and </w:t>
      </w:r>
      <w:proofErr w:type="spellStart"/>
      <w:r w:rsidRPr="0074486E">
        <w:rPr>
          <w:rFonts w:cs="AdvOT863180fb"/>
        </w:rPr>
        <w:t>ethylhexyl</w:t>
      </w:r>
      <w:proofErr w:type="spellEnd"/>
      <w:r w:rsidRPr="0074486E">
        <w:rPr>
          <w:rFonts w:cs="AdvOT863180fb"/>
        </w:rPr>
        <w:t xml:space="preserve"> </w:t>
      </w:r>
      <w:proofErr w:type="spellStart"/>
      <w:r w:rsidRPr="0074486E">
        <w:rPr>
          <w:rFonts w:cs="AdvOT863180fb"/>
        </w:rPr>
        <w:t>triazone</w:t>
      </w:r>
      <w:proofErr w:type="spellEnd"/>
      <w:r w:rsidRPr="0074486E">
        <w:rPr>
          <w:rFonts w:cs="AdvOT863180fb"/>
        </w:rPr>
        <w:t xml:space="preserve">, respectively were found in the stratum corneum, whereas 1.5 </w:t>
      </w:r>
      <w:r w:rsidRPr="0074486E">
        <w:rPr>
          <w:rFonts w:cs="AdvOTb0c9bf5d"/>
        </w:rPr>
        <w:t xml:space="preserve">± </w:t>
      </w:r>
      <w:r w:rsidRPr="0074486E">
        <w:rPr>
          <w:rFonts w:cs="AdvOT863180fb"/>
        </w:rPr>
        <w:t xml:space="preserve">0.3 </w:t>
      </w:r>
      <w:r w:rsidRPr="0074486E">
        <w:t>mg/cm</w:t>
      </w:r>
      <w:r w:rsidRPr="0074486E">
        <w:rPr>
          <w:vertAlign w:val="superscript"/>
        </w:rPr>
        <w:t>2</w:t>
      </w:r>
      <w:r w:rsidRPr="0074486E">
        <w:t xml:space="preserve"> of oxybenzone was found in the receptor fluid</w:t>
      </w:r>
      <w:r>
        <w:t xml:space="preserve"> </w:t>
      </w:r>
      <w:r w:rsidRPr="0074486E">
        <w:t>(</w:t>
      </w:r>
      <w:proofErr w:type="spellStart"/>
      <w:r w:rsidRPr="004D20BB">
        <w:t>Hojerová</w:t>
      </w:r>
      <w:proofErr w:type="spellEnd"/>
      <w:r w:rsidRPr="004D20BB">
        <w:t> </w:t>
      </w:r>
      <w:r w:rsidRPr="004D20BB">
        <w:rPr>
          <w:i/>
        </w:rPr>
        <w:t>et al.</w:t>
      </w:r>
      <w:r w:rsidRPr="004D20BB">
        <w:t xml:space="preserve"> 2017).</w:t>
      </w:r>
      <w:r w:rsidRPr="0074486E">
        <w:t xml:space="preserve"> </w:t>
      </w:r>
      <w:proofErr w:type="spellStart"/>
      <w:r w:rsidRPr="0074486E">
        <w:t>Ethylhexyl</w:t>
      </w:r>
      <w:proofErr w:type="spellEnd"/>
      <w:r w:rsidRPr="0074486E">
        <w:t xml:space="preserve"> </w:t>
      </w:r>
      <w:proofErr w:type="spellStart"/>
      <w:r w:rsidRPr="0074486E">
        <w:t>triazone</w:t>
      </w:r>
      <w:proofErr w:type="spellEnd"/>
      <w:r w:rsidRPr="0074486E">
        <w:t xml:space="preserve"> was not determined in the receptor fluid. The study authors concluded, that approximately 0.54 mg/cm</w:t>
      </w:r>
      <w:r w:rsidRPr="0074486E">
        <w:rPr>
          <w:vertAlign w:val="superscript"/>
        </w:rPr>
        <w:t>2</w:t>
      </w:r>
      <w:r w:rsidRPr="0074486E">
        <w:t xml:space="preserve"> of </w:t>
      </w:r>
      <w:proofErr w:type="spellStart"/>
      <w:r w:rsidRPr="0074486E">
        <w:t>ethylhexyl</w:t>
      </w:r>
      <w:proofErr w:type="spellEnd"/>
      <w:r w:rsidRPr="0074486E">
        <w:t xml:space="preserve"> </w:t>
      </w:r>
      <w:proofErr w:type="spellStart"/>
      <w:r w:rsidRPr="0074486E">
        <w:t>triazone</w:t>
      </w:r>
      <w:proofErr w:type="spellEnd"/>
      <w:r w:rsidRPr="0074486E">
        <w:t xml:space="preserve"> (i.e., ~1.08% of the amount </w:t>
      </w:r>
      <w:r w:rsidRPr="0074486E">
        <w:lastRenderedPageBreak/>
        <w:t xml:space="preserve">of ingredient applied) permeated the excised human epidermis into the receptor fluid.  Approximately 1.3 and 1.8 </w:t>
      </w:r>
      <w:r>
        <w:t>×</w:t>
      </w:r>
      <w:r w:rsidRPr="0074486E">
        <w:t xml:space="preserve"> higher content of oxybenzone and </w:t>
      </w:r>
      <w:proofErr w:type="spellStart"/>
      <w:r w:rsidRPr="0074486E">
        <w:t>ethylhexyl</w:t>
      </w:r>
      <w:proofErr w:type="spellEnd"/>
      <w:r w:rsidRPr="0074486E">
        <w:t xml:space="preserve"> </w:t>
      </w:r>
      <w:proofErr w:type="spellStart"/>
      <w:r w:rsidRPr="0074486E">
        <w:t>triazone</w:t>
      </w:r>
      <w:proofErr w:type="spellEnd"/>
      <w:r w:rsidRPr="0074486E">
        <w:t xml:space="preserve"> were found in the viable epidermis and dermis, respectively, and 2.3- and 1.5-times higher content in the receptor fluid, respectively, when the study was conducted on shaved skin. Insignificant percutaneous absorption of </w:t>
      </w:r>
      <w:proofErr w:type="spellStart"/>
      <w:r w:rsidRPr="0074486E">
        <w:t>ethylhexyl</w:t>
      </w:r>
      <w:proofErr w:type="spellEnd"/>
      <w:r w:rsidRPr="0074486E">
        <w:t xml:space="preserve"> </w:t>
      </w:r>
      <w:proofErr w:type="spellStart"/>
      <w:r w:rsidRPr="0074486E">
        <w:t>triazone</w:t>
      </w:r>
      <w:proofErr w:type="spellEnd"/>
      <w:r w:rsidRPr="0074486E">
        <w:t xml:space="preserve"> across the shaved skin was noted. The total recovery in the whole study (intact and/or shaved skin) was 87.5- 90.4% </w:t>
      </w:r>
      <w:r>
        <w:t>consistent with</w:t>
      </w:r>
      <w:r w:rsidRPr="0074486E">
        <w:t xml:space="preserve"> the recovery (85- 115%) allowed by </w:t>
      </w:r>
      <w:r w:rsidRPr="00F91534">
        <w:t xml:space="preserve">the </w:t>
      </w:r>
      <w:r w:rsidRPr="00644C80">
        <w:t>ECHA</w:t>
      </w:r>
      <w:r w:rsidRPr="00F91534">
        <w:t xml:space="preserve"> (2016). The</w:t>
      </w:r>
      <w:r w:rsidRPr="0074486E">
        <w:t xml:space="preserve"> SED after the sunscreen application at 1 mg/cm</w:t>
      </w:r>
      <w:r w:rsidRPr="0074486E">
        <w:rPr>
          <w:vertAlign w:val="superscript"/>
        </w:rPr>
        <w:t>2</w:t>
      </w:r>
      <w:r w:rsidRPr="0074486E">
        <w:t xml:space="preserve"> for 6 h</w:t>
      </w:r>
      <w:r>
        <w:t xml:space="preserve"> on the:</w:t>
      </w:r>
      <w:r w:rsidRPr="0074486E">
        <w:t xml:space="preserve"> (</w:t>
      </w:r>
      <w:proofErr w:type="spellStart"/>
      <w:r w:rsidRPr="0074486E">
        <w:t>i</w:t>
      </w:r>
      <w:proofErr w:type="spellEnd"/>
      <w:r w:rsidRPr="0074486E">
        <w:t>) face;</w:t>
      </w:r>
      <w:r>
        <w:t xml:space="preserve"> and</w:t>
      </w:r>
      <w:r w:rsidRPr="0074486E">
        <w:t xml:space="preserve"> (ii) whole-body skin, was (</w:t>
      </w:r>
      <w:proofErr w:type="spellStart"/>
      <w:r w:rsidRPr="0074486E">
        <w:t>i</w:t>
      </w:r>
      <w:proofErr w:type="spellEnd"/>
      <w:r w:rsidRPr="0074486E">
        <w:t>) 136 and 30; (ii) 4200 and 933 mg/kg</w:t>
      </w:r>
      <w:r>
        <w:t xml:space="preserve"> </w:t>
      </w:r>
      <w:proofErr w:type="spellStart"/>
      <w:r w:rsidRPr="0074486E">
        <w:t>bw</w:t>
      </w:r>
      <w:proofErr w:type="spellEnd"/>
      <w:r w:rsidRPr="0074486E">
        <w:t xml:space="preserve">/day for oxybenzone and </w:t>
      </w:r>
      <w:proofErr w:type="spellStart"/>
      <w:r w:rsidRPr="0074486E">
        <w:t>ethylhexyl</w:t>
      </w:r>
      <w:proofErr w:type="spellEnd"/>
      <w:r w:rsidRPr="0074486E">
        <w:t xml:space="preserve"> </w:t>
      </w:r>
      <w:proofErr w:type="spellStart"/>
      <w:r w:rsidRPr="0074486E">
        <w:t>triazone</w:t>
      </w:r>
      <w:proofErr w:type="spellEnd"/>
      <w:r w:rsidRPr="0074486E">
        <w:t>, respectively. Reapplication caused approximately 1.4 -fold increase in the SED values indicating partial saturation after the first application.</w:t>
      </w:r>
    </w:p>
    <w:p w14:paraId="59BDF9B8" w14:textId="77777777" w:rsidR="00667553" w:rsidRPr="002C7324" w:rsidRDefault="00667553" w:rsidP="003E097B">
      <w:r w:rsidRPr="002C7324">
        <w:t xml:space="preserve">Preferential </w:t>
      </w:r>
      <w:proofErr w:type="spellStart"/>
      <w:r w:rsidRPr="002C7324">
        <w:rPr>
          <w:rFonts w:cs="AdvOT863180fb"/>
        </w:rPr>
        <w:t>e</w:t>
      </w:r>
      <w:r w:rsidRPr="002C7324">
        <w:t>thylhexyl</w:t>
      </w:r>
      <w:proofErr w:type="spellEnd"/>
      <w:r w:rsidRPr="002C7324">
        <w:t xml:space="preserve"> </w:t>
      </w:r>
      <w:proofErr w:type="spellStart"/>
      <w:r w:rsidRPr="002C7324">
        <w:t>triazone</w:t>
      </w:r>
      <w:proofErr w:type="spellEnd"/>
      <w:r w:rsidRPr="002C7324">
        <w:t xml:space="preserve"> distribution into stratum corneum was also noted by Sauce </w:t>
      </w:r>
      <w:r w:rsidRPr="002C7324">
        <w:rPr>
          <w:i/>
          <w:iCs/>
        </w:rPr>
        <w:t>et al</w:t>
      </w:r>
      <w:r w:rsidRPr="002C7324">
        <w:t>. (2020) in tape strip samples obtained from human volunteers (</w:t>
      </w:r>
      <w:r w:rsidRPr="002C7324">
        <w:rPr>
          <w:i/>
          <w:iCs/>
        </w:rPr>
        <w:t xml:space="preserve">n </w:t>
      </w:r>
      <w:r w:rsidRPr="002C7324">
        <w:t xml:space="preserve">= 12) treated with </w:t>
      </w:r>
      <w:r w:rsidRPr="002C7324">
        <w:rPr>
          <w:rFonts w:eastAsia="CharisSIL" w:cs="CharisSIL"/>
        </w:rPr>
        <w:t xml:space="preserve">100 </w:t>
      </w:r>
      <w:proofErr w:type="spellStart"/>
      <w:r w:rsidRPr="002C7324">
        <w:rPr>
          <w:rFonts w:eastAsia="CharisSIL" w:cs="CharisSIL"/>
        </w:rPr>
        <w:t>μg</w:t>
      </w:r>
      <w:proofErr w:type="spellEnd"/>
      <w:r w:rsidRPr="002C7324">
        <w:rPr>
          <w:rFonts w:eastAsia="CharisSIL" w:cs="CharisSIL"/>
        </w:rPr>
        <w:t>/mL</w:t>
      </w:r>
      <w:r w:rsidRPr="002C7324">
        <w:t xml:space="preserve"> of the compound emulsified in cosmetic oil/water formulation (5% w/w) and applied at </w:t>
      </w:r>
      <w:r w:rsidRPr="002C7324">
        <w:rPr>
          <w:rFonts w:eastAsia="CharisSIL" w:cs="CharisSIL"/>
        </w:rPr>
        <w:t>2.0 mg/2.25 cm</w:t>
      </w:r>
      <w:r w:rsidRPr="002C7324">
        <w:rPr>
          <w:rFonts w:eastAsia="CharisSIL" w:cs="CharisSIL"/>
          <w:vertAlign w:val="superscript"/>
        </w:rPr>
        <w:t>2</w:t>
      </w:r>
      <w:r w:rsidRPr="002C7324">
        <w:t xml:space="preserve"> for 2 h. However, only first 10 </w:t>
      </w:r>
      <w:proofErr w:type="spellStart"/>
      <w:r w:rsidRPr="002C7324">
        <w:t>μm</w:t>
      </w:r>
      <w:proofErr w:type="spellEnd"/>
      <w:r w:rsidRPr="002C7324">
        <w:t xml:space="preserve"> of the upper layers was collected (thickness of stratum corneum is ~30 </w:t>
      </w:r>
      <w:proofErr w:type="spellStart"/>
      <w:r w:rsidRPr="002C7324">
        <w:t>μm</w:t>
      </w:r>
      <w:proofErr w:type="spellEnd"/>
      <w:r w:rsidRPr="002C7324">
        <w:t xml:space="preserve">) and given that the total recovery observed in this section was </w:t>
      </w:r>
      <w:r w:rsidRPr="002C7324">
        <w:rPr>
          <w:rFonts w:eastAsia="CharisSIL" w:cs="CharisSIL"/>
        </w:rPr>
        <w:t>56.34</w:t>
      </w:r>
      <w:r w:rsidRPr="002C7324">
        <w:t xml:space="preserve"> %, the authors concluded that the remaining 44.66% of the dose penetrated deeper strata. </w:t>
      </w:r>
    </w:p>
    <w:p w14:paraId="6821E9FF" w14:textId="77777777" w:rsidR="00667553" w:rsidRDefault="00667553" w:rsidP="003E097B">
      <w:r w:rsidRPr="0074486E">
        <w:t xml:space="preserve">An </w:t>
      </w:r>
      <w:r w:rsidRPr="0074486E">
        <w:rPr>
          <w:i/>
        </w:rPr>
        <w:t>in vivo</w:t>
      </w:r>
      <w:r w:rsidRPr="0074486E">
        <w:t xml:space="preserve"> study investigating the penetration of </w:t>
      </w:r>
      <w:proofErr w:type="spellStart"/>
      <w:r w:rsidRPr="0074486E">
        <w:t>ethylhexyl</w:t>
      </w:r>
      <w:proofErr w:type="spellEnd"/>
      <w:r w:rsidRPr="0074486E">
        <w:t xml:space="preserve"> </w:t>
      </w:r>
      <w:proofErr w:type="spellStart"/>
      <w:r w:rsidRPr="0074486E">
        <w:t>triazone</w:t>
      </w:r>
      <w:proofErr w:type="spellEnd"/>
      <w:r w:rsidRPr="0074486E">
        <w:t xml:space="preserve"> in human stratum corneum demonstrated that </w:t>
      </w:r>
      <w:r w:rsidRPr="0074486E">
        <w:rPr>
          <w:bCs/>
        </w:rPr>
        <w:t>21.9% (± 4.9)</w:t>
      </w:r>
      <w:r w:rsidRPr="0074486E">
        <w:t xml:space="preserve"> of the applied </w:t>
      </w:r>
      <w:proofErr w:type="spellStart"/>
      <w:r w:rsidRPr="0074486E">
        <w:t>ethylhexyl</w:t>
      </w:r>
      <w:proofErr w:type="spellEnd"/>
      <w:r w:rsidRPr="0074486E">
        <w:t xml:space="preserve"> </w:t>
      </w:r>
      <w:proofErr w:type="spellStart"/>
      <w:r w:rsidRPr="0074486E">
        <w:t>triazone</w:t>
      </w:r>
      <w:proofErr w:type="spellEnd"/>
      <w:r w:rsidRPr="0074486E">
        <w:t xml:space="preserve"> dose diffused into the stratum corneum. However, the skin penetration reduced significantly (</w:t>
      </w:r>
      <w:r>
        <w:t xml:space="preserve">by </w:t>
      </w:r>
      <w:r w:rsidRPr="0074486E">
        <w:t xml:space="preserve">45.7%) when </w:t>
      </w:r>
      <w:proofErr w:type="spellStart"/>
      <w:r w:rsidRPr="0074486E">
        <w:t>ethylhexyl</w:t>
      </w:r>
      <w:proofErr w:type="spellEnd"/>
      <w:r w:rsidRPr="0074486E">
        <w:t xml:space="preserve"> </w:t>
      </w:r>
      <w:proofErr w:type="spellStart"/>
      <w:r w:rsidRPr="0074486E">
        <w:t>triazone</w:t>
      </w:r>
      <w:proofErr w:type="spellEnd"/>
      <w:r w:rsidRPr="0074486E">
        <w:t xml:space="preserve"> was applied in microencapsulated form (Scalia </w:t>
      </w:r>
      <w:r w:rsidRPr="0074486E">
        <w:rPr>
          <w:i/>
        </w:rPr>
        <w:t>et al.</w:t>
      </w:r>
      <w:r w:rsidRPr="0074486E">
        <w:t xml:space="preserve"> 2019).  </w:t>
      </w:r>
    </w:p>
    <w:p w14:paraId="781AD9E3" w14:textId="77777777" w:rsidR="00667553" w:rsidRPr="009C5979" w:rsidRDefault="00667553" w:rsidP="003E097B">
      <w:r w:rsidRPr="006071CA">
        <w:rPr>
          <w:iCs/>
        </w:rPr>
        <w:t xml:space="preserve">In the absence of an appropriate dermal absorption value for </w:t>
      </w:r>
      <w:proofErr w:type="spellStart"/>
      <w:r w:rsidRPr="006071CA">
        <w:rPr>
          <w:iCs/>
        </w:rPr>
        <w:t>ethylhexyl</w:t>
      </w:r>
      <w:proofErr w:type="spellEnd"/>
      <w:r w:rsidRPr="006071CA">
        <w:rPr>
          <w:iCs/>
        </w:rPr>
        <w:t xml:space="preserve"> </w:t>
      </w:r>
      <w:proofErr w:type="spellStart"/>
      <w:r w:rsidRPr="006071CA">
        <w:rPr>
          <w:iCs/>
        </w:rPr>
        <w:t>triazone</w:t>
      </w:r>
      <w:proofErr w:type="spellEnd"/>
      <w:r w:rsidRPr="006071CA">
        <w:rPr>
          <w:iCs/>
        </w:rPr>
        <w:t>, a</w:t>
      </w:r>
      <w:r w:rsidRPr="002C7324">
        <w:rPr>
          <w:b/>
          <w:bCs/>
          <w:iCs/>
        </w:rPr>
        <w:t xml:space="preserve"> dermal absorption</w:t>
      </w:r>
      <w:r>
        <w:rPr>
          <w:b/>
          <w:bCs/>
          <w:iCs/>
        </w:rPr>
        <w:t xml:space="preserve"> of 10%</w:t>
      </w:r>
      <w:r w:rsidRPr="006071CA">
        <w:rPr>
          <w:iCs/>
        </w:rPr>
        <w:t xml:space="preserve"> was assume</w:t>
      </w:r>
      <w:r w:rsidRPr="002C7324">
        <w:rPr>
          <w:iCs/>
        </w:rPr>
        <w:t>d based upon physicochemical parameters.</w:t>
      </w:r>
      <w:r w:rsidRPr="00455EC8">
        <w:rPr>
          <w:b/>
          <w:bCs/>
          <w:iCs/>
        </w:rPr>
        <w:t xml:space="preserve"> </w:t>
      </w:r>
    </w:p>
    <w:p w14:paraId="4A142BE4" w14:textId="77777777" w:rsidR="001B20AA" w:rsidRDefault="001B20AA" w:rsidP="001B20AA">
      <w:pPr>
        <w:pStyle w:val="Heading4"/>
      </w:pPr>
      <w:bookmarkStart w:id="41" w:name="_Toc190944905"/>
      <w:bookmarkStart w:id="42" w:name="_Toc199254942"/>
      <w:proofErr w:type="spellStart"/>
      <w:r>
        <w:t>Homosalate</w:t>
      </w:r>
      <w:bookmarkEnd w:id="41"/>
      <w:bookmarkEnd w:id="42"/>
      <w:proofErr w:type="spellEnd"/>
    </w:p>
    <w:p w14:paraId="02E49E80" w14:textId="77777777" w:rsidR="001B20AA" w:rsidRPr="008F1AED" w:rsidRDefault="001B20AA" w:rsidP="003E097B">
      <w:r w:rsidRPr="008F1AED">
        <w:t xml:space="preserve">Studies in animals and human skin showed that </w:t>
      </w:r>
      <w:proofErr w:type="spellStart"/>
      <w:r w:rsidRPr="008F1AED">
        <w:t>homosalate</w:t>
      </w:r>
      <w:proofErr w:type="spellEnd"/>
      <w:r w:rsidRPr="008F1AED">
        <w:t xml:space="preserve"> could penetrate the skin in a variable manner. </w:t>
      </w:r>
      <w:r w:rsidRPr="008A6B9A">
        <w:rPr>
          <w:i/>
        </w:rPr>
        <w:t>In vitro</w:t>
      </w:r>
      <w:r w:rsidRPr="008F1AED">
        <w:t xml:space="preserve"> experiments indicated that about 1.1% of the applied dose was absorbed </w:t>
      </w:r>
      <w:r>
        <w:t>by</w:t>
      </w:r>
      <w:r w:rsidRPr="008F1AED">
        <w:t xml:space="preserve"> human skin (range: 0.9-2.0</w:t>
      </w:r>
      <w:bookmarkStart w:id="43" w:name="_Ref68795902"/>
      <w:r w:rsidRPr="008F1AED">
        <w:t xml:space="preserve">%) (CTFA 2005). </w:t>
      </w:r>
    </w:p>
    <w:bookmarkEnd w:id="43"/>
    <w:p w14:paraId="22C8C2AF" w14:textId="77777777" w:rsidR="001B20AA" w:rsidRPr="008F1AED" w:rsidRDefault="001B20AA" w:rsidP="003E097B">
      <w:r w:rsidRPr="008F1AED">
        <w:t xml:space="preserve">Maximum plasma concentrations of </w:t>
      </w:r>
      <w:proofErr w:type="spellStart"/>
      <w:r w:rsidRPr="008F1AED">
        <w:t>homosalate</w:t>
      </w:r>
      <w:proofErr w:type="spellEnd"/>
      <w:r w:rsidRPr="008F1AED">
        <w:t xml:space="preserve"> after topical application varied between 13.9 and 23.1 ng/ml and t</w:t>
      </w:r>
      <w:r w:rsidRPr="008F1AED">
        <w:rPr>
          <w:vertAlign w:val="subscript"/>
        </w:rPr>
        <w:t>½</w:t>
      </w:r>
      <w:r w:rsidRPr="008F1AED">
        <w:t xml:space="preserve"> between 46.9 and 78.4 h in clinical trials</w:t>
      </w:r>
      <w:r w:rsidRPr="00F14273">
        <w:t xml:space="preserve"> </w:t>
      </w:r>
      <w:r w:rsidRPr="002C7324">
        <w:t>(</w:t>
      </w:r>
      <w:r w:rsidRPr="00F14273">
        <w:t>see</w:t>
      </w:r>
      <w:r>
        <w:t xml:space="preserve"> Clinical Trials).</w:t>
      </w:r>
      <w:r w:rsidRPr="00F14273">
        <w:t xml:space="preserve"> </w:t>
      </w:r>
      <w:proofErr w:type="spellStart"/>
      <w:r w:rsidRPr="008F1AED">
        <w:t>Homosalate</w:t>
      </w:r>
      <w:proofErr w:type="spellEnd"/>
      <w:r w:rsidRPr="008F1AED">
        <w:t xml:space="preserve"> was also detected in human milk samples after topical application in samples from different cohorts (2004, 2005, 2006) (Schlumpf </w:t>
      </w:r>
      <w:r w:rsidRPr="008F1AED">
        <w:rPr>
          <w:i/>
        </w:rPr>
        <w:t>et al.</w:t>
      </w:r>
      <w:r w:rsidRPr="008F1AED">
        <w:t xml:space="preserve"> 2010). 15.1% of mothers reported use of </w:t>
      </w:r>
      <w:proofErr w:type="spellStart"/>
      <w:r w:rsidRPr="008F1AED">
        <w:t>homosalate</w:t>
      </w:r>
      <w:proofErr w:type="spellEnd"/>
      <w:r w:rsidRPr="008F1AED">
        <w:t xml:space="preserve"> exclusively in sunscreens with no additional use of other cosmetics. </w:t>
      </w:r>
      <w:proofErr w:type="spellStart"/>
      <w:r w:rsidRPr="008F1AED">
        <w:t>Homosalate</w:t>
      </w:r>
      <w:proofErr w:type="spellEnd"/>
      <w:r w:rsidRPr="008F1AED">
        <w:t xml:space="preserve"> was detected in 5.56% of total milk samples. However, </w:t>
      </w:r>
      <w:proofErr w:type="spellStart"/>
      <w:r w:rsidRPr="008F1AED">
        <w:t>homosalate</w:t>
      </w:r>
      <w:proofErr w:type="spellEnd"/>
      <w:r w:rsidRPr="008F1AED">
        <w:t xml:space="preserve"> could not be detected in </w:t>
      </w:r>
      <w:r w:rsidRPr="00D045A0">
        <w:t xml:space="preserve">human breast </w:t>
      </w:r>
      <w:r w:rsidRPr="002C7324">
        <w:t xml:space="preserve">tissue </w:t>
      </w:r>
      <w:r w:rsidRPr="00D045A0">
        <w:t>samples</w:t>
      </w:r>
      <w:r w:rsidRPr="008F1AED">
        <w:t xml:space="preserve"> (Barr 2018).</w:t>
      </w:r>
    </w:p>
    <w:p w14:paraId="07D02625" w14:textId="05994AD9" w:rsidR="001B20AA" w:rsidRPr="00B4001E" w:rsidRDefault="001B20AA" w:rsidP="003E097B">
      <w:pPr>
        <w:rPr>
          <w:rFonts w:eastAsia="Times New Roman"/>
          <w:lang w:eastAsia="en-AU"/>
        </w:rPr>
      </w:pPr>
      <w:r w:rsidRPr="00B4001E">
        <w:rPr>
          <w:rFonts w:eastAsia="Times New Roman"/>
          <w:lang w:eastAsia="en-AU"/>
        </w:rPr>
        <w:t xml:space="preserve">The </w:t>
      </w:r>
      <w:r w:rsidRPr="00B4001E">
        <w:rPr>
          <w:rFonts w:eastAsia="Times New Roman"/>
          <w:i/>
          <w:lang w:eastAsia="en-AU"/>
        </w:rPr>
        <w:t>in vitro</w:t>
      </w:r>
      <w:r w:rsidRPr="00B4001E">
        <w:rPr>
          <w:rFonts w:eastAsia="Times New Roman"/>
          <w:lang w:eastAsia="en-AU"/>
        </w:rPr>
        <w:t xml:space="preserve"> metabolism of </w:t>
      </w:r>
      <w:proofErr w:type="spellStart"/>
      <w:r w:rsidRPr="00B4001E">
        <w:rPr>
          <w:rFonts w:eastAsia="Times New Roman"/>
          <w:lang w:eastAsia="en-AU"/>
        </w:rPr>
        <w:t>homosalate</w:t>
      </w:r>
      <w:proofErr w:type="spellEnd"/>
      <w:r w:rsidRPr="00B4001E">
        <w:rPr>
          <w:rFonts w:eastAsia="Times New Roman"/>
          <w:lang w:eastAsia="en-AU"/>
        </w:rPr>
        <w:t xml:space="preserve"> was investigated in rat and human liver microsomes. </w:t>
      </w:r>
      <w:proofErr w:type="spellStart"/>
      <w:r w:rsidRPr="00B4001E">
        <w:rPr>
          <w:rFonts w:eastAsia="Times New Roman"/>
          <w:lang w:eastAsia="en-AU"/>
        </w:rPr>
        <w:t>Homosalate</w:t>
      </w:r>
      <w:proofErr w:type="spellEnd"/>
      <w:r w:rsidRPr="00B4001E">
        <w:rPr>
          <w:rFonts w:eastAsia="Times New Roman"/>
          <w:lang w:eastAsia="en-AU"/>
        </w:rPr>
        <w:t xml:space="preserve"> (10 mM) incubated with human or rat liver microsomes (1 mg/ml protein) was hydrolysed into salicylic acid and 3,3, 5-trimethylcyclohexanol. In addition, conjugation and hydroxylation of intact </w:t>
      </w:r>
      <w:proofErr w:type="spellStart"/>
      <w:r w:rsidRPr="00B4001E">
        <w:rPr>
          <w:rFonts w:eastAsia="Times New Roman"/>
          <w:lang w:eastAsia="en-AU"/>
        </w:rPr>
        <w:t>homosalate</w:t>
      </w:r>
      <w:proofErr w:type="spellEnd"/>
      <w:r w:rsidRPr="00B4001E">
        <w:rPr>
          <w:rFonts w:eastAsia="Times New Roman"/>
          <w:lang w:eastAsia="en-AU"/>
        </w:rPr>
        <w:t xml:space="preserve"> was detected </w:t>
      </w:r>
      <w:r w:rsidRPr="00B4001E">
        <w:rPr>
          <w:rFonts w:eastAsia="Times New Roman"/>
          <w:i/>
          <w:iCs/>
          <w:lang w:eastAsia="en-AU"/>
        </w:rPr>
        <w:t>in vitro</w:t>
      </w:r>
      <w:r w:rsidRPr="00B4001E">
        <w:rPr>
          <w:rFonts w:eastAsia="Times New Roman"/>
          <w:lang w:eastAsia="en-AU"/>
        </w:rPr>
        <w:t xml:space="preserve">. </w:t>
      </w:r>
    </w:p>
    <w:p w14:paraId="155C0A06" w14:textId="7820DFDC" w:rsidR="001B20AA" w:rsidRPr="00B4001E" w:rsidRDefault="001B20AA" w:rsidP="003E097B">
      <w:pPr>
        <w:rPr>
          <w:rFonts w:eastAsia="Times New Roman"/>
          <w:lang w:eastAsia="en-AU"/>
        </w:rPr>
      </w:pPr>
      <w:r w:rsidRPr="002C7324">
        <w:rPr>
          <w:rFonts w:eastAsia="Times New Roman"/>
          <w:lang w:eastAsia="en-AU"/>
        </w:rPr>
        <w:t>Commercial products often contain mixtures of cis- and trans-</w:t>
      </w:r>
      <w:proofErr w:type="spellStart"/>
      <w:r w:rsidRPr="002C7324">
        <w:rPr>
          <w:rFonts w:eastAsia="Times New Roman"/>
          <w:lang w:eastAsia="en-AU"/>
        </w:rPr>
        <w:t>homosalate</w:t>
      </w:r>
      <w:proofErr w:type="spellEnd"/>
      <w:r w:rsidRPr="002C7324">
        <w:rPr>
          <w:rFonts w:eastAsia="Times New Roman"/>
          <w:lang w:eastAsia="en-AU"/>
        </w:rPr>
        <w:t xml:space="preserve"> isomers (</w:t>
      </w:r>
      <w:r w:rsidRPr="002C7324">
        <w:rPr>
          <w:rFonts w:eastAsia="Times New Roman"/>
          <w:i/>
          <w:iCs/>
          <w:lang w:eastAsia="en-AU"/>
        </w:rPr>
        <w:t>cis</w:t>
      </w:r>
      <w:r w:rsidRPr="002C7324">
        <w:rPr>
          <w:rFonts w:eastAsia="Times New Roman"/>
          <w:lang w:eastAsia="en-AU"/>
        </w:rPr>
        <w:t xml:space="preserve">-HMS and </w:t>
      </w:r>
      <w:r w:rsidRPr="002C7324">
        <w:rPr>
          <w:rFonts w:eastAsia="Times New Roman"/>
          <w:i/>
          <w:iCs/>
          <w:lang w:eastAsia="en-AU"/>
        </w:rPr>
        <w:t>trans</w:t>
      </w:r>
      <w:r w:rsidRPr="002C7324">
        <w:rPr>
          <w:rFonts w:eastAsia="Times New Roman"/>
          <w:lang w:eastAsia="en-AU"/>
        </w:rPr>
        <w:t xml:space="preserve">-HMS respectively). Ebert </w:t>
      </w:r>
      <w:r w:rsidRPr="002C7324">
        <w:rPr>
          <w:rFonts w:eastAsia="Times New Roman"/>
          <w:i/>
          <w:iCs/>
          <w:lang w:eastAsia="en-AU"/>
        </w:rPr>
        <w:t>et al.</w:t>
      </w:r>
      <w:r w:rsidRPr="002C7324">
        <w:rPr>
          <w:rFonts w:eastAsia="Times New Roman"/>
          <w:lang w:eastAsia="en-AU"/>
        </w:rPr>
        <w:t xml:space="preserve"> (2022) reported 87.2 - 91.9% of </w:t>
      </w:r>
      <w:r w:rsidRPr="002C7324">
        <w:rPr>
          <w:rFonts w:eastAsia="Times New Roman"/>
          <w:i/>
          <w:iCs/>
          <w:lang w:eastAsia="en-AU"/>
        </w:rPr>
        <w:t>cis</w:t>
      </w:r>
      <w:r w:rsidRPr="002C7324">
        <w:rPr>
          <w:rFonts w:eastAsia="Times New Roman"/>
          <w:lang w:eastAsia="en-AU"/>
        </w:rPr>
        <w:t xml:space="preserve">-HMS and 8.1-12.8% of </w:t>
      </w:r>
      <w:r w:rsidRPr="002C7324">
        <w:rPr>
          <w:rFonts w:eastAsia="Times New Roman"/>
          <w:i/>
          <w:iCs/>
          <w:lang w:eastAsia="en-AU"/>
        </w:rPr>
        <w:t>trans</w:t>
      </w:r>
      <w:r w:rsidRPr="002C7324">
        <w:rPr>
          <w:rFonts w:eastAsia="Times New Roman"/>
          <w:lang w:eastAsia="en-AU"/>
        </w:rPr>
        <w:t xml:space="preserve">-HMS in total </w:t>
      </w:r>
      <w:proofErr w:type="spellStart"/>
      <w:r w:rsidRPr="002C7324">
        <w:rPr>
          <w:rFonts w:eastAsia="Times New Roman"/>
          <w:lang w:eastAsia="en-AU"/>
        </w:rPr>
        <w:t>homosalate</w:t>
      </w:r>
      <w:proofErr w:type="spellEnd"/>
      <w:r w:rsidRPr="002C7324">
        <w:rPr>
          <w:rFonts w:eastAsia="Times New Roman"/>
          <w:lang w:eastAsia="en-AU"/>
        </w:rPr>
        <w:t xml:space="preserve"> content in 10 examined sunscreen products. However, following oral administration, </w:t>
      </w:r>
      <w:proofErr w:type="spellStart"/>
      <w:r w:rsidRPr="002C7324">
        <w:rPr>
          <w:rFonts w:eastAsia="Times New Roman"/>
          <w:lang w:eastAsia="en-AU"/>
        </w:rPr>
        <w:t>homosalate</w:t>
      </w:r>
      <w:proofErr w:type="spellEnd"/>
      <w:r w:rsidRPr="002C7324">
        <w:rPr>
          <w:rFonts w:eastAsia="Times New Roman"/>
          <w:lang w:eastAsia="en-AU"/>
        </w:rPr>
        <w:t xml:space="preserve"> isomers displayed diastereoselective metabolism, which was skewed towards </w:t>
      </w:r>
      <w:r w:rsidRPr="002C7324">
        <w:rPr>
          <w:rFonts w:eastAsia="Times New Roman"/>
          <w:i/>
          <w:iCs/>
          <w:lang w:eastAsia="en-AU"/>
        </w:rPr>
        <w:t>trans</w:t>
      </w:r>
      <w:r w:rsidRPr="002C7324">
        <w:rPr>
          <w:rFonts w:eastAsia="Times New Roman"/>
          <w:lang w:eastAsia="en-AU"/>
        </w:rPr>
        <w:t xml:space="preserve">-HMS e.g., metabolite levels derived from </w:t>
      </w:r>
      <w:r w:rsidRPr="002C7324">
        <w:rPr>
          <w:rFonts w:eastAsia="Times New Roman"/>
          <w:i/>
          <w:iCs/>
          <w:lang w:eastAsia="en-AU"/>
        </w:rPr>
        <w:t>trans</w:t>
      </w:r>
      <w:r w:rsidRPr="002C7324">
        <w:rPr>
          <w:rFonts w:eastAsia="Times New Roman"/>
          <w:lang w:eastAsia="en-AU"/>
        </w:rPr>
        <w:t xml:space="preserve">-HMS (6.4 %), including carboxylic acid and alkyl-hydroxylated compounds, were 142-fold higher compared to </w:t>
      </w:r>
      <w:r w:rsidRPr="002C7324">
        <w:rPr>
          <w:rFonts w:eastAsia="Times New Roman"/>
          <w:i/>
          <w:iCs/>
          <w:lang w:eastAsia="en-AU"/>
        </w:rPr>
        <w:t>cis</w:t>
      </w:r>
      <w:r w:rsidRPr="002C7324">
        <w:rPr>
          <w:rFonts w:eastAsia="Times New Roman"/>
          <w:lang w:eastAsia="en-AU"/>
        </w:rPr>
        <w:t xml:space="preserve">-HMS (0.045 %) while its bioavailability was 10-times higher. Although it is currently unknown whether </w:t>
      </w:r>
      <w:proofErr w:type="spellStart"/>
      <w:r w:rsidRPr="002C7324">
        <w:rPr>
          <w:rFonts w:eastAsia="Times New Roman"/>
          <w:lang w:eastAsia="en-AU"/>
        </w:rPr>
        <w:t>homosalate</w:t>
      </w:r>
      <w:proofErr w:type="spellEnd"/>
      <w:r w:rsidRPr="002C7324">
        <w:rPr>
          <w:rFonts w:eastAsia="Times New Roman"/>
          <w:lang w:eastAsia="en-AU"/>
        </w:rPr>
        <w:t xml:space="preserve"> applied dermally also undergoes divergent isomer metabolism, preliminary data of Ebert </w:t>
      </w:r>
      <w:r w:rsidRPr="002C7324">
        <w:rPr>
          <w:rFonts w:eastAsia="Times New Roman"/>
          <w:i/>
          <w:iCs/>
          <w:lang w:eastAsia="en-AU"/>
        </w:rPr>
        <w:t>et al.</w:t>
      </w:r>
      <w:r w:rsidRPr="002C7324">
        <w:rPr>
          <w:rFonts w:eastAsia="Times New Roman"/>
          <w:lang w:eastAsia="en-AU"/>
        </w:rPr>
        <w:t xml:space="preserve"> agree with the findings from the oral study.</w:t>
      </w:r>
    </w:p>
    <w:p w14:paraId="06F94733" w14:textId="4160967A" w:rsidR="001B20AA" w:rsidRPr="00642B1D" w:rsidRDefault="001B20AA" w:rsidP="003E097B">
      <w:pPr>
        <w:rPr>
          <w:rFonts w:eastAsia="Times New Roman"/>
          <w:lang w:eastAsia="en-AU"/>
        </w:rPr>
      </w:pPr>
      <w:r>
        <w:rPr>
          <w:rFonts w:eastAsia="Times New Roman"/>
          <w:lang w:eastAsia="en-AU"/>
        </w:rPr>
        <w:lastRenderedPageBreak/>
        <w:t>T</w:t>
      </w:r>
      <w:r w:rsidRPr="00B4001E">
        <w:rPr>
          <w:rFonts w:eastAsia="Times New Roman"/>
          <w:lang w:eastAsia="en-AU"/>
        </w:rPr>
        <w:t xml:space="preserve">he SCCS selected a new skin penetration study using human skin from which </w:t>
      </w:r>
      <w:r w:rsidRPr="008F1AED">
        <w:rPr>
          <w:rFonts w:eastAsia="Times New Roman"/>
          <w:b/>
          <w:bCs/>
          <w:lang w:eastAsia="en-AU"/>
        </w:rPr>
        <w:t>a dermal absorption of</w:t>
      </w:r>
      <w:r w:rsidRPr="00B4001E">
        <w:rPr>
          <w:rFonts w:eastAsia="Times New Roman"/>
          <w:lang w:eastAsia="en-AU"/>
        </w:rPr>
        <w:t xml:space="preserve"> </w:t>
      </w:r>
      <w:r w:rsidRPr="008F1AED">
        <w:rPr>
          <w:rFonts w:eastAsia="Times New Roman"/>
          <w:b/>
          <w:bCs/>
          <w:lang w:eastAsia="en-AU"/>
        </w:rPr>
        <w:t>5.3%</w:t>
      </w:r>
      <w:r w:rsidRPr="00B4001E">
        <w:rPr>
          <w:rFonts w:eastAsia="Times New Roman"/>
          <w:lang w:eastAsia="en-AU"/>
        </w:rPr>
        <w:t xml:space="preserve"> (mean + 1SD: 3.86±1.43) was derived</w:t>
      </w:r>
      <w:r>
        <w:rPr>
          <w:rFonts w:eastAsia="Times New Roman"/>
          <w:lang w:eastAsia="en-AU"/>
        </w:rPr>
        <w:t xml:space="preserve"> (SCCS 2021b)</w:t>
      </w:r>
      <w:r w:rsidRPr="00B4001E">
        <w:t>.</w:t>
      </w:r>
      <w:r w:rsidRPr="00B4001E">
        <w:rPr>
          <w:rStyle w:val="FootnoteReference"/>
          <w:rFonts w:ascii="Cambria" w:eastAsia="Cambria" w:hAnsi="Cambria" w:cs="AdvOT596495f2"/>
          <w:sz w:val="22"/>
          <w:szCs w:val="22"/>
        </w:rPr>
        <w:footnoteReference w:id="7"/>
      </w:r>
    </w:p>
    <w:p w14:paraId="242D19CA" w14:textId="77777777" w:rsidR="001B20AA" w:rsidRDefault="001B20AA" w:rsidP="001B20AA">
      <w:pPr>
        <w:pStyle w:val="Heading4"/>
      </w:pPr>
      <w:bookmarkStart w:id="44" w:name="_Toc190944906"/>
      <w:bookmarkStart w:id="45" w:name="_Toc199254943"/>
      <w:r>
        <w:t>Octocrylene</w:t>
      </w:r>
      <w:bookmarkEnd w:id="44"/>
      <w:bookmarkEnd w:id="45"/>
    </w:p>
    <w:p w14:paraId="71431EF1" w14:textId="77777777" w:rsidR="001B20AA" w:rsidRPr="00CA39C6" w:rsidRDefault="001B20AA" w:rsidP="003E097B">
      <w:r w:rsidRPr="0074486E">
        <w:t>Octocrylene is expected to be absorbed in the GI tract by micellar solubilisation based on its physicochemical properties (ECHA 2020</w:t>
      </w:r>
      <w:r>
        <w:t>d</w:t>
      </w:r>
      <w:r w:rsidRPr="0074486E">
        <w:t>).</w:t>
      </w:r>
      <w:r w:rsidRPr="0074486E" w:rsidDel="00021679">
        <w:rPr>
          <w:vertAlign w:val="superscript"/>
        </w:rPr>
        <w:t xml:space="preserve"> </w:t>
      </w:r>
      <w:r w:rsidRPr="0074486E">
        <w:t>The inhalational uptake of octocrylene is likely to be low due to the very low vapour pressure (4</w:t>
      </w:r>
      <w:r>
        <w:t xml:space="preserve"> x</w:t>
      </w:r>
      <w:r w:rsidRPr="0074486E">
        <w:t>10</w:t>
      </w:r>
      <w:r w:rsidRPr="0074486E">
        <w:rPr>
          <w:vertAlign w:val="superscript"/>
        </w:rPr>
        <w:t>-7</w:t>
      </w:r>
      <w:r w:rsidRPr="0074486E">
        <w:t xml:space="preserve"> Pa at 20°C) (ECHA 2020</w:t>
      </w:r>
      <w:r>
        <w:t>d</w:t>
      </w:r>
      <w:r w:rsidRPr="0074486E">
        <w:t>).</w:t>
      </w:r>
      <w:r w:rsidRPr="0074486E" w:rsidDel="00A67305">
        <w:rPr>
          <w:vertAlign w:val="superscript"/>
        </w:rPr>
        <w:t xml:space="preserve"> </w:t>
      </w:r>
    </w:p>
    <w:p w14:paraId="3706E51C" w14:textId="77777777" w:rsidR="001B20AA" w:rsidRPr="0074486E" w:rsidRDefault="001B20AA" w:rsidP="003E097B">
      <w:r w:rsidRPr="00FD09E2">
        <w:t>Octocrylene has been found to induce xenobiotic-metabolising enzymes based on mechanistic studies, oral repeated dose toxicity and reproductive/developmental toxicity studies (SCCS 2021</w:t>
      </w:r>
      <w:r>
        <w:t>d</w:t>
      </w:r>
      <w:r w:rsidRPr="00FD09E2">
        <w:t>; ECHA 2020</w:t>
      </w:r>
      <w:r>
        <w:t>d</w:t>
      </w:r>
      <w:r w:rsidRPr="00FD09E2">
        <w:t xml:space="preserve">). An </w:t>
      </w:r>
      <w:r w:rsidRPr="00FD09E2">
        <w:rPr>
          <w:i/>
        </w:rPr>
        <w:t>in vitro</w:t>
      </w:r>
      <w:r w:rsidRPr="00FD09E2">
        <w:t xml:space="preserve"> study on the hydrolysis-stability in rat liver S9 fraction indicated that octocrylene was metabolized in liver S9 fraction only (ECHA 2020</w:t>
      </w:r>
      <w:r>
        <w:t>d</w:t>
      </w:r>
      <w:r w:rsidRPr="00FD09E2">
        <w:t>).</w:t>
      </w:r>
      <w:r w:rsidRPr="0074486E">
        <w:t xml:space="preserve"> </w:t>
      </w:r>
    </w:p>
    <w:p w14:paraId="1E9029D5" w14:textId="77777777" w:rsidR="001B20AA" w:rsidRPr="0074486E" w:rsidRDefault="001B20AA" w:rsidP="003E097B">
      <w:r w:rsidRPr="0074486E">
        <w:rPr>
          <w:bCs/>
        </w:rPr>
        <w:t>Human octocrylene metabolism and the pathways w</w:t>
      </w:r>
      <w:r>
        <w:rPr>
          <w:bCs/>
        </w:rPr>
        <w:t>ere</w:t>
      </w:r>
      <w:r w:rsidRPr="0074486E">
        <w:rPr>
          <w:bCs/>
        </w:rPr>
        <w:t xml:space="preserve"> described by Bury </w:t>
      </w:r>
      <w:r w:rsidRPr="0074486E">
        <w:rPr>
          <w:bCs/>
          <w:i/>
        </w:rPr>
        <w:t>et al.,</w:t>
      </w:r>
      <w:r w:rsidRPr="0074486E">
        <w:rPr>
          <w:bCs/>
        </w:rPr>
        <w:t xml:space="preserve"> (2019). </w:t>
      </w:r>
      <w:r w:rsidRPr="0074486E">
        <w:t>Six metabolites of octocrylene were detected in human urine after both oral and dermal exposure simulating a regular-use scenario with whole body application to octocrylene. 2-cyano-3,3-diphenylacrylic acid (CDAA) was identified as the major urinary metabolite (~45% of the octocrylene dose) followed by 2-ethyl-5-hydroxyhexyl 2-cyano-3,3-diphenyl acrylate (5OH–OC) and 2-(carboxymethyl) butyl 2-cyano-3,3-diphenyl acrylate (</w:t>
      </w:r>
      <w:proofErr w:type="spellStart"/>
      <w:r w:rsidRPr="0074486E">
        <w:t>dinor</w:t>
      </w:r>
      <w:proofErr w:type="spellEnd"/>
      <w:r w:rsidRPr="0074486E">
        <w:t xml:space="preserve"> OC carboxylic acid, DOCCA). Faecal excretion was observed. </w:t>
      </w:r>
      <w:r w:rsidRPr="0074486E">
        <w:rPr>
          <w:i/>
          <w:iCs/>
        </w:rPr>
        <w:t xml:space="preserve">In vitro </w:t>
      </w:r>
      <w:r w:rsidRPr="0074486E">
        <w:rPr>
          <w:iCs/>
        </w:rPr>
        <w:t>study</w:t>
      </w:r>
      <w:r w:rsidRPr="0074486E">
        <w:t xml:space="preserve"> with human and rat liver microsomes</w:t>
      </w:r>
      <w:r w:rsidRPr="0074486E">
        <w:rPr>
          <w:iCs/>
        </w:rPr>
        <w:t xml:space="preserve"> </w:t>
      </w:r>
      <w:r w:rsidRPr="0074486E">
        <w:t xml:space="preserve">in the presence of NADPH and glutathione (GSH) suggested that the ester bond of octocrylene can be hydrolysed to form 3,3-diphenyl cyanoacrylate (DPCA) and 2-ethylhexanol based on the chemical structure of octocrylene (Guesmi </w:t>
      </w:r>
      <w:r w:rsidRPr="0074486E">
        <w:rPr>
          <w:i/>
        </w:rPr>
        <w:t>et al.</w:t>
      </w:r>
      <w:r w:rsidRPr="0074486E">
        <w:t xml:space="preserve"> 2020).</w:t>
      </w:r>
    </w:p>
    <w:p w14:paraId="1BA18EDF" w14:textId="77777777" w:rsidR="001B20AA" w:rsidRPr="0074486E" w:rsidRDefault="001B20AA" w:rsidP="003E097B">
      <w:pPr>
        <w:rPr>
          <w:vertAlign w:val="superscript"/>
        </w:rPr>
      </w:pPr>
      <w:r w:rsidRPr="0074486E">
        <w:t xml:space="preserve">Dermal exposure resulted in much lower concentrations of metabolites with considerably delayed elimination despite much higher octocrylene (&gt; 25-fold) applied dermally (dermal dose 217 mg </w:t>
      </w:r>
      <w:r w:rsidRPr="0074486E">
        <w:rPr>
          <w:i/>
        </w:rPr>
        <w:t>vs</w:t>
      </w:r>
      <w:r w:rsidRPr="0074486E">
        <w:t xml:space="preserve"> oral dose ~5 mg). This suggests a slower uptake of octocrylene through the skin.</w:t>
      </w:r>
      <w:r w:rsidRPr="0074486E">
        <w:rPr>
          <w:vertAlign w:val="superscript"/>
        </w:rPr>
        <w:t xml:space="preserve"> </w:t>
      </w:r>
    </w:p>
    <w:p w14:paraId="1FF2C739" w14:textId="77777777" w:rsidR="001B20AA" w:rsidRPr="00D6781F" w:rsidRDefault="001B20AA" w:rsidP="003E097B">
      <w:pPr>
        <w:pStyle w:val="Tabletitle"/>
        <w:ind w:left="142"/>
      </w:pPr>
      <w:bookmarkStart w:id="46" w:name="_Hlk173139394"/>
      <w:r w:rsidRPr="0074486E">
        <w:t>Toxicokinetic data</w:t>
      </w:r>
      <w:r>
        <w:t xml:space="preserve"> </w:t>
      </w:r>
      <w:r w:rsidRPr="0074486E">
        <w:t>in urine after oral</w:t>
      </w:r>
      <w:r>
        <w:t xml:space="preserve"> </w:t>
      </w:r>
      <w:r w:rsidRPr="0074486E">
        <w:t>and dermal</w:t>
      </w:r>
      <w:r>
        <w:t xml:space="preserve"> </w:t>
      </w:r>
      <w:r w:rsidRPr="0074486E">
        <w:t>exposure to octocrylene</w:t>
      </w:r>
      <w:bookmarkEnd w:id="46"/>
      <w:r w:rsidRPr="0074486E">
        <w:t xml:space="preserve"> (adapted from Bury </w:t>
      </w:r>
      <w:r w:rsidRPr="0094232A">
        <w:rPr>
          <w:i/>
          <w:iCs/>
        </w:rPr>
        <w:t>et a</w:t>
      </w:r>
      <w:r>
        <w:rPr>
          <w:i/>
          <w:iCs/>
        </w:rPr>
        <w:t>l</w:t>
      </w:r>
      <w:r w:rsidRPr="0074486E">
        <w:t xml:space="preserve"> </w:t>
      </w:r>
      <w:proofErr w:type="gramStart"/>
      <w:r w:rsidRPr="0074486E">
        <w:t>2019)</w:t>
      </w:r>
      <w:r>
        <w:t>*</w:t>
      </w:r>
      <w:proofErr w:type="gramEnd"/>
    </w:p>
    <w:tbl>
      <w:tblPr>
        <w:tblW w:w="8749" w:type="dxa"/>
        <w:jc w:val="cente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CellMar>
          <w:top w:w="28" w:type="dxa"/>
          <w:left w:w="57" w:type="dxa"/>
          <w:bottom w:w="28" w:type="dxa"/>
          <w:right w:w="57" w:type="dxa"/>
        </w:tblCellMar>
        <w:tblLook w:val="01E0" w:firstRow="1" w:lastRow="1" w:firstColumn="1" w:lastColumn="1" w:noHBand="0" w:noVBand="0"/>
      </w:tblPr>
      <w:tblGrid>
        <w:gridCol w:w="873"/>
        <w:gridCol w:w="1033"/>
        <w:gridCol w:w="1104"/>
        <w:gridCol w:w="1971"/>
        <w:gridCol w:w="2030"/>
        <w:gridCol w:w="1738"/>
      </w:tblGrid>
      <w:tr w:rsidR="001B20AA" w:rsidRPr="0074486E" w14:paraId="4B6C2F56" w14:textId="77777777" w:rsidTr="003E097B">
        <w:trPr>
          <w:cantSplit/>
          <w:trHeight w:val="111"/>
          <w:tblHeader/>
          <w:jc w:val="center"/>
        </w:trPr>
        <w:tc>
          <w:tcPr>
            <w:tcW w:w="2982" w:type="dxa"/>
            <w:gridSpan w:val="3"/>
            <w:shd w:val="clear" w:color="auto" w:fill="B8CCEA"/>
          </w:tcPr>
          <w:p w14:paraId="3FD190C0" w14:textId="77777777" w:rsidR="001B20AA" w:rsidRPr="003E097B" w:rsidRDefault="001B20AA" w:rsidP="00E07077">
            <w:pPr>
              <w:pStyle w:val="TableHeader"/>
              <w:rPr>
                <w:rFonts w:asciiTheme="minorHAnsi" w:hAnsiTheme="minorHAnsi" w:cstheme="minorHAnsi"/>
                <w:color w:val="263287"/>
                <w:sz w:val="20"/>
                <w:szCs w:val="20"/>
              </w:rPr>
            </w:pPr>
            <w:r w:rsidRPr="003E097B">
              <w:rPr>
                <w:rFonts w:asciiTheme="minorHAnsi" w:hAnsiTheme="minorHAnsi" w:cstheme="minorHAnsi"/>
                <w:color w:val="263287"/>
                <w:sz w:val="20"/>
                <w:szCs w:val="20"/>
              </w:rPr>
              <w:t>Ingredient</w:t>
            </w:r>
          </w:p>
        </w:tc>
        <w:tc>
          <w:tcPr>
            <w:tcW w:w="1981" w:type="dxa"/>
            <w:shd w:val="clear" w:color="auto" w:fill="B8CCEA"/>
            <w:vAlign w:val="center"/>
          </w:tcPr>
          <w:p w14:paraId="65AAF4AF" w14:textId="77777777" w:rsidR="001B20AA" w:rsidRPr="003E097B" w:rsidRDefault="001B20AA" w:rsidP="00E07077">
            <w:pPr>
              <w:pStyle w:val="TableHeader"/>
              <w:rPr>
                <w:rFonts w:asciiTheme="minorHAnsi" w:hAnsiTheme="minorHAnsi" w:cstheme="minorHAnsi"/>
                <w:color w:val="263287"/>
                <w:sz w:val="20"/>
                <w:szCs w:val="20"/>
              </w:rPr>
            </w:pPr>
            <w:r w:rsidRPr="003E097B">
              <w:rPr>
                <w:rFonts w:asciiTheme="minorHAnsi" w:hAnsiTheme="minorHAnsi" w:cstheme="minorHAnsi"/>
                <w:color w:val="263287"/>
                <w:sz w:val="20"/>
                <w:szCs w:val="20"/>
              </w:rPr>
              <w:t>CDAA</w:t>
            </w:r>
          </w:p>
        </w:tc>
        <w:tc>
          <w:tcPr>
            <w:tcW w:w="2041" w:type="dxa"/>
            <w:shd w:val="clear" w:color="auto" w:fill="B8CCEA"/>
            <w:vAlign w:val="center"/>
          </w:tcPr>
          <w:p w14:paraId="6A79BCBB" w14:textId="77777777" w:rsidR="001B20AA" w:rsidRPr="003E097B" w:rsidRDefault="001B20AA" w:rsidP="00E07077">
            <w:pPr>
              <w:pStyle w:val="TableHeader"/>
              <w:rPr>
                <w:rFonts w:asciiTheme="minorHAnsi" w:hAnsiTheme="minorHAnsi" w:cstheme="minorHAnsi"/>
                <w:color w:val="263287"/>
                <w:sz w:val="20"/>
                <w:szCs w:val="20"/>
              </w:rPr>
            </w:pPr>
            <w:r w:rsidRPr="003E097B">
              <w:rPr>
                <w:rFonts w:asciiTheme="minorHAnsi" w:hAnsiTheme="minorHAnsi" w:cstheme="minorHAnsi"/>
                <w:color w:val="263287"/>
                <w:sz w:val="20"/>
                <w:szCs w:val="20"/>
              </w:rPr>
              <w:t>5OH-OC</w:t>
            </w:r>
          </w:p>
        </w:tc>
        <w:tc>
          <w:tcPr>
            <w:tcW w:w="1745" w:type="dxa"/>
            <w:shd w:val="clear" w:color="auto" w:fill="B8CCEA"/>
            <w:tcMar>
              <w:left w:w="57" w:type="dxa"/>
              <w:right w:w="57" w:type="dxa"/>
            </w:tcMar>
            <w:vAlign w:val="center"/>
          </w:tcPr>
          <w:p w14:paraId="5B4A45FF" w14:textId="77777777" w:rsidR="001B20AA" w:rsidRPr="003E097B" w:rsidRDefault="001B20AA" w:rsidP="00E07077">
            <w:pPr>
              <w:pStyle w:val="TableHeader"/>
              <w:rPr>
                <w:rFonts w:asciiTheme="minorHAnsi" w:hAnsiTheme="minorHAnsi" w:cstheme="minorHAnsi"/>
                <w:color w:val="263287"/>
                <w:sz w:val="20"/>
                <w:szCs w:val="20"/>
              </w:rPr>
            </w:pPr>
            <w:r w:rsidRPr="003E097B">
              <w:rPr>
                <w:rFonts w:asciiTheme="minorHAnsi" w:hAnsiTheme="minorHAnsi" w:cstheme="minorHAnsi"/>
                <w:color w:val="263287"/>
                <w:sz w:val="20"/>
                <w:szCs w:val="20"/>
              </w:rPr>
              <w:t>DOCCA</w:t>
            </w:r>
          </w:p>
        </w:tc>
      </w:tr>
      <w:tr w:rsidR="001B20AA" w:rsidRPr="0074486E" w14:paraId="5F0A4348" w14:textId="77777777" w:rsidTr="003E097B">
        <w:trPr>
          <w:cantSplit/>
          <w:trHeight w:val="135"/>
          <w:jc w:val="center"/>
        </w:trPr>
        <w:tc>
          <w:tcPr>
            <w:tcW w:w="841" w:type="dxa"/>
            <w:vMerge w:val="restart"/>
          </w:tcPr>
          <w:p w14:paraId="1060DF12" w14:textId="77777777" w:rsidR="001B20AA" w:rsidRPr="003E097B" w:rsidRDefault="001B20AA" w:rsidP="00E07077">
            <w:pPr>
              <w:pStyle w:val="Tabletextleft"/>
              <w:rPr>
                <w:rFonts w:ascii="Arial" w:hAnsi="Arial" w:cs="Arial"/>
                <w:sz w:val="20"/>
                <w:szCs w:val="20"/>
              </w:rPr>
            </w:pPr>
            <w:r w:rsidRPr="003E097B">
              <w:rPr>
                <w:rFonts w:ascii="Arial" w:hAnsi="Arial" w:cs="Arial"/>
                <w:sz w:val="20"/>
                <w:szCs w:val="20"/>
              </w:rPr>
              <w:t xml:space="preserve">Oral </w:t>
            </w:r>
          </w:p>
          <w:p w14:paraId="6F5A6D6F" w14:textId="77777777" w:rsidR="001B20AA" w:rsidRPr="003E097B" w:rsidRDefault="001B20AA" w:rsidP="00E07077">
            <w:pPr>
              <w:pStyle w:val="Tabletextleft"/>
              <w:rPr>
                <w:rFonts w:ascii="Arial" w:hAnsi="Arial" w:cs="Arial"/>
                <w:sz w:val="20"/>
                <w:szCs w:val="20"/>
              </w:rPr>
            </w:pPr>
            <w:r w:rsidRPr="003E097B">
              <w:rPr>
                <w:rFonts w:ascii="Arial" w:hAnsi="Arial" w:cs="Arial"/>
                <w:sz w:val="20"/>
                <w:szCs w:val="20"/>
              </w:rPr>
              <w:t>(</w:t>
            </w:r>
            <w:r w:rsidRPr="003E097B">
              <w:rPr>
                <w:rFonts w:ascii="Arial" w:hAnsi="Arial" w:cs="Arial"/>
                <w:i/>
                <w:iCs/>
                <w:sz w:val="20"/>
                <w:szCs w:val="20"/>
              </w:rPr>
              <w:t>n</w:t>
            </w:r>
            <w:r w:rsidRPr="003E097B">
              <w:rPr>
                <w:rFonts w:ascii="Arial" w:hAnsi="Arial" w:cs="Arial"/>
                <w:sz w:val="20"/>
                <w:szCs w:val="20"/>
              </w:rPr>
              <w:t>=3)</w:t>
            </w:r>
          </w:p>
        </w:tc>
        <w:tc>
          <w:tcPr>
            <w:tcW w:w="2141" w:type="dxa"/>
            <w:gridSpan w:val="2"/>
            <w:shd w:val="clear" w:color="auto" w:fill="auto"/>
            <w:tcMar>
              <w:top w:w="57" w:type="dxa"/>
              <w:bottom w:w="57" w:type="dxa"/>
            </w:tcMar>
            <w:vAlign w:val="center"/>
          </w:tcPr>
          <w:p w14:paraId="7B25287E" w14:textId="77777777" w:rsidR="001B20AA" w:rsidRPr="003E097B" w:rsidRDefault="001B20AA" w:rsidP="00E07077">
            <w:pPr>
              <w:pStyle w:val="Tabletextleft"/>
              <w:rPr>
                <w:rFonts w:asciiTheme="minorHAnsi" w:hAnsiTheme="minorHAnsi" w:cstheme="minorHAnsi"/>
                <w:sz w:val="20"/>
                <w:szCs w:val="20"/>
              </w:rPr>
            </w:pPr>
            <w:r w:rsidRPr="003E097B">
              <w:rPr>
                <w:rFonts w:asciiTheme="minorHAnsi" w:hAnsiTheme="minorHAnsi" w:cstheme="minorHAnsi"/>
                <w:sz w:val="20"/>
                <w:szCs w:val="20"/>
              </w:rPr>
              <w:t>Concentration (</w:t>
            </w:r>
            <w:proofErr w:type="spellStart"/>
            <w:r w:rsidRPr="003E097B">
              <w:rPr>
                <w:rFonts w:asciiTheme="minorHAnsi" w:hAnsiTheme="minorHAnsi" w:cstheme="minorHAnsi"/>
                <w:sz w:val="20"/>
                <w:szCs w:val="20"/>
              </w:rPr>
              <w:t>μg</w:t>
            </w:r>
            <w:proofErr w:type="spellEnd"/>
            <w:r w:rsidRPr="003E097B">
              <w:rPr>
                <w:rFonts w:asciiTheme="minorHAnsi" w:hAnsiTheme="minorHAnsi" w:cstheme="minorHAnsi"/>
                <w:sz w:val="20"/>
                <w:szCs w:val="20"/>
              </w:rPr>
              <w:t>/g creatinine)</w:t>
            </w:r>
          </w:p>
        </w:tc>
        <w:tc>
          <w:tcPr>
            <w:tcW w:w="1981" w:type="dxa"/>
            <w:shd w:val="clear" w:color="auto" w:fill="auto"/>
            <w:vAlign w:val="center"/>
          </w:tcPr>
          <w:p w14:paraId="5B8F5CA3" w14:textId="77777777" w:rsidR="001B20AA" w:rsidRPr="003E097B" w:rsidRDefault="001B20AA" w:rsidP="00E07077">
            <w:pPr>
              <w:pStyle w:val="Tabletextleft"/>
              <w:rPr>
                <w:rFonts w:asciiTheme="minorHAnsi" w:hAnsiTheme="minorHAnsi" w:cstheme="minorHAnsi"/>
                <w:sz w:val="20"/>
                <w:szCs w:val="20"/>
              </w:rPr>
            </w:pPr>
            <w:r w:rsidRPr="003E097B">
              <w:rPr>
                <w:rFonts w:asciiTheme="minorHAnsi" w:hAnsiTheme="minorHAnsi" w:cstheme="minorHAnsi"/>
                <w:sz w:val="20"/>
                <w:szCs w:val="20"/>
              </w:rPr>
              <w:t>2450 (1150-4410)</w:t>
            </w:r>
          </w:p>
        </w:tc>
        <w:tc>
          <w:tcPr>
            <w:tcW w:w="2041" w:type="dxa"/>
            <w:shd w:val="clear" w:color="auto" w:fill="auto"/>
            <w:vAlign w:val="center"/>
          </w:tcPr>
          <w:p w14:paraId="25E1C497" w14:textId="77777777" w:rsidR="001B20AA" w:rsidRPr="003E097B" w:rsidRDefault="001B20AA" w:rsidP="00E07077">
            <w:pPr>
              <w:pStyle w:val="Tabletextleft"/>
              <w:rPr>
                <w:rFonts w:asciiTheme="minorHAnsi" w:hAnsiTheme="minorHAnsi" w:cstheme="minorHAnsi"/>
                <w:sz w:val="20"/>
                <w:szCs w:val="20"/>
              </w:rPr>
            </w:pPr>
            <w:r w:rsidRPr="003E097B">
              <w:rPr>
                <w:rFonts w:asciiTheme="minorHAnsi" w:hAnsiTheme="minorHAnsi" w:cstheme="minorHAnsi"/>
                <w:sz w:val="20"/>
                <w:szCs w:val="20"/>
              </w:rPr>
              <w:t>1.85 (1.62-2.11)</w:t>
            </w:r>
          </w:p>
        </w:tc>
        <w:tc>
          <w:tcPr>
            <w:tcW w:w="1745" w:type="dxa"/>
            <w:shd w:val="clear" w:color="auto" w:fill="auto"/>
            <w:vAlign w:val="center"/>
          </w:tcPr>
          <w:p w14:paraId="613F937E" w14:textId="77777777" w:rsidR="001B20AA" w:rsidRPr="003E097B" w:rsidRDefault="001B20AA" w:rsidP="00E07077">
            <w:pPr>
              <w:pStyle w:val="Tabletextleft"/>
              <w:rPr>
                <w:rFonts w:asciiTheme="minorHAnsi" w:hAnsiTheme="minorHAnsi" w:cstheme="minorHAnsi"/>
                <w:sz w:val="20"/>
                <w:szCs w:val="20"/>
              </w:rPr>
            </w:pPr>
            <w:r w:rsidRPr="003E097B">
              <w:rPr>
                <w:rFonts w:asciiTheme="minorHAnsi" w:hAnsiTheme="minorHAnsi" w:cstheme="minorHAnsi"/>
                <w:sz w:val="20"/>
                <w:szCs w:val="20"/>
              </w:rPr>
              <w:t>10.6 (9.94-11.1)</w:t>
            </w:r>
          </w:p>
        </w:tc>
      </w:tr>
      <w:tr w:rsidR="001B20AA" w:rsidRPr="0074486E" w14:paraId="66D83D12" w14:textId="77777777" w:rsidTr="003E097B">
        <w:trPr>
          <w:cantSplit/>
          <w:trHeight w:val="430"/>
          <w:jc w:val="center"/>
        </w:trPr>
        <w:tc>
          <w:tcPr>
            <w:tcW w:w="841" w:type="dxa"/>
            <w:vMerge/>
          </w:tcPr>
          <w:p w14:paraId="27C3FA53" w14:textId="77777777" w:rsidR="001B20AA" w:rsidRPr="003E097B" w:rsidRDefault="001B20AA" w:rsidP="00E07077">
            <w:pPr>
              <w:pStyle w:val="Tabletextleft"/>
              <w:rPr>
                <w:rFonts w:ascii="Arial" w:hAnsi="Arial" w:cs="Arial"/>
                <w:sz w:val="20"/>
                <w:szCs w:val="20"/>
              </w:rPr>
            </w:pPr>
          </w:p>
        </w:tc>
        <w:tc>
          <w:tcPr>
            <w:tcW w:w="2141" w:type="dxa"/>
            <w:gridSpan w:val="2"/>
            <w:shd w:val="clear" w:color="auto" w:fill="auto"/>
            <w:tcMar>
              <w:top w:w="57" w:type="dxa"/>
              <w:bottom w:w="57" w:type="dxa"/>
            </w:tcMar>
            <w:vAlign w:val="center"/>
          </w:tcPr>
          <w:p w14:paraId="2466FB79" w14:textId="77777777" w:rsidR="001B20AA" w:rsidRPr="003E097B" w:rsidRDefault="001B20AA" w:rsidP="00E07077">
            <w:pPr>
              <w:pStyle w:val="Tabletextleft"/>
              <w:rPr>
                <w:rFonts w:asciiTheme="minorHAnsi" w:hAnsiTheme="minorHAnsi" w:cstheme="minorHAnsi"/>
                <w:sz w:val="20"/>
                <w:szCs w:val="20"/>
              </w:rPr>
            </w:pPr>
            <w:proofErr w:type="spellStart"/>
            <w:r w:rsidRPr="003E097B">
              <w:rPr>
                <w:rFonts w:asciiTheme="minorHAnsi" w:hAnsiTheme="minorHAnsi" w:cstheme="minorHAnsi"/>
                <w:sz w:val="20"/>
                <w:szCs w:val="20"/>
              </w:rPr>
              <w:t>t</w:t>
            </w:r>
            <w:r w:rsidRPr="003E097B">
              <w:rPr>
                <w:rFonts w:asciiTheme="minorHAnsi" w:hAnsiTheme="minorHAnsi" w:cstheme="minorHAnsi"/>
                <w:sz w:val="20"/>
                <w:szCs w:val="20"/>
                <w:vertAlign w:val="subscript"/>
              </w:rPr>
              <w:t>max</w:t>
            </w:r>
            <w:proofErr w:type="spellEnd"/>
            <w:r w:rsidRPr="003E097B">
              <w:rPr>
                <w:rFonts w:asciiTheme="minorHAnsi" w:hAnsiTheme="minorHAnsi" w:cstheme="minorHAnsi"/>
                <w:sz w:val="20"/>
                <w:szCs w:val="20"/>
              </w:rPr>
              <w:t xml:space="preserve"> (hours)</w:t>
            </w:r>
          </w:p>
        </w:tc>
        <w:tc>
          <w:tcPr>
            <w:tcW w:w="1981" w:type="dxa"/>
            <w:shd w:val="clear" w:color="auto" w:fill="auto"/>
            <w:vAlign w:val="center"/>
          </w:tcPr>
          <w:p w14:paraId="1DCA2913" w14:textId="77777777" w:rsidR="001B20AA" w:rsidRPr="003E097B" w:rsidRDefault="001B20AA" w:rsidP="00E07077">
            <w:pPr>
              <w:pStyle w:val="Tabletextleft"/>
              <w:rPr>
                <w:rFonts w:asciiTheme="minorHAnsi" w:hAnsiTheme="minorHAnsi" w:cstheme="minorHAnsi"/>
                <w:sz w:val="20"/>
                <w:szCs w:val="20"/>
              </w:rPr>
            </w:pPr>
            <w:r w:rsidRPr="003E097B">
              <w:rPr>
                <w:rFonts w:asciiTheme="minorHAnsi" w:hAnsiTheme="minorHAnsi" w:cstheme="minorHAnsi"/>
                <w:sz w:val="20"/>
                <w:szCs w:val="20"/>
              </w:rPr>
              <w:t>4.2 (2.7-5.0)</w:t>
            </w:r>
          </w:p>
        </w:tc>
        <w:tc>
          <w:tcPr>
            <w:tcW w:w="2041" w:type="dxa"/>
            <w:shd w:val="clear" w:color="auto" w:fill="auto"/>
            <w:vAlign w:val="center"/>
          </w:tcPr>
          <w:p w14:paraId="6F9688C1" w14:textId="77777777" w:rsidR="001B20AA" w:rsidRPr="003E097B" w:rsidRDefault="001B20AA" w:rsidP="00E07077">
            <w:pPr>
              <w:pStyle w:val="Tabletextleft"/>
              <w:rPr>
                <w:rFonts w:asciiTheme="minorHAnsi" w:hAnsiTheme="minorHAnsi" w:cstheme="minorHAnsi"/>
                <w:sz w:val="20"/>
                <w:szCs w:val="20"/>
              </w:rPr>
            </w:pPr>
            <w:r w:rsidRPr="003E097B">
              <w:rPr>
                <w:rFonts w:asciiTheme="minorHAnsi" w:hAnsiTheme="minorHAnsi" w:cstheme="minorHAnsi"/>
                <w:sz w:val="20"/>
                <w:szCs w:val="20"/>
              </w:rPr>
              <w:t>3.2 (1.4-4.4)</w:t>
            </w:r>
          </w:p>
        </w:tc>
        <w:tc>
          <w:tcPr>
            <w:tcW w:w="1745" w:type="dxa"/>
            <w:shd w:val="clear" w:color="auto" w:fill="auto"/>
            <w:vAlign w:val="center"/>
          </w:tcPr>
          <w:p w14:paraId="7D093F8F" w14:textId="77777777" w:rsidR="001B20AA" w:rsidRPr="003E097B" w:rsidRDefault="001B20AA" w:rsidP="00E07077">
            <w:pPr>
              <w:pStyle w:val="Tabletextleft"/>
              <w:rPr>
                <w:rFonts w:asciiTheme="minorHAnsi" w:hAnsiTheme="minorHAnsi" w:cstheme="minorHAnsi"/>
                <w:sz w:val="20"/>
                <w:szCs w:val="20"/>
              </w:rPr>
            </w:pPr>
            <w:r w:rsidRPr="003E097B">
              <w:rPr>
                <w:rFonts w:asciiTheme="minorHAnsi" w:hAnsiTheme="minorHAnsi" w:cstheme="minorHAnsi"/>
                <w:sz w:val="20"/>
                <w:szCs w:val="20"/>
              </w:rPr>
              <w:t>3.6 (1.4-5.0)</w:t>
            </w:r>
          </w:p>
        </w:tc>
      </w:tr>
      <w:tr w:rsidR="001B20AA" w:rsidRPr="0074486E" w14:paraId="43E5975E" w14:textId="77777777" w:rsidTr="003E097B">
        <w:trPr>
          <w:cantSplit/>
          <w:trHeight w:val="430"/>
          <w:jc w:val="center"/>
        </w:trPr>
        <w:tc>
          <w:tcPr>
            <w:tcW w:w="841" w:type="dxa"/>
            <w:vMerge/>
          </w:tcPr>
          <w:p w14:paraId="10ABB994" w14:textId="77777777" w:rsidR="001B20AA" w:rsidRPr="003E097B" w:rsidRDefault="001B20AA" w:rsidP="00E07077">
            <w:pPr>
              <w:pStyle w:val="Tabletextleft"/>
              <w:rPr>
                <w:rFonts w:ascii="Arial" w:hAnsi="Arial" w:cs="Arial"/>
                <w:sz w:val="20"/>
                <w:szCs w:val="20"/>
              </w:rPr>
            </w:pPr>
          </w:p>
        </w:tc>
        <w:tc>
          <w:tcPr>
            <w:tcW w:w="1034" w:type="dxa"/>
            <w:vMerge w:val="restart"/>
            <w:shd w:val="clear" w:color="auto" w:fill="auto"/>
            <w:tcMar>
              <w:top w:w="57" w:type="dxa"/>
              <w:bottom w:w="57" w:type="dxa"/>
            </w:tcMar>
            <w:vAlign w:val="center"/>
          </w:tcPr>
          <w:p w14:paraId="26FB14AB" w14:textId="77777777" w:rsidR="001B20AA" w:rsidRPr="003E097B" w:rsidRDefault="001B20AA" w:rsidP="00E07077">
            <w:pPr>
              <w:pStyle w:val="Tabletextleft"/>
              <w:rPr>
                <w:rFonts w:asciiTheme="minorHAnsi" w:hAnsiTheme="minorHAnsi" w:cstheme="minorHAnsi"/>
                <w:sz w:val="20"/>
                <w:szCs w:val="20"/>
              </w:rPr>
            </w:pPr>
            <w:r w:rsidRPr="003E097B">
              <w:rPr>
                <w:rFonts w:asciiTheme="minorHAnsi" w:hAnsiTheme="minorHAnsi" w:cstheme="minorHAnsi"/>
                <w:sz w:val="20"/>
                <w:szCs w:val="20"/>
              </w:rPr>
              <w:t>t</w:t>
            </w:r>
            <w:r w:rsidRPr="003E097B">
              <w:rPr>
                <w:rFonts w:asciiTheme="minorHAnsi" w:hAnsiTheme="minorHAnsi" w:cstheme="minorHAnsi"/>
                <w:sz w:val="20"/>
                <w:szCs w:val="20"/>
                <w:vertAlign w:val="subscript"/>
              </w:rPr>
              <w:t>½</w:t>
            </w:r>
            <w:r w:rsidRPr="003E097B">
              <w:rPr>
                <w:rFonts w:asciiTheme="minorHAnsi" w:hAnsiTheme="minorHAnsi" w:cstheme="minorHAnsi"/>
                <w:sz w:val="20"/>
                <w:szCs w:val="20"/>
              </w:rPr>
              <w:t xml:space="preserve"> (hours)</w:t>
            </w:r>
          </w:p>
        </w:tc>
        <w:tc>
          <w:tcPr>
            <w:tcW w:w="1107" w:type="dxa"/>
            <w:shd w:val="clear" w:color="auto" w:fill="auto"/>
            <w:vAlign w:val="center"/>
          </w:tcPr>
          <w:p w14:paraId="0954BCEA" w14:textId="77777777" w:rsidR="001B20AA" w:rsidRPr="003E097B" w:rsidRDefault="001B20AA" w:rsidP="00E07077">
            <w:pPr>
              <w:pStyle w:val="Tabletextleft"/>
              <w:rPr>
                <w:rFonts w:asciiTheme="minorHAnsi" w:hAnsiTheme="minorHAnsi" w:cstheme="minorHAnsi"/>
                <w:sz w:val="20"/>
                <w:szCs w:val="20"/>
              </w:rPr>
            </w:pPr>
            <w:r w:rsidRPr="003E097B">
              <w:rPr>
                <w:rFonts w:asciiTheme="minorHAnsi" w:hAnsiTheme="minorHAnsi" w:cstheme="minorHAnsi"/>
                <w:sz w:val="20"/>
                <w:szCs w:val="20"/>
              </w:rPr>
              <w:t>1</w:t>
            </w:r>
            <w:r w:rsidRPr="003E097B">
              <w:rPr>
                <w:rFonts w:asciiTheme="minorHAnsi" w:hAnsiTheme="minorHAnsi" w:cstheme="minorHAnsi"/>
                <w:sz w:val="20"/>
                <w:szCs w:val="20"/>
                <w:vertAlign w:val="superscript"/>
              </w:rPr>
              <w:t>st</w:t>
            </w:r>
            <w:r w:rsidRPr="003E097B">
              <w:rPr>
                <w:rFonts w:asciiTheme="minorHAnsi" w:hAnsiTheme="minorHAnsi" w:cstheme="minorHAnsi"/>
                <w:sz w:val="20"/>
                <w:szCs w:val="20"/>
              </w:rPr>
              <w:t xml:space="preserve"> phase</w:t>
            </w:r>
          </w:p>
        </w:tc>
        <w:tc>
          <w:tcPr>
            <w:tcW w:w="1981" w:type="dxa"/>
            <w:shd w:val="clear" w:color="auto" w:fill="auto"/>
            <w:vAlign w:val="center"/>
          </w:tcPr>
          <w:p w14:paraId="12E019DA" w14:textId="77777777" w:rsidR="001B20AA" w:rsidRPr="003E097B" w:rsidRDefault="001B20AA" w:rsidP="00E07077">
            <w:pPr>
              <w:pStyle w:val="Tabletextleft"/>
              <w:rPr>
                <w:rFonts w:asciiTheme="minorHAnsi" w:hAnsiTheme="minorHAnsi" w:cstheme="minorHAnsi"/>
                <w:sz w:val="20"/>
                <w:szCs w:val="20"/>
              </w:rPr>
            </w:pPr>
            <w:r w:rsidRPr="003E097B">
              <w:rPr>
                <w:rFonts w:asciiTheme="minorHAnsi" w:hAnsiTheme="minorHAnsi" w:cstheme="minorHAnsi"/>
                <w:sz w:val="20"/>
                <w:szCs w:val="20"/>
              </w:rPr>
              <w:t>5.7 (3.8-7.1)</w:t>
            </w:r>
          </w:p>
        </w:tc>
        <w:tc>
          <w:tcPr>
            <w:tcW w:w="2041" w:type="dxa"/>
            <w:shd w:val="clear" w:color="auto" w:fill="auto"/>
            <w:vAlign w:val="center"/>
          </w:tcPr>
          <w:p w14:paraId="3A4C868E" w14:textId="77777777" w:rsidR="001B20AA" w:rsidRPr="003E097B" w:rsidRDefault="001B20AA" w:rsidP="00E07077">
            <w:pPr>
              <w:pStyle w:val="Tabletextleft"/>
              <w:rPr>
                <w:rFonts w:asciiTheme="minorHAnsi" w:hAnsiTheme="minorHAnsi" w:cstheme="minorHAnsi"/>
                <w:sz w:val="20"/>
                <w:szCs w:val="20"/>
              </w:rPr>
            </w:pPr>
            <w:r w:rsidRPr="003E097B">
              <w:rPr>
                <w:rFonts w:asciiTheme="minorHAnsi" w:hAnsiTheme="minorHAnsi" w:cstheme="minorHAnsi"/>
                <w:sz w:val="20"/>
                <w:szCs w:val="20"/>
              </w:rPr>
              <w:t>1.3 (1.1-1.5)</w:t>
            </w:r>
          </w:p>
        </w:tc>
        <w:tc>
          <w:tcPr>
            <w:tcW w:w="1745" w:type="dxa"/>
            <w:shd w:val="clear" w:color="auto" w:fill="auto"/>
            <w:vAlign w:val="center"/>
          </w:tcPr>
          <w:p w14:paraId="24D2BE91" w14:textId="77777777" w:rsidR="001B20AA" w:rsidRPr="003E097B" w:rsidRDefault="001B20AA" w:rsidP="00E07077">
            <w:pPr>
              <w:pStyle w:val="Tabletextleft"/>
              <w:rPr>
                <w:rFonts w:asciiTheme="minorHAnsi" w:hAnsiTheme="minorHAnsi" w:cstheme="minorHAnsi"/>
                <w:sz w:val="20"/>
                <w:szCs w:val="20"/>
              </w:rPr>
            </w:pPr>
            <w:r w:rsidRPr="003E097B">
              <w:rPr>
                <w:rFonts w:asciiTheme="minorHAnsi" w:hAnsiTheme="minorHAnsi" w:cstheme="minorHAnsi"/>
                <w:sz w:val="20"/>
                <w:szCs w:val="20"/>
              </w:rPr>
              <w:t>3.0 (2.1-3.6)</w:t>
            </w:r>
          </w:p>
        </w:tc>
      </w:tr>
      <w:tr w:rsidR="001B20AA" w:rsidRPr="0074486E" w14:paraId="627AD7F1" w14:textId="77777777" w:rsidTr="003E097B">
        <w:trPr>
          <w:cantSplit/>
          <w:trHeight w:val="214"/>
          <w:jc w:val="center"/>
        </w:trPr>
        <w:tc>
          <w:tcPr>
            <w:tcW w:w="841" w:type="dxa"/>
            <w:vMerge/>
          </w:tcPr>
          <w:p w14:paraId="59ECD10E" w14:textId="77777777" w:rsidR="001B20AA" w:rsidRPr="003E097B" w:rsidRDefault="001B20AA" w:rsidP="00E07077">
            <w:pPr>
              <w:pStyle w:val="Tabletextleft"/>
              <w:rPr>
                <w:rFonts w:ascii="Arial" w:hAnsi="Arial" w:cs="Arial"/>
                <w:sz w:val="20"/>
                <w:szCs w:val="20"/>
              </w:rPr>
            </w:pPr>
          </w:p>
        </w:tc>
        <w:tc>
          <w:tcPr>
            <w:tcW w:w="1034" w:type="dxa"/>
            <w:vMerge/>
            <w:shd w:val="clear" w:color="auto" w:fill="auto"/>
            <w:tcMar>
              <w:top w:w="57" w:type="dxa"/>
              <w:bottom w:w="57" w:type="dxa"/>
            </w:tcMar>
            <w:vAlign w:val="center"/>
          </w:tcPr>
          <w:p w14:paraId="6D1CF31B" w14:textId="77777777" w:rsidR="001B20AA" w:rsidRPr="003E097B" w:rsidRDefault="001B20AA" w:rsidP="00E07077">
            <w:pPr>
              <w:pStyle w:val="Tabletextleft"/>
              <w:rPr>
                <w:rFonts w:asciiTheme="minorHAnsi" w:hAnsiTheme="minorHAnsi" w:cstheme="minorHAnsi"/>
                <w:sz w:val="20"/>
                <w:szCs w:val="20"/>
              </w:rPr>
            </w:pPr>
          </w:p>
        </w:tc>
        <w:tc>
          <w:tcPr>
            <w:tcW w:w="1107" w:type="dxa"/>
            <w:shd w:val="clear" w:color="auto" w:fill="auto"/>
            <w:vAlign w:val="center"/>
          </w:tcPr>
          <w:p w14:paraId="0AA737AA" w14:textId="77777777" w:rsidR="001B20AA" w:rsidRPr="003E097B" w:rsidRDefault="001B20AA" w:rsidP="00E07077">
            <w:pPr>
              <w:pStyle w:val="Tabletextleft"/>
              <w:rPr>
                <w:rFonts w:asciiTheme="minorHAnsi" w:hAnsiTheme="minorHAnsi" w:cstheme="minorHAnsi"/>
                <w:sz w:val="20"/>
                <w:szCs w:val="20"/>
              </w:rPr>
            </w:pPr>
            <w:r w:rsidRPr="003E097B">
              <w:rPr>
                <w:rFonts w:asciiTheme="minorHAnsi" w:hAnsiTheme="minorHAnsi" w:cstheme="minorHAnsi"/>
                <w:sz w:val="20"/>
                <w:szCs w:val="20"/>
              </w:rPr>
              <w:t>2</w:t>
            </w:r>
            <w:r w:rsidRPr="003E097B">
              <w:rPr>
                <w:rFonts w:asciiTheme="minorHAnsi" w:hAnsiTheme="minorHAnsi" w:cstheme="minorHAnsi"/>
                <w:sz w:val="20"/>
                <w:szCs w:val="20"/>
                <w:vertAlign w:val="superscript"/>
              </w:rPr>
              <w:t>nd</w:t>
            </w:r>
            <w:r w:rsidRPr="003E097B">
              <w:rPr>
                <w:rFonts w:asciiTheme="minorHAnsi" w:hAnsiTheme="minorHAnsi" w:cstheme="minorHAnsi"/>
                <w:sz w:val="20"/>
                <w:szCs w:val="20"/>
              </w:rPr>
              <w:t xml:space="preserve"> phase</w:t>
            </w:r>
          </w:p>
        </w:tc>
        <w:tc>
          <w:tcPr>
            <w:tcW w:w="1981" w:type="dxa"/>
            <w:shd w:val="clear" w:color="auto" w:fill="auto"/>
            <w:vAlign w:val="center"/>
          </w:tcPr>
          <w:p w14:paraId="4C0F3B1D" w14:textId="77777777" w:rsidR="001B20AA" w:rsidRPr="003E097B" w:rsidRDefault="001B20AA" w:rsidP="00E07077">
            <w:pPr>
              <w:pStyle w:val="Tabletextleft"/>
              <w:rPr>
                <w:rFonts w:asciiTheme="minorHAnsi" w:hAnsiTheme="minorHAnsi" w:cstheme="minorHAnsi"/>
                <w:sz w:val="20"/>
                <w:szCs w:val="20"/>
              </w:rPr>
            </w:pPr>
            <w:r w:rsidRPr="003E097B">
              <w:rPr>
                <w:rFonts w:asciiTheme="minorHAnsi" w:hAnsiTheme="minorHAnsi" w:cstheme="minorHAnsi"/>
                <w:sz w:val="20"/>
                <w:szCs w:val="20"/>
              </w:rPr>
              <w:t>16 (14-20)</w:t>
            </w:r>
          </w:p>
        </w:tc>
        <w:tc>
          <w:tcPr>
            <w:tcW w:w="2041" w:type="dxa"/>
            <w:shd w:val="clear" w:color="auto" w:fill="auto"/>
            <w:vAlign w:val="center"/>
          </w:tcPr>
          <w:p w14:paraId="7F5BB6E0" w14:textId="77777777" w:rsidR="001B20AA" w:rsidRPr="003E097B" w:rsidRDefault="001B20AA" w:rsidP="00E07077">
            <w:pPr>
              <w:pStyle w:val="Tabletextleft"/>
              <w:rPr>
                <w:rFonts w:asciiTheme="minorHAnsi" w:hAnsiTheme="minorHAnsi" w:cstheme="minorHAnsi"/>
                <w:sz w:val="20"/>
                <w:szCs w:val="20"/>
              </w:rPr>
            </w:pPr>
            <w:r w:rsidRPr="003E097B">
              <w:rPr>
                <w:rFonts w:asciiTheme="minorHAnsi" w:hAnsiTheme="minorHAnsi" w:cstheme="minorHAnsi"/>
                <w:sz w:val="20"/>
                <w:szCs w:val="20"/>
              </w:rPr>
              <w:t>6.4 (5.7-7.5)</w:t>
            </w:r>
          </w:p>
        </w:tc>
        <w:tc>
          <w:tcPr>
            <w:tcW w:w="1745" w:type="dxa"/>
            <w:shd w:val="clear" w:color="auto" w:fill="auto"/>
            <w:vAlign w:val="center"/>
          </w:tcPr>
          <w:p w14:paraId="7C83AC6D" w14:textId="77777777" w:rsidR="001B20AA" w:rsidRPr="003E097B" w:rsidRDefault="001B20AA" w:rsidP="00E07077">
            <w:pPr>
              <w:pStyle w:val="Tabletextleft"/>
              <w:rPr>
                <w:rFonts w:asciiTheme="minorHAnsi" w:hAnsiTheme="minorHAnsi" w:cstheme="minorHAnsi"/>
                <w:sz w:val="20"/>
                <w:szCs w:val="20"/>
              </w:rPr>
            </w:pPr>
            <w:r w:rsidRPr="003E097B">
              <w:rPr>
                <w:rFonts w:asciiTheme="minorHAnsi" w:hAnsiTheme="minorHAnsi" w:cstheme="minorHAnsi"/>
                <w:sz w:val="20"/>
                <w:szCs w:val="20"/>
              </w:rPr>
              <w:t>16 (10-21)</w:t>
            </w:r>
          </w:p>
        </w:tc>
      </w:tr>
      <w:tr w:rsidR="001B20AA" w:rsidRPr="0074486E" w14:paraId="165EA9F2" w14:textId="77777777" w:rsidTr="003E097B">
        <w:trPr>
          <w:cantSplit/>
          <w:trHeight w:val="214"/>
          <w:jc w:val="center"/>
        </w:trPr>
        <w:tc>
          <w:tcPr>
            <w:tcW w:w="841" w:type="dxa"/>
          </w:tcPr>
          <w:p w14:paraId="1DBB2C9E" w14:textId="77777777" w:rsidR="001B20AA" w:rsidRPr="003E097B" w:rsidRDefault="001B20AA" w:rsidP="00E07077">
            <w:pPr>
              <w:pStyle w:val="Tabletextleft"/>
              <w:rPr>
                <w:rFonts w:ascii="Arial" w:hAnsi="Arial" w:cs="Arial"/>
                <w:sz w:val="20"/>
                <w:szCs w:val="20"/>
              </w:rPr>
            </w:pPr>
            <w:r w:rsidRPr="003E097B">
              <w:rPr>
                <w:rFonts w:ascii="Arial" w:hAnsi="Arial" w:cs="Arial"/>
                <w:sz w:val="20"/>
                <w:szCs w:val="20"/>
              </w:rPr>
              <w:t xml:space="preserve">Dermal </w:t>
            </w:r>
          </w:p>
          <w:p w14:paraId="30AB6ABD" w14:textId="77777777" w:rsidR="001B20AA" w:rsidRPr="003E097B" w:rsidRDefault="001B20AA" w:rsidP="00E07077">
            <w:pPr>
              <w:pStyle w:val="Tabletextleft"/>
              <w:rPr>
                <w:rFonts w:ascii="Arial" w:hAnsi="Arial" w:cs="Arial"/>
                <w:sz w:val="20"/>
                <w:szCs w:val="20"/>
              </w:rPr>
            </w:pPr>
            <w:r w:rsidRPr="003E097B">
              <w:rPr>
                <w:rFonts w:ascii="Arial" w:hAnsi="Arial" w:cs="Arial"/>
                <w:sz w:val="20"/>
                <w:szCs w:val="20"/>
              </w:rPr>
              <w:t>(</w:t>
            </w:r>
            <w:r w:rsidRPr="003E097B">
              <w:rPr>
                <w:rFonts w:ascii="Arial" w:hAnsi="Arial" w:cs="Arial"/>
                <w:i/>
                <w:iCs/>
                <w:sz w:val="20"/>
                <w:szCs w:val="20"/>
              </w:rPr>
              <w:t>n</w:t>
            </w:r>
            <w:r w:rsidRPr="003E097B">
              <w:rPr>
                <w:rFonts w:ascii="Arial" w:hAnsi="Arial" w:cs="Arial"/>
                <w:sz w:val="20"/>
                <w:szCs w:val="20"/>
              </w:rPr>
              <w:t>=1)</w:t>
            </w:r>
          </w:p>
        </w:tc>
        <w:tc>
          <w:tcPr>
            <w:tcW w:w="2141" w:type="dxa"/>
            <w:gridSpan w:val="2"/>
            <w:shd w:val="clear" w:color="auto" w:fill="auto"/>
            <w:tcMar>
              <w:top w:w="57" w:type="dxa"/>
              <w:bottom w:w="57" w:type="dxa"/>
            </w:tcMar>
            <w:vAlign w:val="center"/>
          </w:tcPr>
          <w:p w14:paraId="3B2A971F" w14:textId="77777777" w:rsidR="001B20AA" w:rsidRPr="003E097B" w:rsidRDefault="001B20AA" w:rsidP="00E07077">
            <w:pPr>
              <w:pStyle w:val="Tabletextleft"/>
              <w:rPr>
                <w:rFonts w:asciiTheme="minorHAnsi" w:hAnsiTheme="minorHAnsi" w:cstheme="minorHAnsi"/>
                <w:sz w:val="20"/>
                <w:szCs w:val="20"/>
              </w:rPr>
            </w:pPr>
            <w:r w:rsidRPr="003E097B">
              <w:rPr>
                <w:rFonts w:asciiTheme="minorHAnsi" w:hAnsiTheme="minorHAnsi" w:cstheme="minorHAnsi"/>
                <w:sz w:val="20"/>
                <w:szCs w:val="20"/>
              </w:rPr>
              <w:t>Concentration (</w:t>
            </w:r>
            <w:proofErr w:type="spellStart"/>
            <w:r w:rsidRPr="003E097B">
              <w:rPr>
                <w:rFonts w:asciiTheme="minorHAnsi" w:hAnsiTheme="minorHAnsi" w:cstheme="minorHAnsi"/>
                <w:sz w:val="20"/>
                <w:szCs w:val="20"/>
              </w:rPr>
              <w:t>μg</w:t>
            </w:r>
            <w:proofErr w:type="spellEnd"/>
            <w:r w:rsidRPr="003E097B">
              <w:rPr>
                <w:rFonts w:asciiTheme="minorHAnsi" w:hAnsiTheme="minorHAnsi" w:cstheme="minorHAnsi"/>
                <w:sz w:val="20"/>
                <w:szCs w:val="20"/>
              </w:rPr>
              <w:t>/g creatinine)</w:t>
            </w:r>
          </w:p>
        </w:tc>
        <w:tc>
          <w:tcPr>
            <w:tcW w:w="1981" w:type="dxa"/>
            <w:shd w:val="clear" w:color="auto" w:fill="auto"/>
            <w:vAlign w:val="center"/>
          </w:tcPr>
          <w:p w14:paraId="6BF45E85" w14:textId="77777777" w:rsidR="001B20AA" w:rsidRPr="003E097B" w:rsidRDefault="001B20AA" w:rsidP="00E07077">
            <w:pPr>
              <w:pStyle w:val="Tabletextleft"/>
              <w:rPr>
                <w:rFonts w:asciiTheme="minorHAnsi" w:hAnsiTheme="minorHAnsi" w:cstheme="minorHAnsi"/>
                <w:sz w:val="20"/>
                <w:szCs w:val="20"/>
              </w:rPr>
            </w:pPr>
            <w:r w:rsidRPr="003E097B">
              <w:rPr>
                <w:rFonts w:asciiTheme="minorHAnsi" w:hAnsiTheme="minorHAnsi" w:cstheme="minorHAnsi"/>
                <w:sz w:val="20"/>
                <w:szCs w:val="20"/>
              </w:rPr>
              <w:t>71.4</w:t>
            </w:r>
          </w:p>
        </w:tc>
        <w:tc>
          <w:tcPr>
            <w:tcW w:w="2041" w:type="dxa"/>
            <w:shd w:val="clear" w:color="auto" w:fill="auto"/>
            <w:vAlign w:val="center"/>
          </w:tcPr>
          <w:p w14:paraId="18DB017D" w14:textId="77777777" w:rsidR="001B20AA" w:rsidRPr="003E097B" w:rsidRDefault="001B20AA" w:rsidP="00E07077">
            <w:pPr>
              <w:pStyle w:val="Tabletextleft"/>
              <w:rPr>
                <w:rFonts w:asciiTheme="minorHAnsi" w:hAnsiTheme="minorHAnsi" w:cstheme="minorHAnsi"/>
                <w:sz w:val="20"/>
                <w:szCs w:val="20"/>
              </w:rPr>
            </w:pPr>
            <w:r w:rsidRPr="003E097B">
              <w:rPr>
                <w:rFonts w:asciiTheme="minorHAnsi" w:hAnsiTheme="minorHAnsi" w:cstheme="minorHAnsi"/>
                <w:sz w:val="20"/>
                <w:szCs w:val="20"/>
              </w:rPr>
              <w:t>0.14</w:t>
            </w:r>
          </w:p>
        </w:tc>
        <w:tc>
          <w:tcPr>
            <w:tcW w:w="1745" w:type="dxa"/>
            <w:shd w:val="clear" w:color="auto" w:fill="auto"/>
            <w:vAlign w:val="center"/>
          </w:tcPr>
          <w:p w14:paraId="24D4E4EA" w14:textId="77777777" w:rsidR="001B20AA" w:rsidRPr="003E097B" w:rsidRDefault="001B20AA" w:rsidP="00E07077">
            <w:pPr>
              <w:pStyle w:val="Tabletextleft"/>
              <w:rPr>
                <w:rFonts w:asciiTheme="minorHAnsi" w:hAnsiTheme="minorHAnsi" w:cstheme="minorHAnsi"/>
                <w:sz w:val="20"/>
                <w:szCs w:val="20"/>
              </w:rPr>
            </w:pPr>
            <w:r w:rsidRPr="003E097B">
              <w:rPr>
                <w:rFonts w:asciiTheme="minorHAnsi" w:hAnsiTheme="minorHAnsi" w:cstheme="minorHAnsi"/>
                <w:sz w:val="20"/>
                <w:szCs w:val="20"/>
              </w:rPr>
              <w:t>1.15</w:t>
            </w:r>
          </w:p>
        </w:tc>
      </w:tr>
    </w:tbl>
    <w:p w14:paraId="48AA6096" w14:textId="3179AA47" w:rsidR="001B20AA" w:rsidRPr="0074486E" w:rsidRDefault="001B20AA" w:rsidP="003E097B">
      <w:pPr>
        <w:pStyle w:val="Tabledescription"/>
        <w:ind w:left="142"/>
      </w:pPr>
      <w:r>
        <w:t>*</w:t>
      </w:r>
      <w:r w:rsidRPr="00CF76BE">
        <w:t>Median (range)</w:t>
      </w:r>
      <w:r>
        <w:t xml:space="preserve"> values are reported.</w:t>
      </w:r>
    </w:p>
    <w:p w14:paraId="4B4832C2" w14:textId="5345E65B" w:rsidR="001B20AA" w:rsidRPr="0074486E" w:rsidRDefault="001B20AA" w:rsidP="003E097B">
      <w:r w:rsidRPr="0074486E">
        <w:t>Following dermal application of octocrylene</w:t>
      </w:r>
      <w:r>
        <w:t xml:space="preserve"> (</w:t>
      </w:r>
      <w:r w:rsidRPr="0074486E">
        <w:t>8-10%</w:t>
      </w:r>
      <w:r>
        <w:t>)</w:t>
      </w:r>
      <w:r w:rsidRPr="0074486E">
        <w:t xml:space="preserve"> in </w:t>
      </w:r>
      <w:r w:rsidRPr="0074486E">
        <w:rPr>
          <w:i/>
        </w:rPr>
        <w:t>in vitro</w:t>
      </w:r>
      <w:r w:rsidRPr="0074486E">
        <w:t xml:space="preserve"> studies, poor skin penetration (&lt; 5%) of octocrylene was observed with mostly remaining in the stratum corneum (Freitas </w:t>
      </w:r>
      <w:r w:rsidRPr="0074486E">
        <w:rPr>
          <w:i/>
        </w:rPr>
        <w:t>et al.</w:t>
      </w:r>
      <w:r w:rsidRPr="0074486E">
        <w:t xml:space="preserve"> 2015; </w:t>
      </w:r>
      <w:proofErr w:type="spellStart"/>
      <w:r w:rsidRPr="0074486E">
        <w:t>Potard</w:t>
      </w:r>
      <w:proofErr w:type="spellEnd"/>
      <w:r w:rsidRPr="0074486E">
        <w:t xml:space="preserve"> </w:t>
      </w:r>
      <w:r w:rsidRPr="0074486E">
        <w:rPr>
          <w:i/>
        </w:rPr>
        <w:t>et al.</w:t>
      </w:r>
      <w:r w:rsidRPr="0074486E">
        <w:t xml:space="preserve"> 2000; Hayden </w:t>
      </w:r>
      <w:r w:rsidRPr="0074486E">
        <w:rPr>
          <w:i/>
        </w:rPr>
        <w:t>et al.</w:t>
      </w:r>
      <w:r w:rsidRPr="0074486E">
        <w:t xml:space="preserve"> 2005).</w:t>
      </w:r>
      <w:r>
        <w:t xml:space="preserve"> </w:t>
      </w:r>
      <w:r w:rsidRPr="0074486E">
        <w:t xml:space="preserve">The dermal absorption (%) was not determined in these studies. Similar findings were observed in a study with a formulation (8% octocrylene) applied on freshly </w:t>
      </w:r>
      <w:proofErr w:type="spellStart"/>
      <w:r w:rsidRPr="0074486E">
        <w:t>dermatom</w:t>
      </w:r>
      <w:r>
        <w:t>iz</w:t>
      </w:r>
      <w:r w:rsidRPr="0074486E">
        <w:t>ed</w:t>
      </w:r>
      <w:proofErr w:type="spellEnd"/>
      <w:r w:rsidRPr="0074486E">
        <w:t xml:space="preserve"> human skin (344 ± 61 µm) in static diffusion cells at a dose of 3 mg/cm</w:t>
      </w:r>
      <w:r w:rsidRPr="0074486E">
        <w:rPr>
          <w:vertAlign w:val="superscript"/>
        </w:rPr>
        <w:t>2</w:t>
      </w:r>
      <w:r w:rsidRPr="0074486E">
        <w:t xml:space="preserve"> for a 16-hour period. 0.1%, 0.005% and 4.3% of the applied dose were found in epidermis, dermis and in the stratum corneum, respectively (</w:t>
      </w:r>
      <w:r w:rsidRPr="00690495">
        <w:t>ECHA 2020</w:t>
      </w:r>
      <w:r>
        <w:t>d</w:t>
      </w:r>
      <w:r w:rsidRPr="00690495">
        <w:t xml:space="preserve">). No octocrylene was detectable in the receptor fluid. </w:t>
      </w:r>
      <w:r w:rsidRPr="00690495">
        <w:lastRenderedPageBreak/>
        <w:t xml:space="preserve">After 24 hours of dosing, octocrylene bioavailability (epidermis, dermis and receptor </w:t>
      </w:r>
      <w:r w:rsidRPr="002C7324">
        <w:t>fluid</w:t>
      </w:r>
      <w:r w:rsidRPr="00690495">
        <w:t>) was estimated ~ 0.1% of the applied dose (ECHA 2020</w:t>
      </w:r>
      <w:r>
        <w:t>d</w:t>
      </w:r>
      <w:r w:rsidRPr="00690495">
        <w:t>; SCCS 2021</w:t>
      </w:r>
      <w:r>
        <w:t>d</w:t>
      </w:r>
      <w:r w:rsidRPr="00690495">
        <w:t>). In another study, a cream formulation (8% octocrylene) was applied for 16 hours (3 mg formulation/cm</w:t>
      </w:r>
      <w:r w:rsidRPr="00690495">
        <w:rPr>
          <w:vertAlign w:val="superscript"/>
        </w:rPr>
        <w:t>2</w:t>
      </w:r>
      <w:r w:rsidRPr="00690495">
        <w:t xml:space="preserve">) on freshly </w:t>
      </w:r>
      <w:proofErr w:type="spellStart"/>
      <w:r w:rsidRPr="00690495">
        <w:t>dermatomed</w:t>
      </w:r>
      <w:proofErr w:type="spellEnd"/>
      <w:r w:rsidRPr="00690495">
        <w:t xml:space="preserve"> pig (700 ± 50 µm) and human (350 ± 50 µm) skin in static diffusion cells (ECHA 2020</w:t>
      </w:r>
      <w:r>
        <w:t>d</w:t>
      </w:r>
      <w:r w:rsidRPr="00690495">
        <w:t xml:space="preserve">). In the study with pig skin, no octocrylene was detectable in the receptor </w:t>
      </w:r>
      <w:r w:rsidRPr="002C7324">
        <w:t>fluid</w:t>
      </w:r>
      <w:r w:rsidRPr="00690495">
        <w:t xml:space="preserve"> whereas 2.8% and 0.3% of the applied dose were found in pig epidermis and dermis, respectively, and 14% were detected in the stratum corneum. In the study with human epidermis and dermis, only 0.125% of the applied dose were found, whereas 5.4% was determined for human stratum corneum</w:t>
      </w:r>
      <w:r w:rsidRPr="0074486E">
        <w:t>. Based on these data</w:t>
      </w:r>
      <w:r>
        <w:t>,</w:t>
      </w:r>
      <w:r w:rsidRPr="0074486E">
        <w:t xml:space="preserve"> the amount bioavailable (epidermis, dermis and receptor </w:t>
      </w:r>
      <w:r w:rsidRPr="002C7324">
        <w:t>fluid</w:t>
      </w:r>
      <w:r w:rsidRPr="0074486E">
        <w:t>) represents approximately 0.2% and 3% of the applied dose in the human and pig skin, respectively (ECHA 2020</w:t>
      </w:r>
      <w:r>
        <w:t>d</w:t>
      </w:r>
      <w:r w:rsidRPr="0074486E">
        <w:t>). The SCCS (2021</w:t>
      </w:r>
      <w:r>
        <w:t>d</w:t>
      </w:r>
      <w:r w:rsidRPr="0074486E">
        <w:t xml:space="preserve">) also referred to the octocrylene Chemical Safety Report (2010) which indicated </w:t>
      </w:r>
      <w:r>
        <w:t xml:space="preserve">a </w:t>
      </w:r>
      <w:r w:rsidRPr="0074486E">
        <w:t>low dermal absorption rate (≤ 0.25%).</w:t>
      </w:r>
    </w:p>
    <w:p w14:paraId="2BD01545" w14:textId="4D103257" w:rsidR="001B20AA" w:rsidRDefault="001B20AA" w:rsidP="003E097B">
      <w:r w:rsidRPr="0074486E">
        <w:t xml:space="preserve">A recent </w:t>
      </w:r>
      <w:r w:rsidRPr="002E6FF7">
        <w:rPr>
          <w:i/>
          <w:iCs/>
        </w:rPr>
        <w:t>in vitro</w:t>
      </w:r>
      <w:r>
        <w:t xml:space="preserve"> </w:t>
      </w:r>
      <w:r w:rsidRPr="0074486E">
        <w:t>study</w:t>
      </w:r>
      <w:r>
        <w:t xml:space="preserve"> </w:t>
      </w:r>
      <w:r w:rsidRPr="00A94D46">
        <w:t xml:space="preserve">(Fabian </w:t>
      </w:r>
      <w:r>
        <w:t>and</w:t>
      </w:r>
      <w:r w:rsidRPr="00A94D46">
        <w:t xml:space="preserve"> Landsiedel 2020</w:t>
      </w:r>
      <w:r>
        <w:t>, as cited in SCCS 2021d</w:t>
      </w:r>
      <w:r w:rsidRPr="00A94D46">
        <w:t>)</w:t>
      </w:r>
      <w:r w:rsidRPr="0074486E">
        <w:t xml:space="preserve"> with a formulation (10% octocrylene) applied at a dose of 3 mg formulation/cm</w:t>
      </w:r>
      <w:r w:rsidRPr="0074486E">
        <w:rPr>
          <w:vertAlign w:val="superscript"/>
        </w:rPr>
        <w:t>2</w:t>
      </w:r>
      <w:r w:rsidRPr="0074486E">
        <w:t xml:space="preserve"> on </w:t>
      </w:r>
      <w:proofErr w:type="spellStart"/>
      <w:r w:rsidRPr="0074486E">
        <w:t>dermatom</w:t>
      </w:r>
      <w:r>
        <w:t>iz</w:t>
      </w:r>
      <w:r w:rsidRPr="0074486E">
        <w:t>ed</w:t>
      </w:r>
      <w:proofErr w:type="spellEnd"/>
      <w:r w:rsidRPr="0074486E">
        <w:t xml:space="preserve"> human skin preparations (</w:t>
      </w:r>
      <w:r w:rsidRPr="0074486E">
        <w:rPr>
          <w:i/>
        </w:rPr>
        <w:t xml:space="preserve">n </w:t>
      </w:r>
      <w:r w:rsidRPr="0074486E">
        <w:t>=12 skin samples from six females) for 24 hours was evaluated</w:t>
      </w:r>
      <w:r>
        <w:t xml:space="preserve"> by</w:t>
      </w:r>
      <w:r w:rsidRPr="0074486E">
        <w:t xml:space="preserve"> SCCS (2021</w:t>
      </w:r>
      <w:r>
        <w:t>d</w:t>
      </w:r>
      <w:r w:rsidRPr="0074486E">
        <w:t xml:space="preserve">). At 24 hours post-dose, the amount considered as absorbed (epidermis, dermis and receptor fluid) was estimated to be a maximum of 0.45±0.52 </w:t>
      </w:r>
      <w:proofErr w:type="spellStart"/>
      <w:r w:rsidRPr="0074486E">
        <w:t>μg</w:t>
      </w:r>
      <w:proofErr w:type="spellEnd"/>
      <w:r w:rsidRPr="0074486E">
        <w:t>/cm</w:t>
      </w:r>
      <w:r w:rsidRPr="0074486E">
        <w:rPr>
          <w:vertAlign w:val="superscript"/>
        </w:rPr>
        <w:t>2</w:t>
      </w:r>
      <w:r w:rsidRPr="0074486E">
        <w:t xml:space="preserve"> (~ 0.15% of the applied dose) consistent with previous findings. </w:t>
      </w:r>
      <w:r w:rsidRPr="009C5979">
        <w:t xml:space="preserve">The </w:t>
      </w:r>
      <w:r w:rsidRPr="002C7324">
        <w:rPr>
          <w:b/>
          <w:bCs/>
        </w:rPr>
        <w:t>dermal absorption of 0.97 µg/cm</w:t>
      </w:r>
      <w:r w:rsidRPr="002C7324">
        <w:rPr>
          <w:b/>
          <w:bCs/>
          <w:vertAlign w:val="superscript"/>
        </w:rPr>
        <w:t>2</w:t>
      </w:r>
      <w:r w:rsidRPr="009C5979">
        <w:t xml:space="preserve"> </w:t>
      </w:r>
      <w:r w:rsidRPr="00A03963">
        <w:t xml:space="preserve">(Fabian </w:t>
      </w:r>
      <w:r>
        <w:t>and</w:t>
      </w:r>
      <w:r w:rsidRPr="00A03963">
        <w:t xml:space="preserve"> Landsiedel 2020</w:t>
      </w:r>
      <w:r>
        <w:t>, as cited in SCCS 2021d</w:t>
      </w:r>
      <w:r w:rsidRPr="00A03963">
        <w:t>)</w:t>
      </w:r>
      <w:r w:rsidRPr="009C5979">
        <w:t xml:space="preserve"> was considered a worst-case scenario</w:t>
      </w:r>
      <w:r>
        <w:t xml:space="preserve"> for octocrylene</w:t>
      </w:r>
      <w:r w:rsidRPr="009C5979">
        <w:t xml:space="preserve"> and was used in the calculation of SED</w:t>
      </w:r>
      <w:r>
        <w:t xml:space="preserve"> and</w:t>
      </w:r>
      <w:r w:rsidRPr="009C5979">
        <w:t xml:space="preserve"> MoS </w:t>
      </w:r>
      <w:r>
        <w:t>by</w:t>
      </w:r>
      <w:r w:rsidRPr="009C5979">
        <w:t xml:space="preserve"> the SCCS (2021</w:t>
      </w:r>
      <w:r>
        <w:t>d</w:t>
      </w:r>
      <w:r w:rsidRPr="009C5979">
        <w:t>).</w:t>
      </w:r>
    </w:p>
    <w:p w14:paraId="38A41B55" w14:textId="77777777" w:rsidR="00403C89" w:rsidRDefault="00403C89" w:rsidP="00403C89">
      <w:pPr>
        <w:pStyle w:val="Heading4"/>
      </w:pPr>
      <w:bookmarkStart w:id="47" w:name="_Toc190944907"/>
      <w:bookmarkStart w:id="48" w:name="_Toc199254944"/>
      <w:r>
        <w:t>O</w:t>
      </w:r>
      <w:r w:rsidRPr="00EC7284">
        <w:t>ctyl methoxycinnamate</w:t>
      </w:r>
      <w:bookmarkEnd w:id="47"/>
      <w:bookmarkEnd w:id="48"/>
      <w:r w:rsidRPr="00EC7284" w:rsidDel="00EC7284">
        <w:t xml:space="preserve"> </w:t>
      </w:r>
    </w:p>
    <w:p w14:paraId="0AB965DF" w14:textId="251FB930" w:rsidR="00403C89" w:rsidRPr="002C7324" w:rsidRDefault="00403C89" w:rsidP="003E097B">
      <w:pPr>
        <w:rPr>
          <w:rFonts w:eastAsia="Cambria" w:cs="AdvOT596495f2"/>
        </w:rPr>
      </w:pPr>
      <w:r>
        <w:t>O</w:t>
      </w:r>
      <w:r w:rsidRPr="00FB4BE3">
        <w:t>ctyl methoxycinnamate</w:t>
      </w:r>
      <w:r w:rsidRPr="002C7324" w:rsidDel="009B42D0">
        <w:rPr>
          <w:lang w:eastAsia="en-AU"/>
        </w:rPr>
        <w:t xml:space="preserve"> </w:t>
      </w:r>
      <w:r w:rsidRPr="002C7324">
        <w:rPr>
          <w:lang w:eastAsia="en-AU"/>
        </w:rPr>
        <w:t xml:space="preserve">absorption studies (oral and dermal) in rats and mice indicate </w:t>
      </w:r>
      <w:r w:rsidRPr="00FB4BE3">
        <w:t>octyl methoxycinnamate</w:t>
      </w:r>
      <w:r w:rsidRPr="002C7324" w:rsidDel="009B42D0">
        <w:rPr>
          <w:lang w:eastAsia="en-AU"/>
        </w:rPr>
        <w:t xml:space="preserve"> </w:t>
      </w:r>
      <w:r w:rsidRPr="002C7324">
        <w:rPr>
          <w:lang w:eastAsia="en-AU"/>
        </w:rPr>
        <w:t xml:space="preserve">can be absorbed dermally and orally </w:t>
      </w:r>
      <w:r w:rsidRPr="002C7324">
        <w:rPr>
          <w:rFonts w:eastAsia="Cambria" w:cs="AdvOT596495f2"/>
        </w:rPr>
        <w:t xml:space="preserve">(Fennell </w:t>
      </w:r>
      <w:r w:rsidRPr="002C7324">
        <w:rPr>
          <w:rFonts w:eastAsia="Cambria" w:cs="AdvOT596495f2"/>
          <w:i/>
        </w:rPr>
        <w:t>et al.</w:t>
      </w:r>
      <w:r w:rsidRPr="002C7324">
        <w:rPr>
          <w:rFonts w:eastAsia="Cambria" w:cs="AdvOT596495f2"/>
        </w:rPr>
        <w:t xml:space="preserve"> 2018). O</w:t>
      </w:r>
      <w:r w:rsidRPr="00FB4BE3">
        <w:t>ctyl methoxycinnamate</w:t>
      </w:r>
      <w:r w:rsidRPr="002C7324" w:rsidDel="009B42D0">
        <w:rPr>
          <w:rFonts w:eastAsia="Cambria" w:cs="AdvOT596495f2"/>
        </w:rPr>
        <w:t xml:space="preserve"> </w:t>
      </w:r>
      <w:r w:rsidRPr="002C7324">
        <w:rPr>
          <w:rFonts w:eastAsia="Cambria" w:cs="AdvOT596495f2"/>
        </w:rPr>
        <w:t>was rapidly cleared from rat hepatocytes (half-life ≤3.16 min) compared to human hepatocytes (half-life ≤48 min). [</w:t>
      </w:r>
      <w:r w:rsidRPr="002C7324">
        <w:rPr>
          <w:rFonts w:eastAsia="Cambria" w:cs="AdvOT596495f2"/>
          <w:vertAlign w:val="superscript"/>
        </w:rPr>
        <w:t>14</w:t>
      </w:r>
      <w:r w:rsidRPr="002C7324">
        <w:rPr>
          <w:rFonts w:eastAsia="Cambria" w:cs="AdvOT596495f2"/>
        </w:rPr>
        <w:t>C]-</w:t>
      </w:r>
      <w:r w:rsidRPr="00FB4BE3">
        <w:t>octyl methoxycinnamate</w:t>
      </w:r>
      <w:r w:rsidRPr="002C7324" w:rsidDel="00463C20">
        <w:rPr>
          <w:rFonts w:eastAsia="Cambria" w:cs="AdvOT596495f2"/>
        </w:rPr>
        <w:t xml:space="preserve"> </w:t>
      </w:r>
      <w:r w:rsidRPr="002C7324">
        <w:rPr>
          <w:rFonts w:eastAsia="Cambria" w:cs="AdvOT596495f2"/>
        </w:rPr>
        <w:t>was extensively absorbed and excreted primarily in urine by 72 h after oral administration (65-80%) and a lesser extent (3-8%) in faeces and as CO</w:t>
      </w:r>
      <w:r w:rsidRPr="002C7324">
        <w:rPr>
          <w:rFonts w:eastAsia="Cambria" w:cs="AdvOT596495f2"/>
          <w:vertAlign w:val="subscript"/>
        </w:rPr>
        <w:t>2</w:t>
      </w:r>
      <w:r w:rsidRPr="002C7324">
        <w:rPr>
          <w:rFonts w:eastAsia="Cambria" w:cs="AdvOT596495f2"/>
        </w:rPr>
        <w:t xml:space="preserve"> (1-4%).</w:t>
      </w:r>
    </w:p>
    <w:p w14:paraId="7A53161F" w14:textId="0373907F" w:rsidR="00403C89" w:rsidRPr="002C7324" w:rsidRDefault="00403C89" w:rsidP="003E097B">
      <w:pPr>
        <w:rPr>
          <w:lang w:eastAsia="en-AU"/>
        </w:rPr>
      </w:pPr>
      <w:r w:rsidRPr="002C7324">
        <w:rPr>
          <w:lang w:eastAsia="en-AU"/>
        </w:rPr>
        <w:t xml:space="preserve">Five metabolites were found in rat urine after oral exposure to </w:t>
      </w:r>
      <w:r w:rsidRPr="00FB4BE3">
        <w:t>octyl methoxycinnamate</w:t>
      </w:r>
      <w:r w:rsidRPr="002C7324" w:rsidDel="00463C20">
        <w:rPr>
          <w:lang w:eastAsia="en-AU"/>
        </w:rPr>
        <w:t xml:space="preserve"> </w:t>
      </w:r>
      <w:r w:rsidRPr="002C7324">
        <w:rPr>
          <w:lang w:eastAsia="en-AU"/>
        </w:rPr>
        <w:t xml:space="preserve">(200 mg/kg </w:t>
      </w:r>
      <w:proofErr w:type="spellStart"/>
      <w:r w:rsidRPr="002C7324">
        <w:rPr>
          <w:lang w:eastAsia="en-AU"/>
        </w:rPr>
        <w:t>bw</w:t>
      </w:r>
      <w:proofErr w:type="spellEnd"/>
      <w:r w:rsidRPr="002C7324">
        <w:rPr>
          <w:lang w:eastAsia="en-AU"/>
        </w:rPr>
        <w:t xml:space="preserve"> and 1000 mg/kg </w:t>
      </w:r>
      <w:proofErr w:type="spellStart"/>
      <w:r w:rsidRPr="002C7324">
        <w:rPr>
          <w:lang w:eastAsia="en-AU"/>
        </w:rPr>
        <w:t>bw</w:t>
      </w:r>
      <w:proofErr w:type="spellEnd"/>
      <w:r w:rsidRPr="002C7324">
        <w:rPr>
          <w:lang w:eastAsia="en-AU"/>
        </w:rPr>
        <w:t xml:space="preserve">) (Huang </w:t>
      </w:r>
      <w:r w:rsidRPr="002C7324">
        <w:rPr>
          <w:i/>
          <w:lang w:eastAsia="en-AU"/>
        </w:rPr>
        <w:t>et al.</w:t>
      </w:r>
      <w:r w:rsidRPr="002C7324">
        <w:rPr>
          <w:lang w:eastAsia="en-AU"/>
        </w:rPr>
        <w:t xml:space="preserve"> 2019).  The major metabolites of </w:t>
      </w:r>
      <w:r w:rsidRPr="00FB4BE3">
        <w:t>octyl methoxycinnamate</w:t>
      </w:r>
      <w:r w:rsidRPr="002C7324" w:rsidDel="00463C20">
        <w:rPr>
          <w:lang w:eastAsia="en-AU"/>
        </w:rPr>
        <w:t xml:space="preserve"> </w:t>
      </w:r>
      <w:r w:rsidRPr="002C7324">
        <w:rPr>
          <w:lang w:eastAsia="en-AU"/>
        </w:rPr>
        <w:t xml:space="preserve">were 4-methoxycinnamic acid (4-MCA) and 4′-methoxyacetophenone (4′-MAP). The concentration of two metabolites was found to be much higher than </w:t>
      </w:r>
      <w:r w:rsidRPr="00FB4BE3">
        <w:t>octyl methoxycinnamate</w:t>
      </w:r>
      <w:r w:rsidRPr="002C7324">
        <w:rPr>
          <w:lang w:eastAsia="en-AU"/>
        </w:rPr>
        <w:t xml:space="preserve">, </w:t>
      </w:r>
      <w:r>
        <w:rPr>
          <w:lang w:eastAsia="en-AU"/>
        </w:rPr>
        <w:t>highlighting</w:t>
      </w:r>
      <w:r w:rsidRPr="002C7324">
        <w:rPr>
          <w:lang w:eastAsia="en-AU"/>
        </w:rPr>
        <w:t xml:space="preserve"> that measuring </w:t>
      </w:r>
      <w:r w:rsidRPr="00FB4BE3">
        <w:t>octyl methoxycinnamate</w:t>
      </w:r>
      <w:r w:rsidRPr="002C7324" w:rsidDel="00463C20">
        <w:rPr>
          <w:lang w:eastAsia="en-AU"/>
        </w:rPr>
        <w:t xml:space="preserve"> </w:t>
      </w:r>
      <w:r w:rsidRPr="002C7324">
        <w:rPr>
          <w:lang w:eastAsia="en-AU"/>
        </w:rPr>
        <w:t xml:space="preserve">alone could not comprehensively evaluate the human exposure to </w:t>
      </w:r>
      <w:r w:rsidRPr="00FB4BE3">
        <w:t>octyl methoxycinnamate</w:t>
      </w:r>
      <w:r w:rsidRPr="002C7324">
        <w:rPr>
          <w:lang w:eastAsia="en-AU"/>
        </w:rPr>
        <w:t>.</w:t>
      </w:r>
    </w:p>
    <w:p w14:paraId="59DF10CE" w14:textId="0FDB7FF6" w:rsidR="00403C89" w:rsidRPr="002C7324" w:rsidRDefault="00403C89" w:rsidP="003E097B">
      <w:pPr>
        <w:rPr>
          <w:snapToGrid w:val="0"/>
          <w:kern w:val="16"/>
          <w:lang w:eastAsia="en-AU"/>
        </w:rPr>
      </w:pPr>
      <w:r w:rsidRPr="002C7324">
        <w:rPr>
          <w:snapToGrid w:val="0"/>
          <w:kern w:val="16"/>
          <w:lang w:eastAsia="en-AU"/>
        </w:rPr>
        <w:t xml:space="preserve">Dermal penetration was observed to be dependent on the vehicles, </w:t>
      </w:r>
      <w:r>
        <w:rPr>
          <w:snapToGrid w:val="0"/>
          <w:kern w:val="16"/>
          <w:lang w:eastAsia="en-AU"/>
        </w:rPr>
        <w:t xml:space="preserve">when </w:t>
      </w:r>
      <w:r w:rsidRPr="002C7324">
        <w:rPr>
          <w:snapToGrid w:val="0"/>
          <w:kern w:val="16"/>
          <w:lang w:eastAsia="en-AU"/>
        </w:rPr>
        <w:t xml:space="preserve">using the tape-stripping technique. Significantly greater amounts were absorbed when the chemical was applied in emulsions than when microencapsulated (HSDB). </w:t>
      </w:r>
      <w:r>
        <w:t>O</w:t>
      </w:r>
      <w:r w:rsidRPr="00FB4BE3">
        <w:t>ctyl methoxycinnamate</w:t>
      </w:r>
      <w:r w:rsidRPr="002C7324" w:rsidDel="00463C20">
        <w:rPr>
          <w:snapToGrid w:val="0"/>
          <w:kern w:val="16"/>
          <w:lang w:eastAsia="en-AU"/>
        </w:rPr>
        <w:t xml:space="preserve"> </w:t>
      </w:r>
      <w:r w:rsidRPr="002C7324">
        <w:rPr>
          <w:snapToGrid w:val="0"/>
          <w:kern w:val="16"/>
          <w:lang w:eastAsia="en-AU"/>
        </w:rPr>
        <w:t>was able to penetrate the skin</w:t>
      </w:r>
      <w:r>
        <w:rPr>
          <w:snapToGrid w:val="0"/>
          <w:kern w:val="16"/>
          <w:lang w:eastAsia="en-AU"/>
        </w:rPr>
        <w:t>,</w:t>
      </w:r>
      <w:r w:rsidRPr="002C7324">
        <w:rPr>
          <w:snapToGrid w:val="0"/>
          <w:kern w:val="16"/>
          <w:lang w:eastAsia="en-AU"/>
        </w:rPr>
        <w:t xml:space="preserve"> and derivatives were formed when it was applied with oleaginous cream as a vehicle on excised rat skin. In contrast, </w:t>
      </w:r>
      <w:r w:rsidRPr="00FB4BE3">
        <w:t>octyl methoxycinnamate</w:t>
      </w:r>
      <w:r w:rsidRPr="002C7324" w:rsidDel="00463C20">
        <w:rPr>
          <w:snapToGrid w:val="0"/>
          <w:kern w:val="16"/>
          <w:lang w:eastAsia="en-AU"/>
        </w:rPr>
        <w:t xml:space="preserve"> </w:t>
      </w:r>
      <w:r w:rsidRPr="002C7324">
        <w:rPr>
          <w:snapToGrid w:val="0"/>
          <w:kern w:val="16"/>
          <w:lang w:eastAsia="en-AU"/>
        </w:rPr>
        <w:t xml:space="preserve">penetration was not observed following the administration of </w:t>
      </w:r>
      <w:r w:rsidRPr="00FB4BE3">
        <w:t>octyl methoxycinnamate</w:t>
      </w:r>
      <w:r w:rsidRPr="002C7324" w:rsidDel="00463C20">
        <w:rPr>
          <w:snapToGrid w:val="0"/>
          <w:kern w:val="16"/>
          <w:lang w:eastAsia="en-AU"/>
        </w:rPr>
        <w:t xml:space="preserve"> </w:t>
      </w:r>
      <w:r w:rsidRPr="002C7324">
        <w:rPr>
          <w:snapToGrid w:val="0"/>
          <w:kern w:val="16"/>
          <w:lang w:eastAsia="en-AU"/>
        </w:rPr>
        <w:t>as entrapped into solid lipid microspheres (SLM)</w:t>
      </w:r>
      <w:bookmarkStart w:id="49" w:name="_Ref65671276"/>
      <w:r>
        <w:rPr>
          <w:snapToGrid w:val="0"/>
          <w:kern w:val="16"/>
          <w:lang w:eastAsia="en-AU"/>
        </w:rPr>
        <w:t xml:space="preserve"> </w:t>
      </w:r>
      <w:r w:rsidRPr="002C7324">
        <w:rPr>
          <w:snapToGrid w:val="0"/>
          <w:kern w:val="16"/>
          <w:lang w:eastAsia="en-AU"/>
        </w:rPr>
        <w:t xml:space="preserve">(Yener </w:t>
      </w:r>
      <w:r w:rsidRPr="002C7324">
        <w:rPr>
          <w:i/>
          <w:snapToGrid w:val="0"/>
          <w:kern w:val="16"/>
          <w:lang w:eastAsia="en-AU"/>
        </w:rPr>
        <w:t>et al.</w:t>
      </w:r>
      <w:r w:rsidRPr="002C7324">
        <w:rPr>
          <w:snapToGrid w:val="0"/>
          <w:kern w:val="16"/>
          <w:lang w:eastAsia="en-AU"/>
        </w:rPr>
        <w:t xml:space="preserve"> 2003).</w:t>
      </w:r>
      <w:bookmarkEnd w:id="49"/>
    </w:p>
    <w:p w14:paraId="5D9485E7" w14:textId="01680D86" w:rsidR="00403C89" w:rsidRPr="002C7324" w:rsidRDefault="00403C89" w:rsidP="003E097B">
      <w:pPr>
        <w:rPr>
          <w:snapToGrid w:val="0"/>
          <w:kern w:val="16"/>
          <w:lang w:eastAsia="en-AU"/>
        </w:rPr>
      </w:pPr>
      <w:r w:rsidRPr="002C7324">
        <w:rPr>
          <w:snapToGrid w:val="0"/>
          <w:kern w:val="16"/>
          <w:lang w:eastAsia="en-AU"/>
        </w:rPr>
        <w:t xml:space="preserve">Studies with porcine skin showed that about 9% of the applied dose of </w:t>
      </w:r>
      <w:r w:rsidRPr="00FB4BE3">
        <w:t>octyl methoxycinnamate</w:t>
      </w:r>
      <w:r w:rsidRPr="002C7324" w:rsidDel="00463C20">
        <w:rPr>
          <w:snapToGrid w:val="0"/>
          <w:kern w:val="16"/>
          <w:lang w:eastAsia="en-AU"/>
        </w:rPr>
        <w:t xml:space="preserve"> </w:t>
      </w:r>
      <w:r w:rsidRPr="002C7324">
        <w:rPr>
          <w:snapToGrid w:val="0"/>
          <w:kern w:val="16"/>
          <w:lang w:eastAsia="en-AU"/>
        </w:rPr>
        <w:t xml:space="preserve">penetrates the skin with a flux of 27 </w:t>
      </w:r>
      <w:proofErr w:type="spellStart"/>
      <w:r w:rsidRPr="002C7324">
        <w:rPr>
          <w:snapToGrid w:val="0"/>
          <w:kern w:val="16"/>
          <w:lang w:eastAsia="en-AU"/>
        </w:rPr>
        <w:t>μg</w:t>
      </w:r>
      <w:proofErr w:type="spellEnd"/>
      <w:r w:rsidRPr="002C7324">
        <w:rPr>
          <w:snapToGrid w:val="0"/>
          <w:kern w:val="16"/>
          <w:lang w:eastAsia="en-AU"/>
        </w:rPr>
        <w:t>/cm</w:t>
      </w:r>
      <w:r w:rsidRPr="002C7324">
        <w:rPr>
          <w:snapToGrid w:val="0"/>
          <w:kern w:val="16"/>
          <w:vertAlign w:val="superscript"/>
          <w:lang w:eastAsia="en-AU"/>
        </w:rPr>
        <w:t>2</w:t>
      </w:r>
      <w:r w:rsidRPr="002C7324">
        <w:rPr>
          <w:snapToGrid w:val="0"/>
          <w:kern w:val="16"/>
          <w:lang w:eastAsia="en-AU"/>
        </w:rPr>
        <w:t>·h</w:t>
      </w:r>
      <w:bookmarkStart w:id="50" w:name="_Ref65671283"/>
      <w:r w:rsidRPr="002C7324">
        <w:rPr>
          <w:snapToGrid w:val="0"/>
          <w:kern w:val="16"/>
          <w:lang w:eastAsia="en-AU"/>
        </w:rPr>
        <w:t xml:space="preserve"> (</w:t>
      </w:r>
      <w:r w:rsidRPr="002C7324">
        <w:rPr>
          <w:rFonts w:cstheme="minorHAnsi"/>
        </w:rPr>
        <w:t xml:space="preserve">Touitou </w:t>
      </w:r>
      <w:r>
        <w:rPr>
          <w:rFonts w:cstheme="minorHAnsi"/>
        </w:rPr>
        <w:t>and</w:t>
      </w:r>
      <w:r w:rsidRPr="002C7324">
        <w:rPr>
          <w:rFonts w:cstheme="minorHAnsi"/>
        </w:rPr>
        <w:t xml:space="preserve"> Godin 2008)</w:t>
      </w:r>
      <w:bookmarkEnd w:id="50"/>
      <w:r w:rsidRPr="002C7324">
        <w:rPr>
          <w:snapToGrid w:val="0"/>
          <w:kern w:val="16"/>
          <w:lang w:eastAsia="en-AU"/>
        </w:rPr>
        <w:t xml:space="preserve">. An accumulation of ~9% of </w:t>
      </w:r>
      <w:r w:rsidRPr="00FB4BE3">
        <w:t>octyl methoxycinnamate</w:t>
      </w:r>
      <w:r w:rsidRPr="002C7324" w:rsidDel="00463C20">
        <w:rPr>
          <w:snapToGrid w:val="0"/>
          <w:kern w:val="16"/>
          <w:lang w:eastAsia="en-AU"/>
        </w:rPr>
        <w:t xml:space="preserve"> </w:t>
      </w:r>
      <w:r w:rsidRPr="002C7324">
        <w:rPr>
          <w:snapToGrid w:val="0"/>
          <w:kern w:val="16"/>
          <w:lang w:eastAsia="en-AU"/>
        </w:rPr>
        <w:t xml:space="preserve">in epidermis and ~2-3% in dermis </w:t>
      </w:r>
      <w:proofErr w:type="gramStart"/>
      <w:r w:rsidRPr="002C7324">
        <w:rPr>
          <w:snapToGrid w:val="0"/>
          <w:kern w:val="16"/>
          <w:lang w:eastAsia="en-AU"/>
        </w:rPr>
        <w:t>were</w:t>
      </w:r>
      <w:proofErr w:type="gramEnd"/>
      <w:r w:rsidRPr="002C7324">
        <w:rPr>
          <w:snapToGrid w:val="0"/>
          <w:kern w:val="16"/>
          <w:lang w:eastAsia="en-AU"/>
        </w:rPr>
        <w:t xml:space="preserve"> observed following application of 2</w:t>
      </w:r>
      <w:r>
        <w:rPr>
          <w:snapToGrid w:val="0"/>
          <w:kern w:val="16"/>
          <w:lang w:eastAsia="en-AU"/>
        </w:rPr>
        <w:t xml:space="preserve"> </w:t>
      </w:r>
      <w:r w:rsidRPr="002C7324">
        <w:rPr>
          <w:snapToGrid w:val="0"/>
          <w:kern w:val="16"/>
          <w:lang w:eastAsia="en-AU"/>
        </w:rPr>
        <w:t>mg/cm</w:t>
      </w:r>
      <w:r w:rsidRPr="002C7324">
        <w:rPr>
          <w:snapToGrid w:val="0"/>
          <w:kern w:val="16"/>
          <w:vertAlign w:val="superscript"/>
          <w:lang w:eastAsia="en-AU"/>
        </w:rPr>
        <w:t>2</w:t>
      </w:r>
      <w:r w:rsidRPr="002C7324">
        <w:rPr>
          <w:snapToGrid w:val="0"/>
          <w:kern w:val="16"/>
          <w:lang w:eastAsia="en-AU"/>
        </w:rPr>
        <w:t xml:space="preserve"> and 0.5 mg/cm</w:t>
      </w:r>
      <w:r w:rsidRPr="002C7324">
        <w:rPr>
          <w:snapToGrid w:val="0"/>
          <w:kern w:val="16"/>
          <w:vertAlign w:val="superscript"/>
          <w:lang w:eastAsia="en-AU"/>
        </w:rPr>
        <w:t>2</w:t>
      </w:r>
      <w:r w:rsidRPr="002C7324">
        <w:rPr>
          <w:snapToGrid w:val="0"/>
          <w:kern w:val="16"/>
          <w:lang w:eastAsia="en-AU"/>
        </w:rPr>
        <w:t xml:space="preserve"> of </w:t>
      </w:r>
      <w:r w:rsidRPr="00FB4BE3">
        <w:t>octyl methoxycinnamate</w:t>
      </w:r>
      <w:r w:rsidRPr="002C7324">
        <w:rPr>
          <w:snapToGrid w:val="0"/>
          <w:kern w:val="16"/>
          <w:lang w:eastAsia="en-AU"/>
        </w:rPr>
        <w:t>, respectively for 6 h exposure (</w:t>
      </w:r>
      <w:r w:rsidRPr="002C7324">
        <w:t xml:space="preserve">Schneider </w:t>
      </w:r>
      <w:r w:rsidRPr="002C7324">
        <w:rPr>
          <w:i/>
        </w:rPr>
        <w:t>et al.</w:t>
      </w:r>
      <w:r w:rsidRPr="002C7324">
        <w:t xml:space="preserve"> 2005</w:t>
      </w:r>
      <w:r w:rsidRPr="002C7324">
        <w:rPr>
          <w:snapToGrid w:val="0"/>
          <w:kern w:val="16"/>
          <w:lang w:eastAsia="en-AU"/>
        </w:rPr>
        <w:t>).</w:t>
      </w:r>
      <w:r w:rsidRPr="002C7324">
        <w:rPr>
          <w:i/>
          <w:snapToGrid w:val="0"/>
          <w:kern w:val="16"/>
          <w:lang w:eastAsia="en-AU"/>
        </w:rPr>
        <w:t xml:space="preserve"> </w:t>
      </w:r>
      <w:r w:rsidRPr="002C7324">
        <w:rPr>
          <w:snapToGrid w:val="0"/>
          <w:kern w:val="16"/>
          <w:lang w:eastAsia="en-AU"/>
        </w:rPr>
        <w:t>O</w:t>
      </w:r>
      <w:r w:rsidRPr="00FB4BE3">
        <w:t>ctyl methoxycinnamate</w:t>
      </w:r>
      <w:r w:rsidRPr="002C7324" w:rsidDel="00463C20">
        <w:rPr>
          <w:snapToGrid w:val="0"/>
          <w:kern w:val="16"/>
          <w:lang w:eastAsia="en-AU"/>
        </w:rPr>
        <w:t xml:space="preserve"> </w:t>
      </w:r>
      <w:r w:rsidRPr="002C7324">
        <w:rPr>
          <w:snapToGrid w:val="0"/>
          <w:kern w:val="16"/>
          <w:lang w:eastAsia="en-AU"/>
        </w:rPr>
        <w:t xml:space="preserve">accumulation is expected to increase over time as the accumulation in dermis was found to be ~12-15% of the dose applied and 2-4% of the dose was found to cross the dermis and </w:t>
      </w:r>
      <w:proofErr w:type="gramStart"/>
      <w:r w:rsidRPr="002C7324">
        <w:rPr>
          <w:snapToGrid w:val="0"/>
          <w:kern w:val="16"/>
          <w:lang w:eastAsia="en-AU"/>
        </w:rPr>
        <w:t>enter into</w:t>
      </w:r>
      <w:proofErr w:type="gramEnd"/>
      <w:r w:rsidRPr="002C7324">
        <w:rPr>
          <w:snapToGrid w:val="0"/>
          <w:kern w:val="16"/>
          <w:lang w:eastAsia="en-AU"/>
        </w:rPr>
        <w:t xml:space="preserve"> the circulation after 24 hours.</w:t>
      </w:r>
    </w:p>
    <w:p w14:paraId="25E1CB4E" w14:textId="7ED7D865" w:rsidR="00403C89" w:rsidRPr="002C7324" w:rsidRDefault="00403C89" w:rsidP="003E097B">
      <w:pPr>
        <w:rPr>
          <w:snapToGrid w:val="0"/>
          <w:lang w:eastAsia="en-AU"/>
        </w:rPr>
      </w:pPr>
      <w:r w:rsidRPr="002C7324">
        <w:rPr>
          <w:snapToGrid w:val="0"/>
          <w:lang w:eastAsia="en-AU"/>
        </w:rPr>
        <w:t xml:space="preserve">An </w:t>
      </w:r>
      <w:r w:rsidRPr="008A6B9A">
        <w:rPr>
          <w:i/>
          <w:iCs/>
          <w:snapToGrid w:val="0"/>
          <w:lang w:eastAsia="en-AU"/>
        </w:rPr>
        <w:t>in vitro</w:t>
      </w:r>
      <w:r w:rsidRPr="002C7324">
        <w:rPr>
          <w:snapToGrid w:val="0"/>
          <w:lang w:eastAsia="en-AU"/>
        </w:rPr>
        <w:t xml:space="preserve"> absorption study with sunscreen (O/W , oil in water emulsion and W/O</w:t>
      </w:r>
      <w:r>
        <w:rPr>
          <w:snapToGrid w:val="0"/>
          <w:lang w:eastAsia="en-AU"/>
        </w:rPr>
        <w:t>,</w:t>
      </w:r>
      <w:r w:rsidRPr="002C7324">
        <w:rPr>
          <w:snapToGrid w:val="0"/>
          <w:lang w:eastAsia="en-AU"/>
        </w:rPr>
        <w:t xml:space="preserve"> water in oil emulsion) containing </w:t>
      </w:r>
      <w:r w:rsidRPr="00FB4BE3">
        <w:t>octyl methoxycinnamate</w:t>
      </w:r>
      <w:r w:rsidRPr="002C7324" w:rsidDel="00437A22">
        <w:rPr>
          <w:snapToGrid w:val="0"/>
          <w:lang w:eastAsia="en-AU"/>
        </w:rPr>
        <w:t xml:space="preserve"> </w:t>
      </w:r>
      <w:r w:rsidRPr="002C7324">
        <w:rPr>
          <w:snapToGrid w:val="0"/>
          <w:lang w:eastAsia="en-AU"/>
        </w:rPr>
        <w:t xml:space="preserve">or EHMC (10%) on full-thickness pig-ear skin, mimicking human in-use conditions revealed the skin distribution of </w:t>
      </w:r>
      <w:r w:rsidRPr="00FB4BE3">
        <w:t>octyl methoxycinnamate</w:t>
      </w:r>
      <w:r w:rsidRPr="002C7324" w:rsidDel="00437A22">
        <w:rPr>
          <w:snapToGrid w:val="0"/>
          <w:lang w:eastAsia="en-AU"/>
        </w:rPr>
        <w:t xml:space="preserve"> </w:t>
      </w:r>
      <w:r w:rsidRPr="002C7324">
        <w:rPr>
          <w:snapToGrid w:val="0"/>
          <w:lang w:eastAsia="en-AU"/>
        </w:rPr>
        <w:t>from the sunscreen dose of 0.5 mg/cm</w:t>
      </w:r>
      <w:r w:rsidRPr="002C7324">
        <w:rPr>
          <w:snapToGrid w:val="0"/>
          <w:vertAlign w:val="superscript"/>
          <w:lang w:eastAsia="en-AU"/>
        </w:rPr>
        <w:t>2</w:t>
      </w:r>
      <w:r w:rsidRPr="002C7324">
        <w:rPr>
          <w:snapToGrid w:val="0"/>
          <w:lang w:eastAsia="en-AU"/>
        </w:rPr>
        <w:t xml:space="preserve"> after 6-h exposure to the epidermis of frozen-stored skin was 4.8± 0.7 </w:t>
      </w:r>
      <w:proofErr w:type="spellStart"/>
      <w:r w:rsidRPr="002C7324">
        <w:rPr>
          <w:snapToGrid w:val="0"/>
          <w:lang w:eastAsia="en-AU"/>
        </w:rPr>
        <w:t>μg</w:t>
      </w:r>
      <w:proofErr w:type="spellEnd"/>
      <w:r w:rsidRPr="002C7324">
        <w:rPr>
          <w:snapToGrid w:val="0"/>
          <w:lang w:eastAsia="en-AU"/>
        </w:rPr>
        <w:t>/cm</w:t>
      </w:r>
      <w:r w:rsidRPr="002C7324">
        <w:rPr>
          <w:snapToGrid w:val="0"/>
          <w:vertAlign w:val="superscript"/>
          <w:lang w:eastAsia="en-AU"/>
        </w:rPr>
        <w:t>2</w:t>
      </w:r>
      <w:r w:rsidRPr="002C7324">
        <w:rPr>
          <w:snapToGrid w:val="0"/>
          <w:lang w:eastAsia="en-AU"/>
        </w:rPr>
        <w:t xml:space="preserve">,  dermis 1.2 ± 0.1 </w:t>
      </w:r>
      <w:proofErr w:type="spellStart"/>
      <w:r w:rsidRPr="002C7324">
        <w:rPr>
          <w:snapToGrid w:val="0"/>
          <w:lang w:eastAsia="en-AU"/>
        </w:rPr>
        <w:t>μg</w:t>
      </w:r>
      <w:proofErr w:type="spellEnd"/>
      <w:r w:rsidRPr="002C7324">
        <w:rPr>
          <w:snapToGrid w:val="0"/>
          <w:lang w:eastAsia="en-AU"/>
        </w:rPr>
        <w:t>/cm</w:t>
      </w:r>
      <w:r w:rsidRPr="002C7324">
        <w:rPr>
          <w:snapToGrid w:val="0"/>
          <w:vertAlign w:val="superscript"/>
          <w:lang w:eastAsia="en-AU"/>
        </w:rPr>
        <w:t xml:space="preserve">2 </w:t>
      </w:r>
      <w:r w:rsidRPr="002C7324">
        <w:rPr>
          <w:snapToGrid w:val="0"/>
          <w:lang w:eastAsia="en-AU"/>
        </w:rPr>
        <w:t xml:space="preserve">and undetectable in receptor fluid, whereas 3.4 ± 0.6 </w:t>
      </w:r>
      <w:proofErr w:type="spellStart"/>
      <w:r w:rsidRPr="002C7324">
        <w:rPr>
          <w:snapToGrid w:val="0"/>
          <w:lang w:eastAsia="en-AU"/>
        </w:rPr>
        <w:t>μg</w:t>
      </w:r>
      <w:proofErr w:type="spellEnd"/>
      <w:r w:rsidRPr="002C7324">
        <w:rPr>
          <w:snapToGrid w:val="0"/>
          <w:lang w:eastAsia="en-AU"/>
        </w:rPr>
        <w:t>/cm</w:t>
      </w:r>
      <w:r w:rsidRPr="002C7324">
        <w:rPr>
          <w:snapToGrid w:val="0"/>
          <w:vertAlign w:val="superscript"/>
          <w:lang w:eastAsia="en-AU"/>
        </w:rPr>
        <w:t>2</w:t>
      </w:r>
      <w:r w:rsidRPr="002C7324">
        <w:rPr>
          <w:snapToGrid w:val="0"/>
          <w:lang w:eastAsia="en-AU"/>
        </w:rPr>
        <w:t>,</w:t>
      </w:r>
      <w:r w:rsidR="00BA4549">
        <w:rPr>
          <w:snapToGrid w:val="0"/>
          <w:lang w:eastAsia="en-AU"/>
        </w:rPr>
        <w:br/>
      </w:r>
      <w:r w:rsidRPr="002C7324">
        <w:rPr>
          <w:snapToGrid w:val="0"/>
          <w:lang w:eastAsia="en-AU"/>
        </w:rPr>
        <w:lastRenderedPageBreak/>
        <w:t xml:space="preserve">2.1 ± 0.4 </w:t>
      </w:r>
      <w:proofErr w:type="spellStart"/>
      <w:r w:rsidRPr="002C7324">
        <w:rPr>
          <w:snapToGrid w:val="0"/>
          <w:lang w:eastAsia="en-AU"/>
        </w:rPr>
        <w:t>μg</w:t>
      </w:r>
      <w:proofErr w:type="spellEnd"/>
      <w:r w:rsidRPr="002C7324">
        <w:rPr>
          <w:snapToGrid w:val="0"/>
          <w:lang w:eastAsia="en-AU"/>
        </w:rPr>
        <w:t>/cm</w:t>
      </w:r>
      <w:r w:rsidRPr="002C7324">
        <w:rPr>
          <w:snapToGrid w:val="0"/>
          <w:vertAlign w:val="superscript"/>
          <w:lang w:eastAsia="en-AU"/>
        </w:rPr>
        <w:t xml:space="preserve">2 </w:t>
      </w:r>
      <w:r w:rsidRPr="002C7324">
        <w:rPr>
          <w:snapToGrid w:val="0"/>
          <w:lang w:eastAsia="en-AU"/>
        </w:rPr>
        <w:t>and</w:t>
      </w:r>
      <w:r w:rsidR="00BA4549">
        <w:rPr>
          <w:snapToGrid w:val="0"/>
          <w:lang w:eastAsia="en-AU"/>
        </w:rPr>
        <w:t xml:space="preserve"> </w:t>
      </w:r>
      <w:r w:rsidRPr="002C7324">
        <w:rPr>
          <w:snapToGrid w:val="0"/>
          <w:lang w:eastAsia="en-AU"/>
        </w:rPr>
        <w:t xml:space="preserve">0.9 ± 0.1 </w:t>
      </w:r>
      <w:proofErr w:type="spellStart"/>
      <w:r w:rsidRPr="002C7324">
        <w:rPr>
          <w:snapToGrid w:val="0"/>
          <w:lang w:eastAsia="en-AU"/>
        </w:rPr>
        <w:t>μg</w:t>
      </w:r>
      <w:proofErr w:type="spellEnd"/>
      <w:r w:rsidRPr="002C7324">
        <w:rPr>
          <w:snapToGrid w:val="0"/>
          <w:lang w:eastAsia="en-AU"/>
        </w:rPr>
        <w:t>/cm</w:t>
      </w:r>
      <w:r w:rsidRPr="002C7324">
        <w:rPr>
          <w:snapToGrid w:val="0"/>
          <w:vertAlign w:val="superscript"/>
          <w:lang w:eastAsia="en-AU"/>
        </w:rPr>
        <w:t>2</w:t>
      </w:r>
      <w:r w:rsidR="00BA4549">
        <w:rPr>
          <w:snapToGrid w:val="0"/>
          <w:lang w:eastAsia="en-AU"/>
        </w:rPr>
        <w:t xml:space="preserve"> o</w:t>
      </w:r>
      <w:r w:rsidRPr="002C7324">
        <w:rPr>
          <w:snapToGrid w:val="0"/>
          <w:lang w:eastAsia="en-AU"/>
        </w:rPr>
        <w:t>f</w:t>
      </w:r>
      <w:r w:rsidRPr="002C7324">
        <w:rPr>
          <w:snapToGrid w:val="0"/>
          <w:vertAlign w:val="superscript"/>
          <w:lang w:eastAsia="en-AU"/>
        </w:rPr>
        <w:t xml:space="preserve"> </w:t>
      </w:r>
      <w:r w:rsidRPr="00FB4BE3">
        <w:t>octyl methoxycinnamate</w:t>
      </w:r>
      <w:r w:rsidRPr="002C7324" w:rsidDel="00437A22">
        <w:rPr>
          <w:snapToGrid w:val="0"/>
          <w:lang w:eastAsia="en-AU"/>
        </w:rPr>
        <w:t xml:space="preserve"> </w:t>
      </w:r>
      <w:r w:rsidRPr="002C7324">
        <w:rPr>
          <w:snapToGrid w:val="0"/>
          <w:lang w:eastAsia="en-AU"/>
        </w:rPr>
        <w:t>was distributed to epidermis,  dermis and receptor fluid after following 18-h permeation</w:t>
      </w:r>
      <w:r>
        <w:rPr>
          <w:snapToGrid w:val="0"/>
          <w:lang w:eastAsia="en-AU"/>
        </w:rPr>
        <w:t>,</w:t>
      </w:r>
      <w:r w:rsidRPr="002C7324">
        <w:rPr>
          <w:snapToGrid w:val="0"/>
          <w:lang w:eastAsia="en-AU"/>
        </w:rPr>
        <w:t xml:space="preserve"> respectively (</w:t>
      </w:r>
      <w:r w:rsidRPr="002C7324">
        <w:t xml:space="preserve">Klimova </w:t>
      </w:r>
      <w:r w:rsidRPr="002C7324">
        <w:rPr>
          <w:i/>
        </w:rPr>
        <w:t xml:space="preserve">et al. </w:t>
      </w:r>
      <w:r w:rsidRPr="002C7324">
        <w:t>2015</w:t>
      </w:r>
      <w:r w:rsidRPr="002C7324">
        <w:rPr>
          <w:snapToGrid w:val="0"/>
          <w:lang w:eastAsia="en-AU"/>
        </w:rPr>
        <w:t xml:space="preserve">). Almost two-fold higher absorption was noted when water in oil emulsion containing 10% </w:t>
      </w:r>
      <w:r w:rsidRPr="00FB4BE3">
        <w:t>octyl methoxycinnamate</w:t>
      </w:r>
      <w:r w:rsidRPr="002C7324" w:rsidDel="00437A22">
        <w:rPr>
          <w:snapToGrid w:val="0"/>
          <w:lang w:eastAsia="en-AU"/>
        </w:rPr>
        <w:t xml:space="preserve"> </w:t>
      </w:r>
      <w:r w:rsidRPr="002C7324">
        <w:rPr>
          <w:snapToGrid w:val="0"/>
          <w:lang w:eastAsia="en-AU"/>
        </w:rPr>
        <w:t>was applied on pig skin in the same study (</w:t>
      </w:r>
      <w:r w:rsidRPr="002C7324">
        <w:t xml:space="preserve">Klimova </w:t>
      </w:r>
      <w:r w:rsidRPr="002C7324">
        <w:rPr>
          <w:i/>
        </w:rPr>
        <w:t xml:space="preserve">et al. </w:t>
      </w:r>
      <w:r w:rsidRPr="002C7324">
        <w:t>2015</w:t>
      </w:r>
      <w:r w:rsidRPr="002C7324">
        <w:rPr>
          <w:snapToGrid w:val="0"/>
          <w:lang w:eastAsia="en-AU"/>
        </w:rPr>
        <w:t>).</w:t>
      </w:r>
    </w:p>
    <w:p w14:paraId="624147C0" w14:textId="3995A9BC" w:rsidR="00403C89" w:rsidRPr="002C7324" w:rsidRDefault="00403C89" w:rsidP="003E097B">
      <w:pPr>
        <w:rPr>
          <w:snapToGrid w:val="0"/>
          <w:lang w:eastAsia="en-AU"/>
        </w:rPr>
      </w:pPr>
      <w:r w:rsidRPr="002C7324">
        <w:rPr>
          <w:snapToGrid w:val="0"/>
          <w:lang w:eastAsia="en-AU"/>
        </w:rPr>
        <w:t>In this study, the authors “</w:t>
      </w:r>
      <w:r w:rsidRPr="002C7324">
        <w:rPr>
          <w:i/>
          <w:snapToGrid w:val="0"/>
          <w:lang w:eastAsia="en-AU"/>
        </w:rPr>
        <w:t xml:space="preserve">tried to mimic the real-life habits of consumers when applying sunscreen as closely as possible”. </w:t>
      </w:r>
      <w:r w:rsidRPr="002C7324">
        <w:rPr>
          <w:snapToGrid w:val="0"/>
          <w:lang w:eastAsia="en-AU"/>
        </w:rPr>
        <w:t xml:space="preserve">In this way the time of exposition was reduced to 6 hours (in contrast of classic studies </w:t>
      </w:r>
      <w:r>
        <w:rPr>
          <w:snapToGrid w:val="0"/>
          <w:lang w:eastAsia="en-AU"/>
        </w:rPr>
        <w:t>using</w:t>
      </w:r>
      <w:r w:rsidRPr="002C7324">
        <w:rPr>
          <w:snapToGrid w:val="0"/>
          <w:lang w:eastAsia="en-AU"/>
        </w:rPr>
        <w:t xml:space="preserve"> long skin exposure), a</w:t>
      </w:r>
      <w:r>
        <w:rPr>
          <w:snapToGrid w:val="0"/>
          <w:lang w:eastAsia="en-AU"/>
        </w:rPr>
        <w:t>nd a smaller</w:t>
      </w:r>
      <w:r w:rsidRPr="002C7324">
        <w:rPr>
          <w:snapToGrid w:val="0"/>
          <w:lang w:eastAsia="en-AU"/>
        </w:rPr>
        <w:t xml:space="preserve"> dose of sunscreen was used (0.5 mg/cm</w:t>
      </w:r>
      <w:r w:rsidRPr="002C7324">
        <w:rPr>
          <w:snapToGrid w:val="0"/>
          <w:vertAlign w:val="superscript"/>
          <w:lang w:eastAsia="en-AU"/>
        </w:rPr>
        <w:t>2</w:t>
      </w:r>
      <w:r w:rsidRPr="002C7324">
        <w:rPr>
          <w:snapToGrid w:val="0"/>
          <w:lang w:eastAsia="en-AU"/>
        </w:rPr>
        <w:t>)</w:t>
      </w:r>
      <w:r>
        <w:rPr>
          <w:snapToGrid w:val="0"/>
          <w:lang w:eastAsia="en-AU"/>
        </w:rPr>
        <w:t xml:space="preserve"> </w:t>
      </w:r>
      <w:r w:rsidRPr="002C7324">
        <w:rPr>
          <w:snapToGrid w:val="0"/>
          <w:lang w:eastAsia="en-AU"/>
        </w:rPr>
        <w:t>(</w:t>
      </w:r>
      <w:r w:rsidRPr="002C7324">
        <w:t xml:space="preserve">Klimova </w:t>
      </w:r>
      <w:r w:rsidRPr="002C7324">
        <w:rPr>
          <w:i/>
        </w:rPr>
        <w:t xml:space="preserve">et al. </w:t>
      </w:r>
      <w:r w:rsidRPr="002C7324">
        <w:t>2015</w:t>
      </w:r>
      <w:r w:rsidRPr="002C7324">
        <w:rPr>
          <w:snapToGrid w:val="0"/>
          <w:lang w:eastAsia="en-AU"/>
        </w:rPr>
        <w:t>). Considering that some chemical substances, instead of passing entirely through the skin, can remain partly in the skin and release</w:t>
      </w:r>
      <w:r>
        <w:rPr>
          <w:snapToGrid w:val="0"/>
          <w:lang w:eastAsia="en-AU"/>
        </w:rPr>
        <w:t>d</w:t>
      </w:r>
      <w:r w:rsidRPr="002C7324">
        <w:rPr>
          <w:snapToGrid w:val="0"/>
          <w:lang w:eastAsia="en-AU"/>
        </w:rPr>
        <w:t xml:space="preserve"> later</w:t>
      </w:r>
      <w:r>
        <w:rPr>
          <w:snapToGrid w:val="0"/>
          <w:lang w:eastAsia="en-AU"/>
        </w:rPr>
        <w:t xml:space="preserve"> in</w:t>
      </w:r>
      <w:r w:rsidRPr="002C7324">
        <w:rPr>
          <w:snapToGrid w:val="0"/>
          <w:lang w:eastAsia="en-AU"/>
        </w:rPr>
        <w:t xml:space="preserve"> time, the dermal absorption was evaluated at the end of the exposure period</w:t>
      </w:r>
      <w:r>
        <w:rPr>
          <w:snapToGrid w:val="0"/>
          <w:lang w:eastAsia="en-AU"/>
        </w:rPr>
        <w:t xml:space="preserve"> and then following</w:t>
      </w:r>
      <w:r w:rsidRPr="002C7324">
        <w:rPr>
          <w:snapToGrid w:val="0"/>
          <w:lang w:eastAsia="en-AU"/>
        </w:rPr>
        <w:t xml:space="preserve"> washing </w:t>
      </w:r>
      <w:r>
        <w:rPr>
          <w:snapToGrid w:val="0"/>
          <w:lang w:eastAsia="en-AU"/>
        </w:rPr>
        <w:t>and an</w:t>
      </w:r>
      <w:r w:rsidRPr="002C7324">
        <w:rPr>
          <w:snapToGrid w:val="0"/>
          <w:lang w:eastAsia="en-AU"/>
        </w:rPr>
        <w:t xml:space="preserve"> 18-h permeation.</w:t>
      </w:r>
    </w:p>
    <w:p w14:paraId="7D6A7779" w14:textId="77777777" w:rsidR="00403C89" w:rsidRPr="007F04FA" w:rsidRDefault="00403C89" w:rsidP="003E097B">
      <w:pPr>
        <w:rPr>
          <w:snapToGrid w:val="0"/>
          <w:lang w:eastAsia="en-AU"/>
        </w:rPr>
      </w:pPr>
      <w:r w:rsidRPr="002C7324">
        <w:rPr>
          <w:snapToGrid w:val="0"/>
          <w:lang w:eastAsia="en-AU"/>
        </w:rPr>
        <w:t>The dermal absorption was obtained by the sum of the filter absorbed in the dermis and the</w:t>
      </w:r>
      <w:r>
        <w:rPr>
          <w:snapToGrid w:val="0"/>
          <w:lang w:eastAsia="en-AU"/>
        </w:rPr>
        <w:t xml:space="preserve"> receptor fluid</w:t>
      </w:r>
      <w:r w:rsidRPr="002C7324">
        <w:rPr>
          <w:snapToGrid w:val="0"/>
          <w:lang w:eastAsia="en-AU"/>
        </w:rPr>
        <w:t xml:space="preserve"> </w:t>
      </w:r>
      <w:r w:rsidRPr="00A2106B">
        <w:rPr>
          <w:snapToGrid w:val="0"/>
          <w:lang w:eastAsia="en-AU"/>
        </w:rPr>
        <w:t>(</w:t>
      </w:r>
      <w:r w:rsidRPr="002C7324">
        <w:rPr>
          <w:snapToGrid w:val="0"/>
          <w:lang w:eastAsia="en-AU"/>
        </w:rPr>
        <w:t>RF</w:t>
      </w:r>
      <w:r w:rsidRPr="00A2106B">
        <w:rPr>
          <w:snapToGrid w:val="0"/>
          <w:lang w:eastAsia="en-AU"/>
        </w:rPr>
        <w:t>)</w:t>
      </w:r>
      <w:r w:rsidRPr="002C7324">
        <w:rPr>
          <w:snapToGrid w:val="0"/>
          <w:lang w:eastAsia="en-AU"/>
        </w:rPr>
        <w:t xml:space="preserve"> (which was considered systematically available), corrected by the fresh/frozen –</w:t>
      </w:r>
      <w:r>
        <w:rPr>
          <w:snapToGrid w:val="0"/>
          <w:lang w:eastAsia="en-AU"/>
        </w:rPr>
        <w:t xml:space="preserve"> </w:t>
      </w:r>
      <w:r w:rsidRPr="002C7324">
        <w:rPr>
          <w:snapToGrid w:val="0"/>
          <w:lang w:eastAsia="en-AU"/>
        </w:rPr>
        <w:t xml:space="preserve">stored skin permeability coefficient. </w:t>
      </w:r>
      <w:r w:rsidRPr="007F04FA">
        <w:rPr>
          <w:snapToGrid w:val="0"/>
          <w:lang w:eastAsia="en-AU"/>
        </w:rPr>
        <w:t>It is noted that pig-ear skin has been recognized by the international authorities and scientists as a practical alternative and relevant model for predicting permeability of cosmetic ingredients in humans (</w:t>
      </w:r>
      <w:r w:rsidRPr="007F04FA">
        <w:t xml:space="preserve">Klimova </w:t>
      </w:r>
      <w:r w:rsidRPr="007F04FA">
        <w:rPr>
          <w:i/>
        </w:rPr>
        <w:t xml:space="preserve">et al. </w:t>
      </w:r>
      <w:r w:rsidRPr="007F04FA">
        <w:t>2015</w:t>
      </w:r>
      <w:r w:rsidRPr="007F04FA">
        <w:rPr>
          <w:snapToGrid w:val="0"/>
          <w:lang w:eastAsia="en-AU"/>
        </w:rPr>
        <w:t>).</w:t>
      </w:r>
    </w:p>
    <w:p w14:paraId="78765E48" w14:textId="3D9D5243" w:rsidR="00403C89" w:rsidRPr="007F04FA" w:rsidRDefault="00403C89" w:rsidP="003E097B">
      <w:pPr>
        <w:rPr>
          <w:snapToGrid w:val="0"/>
          <w:lang w:eastAsia="en-AU"/>
        </w:rPr>
      </w:pPr>
      <w:r w:rsidRPr="00427C49">
        <w:rPr>
          <w:snapToGrid w:val="0"/>
          <w:lang w:eastAsia="en-AU"/>
        </w:rPr>
        <w:t xml:space="preserve">Human </w:t>
      </w:r>
      <w:r w:rsidRPr="008A6B9A">
        <w:rPr>
          <w:i/>
          <w:snapToGrid w:val="0"/>
          <w:lang w:eastAsia="en-AU"/>
        </w:rPr>
        <w:t>in vitro</w:t>
      </w:r>
      <w:r w:rsidRPr="00427C49">
        <w:rPr>
          <w:snapToGrid w:val="0"/>
          <w:lang w:eastAsia="en-AU"/>
        </w:rPr>
        <w:t xml:space="preserve"> and </w:t>
      </w:r>
      <w:r w:rsidRPr="00427C49">
        <w:rPr>
          <w:i/>
          <w:snapToGrid w:val="0"/>
          <w:lang w:eastAsia="en-AU"/>
        </w:rPr>
        <w:t xml:space="preserve">in vivo </w:t>
      </w:r>
      <w:r w:rsidRPr="00427C49">
        <w:rPr>
          <w:snapToGrid w:val="0"/>
          <w:lang w:eastAsia="en-AU"/>
        </w:rPr>
        <w:t xml:space="preserve">studies showed that the permeation of </w:t>
      </w:r>
      <w:r w:rsidRPr="00FB4BE3">
        <w:t>octyl methoxycinnamate</w:t>
      </w:r>
      <w:r w:rsidRPr="00427C49" w:rsidDel="00437A22">
        <w:rPr>
          <w:snapToGrid w:val="0"/>
          <w:lang w:eastAsia="en-AU"/>
        </w:rPr>
        <w:t xml:space="preserve"> </w:t>
      </w:r>
      <w:r w:rsidRPr="00427C49">
        <w:rPr>
          <w:snapToGrid w:val="0"/>
          <w:lang w:eastAsia="en-AU"/>
        </w:rPr>
        <w:t>in human skin was dependent on both</w:t>
      </w:r>
      <w:r w:rsidRPr="002C7324">
        <w:rPr>
          <w:snapToGrid w:val="0"/>
          <w:lang w:eastAsia="en-AU"/>
        </w:rPr>
        <w:t xml:space="preserve"> the</w:t>
      </w:r>
      <w:r w:rsidRPr="00427C49">
        <w:rPr>
          <w:snapToGrid w:val="0"/>
          <w:lang w:eastAsia="en-AU"/>
        </w:rPr>
        <w:t xml:space="preserve"> lipid lipophilicity and structure</w:t>
      </w:r>
      <w:r w:rsidRPr="002C7324">
        <w:rPr>
          <w:snapToGrid w:val="0"/>
          <w:lang w:eastAsia="en-AU"/>
        </w:rPr>
        <w:t xml:space="preserve"> of the lipid used in the microemulsion </w:t>
      </w:r>
      <w:r w:rsidRPr="00427C49">
        <w:rPr>
          <w:snapToGrid w:val="0"/>
          <w:lang w:eastAsia="en-AU"/>
        </w:rPr>
        <w:t xml:space="preserve">and </w:t>
      </w:r>
      <w:r w:rsidRPr="002C7324">
        <w:rPr>
          <w:snapToGrid w:val="0"/>
          <w:lang w:eastAsia="en-AU"/>
        </w:rPr>
        <w:t>the</w:t>
      </w:r>
      <w:r w:rsidRPr="00427C49">
        <w:rPr>
          <w:snapToGrid w:val="0"/>
          <w:lang w:eastAsia="en-AU"/>
        </w:rPr>
        <w:t xml:space="preserve"> type of surfactant used (</w:t>
      </w:r>
      <w:r w:rsidRPr="00427C49">
        <w:t xml:space="preserve">Montenegro </w:t>
      </w:r>
      <w:r w:rsidRPr="00427C49">
        <w:rPr>
          <w:i/>
        </w:rPr>
        <w:t>et al</w:t>
      </w:r>
      <w:r w:rsidRPr="00427C49">
        <w:t>. 2011</w:t>
      </w:r>
      <w:r w:rsidRPr="00427C49">
        <w:rPr>
          <w:snapToGrid w:val="0"/>
          <w:lang w:eastAsia="en-AU"/>
        </w:rPr>
        <w:t>; TGA 2020).</w:t>
      </w:r>
    </w:p>
    <w:p w14:paraId="700BDDC6" w14:textId="77777777" w:rsidR="00403C89" w:rsidRPr="007F04FA" w:rsidRDefault="00403C89" w:rsidP="003E097B">
      <w:pPr>
        <w:rPr>
          <w:snapToGrid w:val="0"/>
          <w:lang w:eastAsia="en-AU"/>
        </w:rPr>
      </w:pPr>
      <w:r w:rsidRPr="007F04FA">
        <w:rPr>
          <w:snapToGrid w:val="0"/>
          <w:lang w:eastAsia="en-AU"/>
        </w:rPr>
        <w:t xml:space="preserve">The systemic absorption of </w:t>
      </w:r>
      <w:r w:rsidRPr="00FB4BE3">
        <w:t>octyl methoxycinnamate</w:t>
      </w:r>
      <w:r w:rsidRPr="007F04FA" w:rsidDel="00437A22">
        <w:rPr>
          <w:snapToGrid w:val="0"/>
          <w:lang w:eastAsia="en-AU"/>
        </w:rPr>
        <w:t xml:space="preserve"> </w:t>
      </w:r>
      <w:r w:rsidRPr="007F04FA">
        <w:rPr>
          <w:snapToGrid w:val="0"/>
          <w:lang w:eastAsia="en-AU"/>
        </w:rPr>
        <w:t xml:space="preserve">in humans was demonstrated by Janjua </w:t>
      </w:r>
      <w:r w:rsidRPr="007F04FA">
        <w:rPr>
          <w:i/>
          <w:snapToGrid w:val="0"/>
          <w:lang w:eastAsia="en-AU"/>
        </w:rPr>
        <w:t xml:space="preserve">et al </w:t>
      </w:r>
      <w:r w:rsidRPr="007F04FA">
        <w:rPr>
          <w:snapToGrid w:val="0"/>
          <w:lang w:eastAsia="en-AU"/>
        </w:rPr>
        <w:t xml:space="preserve">(2008). Maximum plasma concentration of </w:t>
      </w:r>
      <w:r w:rsidRPr="00FB4BE3">
        <w:t>octyl methoxycinnamate</w:t>
      </w:r>
      <w:r w:rsidRPr="007F04FA" w:rsidDel="00437A22">
        <w:rPr>
          <w:snapToGrid w:val="0"/>
          <w:lang w:eastAsia="en-AU"/>
        </w:rPr>
        <w:t xml:space="preserve"> </w:t>
      </w:r>
      <w:r w:rsidRPr="007F04FA">
        <w:rPr>
          <w:snapToGrid w:val="0"/>
          <w:lang w:eastAsia="en-AU"/>
        </w:rPr>
        <w:t>was reached at ~ 3 h (10 ng/ml for females and 20 ng/ml for males) following daily whole-body topical application of 2 mg/</w:t>
      </w:r>
      <w:r w:rsidRPr="007F04FA">
        <w:rPr>
          <w:iCs/>
          <w:snapToGrid w:val="0"/>
          <w:lang w:eastAsia="en-AU"/>
        </w:rPr>
        <w:t>cm</w:t>
      </w:r>
      <w:r w:rsidRPr="007F04FA">
        <w:rPr>
          <w:iCs/>
          <w:snapToGrid w:val="0"/>
          <w:vertAlign w:val="superscript"/>
          <w:lang w:eastAsia="en-AU"/>
        </w:rPr>
        <w:t xml:space="preserve">2 </w:t>
      </w:r>
      <w:r w:rsidRPr="007F04FA">
        <w:rPr>
          <w:iCs/>
          <w:snapToGrid w:val="0"/>
          <w:lang w:eastAsia="en-AU"/>
        </w:rPr>
        <w:t>of cream formulation w</w:t>
      </w:r>
      <w:r w:rsidRPr="007F04FA">
        <w:rPr>
          <w:snapToGrid w:val="0"/>
          <w:lang w:eastAsia="en-AU"/>
        </w:rPr>
        <w:t xml:space="preserve">ith 10% </w:t>
      </w:r>
      <w:r w:rsidRPr="00FB4BE3">
        <w:t>octyl methoxycinnamate</w:t>
      </w:r>
      <w:r w:rsidRPr="007F04FA">
        <w:rPr>
          <w:snapToGrid w:val="0"/>
          <w:lang w:eastAsia="en-AU"/>
        </w:rPr>
        <w:t>. O</w:t>
      </w:r>
      <w:r w:rsidRPr="00FB4BE3">
        <w:t>ctyl methoxycinnamate</w:t>
      </w:r>
      <w:r w:rsidRPr="007F04FA" w:rsidDel="00437A22">
        <w:rPr>
          <w:snapToGrid w:val="0"/>
          <w:lang w:eastAsia="en-AU"/>
        </w:rPr>
        <w:t xml:space="preserve"> </w:t>
      </w:r>
      <w:r w:rsidRPr="007F04FA">
        <w:rPr>
          <w:snapToGrid w:val="0"/>
          <w:lang w:eastAsia="en-AU"/>
        </w:rPr>
        <w:t>was also detected in urine (5 and 8 ng/mL in female</w:t>
      </w:r>
      <w:r>
        <w:rPr>
          <w:snapToGrid w:val="0"/>
          <w:lang w:eastAsia="en-AU"/>
        </w:rPr>
        <w:t>s</w:t>
      </w:r>
      <w:r w:rsidRPr="007F04FA">
        <w:rPr>
          <w:snapToGrid w:val="0"/>
          <w:lang w:eastAsia="en-AU"/>
        </w:rPr>
        <w:t xml:space="preserve"> and male</w:t>
      </w:r>
      <w:r>
        <w:rPr>
          <w:snapToGrid w:val="0"/>
          <w:lang w:eastAsia="en-AU"/>
        </w:rPr>
        <w:t>s,</w:t>
      </w:r>
      <w:r w:rsidRPr="007F04FA">
        <w:rPr>
          <w:snapToGrid w:val="0"/>
          <w:lang w:eastAsia="en-AU"/>
        </w:rPr>
        <w:t xml:space="preserve"> respectively).  Similar findings were reported following a 4-day exposure to this ingredient, which were detectable in the human plasma just 2 h following application</w:t>
      </w:r>
      <w:bookmarkStart w:id="51" w:name="_Ref63437361"/>
      <w:r w:rsidRPr="007F04FA">
        <w:rPr>
          <w:snapToGrid w:val="0"/>
          <w:lang w:eastAsia="en-AU"/>
        </w:rPr>
        <w:t xml:space="preserve"> (</w:t>
      </w:r>
      <w:r w:rsidRPr="007F04FA">
        <w:t xml:space="preserve">Janjua </w:t>
      </w:r>
      <w:r w:rsidRPr="007F04FA">
        <w:rPr>
          <w:i/>
        </w:rPr>
        <w:t>et al.</w:t>
      </w:r>
      <w:r w:rsidRPr="007F04FA">
        <w:t xml:space="preserve"> 2004</w:t>
      </w:r>
      <w:r w:rsidRPr="007F04FA">
        <w:rPr>
          <w:snapToGrid w:val="0"/>
          <w:lang w:eastAsia="en-AU"/>
        </w:rPr>
        <w:t>).</w:t>
      </w:r>
      <w:bookmarkEnd w:id="51"/>
    </w:p>
    <w:p w14:paraId="1247EB3F" w14:textId="57699A52" w:rsidR="00403C89" w:rsidRPr="007F04FA" w:rsidRDefault="00403C89" w:rsidP="003E097B">
      <w:pPr>
        <w:rPr>
          <w:snapToGrid w:val="0"/>
          <w:lang w:eastAsia="en-AU"/>
        </w:rPr>
      </w:pPr>
      <w:r w:rsidRPr="00B160BA">
        <w:rPr>
          <w:snapToGrid w:val="0"/>
          <w:lang w:eastAsia="en-AU"/>
        </w:rPr>
        <w:t xml:space="preserve">Another human study reported in SCC (2000) with a cream formulation containing 10% </w:t>
      </w:r>
      <w:r w:rsidRPr="00FB4BE3">
        <w:t>octyl methoxycinnamate</w:t>
      </w:r>
      <w:r w:rsidRPr="00B160BA" w:rsidDel="00437A22">
        <w:rPr>
          <w:snapToGrid w:val="0"/>
          <w:lang w:eastAsia="en-AU"/>
        </w:rPr>
        <w:t xml:space="preserve"> </w:t>
      </w:r>
      <w:r w:rsidRPr="00B160BA">
        <w:rPr>
          <w:snapToGrid w:val="0"/>
          <w:lang w:eastAsia="en-AU"/>
        </w:rPr>
        <w:t xml:space="preserve">suggested that an insignificant amount of </w:t>
      </w:r>
      <w:r w:rsidRPr="00FB4BE3">
        <w:t>octyl methoxycinnamate</w:t>
      </w:r>
      <w:r w:rsidRPr="00B160BA" w:rsidDel="00437A22">
        <w:rPr>
          <w:snapToGrid w:val="0"/>
          <w:lang w:eastAsia="en-AU"/>
        </w:rPr>
        <w:t xml:space="preserve"> </w:t>
      </w:r>
      <w:r w:rsidRPr="00B160BA">
        <w:rPr>
          <w:snapToGrid w:val="0"/>
          <w:lang w:eastAsia="en-AU"/>
        </w:rPr>
        <w:t xml:space="preserve">was absorbed under the conditions of the experiment (SCC 2000). Applications were made to the interscapular area and there was no evidence of any rise in plasma levels after 24 h. In addition, the urine concentration of </w:t>
      </w:r>
      <w:r w:rsidRPr="00FB4BE3">
        <w:t>octyl methoxycinnamate</w:t>
      </w:r>
      <w:r w:rsidRPr="00B160BA" w:rsidDel="00437A22">
        <w:rPr>
          <w:snapToGrid w:val="0"/>
          <w:lang w:eastAsia="en-AU"/>
        </w:rPr>
        <w:t xml:space="preserve"> </w:t>
      </w:r>
      <w:r w:rsidRPr="00B160BA">
        <w:rPr>
          <w:snapToGrid w:val="0"/>
          <w:lang w:eastAsia="en-AU"/>
        </w:rPr>
        <w:t>did not change during the experiment (collected until 96 h).</w:t>
      </w:r>
    </w:p>
    <w:p w14:paraId="6C187C2B" w14:textId="30D4A7F7" w:rsidR="00403C89" w:rsidRPr="001A5D4E" w:rsidRDefault="00403C89" w:rsidP="003E097B">
      <w:pPr>
        <w:rPr>
          <w:snapToGrid w:val="0"/>
          <w:lang w:eastAsia="en-AU"/>
        </w:rPr>
      </w:pPr>
      <w:r w:rsidRPr="007F04FA">
        <w:rPr>
          <w:snapToGrid w:val="0"/>
          <w:lang w:eastAsia="en-AU"/>
        </w:rPr>
        <w:t xml:space="preserve">Based on all dermal absorption studies described above, no clear relationship between applied dose and dermal absorption could be established for </w:t>
      </w:r>
      <w:r w:rsidRPr="00FB4BE3">
        <w:t>octyl methoxycinnamate</w:t>
      </w:r>
      <w:r w:rsidRPr="007F04FA">
        <w:rPr>
          <w:snapToGrid w:val="0"/>
          <w:lang w:eastAsia="en-AU"/>
        </w:rPr>
        <w:t xml:space="preserve">. Therefore, </w:t>
      </w:r>
      <w:r w:rsidRPr="002C7324">
        <w:rPr>
          <w:snapToGrid w:val="0"/>
          <w:lang w:eastAsia="en-AU"/>
        </w:rPr>
        <w:t>a</w:t>
      </w:r>
      <w:r w:rsidRPr="007F04FA">
        <w:rPr>
          <w:b/>
          <w:bCs/>
          <w:snapToGrid w:val="0"/>
          <w:lang w:eastAsia="en-AU"/>
        </w:rPr>
        <w:t xml:space="preserve"> dermal absor</w:t>
      </w:r>
      <w:r w:rsidRPr="006807B6">
        <w:rPr>
          <w:b/>
          <w:bCs/>
          <w:snapToGrid w:val="0"/>
          <w:lang w:eastAsia="en-AU"/>
        </w:rPr>
        <w:t>ption of 1.77 µg/cm</w:t>
      </w:r>
      <w:r w:rsidRPr="006807B6">
        <w:rPr>
          <w:b/>
          <w:bCs/>
          <w:snapToGrid w:val="0"/>
          <w:vertAlign w:val="superscript"/>
          <w:lang w:eastAsia="en-AU"/>
        </w:rPr>
        <w:t>2</w:t>
      </w:r>
      <w:r w:rsidRPr="006807B6">
        <w:rPr>
          <w:b/>
          <w:bCs/>
          <w:snapToGrid w:val="0"/>
          <w:lang w:eastAsia="en-AU"/>
        </w:rPr>
        <w:t xml:space="preserve"> </w:t>
      </w:r>
      <w:r w:rsidRPr="002C7324">
        <w:rPr>
          <w:snapToGrid w:val="0"/>
          <w:lang w:eastAsia="en-AU"/>
        </w:rPr>
        <w:t>was considered a worst-case scenario</w:t>
      </w:r>
      <w:r w:rsidRPr="006807B6">
        <w:rPr>
          <w:b/>
          <w:bCs/>
          <w:snapToGrid w:val="0"/>
          <w:lang w:eastAsia="en-AU"/>
        </w:rPr>
        <w:t xml:space="preserve"> </w:t>
      </w:r>
      <w:r w:rsidRPr="00B435AD">
        <w:rPr>
          <w:snapToGrid w:val="0"/>
          <w:lang w:eastAsia="en-AU"/>
        </w:rPr>
        <w:t>(</w:t>
      </w:r>
      <w:r w:rsidRPr="006807B6">
        <w:t xml:space="preserve">Klimova </w:t>
      </w:r>
      <w:r w:rsidRPr="006807B6">
        <w:rPr>
          <w:i/>
        </w:rPr>
        <w:t xml:space="preserve">et al. </w:t>
      </w:r>
      <w:r w:rsidRPr="006807B6">
        <w:t>2015</w:t>
      </w:r>
      <w:r w:rsidRPr="006807B6">
        <w:rPr>
          <w:snapToGrid w:val="0"/>
          <w:lang w:eastAsia="en-AU"/>
        </w:rPr>
        <w:t>).</w:t>
      </w:r>
    </w:p>
    <w:p w14:paraId="026064E0" w14:textId="77777777" w:rsidR="00403C89" w:rsidRDefault="00403C89" w:rsidP="00403C89">
      <w:pPr>
        <w:pStyle w:val="Heading4"/>
      </w:pPr>
      <w:bookmarkStart w:id="52" w:name="_Toc190944908"/>
      <w:bookmarkStart w:id="53" w:name="_Toc199254945"/>
      <w:r>
        <w:t>Oxybenzone</w:t>
      </w:r>
      <w:bookmarkEnd w:id="52"/>
      <w:bookmarkEnd w:id="53"/>
    </w:p>
    <w:p w14:paraId="470AA48A" w14:textId="52F11378" w:rsidR="00403C89" w:rsidRDefault="00403C89" w:rsidP="003E097B">
      <w:pPr>
        <w:rPr>
          <w:color w:val="00B050"/>
        </w:rPr>
      </w:pPr>
      <w:r w:rsidRPr="0074486E">
        <w:t xml:space="preserve">Oxybenzone is expected to be rapidly absorbed after oral, intravenous or topical skin administration </w:t>
      </w:r>
      <w:r>
        <w:t>based upon studies in</w:t>
      </w:r>
      <w:r w:rsidRPr="0074486E">
        <w:t xml:space="preserve"> rats and piglets as per European Safety assessment reports (SCCS 2021</w:t>
      </w:r>
      <w:r>
        <w:t>e</w:t>
      </w:r>
      <w:r w:rsidRPr="0074486E">
        <w:t>). Oxybenzone was well absorbed following a single gavage administration of [</w:t>
      </w:r>
      <w:r w:rsidRPr="0074486E">
        <w:rPr>
          <w:vertAlign w:val="superscript"/>
        </w:rPr>
        <w:t>14</w:t>
      </w:r>
      <w:r w:rsidRPr="0074486E">
        <w:t>C]</w:t>
      </w:r>
      <w:r>
        <w:t>-</w:t>
      </w:r>
      <w:r w:rsidRPr="0074486E">
        <w:t xml:space="preserve">oxybenzone (3.01 to 2570 mg/kg) in male rats, with the administered dose excreted primarily </w:t>
      </w:r>
      <w:r w:rsidRPr="0074486E">
        <w:rPr>
          <w:i/>
          <w:iCs/>
        </w:rPr>
        <w:t xml:space="preserve">via </w:t>
      </w:r>
      <w:r w:rsidRPr="0074486E">
        <w:t xml:space="preserve">urine (63.9% to 72.9%) and faeces (19.3% to 41.7%) by 72 hours post-administration. The radioactivity remaining in tissues 72 hours after administration was low (~0.1%) in all dose groups. Oxybenzone is widely distributed in </w:t>
      </w:r>
      <w:r w:rsidRPr="00AE0D54">
        <w:t xml:space="preserve">rats.  </w:t>
      </w:r>
      <w:r w:rsidRPr="002C7324">
        <w:t xml:space="preserve">Jung </w:t>
      </w:r>
      <w:r w:rsidRPr="002C7324">
        <w:rPr>
          <w:i/>
          <w:iCs/>
        </w:rPr>
        <w:t>et al.</w:t>
      </w:r>
      <w:r w:rsidRPr="002C7324">
        <w:t xml:space="preserve"> (2022) assessed that bioavailability in rats following topical application as 6.9%.</w:t>
      </w:r>
    </w:p>
    <w:p w14:paraId="7E5720B1" w14:textId="77777777" w:rsidR="00403C89" w:rsidRPr="002C7324" w:rsidRDefault="00403C89" w:rsidP="003E097B">
      <w:r w:rsidRPr="0074486E">
        <w:t>Oxybenzone is metabolised in rats to 2-OH BP and BP-1, with a trace of 2, 3, 4-triOH BP. The major metabolite of oxybenzone, 2,4-diOH BP (BP-1) was present in most tissues including the liver, kidney, testes, intestine, spleen and skin six hour</w:t>
      </w:r>
      <w:r>
        <w:t>s</w:t>
      </w:r>
      <w:r w:rsidRPr="0074486E">
        <w:t xml:space="preserve"> post-dose. Liver was the major distribution site of oxybenzone and BP-1 (SCCS 2021</w:t>
      </w:r>
      <w:r>
        <w:t>e</w:t>
      </w:r>
      <w:r w:rsidRPr="0074486E">
        <w:t>). BP-1 is also the major metabolite in humans. Oxybenzone metabolites were detected in piglet plasma 2 hours post dose after dermal administration of oxybenzone (SCCS 2021</w:t>
      </w:r>
      <w:r>
        <w:t>e</w:t>
      </w:r>
      <w:r w:rsidRPr="0074486E">
        <w:t>). Systemic absorption of oxybenzone has been demonstrated in recent clinical studies (Section 2.1)</w:t>
      </w:r>
      <w:r>
        <w:t xml:space="preserve">. </w:t>
      </w:r>
      <w:r w:rsidRPr="002C7324">
        <w:t>Oxybenzone binds to human serum albumin with Ka= 1.32 x 10</w:t>
      </w:r>
      <w:r w:rsidRPr="002C7324">
        <w:rPr>
          <w:vertAlign w:val="superscript"/>
        </w:rPr>
        <w:t xml:space="preserve">5 </w:t>
      </w:r>
      <w:r w:rsidRPr="002C7324">
        <w:t>L/mol.</w:t>
      </w:r>
    </w:p>
    <w:p w14:paraId="6F8E1FFB" w14:textId="77777777" w:rsidR="00403C89" w:rsidRPr="0074486E" w:rsidRDefault="00403C89" w:rsidP="003E097B">
      <w:r w:rsidRPr="0074486E">
        <w:t xml:space="preserve">Elimination of oxybenzone is predominately </w:t>
      </w:r>
      <w:r w:rsidRPr="0074486E">
        <w:rPr>
          <w:i/>
        </w:rPr>
        <w:t>via</w:t>
      </w:r>
      <w:r w:rsidRPr="0074486E">
        <w:t xml:space="preserve"> the urine (39-57%) and faeces (24-42%) in rats and mice, with differences observed between the species or the route of administration (oral or dermal). </w:t>
      </w:r>
      <w:r w:rsidRPr="0074486E">
        <w:lastRenderedPageBreak/>
        <w:t>Following topical application</w:t>
      </w:r>
      <w:r>
        <w:t xml:space="preserve"> studies</w:t>
      </w:r>
      <w:r w:rsidRPr="0074486E">
        <w:t xml:space="preserve"> in piglets, the elimination half-lives of oxybenzone </w:t>
      </w:r>
      <w:r>
        <w:t>ranged from</w:t>
      </w:r>
      <w:r w:rsidRPr="0074486E">
        <w:t xml:space="preserve"> </w:t>
      </w:r>
      <w:r w:rsidRPr="00BC2EF1">
        <w:t>7.14 and 8.04 h</w:t>
      </w:r>
      <w:r w:rsidRPr="0074486E" w:rsidDel="003D6976">
        <w:t xml:space="preserve"> </w:t>
      </w:r>
      <w:r w:rsidRPr="0074486E">
        <w:t>(SCCS 2021</w:t>
      </w:r>
      <w:r>
        <w:t>e</w:t>
      </w:r>
      <w:r w:rsidRPr="0074486E">
        <w:t>)</w:t>
      </w:r>
      <w:r>
        <w:t xml:space="preserve">, </w:t>
      </w:r>
      <w:r w:rsidRPr="002C7324">
        <w:t xml:space="preserve">while in rats </w:t>
      </w:r>
      <w:r>
        <w:t xml:space="preserve">it </w:t>
      </w:r>
      <w:r w:rsidRPr="002C7324">
        <w:t>was 18.3 h</w:t>
      </w:r>
      <w:r>
        <w:t xml:space="preserve"> </w:t>
      </w:r>
      <w:r w:rsidRPr="002C7324">
        <w:t xml:space="preserve">(Jung </w:t>
      </w:r>
      <w:r w:rsidRPr="002C7324">
        <w:rPr>
          <w:i/>
          <w:iCs/>
        </w:rPr>
        <w:t>et al.</w:t>
      </w:r>
      <w:r w:rsidRPr="002C7324">
        <w:t xml:space="preserve"> 2022).</w:t>
      </w:r>
    </w:p>
    <w:p w14:paraId="3A6DDFCA" w14:textId="0584BB63" w:rsidR="00403C89" w:rsidRPr="00B4342B" w:rsidRDefault="00403C89" w:rsidP="003E097B">
      <w:proofErr w:type="gramStart"/>
      <w:r w:rsidRPr="0074486E">
        <w:t>A number of</w:t>
      </w:r>
      <w:proofErr w:type="gramEnd"/>
      <w:r w:rsidRPr="0074486E">
        <w:t xml:space="preserve"> </w:t>
      </w:r>
      <w:r w:rsidRPr="008A6B9A">
        <w:rPr>
          <w:i/>
        </w:rPr>
        <w:t>in vitro</w:t>
      </w:r>
      <w:r w:rsidRPr="0074486E">
        <w:t xml:space="preserve"> and </w:t>
      </w:r>
      <w:r w:rsidRPr="0074486E">
        <w:rPr>
          <w:i/>
        </w:rPr>
        <w:t>in vivo</w:t>
      </w:r>
      <w:r w:rsidRPr="0074486E">
        <w:t xml:space="preserve"> dermal absorption studies have been evaluated by the SCCP </w:t>
      </w:r>
      <w:r w:rsidRPr="008E4D36">
        <w:t>2008 and SCCS</w:t>
      </w:r>
      <w:r w:rsidRPr="0074486E">
        <w:t xml:space="preserve"> 2021</w:t>
      </w:r>
      <w:r>
        <w:t>e</w:t>
      </w:r>
      <w:r w:rsidRPr="0074486E">
        <w:t xml:space="preserve">. </w:t>
      </w:r>
      <w:r w:rsidRPr="009C5979">
        <w:t xml:space="preserve">Following application of 6% oxybenzone, the </w:t>
      </w:r>
      <w:r w:rsidRPr="002C7324">
        <w:rPr>
          <w:b/>
          <w:bCs/>
        </w:rPr>
        <w:t>dermal absorption of oxybenzone was determined to be 9.9%.</w:t>
      </w:r>
      <w:r w:rsidRPr="009C5979">
        <w:t xml:space="preserve"> </w:t>
      </w:r>
      <w:r w:rsidRPr="00A03963">
        <w:t xml:space="preserve">The dermal absorption value of 9.9% was calculated by the SCCP using an </w:t>
      </w:r>
      <w:r w:rsidRPr="008A6B9A">
        <w:rPr>
          <w:i/>
          <w:iCs/>
        </w:rPr>
        <w:t>in vitro</w:t>
      </w:r>
      <w:r w:rsidRPr="00A03963">
        <w:rPr>
          <w:i/>
        </w:rPr>
        <w:t xml:space="preserve"> </w:t>
      </w:r>
      <w:r w:rsidRPr="00A03963">
        <w:t>study using pig ear skin</w:t>
      </w:r>
      <w:r w:rsidRPr="009C5979">
        <w:t xml:space="preserve"> </w:t>
      </w:r>
      <w:r w:rsidRPr="00A03963">
        <w:t>and applying a safety factor of 2 standard</w:t>
      </w:r>
      <w:r w:rsidRPr="00071664">
        <w:t xml:space="preserve"> deviations to account for limitations in the data set (3.1% + 2 SD [2 x 3.4%</w:t>
      </w:r>
      <w:r>
        <w:t>]</w:t>
      </w:r>
      <w:r w:rsidRPr="00071664">
        <w:t xml:space="preserve"> = 9.9%</w:t>
      </w:r>
      <w:r>
        <w:t>) (</w:t>
      </w:r>
      <w:r w:rsidRPr="0074486E">
        <w:t>SCCS 2021</w:t>
      </w:r>
      <w:r>
        <w:t xml:space="preserve">e). This </w:t>
      </w:r>
      <w:r w:rsidRPr="008A6B9A">
        <w:rPr>
          <w:i/>
          <w:iCs/>
        </w:rPr>
        <w:t>in vitro</w:t>
      </w:r>
      <w:r>
        <w:t xml:space="preserve"> study was chosen for oxybenzone in the absence of adequate information from </w:t>
      </w:r>
      <w:r w:rsidRPr="00071664">
        <w:rPr>
          <w:i/>
          <w:iCs/>
        </w:rPr>
        <w:t>in vivo</w:t>
      </w:r>
      <w:r>
        <w:t xml:space="preserve"> studies.</w:t>
      </w:r>
    </w:p>
    <w:p w14:paraId="242F08C0" w14:textId="77777777" w:rsidR="00403C89" w:rsidRDefault="00403C89" w:rsidP="00403C89">
      <w:pPr>
        <w:pStyle w:val="Heading4"/>
      </w:pPr>
      <w:bookmarkStart w:id="54" w:name="_Toc190944909"/>
      <w:bookmarkStart w:id="55" w:name="_Toc199254946"/>
      <w:proofErr w:type="spellStart"/>
      <w:r w:rsidRPr="002B6978">
        <w:t>Phenylbenzimidazole</w:t>
      </w:r>
      <w:proofErr w:type="spellEnd"/>
      <w:r w:rsidRPr="002B6978">
        <w:t xml:space="preserve"> sulfonic acid</w:t>
      </w:r>
      <w:bookmarkEnd w:id="54"/>
      <w:bookmarkEnd w:id="55"/>
    </w:p>
    <w:p w14:paraId="3B6F625A" w14:textId="6421A88E" w:rsidR="00403C89" w:rsidRPr="001A5D4E" w:rsidRDefault="00403C89" w:rsidP="003E097B">
      <w:pPr>
        <w:rPr>
          <w:snapToGrid w:val="0"/>
        </w:rPr>
      </w:pPr>
      <w:r w:rsidRPr="001A5D4E">
        <w:rPr>
          <w:snapToGrid w:val="0"/>
        </w:rPr>
        <w:t xml:space="preserve">Absorption and plasma kinetics of </w:t>
      </w:r>
      <w:proofErr w:type="spellStart"/>
      <w:r w:rsidRPr="00C40C84">
        <w:rPr>
          <w:snapToGrid w:val="0"/>
        </w:rPr>
        <w:t>phenylbenzimidazole</w:t>
      </w:r>
      <w:proofErr w:type="spellEnd"/>
      <w:r w:rsidRPr="00C40C84">
        <w:rPr>
          <w:snapToGrid w:val="0"/>
        </w:rPr>
        <w:t xml:space="preserve"> sulfonic acid </w:t>
      </w:r>
      <w:r w:rsidRPr="001A5D4E">
        <w:rPr>
          <w:snapToGrid w:val="0"/>
        </w:rPr>
        <w:t>were examined in pregnant rats (SCCP 2006b).</w:t>
      </w:r>
      <w:r>
        <w:rPr>
          <w:snapToGrid w:val="0"/>
        </w:rPr>
        <w:t xml:space="preserve"> [</w:t>
      </w:r>
      <w:r w:rsidRPr="001A5D4E">
        <w:rPr>
          <w:rFonts w:eastAsia="Cambria"/>
          <w:snapToGrid w:val="0"/>
          <w:vertAlign w:val="superscript"/>
        </w:rPr>
        <w:t>14</w:t>
      </w:r>
      <w:proofErr w:type="gramStart"/>
      <w:r w:rsidRPr="001A5D4E">
        <w:rPr>
          <w:rFonts w:eastAsia="Cambria"/>
          <w:snapToGrid w:val="0"/>
        </w:rPr>
        <w:t>C</w:t>
      </w:r>
      <w:r>
        <w:rPr>
          <w:rFonts w:eastAsia="Cambria"/>
          <w:snapToGrid w:val="0"/>
        </w:rPr>
        <w:t>]</w:t>
      </w:r>
      <w:r w:rsidRPr="001A5D4E">
        <w:rPr>
          <w:rFonts w:eastAsia="Cambria"/>
          <w:snapToGrid w:val="0"/>
        </w:rPr>
        <w:noBreakHyphen/>
      </w:r>
      <w:proofErr w:type="spellStart"/>
      <w:proofErr w:type="gramEnd"/>
      <w:r w:rsidRPr="00C40C84">
        <w:rPr>
          <w:rFonts w:eastAsia="Cambria"/>
          <w:snapToGrid w:val="0"/>
        </w:rPr>
        <w:t>phenylbenzimidazole</w:t>
      </w:r>
      <w:proofErr w:type="spellEnd"/>
      <w:r w:rsidRPr="00C40C84">
        <w:rPr>
          <w:rFonts w:eastAsia="Cambria"/>
          <w:snapToGrid w:val="0"/>
        </w:rPr>
        <w:t xml:space="preserve"> sulfonic acid </w:t>
      </w:r>
      <w:r w:rsidRPr="001A5D4E">
        <w:rPr>
          <w:snapToGrid w:val="0"/>
        </w:rPr>
        <w:t xml:space="preserve">sodium salt was administered to pregnant rats on day 18 of gestation (1 mg/kg </w:t>
      </w:r>
      <w:proofErr w:type="spellStart"/>
      <w:r w:rsidRPr="001A5D4E">
        <w:rPr>
          <w:snapToGrid w:val="0"/>
        </w:rPr>
        <w:t>bw</w:t>
      </w:r>
      <w:proofErr w:type="spellEnd"/>
      <w:r w:rsidRPr="001A5D4E">
        <w:rPr>
          <w:snapToGrid w:val="0"/>
        </w:rPr>
        <w:t xml:space="preserve"> IV or 1000 mg/kg </w:t>
      </w:r>
      <w:proofErr w:type="spellStart"/>
      <w:r w:rsidRPr="001A5D4E">
        <w:rPr>
          <w:snapToGrid w:val="0"/>
        </w:rPr>
        <w:t>bw</w:t>
      </w:r>
      <w:proofErr w:type="spellEnd"/>
      <w:r w:rsidRPr="001A5D4E">
        <w:rPr>
          <w:snapToGrid w:val="0"/>
        </w:rPr>
        <w:t xml:space="preserve"> PO, single dose). The pharmacokinetic parameters were: </w:t>
      </w:r>
      <w:proofErr w:type="spellStart"/>
      <w:r w:rsidRPr="001A5D4E">
        <w:rPr>
          <w:rFonts w:eastAsia="Cambria"/>
        </w:rPr>
        <w:t>T</w:t>
      </w:r>
      <w:r w:rsidRPr="001A5D4E">
        <w:rPr>
          <w:rFonts w:eastAsia="Cambria"/>
          <w:vertAlign w:val="subscript"/>
        </w:rPr>
        <w:t>max</w:t>
      </w:r>
      <w:proofErr w:type="spellEnd"/>
      <w:r w:rsidRPr="001A5D4E">
        <w:rPr>
          <w:snapToGrid w:val="0"/>
        </w:rPr>
        <w:t xml:space="preserve"> 5 min (IV) and 15 min (oral), with a</w:t>
      </w:r>
      <w:r>
        <w:rPr>
          <w:snapToGrid w:val="0"/>
        </w:rPr>
        <w:t xml:space="preserve"> </w:t>
      </w:r>
      <w:r w:rsidRPr="001A5D4E">
        <w:rPr>
          <w:rFonts w:eastAsia="Cambria"/>
        </w:rPr>
        <w:t>t</w:t>
      </w:r>
      <w:r w:rsidRPr="001A5D4E">
        <w:rPr>
          <w:rFonts w:eastAsia="Cambria"/>
          <w:vertAlign w:val="subscript"/>
        </w:rPr>
        <w:t>½</w:t>
      </w:r>
      <w:r w:rsidRPr="001A5D4E">
        <w:rPr>
          <w:snapToGrid w:val="0"/>
        </w:rPr>
        <w:t xml:space="preserve"> of 0.4 h (IV) and 24 h (oral). The amount of absorption from the gastrointestinal tract was estimated to be 3 – 4%.</w:t>
      </w:r>
    </w:p>
    <w:p w14:paraId="3B1CDDCE" w14:textId="7A4C3EED" w:rsidR="00403C89" w:rsidRPr="001A5D4E" w:rsidRDefault="00403C89" w:rsidP="003E097B">
      <w:pPr>
        <w:rPr>
          <w:snapToGrid w:val="0"/>
        </w:rPr>
      </w:pPr>
      <w:r w:rsidRPr="001A5D4E">
        <w:rPr>
          <w:snapToGrid w:val="0"/>
        </w:rPr>
        <w:t>Dermal penetration was examined in male volunteers (SCCP 2006b).</w:t>
      </w:r>
      <w:r w:rsidRPr="001A5D4E">
        <w:rPr>
          <w:snapToGrid w:val="0"/>
          <w:vertAlign w:val="superscript"/>
        </w:rPr>
        <w:t xml:space="preserve"> </w:t>
      </w:r>
      <w:r w:rsidRPr="001A5D4E">
        <w:rPr>
          <w:snapToGrid w:val="0"/>
        </w:rPr>
        <w:t xml:space="preserve">Although the penetration rate of </w:t>
      </w:r>
      <w:proofErr w:type="spellStart"/>
      <w:r w:rsidRPr="00C40C84">
        <w:rPr>
          <w:snapToGrid w:val="0"/>
        </w:rPr>
        <w:t>phenylbenzimidazole</w:t>
      </w:r>
      <w:proofErr w:type="spellEnd"/>
      <w:r w:rsidRPr="00C40C84">
        <w:rPr>
          <w:snapToGrid w:val="0"/>
        </w:rPr>
        <w:t xml:space="preserve"> sulfonic acid </w:t>
      </w:r>
      <w:r w:rsidRPr="001A5D4E">
        <w:rPr>
          <w:snapToGrid w:val="0"/>
        </w:rPr>
        <w:t xml:space="preserve">was not established, cumulative penetration of 0.159% (range 0.107-0.259%) of the applied dose (8% formulation of </w:t>
      </w:r>
      <w:proofErr w:type="spellStart"/>
      <w:r w:rsidRPr="00C40C84">
        <w:rPr>
          <w:snapToGrid w:val="0"/>
        </w:rPr>
        <w:t>phenylbenzimidazole</w:t>
      </w:r>
      <w:proofErr w:type="spellEnd"/>
      <w:r w:rsidRPr="00C40C84">
        <w:rPr>
          <w:snapToGrid w:val="0"/>
        </w:rPr>
        <w:t xml:space="preserve"> sulfonic acid</w:t>
      </w:r>
      <w:r w:rsidRPr="001A5D4E">
        <w:rPr>
          <w:snapToGrid w:val="0"/>
        </w:rPr>
        <w:t xml:space="preserve">), was derived from total excretion. Total recovery of radioactivity was 78.8%. There was no indication of accumulation in any of the organs investigated. Trace amounts of radioactivity are found in brain and </w:t>
      </w:r>
      <w:proofErr w:type="spellStart"/>
      <w:r w:rsidRPr="001A5D4E">
        <w:rPr>
          <w:snapToGrid w:val="0"/>
        </w:rPr>
        <w:t>fetuses</w:t>
      </w:r>
      <w:proofErr w:type="spellEnd"/>
      <w:r w:rsidRPr="001A5D4E">
        <w:rPr>
          <w:snapToGrid w:val="0"/>
        </w:rPr>
        <w:t xml:space="preserve"> after IV administration but not following oral administration. This indicates that both blood/brain- and placental barriers were not passed. No data on metabolism were available.</w:t>
      </w:r>
    </w:p>
    <w:p w14:paraId="5D75E9C5" w14:textId="407A4327" w:rsidR="00403C89" w:rsidRPr="001A5D4E" w:rsidRDefault="00403C89" w:rsidP="003E097B">
      <w:pPr>
        <w:rPr>
          <w:snapToGrid w:val="0"/>
          <w:color w:val="4C8E3A"/>
        </w:rPr>
      </w:pPr>
      <w:r w:rsidRPr="001A5D4E">
        <w:rPr>
          <w:snapToGrid w:val="0"/>
        </w:rPr>
        <w:t>Excretory pathways were examined in male rats (SCCP 2006b).</w:t>
      </w:r>
      <w:r w:rsidRPr="001A5D4E">
        <w:rPr>
          <w:b/>
          <w:snapToGrid w:val="0"/>
          <w:color w:val="4C8E3A"/>
        </w:rPr>
        <w:t xml:space="preserve"> </w:t>
      </w:r>
      <w:r w:rsidRPr="001A5D4E">
        <w:rPr>
          <w:snapToGrid w:val="0"/>
        </w:rPr>
        <w:t xml:space="preserve">Elimination of </w:t>
      </w:r>
      <w:proofErr w:type="spellStart"/>
      <w:r w:rsidRPr="00C40C84">
        <w:rPr>
          <w:snapToGrid w:val="0"/>
        </w:rPr>
        <w:t>phenylbenzimidazole</w:t>
      </w:r>
      <w:proofErr w:type="spellEnd"/>
      <w:r w:rsidRPr="00C40C84">
        <w:rPr>
          <w:snapToGrid w:val="0"/>
        </w:rPr>
        <w:t xml:space="preserve"> sulfonic acid </w:t>
      </w:r>
      <w:r w:rsidRPr="001A5D4E">
        <w:rPr>
          <w:snapToGrid w:val="0"/>
        </w:rPr>
        <w:t>sodium salt was virtually completed by 72 hours. Elimination occurs</w:t>
      </w:r>
      <w:r w:rsidRPr="001A5D4E">
        <w:rPr>
          <w:i/>
          <w:snapToGrid w:val="0"/>
        </w:rPr>
        <w:t xml:space="preserve"> via</w:t>
      </w:r>
      <w:r w:rsidRPr="001A5D4E">
        <w:rPr>
          <w:snapToGrid w:val="0"/>
        </w:rPr>
        <w:t xml:space="preserve"> urine and faeces in male rats. In pregnant rats, elimination predominantly occurred </w:t>
      </w:r>
      <w:r w:rsidRPr="001A5D4E">
        <w:rPr>
          <w:i/>
          <w:snapToGrid w:val="0"/>
        </w:rPr>
        <w:t>via</w:t>
      </w:r>
      <w:r w:rsidRPr="001A5D4E">
        <w:rPr>
          <w:snapToGrid w:val="0"/>
        </w:rPr>
        <w:t xml:space="preserve"> the faeces following oral administration and </w:t>
      </w:r>
      <w:r w:rsidRPr="001A5D4E">
        <w:rPr>
          <w:i/>
          <w:snapToGrid w:val="0"/>
        </w:rPr>
        <w:t xml:space="preserve">via </w:t>
      </w:r>
      <w:r w:rsidRPr="001A5D4E">
        <w:rPr>
          <w:snapToGrid w:val="0"/>
        </w:rPr>
        <w:t xml:space="preserve">both the urine and faeces following IV administration. Maximum </w:t>
      </w:r>
      <w:r w:rsidRPr="001A5D4E">
        <w:rPr>
          <w:b/>
          <w:bCs/>
          <w:snapToGrid w:val="0"/>
        </w:rPr>
        <w:t xml:space="preserve">absorption through the skin of 0.259% (0.416 </w:t>
      </w:r>
      <w:proofErr w:type="spellStart"/>
      <w:r w:rsidRPr="001A5D4E">
        <w:rPr>
          <w:b/>
          <w:bCs/>
          <w:snapToGrid w:val="0"/>
        </w:rPr>
        <w:t>μg</w:t>
      </w:r>
      <w:proofErr w:type="spellEnd"/>
      <w:r w:rsidRPr="001A5D4E">
        <w:rPr>
          <w:b/>
          <w:bCs/>
          <w:snapToGrid w:val="0"/>
        </w:rPr>
        <w:t>/cm</w:t>
      </w:r>
      <w:r w:rsidRPr="001A5D4E">
        <w:rPr>
          <w:b/>
          <w:bCs/>
          <w:snapToGrid w:val="0"/>
          <w:vertAlign w:val="superscript"/>
        </w:rPr>
        <w:t>2</w:t>
      </w:r>
      <w:r w:rsidRPr="001A5D4E">
        <w:rPr>
          <w:b/>
          <w:bCs/>
          <w:snapToGrid w:val="0"/>
        </w:rPr>
        <w:t>) determined</w:t>
      </w:r>
      <w:r w:rsidRPr="001A5D4E">
        <w:rPr>
          <w:snapToGrid w:val="0"/>
        </w:rPr>
        <w:t xml:space="preserve"> in the </w:t>
      </w:r>
      <w:r w:rsidRPr="001A5D4E">
        <w:rPr>
          <w:i/>
          <w:iCs/>
          <w:snapToGrid w:val="0"/>
        </w:rPr>
        <w:t>in vivo</w:t>
      </w:r>
      <w:r w:rsidRPr="001A5D4E">
        <w:rPr>
          <w:snapToGrid w:val="0"/>
        </w:rPr>
        <w:t xml:space="preserve"> study in humans following application of an 8% formulation of </w:t>
      </w:r>
      <w:proofErr w:type="spellStart"/>
      <w:r w:rsidRPr="00C40C84">
        <w:rPr>
          <w:snapToGrid w:val="0"/>
        </w:rPr>
        <w:t>phenylbenzimidazole</w:t>
      </w:r>
      <w:proofErr w:type="spellEnd"/>
      <w:r w:rsidRPr="00C40C84">
        <w:rPr>
          <w:snapToGrid w:val="0"/>
        </w:rPr>
        <w:t xml:space="preserve"> sulfonic acid </w:t>
      </w:r>
      <w:r w:rsidRPr="001A5D4E">
        <w:rPr>
          <w:snapToGrid w:val="0"/>
        </w:rPr>
        <w:t xml:space="preserve">was used by the SCCP to determine the margin of safety for </w:t>
      </w:r>
      <w:proofErr w:type="spellStart"/>
      <w:r w:rsidRPr="00C40C84">
        <w:rPr>
          <w:snapToGrid w:val="0"/>
        </w:rPr>
        <w:t>phenylbenzimidazole</w:t>
      </w:r>
      <w:proofErr w:type="spellEnd"/>
      <w:r w:rsidRPr="00C40C84">
        <w:rPr>
          <w:snapToGrid w:val="0"/>
        </w:rPr>
        <w:t xml:space="preserve"> sulfonic acid </w:t>
      </w:r>
      <w:bookmarkStart w:id="56" w:name="_Hlk87964294"/>
      <w:r w:rsidRPr="001A5D4E">
        <w:rPr>
          <w:snapToGrid w:val="0"/>
        </w:rPr>
        <w:t>(SCCP 2006b).</w:t>
      </w:r>
    </w:p>
    <w:p w14:paraId="0F9624C7" w14:textId="77777777" w:rsidR="00403C89" w:rsidRDefault="00403C89" w:rsidP="00403C89">
      <w:pPr>
        <w:pStyle w:val="Heading3"/>
      </w:pPr>
      <w:bookmarkStart w:id="57" w:name="_Toc190944910"/>
      <w:bookmarkStart w:id="58" w:name="_Toc199254947"/>
      <w:bookmarkEnd w:id="56"/>
      <w:r>
        <w:t>Clinical trials</w:t>
      </w:r>
      <w:bookmarkEnd w:id="57"/>
      <w:bookmarkEnd w:id="58"/>
    </w:p>
    <w:p w14:paraId="0E0DA396" w14:textId="2D6EFCCC" w:rsidR="00403C89" w:rsidRPr="00D32CE1" w:rsidRDefault="00403C89" w:rsidP="003E097B">
      <w:r w:rsidRPr="0074486E">
        <w:t>In a recent randomised clinical trial, healthy volunteers (</w:t>
      </w:r>
      <w:r w:rsidRPr="0074486E">
        <w:rPr>
          <w:i/>
        </w:rPr>
        <w:t>n</w:t>
      </w:r>
      <w:r w:rsidRPr="0074486E">
        <w:t>=24</w:t>
      </w:r>
      <w:r>
        <w:t>; 6/ group</w:t>
      </w:r>
      <w:r w:rsidRPr="0074486E">
        <w:t>) were treated with four sunscreen products, four times per day for 4 days, in indoor conditions, at a rate of 2 mg/cm</w:t>
      </w:r>
      <w:r w:rsidRPr="0074486E">
        <w:rPr>
          <w:vertAlign w:val="superscript"/>
        </w:rPr>
        <w:t>2</w:t>
      </w:r>
      <w:r w:rsidRPr="0074486E">
        <w:t xml:space="preserve"> on 75% of body surface area. The sunscreen products were spray 1 (3% </w:t>
      </w:r>
      <w:r>
        <w:t>b</w:t>
      </w:r>
      <w:r w:rsidRPr="00FB4BE3">
        <w:t xml:space="preserve">utyl </w:t>
      </w:r>
      <w:proofErr w:type="spellStart"/>
      <w:r w:rsidRPr="00FB4BE3">
        <w:t>methoxydibenzoylmethane</w:t>
      </w:r>
      <w:proofErr w:type="spellEnd"/>
      <w:r w:rsidRPr="0074486E">
        <w:t xml:space="preserve">/ 6% oxybenzone/2.35 % octocrylene/ 0% </w:t>
      </w:r>
      <w:proofErr w:type="spellStart"/>
      <w:r w:rsidRPr="0074486E">
        <w:t>ecamsule</w:t>
      </w:r>
      <w:proofErr w:type="spellEnd"/>
      <w:r>
        <w:rPr>
          <w:rStyle w:val="FootnoteReference"/>
          <w:sz w:val="22"/>
          <w:szCs w:val="22"/>
        </w:rPr>
        <w:footnoteReference w:id="8"/>
      </w:r>
      <w:r w:rsidRPr="0074486E">
        <w:t xml:space="preserve">), spray 2 (3% </w:t>
      </w:r>
      <w:r>
        <w:t>b</w:t>
      </w:r>
      <w:r w:rsidRPr="00FB4BE3">
        <w:t xml:space="preserve">utyl </w:t>
      </w:r>
      <w:proofErr w:type="spellStart"/>
      <w:r w:rsidRPr="00FB4BE3">
        <w:t>methoxydibenzoylmethane</w:t>
      </w:r>
      <w:proofErr w:type="spellEnd"/>
      <w:r w:rsidRPr="0074486E">
        <w:t xml:space="preserve">/5% oxybenzone/ 10% octocrylene/ 0% </w:t>
      </w:r>
      <w:proofErr w:type="spellStart"/>
      <w:r w:rsidRPr="0074486E">
        <w:t>ecamsule</w:t>
      </w:r>
      <w:proofErr w:type="spellEnd"/>
      <w:r w:rsidRPr="0074486E">
        <w:t xml:space="preserve">), lotion (3% </w:t>
      </w:r>
      <w:r>
        <w:t>b</w:t>
      </w:r>
      <w:r w:rsidRPr="00FB4BE3">
        <w:t xml:space="preserve">utyl </w:t>
      </w:r>
      <w:proofErr w:type="spellStart"/>
      <w:r w:rsidRPr="00FB4BE3">
        <w:t>methoxydibenzoylmethane</w:t>
      </w:r>
      <w:proofErr w:type="spellEnd"/>
      <w:r w:rsidRPr="0074486E">
        <w:t xml:space="preserve">/ 4% oxybenzone/ 6% octocrylene/ 0% </w:t>
      </w:r>
      <w:proofErr w:type="spellStart"/>
      <w:r w:rsidRPr="0074486E">
        <w:t>ecamsule</w:t>
      </w:r>
      <w:proofErr w:type="spellEnd"/>
      <w:r w:rsidRPr="0074486E">
        <w:t xml:space="preserve">); and cream (2% </w:t>
      </w:r>
      <w:r>
        <w:t>b</w:t>
      </w:r>
      <w:r w:rsidRPr="00FB4BE3">
        <w:t xml:space="preserve">utyl </w:t>
      </w:r>
      <w:proofErr w:type="spellStart"/>
      <w:r w:rsidRPr="00FB4BE3">
        <w:t>methoxydibenzoylmethane</w:t>
      </w:r>
      <w:proofErr w:type="spellEnd"/>
      <w:r w:rsidRPr="0074486E">
        <w:t xml:space="preserve">/ 0% oxybenzone/ 10% octocrylene/ 2% </w:t>
      </w:r>
      <w:proofErr w:type="spellStart"/>
      <w:r w:rsidRPr="0074486E">
        <w:t>ecamsule</w:t>
      </w:r>
      <w:proofErr w:type="spellEnd"/>
      <w:r w:rsidRPr="0074486E">
        <w:t>). The overall maximum plasma concentrations (</w:t>
      </w:r>
      <w:proofErr w:type="spellStart"/>
      <w:r w:rsidRPr="0074486E">
        <w:rPr>
          <w:rFonts w:eastAsia="Cambria"/>
        </w:rPr>
        <w:t>C</w:t>
      </w:r>
      <w:r w:rsidRPr="0074486E">
        <w:rPr>
          <w:rFonts w:eastAsia="Cambria"/>
          <w:vertAlign w:val="subscript"/>
        </w:rPr>
        <w:t>max</w:t>
      </w:r>
      <w:proofErr w:type="spellEnd"/>
      <w:r w:rsidRPr="0074486E">
        <w:t xml:space="preserve">) of </w:t>
      </w:r>
      <w:r>
        <w:t>b</w:t>
      </w:r>
      <w:r w:rsidRPr="00FB4BE3">
        <w:t xml:space="preserve">utyl </w:t>
      </w:r>
      <w:proofErr w:type="spellStart"/>
      <w:r w:rsidRPr="00FB4BE3">
        <w:t>methoxydibenzoylmethane</w:t>
      </w:r>
      <w:proofErr w:type="spellEnd"/>
      <w:r w:rsidRPr="0074486E">
        <w:t>, oxybenzone and octocrylene ranged from 4 to 4.3 ng/mL, 169.3 to 209.6 ng/mL and 2.9 to 7.8 ng/mL, respectively. The AUC increased from day 1 to day 4 and terminal half-life (</w:t>
      </w:r>
      <w:r w:rsidRPr="0074486E">
        <w:rPr>
          <w:rFonts w:eastAsia="Cambria"/>
        </w:rPr>
        <w:t>t</w:t>
      </w:r>
      <w:r w:rsidRPr="0074486E">
        <w:rPr>
          <w:rFonts w:eastAsia="Cambria"/>
          <w:vertAlign w:val="subscript"/>
        </w:rPr>
        <w:t>½</w:t>
      </w:r>
      <w:r w:rsidRPr="0074486E">
        <w:rPr>
          <w:rFonts w:eastAsia="Cambria"/>
        </w:rPr>
        <w:t>)</w:t>
      </w:r>
      <w:r w:rsidRPr="0074486E">
        <w:t xml:space="preserve"> was relatively long (33-55 h, 27-31 h and 42–84 h, respectively), suggesting a possible accumulation of the ingredients (Matta </w:t>
      </w:r>
      <w:r w:rsidRPr="0074486E">
        <w:rPr>
          <w:i/>
        </w:rPr>
        <w:t>et al.</w:t>
      </w:r>
      <w:r w:rsidRPr="0074486E">
        <w:t xml:space="preserve"> 2019). </w:t>
      </w:r>
      <w:r w:rsidRPr="002C7324">
        <w:t xml:space="preserve">The systemic exposure of </w:t>
      </w:r>
      <w:r>
        <w:t>b</w:t>
      </w:r>
      <w:r w:rsidRPr="00FB4BE3">
        <w:t xml:space="preserve">utyl </w:t>
      </w:r>
      <w:proofErr w:type="spellStart"/>
      <w:r w:rsidRPr="00FB4BE3">
        <w:t>methoxydibenzoylmethane</w:t>
      </w:r>
      <w:proofErr w:type="spellEnd"/>
      <w:r w:rsidRPr="002C7324" w:rsidDel="00C120F3">
        <w:t xml:space="preserve"> </w:t>
      </w:r>
      <w:r w:rsidRPr="002C7324">
        <w:t xml:space="preserve">and oxybenzone in human plasma was re-quantified by Pilli </w:t>
      </w:r>
      <w:r w:rsidRPr="002C7324">
        <w:rPr>
          <w:i/>
          <w:iCs/>
        </w:rPr>
        <w:t>et al.</w:t>
      </w:r>
      <w:r w:rsidRPr="002C7324">
        <w:t xml:space="preserve"> (2021) using novel UHPLC-MS/MS method and in general, the </w:t>
      </w:r>
      <w:proofErr w:type="spellStart"/>
      <w:r w:rsidRPr="002C7324">
        <w:rPr>
          <w:rFonts w:eastAsia="Cambria"/>
        </w:rPr>
        <w:t>C</w:t>
      </w:r>
      <w:r w:rsidRPr="002C7324">
        <w:rPr>
          <w:rFonts w:eastAsia="Cambria"/>
          <w:vertAlign w:val="subscript"/>
        </w:rPr>
        <w:t>max</w:t>
      </w:r>
      <w:proofErr w:type="spellEnd"/>
      <w:r w:rsidRPr="002C7324">
        <w:t xml:space="preserve"> values were comparable to the results obtained previously.</w:t>
      </w:r>
    </w:p>
    <w:p w14:paraId="3C497B4C" w14:textId="00042A1C" w:rsidR="00403C89" w:rsidRPr="0074486E" w:rsidRDefault="00403C89" w:rsidP="003E097B">
      <w:r w:rsidRPr="0074486E">
        <w:lastRenderedPageBreak/>
        <w:t>Similar findings were observed in a follow up study with six active ingredients (</w:t>
      </w:r>
      <w:r>
        <w:t>b</w:t>
      </w:r>
      <w:r w:rsidRPr="00FB4BE3">
        <w:t xml:space="preserve">utyl </w:t>
      </w:r>
      <w:proofErr w:type="spellStart"/>
      <w:r w:rsidRPr="00FB4BE3">
        <w:t>methoxydibenzoylmethane</w:t>
      </w:r>
      <w:proofErr w:type="spellEnd"/>
      <w:r w:rsidRPr="0074486E">
        <w:t xml:space="preserve">, oxybenzone, octocrylene, </w:t>
      </w:r>
      <w:proofErr w:type="spellStart"/>
      <w:r w:rsidRPr="0074486E">
        <w:t>homosalate</w:t>
      </w:r>
      <w:proofErr w:type="spellEnd"/>
      <w:r w:rsidRPr="0074486E">
        <w:t xml:space="preserve">, </w:t>
      </w:r>
      <w:proofErr w:type="spellStart"/>
      <w:r w:rsidRPr="0074486E">
        <w:t>octisalate</w:t>
      </w:r>
      <w:proofErr w:type="spellEnd"/>
      <w:r>
        <w:rPr>
          <w:rStyle w:val="FootnoteReference"/>
          <w:sz w:val="22"/>
          <w:szCs w:val="22"/>
        </w:rPr>
        <w:footnoteReference w:id="9"/>
      </w:r>
      <w:r w:rsidRPr="0074486E">
        <w:t xml:space="preserve">, and </w:t>
      </w:r>
      <w:r w:rsidRPr="00FB4BE3">
        <w:t>octyl methoxycinnamate</w:t>
      </w:r>
      <w:r w:rsidRPr="0074486E">
        <w:t xml:space="preserve">) (Matta </w:t>
      </w:r>
      <w:r w:rsidRPr="0074486E">
        <w:rPr>
          <w:i/>
        </w:rPr>
        <w:t>et al.</w:t>
      </w:r>
      <w:r w:rsidRPr="0074486E">
        <w:t xml:space="preserve"> 2020).  </w:t>
      </w:r>
      <w:r w:rsidRPr="0074486E">
        <w:rPr>
          <w:iCs/>
        </w:rPr>
        <w:t>Four groups (</w:t>
      </w:r>
      <w:r w:rsidRPr="0074486E">
        <w:rPr>
          <w:i/>
          <w:iCs/>
        </w:rPr>
        <w:t>n</w:t>
      </w:r>
      <w:r w:rsidRPr="0074486E">
        <w:rPr>
          <w:iCs/>
        </w:rPr>
        <w:t>=12) of healthy adults received 2 mg/cm</w:t>
      </w:r>
      <w:r w:rsidRPr="0074486E">
        <w:rPr>
          <w:iCs/>
          <w:vertAlign w:val="superscript"/>
        </w:rPr>
        <w:t xml:space="preserve">2 </w:t>
      </w:r>
      <w:r w:rsidRPr="0074486E">
        <w:rPr>
          <w:iCs/>
        </w:rPr>
        <w:t xml:space="preserve">(75% of body surface area) on day 1 and 4 times on day 2 </w:t>
      </w:r>
      <w:r>
        <w:rPr>
          <w:iCs/>
        </w:rPr>
        <w:t>to</w:t>
      </w:r>
      <w:r w:rsidRPr="0074486E">
        <w:rPr>
          <w:iCs/>
        </w:rPr>
        <w:t xml:space="preserve"> day 4 at 2-hour intervals and blood samples were collected over 21 days from each participant.</w:t>
      </w:r>
    </w:p>
    <w:p w14:paraId="6A0BE939" w14:textId="77777777" w:rsidR="00403C89" w:rsidRDefault="00403C89" w:rsidP="003E097B">
      <w:r w:rsidRPr="0074486E">
        <w:t xml:space="preserve">The </w:t>
      </w:r>
      <w:proofErr w:type="spellStart"/>
      <w:r w:rsidRPr="0074486E">
        <w:rPr>
          <w:rFonts w:eastAsia="Cambria"/>
        </w:rPr>
        <w:t>C</w:t>
      </w:r>
      <w:r w:rsidRPr="0074486E">
        <w:rPr>
          <w:rFonts w:eastAsia="Cambria"/>
          <w:vertAlign w:val="subscript"/>
        </w:rPr>
        <w:t>max</w:t>
      </w:r>
      <w:proofErr w:type="spellEnd"/>
      <w:r w:rsidRPr="0074486E">
        <w:t xml:space="preserve"> of all these ingredients exceeded the </w:t>
      </w:r>
      <w:r>
        <w:t xml:space="preserve">US </w:t>
      </w:r>
      <w:r w:rsidRPr="0074486E">
        <w:t xml:space="preserve">FDA threshold (&gt; 0.5 ng/mL) after a single application and remained above the threshold until day 7 for </w:t>
      </w:r>
      <w:r>
        <w:t>b</w:t>
      </w:r>
      <w:r w:rsidRPr="00FB4BE3">
        <w:t xml:space="preserve">utyl </w:t>
      </w:r>
      <w:proofErr w:type="spellStart"/>
      <w:r w:rsidRPr="00FB4BE3">
        <w:t>methoxydibenzoylmethane</w:t>
      </w:r>
      <w:proofErr w:type="spellEnd"/>
      <w:r w:rsidRPr="0074486E" w:rsidDel="00C120F3">
        <w:t xml:space="preserve"> </w:t>
      </w:r>
      <w:r w:rsidRPr="0074486E">
        <w:t xml:space="preserve">(95%; </w:t>
      </w:r>
      <w:r w:rsidRPr="0074486E">
        <w:rPr>
          <w:i/>
        </w:rPr>
        <w:t>n</w:t>
      </w:r>
      <w:r w:rsidRPr="0074486E">
        <w:t xml:space="preserve"> = 42/44), </w:t>
      </w:r>
      <w:proofErr w:type="spellStart"/>
      <w:r w:rsidRPr="0074486E">
        <w:t>octisalate</w:t>
      </w:r>
      <w:proofErr w:type="spellEnd"/>
      <w:r w:rsidRPr="0074486E">
        <w:t xml:space="preserve"> (75%; </w:t>
      </w:r>
      <w:r w:rsidRPr="0074486E">
        <w:rPr>
          <w:i/>
        </w:rPr>
        <w:t>n</w:t>
      </w:r>
      <w:r w:rsidRPr="0074486E">
        <w:t xml:space="preserve"> = 24/32), and </w:t>
      </w:r>
      <w:r w:rsidRPr="00FB4BE3">
        <w:t>octyl methoxycinnamate</w:t>
      </w:r>
      <w:r w:rsidRPr="0074486E" w:rsidDel="00437A22">
        <w:t xml:space="preserve"> </w:t>
      </w:r>
      <w:r w:rsidRPr="0074486E">
        <w:t xml:space="preserve">(90%; </w:t>
      </w:r>
      <w:r w:rsidRPr="0074486E">
        <w:rPr>
          <w:i/>
        </w:rPr>
        <w:t>n</w:t>
      </w:r>
      <w:r w:rsidRPr="0074486E">
        <w:t xml:space="preserve"> = 18/20); day 10 for octocrylene (67%; </w:t>
      </w:r>
      <w:r w:rsidRPr="0074486E">
        <w:rPr>
          <w:i/>
        </w:rPr>
        <w:t>n</w:t>
      </w:r>
      <w:r w:rsidRPr="0074486E">
        <w:t xml:space="preserve"> = 22/33); and day 21 for </w:t>
      </w:r>
      <w:proofErr w:type="spellStart"/>
      <w:r w:rsidRPr="0074486E">
        <w:t>homosalate</w:t>
      </w:r>
      <w:proofErr w:type="spellEnd"/>
      <w:r w:rsidRPr="0074486E">
        <w:t xml:space="preserve"> (55%; </w:t>
      </w:r>
      <w:r w:rsidRPr="0074486E">
        <w:rPr>
          <w:i/>
        </w:rPr>
        <w:t>n</w:t>
      </w:r>
      <w:r w:rsidRPr="0074486E">
        <w:t xml:space="preserve"> = 17/31) and oxybenzone (96%; </w:t>
      </w:r>
      <w:r w:rsidRPr="0074486E">
        <w:rPr>
          <w:i/>
        </w:rPr>
        <w:t xml:space="preserve">n </w:t>
      </w:r>
      <w:r w:rsidRPr="0074486E">
        <w:t xml:space="preserve">= 22/23). The overall exposure throughout the study (Days 1-21) is summarised in the following </w:t>
      </w:r>
      <w:r>
        <w:t>table</w:t>
      </w:r>
      <w:r w:rsidRPr="0074486E">
        <w:t xml:space="preserve"> taken from Matta </w:t>
      </w:r>
      <w:r w:rsidRPr="0074486E">
        <w:rPr>
          <w:i/>
        </w:rPr>
        <w:t>et al.</w:t>
      </w:r>
      <w:r w:rsidRPr="0074486E">
        <w:t xml:space="preserve"> (2020).</w:t>
      </w:r>
    </w:p>
    <w:tbl>
      <w:tblPr>
        <w:tblStyle w:val="TableGrid"/>
        <w:tblW w:w="0" w:type="auto"/>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Look w:val="04A0" w:firstRow="1" w:lastRow="0" w:firstColumn="1" w:lastColumn="0" w:noHBand="0" w:noVBand="1"/>
      </w:tblPr>
      <w:tblGrid>
        <w:gridCol w:w="2472"/>
        <w:gridCol w:w="1610"/>
        <w:gridCol w:w="1634"/>
        <w:gridCol w:w="1688"/>
        <w:gridCol w:w="1612"/>
      </w:tblGrid>
      <w:tr w:rsidR="00403C89" w14:paraId="730E70B7" w14:textId="77777777" w:rsidTr="003E097B">
        <w:tc>
          <w:tcPr>
            <w:tcW w:w="1891" w:type="dxa"/>
            <w:vMerge w:val="restart"/>
            <w:shd w:val="clear" w:color="auto" w:fill="B8CCEA"/>
          </w:tcPr>
          <w:p w14:paraId="65FF2F02" w14:textId="77777777" w:rsidR="00403C89" w:rsidRPr="003E097B" w:rsidRDefault="00403C89" w:rsidP="00E07077">
            <w:pPr>
              <w:pStyle w:val="Standard"/>
              <w:keepLines/>
              <w:spacing w:after="0"/>
              <w:rPr>
                <w:rFonts w:asciiTheme="minorHAnsi" w:hAnsiTheme="minorHAnsi" w:cstheme="minorHAnsi"/>
                <w:color w:val="263287"/>
                <w:sz w:val="18"/>
                <w:szCs w:val="18"/>
              </w:rPr>
            </w:pPr>
          </w:p>
        </w:tc>
        <w:tc>
          <w:tcPr>
            <w:tcW w:w="7567" w:type="dxa"/>
            <w:gridSpan w:val="4"/>
            <w:shd w:val="clear" w:color="auto" w:fill="B8CCEA"/>
          </w:tcPr>
          <w:p w14:paraId="09BB50DF" w14:textId="77777777" w:rsidR="00403C89" w:rsidRPr="003E097B" w:rsidRDefault="00403C89" w:rsidP="00E07077">
            <w:pPr>
              <w:pStyle w:val="TableHeader"/>
              <w:rPr>
                <w:rFonts w:asciiTheme="minorHAnsi" w:hAnsiTheme="minorHAnsi" w:cstheme="minorHAnsi"/>
                <w:color w:val="263287"/>
                <w:sz w:val="18"/>
                <w:szCs w:val="18"/>
              </w:rPr>
            </w:pPr>
            <w:r w:rsidRPr="003E097B">
              <w:rPr>
                <w:rFonts w:asciiTheme="minorHAnsi" w:hAnsiTheme="minorHAnsi" w:cstheme="minorHAnsi"/>
                <w:color w:val="263287"/>
                <w:sz w:val="18"/>
                <w:szCs w:val="18"/>
              </w:rPr>
              <w:t>Geometric mean maximum plasma concentration, ng/mL</w:t>
            </w:r>
          </w:p>
          <w:p w14:paraId="721A3920" w14:textId="77777777" w:rsidR="00403C89" w:rsidRPr="003E097B" w:rsidRDefault="00403C89" w:rsidP="00E07077">
            <w:pPr>
              <w:pStyle w:val="TableHeader"/>
              <w:rPr>
                <w:rFonts w:asciiTheme="minorHAnsi" w:hAnsiTheme="minorHAnsi" w:cstheme="minorHAnsi"/>
                <w:color w:val="263287"/>
                <w:sz w:val="18"/>
                <w:szCs w:val="18"/>
              </w:rPr>
            </w:pPr>
            <w:r w:rsidRPr="003E097B">
              <w:rPr>
                <w:rFonts w:asciiTheme="minorHAnsi" w:hAnsiTheme="minorHAnsi" w:cstheme="minorHAnsi"/>
                <w:color w:val="263287"/>
                <w:sz w:val="18"/>
                <w:szCs w:val="18"/>
              </w:rPr>
              <w:t>(coefficient of variation, %)</w:t>
            </w:r>
          </w:p>
        </w:tc>
      </w:tr>
      <w:tr w:rsidR="003E097B" w14:paraId="3741531C" w14:textId="77777777" w:rsidTr="003E097B">
        <w:tc>
          <w:tcPr>
            <w:tcW w:w="1891" w:type="dxa"/>
            <w:vMerge/>
            <w:shd w:val="clear" w:color="auto" w:fill="B8CCEA"/>
          </w:tcPr>
          <w:p w14:paraId="0C07127F" w14:textId="77777777" w:rsidR="00403C89" w:rsidRPr="003E097B" w:rsidRDefault="00403C89" w:rsidP="00E07077">
            <w:pPr>
              <w:pStyle w:val="Standard"/>
              <w:keepLines/>
              <w:spacing w:after="0"/>
              <w:rPr>
                <w:rFonts w:asciiTheme="minorHAnsi" w:hAnsiTheme="minorHAnsi" w:cstheme="minorHAnsi"/>
                <w:color w:val="263287"/>
                <w:sz w:val="18"/>
                <w:szCs w:val="18"/>
              </w:rPr>
            </w:pPr>
          </w:p>
        </w:tc>
        <w:tc>
          <w:tcPr>
            <w:tcW w:w="1891" w:type="dxa"/>
            <w:shd w:val="clear" w:color="auto" w:fill="B8CCEA"/>
          </w:tcPr>
          <w:p w14:paraId="065D48EA" w14:textId="77777777" w:rsidR="00403C89" w:rsidRPr="003E097B" w:rsidRDefault="00403C89" w:rsidP="00E07077">
            <w:pPr>
              <w:pStyle w:val="TableHeader"/>
              <w:rPr>
                <w:rFonts w:asciiTheme="minorHAnsi" w:hAnsiTheme="minorHAnsi" w:cstheme="minorHAnsi"/>
                <w:color w:val="263287"/>
                <w:sz w:val="18"/>
                <w:szCs w:val="18"/>
              </w:rPr>
            </w:pPr>
            <w:r w:rsidRPr="003E097B">
              <w:rPr>
                <w:rFonts w:asciiTheme="minorHAnsi" w:hAnsiTheme="minorHAnsi" w:cstheme="minorHAnsi"/>
                <w:color w:val="263287"/>
                <w:sz w:val="18"/>
                <w:szCs w:val="18"/>
              </w:rPr>
              <w:t>Lotion</w:t>
            </w:r>
          </w:p>
        </w:tc>
        <w:tc>
          <w:tcPr>
            <w:tcW w:w="1892" w:type="dxa"/>
            <w:shd w:val="clear" w:color="auto" w:fill="B8CCEA"/>
          </w:tcPr>
          <w:p w14:paraId="43C2E404" w14:textId="77777777" w:rsidR="00403C89" w:rsidRPr="003E097B" w:rsidRDefault="00403C89" w:rsidP="00E07077">
            <w:pPr>
              <w:pStyle w:val="TableHeader"/>
              <w:rPr>
                <w:rFonts w:asciiTheme="minorHAnsi" w:hAnsiTheme="minorHAnsi" w:cstheme="minorHAnsi"/>
                <w:color w:val="263287"/>
                <w:sz w:val="18"/>
                <w:szCs w:val="18"/>
              </w:rPr>
            </w:pPr>
            <w:r w:rsidRPr="003E097B">
              <w:rPr>
                <w:rFonts w:asciiTheme="minorHAnsi" w:hAnsiTheme="minorHAnsi" w:cstheme="minorHAnsi"/>
                <w:color w:val="263287"/>
                <w:sz w:val="18"/>
                <w:szCs w:val="18"/>
              </w:rPr>
              <w:t>Aerosol spray</w:t>
            </w:r>
          </w:p>
        </w:tc>
        <w:tc>
          <w:tcPr>
            <w:tcW w:w="1892" w:type="dxa"/>
            <w:shd w:val="clear" w:color="auto" w:fill="B8CCEA"/>
          </w:tcPr>
          <w:p w14:paraId="26B25156" w14:textId="77777777" w:rsidR="00403C89" w:rsidRPr="003E097B" w:rsidRDefault="00403C89" w:rsidP="00E07077">
            <w:pPr>
              <w:pStyle w:val="TableHeader"/>
              <w:rPr>
                <w:rFonts w:asciiTheme="minorHAnsi" w:hAnsiTheme="minorHAnsi" w:cstheme="minorHAnsi"/>
                <w:color w:val="263287"/>
                <w:sz w:val="18"/>
                <w:szCs w:val="18"/>
              </w:rPr>
            </w:pPr>
            <w:proofErr w:type="spellStart"/>
            <w:r w:rsidRPr="003E097B">
              <w:rPr>
                <w:rFonts w:asciiTheme="minorHAnsi" w:hAnsiTheme="minorHAnsi" w:cstheme="minorHAnsi"/>
                <w:color w:val="263287"/>
                <w:sz w:val="18"/>
                <w:szCs w:val="18"/>
              </w:rPr>
              <w:t>Nonaresol</w:t>
            </w:r>
            <w:proofErr w:type="spellEnd"/>
            <w:r w:rsidRPr="003E097B">
              <w:rPr>
                <w:rFonts w:asciiTheme="minorHAnsi" w:hAnsiTheme="minorHAnsi" w:cstheme="minorHAnsi"/>
                <w:color w:val="263287"/>
                <w:sz w:val="18"/>
                <w:szCs w:val="18"/>
              </w:rPr>
              <w:t xml:space="preserve"> spray</w:t>
            </w:r>
          </w:p>
        </w:tc>
        <w:tc>
          <w:tcPr>
            <w:tcW w:w="1892" w:type="dxa"/>
            <w:shd w:val="clear" w:color="auto" w:fill="B8CCEA"/>
          </w:tcPr>
          <w:p w14:paraId="21E70897" w14:textId="77777777" w:rsidR="00403C89" w:rsidRPr="003E097B" w:rsidRDefault="00403C89" w:rsidP="00E07077">
            <w:pPr>
              <w:pStyle w:val="TableHeader"/>
              <w:rPr>
                <w:rFonts w:asciiTheme="minorHAnsi" w:hAnsiTheme="minorHAnsi" w:cstheme="minorHAnsi"/>
                <w:color w:val="263287"/>
                <w:sz w:val="18"/>
                <w:szCs w:val="18"/>
              </w:rPr>
            </w:pPr>
            <w:r w:rsidRPr="003E097B">
              <w:rPr>
                <w:rFonts w:asciiTheme="minorHAnsi" w:hAnsiTheme="minorHAnsi" w:cstheme="minorHAnsi"/>
                <w:color w:val="263287"/>
                <w:sz w:val="18"/>
                <w:szCs w:val="18"/>
              </w:rPr>
              <w:t>Pump spray</w:t>
            </w:r>
          </w:p>
        </w:tc>
      </w:tr>
      <w:tr w:rsidR="00403C89" w14:paraId="50BD50A8" w14:textId="77777777" w:rsidTr="003E097B">
        <w:tc>
          <w:tcPr>
            <w:tcW w:w="1891" w:type="dxa"/>
          </w:tcPr>
          <w:p w14:paraId="601E333C"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 xml:space="preserve">Butyl </w:t>
            </w:r>
            <w:proofErr w:type="spellStart"/>
            <w:r w:rsidRPr="003E097B">
              <w:rPr>
                <w:rFonts w:asciiTheme="minorHAnsi" w:hAnsiTheme="minorHAnsi" w:cstheme="minorHAnsi"/>
              </w:rPr>
              <w:t>methoxydibenzoylmethane</w:t>
            </w:r>
            <w:proofErr w:type="spellEnd"/>
          </w:p>
        </w:tc>
        <w:tc>
          <w:tcPr>
            <w:tcW w:w="1891" w:type="dxa"/>
          </w:tcPr>
          <w:p w14:paraId="01A06B61"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7.1 (73.9)</w:t>
            </w:r>
          </w:p>
        </w:tc>
        <w:tc>
          <w:tcPr>
            <w:tcW w:w="1892" w:type="dxa"/>
          </w:tcPr>
          <w:p w14:paraId="02440EE8"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3.5 (70.9)</w:t>
            </w:r>
          </w:p>
        </w:tc>
        <w:tc>
          <w:tcPr>
            <w:tcW w:w="1892" w:type="dxa"/>
          </w:tcPr>
          <w:p w14:paraId="07FC8346"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3.5 (73.0)</w:t>
            </w:r>
          </w:p>
        </w:tc>
        <w:tc>
          <w:tcPr>
            <w:tcW w:w="1892" w:type="dxa"/>
          </w:tcPr>
          <w:p w14:paraId="7D44BAC0"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3.3 (47.8)</w:t>
            </w:r>
          </w:p>
        </w:tc>
      </w:tr>
      <w:tr w:rsidR="00403C89" w14:paraId="04290C58" w14:textId="77777777" w:rsidTr="003E097B">
        <w:tc>
          <w:tcPr>
            <w:tcW w:w="1891" w:type="dxa"/>
          </w:tcPr>
          <w:p w14:paraId="09CC15FA"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Oxybenzone</w:t>
            </w:r>
          </w:p>
        </w:tc>
        <w:tc>
          <w:tcPr>
            <w:tcW w:w="1891" w:type="dxa"/>
          </w:tcPr>
          <w:p w14:paraId="7573BC3C"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258.1 (53.0)</w:t>
            </w:r>
          </w:p>
        </w:tc>
        <w:tc>
          <w:tcPr>
            <w:tcW w:w="1892" w:type="dxa"/>
          </w:tcPr>
          <w:p w14:paraId="74092E46"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180.1 (57.3)</w:t>
            </w:r>
          </w:p>
        </w:tc>
        <w:tc>
          <w:tcPr>
            <w:tcW w:w="1892" w:type="dxa"/>
          </w:tcPr>
          <w:p w14:paraId="1F41239A"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NA</w:t>
            </w:r>
          </w:p>
        </w:tc>
        <w:tc>
          <w:tcPr>
            <w:tcW w:w="1892" w:type="dxa"/>
          </w:tcPr>
          <w:p w14:paraId="20FF7B47"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NA</w:t>
            </w:r>
          </w:p>
        </w:tc>
      </w:tr>
      <w:tr w:rsidR="00403C89" w14:paraId="1856817F" w14:textId="77777777" w:rsidTr="003E097B">
        <w:tc>
          <w:tcPr>
            <w:tcW w:w="1891" w:type="dxa"/>
          </w:tcPr>
          <w:p w14:paraId="35CB2C44"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Octocrylene</w:t>
            </w:r>
          </w:p>
        </w:tc>
        <w:tc>
          <w:tcPr>
            <w:tcW w:w="1891" w:type="dxa"/>
          </w:tcPr>
          <w:p w14:paraId="4E6DEB31"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7.8 (87.1)</w:t>
            </w:r>
          </w:p>
        </w:tc>
        <w:tc>
          <w:tcPr>
            <w:tcW w:w="1892" w:type="dxa"/>
          </w:tcPr>
          <w:p w14:paraId="69E4A35F"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6.6 (78.1)</w:t>
            </w:r>
          </w:p>
        </w:tc>
        <w:tc>
          <w:tcPr>
            <w:tcW w:w="1892" w:type="dxa"/>
          </w:tcPr>
          <w:p w14:paraId="035C54EC"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6.6 (103.9)</w:t>
            </w:r>
          </w:p>
        </w:tc>
        <w:tc>
          <w:tcPr>
            <w:tcW w:w="1892" w:type="dxa"/>
          </w:tcPr>
          <w:p w14:paraId="08329A4F"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NA</w:t>
            </w:r>
          </w:p>
        </w:tc>
      </w:tr>
      <w:tr w:rsidR="00403C89" w14:paraId="534C03AE" w14:textId="77777777" w:rsidTr="003E097B">
        <w:tc>
          <w:tcPr>
            <w:tcW w:w="1891" w:type="dxa"/>
          </w:tcPr>
          <w:p w14:paraId="49B2B2D6" w14:textId="77777777" w:rsidR="00403C89" w:rsidRPr="003E097B" w:rsidRDefault="00403C89" w:rsidP="00E07077">
            <w:pPr>
              <w:pStyle w:val="Tabletextleft"/>
              <w:rPr>
                <w:rFonts w:asciiTheme="minorHAnsi" w:hAnsiTheme="minorHAnsi" w:cstheme="minorHAnsi"/>
              </w:rPr>
            </w:pPr>
            <w:proofErr w:type="spellStart"/>
            <w:r w:rsidRPr="003E097B">
              <w:rPr>
                <w:rFonts w:asciiTheme="minorHAnsi" w:hAnsiTheme="minorHAnsi" w:cstheme="minorHAnsi"/>
              </w:rPr>
              <w:t>Homosalate</w:t>
            </w:r>
            <w:proofErr w:type="spellEnd"/>
          </w:p>
        </w:tc>
        <w:tc>
          <w:tcPr>
            <w:tcW w:w="1891" w:type="dxa"/>
          </w:tcPr>
          <w:p w14:paraId="6783A371"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NA</w:t>
            </w:r>
          </w:p>
        </w:tc>
        <w:tc>
          <w:tcPr>
            <w:tcW w:w="1892" w:type="dxa"/>
          </w:tcPr>
          <w:p w14:paraId="40220EE0"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23.1 (68.0)</w:t>
            </w:r>
          </w:p>
        </w:tc>
        <w:tc>
          <w:tcPr>
            <w:tcW w:w="1892" w:type="dxa"/>
          </w:tcPr>
          <w:p w14:paraId="75A185A2"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17.9 (61.7)</w:t>
            </w:r>
          </w:p>
        </w:tc>
        <w:tc>
          <w:tcPr>
            <w:tcW w:w="1892" w:type="dxa"/>
          </w:tcPr>
          <w:p w14:paraId="50908505"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13.9 (70.2)</w:t>
            </w:r>
          </w:p>
        </w:tc>
      </w:tr>
      <w:tr w:rsidR="00403C89" w14:paraId="5B40263D" w14:textId="77777777" w:rsidTr="003E097B">
        <w:tc>
          <w:tcPr>
            <w:tcW w:w="1891" w:type="dxa"/>
          </w:tcPr>
          <w:p w14:paraId="26361583" w14:textId="77777777" w:rsidR="00403C89" w:rsidRPr="003E097B" w:rsidRDefault="00403C89" w:rsidP="00E07077">
            <w:pPr>
              <w:pStyle w:val="Tabletextleft"/>
              <w:rPr>
                <w:rFonts w:asciiTheme="minorHAnsi" w:hAnsiTheme="minorHAnsi" w:cstheme="minorHAnsi"/>
              </w:rPr>
            </w:pPr>
            <w:proofErr w:type="spellStart"/>
            <w:r w:rsidRPr="003E097B">
              <w:rPr>
                <w:rFonts w:asciiTheme="minorHAnsi" w:hAnsiTheme="minorHAnsi" w:cstheme="minorHAnsi"/>
              </w:rPr>
              <w:t>Octisalate</w:t>
            </w:r>
            <w:proofErr w:type="spellEnd"/>
          </w:p>
        </w:tc>
        <w:tc>
          <w:tcPr>
            <w:tcW w:w="1891" w:type="dxa"/>
          </w:tcPr>
          <w:p w14:paraId="03E3FA44"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NA</w:t>
            </w:r>
          </w:p>
        </w:tc>
        <w:tc>
          <w:tcPr>
            <w:tcW w:w="1892" w:type="dxa"/>
          </w:tcPr>
          <w:p w14:paraId="5C04B49B"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5.1 (81.6)</w:t>
            </w:r>
          </w:p>
        </w:tc>
        <w:tc>
          <w:tcPr>
            <w:tcW w:w="1892" w:type="dxa"/>
          </w:tcPr>
          <w:p w14:paraId="3B917719"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5.9 (77.4)</w:t>
            </w:r>
          </w:p>
        </w:tc>
        <w:tc>
          <w:tcPr>
            <w:tcW w:w="1892" w:type="dxa"/>
          </w:tcPr>
          <w:p w14:paraId="5692DD49"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4.6 (97.6)</w:t>
            </w:r>
          </w:p>
        </w:tc>
      </w:tr>
      <w:tr w:rsidR="00403C89" w14:paraId="2C08D328" w14:textId="77777777" w:rsidTr="003E097B">
        <w:tc>
          <w:tcPr>
            <w:tcW w:w="1891" w:type="dxa"/>
          </w:tcPr>
          <w:p w14:paraId="4707E181"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Octyl methoxycinnamate</w:t>
            </w:r>
          </w:p>
        </w:tc>
        <w:tc>
          <w:tcPr>
            <w:tcW w:w="1891" w:type="dxa"/>
          </w:tcPr>
          <w:p w14:paraId="1462E88F"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NA</w:t>
            </w:r>
          </w:p>
        </w:tc>
        <w:tc>
          <w:tcPr>
            <w:tcW w:w="1892" w:type="dxa"/>
          </w:tcPr>
          <w:p w14:paraId="31806F7F"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NA</w:t>
            </w:r>
          </w:p>
        </w:tc>
        <w:tc>
          <w:tcPr>
            <w:tcW w:w="1892" w:type="dxa"/>
          </w:tcPr>
          <w:p w14:paraId="274221CC"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7.9 (86.5)</w:t>
            </w:r>
          </w:p>
        </w:tc>
        <w:tc>
          <w:tcPr>
            <w:tcW w:w="1892" w:type="dxa"/>
          </w:tcPr>
          <w:p w14:paraId="2F174D9A" w14:textId="77777777" w:rsidR="00403C89" w:rsidRPr="003E097B" w:rsidRDefault="00403C89" w:rsidP="00E07077">
            <w:pPr>
              <w:pStyle w:val="Tabletextleft"/>
              <w:rPr>
                <w:rFonts w:asciiTheme="minorHAnsi" w:hAnsiTheme="minorHAnsi" w:cstheme="minorHAnsi"/>
              </w:rPr>
            </w:pPr>
            <w:r w:rsidRPr="003E097B">
              <w:rPr>
                <w:rFonts w:asciiTheme="minorHAnsi" w:hAnsiTheme="minorHAnsi" w:cstheme="minorHAnsi"/>
              </w:rPr>
              <w:t>5.2 (68.2)</w:t>
            </w:r>
          </w:p>
        </w:tc>
      </w:tr>
    </w:tbl>
    <w:p w14:paraId="69996093" w14:textId="77777777" w:rsidR="00403C89" w:rsidRPr="00545474" w:rsidRDefault="00403C89" w:rsidP="00403C89">
      <w:pPr>
        <w:pStyle w:val="Standard"/>
        <w:spacing w:after="0"/>
        <w:rPr>
          <w:color w:val="00B050"/>
        </w:rPr>
      </w:pPr>
    </w:p>
    <w:p w14:paraId="3C1AC656" w14:textId="471292C8" w:rsidR="00403C89" w:rsidRPr="0074486E" w:rsidRDefault="00403C89" w:rsidP="003E097B">
      <w:r w:rsidRPr="0074486E">
        <w:t xml:space="preserve">Another study investigating systemic absorption of </w:t>
      </w:r>
      <w:r>
        <w:t>b</w:t>
      </w:r>
      <w:r w:rsidRPr="00FB4BE3">
        <w:t xml:space="preserve">utyl </w:t>
      </w:r>
      <w:proofErr w:type="spellStart"/>
      <w:r w:rsidRPr="00FB4BE3">
        <w:t>methoxydibenzoylmethane</w:t>
      </w:r>
      <w:proofErr w:type="spellEnd"/>
      <w:r w:rsidRPr="0074486E" w:rsidDel="00C120F3">
        <w:t xml:space="preserve"> </w:t>
      </w:r>
      <w:r w:rsidRPr="0074486E">
        <w:t xml:space="preserve">and octocrylene using real-life exposure scenario demonstrated similar systemic absorption of the ingredients (Hiller </w:t>
      </w:r>
      <w:r w:rsidRPr="0074486E">
        <w:rPr>
          <w:i/>
        </w:rPr>
        <w:t>et al.</w:t>
      </w:r>
      <w:r w:rsidRPr="0074486E">
        <w:t xml:space="preserve"> 2018). Following dermal exposure, </w:t>
      </w:r>
      <w:r>
        <w:t>b</w:t>
      </w:r>
      <w:r w:rsidRPr="00FB4BE3">
        <w:t xml:space="preserve">utyl </w:t>
      </w:r>
      <w:proofErr w:type="spellStart"/>
      <w:r w:rsidRPr="00FB4BE3">
        <w:t>methoxydibenzoylmethane</w:t>
      </w:r>
      <w:proofErr w:type="spellEnd"/>
      <w:r w:rsidRPr="0074486E">
        <w:t xml:space="preserve">, octocrylene and CDAA (major urinary metabolite of octocrylene) reached concentrations up to 11.3 </w:t>
      </w:r>
      <w:proofErr w:type="spellStart"/>
      <w:r w:rsidRPr="0074486E">
        <w:t>μg</w:t>
      </w:r>
      <w:proofErr w:type="spellEnd"/>
      <w:r w:rsidRPr="0074486E">
        <w:t xml:space="preserve">/L, 25 </w:t>
      </w:r>
      <w:proofErr w:type="spellStart"/>
      <w:r w:rsidRPr="0074486E">
        <w:t>μg</w:t>
      </w:r>
      <w:proofErr w:type="spellEnd"/>
      <w:r w:rsidRPr="0074486E">
        <w:t xml:space="preserve">/L and 1352 </w:t>
      </w:r>
      <w:proofErr w:type="spellStart"/>
      <w:r w:rsidRPr="0074486E">
        <w:t>μg</w:t>
      </w:r>
      <w:proofErr w:type="spellEnd"/>
      <w:r w:rsidRPr="0074486E">
        <w:t>/L, respectively, in plasma (</w:t>
      </w:r>
      <w:r w:rsidRPr="0074486E">
        <w:fldChar w:fldCharType="begin"/>
      </w:r>
      <w:r w:rsidRPr="0074486E">
        <w:instrText xml:space="preserve"> REF _Ref63861885 \h  \* MERGEFORMAT </w:instrText>
      </w:r>
      <w:r w:rsidRPr="0074486E">
        <w:fldChar w:fldCharType="separate"/>
      </w:r>
      <w:r w:rsidR="00CB5A59">
        <w:rPr>
          <w:b/>
          <w:bCs/>
          <w:lang w:val="en-US"/>
        </w:rPr>
        <w:t>Error! Reference source not found.</w:t>
      </w:r>
      <w:r w:rsidRPr="0074486E">
        <w:fldChar w:fldCharType="end"/>
      </w:r>
      <w:r w:rsidRPr="0074486E">
        <w:t>). When kinetic models were fitted for octocrylene and CDAA in plasma and CDAA in urine, concentration peaks reached between 10 and 16 h after first application and elimination half-life (</w:t>
      </w:r>
      <w:r w:rsidRPr="0074486E">
        <w:rPr>
          <w:rFonts w:eastAsia="Cambria"/>
        </w:rPr>
        <w:t>t</w:t>
      </w:r>
      <w:r w:rsidRPr="0074486E">
        <w:rPr>
          <w:rFonts w:eastAsia="Cambria"/>
          <w:vertAlign w:val="subscript"/>
        </w:rPr>
        <w:t>½</w:t>
      </w:r>
      <w:r w:rsidRPr="0074486E">
        <w:t>) were 36-48 hours. Octocrylene and CDAA showed slower elimination.</w:t>
      </w:r>
    </w:p>
    <w:p w14:paraId="6A37B066" w14:textId="11B1D171" w:rsidR="00403C89" w:rsidRPr="0074486E" w:rsidRDefault="00403C89" w:rsidP="00813EB0">
      <w:pPr>
        <w:pStyle w:val="Tabletitle"/>
      </w:pPr>
      <w:r w:rsidRPr="0074486E">
        <w:t xml:space="preserve">Toxicokinetic data in humans following dermal exposure to octocrylene and </w:t>
      </w:r>
      <w:r w:rsidRPr="00C120F3">
        <w:t xml:space="preserve">butyl </w:t>
      </w:r>
      <w:proofErr w:type="spellStart"/>
      <w:r w:rsidRPr="00C120F3">
        <w:t>methoxydibenzoylmethane</w:t>
      </w:r>
      <w:proofErr w:type="spellEnd"/>
    </w:p>
    <w:tbl>
      <w:tblPr>
        <w:tblW w:w="9469" w:type="dxa"/>
        <w:jc w:val="cente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Layout w:type="fixed"/>
        <w:tblCellMar>
          <w:top w:w="28" w:type="dxa"/>
          <w:left w:w="57" w:type="dxa"/>
          <w:bottom w:w="28" w:type="dxa"/>
          <w:right w:w="57" w:type="dxa"/>
        </w:tblCellMar>
        <w:tblLook w:val="01E0" w:firstRow="1" w:lastRow="1" w:firstColumn="1" w:lastColumn="1" w:noHBand="0" w:noVBand="0"/>
      </w:tblPr>
      <w:tblGrid>
        <w:gridCol w:w="1975"/>
        <w:gridCol w:w="1417"/>
        <w:gridCol w:w="2025"/>
        <w:gridCol w:w="2026"/>
        <w:gridCol w:w="2026"/>
      </w:tblGrid>
      <w:tr w:rsidR="00FA482B" w:rsidRPr="0074486E" w14:paraId="24BD4A04" w14:textId="77777777" w:rsidTr="00813EB0">
        <w:trPr>
          <w:cantSplit/>
          <w:trHeight w:val="668"/>
          <w:tblHeader/>
          <w:jc w:val="center"/>
        </w:trPr>
        <w:tc>
          <w:tcPr>
            <w:tcW w:w="3392" w:type="dxa"/>
            <w:gridSpan w:val="2"/>
            <w:shd w:val="clear" w:color="auto" w:fill="B8CCEA"/>
            <w:tcMar>
              <w:top w:w="28" w:type="dxa"/>
              <w:left w:w="57" w:type="dxa"/>
              <w:bottom w:w="28" w:type="dxa"/>
              <w:right w:w="57" w:type="dxa"/>
            </w:tcMar>
            <w:vAlign w:val="center"/>
          </w:tcPr>
          <w:p w14:paraId="558673CC" w14:textId="77777777" w:rsidR="00FA482B" w:rsidRPr="00813EB0" w:rsidRDefault="00FA482B" w:rsidP="00E07077">
            <w:pPr>
              <w:pStyle w:val="TableHeader"/>
              <w:rPr>
                <w:rFonts w:asciiTheme="minorHAnsi" w:hAnsiTheme="minorHAnsi" w:cstheme="minorHAnsi"/>
                <w:color w:val="263287"/>
                <w:sz w:val="18"/>
                <w:szCs w:val="18"/>
              </w:rPr>
            </w:pPr>
            <w:r w:rsidRPr="00813EB0">
              <w:rPr>
                <w:rFonts w:asciiTheme="minorHAnsi" w:hAnsiTheme="minorHAnsi" w:cstheme="minorHAnsi"/>
                <w:color w:val="263287"/>
                <w:sz w:val="18"/>
                <w:szCs w:val="18"/>
              </w:rPr>
              <w:t>Study details</w:t>
            </w:r>
          </w:p>
        </w:tc>
        <w:tc>
          <w:tcPr>
            <w:tcW w:w="6077" w:type="dxa"/>
            <w:gridSpan w:val="3"/>
            <w:shd w:val="clear" w:color="auto" w:fill="B8CCEA"/>
            <w:vAlign w:val="center"/>
          </w:tcPr>
          <w:p w14:paraId="22154323" w14:textId="77777777" w:rsidR="00FA482B" w:rsidRPr="00813EB0" w:rsidRDefault="00FA482B" w:rsidP="00E07077">
            <w:pPr>
              <w:pStyle w:val="TableHeader"/>
              <w:rPr>
                <w:rFonts w:asciiTheme="minorHAnsi" w:hAnsiTheme="minorHAnsi" w:cstheme="minorHAnsi"/>
                <w:color w:val="263287"/>
                <w:sz w:val="18"/>
                <w:szCs w:val="18"/>
              </w:rPr>
            </w:pPr>
            <w:r w:rsidRPr="00813EB0">
              <w:rPr>
                <w:rFonts w:asciiTheme="minorHAnsi" w:hAnsiTheme="minorHAnsi" w:cstheme="minorHAnsi"/>
                <w:i/>
                <w:iCs/>
                <w:color w:val="263287"/>
                <w:sz w:val="18"/>
                <w:szCs w:val="18"/>
              </w:rPr>
              <w:t>n</w:t>
            </w:r>
            <w:r w:rsidRPr="00813EB0">
              <w:rPr>
                <w:rFonts w:asciiTheme="minorHAnsi" w:hAnsiTheme="minorHAnsi" w:cstheme="minorHAnsi"/>
                <w:color w:val="263287"/>
                <w:sz w:val="18"/>
                <w:szCs w:val="18"/>
              </w:rPr>
              <w:t>=20; commercial sunscreen lotion containing octocrylene was applied three times (2 mg/cm</w:t>
            </w:r>
            <w:r w:rsidRPr="00813EB0">
              <w:rPr>
                <w:rFonts w:asciiTheme="minorHAnsi" w:hAnsiTheme="minorHAnsi" w:cstheme="minorHAnsi"/>
                <w:color w:val="263287"/>
                <w:sz w:val="18"/>
                <w:szCs w:val="18"/>
                <w:vertAlign w:val="superscript"/>
              </w:rPr>
              <w:t>2</w:t>
            </w:r>
            <w:r w:rsidRPr="00813EB0">
              <w:rPr>
                <w:rFonts w:asciiTheme="minorHAnsi" w:hAnsiTheme="minorHAnsi" w:cstheme="minorHAnsi"/>
                <w:color w:val="263287"/>
                <w:sz w:val="18"/>
                <w:szCs w:val="18"/>
              </w:rPr>
              <w:t xml:space="preserve"> initially, then 1 mg/cm</w:t>
            </w:r>
            <w:r w:rsidRPr="00813EB0">
              <w:rPr>
                <w:rFonts w:asciiTheme="minorHAnsi" w:hAnsiTheme="minorHAnsi" w:cstheme="minorHAnsi"/>
                <w:color w:val="263287"/>
                <w:sz w:val="18"/>
                <w:szCs w:val="18"/>
                <w:vertAlign w:val="superscript"/>
              </w:rPr>
              <w:t>2</w:t>
            </w:r>
            <w:r w:rsidRPr="00813EB0">
              <w:rPr>
                <w:rFonts w:asciiTheme="minorHAnsi" w:hAnsiTheme="minorHAnsi" w:cstheme="minorHAnsi"/>
                <w:color w:val="263287"/>
                <w:sz w:val="18"/>
                <w:szCs w:val="18"/>
              </w:rPr>
              <w:t xml:space="preserve"> after 2 h and 4 h) to 75–80% BSA)</w:t>
            </w:r>
          </w:p>
        </w:tc>
      </w:tr>
      <w:tr w:rsidR="00FA482B" w:rsidRPr="0074486E" w14:paraId="2F0B9357" w14:textId="77777777" w:rsidTr="00813EB0">
        <w:trPr>
          <w:cantSplit/>
          <w:trHeight w:val="291"/>
          <w:tblHeader/>
          <w:jc w:val="center"/>
        </w:trPr>
        <w:tc>
          <w:tcPr>
            <w:tcW w:w="3392" w:type="dxa"/>
            <w:gridSpan w:val="2"/>
            <w:shd w:val="clear" w:color="auto" w:fill="B8CCEA"/>
            <w:tcMar>
              <w:top w:w="28" w:type="dxa"/>
              <w:left w:w="57" w:type="dxa"/>
              <w:bottom w:w="28" w:type="dxa"/>
              <w:right w:w="57" w:type="dxa"/>
            </w:tcMar>
            <w:vAlign w:val="center"/>
          </w:tcPr>
          <w:p w14:paraId="0CCD4D0E" w14:textId="77777777" w:rsidR="00FA482B" w:rsidRPr="00813EB0" w:rsidRDefault="00FA482B" w:rsidP="00E07077">
            <w:pPr>
              <w:pStyle w:val="TableHeader"/>
              <w:rPr>
                <w:rFonts w:asciiTheme="minorHAnsi" w:hAnsiTheme="minorHAnsi" w:cstheme="minorHAnsi"/>
                <w:color w:val="263287"/>
                <w:sz w:val="18"/>
                <w:szCs w:val="18"/>
              </w:rPr>
            </w:pPr>
            <w:r w:rsidRPr="00813EB0">
              <w:rPr>
                <w:rFonts w:asciiTheme="minorHAnsi" w:hAnsiTheme="minorHAnsi" w:cstheme="minorHAnsi"/>
                <w:color w:val="263287"/>
                <w:sz w:val="18"/>
                <w:szCs w:val="18"/>
              </w:rPr>
              <w:t xml:space="preserve">Ingredient </w:t>
            </w:r>
          </w:p>
        </w:tc>
        <w:tc>
          <w:tcPr>
            <w:tcW w:w="2025" w:type="dxa"/>
            <w:shd w:val="clear" w:color="auto" w:fill="B8CCEA"/>
            <w:vAlign w:val="center"/>
          </w:tcPr>
          <w:p w14:paraId="3B11BE25" w14:textId="77777777" w:rsidR="00FA482B" w:rsidRPr="00813EB0" w:rsidRDefault="00FA482B" w:rsidP="00E07077">
            <w:pPr>
              <w:pStyle w:val="TableHeader"/>
              <w:rPr>
                <w:rFonts w:asciiTheme="minorHAnsi" w:hAnsiTheme="minorHAnsi" w:cstheme="minorHAnsi"/>
                <w:color w:val="263287"/>
                <w:sz w:val="18"/>
                <w:szCs w:val="18"/>
              </w:rPr>
            </w:pPr>
            <w:r w:rsidRPr="00813EB0">
              <w:rPr>
                <w:rFonts w:asciiTheme="minorHAnsi" w:hAnsiTheme="minorHAnsi" w:cstheme="minorHAnsi"/>
                <w:color w:val="263287"/>
                <w:sz w:val="18"/>
                <w:szCs w:val="18"/>
              </w:rPr>
              <w:t>Octocrylene</w:t>
            </w:r>
          </w:p>
        </w:tc>
        <w:tc>
          <w:tcPr>
            <w:tcW w:w="2026" w:type="dxa"/>
            <w:shd w:val="clear" w:color="auto" w:fill="B8CCEA"/>
            <w:vAlign w:val="center"/>
          </w:tcPr>
          <w:p w14:paraId="32B863CA" w14:textId="77777777" w:rsidR="00FA482B" w:rsidRPr="00813EB0" w:rsidRDefault="00FA482B" w:rsidP="00E07077">
            <w:pPr>
              <w:pStyle w:val="TableHeader"/>
              <w:rPr>
                <w:rFonts w:asciiTheme="minorHAnsi" w:hAnsiTheme="minorHAnsi" w:cstheme="minorHAnsi"/>
                <w:color w:val="263287"/>
                <w:sz w:val="18"/>
                <w:szCs w:val="18"/>
              </w:rPr>
            </w:pPr>
            <w:r w:rsidRPr="00813EB0">
              <w:rPr>
                <w:rFonts w:asciiTheme="minorHAnsi" w:hAnsiTheme="minorHAnsi" w:cstheme="minorHAnsi"/>
                <w:color w:val="263287"/>
                <w:sz w:val="18"/>
                <w:szCs w:val="18"/>
              </w:rPr>
              <w:t xml:space="preserve">Butyl </w:t>
            </w:r>
            <w:proofErr w:type="spellStart"/>
            <w:r w:rsidRPr="00813EB0">
              <w:rPr>
                <w:rFonts w:asciiTheme="minorHAnsi" w:hAnsiTheme="minorHAnsi" w:cstheme="minorHAnsi"/>
                <w:color w:val="263287"/>
                <w:sz w:val="18"/>
                <w:szCs w:val="18"/>
              </w:rPr>
              <w:t>methoxydibenzoylmethane</w:t>
            </w:r>
            <w:proofErr w:type="spellEnd"/>
          </w:p>
        </w:tc>
        <w:tc>
          <w:tcPr>
            <w:tcW w:w="2026" w:type="dxa"/>
            <w:shd w:val="clear" w:color="auto" w:fill="B8CCEA"/>
            <w:tcMar>
              <w:left w:w="57" w:type="dxa"/>
              <w:right w:w="57" w:type="dxa"/>
            </w:tcMar>
            <w:vAlign w:val="center"/>
          </w:tcPr>
          <w:p w14:paraId="66D907C2" w14:textId="77777777" w:rsidR="00FA482B" w:rsidRPr="00813EB0" w:rsidRDefault="00FA482B" w:rsidP="00E07077">
            <w:pPr>
              <w:pStyle w:val="TableHeader"/>
              <w:rPr>
                <w:rFonts w:asciiTheme="minorHAnsi" w:hAnsiTheme="minorHAnsi" w:cstheme="minorHAnsi"/>
                <w:color w:val="263287"/>
                <w:sz w:val="18"/>
                <w:szCs w:val="18"/>
              </w:rPr>
            </w:pPr>
            <w:r w:rsidRPr="00813EB0">
              <w:rPr>
                <w:rFonts w:asciiTheme="minorHAnsi" w:hAnsiTheme="minorHAnsi" w:cstheme="minorHAnsi"/>
                <w:color w:val="263287"/>
                <w:sz w:val="18"/>
                <w:szCs w:val="18"/>
              </w:rPr>
              <w:t>CDAA</w:t>
            </w:r>
          </w:p>
        </w:tc>
      </w:tr>
      <w:tr w:rsidR="00FA482B" w:rsidRPr="0074486E" w14:paraId="4AD60CDB" w14:textId="77777777" w:rsidTr="00813EB0">
        <w:trPr>
          <w:cantSplit/>
          <w:trHeight w:val="63"/>
          <w:jc w:val="center"/>
        </w:trPr>
        <w:tc>
          <w:tcPr>
            <w:tcW w:w="1975" w:type="dxa"/>
            <w:shd w:val="clear" w:color="auto" w:fill="auto"/>
            <w:tcMar>
              <w:top w:w="57" w:type="dxa"/>
              <w:bottom w:w="57" w:type="dxa"/>
            </w:tcMar>
            <w:vAlign w:val="center"/>
          </w:tcPr>
          <w:p w14:paraId="6A203FBA"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 xml:space="preserve">Concentration </w:t>
            </w:r>
          </w:p>
        </w:tc>
        <w:tc>
          <w:tcPr>
            <w:tcW w:w="1417" w:type="dxa"/>
            <w:vAlign w:val="center"/>
          </w:tcPr>
          <w:p w14:paraId="7239BB94"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w:t>
            </w:r>
          </w:p>
        </w:tc>
        <w:tc>
          <w:tcPr>
            <w:tcW w:w="2025" w:type="dxa"/>
            <w:shd w:val="clear" w:color="auto" w:fill="auto"/>
            <w:vAlign w:val="center"/>
          </w:tcPr>
          <w:p w14:paraId="2BDE0405"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10.85</w:t>
            </w:r>
          </w:p>
        </w:tc>
        <w:tc>
          <w:tcPr>
            <w:tcW w:w="2026" w:type="dxa"/>
            <w:vAlign w:val="center"/>
          </w:tcPr>
          <w:p w14:paraId="7F4CF2FA"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2.34</w:t>
            </w:r>
          </w:p>
        </w:tc>
        <w:tc>
          <w:tcPr>
            <w:tcW w:w="2026" w:type="dxa"/>
            <w:shd w:val="clear" w:color="auto" w:fill="auto"/>
            <w:vAlign w:val="center"/>
          </w:tcPr>
          <w:p w14:paraId="461265BE"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NA</w:t>
            </w:r>
          </w:p>
        </w:tc>
      </w:tr>
      <w:tr w:rsidR="00FA482B" w:rsidRPr="0074486E" w14:paraId="2D680B5D" w14:textId="77777777" w:rsidTr="00813EB0">
        <w:trPr>
          <w:cantSplit/>
          <w:trHeight w:val="222"/>
          <w:jc w:val="center"/>
        </w:trPr>
        <w:tc>
          <w:tcPr>
            <w:tcW w:w="1975" w:type="dxa"/>
            <w:shd w:val="clear" w:color="auto" w:fill="auto"/>
            <w:tcMar>
              <w:top w:w="57" w:type="dxa"/>
              <w:bottom w:w="57" w:type="dxa"/>
            </w:tcMar>
            <w:vAlign w:val="center"/>
          </w:tcPr>
          <w:p w14:paraId="10B7F771" w14:textId="77777777" w:rsidR="00FA482B" w:rsidRPr="00813EB0" w:rsidRDefault="00FA482B" w:rsidP="00E07077">
            <w:pPr>
              <w:pStyle w:val="Tabletextleft"/>
              <w:rPr>
                <w:rFonts w:asciiTheme="minorHAnsi" w:hAnsiTheme="minorHAnsi" w:cstheme="minorHAnsi"/>
              </w:rPr>
            </w:pPr>
            <w:proofErr w:type="spellStart"/>
            <w:r w:rsidRPr="00813EB0">
              <w:rPr>
                <w:rFonts w:asciiTheme="minorHAnsi" w:eastAsia="Cambria" w:hAnsiTheme="minorHAnsi" w:cstheme="minorHAnsi"/>
                <w:kern w:val="0"/>
              </w:rPr>
              <w:t>C</w:t>
            </w:r>
            <w:r w:rsidRPr="00813EB0">
              <w:rPr>
                <w:rFonts w:asciiTheme="minorHAnsi" w:eastAsia="Cambria" w:hAnsiTheme="minorHAnsi" w:cstheme="minorHAnsi"/>
                <w:kern w:val="0"/>
                <w:vertAlign w:val="subscript"/>
              </w:rPr>
              <w:t>max</w:t>
            </w:r>
            <w:proofErr w:type="spellEnd"/>
            <w:r w:rsidRPr="00813EB0">
              <w:rPr>
                <w:rFonts w:asciiTheme="minorHAnsi" w:eastAsia="Cambria" w:hAnsiTheme="minorHAnsi" w:cstheme="minorHAnsi"/>
              </w:rPr>
              <w:t xml:space="preserve"> </w:t>
            </w:r>
            <w:r w:rsidRPr="00813EB0">
              <w:rPr>
                <w:rFonts w:asciiTheme="minorHAnsi" w:hAnsiTheme="minorHAnsi" w:cstheme="minorHAnsi"/>
              </w:rPr>
              <w:t>plasma (µg/L)</w:t>
            </w:r>
          </w:p>
        </w:tc>
        <w:tc>
          <w:tcPr>
            <w:tcW w:w="1417" w:type="dxa"/>
            <w:vAlign w:val="center"/>
          </w:tcPr>
          <w:p w14:paraId="7C9C6145"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Mean (max)</w:t>
            </w:r>
          </w:p>
        </w:tc>
        <w:tc>
          <w:tcPr>
            <w:tcW w:w="2025" w:type="dxa"/>
            <w:shd w:val="clear" w:color="auto" w:fill="auto"/>
            <w:vAlign w:val="center"/>
          </w:tcPr>
          <w:p w14:paraId="164C8F40"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11.7 (25)</w:t>
            </w:r>
          </w:p>
        </w:tc>
        <w:tc>
          <w:tcPr>
            <w:tcW w:w="2026" w:type="dxa"/>
            <w:vAlign w:val="center"/>
          </w:tcPr>
          <w:p w14:paraId="12205568"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4(11.3)</w:t>
            </w:r>
          </w:p>
        </w:tc>
        <w:tc>
          <w:tcPr>
            <w:tcW w:w="2026" w:type="dxa"/>
            <w:shd w:val="clear" w:color="auto" w:fill="auto"/>
            <w:vAlign w:val="center"/>
          </w:tcPr>
          <w:p w14:paraId="7D79315F"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570 (1352)</w:t>
            </w:r>
          </w:p>
        </w:tc>
      </w:tr>
      <w:tr w:rsidR="00FA482B" w:rsidRPr="0074486E" w14:paraId="47660EE1" w14:textId="77777777" w:rsidTr="00813EB0">
        <w:trPr>
          <w:cantSplit/>
          <w:trHeight w:val="372"/>
          <w:jc w:val="center"/>
        </w:trPr>
        <w:tc>
          <w:tcPr>
            <w:tcW w:w="1975" w:type="dxa"/>
            <w:shd w:val="clear" w:color="auto" w:fill="auto"/>
            <w:tcMar>
              <w:top w:w="57" w:type="dxa"/>
              <w:bottom w:w="57" w:type="dxa"/>
            </w:tcMar>
            <w:vAlign w:val="center"/>
          </w:tcPr>
          <w:p w14:paraId="0B88C063" w14:textId="77777777" w:rsidR="00FA482B" w:rsidRPr="00813EB0" w:rsidRDefault="00FA482B" w:rsidP="00E07077">
            <w:pPr>
              <w:pStyle w:val="Tabletextleft"/>
              <w:rPr>
                <w:rFonts w:asciiTheme="minorHAnsi" w:hAnsiTheme="minorHAnsi" w:cstheme="minorHAnsi"/>
              </w:rPr>
            </w:pPr>
            <w:proofErr w:type="spellStart"/>
            <w:r w:rsidRPr="00813EB0">
              <w:rPr>
                <w:rFonts w:asciiTheme="minorHAnsi" w:eastAsia="Cambria" w:hAnsiTheme="minorHAnsi" w:cstheme="minorHAnsi"/>
                <w:kern w:val="0"/>
              </w:rPr>
              <w:t>C</w:t>
            </w:r>
            <w:r w:rsidRPr="00813EB0">
              <w:rPr>
                <w:rFonts w:asciiTheme="minorHAnsi" w:eastAsia="Cambria" w:hAnsiTheme="minorHAnsi" w:cstheme="minorHAnsi"/>
                <w:kern w:val="0"/>
                <w:vertAlign w:val="subscript"/>
              </w:rPr>
              <w:t>max</w:t>
            </w:r>
            <w:proofErr w:type="spellEnd"/>
            <w:r w:rsidRPr="00813EB0">
              <w:rPr>
                <w:rFonts w:asciiTheme="minorHAnsi" w:eastAsia="Cambria" w:hAnsiTheme="minorHAnsi" w:cstheme="minorHAnsi"/>
              </w:rPr>
              <w:t xml:space="preserve"> </w:t>
            </w:r>
            <w:r w:rsidRPr="00813EB0">
              <w:rPr>
                <w:rFonts w:asciiTheme="minorHAnsi" w:hAnsiTheme="minorHAnsi" w:cstheme="minorHAnsi"/>
              </w:rPr>
              <w:t xml:space="preserve">in urine </w:t>
            </w:r>
          </w:p>
          <w:p w14:paraId="18494207"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(µg/g creatinine)</w:t>
            </w:r>
          </w:p>
        </w:tc>
        <w:tc>
          <w:tcPr>
            <w:tcW w:w="1417" w:type="dxa"/>
            <w:vAlign w:val="center"/>
          </w:tcPr>
          <w:p w14:paraId="4D76B286"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Median (max)</w:t>
            </w:r>
          </w:p>
        </w:tc>
        <w:tc>
          <w:tcPr>
            <w:tcW w:w="2025" w:type="dxa"/>
            <w:shd w:val="clear" w:color="auto" w:fill="auto"/>
            <w:vAlign w:val="center"/>
          </w:tcPr>
          <w:p w14:paraId="5DABB06B"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9.6 (&lt; LOD–91.4)</w:t>
            </w:r>
          </w:p>
        </w:tc>
        <w:tc>
          <w:tcPr>
            <w:tcW w:w="2026" w:type="dxa"/>
            <w:vAlign w:val="center"/>
          </w:tcPr>
          <w:p w14:paraId="1E9BEEBC"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3.4 (&lt; LOD–25.2)</w:t>
            </w:r>
          </w:p>
        </w:tc>
        <w:tc>
          <w:tcPr>
            <w:tcW w:w="2026" w:type="dxa"/>
            <w:shd w:val="clear" w:color="auto" w:fill="auto"/>
            <w:vAlign w:val="center"/>
          </w:tcPr>
          <w:p w14:paraId="5F22716B"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2072 (5207)</w:t>
            </w:r>
          </w:p>
        </w:tc>
      </w:tr>
      <w:tr w:rsidR="00FA482B" w:rsidRPr="0074486E" w14:paraId="0AD19147" w14:textId="77777777" w:rsidTr="00813EB0">
        <w:trPr>
          <w:cantSplit/>
          <w:trHeight w:val="386"/>
          <w:jc w:val="center"/>
        </w:trPr>
        <w:tc>
          <w:tcPr>
            <w:tcW w:w="1975" w:type="dxa"/>
            <w:shd w:val="clear" w:color="auto" w:fill="auto"/>
            <w:tcMar>
              <w:top w:w="57" w:type="dxa"/>
              <w:bottom w:w="57" w:type="dxa"/>
            </w:tcMar>
            <w:vAlign w:val="center"/>
          </w:tcPr>
          <w:p w14:paraId="3155B4FE" w14:textId="77777777" w:rsidR="00FA482B" w:rsidRPr="00813EB0" w:rsidRDefault="00FA482B" w:rsidP="00E07077">
            <w:pPr>
              <w:pStyle w:val="Tabletextleft"/>
              <w:rPr>
                <w:rFonts w:asciiTheme="minorHAnsi" w:hAnsiTheme="minorHAnsi" w:cstheme="minorHAnsi"/>
              </w:rPr>
            </w:pPr>
            <w:proofErr w:type="spellStart"/>
            <w:r w:rsidRPr="00813EB0">
              <w:rPr>
                <w:rFonts w:asciiTheme="minorHAnsi" w:eastAsia="Cambria" w:hAnsiTheme="minorHAnsi" w:cstheme="minorHAnsi"/>
                <w:kern w:val="0"/>
              </w:rPr>
              <w:t>T</w:t>
            </w:r>
            <w:r w:rsidRPr="00813EB0">
              <w:rPr>
                <w:rFonts w:asciiTheme="minorHAnsi" w:eastAsia="Cambria" w:hAnsiTheme="minorHAnsi" w:cstheme="minorHAnsi"/>
                <w:kern w:val="0"/>
                <w:vertAlign w:val="subscript"/>
              </w:rPr>
              <w:t>max</w:t>
            </w:r>
            <w:proofErr w:type="spellEnd"/>
            <w:r w:rsidRPr="00813EB0">
              <w:rPr>
                <w:rFonts w:asciiTheme="minorHAnsi" w:hAnsiTheme="minorHAnsi" w:cstheme="minorHAnsi"/>
              </w:rPr>
              <w:t xml:space="preserve"> plasma (hours), day 1</w:t>
            </w:r>
          </w:p>
        </w:tc>
        <w:tc>
          <w:tcPr>
            <w:tcW w:w="1417" w:type="dxa"/>
            <w:vMerge w:val="restart"/>
            <w:textDirection w:val="btLr"/>
            <w:vAlign w:val="center"/>
          </w:tcPr>
          <w:p w14:paraId="400D334A"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Median (95% CI)</w:t>
            </w:r>
          </w:p>
        </w:tc>
        <w:tc>
          <w:tcPr>
            <w:tcW w:w="2025" w:type="dxa"/>
            <w:shd w:val="clear" w:color="auto" w:fill="auto"/>
            <w:vAlign w:val="center"/>
          </w:tcPr>
          <w:p w14:paraId="55756E81"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10 (6.9-13.4)</w:t>
            </w:r>
          </w:p>
        </w:tc>
        <w:tc>
          <w:tcPr>
            <w:tcW w:w="2026" w:type="dxa"/>
            <w:vAlign w:val="center"/>
          </w:tcPr>
          <w:p w14:paraId="151D35CA"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ND</w:t>
            </w:r>
          </w:p>
        </w:tc>
        <w:tc>
          <w:tcPr>
            <w:tcW w:w="2026" w:type="dxa"/>
            <w:shd w:val="clear" w:color="auto" w:fill="auto"/>
            <w:vAlign w:val="center"/>
          </w:tcPr>
          <w:p w14:paraId="1CA54194"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14.5 (13.2-15.9)</w:t>
            </w:r>
          </w:p>
        </w:tc>
      </w:tr>
      <w:tr w:rsidR="00FA482B" w:rsidRPr="0074486E" w14:paraId="0DAA4368" w14:textId="77777777" w:rsidTr="00813EB0">
        <w:trPr>
          <w:cantSplit/>
          <w:trHeight w:val="20"/>
          <w:jc w:val="center"/>
        </w:trPr>
        <w:tc>
          <w:tcPr>
            <w:tcW w:w="1975" w:type="dxa"/>
            <w:shd w:val="clear" w:color="auto" w:fill="auto"/>
            <w:tcMar>
              <w:top w:w="57" w:type="dxa"/>
              <w:bottom w:w="57" w:type="dxa"/>
            </w:tcMar>
            <w:vAlign w:val="center"/>
          </w:tcPr>
          <w:p w14:paraId="24BF0159" w14:textId="77777777" w:rsidR="00FA482B" w:rsidRPr="00813EB0" w:rsidRDefault="00FA482B" w:rsidP="00E07077">
            <w:pPr>
              <w:pStyle w:val="Tabletextleft"/>
              <w:rPr>
                <w:rFonts w:asciiTheme="minorHAnsi" w:hAnsiTheme="minorHAnsi" w:cstheme="minorHAnsi"/>
              </w:rPr>
            </w:pPr>
            <w:proofErr w:type="spellStart"/>
            <w:r w:rsidRPr="00813EB0">
              <w:rPr>
                <w:rFonts w:asciiTheme="minorHAnsi" w:eastAsia="Cambria" w:hAnsiTheme="minorHAnsi" w:cstheme="minorHAnsi"/>
                <w:kern w:val="0"/>
              </w:rPr>
              <w:t>T</w:t>
            </w:r>
            <w:r w:rsidRPr="00813EB0">
              <w:rPr>
                <w:rFonts w:asciiTheme="minorHAnsi" w:eastAsia="Cambria" w:hAnsiTheme="minorHAnsi" w:cstheme="minorHAnsi"/>
                <w:kern w:val="0"/>
                <w:vertAlign w:val="subscript"/>
              </w:rPr>
              <w:t>max</w:t>
            </w:r>
            <w:proofErr w:type="spellEnd"/>
            <w:r w:rsidRPr="00813EB0">
              <w:rPr>
                <w:rFonts w:asciiTheme="minorHAnsi" w:eastAsia="Cambria" w:hAnsiTheme="minorHAnsi" w:cstheme="minorHAnsi"/>
              </w:rPr>
              <w:t xml:space="preserve"> </w:t>
            </w:r>
            <w:r w:rsidRPr="00813EB0">
              <w:rPr>
                <w:rFonts w:asciiTheme="minorHAnsi" w:hAnsiTheme="minorHAnsi" w:cstheme="minorHAnsi"/>
              </w:rPr>
              <w:t>urine (hours), day 1</w:t>
            </w:r>
          </w:p>
        </w:tc>
        <w:tc>
          <w:tcPr>
            <w:tcW w:w="1417" w:type="dxa"/>
            <w:vMerge/>
            <w:vAlign w:val="center"/>
          </w:tcPr>
          <w:p w14:paraId="4EA381C8" w14:textId="77777777" w:rsidR="00FA482B" w:rsidRPr="00813EB0" w:rsidRDefault="00FA482B" w:rsidP="00E07077">
            <w:pPr>
              <w:pStyle w:val="Tabletextleft"/>
              <w:rPr>
                <w:rFonts w:asciiTheme="minorHAnsi" w:hAnsiTheme="minorHAnsi" w:cstheme="minorHAnsi"/>
              </w:rPr>
            </w:pPr>
          </w:p>
        </w:tc>
        <w:tc>
          <w:tcPr>
            <w:tcW w:w="2025" w:type="dxa"/>
            <w:shd w:val="clear" w:color="auto" w:fill="auto"/>
            <w:vAlign w:val="center"/>
          </w:tcPr>
          <w:p w14:paraId="71B6B650"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ND</w:t>
            </w:r>
          </w:p>
        </w:tc>
        <w:tc>
          <w:tcPr>
            <w:tcW w:w="2026" w:type="dxa"/>
            <w:vAlign w:val="center"/>
          </w:tcPr>
          <w:p w14:paraId="097D010B"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ND</w:t>
            </w:r>
          </w:p>
        </w:tc>
        <w:tc>
          <w:tcPr>
            <w:tcW w:w="2026" w:type="dxa"/>
            <w:shd w:val="clear" w:color="auto" w:fill="auto"/>
            <w:vAlign w:val="center"/>
          </w:tcPr>
          <w:p w14:paraId="1B9DBEB7"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15.9 (15.2-16.7)</w:t>
            </w:r>
          </w:p>
        </w:tc>
      </w:tr>
      <w:tr w:rsidR="00FA482B" w:rsidRPr="0074486E" w14:paraId="276BC9E0" w14:textId="77777777" w:rsidTr="00813EB0">
        <w:trPr>
          <w:cantSplit/>
          <w:trHeight w:val="161"/>
          <w:jc w:val="center"/>
        </w:trPr>
        <w:tc>
          <w:tcPr>
            <w:tcW w:w="1975" w:type="dxa"/>
            <w:shd w:val="clear" w:color="auto" w:fill="auto"/>
            <w:tcMar>
              <w:top w:w="57" w:type="dxa"/>
              <w:bottom w:w="57" w:type="dxa"/>
            </w:tcMar>
            <w:vAlign w:val="center"/>
          </w:tcPr>
          <w:p w14:paraId="57E8A6D9" w14:textId="77777777" w:rsidR="00FA482B" w:rsidRPr="00813EB0" w:rsidRDefault="00FA482B" w:rsidP="00E07077">
            <w:pPr>
              <w:pStyle w:val="Tabletextleft"/>
              <w:rPr>
                <w:rFonts w:asciiTheme="minorHAnsi" w:hAnsiTheme="minorHAnsi" w:cstheme="minorHAnsi"/>
              </w:rPr>
            </w:pPr>
            <w:r w:rsidRPr="00813EB0">
              <w:rPr>
                <w:rFonts w:asciiTheme="minorHAnsi" w:eastAsia="Cambria" w:hAnsiTheme="minorHAnsi" w:cstheme="minorHAnsi"/>
                <w:kern w:val="0"/>
              </w:rPr>
              <w:t>t</w:t>
            </w:r>
            <w:r w:rsidRPr="00813EB0">
              <w:rPr>
                <w:rFonts w:asciiTheme="minorHAnsi" w:eastAsia="Cambria" w:hAnsiTheme="minorHAnsi" w:cstheme="minorHAnsi"/>
                <w:kern w:val="0"/>
                <w:vertAlign w:val="subscript"/>
              </w:rPr>
              <w:t>½</w:t>
            </w:r>
            <w:r w:rsidRPr="00813EB0">
              <w:rPr>
                <w:rFonts w:asciiTheme="minorHAnsi" w:eastAsia="Cambria" w:hAnsiTheme="minorHAnsi" w:cstheme="minorHAnsi"/>
              </w:rPr>
              <w:t xml:space="preserve"> plasma</w:t>
            </w:r>
            <w:r w:rsidRPr="00813EB0">
              <w:rPr>
                <w:rFonts w:asciiTheme="minorHAnsi" w:hAnsiTheme="minorHAnsi" w:cstheme="minorHAnsi"/>
              </w:rPr>
              <w:t xml:space="preserve"> (hours)</w:t>
            </w:r>
          </w:p>
        </w:tc>
        <w:tc>
          <w:tcPr>
            <w:tcW w:w="1417" w:type="dxa"/>
            <w:vMerge/>
            <w:vAlign w:val="center"/>
          </w:tcPr>
          <w:p w14:paraId="1355CA45" w14:textId="77777777" w:rsidR="00FA482B" w:rsidRPr="00813EB0" w:rsidRDefault="00FA482B" w:rsidP="00E07077">
            <w:pPr>
              <w:pStyle w:val="Tabletextleft"/>
              <w:rPr>
                <w:rFonts w:asciiTheme="minorHAnsi" w:hAnsiTheme="minorHAnsi" w:cstheme="minorHAnsi"/>
              </w:rPr>
            </w:pPr>
          </w:p>
        </w:tc>
        <w:tc>
          <w:tcPr>
            <w:tcW w:w="2025" w:type="dxa"/>
            <w:shd w:val="clear" w:color="auto" w:fill="auto"/>
            <w:vAlign w:val="center"/>
          </w:tcPr>
          <w:p w14:paraId="5D3D8112"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43.9 (19.0-68.7)</w:t>
            </w:r>
          </w:p>
        </w:tc>
        <w:tc>
          <w:tcPr>
            <w:tcW w:w="2026" w:type="dxa"/>
            <w:vAlign w:val="center"/>
          </w:tcPr>
          <w:p w14:paraId="1B8D7EBC"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ND</w:t>
            </w:r>
          </w:p>
        </w:tc>
        <w:tc>
          <w:tcPr>
            <w:tcW w:w="2026" w:type="dxa"/>
            <w:shd w:val="clear" w:color="auto" w:fill="auto"/>
            <w:vAlign w:val="center"/>
          </w:tcPr>
          <w:p w14:paraId="1E43BB0E"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36.1 (31.0-41.2)</w:t>
            </w:r>
          </w:p>
        </w:tc>
      </w:tr>
      <w:tr w:rsidR="00FA482B" w:rsidRPr="0074486E" w14:paraId="1408B6D0" w14:textId="77777777" w:rsidTr="00813EB0">
        <w:trPr>
          <w:cantSplit/>
          <w:trHeight w:val="182"/>
          <w:jc w:val="center"/>
        </w:trPr>
        <w:tc>
          <w:tcPr>
            <w:tcW w:w="1975" w:type="dxa"/>
            <w:shd w:val="clear" w:color="auto" w:fill="auto"/>
            <w:tcMar>
              <w:top w:w="57" w:type="dxa"/>
              <w:bottom w:w="57" w:type="dxa"/>
            </w:tcMar>
            <w:vAlign w:val="center"/>
          </w:tcPr>
          <w:p w14:paraId="6D2C5C48" w14:textId="77777777" w:rsidR="00FA482B" w:rsidRPr="00813EB0" w:rsidRDefault="00FA482B" w:rsidP="00E07077">
            <w:pPr>
              <w:pStyle w:val="Tabletextleft"/>
              <w:rPr>
                <w:rFonts w:asciiTheme="minorHAnsi" w:hAnsiTheme="minorHAnsi" w:cstheme="minorHAnsi"/>
              </w:rPr>
            </w:pPr>
            <w:r w:rsidRPr="00813EB0">
              <w:rPr>
                <w:rFonts w:asciiTheme="minorHAnsi" w:eastAsia="Cambria" w:hAnsiTheme="minorHAnsi" w:cstheme="minorHAnsi"/>
                <w:kern w:val="0"/>
              </w:rPr>
              <w:lastRenderedPageBreak/>
              <w:t>t</w:t>
            </w:r>
            <w:r w:rsidRPr="00813EB0">
              <w:rPr>
                <w:rFonts w:asciiTheme="minorHAnsi" w:eastAsia="Cambria" w:hAnsiTheme="minorHAnsi" w:cstheme="minorHAnsi"/>
                <w:kern w:val="0"/>
                <w:vertAlign w:val="subscript"/>
              </w:rPr>
              <w:t>½</w:t>
            </w:r>
            <w:r w:rsidRPr="00813EB0">
              <w:rPr>
                <w:rFonts w:asciiTheme="minorHAnsi" w:eastAsia="Cambria" w:hAnsiTheme="minorHAnsi" w:cstheme="minorHAnsi"/>
              </w:rPr>
              <w:t xml:space="preserve"> </w:t>
            </w:r>
            <w:r w:rsidRPr="00813EB0">
              <w:rPr>
                <w:rFonts w:asciiTheme="minorHAnsi" w:hAnsiTheme="minorHAnsi" w:cstheme="minorHAnsi"/>
              </w:rPr>
              <w:t>urine (hours)</w:t>
            </w:r>
          </w:p>
        </w:tc>
        <w:tc>
          <w:tcPr>
            <w:tcW w:w="1417" w:type="dxa"/>
            <w:vMerge/>
            <w:vAlign w:val="center"/>
          </w:tcPr>
          <w:p w14:paraId="59DD220D" w14:textId="77777777" w:rsidR="00FA482B" w:rsidRPr="00813EB0" w:rsidRDefault="00FA482B" w:rsidP="00E07077">
            <w:pPr>
              <w:pStyle w:val="Tabletextleft"/>
              <w:rPr>
                <w:rFonts w:asciiTheme="minorHAnsi" w:hAnsiTheme="minorHAnsi" w:cstheme="minorHAnsi"/>
              </w:rPr>
            </w:pPr>
          </w:p>
        </w:tc>
        <w:tc>
          <w:tcPr>
            <w:tcW w:w="2025" w:type="dxa"/>
            <w:shd w:val="clear" w:color="auto" w:fill="auto"/>
            <w:vAlign w:val="center"/>
          </w:tcPr>
          <w:p w14:paraId="13703C25"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ND</w:t>
            </w:r>
          </w:p>
        </w:tc>
        <w:tc>
          <w:tcPr>
            <w:tcW w:w="2026" w:type="dxa"/>
            <w:vAlign w:val="center"/>
          </w:tcPr>
          <w:p w14:paraId="53C00EBD"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ND</w:t>
            </w:r>
          </w:p>
        </w:tc>
        <w:tc>
          <w:tcPr>
            <w:tcW w:w="2026" w:type="dxa"/>
            <w:shd w:val="clear" w:color="auto" w:fill="auto"/>
            <w:vAlign w:val="center"/>
          </w:tcPr>
          <w:p w14:paraId="0A024473" w14:textId="77777777" w:rsidR="00FA482B" w:rsidRPr="00813EB0" w:rsidRDefault="00FA482B" w:rsidP="00E07077">
            <w:pPr>
              <w:pStyle w:val="Tabletextleft"/>
              <w:rPr>
                <w:rFonts w:asciiTheme="minorHAnsi" w:hAnsiTheme="minorHAnsi" w:cstheme="minorHAnsi"/>
              </w:rPr>
            </w:pPr>
            <w:r w:rsidRPr="00813EB0">
              <w:rPr>
                <w:rFonts w:asciiTheme="minorHAnsi" w:hAnsiTheme="minorHAnsi" w:cstheme="minorHAnsi"/>
              </w:rPr>
              <w:t>37.7 (35.1-40.4)</w:t>
            </w:r>
          </w:p>
        </w:tc>
      </w:tr>
    </w:tbl>
    <w:p w14:paraId="2D5A0488" w14:textId="77777777" w:rsidR="00FA482B" w:rsidRDefault="00FA482B" w:rsidP="00813EB0">
      <w:pPr>
        <w:pStyle w:val="Tabledescription"/>
      </w:pPr>
      <w:r w:rsidRPr="00DF0293">
        <w:t>*81% of samples &lt;</w:t>
      </w:r>
      <w:r>
        <w:t xml:space="preserve"> </w:t>
      </w:r>
      <w:r w:rsidRPr="00DF0293">
        <w:t xml:space="preserve">LOD’ c: concentration; </w:t>
      </w:r>
      <w:proofErr w:type="spellStart"/>
      <w:r>
        <w:t>C</w:t>
      </w:r>
      <w:r w:rsidRPr="00DF0293">
        <w:rPr>
          <w:vertAlign w:val="subscript"/>
        </w:rPr>
        <w:t>max</w:t>
      </w:r>
      <w:proofErr w:type="spellEnd"/>
      <w:r w:rsidRPr="00DF0293">
        <w:t xml:space="preserve">: max plasma concentration; ND: not determinable; </w:t>
      </w:r>
      <w:proofErr w:type="spellStart"/>
      <w:r>
        <w:t>T</w:t>
      </w:r>
      <w:r w:rsidRPr="00DF0293">
        <w:rPr>
          <w:vertAlign w:val="subscript"/>
        </w:rPr>
        <w:t>max</w:t>
      </w:r>
      <w:proofErr w:type="spellEnd"/>
      <w:r w:rsidRPr="00DF0293">
        <w:t>: time to maximum concentration; t</w:t>
      </w:r>
      <w:r w:rsidRPr="00DF0293">
        <w:rPr>
          <w:vertAlign w:val="subscript"/>
        </w:rPr>
        <w:t>½</w:t>
      </w:r>
      <w:r w:rsidRPr="00DF0293">
        <w:t>: half-life; CDAA:</w:t>
      </w:r>
      <w:r w:rsidRPr="00DF0293">
        <w:rPr>
          <w:rFonts w:eastAsiaTheme="minorHAnsi"/>
        </w:rPr>
        <w:t xml:space="preserve"> </w:t>
      </w:r>
      <w:r w:rsidRPr="00DF0293">
        <w:t>2-cyano-3,3-diphenylacrylic acid</w:t>
      </w:r>
    </w:p>
    <w:p w14:paraId="716CAD5F" w14:textId="77777777" w:rsidR="00FA482B" w:rsidRDefault="00FA482B" w:rsidP="00FA482B">
      <w:pPr>
        <w:pStyle w:val="Heading3"/>
      </w:pPr>
      <w:bookmarkStart w:id="59" w:name="_Toc190944911"/>
      <w:bookmarkStart w:id="60" w:name="_Toc199254948"/>
      <w:r>
        <w:t>Toxicity</w:t>
      </w:r>
      <w:bookmarkEnd w:id="59"/>
      <w:bookmarkEnd w:id="60"/>
    </w:p>
    <w:p w14:paraId="7143F8CA" w14:textId="77777777" w:rsidR="00FA482B" w:rsidRPr="0074486E" w:rsidRDefault="00FA482B" w:rsidP="00813EB0">
      <w:r w:rsidRPr="0074486E">
        <w:t xml:space="preserve">The information on the safety of </w:t>
      </w:r>
      <w:r>
        <w:t>b</w:t>
      </w:r>
      <w:r w:rsidRPr="00FB4BE3">
        <w:t xml:space="preserve">utyl </w:t>
      </w:r>
      <w:proofErr w:type="spellStart"/>
      <w:r w:rsidRPr="00FB4BE3">
        <w:t>methoxydibenzoylmethane</w:t>
      </w:r>
      <w:proofErr w:type="spellEnd"/>
      <w:r w:rsidRPr="0074486E">
        <w:t xml:space="preserve">, </w:t>
      </w:r>
      <w:proofErr w:type="spellStart"/>
      <w:r w:rsidRPr="0074486E">
        <w:t>ethylhexyl</w:t>
      </w:r>
      <w:proofErr w:type="spellEnd"/>
      <w:r w:rsidRPr="0074486E">
        <w:t xml:space="preserve"> </w:t>
      </w:r>
      <w:proofErr w:type="spellStart"/>
      <w:r w:rsidRPr="0074486E">
        <w:t>triazone</w:t>
      </w:r>
      <w:proofErr w:type="spellEnd"/>
      <w:r w:rsidRPr="0074486E">
        <w:t xml:space="preserve">, </w:t>
      </w:r>
      <w:proofErr w:type="spellStart"/>
      <w:r w:rsidRPr="0074486E">
        <w:t>homosalate</w:t>
      </w:r>
      <w:proofErr w:type="spellEnd"/>
      <w:r w:rsidRPr="0074486E">
        <w:t xml:space="preserve">, </w:t>
      </w:r>
      <w:r w:rsidRPr="00FB4BE3">
        <w:t>octyl methoxycinnamate</w:t>
      </w:r>
      <w:r w:rsidRPr="0074486E">
        <w:t xml:space="preserve">, octocrylene, oxybenzone and </w:t>
      </w:r>
      <w:proofErr w:type="spellStart"/>
      <w:r w:rsidRPr="0074486E">
        <w:t>phenylbenzimidazole</w:t>
      </w:r>
      <w:proofErr w:type="spellEnd"/>
      <w:r w:rsidRPr="0074486E">
        <w:t xml:space="preserve"> sulfonic acid using various toxicological endpoints, has been summarised in the following sections. It is important to note that the original toxicological study reports were not available for independent verification and therefore</w:t>
      </w:r>
      <w:r>
        <w:t xml:space="preserve"> this report is</w:t>
      </w:r>
      <w:r w:rsidRPr="0074486E">
        <w:t xml:space="preserve"> reliant on the accuracy of various published safety assessment reviews (</w:t>
      </w:r>
      <w:r>
        <w:t>reviews by SCCS/SCC/SCCP, NICNAS, ECHA etc. see bibliography).</w:t>
      </w:r>
    </w:p>
    <w:p w14:paraId="57AC5125" w14:textId="77777777" w:rsidR="00FA482B" w:rsidRDefault="00FA482B" w:rsidP="00FA482B">
      <w:pPr>
        <w:pStyle w:val="Heading4"/>
      </w:pPr>
      <w:bookmarkStart w:id="61" w:name="_Toc190944912"/>
      <w:bookmarkStart w:id="62" w:name="_Toc199254949"/>
      <w:r>
        <w:t>Acute toxicity</w:t>
      </w:r>
      <w:bookmarkEnd w:id="61"/>
      <w:bookmarkEnd w:id="62"/>
    </w:p>
    <w:p w14:paraId="08B1EAB6" w14:textId="77777777" w:rsidR="00FA482B" w:rsidRDefault="00FA482B" w:rsidP="00813EB0">
      <w:r>
        <w:t>B</w:t>
      </w:r>
      <w:r w:rsidRPr="00FB4BE3">
        <w:t xml:space="preserve">utyl </w:t>
      </w:r>
      <w:proofErr w:type="spellStart"/>
      <w:r w:rsidRPr="00FB4BE3">
        <w:t>methoxydibenzoylmethane</w:t>
      </w:r>
      <w:proofErr w:type="spellEnd"/>
      <w:r>
        <w:t xml:space="preserve">, </w:t>
      </w:r>
      <w:proofErr w:type="spellStart"/>
      <w:r>
        <w:t>ethylhexyl</w:t>
      </w:r>
      <w:proofErr w:type="spellEnd"/>
      <w:r>
        <w:t xml:space="preserve"> </w:t>
      </w:r>
      <w:proofErr w:type="spellStart"/>
      <w:r>
        <w:t>triazone</w:t>
      </w:r>
      <w:proofErr w:type="spellEnd"/>
      <w:r>
        <w:t xml:space="preserve">, </w:t>
      </w:r>
      <w:proofErr w:type="spellStart"/>
      <w:r>
        <w:t>homosalate</w:t>
      </w:r>
      <w:proofErr w:type="spellEnd"/>
      <w:r>
        <w:t xml:space="preserve">, oxybenzone, octocrylene, </w:t>
      </w:r>
      <w:proofErr w:type="spellStart"/>
      <w:r w:rsidRPr="0074486E">
        <w:t>phenylbenzimidazole</w:t>
      </w:r>
      <w:proofErr w:type="spellEnd"/>
      <w:r w:rsidRPr="0074486E">
        <w:t xml:space="preserve"> sulfonic acid </w:t>
      </w:r>
      <w:r>
        <w:t xml:space="preserve">and </w:t>
      </w:r>
      <w:r w:rsidRPr="00FB4BE3">
        <w:t>octyl methoxycinnamate</w:t>
      </w:r>
      <w:r w:rsidDel="00066564">
        <w:t xml:space="preserve"> </w:t>
      </w:r>
      <w:r>
        <w:t xml:space="preserve">displayed low acute oral toxicity. Low acute dermal toxicity was observed for </w:t>
      </w:r>
      <w:proofErr w:type="spellStart"/>
      <w:r>
        <w:t>homosalate</w:t>
      </w:r>
      <w:proofErr w:type="spellEnd"/>
      <w:r>
        <w:t xml:space="preserve">, oxybenzone, octocrylene, </w:t>
      </w:r>
      <w:proofErr w:type="spellStart"/>
      <w:r w:rsidRPr="0074486E">
        <w:t>phenylbenzimidazole</w:t>
      </w:r>
      <w:proofErr w:type="spellEnd"/>
      <w:r w:rsidRPr="0074486E">
        <w:t xml:space="preserve"> sulfonic acid </w:t>
      </w:r>
      <w:r>
        <w:t xml:space="preserve">and </w:t>
      </w:r>
      <w:r w:rsidRPr="00FB4BE3">
        <w:t>octyl methoxycinnamate</w:t>
      </w:r>
      <w:r>
        <w:t xml:space="preserve">. Information for acute inhalational toxicity is only available for </w:t>
      </w:r>
      <w:r w:rsidRPr="00FB4BE3">
        <w:t>octyl methoxycinnamate</w:t>
      </w:r>
      <w:r w:rsidDel="00066564">
        <w:t xml:space="preserve"> </w:t>
      </w:r>
      <w:r>
        <w:t>(shown below).</w:t>
      </w:r>
    </w:p>
    <w:p w14:paraId="6FD4D852" w14:textId="77777777" w:rsidR="005739CB" w:rsidRPr="00B021ED" w:rsidRDefault="005739CB" w:rsidP="00813EB0">
      <w:pPr>
        <w:pStyle w:val="Tabletitle"/>
      </w:pPr>
      <w:r w:rsidRPr="00922EBF">
        <w:t>Summary of acute toxicity studies for sunscreen ingredients</w:t>
      </w:r>
    </w:p>
    <w:tbl>
      <w:tblPr>
        <w:tblW w:w="9613" w:type="dxa"/>
        <w:jc w:val="cente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Layout w:type="fixed"/>
        <w:tblCellMar>
          <w:top w:w="28" w:type="dxa"/>
          <w:left w:w="57" w:type="dxa"/>
          <w:bottom w:w="28" w:type="dxa"/>
          <w:right w:w="57" w:type="dxa"/>
        </w:tblCellMar>
        <w:tblLook w:val="01E0" w:firstRow="1" w:lastRow="1" w:firstColumn="1" w:lastColumn="1" w:noHBand="0" w:noVBand="0"/>
      </w:tblPr>
      <w:tblGrid>
        <w:gridCol w:w="1408"/>
        <w:gridCol w:w="1072"/>
        <w:gridCol w:w="1428"/>
        <w:gridCol w:w="1428"/>
        <w:gridCol w:w="1428"/>
        <w:gridCol w:w="1428"/>
        <w:gridCol w:w="1421"/>
      </w:tblGrid>
      <w:tr w:rsidR="005739CB" w:rsidRPr="0094232A" w14:paraId="259EA1F1" w14:textId="77777777" w:rsidTr="00813EB0">
        <w:trPr>
          <w:cantSplit/>
          <w:trHeight w:val="111"/>
          <w:tblHeader/>
          <w:jc w:val="center"/>
        </w:trPr>
        <w:tc>
          <w:tcPr>
            <w:tcW w:w="1408" w:type="dxa"/>
            <w:shd w:val="clear" w:color="auto" w:fill="B8CCEA"/>
            <w:vAlign w:val="center"/>
          </w:tcPr>
          <w:p w14:paraId="537BB7F3" w14:textId="77777777" w:rsidR="005739CB" w:rsidRPr="00813EB0" w:rsidRDefault="005739CB" w:rsidP="00E07077">
            <w:pPr>
              <w:pStyle w:val="TableHeader"/>
              <w:rPr>
                <w:rFonts w:ascii="Arial" w:hAnsi="Arial" w:cs="Arial"/>
                <w:color w:val="263287"/>
              </w:rPr>
            </w:pPr>
            <w:r w:rsidRPr="00813EB0">
              <w:rPr>
                <w:rFonts w:ascii="Arial" w:hAnsi="Arial" w:cs="Arial"/>
                <w:color w:val="263287"/>
              </w:rPr>
              <w:t xml:space="preserve">Butyl </w:t>
            </w:r>
            <w:proofErr w:type="spellStart"/>
            <w:r w:rsidRPr="00813EB0">
              <w:rPr>
                <w:rFonts w:ascii="Arial" w:hAnsi="Arial" w:cs="Arial"/>
                <w:color w:val="263287"/>
              </w:rPr>
              <w:t>methoxydibenzoylmethane</w:t>
            </w:r>
            <w:proofErr w:type="spellEnd"/>
            <w:r w:rsidRPr="00813EB0" w:rsidDel="009A56B3">
              <w:rPr>
                <w:rFonts w:ascii="Arial" w:hAnsi="Arial" w:cs="Arial"/>
                <w:color w:val="263287"/>
              </w:rPr>
              <w:t xml:space="preserve"> </w:t>
            </w:r>
            <w:r w:rsidRPr="00813EB0">
              <w:rPr>
                <w:rFonts w:ascii="Arial" w:hAnsi="Arial" w:cs="Arial"/>
                <w:color w:val="263287"/>
              </w:rPr>
              <w:t>(ECHA (2021a;</w:t>
            </w:r>
            <w:r w:rsidRPr="00813EB0">
              <w:rPr>
                <w:rFonts w:ascii="Arial" w:hAnsi="Arial" w:cs="Arial"/>
                <w:b w:val="0"/>
                <w:snapToGrid/>
                <w:color w:val="263287"/>
                <w:kern w:val="0"/>
                <w:sz w:val="22"/>
                <w:szCs w:val="22"/>
              </w:rPr>
              <w:t xml:space="preserve"> </w:t>
            </w:r>
            <w:r w:rsidRPr="00813EB0">
              <w:rPr>
                <w:rFonts w:ascii="Arial" w:hAnsi="Arial" w:cs="Arial"/>
                <w:color w:val="263287"/>
              </w:rPr>
              <w:t xml:space="preserve">DEPA 2015)  </w:t>
            </w:r>
          </w:p>
        </w:tc>
        <w:tc>
          <w:tcPr>
            <w:tcW w:w="1072" w:type="dxa"/>
            <w:shd w:val="clear" w:color="auto" w:fill="B8CCEA"/>
            <w:tcMar>
              <w:left w:w="57" w:type="dxa"/>
              <w:right w:w="57" w:type="dxa"/>
            </w:tcMar>
            <w:vAlign w:val="center"/>
          </w:tcPr>
          <w:p w14:paraId="4C4CD059" w14:textId="77777777" w:rsidR="005739CB" w:rsidRPr="00813EB0" w:rsidRDefault="005739CB" w:rsidP="00E07077">
            <w:pPr>
              <w:pStyle w:val="TableHeader"/>
              <w:rPr>
                <w:rFonts w:ascii="Arial" w:hAnsi="Arial" w:cs="Arial"/>
                <w:color w:val="263287"/>
              </w:rPr>
            </w:pPr>
            <w:proofErr w:type="spellStart"/>
            <w:r w:rsidRPr="00813EB0">
              <w:rPr>
                <w:rFonts w:ascii="Arial" w:hAnsi="Arial" w:cs="Arial"/>
                <w:color w:val="263287"/>
              </w:rPr>
              <w:t>Ethylhexyl</w:t>
            </w:r>
            <w:proofErr w:type="spellEnd"/>
            <w:r w:rsidRPr="00813EB0">
              <w:rPr>
                <w:rFonts w:ascii="Arial" w:hAnsi="Arial" w:cs="Arial"/>
                <w:color w:val="263287"/>
              </w:rPr>
              <w:t xml:space="preserve"> </w:t>
            </w:r>
            <w:proofErr w:type="spellStart"/>
            <w:r w:rsidRPr="00813EB0">
              <w:rPr>
                <w:rFonts w:ascii="Arial" w:hAnsi="Arial" w:cs="Arial"/>
                <w:color w:val="263287"/>
              </w:rPr>
              <w:t>triazone</w:t>
            </w:r>
            <w:proofErr w:type="spellEnd"/>
          </w:p>
          <w:p w14:paraId="39E1D5D3" w14:textId="77777777" w:rsidR="005739CB" w:rsidRPr="00813EB0" w:rsidRDefault="005739CB" w:rsidP="00E07077">
            <w:pPr>
              <w:pStyle w:val="TableHeader"/>
              <w:rPr>
                <w:rFonts w:ascii="Arial" w:hAnsi="Arial" w:cs="Arial"/>
                <w:color w:val="263287"/>
              </w:rPr>
            </w:pPr>
            <w:r w:rsidRPr="00813EB0">
              <w:rPr>
                <w:rFonts w:ascii="Arial" w:hAnsi="Arial" w:cs="Arial"/>
                <w:color w:val="263287"/>
              </w:rPr>
              <w:t>(ECHA 2021b; DEPA 2015)</w:t>
            </w:r>
          </w:p>
        </w:tc>
        <w:tc>
          <w:tcPr>
            <w:tcW w:w="1428" w:type="dxa"/>
            <w:shd w:val="clear" w:color="auto" w:fill="B8CCEA"/>
            <w:vAlign w:val="center"/>
          </w:tcPr>
          <w:p w14:paraId="27D4E448" w14:textId="77777777" w:rsidR="005739CB" w:rsidRPr="00813EB0" w:rsidRDefault="005739CB" w:rsidP="00E07077">
            <w:pPr>
              <w:pStyle w:val="TableHeader"/>
              <w:rPr>
                <w:rFonts w:ascii="Arial" w:hAnsi="Arial" w:cs="Arial"/>
                <w:color w:val="263287"/>
              </w:rPr>
            </w:pPr>
            <w:proofErr w:type="spellStart"/>
            <w:r w:rsidRPr="00813EB0">
              <w:rPr>
                <w:rFonts w:ascii="Arial" w:hAnsi="Arial" w:cs="Arial"/>
                <w:color w:val="263287"/>
              </w:rPr>
              <w:t>Homosalate</w:t>
            </w:r>
            <w:proofErr w:type="spellEnd"/>
          </w:p>
          <w:p w14:paraId="2D4675D3" w14:textId="77777777" w:rsidR="005739CB" w:rsidRPr="00813EB0" w:rsidRDefault="005739CB" w:rsidP="00E07077">
            <w:pPr>
              <w:pStyle w:val="TableHeader"/>
              <w:rPr>
                <w:rFonts w:ascii="Arial" w:hAnsi="Arial" w:cs="Arial"/>
                <w:color w:val="263287"/>
              </w:rPr>
            </w:pPr>
            <w:r w:rsidRPr="00813EB0">
              <w:rPr>
                <w:rFonts w:ascii="Arial" w:hAnsi="Arial" w:cs="Arial"/>
                <w:color w:val="263287"/>
              </w:rPr>
              <w:t>(SCCS 2021</w:t>
            </w:r>
            <w:proofErr w:type="gramStart"/>
            <w:r w:rsidRPr="00813EB0">
              <w:rPr>
                <w:rFonts w:ascii="Arial" w:hAnsi="Arial" w:cs="Arial"/>
                <w:color w:val="263287"/>
              </w:rPr>
              <w:t>b,c</w:t>
            </w:r>
            <w:proofErr w:type="gramEnd"/>
            <w:r w:rsidRPr="00813EB0">
              <w:rPr>
                <w:rFonts w:ascii="Arial" w:hAnsi="Arial" w:cs="Arial"/>
                <w:color w:val="263287"/>
              </w:rPr>
              <w:t>; ECHA  2021c)</w:t>
            </w:r>
          </w:p>
        </w:tc>
        <w:tc>
          <w:tcPr>
            <w:tcW w:w="1428" w:type="dxa"/>
            <w:shd w:val="clear" w:color="auto" w:fill="B8CCEA"/>
            <w:vAlign w:val="center"/>
          </w:tcPr>
          <w:p w14:paraId="0322E710" w14:textId="77777777" w:rsidR="005739CB" w:rsidRPr="00813EB0" w:rsidRDefault="005739CB" w:rsidP="00E07077">
            <w:pPr>
              <w:pStyle w:val="TableHeader"/>
              <w:rPr>
                <w:rFonts w:ascii="Arial" w:hAnsi="Arial" w:cs="Arial"/>
                <w:color w:val="263287"/>
              </w:rPr>
            </w:pPr>
            <w:r w:rsidRPr="00813EB0">
              <w:rPr>
                <w:rFonts w:ascii="Arial" w:hAnsi="Arial" w:cs="Arial"/>
                <w:color w:val="263287"/>
              </w:rPr>
              <w:t>Octyl methoxycinnamate</w:t>
            </w:r>
            <w:r w:rsidRPr="00813EB0" w:rsidDel="00066564">
              <w:rPr>
                <w:rFonts w:ascii="Arial" w:hAnsi="Arial" w:cs="Arial"/>
                <w:color w:val="263287"/>
              </w:rPr>
              <w:t xml:space="preserve"> </w:t>
            </w:r>
          </w:p>
          <w:p w14:paraId="6D070842" w14:textId="77777777" w:rsidR="005739CB" w:rsidRPr="00813EB0" w:rsidRDefault="005739CB" w:rsidP="00E07077">
            <w:pPr>
              <w:pStyle w:val="TableHeader"/>
              <w:rPr>
                <w:rFonts w:ascii="Arial" w:hAnsi="Arial" w:cs="Arial"/>
                <w:color w:val="263287"/>
              </w:rPr>
            </w:pPr>
            <w:r w:rsidRPr="00813EB0">
              <w:rPr>
                <w:rFonts w:ascii="Arial" w:hAnsi="Arial" w:cs="Arial"/>
                <w:color w:val="263287"/>
              </w:rPr>
              <w:t>(ECHA 2021e)</w:t>
            </w:r>
          </w:p>
        </w:tc>
        <w:tc>
          <w:tcPr>
            <w:tcW w:w="1428" w:type="dxa"/>
            <w:shd w:val="clear" w:color="auto" w:fill="B8CCEA"/>
            <w:vAlign w:val="center"/>
          </w:tcPr>
          <w:p w14:paraId="41D4B5B4" w14:textId="77777777" w:rsidR="005739CB" w:rsidRPr="00813EB0" w:rsidRDefault="005739CB" w:rsidP="00E07077">
            <w:pPr>
              <w:pStyle w:val="TableHeader"/>
              <w:rPr>
                <w:rFonts w:ascii="Arial" w:hAnsi="Arial" w:cs="Arial"/>
                <w:color w:val="263287"/>
              </w:rPr>
            </w:pPr>
            <w:r w:rsidRPr="00813EB0">
              <w:rPr>
                <w:rFonts w:ascii="Arial" w:hAnsi="Arial" w:cs="Arial"/>
                <w:color w:val="263287"/>
              </w:rPr>
              <w:t>Octocrylene</w:t>
            </w:r>
          </w:p>
          <w:p w14:paraId="184B9030" w14:textId="77777777" w:rsidR="005739CB" w:rsidRPr="00813EB0" w:rsidRDefault="005739CB" w:rsidP="00E07077">
            <w:pPr>
              <w:pStyle w:val="TableHeader"/>
              <w:rPr>
                <w:rFonts w:ascii="Arial" w:hAnsi="Arial" w:cs="Arial"/>
                <w:color w:val="263287"/>
              </w:rPr>
            </w:pPr>
            <w:r w:rsidRPr="00813EB0">
              <w:rPr>
                <w:rFonts w:ascii="Arial" w:hAnsi="Arial" w:cs="Arial"/>
                <w:color w:val="263287"/>
              </w:rPr>
              <w:t>(SCCS 2021d; ECHA 2021d)</w:t>
            </w:r>
          </w:p>
        </w:tc>
        <w:tc>
          <w:tcPr>
            <w:tcW w:w="1428" w:type="dxa"/>
            <w:shd w:val="clear" w:color="auto" w:fill="B8CCEA"/>
            <w:vAlign w:val="center"/>
          </w:tcPr>
          <w:p w14:paraId="25E73417" w14:textId="77777777" w:rsidR="005739CB" w:rsidRPr="00813EB0" w:rsidRDefault="005739CB" w:rsidP="00E07077">
            <w:pPr>
              <w:pStyle w:val="TableHeader"/>
              <w:rPr>
                <w:rFonts w:ascii="Arial" w:hAnsi="Arial" w:cs="Arial"/>
                <w:color w:val="263287"/>
              </w:rPr>
            </w:pPr>
            <w:r w:rsidRPr="00813EB0">
              <w:rPr>
                <w:rFonts w:ascii="Arial" w:hAnsi="Arial" w:cs="Arial"/>
                <w:color w:val="263287"/>
              </w:rPr>
              <w:t>Oxybenzone</w:t>
            </w:r>
          </w:p>
          <w:p w14:paraId="31C6281A" w14:textId="77777777" w:rsidR="005739CB" w:rsidRPr="00813EB0" w:rsidRDefault="005739CB" w:rsidP="00E07077">
            <w:pPr>
              <w:pStyle w:val="TableHeader"/>
              <w:rPr>
                <w:rFonts w:ascii="Arial" w:hAnsi="Arial" w:cs="Arial"/>
                <w:color w:val="263287"/>
              </w:rPr>
            </w:pPr>
            <w:r w:rsidRPr="00813EB0">
              <w:rPr>
                <w:rFonts w:ascii="Arial" w:hAnsi="Arial" w:cs="Arial"/>
                <w:color w:val="263287"/>
              </w:rPr>
              <w:t>(SCCP 2006a; 2021c)</w:t>
            </w:r>
          </w:p>
        </w:tc>
        <w:tc>
          <w:tcPr>
            <w:tcW w:w="1421" w:type="dxa"/>
            <w:shd w:val="clear" w:color="auto" w:fill="B8CCEA"/>
            <w:vAlign w:val="center"/>
          </w:tcPr>
          <w:p w14:paraId="19FD4DCE" w14:textId="77777777" w:rsidR="005739CB" w:rsidRPr="00813EB0" w:rsidRDefault="005739CB" w:rsidP="00E07077">
            <w:pPr>
              <w:pStyle w:val="TableHeader"/>
              <w:rPr>
                <w:rFonts w:ascii="Arial" w:hAnsi="Arial" w:cs="Arial"/>
                <w:color w:val="263287"/>
              </w:rPr>
            </w:pPr>
            <w:proofErr w:type="spellStart"/>
            <w:r w:rsidRPr="00813EB0">
              <w:rPr>
                <w:rFonts w:ascii="Arial" w:hAnsi="Arial" w:cs="Arial"/>
                <w:color w:val="263287"/>
              </w:rPr>
              <w:t>Phenylbenzimidazole</w:t>
            </w:r>
            <w:proofErr w:type="spellEnd"/>
            <w:r w:rsidRPr="00813EB0">
              <w:rPr>
                <w:rFonts w:ascii="Arial" w:hAnsi="Arial" w:cs="Arial"/>
                <w:color w:val="263287"/>
              </w:rPr>
              <w:t xml:space="preserve"> sulfonic acid (SCCP 2006b)</w:t>
            </w:r>
          </w:p>
        </w:tc>
      </w:tr>
      <w:tr w:rsidR="005739CB" w:rsidRPr="0094232A" w14:paraId="1F42617E" w14:textId="77777777" w:rsidTr="00813EB0">
        <w:trPr>
          <w:cantSplit/>
          <w:trHeight w:val="255"/>
          <w:jc w:val="center"/>
        </w:trPr>
        <w:tc>
          <w:tcPr>
            <w:tcW w:w="1408" w:type="dxa"/>
          </w:tcPr>
          <w:p w14:paraId="51B766AD" w14:textId="77777777" w:rsidR="005739CB" w:rsidRPr="00813EB0" w:rsidRDefault="005739CB" w:rsidP="00E07077">
            <w:pPr>
              <w:pStyle w:val="Tabletextleft"/>
              <w:spacing w:before="120" w:after="120"/>
              <w:rPr>
                <w:rFonts w:asciiTheme="minorHAnsi" w:hAnsiTheme="minorHAnsi" w:cstheme="minorHAnsi"/>
              </w:rPr>
            </w:pPr>
            <w:r w:rsidRPr="00813EB0">
              <w:rPr>
                <w:rFonts w:asciiTheme="minorHAnsi" w:hAnsiTheme="minorHAnsi" w:cstheme="minorHAnsi"/>
              </w:rPr>
              <w:t xml:space="preserve">Oral &gt;16000 mg/kg </w:t>
            </w:r>
            <w:proofErr w:type="spellStart"/>
            <w:r w:rsidRPr="00813EB0">
              <w:rPr>
                <w:rFonts w:asciiTheme="minorHAnsi" w:hAnsiTheme="minorHAnsi" w:cstheme="minorHAnsi"/>
              </w:rPr>
              <w:t>bw</w:t>
            </w:r>
            <w:proofErr w:type="spellEnd"/>
            <w:r w:rsidRPr="00813EB0">
              <w:rPr>
                <w:rFonts w:asciiTheme="minorHAnsi" w:hAnsiTheme="minorHAnsi" w:cstheme="minorHAnsi"/>
              </w:rPr>
              <w:t xml:space="preserve"> (rats)</w:t>
            </w:r>
          </w:p>
          <w:p w14:paraId="66131165" w14:textId="6DBC93DF" w:rsidR="005739CB" w:rsidRPr="00813EB0" w:rsidRDefault="005739CB" w:rsidP="00BA4549">
            <w:pPr>
              <w:pStyle w:val="Tabletextleft"/>
              <w:spacing w:before="120" w:after="120"/>
              <w:rPr>
                <w:rFonts w:asciiTheme="minorHAnsi" w:hAnsiTheme="minorHAnsi" w:cstheme="minorHAnsi"/>
              </w:rPr>
            </w:pPr>
            <w:r w:rsidRPr="00813EB0">
              <w:rPr>
                <w:rFonts w:asciiTheme="minorHAnsi" w:hAnsiTheme="minorHAnsi" w:cstheme="minorHAnsi"/>
              </w:rPr>
              <w:t>Dermal, inconclusive*</w:t>
            </w:r>
          </w:p>
        </w:tc>
        <w:tc>
          <w:tcPr>
            <w:tcW w:w="1072" w:type="dxa"/>
            <w:shd w:val="clear" w:color="auto" w:fill="auto"/>
          </w:tcPr>
          <w:p w14:paraId="048F4C73" w14:textId="77777777" w:rsidR="005739CB" w:rsidRPr="00813EB0" w:rsidRDefault="005739CB" w:rsidP="00E07077">
            <w:pPr>
              <w:pStyle w:val="Tabletextleft"/>
              <w:spacing w:before="120" w:after="120"/>
              <w:rPr>
                <w:rFonts w:asciiTheme="minorHAnsi" w:hAnsiTheme="minorHAnsi" w:cstheme="minorHAnsi"/>
              </w:rPr>
            </w:pPr>
            <w:r w:rsidRPr="00813EB0">
              <w:rPr>
                <w:rFonts w:asciiTheme="minorHAnsi" w:hAnsiTheme="minorHAnsi" w:cstheme="minorHAnsi"/>
              </w:rPr>
              <w:t xml:space="preserve">Oral &gt; 5000 mg/kg </w:t>
            </w:r>
            <w:proofErr w:type="spellStart"/>
            <w:r w:rsidRPr="00813EB0">
              <w:rPr>
                <w:rFonts w:asciiTheme="minorHAnsi" w:hAnsiTheme="minorHAnsi" w:cstheme="minorHAnsi"/>
              </w:rPr>
              <w:t>bw</w:t>
            </w:r>
            <w:proofErr w:type="spellEnd"/>
            <w:r w:rsidRPr="00813EB0">
              <w:rPr>
                <w:rFonts w:asciiTheme="minorHAnsi" w:hAnsiTheme="minorHAnsi" w:cstheme="minorHAnsi"/>
              </w:rPr>
              <w:t xml:space="preserve"> (rats)</w:t>
            </w:r>
          </w:p>
        </w:tc>
        <w:tc>
          <w:tcPr>
            <w:tcW w:w="1428" w:type="dxa"/>
          </w:tcPr>
          <w:p w14:paraId="08749BD1" w14:textId="77777777" w:rsidR="005739CB" w:rsidRPr="00813EB0" w:rsidRDefault="005739CB" w:rsidP="00E07077">
            <w:pPr>
              <w:pStyle w:val="Tabletextleft"/>
              <w:spacing w:before="120" w:after="120"/>
              <w:rPr>
                <w:rFonts w:asciiTheme="minorHAnsi" w:hAnsiTheme="minorHAnsi" w:cstheme="minorHAnsi"/>
              </w:rPr>
            </w:pPr>
            <w:r w:rsidRPr="00813EB0">
              <w:rPr>
                <w:rFonts w:asciiTheme="minorHAnsi" w:hAnsiTheme="minorHAnsi" w:cstheme="minorHAnsi"/>
              </w:rPr>
              <w:t>Oral &gt; 5000 mg/kg (rats)</w:t>
            </w:r>
          </w:p>
          <w:p w14:paraId="7C8A51B3" w14:textId="77777777" w:rsidR="005739CB" w:rsidRPr="00813EB0" w:rsidRDefault="005739CB" w:rsidP="00E07077">
            <w:pPr>
              <w:pStyle w:val="Tabletextleft"/>
              <w:spacing w:before="120" w:after="120"/>
              <w:rPr>
                <w:rFonts w:asciiTheme="minorHAnsi" w:hAnsiTheme="minorHAnsi" w:cstheme="minorHAnsi"/>
              </w:rPr>
            </w:pPr>
            <w:r w:rsidRPr="00813EB0">
              <w:rPr>
                <w:rFonts w:asciiTheme="minorHAnsi" w:hAnsiTheme="minorHAnsi" w:cstheme="minorHAnsi"/>
              </w:rPr>
              <w:t xml:space="preserve">Dermal &gt; 5000 mg/kg </w:t>
            </w:r>
            <w:proofErr w:type="spellStart"/>
            <w:r w:rsidRPr="00813EB0">
              <w:rPr>
                <w:rFonts w:asciiTheme="minorHAnsi" w:hAnsiTheme="minorHAnsi" w:cstheme="minorHAnsi"/>
              </w:rPr>
              <w:t>bw</w:t>
            </w:r>
            <w:proofErr w:type="spellEnd"/>
            <w:r w:rsidRPr="00813EB0">
              <w:rPr>
                <w:rFonts w:asciiTheme="minorHAnsi" w:hAnsiTheme="minorHAnsi" w:cstheme="minorHAnsi"/>
              </w:rPr>
              <w:t xml:space="preserve"> (rabbits) </w:t>
            </w:r>
          </w:p>
        </w:tc>
        <w:tc>
          <w:tcPr>
            <w:tcW w:w="1428" w:type="dxa"/>
          </w:tcPr>
          <w:p w14:paraId="616D49BE" w14:textId="77777777" w:rsidR="005739CB" w:rsidRPr="00813EB0" w:rsidRDefault="005739CB" w:rsidP="00E07077">
            <w:pPr>
              <w:pStyle w:val="Tabletextleft"/>
              <w:spacing w:before="120" w:after="120"/>
              <w:rPr>
                <w:rFonts w:asciiTheme="minorHAnsi" w:hAnsiTheme="minorHAnsi" w:cstheme="minorHAnsi"/>
              </w:rPr>
            </w:pPr>
            <w:r w:rsidRPr="00813EB0">
              <w:rPr>
                <w:rFonts w:asciiTheme="minorHAnsi" w:hAnsiTheme="minorHAnsi" w:cstheme="minorHAnsi"/>
              </w:rPr>
              <w:t>Oral &gt;8 g/kg (mice)</w:t>
            </w:r>
          </w:p>
          <w:p w14:paraId="38B2F8D5" w14:textId="77777777" w:rsidR="005739CB" w:rsidRPr="00813EB0" w:rsidRDefault="005739CB" w:rsidP="00E07077">
            <w:pPr>
              <w:pStyle w:val="Tabletextleft"/>
              <w:spacing w:before="120" w:after="120"/>
              <w:rPr>
                <w:rFonts w:asciiTheme="minorHAnsi" w:hAnsiTheme="minorHAnsi" w:cstheme="minorHAnsi"/>
              </w:rPr>
            </w:pPr>
            <w:r w:rsidRPr="00813EB0">
              <w:rPr>
                <w:rFonts w:asciiTheme="minorHAnsi" w:hAnsiTheme="minorHAnsi" w:cstheme="minorHAnsi"/>
              </w:rPr>
              <w:t>&gt;20 mL/kg (20.0 mg/kg) (rats)</w:t>
            </w:r>
          </w:p>
          <w:p w14:paraId="4500D20E" w14:textId="77777777" w:rsidR="005739CB" w:rsidRPr="00813EB0" w:rsidRDefault="005739CB" w:rsidP="00E07077">
            <w:pPr>
              <w:pStyle w:val="Tabletextleft"/>
              <w:spacing w:before="120" w:after="120"/>
              <w:rPr>
                <w:rFonts w:asciiTheme="minorHAnsi" w:hAnsiTheme="minorHAnsi" w:cstheme="minorHAnsi"/>
              </w:rPr>
            </w:pPr>
            <w:r w:rsidRPr="00813EB0">
              <w:rPr>
                <w:rFonts w:asciiTheme="minorHAnsi" w:hAnsiTheme="minorHAnsi" w:cstheme="minorHAnsi"/>
              </w:rPr>
              <w:t>Dermal &gt;126.5 mg/kg (rats)</w:t>
            </w:r>
          </w:p>
          <w:p w14:paraId="4B873249" w14:textId="77777777" w:rsidR="005739CB" w:rsidRPr="00813EB0" w:rsidRDefault="005739CB" w:rsidP="00E07077">
            <w:pPr>
              <w:pStyle w:val="Tabletextleft"/>
              <w:spacing w:before="120" w:after="120"/>
              <w:rPr>
                <w:rFonts w:asciiTheme="minorHAnsi" w:hAnsiTheme="minorHAnsi" w:cstheme="minorHAnsi"/>
              </w:rPr>
            </w:pPr>
            <w:r w:rsidRPr="00813EB0">
              <w:rPr>
                <w:rFonts w:asciiTheme="minorHAnsi" w:hAnsiTheme="minorHAnsi" w:cstheme="minorHAnsi"/>
              </w:rPr>
              <w:t>Inhalation LC50 &gt;0.511 mg/L (rats)</w:t>
            </w:r>
          </w:p>
        </w:tc>
        <w:tc>
          <w:tcPr>
            <w:tcW w:w="1428" w:type="dxa"/>
          </w:tcPr>
          <w:p w14:paraId="1CA0F423" w14:textId="77777777" w:rsidR="005739CB" w:rsidRPr="00813EB0" w:rsidRDefault="005739CB" w:rsidP="00E07077">
            <w:pPr>
              <w:pStyle w:val="Tabletextleft"/>
              <w:spacing w:before="120" w:after="120"/>
              <w:rPr>
                <w:rFonts w:asciiTheme="minorHAnsi" w:hAnsiTheme="minorHAnsi" w:cstheme="minorHAnsi"/>
              </w:rPr>
            </w:pPr>
            <w:r w:rsidRPr="00813EB0">
              <w:rPr>
                <w:rFonts w:asciiTheme="minorHAnsi" w:hAnsiTheme="minorHAnsi" w:cstheme="minorHAnsi"/>
              </w:rPr>
              <w:t xml:space="preserve">Oral &gt; 5000 mg/kg </w:t>
            </w:r>
            <w:proofErr w:type="spellStart"/>
            <w:r w:rsidRPr="00813EB0">
              <w:rPr>
                <w:rFonts w:asciiTheme="minorHAnsi" w:hAnsiTheme="minorHAnsi" w:cstheme="minorHAnsi"/>
              </w:rPr>
              <w:t>bw</w:t>
            </w:r>
            <w:proofErr w:type="spellEnd"/>
            <w:r w:rsidRPr="00813EB0">
              <w:rPr>
                <w:rFonts w:asciiTheme="minorHAnsi" w:hAnsiTheme="minorHAnsi" w:cstheme="minorHAnsi"/>
              </w:rPr>
              <w:t xml:space="preserve"> (rats)</w:t>
            </w:r>
          </w:p>
          <w:p w14:paraId="65C29F7B" w14:textId="77777777" w:rsidR="005739CB" w:rsidRPr="00813EB0" w:rsidRDefault="005739CB" w:rsidP="00E07077">
            <w:pPr>
              <w:pStyle w:val="Tabletextleft"/>
              <w:spacing w:before="120" w:after="120"/>
              <w:rPr>
                <w:rFonts w:asciiTheme="minorHAnsi" w:hAnsiTheme="minorHAnsi" w:cstheme="minorHAnsi"/>
              </w:rPr>
            </w:pPr>
            <w:r w:rsidRPr="00813EB0">
              <w:rPr>
                <w:rFonts w:asciiTheme="minorHAnsi" w:hAnsiTheme="minorHAnsi" w:cstheme="minorHAnsi"/>
              </w:rPr>
              <w:t xml:space="preserve">Dermal &gt; 2000 mg/kg </w:t>
            </w:r>
            <w:proofErr w:type="spellStart"/>
            <w:r w:rsidRPr="00813EB0">
              <w:rPr>
                <w:rFonts w:asciiTheme="minorHAnsi" w:hAnsiTheme="minorHAnsi" w:cstheme="minorHAnsi"/>
              </w:rPr>
              <w:t>bw</w:t>
            </w:r>
            <w:proofErr w:type="spellEnd"/>
            <w:r w:rsidRPr="00813EB0">
              <w:rPr>
                <w:rFonts w:asciiTheme="minorHAnsi" w:hAnsiTheme="minorHAnsi" w:cstheme="minorHAnsi"/>
              </w:rPr>
              <w:t xml:space="preserve"> (rats)</w:t>
            </w:r>
          </w:p>
        </w:tc>
        <w:tc>
          <w:tcPr>
            <w:tcW w:w="1428" w:type="dxa"/>
          </w:tcPr>
          <w:p w14:paraId="766D176F" w14:textId="77777777" w:rsidR="005739CB" w:rsidRPr="00813EB0" w:rsidRDefault="005739CB" w:rsidP="00E07077">
            <w:pPr>
              <w:pStyle w:val="Tabletextleft"/>
              <w:spacing w:before="120" w:after="120"/>
              <w:rPr>
                <w:rFonts w:asciiTheme="minorHAnsi" w:hAnsiTheme="minorHAnsi" w:cstheme="minorHAnsi"/>
              </w:rPr>
            </w:pPr>
            <w:r w:rsidRPr="00813EB0">
              <w:rPr>
                <w:rFonts w:asciiTheme="minorHAnsi" w:hAnsiTheme="minorHAnsi" w:cstheme="minorHAnsi"/>
              </w:rPr>
              <w:t xml:space="preserve">Oral &gt; 6000 mg/kg </w:t>
            </w:r>
            <w:proofErr w:type="spellStart"/>
            <w:r w:rsidRPr="00813EB0">
              <w:rPr>
                <w:rFonts w:asciiTheme="minorHAnsi" w:hAnsiTheme="minorHAnsi" w:cstheme="minorHAnsi"/>
              </w:rPr>
              <w:t>bw</w:t>
            </w:r>
            <w:proofErr w:type="spellEnd"/>
            <w:r w:rsidRPr="00813EB0">
              <w:rPr>
                <w:rFonts w:asciiTheme="minorHAnsi" w:hAnsiTheme="minorHAnsi" w:cstheme="minorHAnsi"/>
              </w:rPr>
              <w:t xml:space="preserve"> (rats)</w:t>
            </w:r>
          </w:p>
          <w:p w14:paraId="5228F0CA" w14:textId="77777777" w:rsidR="005739CB" w:rsidRPr="00813EB0" w:rsidRDefault="005739CB" w:rsidP="00E07077">
            <w:pPr>
              <w:pStyle w:val="Tabletextleft"/>
              <w:spacing w:before="120" w:after="120"/>
              <w:rPr>
                <w:rFonts w:asciiTheme="minorHAnsi" w:hAnsiTheme="minorHAnsi" w:cstheme="minorHAnsi"/>
              </w:rPr>
            </w:pPr>
            <w:r w:rsidRPr="00813EB0">
              <w:rPr>
                <w:rFonts w:asciiTheme="minorHAnsi" w:hAnsiTheme="minorHAnsi" w:cstheme="minorHAnsi"/>
              </w:rPr>
              <w:t xml:space="preserve">Dermal &gt; 16000 mg/kg </w:t>
            </w:r>
            <w:proofErr w:type="spellStart"/>
            <w:r w:rsidRPr="00813EB0">
              <w:rPr>
                <w:rFonts w:asciiTheme="minorHAnsi" w:hAnsiTheme="minorHAnsi" w:cstheme="minorHAnsi"/>
              </w:rPr>
              <w:t>bw</w:t>
            </w:r>
            <w:proofErr w:type="spellEnd"/>
            <w:r w:rsidRPr="00813EB0">
              <w:rPr>
                <w:rFonts w:asciiTheme="minorHAnsi" w:hAnsiTheme="minorHAnsi" w:cstheme="minorHAnsi"/>
              </w:rPr>
              <w:t xml:space="preserve"> (rabbits)</w:t>
            </w:r>
          </w:p>
        </w:tc>
        <w:tc>
          <w:tcPr>
            <w:tcW w:w="1421" w:type="dxa"/>
          </w:tcPr>
          <w:p w14:paraId="07AA4BC7" w14:textId="77777777" w:rsidR="005739CB" w:rsidRPr="00813EB0" w:rsidRDefault="005739CB" w:rsidP="00E07077">
            <w:pPr>
              <w:pStyle w:val="Tabletextleft"/>
              <w:spacing w:before="120" w:after="120"/>
              <w:rPr>
                <w:rFonts w:asciiTheme="minorHAnsi" w:hAnsiTheme="minorHAnsi" w:cstheme="minorHAnsi"/>
              </w:rPr>
            </w:pPr>
            <w:r w:rsidRPr="00813EB0">
              <w:rPr>
                <w:rFonts w:asciiTheme="minorHAnsi" w:hAnsiTheme="minorHAnsi" w:cstheme="minorHAnsi"/>
              </w:rPr>
              <w:t>Oral</w:t>
            </w:r>
          </w:p>
          <w:p w14:paraId="2B29D554" w14:textId="77777777" w:rsidR="005739CB" w:rsidRPr="00813EB0" w:rsidRDefault="005739CB" w:rsidP="00E07077">
            <w:pPr>
              <w:pStyle w:val="Tabletextleft"/>
              <w:spacing w:before="120" w:after="120"/>
              <w:rPr>
                <w:rFonts w:asciiTheme="minorHAnsi" w:hAnsiTheme="minorHAnsi" w:cstheme="minorHAnsi"/>
              </w:rPr>
            </w:pPr>
            <w:r w:rsidRPr="00813EB0">
              <w:rPr>
                <w:rFonts w:asciiTheme="minorHAnsi" w:hAnsiTheme="minorHAnsi" w:cstheme="minorHAnsi"/>
              </w:rPr>
              <w:t xml:space="preserve">&gt;5000 mg/kg </w:t>
            </w:r>
            <w:proofErr w:type="spellStart"/>
            <w:r w:rsidRPr="00813EB0">
              <w:rPr>
                <w:rFonts w:asciiTheme="minorHAnsi" w:hAnsiTheme="minorHAnsi" w:cstheme="minorHAnsi"/>
              </w:rPr>
              <w:t>bw</w:t>
            </w:r>
            <w:proofErr w:type="spellEnd"/>
            <w:r w:rsidRPr="00813EB0">
              <w:rPr>
                <w:rFonts w:asciiTheme="minorHAnsi" w:hAnsiTheme="minorHAnsi" w:cstheme="minorHAnsi"/>
              </w:rPr>
              <w:t xml:space="preserve"> (mice)</w:t>
            </w:r>
          </w:p>
          <w:p w14:paraId="7EE9CEA7" w14:textId="77777777" w:rsidR="005739CB" w:rsidRPr="00813EB0" w:rsidRDefault="005739CB" w:rsidP="00E07077">
            <w:pPr>
              <w:pStyle w:val="Tabletextleft"/>
              <w:spacing w:before="120" w:after="120"/>
              <w:rPr>
                <w:rFonts w:asciiTheme="minorHAnsi" w:hAnsiTheme="minorHAnsi" w:cstheme="minorHAnsi"/>
              </w:rPr>
            </w:pPr>
            <w:r w:rsidRPr="00813EB0">
              <w:rPr>
                <w:rFonts w:asciiTheme="minorHAnsi" w:hAnsiTheme="minorHAnsi" w:cstheme="minorHAnsi"/>
              </w:rPr>
              <w:t xml:space="preserve">&gt;1600 mg/kg </w:t>
            </w:r>
            <w:proofErr w:type="spellStart"/>
            <w:r w:rsidRPr="00813EB0">
              <w:rPr>
                <w:rFonts w:asciiTheme="minorHAnsi" w:hAnsiTheme="minorHAnsi" w:cstheme="minorHAnsi"/>
              </w:rPr>
              <w:t>bw</w:t>
            </w:r>
            <w:proofErr w:type="spellEnd"/>
            <w:r w:rsidRPr="00813EB0">
              <w:rPr>
                <w:rFonts w:asciiTheme="minorHAnsi" w:hAnsiTheme="minorHAnsi" w:cstheme="minorHAnsi"/>
              </w:rPr>
              <w:t xml:space="preserve"> (rats)</w:t>
            </w:r>
          </w:p>
          <w:p w14:paraId="6AA9E662" w14:textId="77777777" w:rsidR="005739CB" w:rsidRPr="00813EB0" w:rsidRDefault="005739CB" w:rsidP="00E07077">
            <w:pPr>
              <w:pStyle w:val="Tabletextleft"/>
              <w:spacing w:before="120" w:after="120"/>
              <w:rPr>
                <w:rFonts w:asciiTheme="minorHAnsi" w:hAnsiTheme="minorHAnsi" w:cstheme="minorHAnsi"/>
              </w:rPr>
            </w:pPr>
            <w:r w:rsidRPr="00813EB0">
              <w:rPr>
                <w:rFonts w:asciiTheme="minorHAnsi" w:hAnsiTheme="minorHAnsi" w:cstheme="minorHAnsi"/>
              </w:rPr>
              <w:t xml:space="preserve">Dermal &gt;3000 mg/kg </w:t>
            </w:r>
            <w:proofErr w:type="spellStart"/>
            <w:r w:rsidRPr="00813EB0">
              <w:rPr>
                <w:rFonts w:asciiTheme="minorHAnsi" w:hAnsiTheme="minorHAnsi" w:cstheme="minorHAnsi"/>
              </w:rPr>
              <w:t>bw</w:t>
            </w:r>
            <w:proofErr w:type="spellEnd"/>
            <w:r w:rsidRPr="00813EB0">
              <w:rPr>
                <w:rFonts w:asciiTheme="minorHAnsi" w:hAnsiTheme="minorHAnsi" w:cstheme="minorHAnsi"/>
              </w:rPr>
              <w:t xml:space="preserve"> (rats)</w:t>
            </w:r>
          </w:p>
          <w:p w14:paraId="5798E2D1" w14:textId="7681B836" w:rsidR="005739CB" w:rsidRPr="00813EB0" w:rsidRDefault="005739CB" w:rsidP="00BA4549">
            <w:pPr>
              <w:pStyle w:val="Tabletextleft"/>
              <w:spacing w:before="120" w:after="120"/>
              <w:rPr>
                <w:rFonts w:asciiTheme="minorHAnsi" w:hAnsiTheme="minorHAnsi" w:cstheme="minorHAnsi"/>
              </w:rPr>
            </w:pPr>
            <w:r w:rsidRPr="00813EB0">
              <w:rPr>
                <w:rFonts w:asciiTheme="minorHAnsi" w:hAnsiTheme="minorHAnsi" w:cstheme="minorHAnsi"/>
              </w:rPr>
              <w:t xml:space="preserve">IP 1000 – 1500 mg/kg </w:t>
            </w:r>
            <w:proofErr w:type="spellStart"/>
            <w:r w:rsidRPr="00813EB0">
              <w:rPr>
                <w:rFonts w:asciiTheme="minorHAnsi" w:hAnsiTheme="minorHAnsi" w:cstheme="minorHAnsi"/>
              </w:rPr>
              <w:t>bw</w:t>
            </w:r>
            <w:proofErr w:type="spellEnd"/>
            <w:r w:rsidRPr="00813EB0">
              <w:rPr>
                <w:rFonts w:asciiTheme="minorHAnsi" w:hAnsiTheme="minorHAnsi" w:cstheme="minorHAnsi"/>
              </w:rPr>
              <w:t xml:space="preserve"> (rats)</w:t>
            </w:r>
          </w:p>
        </w:tc>
      </w:tr>
    </w:tbl>
    <w:p w14:paraId="50A2D206" w14:textId="77777777" w:rsidR="005739CB" w:rsidRPr="0094232A" w:rsidRDefault="005739CB" w:rsidP="00813EB0">
      <w:pPr>
        <w:pStyle w:val="Tabledescription"/>
      </w:pPr>
      <w:r w:rsidRPr="0094232A">
        <w:t xml:space="preserve">The values are </w:t>
      </w:r>
      <w:r w:rsidRPr="001701D8">
        <w:t>LD</w:t>
      </w:r>
      <w:r w:rsidRPr="001701D8">
        <w:rPr>
          <w:vertAlign w:val="subscript"/>
        </w:rPr>
        <w:t>50</w:t>
      </w:r>
      <w:r>
        <w:t xml:space="preserve"> </w:t>
      </w:r>
      <w:r w:rsidRPr="0094232A">
        <w:t xml:space="preserve">determined in relevant studies extracted from the safety assessment reviews; *Acute dermal toxicity was tested up to a dose of 1000 mg/kg </w:t>
      </w:r>
      <w:proofErr w:type="spellStart"/>
      <w:r w:rsidRPr="0094232A">
        <w:t>bw</w:t>
      </w:r>
      <w:proofErr w:type="spellEnd"/>
      <w:r w:rsidRPr="0094232A">
        <w:t xml:space="preserve"> in rats showing no deaths. Slight erythema was observed in treated animals and in the vehicle control, </w:t>
      </w:r>
      <w:proofErr w:type="gramStart"/>
      <w:r w:rsidRPr="0094232A">
        <w:t>assuming that</w:t>
      </w:r>
      <w:proofErr w:type="gramEnd"/>
      <w:r w:rsidRPr="0094232A">
        <w:t xml:space="preserve"> the vehicle, </w:t>
      </w:r>
      <w:proofErr w:type="spellStart"/>
      <w:r w:rsidRPr="0094232A">
        <w:t>carbitol</w:t>
      </w:r>
      <w:proofErr w:type="spellEnd"/>
      <w:r w:rsidRPr="0094232A">
        <w:t xml:space="preserve">, has a slight irritant effect to skin. Concerning acute dermal toxicity, the test item was only tested up to a maximum dose of 1000 mg/kg </w:t>
      </w:r>
      <w:proofErr w:type="spellStart"/>
      <w:r w:rsidRPr="0094232A">
        <w:t>bw</w:t>
      </w:r>
      <w:proofErr w:type="spellEnd"/>
      <w:r w:rsidRPr="0094232A">
        <w:t xml:space="preserve">, whereas the regulatory cut-off level for classification according to Regulation (EC) No 1272/2008 (CLP) is 2000 mg/kg </w:t>
      </w:r>
      <w:proofErr w:type="spellStart"/>
      <w:r w:rsidRPr="0094232A">
        <w:t>bw</w:t>
      </w:r>
      <w:proofErr w:type="spellEnd"/>
      <w:r w:rsidRPr="0094232A">
        <w:t xml:space="preserve">. </w:t>
      </w:r>
    </w:p>
    <w:p w14:paraId="11601350" w14:textId="77777777" w:rsidR="005739CB" w:rsidRDefault="005739CB" w:rsidP="005739CB"/>
    <w:p w14:paraId="2DD1A374" w14:textId="77777777" w:rsidR="005739CB" w:rsidRDefault="005739CB" w:rsidP="005739CB">
      <w:pPr>
        <w:pStyle w:val="Heading4"/>
      </w:pPr>
      <w:bookmarkStart w:id="63" w:name="_Toc190944913"/>
      <w:bookmarkStart w:id="64" w:name="_Toc199254950"/>
      <w:r>
        <w:lastRenderedPageBreak/>
        <w:t>Local tolerance</w:t>
      </w:r>
      <w:bookmarkEnd w:id="63"/>
      <w:bookmarkEnd w:id="64"/>
    </w:p>
    <w:p w14:paraId="5E78663E" w14:textId="4F536B7B" w:rsidR="005739CB" w:rsidRDefault="005739CB" w:rsidP="00813EB0">
      <w:r w:rsidRPr="0074486E">
        <w:t xml:space="preserve">Skin irritation and eye irritation </w:t>
      </w:r>
      <w:r>
        <w:t xml:space="preserve">studies </w:t>
      </w:r>
      <w:r w:rsidRPr="0074486E">
        <w:t xml:space="preserve">were </w:t>
      </w:r>
      <w:r>
        <w:t>generally</w:t>
      </w:r>
      <w:r w:rsidRPr="0074486E">
        <w:t xml:space="preserve"> conducted as per the OECD TG 404 and 405 guidelines, respectively. </w:t>
      </w:r>
      <w:r>
        <w:t xml:space="preserve">All ingredients examined were found to be non-irritants to the skin and eye in </w:t>
      </w:r>
      <w:r w:rsidRPr="00922EBF">
        <w:rPr>
          <w:i/>
          <w:iCs/>
        </w:rPr>
        <w:t>in vivo</w:t>
      </w:r>
      <w:r>
        <w:t xml:space="preserve"> studies in animals (see below).</w:t>
      </w:r>
    </w:p>
    <w:p w14:paraId="4BF72ED7" w14:textId="77777777" w:rsidR="005739CB" w:rsidRPr="00922EBF" w:rsidRDefault="005739CB" w:rsidP="00C26EA9">
      <w:pPr>
        <w:pStyle w:val="Tabletitle"/>
      </w:pPr>
      <w:r w:rsidRPr="00922EBF">
        <w:t>Summary of skin and eye irritation studies for sunscreen ingredients</w:t>
      </w:r>
    </w:p>
    <w:tbl>
      <w:tblPr>
        <w:tblW w:w="9488" w:type="dxa"/>
        <w:jc w:val="cente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Layout w:type="fixed"/>
        <w:tblCellMar>
          <w:top w:w="28" w:type="dxa"/>
          <w:left w:w="57" w:type="dxa"/>
          <w:bottom w:w="28" w:type="dxa"/>
          <w:right w:w="57" w:type="dxa"/>
        </w:tblCellMar>
        <w:tblLook w:val="01E0" w:firstRow="1" w:lastRow="1" w:firstColumn="1" w:lastColumn="1" w:noHBand="0" w:noVBand="0"/>
      </w:tblPr>
      <w:tblGrid>
        <w:gridCol w:w="841"/>
        <w:gridCol w:w="1276"/>
        <w:gridCol w:w="1134"/>
        <w:gridCol w:w="1275"/>
        <w:gridCol w:w="1134"/>
        <w:gridCol w:w="1276"/>
        <w:gridCol w:w="1418"/>
        <w:gridCol w:w="1134"/>
      </w:tblGrid>
      <w:tr w:rsidR="00813EB0" w:rsidRPr="0094232A" w14:paraId="7AF078A9" w14:textId="77777777" w:rsidTr="00813EB0">
        <w:trPr>
          <w:trHeight w:val="428"/>
          <w:tblHeader/>
          <w:jc w:val="center"/>
        </w:trPr>
        <w:tc>
          <w:tcPr>
            <w:tcW w:w="841" w:type="dxa"/>
            <w:shd w:val="clear" w:color="auto" w:fill="B8CCEA"/>
            <w:tcMar>
              <w:top w:w="28" w:type="dxa"/>
              <w:left w:w="57" w:type="dxa"/>
              <w:bottom w:w="28" w:type="dxa"/>
              <w:right w:w="57" w:type="dxa"/>
            </w:tcMar>
            <w:vAlign w:val="center"/>
          </w:tcPr>
          <w:p w14:paraId="64CCD189" w14:textId="77777777" w:rsidR="005739CB" w:rsidRPr="00813EB0" w:rsidRDefault="005739CB" w:rsidP="00E07077">
            <w:pPr>
              <w:pStyle w:val="TableHeader"/>
              <w:rPr>
                <w:rFonts w:ascii="Arial" w:hAnsi="Arial" w:cs="Arial"/>
                <w:color w:val="263287"/>
                <w:sz w:val="18"/>
                <w:szCs w:val="18"/>
              </w:rPr>
            </w:pPr>
            <w:r w:rsidRPr="00813EB0">
              <w:rPr>
                <w:rFonts w:ascii="Arial" w:hAnsi="Arial" w:cs="Arial"/>
                <w:color w:val="263287"/>
                <w:sz w:val="18"/>
                <w:szCs w:val="18"/>
              </w:rPr>
              <w:t>Study</w:t>
            </w:r>
          </w:p>
        </w:tc>
        <w:tc>
          <w:tcPr>
            <w:tcW w:w="1276" w:type="dxa"/>
            <w:shd w:val="clear" w:color="auto" w:fill="B8CCEA"/>
            <w:vAlign w:val="center"/>
          </w:tcPr>
          <w:p w14:paraId="208F5009" w14:textId="77777777" w:rsidR="005739CB" w:rsidRPr="00813EB0" w:rsidRDefault="005739CB" w:rsidP="00E07077">
            <w:pPr>
              <w:pStyle w:val="TableHeader"/>
              <w:rPr>
                <w:rFonts w:ascii="Arial" w:hAnsi="Arial" w:cs="Arial"/>
                <w:color w:val="263287"/>
                <w:sz w:val="18"/>
                <w:szCs w:val="18"/>
              </w:rPr>
            </w:pPr>
            <w:r w:rsidRPr="00813EB0">
              <w:rPr>
                <w:rFonts w:ascii="Arial" w:hAnsi="Arial" w:cs="Arial"/>
                <w:color w:val="263287"/>
                <w:sz w:val="18"/>
                <w:szCs w:val="18"/>
              </w:rPr>
              <w:t xml:space="preserve">Butyl </w:t>
            </w:r>
            <w:proofErr w:type="spellStart"/>
            <w:r w:rsidRPr="00813EB0">
              <w:rPr>
                <w:rFonts w:ascii="Arial" w:hAnsi="Arial" w:cs="Arial"/>
                <w:color w:val="263287"/>
                <w:sz w:val="18"/>
                <w:szCs w:val="18"/>
              </w:rPr>
              <w:t>methoxydibenzoylmethane</w:t>
            </w:r>
            <w:proofErr w:type="spellEnd"/>
            <w:r w:rsidRPr="00813EB0">
              <w:rPr>
                <w:rFonts w:ascii="Arial" w:hAnsi="Arial" w:cs="Arial"/>
                <w:color w:val="263287"/>
                <w:sz w:val="18"/>
                <w:szCs w:val="18"/>
              </w:rPr>
              <w:t xml:space="preserve"> (ECHA (2021a;</w:t>
            </w:r>
            <w:r w:rsidRPr="00813EB0">
              <w:rPr>
                <w:rFonts w:ascii="Arial" w:hAnsi="Arial" w:cs="Arial"/>
                <w:b w:val="0"/>
                <w:snapToGrid/>
                <w:color w:val="263287"/>
                <w:kern w:val="0"/>
                <w:sz w:val="18"/>
                <w:szCs w:val="18"/>
              </w:rPr>
              <w:t xml:space="preserve"> </w:t>
            </w:r>
            <w:r w:rsidRPr="00813EB0">
              <w:rPr>
                <w:rFonts w:ascii="Arial" w:hAnsi="Arial" w:cs="Arial"/>
                <w:color w:val="263287"/>
                <w:sz w:val="18"/>
                <w:szCs w:val="18"/>
              </w:rPr>
              <w:t xml:space="preserve">DEPA 2015)  </w:t>
            </w:r>
          </w:p>
        </w:tc>
        <w:tc>
          <w:tcPr>
            <w:tcW w:w="1134" w:type="dxa"/>
            <w:shd w:val="clear" w:color="auto" w:fill="B8CCEA"/>
            <w:tcMar>
              <w:left w:w="57" w:type="dxa"/>
              <w:right w:w="57" w:type="dxa"/>
            </w:tcMar>
            <w:vAlign w:val="center"/>
          </w:tcPr>
          <w:p w14:paraId="34FE25E3" w14:textId="77777777" w:rsidR="005739CB" w:rsidRPr="00813EB0" w:rsidRDefault="005739CB" w:rsidP="00E07077">
            <w:pPr>
              <w:pStyle w:val="TableHeader"/>
              <w:rPr>
                <w:rFonts w:ascii="Arial" w:hAnsi="Arial" w:cs="Arial"/>
                <w:color w:val="263287"/>
                <w:sz w:val="18"/>
                <w:szCs w:val="18"/>
              </w:rPr>
            </w:pPr>
            <w:proofErr w:type="spellStart"/>
            <w:r w:rsidRPr="00813EB0">
              <w:rPr>
                <w:rFonts w:ascii="Arial" w:hAnsi="Arial" w:cs="Arial"/>
                <w:color w:val="263287"/>
                <w:sz w:val="18"/>
                <w:szCs w:val="18"/>
              </w:rPr>
              <w:t>Ethylhexyl</w:t>
            </w:r>
            <w:proofErr w:type="spellEnd"/>
            <w:r w:rsidRPr="00813EB0">
              <w:rPr>
                <w:rFonts w:ascii="Arial" w:hAnsi="Arial" w:cs="Arial"/>
                <w:color w:val="263287"/>
                <w:sz w:val="18"/>
                <w:szCs w:val="18"/>
              </w:rPr>
              <w:t xml:space="preserve"> </w:t>
            </w:r>
            <w:proofErr w:type="spellStart"/>
            <w:r w:rsidRPr="00813EB0">
              <w:rPr>
                <w:rFonts w:ascii="Arial" w:hAnsi="Arial" w:cs="Arial"/>
                <w:color w:val="263287"/>
                <w:sz w:val="18"/>
                <w:szCs w:val="18"/>
              </w:rPr>
              <w:t>triazone</w:t>
            </w:r>
            <w:proofErr w:type="spellEnd"/>
          </w:p>
          <w:p w14:paraId="15004D49" w14:textId="77777777" w:rsidR="005739CB" w:rsidRPr="00813EB0" w:rsidRDefault="005739CB" w:rsidP="00E07077">
            <w:pPr>
              <w:pStyle w:val="TableHeader"/>
              <w:rPr>
                <w:rFonts w:ascii="Arial" w:hAnsi="Arial" w:cs="Arial"/>
                <w:color w:val="263287"/>
                <w:sz w:val="18"/>
                <w:szCs w:val="18"/>
              </w:rPr>
            </w:pPr>
            <w:r w:rsidRPr="00813EB0">
              <w:rPr>
                <w:rFonts w:ascii="Arial" w:hAnsi="Arial" w:cs="Arial"/>
                <w:color w:val="263287"/>
                <w:sz w:val="18"/>
                <w:szCs w:val="18"/>
              </w:rPr>
              <w:t>(ECHA (2021b; DEPA 2015</w:t>
            </w:r>
          </w:p>
        </w:tc>
        <w:tc>
          <w:tcPr>
            <w:tcW w:w="1275" w:type="dxa"/>
            <w:shd w:val="clear" w:color="auto" w:fill="B8CCEA"/>
            <w:vAlign w:val="center"/>
          </w:tcPr>
          <w:p w14:paraId="47A19880" w14:textId="77777777" w:rsidR="005739CB" w:rsidRPr="00813EB0" w:rsidRDefault="005739CB" w:rsidP="00E07077">
            <w:pPr>
              <w:pStyle w:val="TableHeader"/>
              <w:rPr>
                <w:rFonts w:ascii="Arial" w:hAnsi="Arial" w:cs="Arial"/>
                <w:color w:val="263287"/>
                <w:sz w:val="18"/>
                <w:szCs w:val="18"/>
              </w:rPr>
            </w:pPr>
            <w:proofErr w:type="spellStart"/>
            <w:r w:rsidRPr="00813EB0">
              <w:rPr>
                <w:rFonts w:ascii="Arial" w:hAnsi="Arial" w:cs="Arial"/>
                <w:color w:val="263287"/>
                <w:sz w:val="18"/>
                <w:szCs w:val="18"/>
              </w:rPr>
              <w:t>Homosalate</w:t>
            </w:r>
            <w:proofErr w:type="spellEnd"/>
          </w:p>
          <w:p w14:paraId="1D643C12" w14:textId="77777777" w:rsidR="005739CB" w:rsidRPr="00813EB0" w:rsidRDefault="005739CB" w:rsidP="00E07077">
            <w:pPr>
              <w:pStyle w:val="TableHeader"/>
              <w:rPr>
                <w:rFonts w:ascii="Arial" w:hAnsi="Arial" w:cs="Arial"/>
                <w:color w:val="263287"/>
                <w:sz w:val="18"/>
                <w:szCs w:val="18"/>
              </w:rPr>
            </w:pPr>
            <w:r w:rsidRPr="00813EB0">
              <w:rPr>
                <w:rFonts w:ascii="Arial" w:hAnsi="Arial" w:cs="Arial"/>
                <w:color w:val="263287"/>
                <w:sz w:val="18"/>
                <w:szCs w:val="18"/>
              </w:rPr>
              <w:t>(SCCS 2021</w:t>
            </w:r>
            <w:proofErr w:type="gramStart"/>
            <w:r w:rsidRPr="00813EB0">
              <w:rPr>
                <w:rFonts w:ascii="Arial" w:hAnsi="Arial" w:cs="Arial"/>
                <w:color w:val="263287"/>
                <w:sz w:val="18"/>
                <w:szCs w:val="18"/>
              </w:rPr>
              <w:t>b,c</w:t>
            </w:r>
            <w:proofErr w:type="gramEnd"/>
            <w:r w:rsidRPr="00813EB0">
              <w:rPr>
                <w:rFonts w:ascii="Arial" w:hAnsi="Arial" w:cs="Arial"/>
                <w:color w:val="263287"/>
                <w:sz w:val="18"/>
                <w:szCs w:val="18"/>
              </w:rPr>
              <w:t>; ECHA  2021c)</w:t>
            </w:r>
          </w:p>
        </w:tc>
        <w:tc>
          <w:tcPr>
            <w:tcW w:w="1134" w:type="dxa"/>
            <w:shd w:val="clear" w:color="auto" w:fill="B8CCEA"/>
            <w:vAlign w:val="center"/>
          </w:tcPr>
          <w:p w14:paraId="296142A7" w14:textId="77777777" w:rsidR="005739CB" w:rsidRPr="00813EB0" w:rsidRDefault="005739CB" w:rsidP="00E07077">
            <w:pPr>
              <w:pStyle w:val="TableHeader"/>
              <w:rPr>
                <w:rFonts w:ascii="Arial" w:hAnsi="Arial" w:cs="Arial"/>
                <w:color w:val="263287"/>
                <w:sz w:val="18"/>
                <w:szCs w:val="18"/>
              </w:rPr>
            </w:pPr>
            <w:r w:rsidRPr="00813EB0">
              <w:rPr>
                <w:rFonts w:ascii="Arial" w:hAnsi="Arial" w:cs="Arial"/>
                <w:color w:val="263287"/>
                <w:sz w:val="18"/>
                <w:szCs w:val="18"/>
              </w:rPr>
              <w:t>Octyl methoxycinnamate</w:t>
            </w:r>
          </w:p>
          <w:p w14:paraId="1346B86B" w14:textId="77777777" w:rsidR="005739CB" w:rsidRPr="00813EB0" w:rsidRDefault="005739CB" w:rsidP="00E07077">
            <w:pPr>
              <w:pStyle w:val="TableHeader"/>
              <w:rPr>
                <w:rFonts w:ascii="Arial" w:hAnsi="Arial" w:cs="Arial"/>
                <w:color w:val="263287"/>
                <w:sz w:val="18"/>
                <w:szCs w:val="18"/>
              </w:rPr>
            </w:pPr>
            <w:r w:rsidRPr="00813EB0">
              <w:rPr>
                <w:rFonts w:ascii="Arial" w:hAnsi="Arial" w:cs="Arial"/>
                <w:color w:val="263287"/>
                <w:sz w:val="18"/>
                <w:szCs w:val="18"/>
              </w:rPr>
              <w:t>(ECHA 2021e)</w:t>
            </w:r>
          </w:p>
        </w:tc>
        <w:tc>
          <w:tcPr>
            <w:tcW w:w="1276" w:type="dxa"/>
            <w:shd w:val="clear" w:color="auto" w:fill="B8CCEA"/>
            <w:vAlign w:val="center"/>
          </w:tcPr>
          <w:p w14:paraId="1B1D99BF" w14:textId="77777777" w:rsidR="005739CB" w:rsidRPr="00813EB0" w:rsidRDefault="005739CB" w:rsidP="00E07077">
            <w:pPr>
              <w:pStyle w:val="TableHeader"/>
              <w:rPr>
                <w:rFonts w:ascii="Arial" w:hAnsi="Arial" w:cs="Arial"/>
                <w:color w:val="263287"/>
                <w:sz w:val="18"/>
                <w:szCs w:val="18"/>
              </w:rPr>
            </w:pPr>
            <w:r w:rsidRPr="00813EB0">
              <w:rPr>
                <w:rFonts w:ascii="Arial" w:hAnsi="Arial" w:cs="Arial"/>
                <w:color w:val="263287"/>
                <w:sz w:val="18"/>
                <w:szCs w:val="18"/>
              </w:rPr>
              <w:t>Octocrylene</w:t>
            </w:r>
          </w:p>
          <w:p w14:paraId="599FE2B1" w14:textId="77777777" w:rsidR="005739CB" w:rsidRPr="00813EB0" w:rsidRDefault="005739CB" w:rsidP="00E07077">
            <w:pPr>
              <w:pStyle w:val="TableHeader"/>
              <w:rPr>
                <w:rFonts w:ascii="Arial" w:hAnsi="Arial" w:cs="Arial"/>
                <w:color w:val="263287"/>
                <w:sz w:val="18"/>
                <w:szCs w:val="18"/>
              </w:rPr>
            </w:pPr>
            <w:r w:rsidRPr="00813EB0">
              <w:rPr>
                <w:rFonts w:ascii="Arial" w:hAnsi="Arial" w:cs="Arial"/>
                <w:color w:val="263287"/>
                <w:sz w:val="18"/>
                <w:szCs w:val="18"/>
              </w:rPr>
              <w:t>(SCCS 2021d; ECHA 2021d)</w:t>
            </w:r>
          </w:p>
        </w:tc>
        <w:tc>
          <w:tcPr>
            <w:tcW w:w="1418" w:type="dxa"/>
            <w:shd w:val="clear" w:color="auto" w:fill="B8CCEA"/>
            <w:vAlign w:val="center"/>
          </w:tcPr>
          <w:p w14:paraId="65C883E1" w14:textId="77777777" w:rsidR="005739CB" w:rsidRPr="00813EB0" w:rsidRDefault="005739CB" w:rsidP="00E07077">
            <w:pPr>
              <w:pStyle w:val="TableHeader"/>
              <w:rPr>
                <w:rFonts w:ascii="Arial" w:hAnsi="Arial" w:cs="Arial"/>
                <w:color w:val="263287"/>
                <w:sz w:val="18"/>
                <w:szCs w:val="18"/>
              </w:rPr>
            </w:pPr>
            <w:r w:rsidRPr="00813EB0">
              <w:rPr>
                <w:rFonts w:ascii="Arial" w:hAnsi="Arial" w:cs="Arial"/>
                <w:color w:val="263287"/>
                <w:sz w:val="18"/>
                <w:szCs w:val="18"/>
              </w:rPr>
              <w:t>Oxybenzone</w:t>
            </w:r>
          </w:p>
          <w:p w14:paraId="587837F0" w14:textId="77777777" w:rsidR="005739CB" w:rsidRPr="00813EB0" w:rsidRDefault="005739CB" w:rsidP="00E07077">
            <w:pPr>
              <w:pStyle w:val="TableHeader"/>
              <w:rPr>
                <w:rFonts w:ascii="Arial" w:hAnsi="Arial" w:cs="Arial"/>
                <w:color w:val="263287"/>
                <w:sz w:val="18"/>
                <w:szCs w:val="18"/>
              </w:rPr>
            </w:pPr>
            <w:r w:rsidRPr="00813EB0">
              <w:rPr>
                <w:rFonts w:ascii="Arial" w:hAnsi="Arial" w:cs="Arial"/>
                <w:color w:val="263287"/>
                <w:sz w:val="18"/>
                <w:szCs w:val="18"/>
              </w:rPr>
              <w:t>(SCCP 2006a; 2021c)</w:t>
            </w:r>
          </w:p>
        </w:tc>
        <w:tc>
          <w:tcPr>
            <w:tcW w:w="1134" w:type="dxa"/>
            <w:shd w:val="clear" w:color="auto" w:fill="B8CCEA"/>
            <w:vAlign w:val="center"/>
          </w:tcPr>
          <w:p w14:paraId="1706CCEE" w14:textId="77777777" w:rsidR="005739CB" w:rsidRPr="00813EB0" w:rsidRDefault="005739CB" w:rsidP="00E07077">
            <w:pPr>
              <w:pStyle w:val="TableHeader"/>
              <w:rPr>
                <w:rFonts w:ascii="Arial" w:hAnsi="Arial" w:cs="Arial"/>
                <w:color w:val="263287"/>
                <w:sz w:val="18"/>
                <w:szCs w:val="18"/>
              </w:rPr>
            </w:pPr>
            <w:proofErr w:type="spellStart"/>
            <w:r w:rsidRPr="00813EB0">
              <w:rPr>
                <w:rFonts w:ascii="Arial" w:hAnsi="Arial" w:cs="Arial"/>
                <w:color w:val="263287"/>
                <w:sz w:val="18"/>
                <w:szCs w:val="18"/>
              </w:rPr>
              <w:t>Phenylbenzimidazole</w:t>
            </w:r>
            <w:proofErr w:type="spellEnd"/>
            <w:r w:rsidRPr="00813EB0">
              <w:rPr>
                <w:rFonts w:ascii="Arial" w:hAnsi="Arial" w:cs="Arial"/>
                <w:color w:val="263287"/>
                <w:sz w:val="18"/>
                <w:szCs w:val="18"/>
              </w:rPr>
              <w:t xml:space="preserve"> sulfonic acid (SCCP 2006b)</w:t>
            </w:r>
          </w:p>
        </w:tc>
      </w:tr>
      <w:tr w:rsidR="005739CB" w:rsidRPr="0094232A" w14:paraId="07188811" w14:textId="77777777" w:rsidTr="00813EB0">
        <w:trPr>
          <w:trHeight w:val="255"/>
          <w:jc w:val="center"/>
        </w:trPr>
        <w:tc>
          <w:tcPr>
            <w:tcW w:w="841" w:type="dxa"/>
            <w:shd w:val="clear" w:color="auto" w:fill="auto"/>
            <w:tcMar>
              <w:top w:w="57" w:type="dxa"/>
              <w:bottom w:w="57" w:type="dxa"/>
            </w:tcMar>
            <w:vAlign w:val="center"/>
          </w:tcPr>
          <w:p w14:paraId="7651E00E" w14:textId="77777777" w:rsidR="005739CB" w:rsidRPr="00813EB0" w:rsidRDefault="005739CB" w:rsidP="00E07077">
            <w:pPr>
              <w:pStyle w:val="Tabletextleft"/>
              <w:rPr>
                <w:rFonts w:ascii="Arial" w:hAnsi="Arial" w:cs="Arial"/>
              </w:rPr>
            </w:pPr>
            <w:r w:rsidRPr="00813EB0">
              <w:rPr>
                <w:rFonts w:ascii="Arial" w:hAnsi="Arial" w:cs="Arial"/>
              </w:rPr>
              <w:t xml:space="preserve">Skin </w:t>
            </w:r>
          </w:p>
        </w:tc>
        <w:tc>
          <w:tcPr>
            <w:tcW w:w="1276" w:type="dxa"/>
            <w:vAlign w:val="center"/>
          </w:tcPr>
          <w:p w14:paraId="3E0D723F" w14:textId="77777777" w:rsidR="005739CB" w:rsidRPr="00813EB0" w:rsidRDefault="005739CB" w:rsidP="00E07077">
            <w:pPr>
              <w:pStyle w:val="Tabletextleft"/>
              <w:rPr>
                <w:rFonts w:ascii="Arial" w:hAnsi="Arial" w:cs="Arial"/>
              </w:rPr>
            </w:pPr>
            <w:r w:rsidRPr="00813EB0">
              <w:rPr>
                <w:rFonts w:ascii="Arial" w:hAnsi="Arial" w:cs="Arial"/>
              </w:rPr>
              <w:t>Non-irritant (at 10% in rabbits)</w:t>
            </w:r>
          </w:p>
        </w:tc>
        <w:tc>
          <w:tcPr>
            <w:tcW w:w="1134" w:type="dxa"/>
            <w:shd w:val="clear" w:color="auto" w:fill="auto"/>
            <w:vAlign w:val="center"/>
          </w:tcPr>
          <w:p w14:paraId="24E4A9CA" w14:textId="3BA314B7" w:rsidR="005739CB" w:rsidRPr="00813EB0" w:rsidRDefault="005739CB" w:rsidP="00E07077">
            <w:pPr>
              <w:pStyle w:val="Tabletextleft"/>
              <w:rPr>
                <w:rFonts w:ascii="Arial" w:hAnsi="Arial" w:cs="Arial"/>
              </w:rPr>
            </w:pPr>
            <w:r w:rsidRPr="00813EB0">
              <w:rPr>
                <w:rFonts w:ascii="Arial" w:hAnsi="Arial" w:cs="Arial"/>
              </w:rPr>
              <w:t>Non-irritant, undiluted</w:t>
            </w:r>
            <w:r w:rsidR="00DD6C57">
              <w:rPr>
                <w:rFonts w:ascii="Arial" w:hAnsi="Arial" w:cs="Arial"/>
              </w:rPr>
              <w:t xml:space="preserve"> </w:t>
            </w:r>
            <w:r w:rsidRPr="00813EB0">
              <w:rPr>
                <w:rFonts w:ascii="Arial" w:hAnsi="Arial" w:cs="Arial"/>
              </w:rPr>
              <w:t>(rabbits)</w:t>
            </w:r>
          </w:p>
        </w:tc>
        <w:tc>
          <w:tcPr>
            <w:tcW w:w="1275" w:type="dxa"/>
            <w:vAlign w:val="center"/>
          </w:tcPr>
          <w:p w14:paraId="7352681F" w14:textId="77777777" w:rsidR="005739CB" w:rsidRPr="00813EB0" w:rsidRDefault="005739CB" w:rsidP="00E07077">
            <w:pPr>
              <w:pStyle w:val="Tabletextleft"/>
              <w:rPr>
                <w:rFonts w:ascii="Arial" w:hAnsi="Arial" w:cs="Arial"/>
              </w:rPr>
            </w:pPr>
            <w:r w:rsidRPr="00813EB0">
              <w:rPr>
                <w:rFonts w:ascii="Arial" w:hAnsi="Arial" w:cs="Arial"/>
              </w:rPr>
              <w:t>Non-irritant (mice, Guinea pigs)</w:t>
            </w:r>
          </w:p>
        </w:tc>
        <w:tc>
          <w:tcPr>
            <w:tcW w:w="1134" w:type="dxa"/>
            <w:vAlign w:val="center"/>
          </w:tcPr>
          <w:p w14:paraId="3B7160E0" w14:textId="77777777" w:rsidR="005739CB" w:rsidRPr="00813EB0" w:rsidRDefault="005739CB" w:rsidP="00E07077">
            <w:pPr>
              <w:pStyle w:val="Tabletextleft"/>
              <w:rPr>
                <w:rFonts w:ascii="Arial" w:hAnsi="Arial" w:cs="Arial"/>
              </w:rPr>
            </w:pPr>
            <w:r w:rsidRPr="00813EB0">
              <w:rPr>
                <w:rFonts w:ascii="Arial" w:hAnsi="Arial" w:cs="Arial"/>
              </w:rPr>
              <w:t>Non-irritant, undiluted (rabbits, guinea pigs)</w:t>
            </w:r>
          </w:p>
        </w:tc>
        <w:tc>
          <w:tcPr>
            <w:tcW w:w="1276" w:type="dxa"/>
            <w:vAlign w:val="center"/>
          </w:tcPr>
          <w:p w14:paraId="079E55B5" w14:textId="77777777" w:rsidR="005739CB" w:rsidRPr="00813EB0" w:rsidRDefault="005739CB" w:rsidP="00E07077">
            <w:pPr>
              <w:pStyle w:val="Tabletextleft"/>
              <w:rPr>
                <w:rFonts w:ascii="Arial" w:hAnsi="Arial" w:cs="Arial"/>
              </w:rPr>
            </w:pPr>
            <w:r w:rsidRPr="00813EB0">
              <w:rPr>
                <w:rFonts w:ascii="Arial" w:hAnsi="Arial" w:cs="Arial"/>
              </w:rPr>
              <w:t>Non-irritant (rabbits)</w:t>
            </w:r>
          </w:p>
        </w:tc>
        <w:tc>
          <w:tcPr>
            <w:tcW w:w="1418" w:type="dxa"/>
            <w:vAlign w:val="center"/>
          </w:tcPr>
          <w:p w14:paraId="604ABC8C" w14:textId="77777777" w:rsidR="005739CB" w:rsidRPr="00813EB0" w:rsidRDefault="005739CB" w:rsidP="00E07077">
            <w:pPr>
              <w:pStyle w:val="Tabletextleft"/>
              <w:rPr>
                <w:rFonts w:ascii="Arial" w:hAnsi="Arial" w:cs="Arial"/>
              </w:rPr>
            </w:pPr>
            <w:r w:rsidRPr="00813EB0">
              <w:rPr>
                <w:rFonts w:ascii="Arial" w:hAnsi="Arial" w:cs="Arial"/>
              </w:rPr>
              <w:t>Non-irritant (rabbits)</w:t>
            </w:r>
          </w:p>
        </w:tc>
        <w:tc>
          <w:tcPr>
            <w:tcW w:w="1134" w:type="dxa"/>
            <w:vAlign w:val="center"/>
          </w:tcPr>
          <w:p w14:paraId="2E301EC0" w14:textId="77777777" w:rsidR="005739CB" w:rsidRPr="00813EB0" w:rsidRDefault="005739CB" w:rsidP="00E07077">
            <w:pPr>
              <w:pStyle w:val="Tabletextleft"/>
              <w:rPr>
                <w:rFonts w:ascii="Arial" w:hAnsi="Arial" w:cs="Arial"/>
              </w:rPr>
            </w:pPr>
            <w:r w:rsidRPr="00813EB0">
              <w:rPr>
                <w:rFonts w:ascii="Arial" w:hAnsi="Arial" w:cs="Arial"/>
              </w:rPr>
              <w:t>Non-irritant (rabbits)</w:t>
            </w:r>
          </w:p>
        </w:tc>
      </w:tr>
      <w:tr w:rsidR="005739CB" w:rsidRPr="0094232A" w14:paraId="617B9318" w14:textId="77777777" w:rsidTr="00813EB0">
        <w:trPr>
          <w:trHeight w:val="255"/>
          <w:jc w:val="center"/>
        </w:trPr>
        <w:tc>
          <w:tcPr>
            <w:tcW w:w="841" w:type="dxa"/>
            <w:shd w:val="clear" w:color="auto" w:fill="auto"/>
            <w:tcMar>
              <w:top w:w="57" w:type="dxa"/>
              <w:bottom w:w="57" w:type="dxa"/>
            </w:tcMar>
            <w:vAlign w:val="center"/>
          </w:tcPr>
          <w:p w14:paraId="53289F42" w14:textId="77777777" w:rsidR="005739CB" w:rsidRPr="00813EB0" w:rsidRDefault="005739CB" w:rsidP="00E07077">
            <w:pPr>
              <w:pStyle w:val="Tabletextleft"/>
              <w:rPr>
                <w:rFonts w:ascii="Arial" w:hAnsi="Arial" w:cs="Arial"/>
              </w:rPr>
            </w:pPr>
            <w:r w:rsidRPr="00813EB0">
              <w:rPr>
                <w:rFonts w:ascii="Arial" w:hAnsi="Arial" w:cs="Arial"/>
              </w:rPr>
              <w:t xml:space="preserve">Eye </w:t>
            </w:r>
          </w:p>
        </w:tc>
        <w:tc>
          <w:tcPr>
            <w:tcW w:w="1276" w:type="dxa"/>
            <w:vAlign w:val="center"/>
          </w:tcPr>
          <w:p w14:paraId="587291D3" w14:textId="77777777" w:rsidR="005739CB" w:rsidRPr="00813EB0" w:rsidRDefault="005739CB" w:rsidP="00E07077">
            <w:pPr>
              <w:pStyle w:val="Tabletextleft"/>
              <w:rPr>
                <w:rFonts w:ascii="Arial" w:hAnsi="Arial" w:cs="Arial"/>
              </w:rPr>
            </w:pPr>
            <w:r w:rsidRPr="00813EB0">
              <w:rPr>
                <w:rFonts w:ascii="Arial" w:hAnsi="Arial" w:cs="Arial"/>
              </w:rPr>
              <w:t>Non-irritant (at 5-20% in rabbits)</w:t>
            </w:r>
          </w:p>
        </w:tc>
        <w:tc>
          <w:tcPr>
            <w:tcW w:w="1134" w:type="dxa"/>
            <w:shd w:val="clear" w:color="auto" w:fill="auto"/>
            <w:vAlign w:val="center"/>
          </w:tcPr>
          <w:p w14:paraId="3E51263E" w14:textId="77777777" w:rsidR="005739CB" w:rsidRPr="00813EB0" w:rsidRDefault="005739CB" w:rsidP="00E07077">
            <w:pPr>
              <w:pStyle w:val="Tabletextleft"/>
              <w:rPr>
                <w:rFonts w:ascii="Arial" w:hAnsi="Arial" w:cs="Arial"/>
              </w:rPr>
            </w:pPr>
            <w:r w:rsidRPr="00813EB0">
              <w:rPr>
                <w:rFonts w:ascii="Arial" w:hAnsi="Arial" w:cs="Arial"/>
              </w:rPr>
              <w:t>Non-irritant, undiluted (rabbits)</w:t>
            </w:r>
          </w:p>
        </w:tc>
        <w:tc>
          <w:tcPr>
            <w:tcW w:w="1275" w:type="dxa"/>
            <w:vAlign w:val="center"/>
          </w:tcPr>
          <w:p w14:paraId="4A34E327" w14:textId="77777777" w:rsidR="005739CB" w:rsidRPr="00813EB0" w:rsidRDefault="005739CB" w:rsidP="00E07077">
            <w:pPr>
              <w:pStyle w:val="Tabletextleft"/>
              <w:rPr>
                <w:rFonts w:ascii="Arial" w:hAnsi="Arial" w:cs="Arial"/>
              </w:rPr>
            </w:pPr>
            <w:r w:rsidRPr="00813EB0">
              <w:rPr>
                <w:rFonts w:ascii="Arial" w:hAnsi="Arial" w:cs="Arial"/>
              </w:rPr>
              <w:t>Non-irritant (at 10%)</w:t>
            </w:r>
          </w:p>
        </w:tc>
        <w:tc>
          <w:tcPr>
            <w:tcW w:w="1134" w:type="dxa"/>
            <w:vAlign w:val="center"/>
          </w:tcPr>
          <w:p w14:paraId="69FB25B5" w14:textId="77777777" w:rsidR="005739CB" w:rsidRPr="00813EB0" w:rsidRDefault="005739CB" w:rsidP="00E07077">
            <w:pPr>
              <w:pStyle w:val="Tabletextleft"/>
              <w:rPr>
                <w:rFonts w:ascii="Arial" w:hAnsi="Arial" w:cs="Arial"/>
              </w:rPr>
            </w:pPr>
            <w:r w:rsidRPr="00813EB0">
              <w:rPr>
                <w:rFonts w:ascii="Arial" w:hAnsi="Arial" w:cs="Arial"/>
              </w:rPr>
              <w:t>Non-irritant, undiluted (rabbits)</w:t>
            </w:r>
          </w:p>
        </w:tc>
        <w:tc>
          <w:tcPr>
            <w:tcW w:w="1276" w:type="dxa"/>
            <w:vAlign w:val="center"/>
          </w:tcPr>
          <w:p w14:paraId="62E28916" w14:textId="77777777" w:rsidR="005739CB" w:rsidRPr="00813EB0" w:rsidRDefault="005739CB" w:rsidP="00E07077">
            <w:pPr>
              <w:pStyle w:val="Tabletextleft"/>
              <w:rPr>
                <w:rFonts w:ascii="Arial" w:hAnsi="Arial" w:cs="Arial"/>
              </w:rPr>
            </w:pPr>
            <w:r w:rsidRPr="00813EB0">
              <w:rPr>
                <w:rFonts w:ascii="Arial" w:hAnsi="Arial" w:cs="Arial"/>
              </w:rPr>
              <w:t>Non-irritant (rabbits)</w:t>
            </w:r>
          </w:p>
        </w:tc>
        <w:tc>
          <w:tcPr>
            <w:tcW w:w="1418" w:type="dxa"/>
            <w:vAlign w:val="center"/>
          </w:tcPr>
          <w:p w14:paraId="27B20642" w14:textId="77777777" w:rsidR="005739CB" w:rsidRPr="00813EB0" w:rsidRDefault="005739CB" w:rsidP="00E07077">
            <w:pPr>
              <w:pStyle w:val="Tabletextleft"/>
              <w:rPr>
                <w:rFonts w:ascii="Arial" w:hAnsi="Arial" w:cs="Arial"/>
              </w:rPr>
            </w:pPr>
            <w:r w:rsidRPr="00813EB0">
              <w:rPr>
                <w:rFonts w:ascii="Arial" w:hAnsi="Arial" w:cs="Arial"/>
              </w:rPr>
              <w:t>Non-irritant (rabbits)</w:t>
            </w:r>
          </w:p>
        </w:tc>
        <w:tc>
          <w:tcPr>
            <w:tcW w:w="1134" w:type="dxa"/>
            <w:vAlign w:val="center"/>
          </w:tcPr>
          <w:p w14:paraId="73A6CFB7" w14:textId="77777777" w:rsidR="005739CB" w:rsidRPr="00813EB0" w:rsidRDefault="005739CB" w:rsidP="00E07077">
            <w:pPr>
              <w:pStyle w:val="Tabletextleft"/>
              <w:rPr>
                <w:rFonts w:ascii="Arial" w:hAnsi="Arial" w:cs="Arial"/>
              </w:rPr>
            </w:pPr>
            <w:r w:rsidRPr="00813EB0">
              <w:rPr>
                <w:rFonts w:ascii="Arial" w:hAnsi="Arial" w:cs="Arial"/>
              </w:rPr>
              <w:t>Non-irritant (rabbits)</w:t>
            </w:r>
          </w:p>
        </w:tc>
      </w:tr>
    </w:tbl>
    <w:p w14:paraId="5CC6E40C" w14:textId="77777777" w:rsidR="005739CB" w:rsidRPr="0074486E" w:rsidRDefault="005739CB" w:rsidP="005739CB">
      <w:pPr>
        <w:pStyle w:val="WhiteSpace"/>
        <w:rPr>
          <w:sz w:val="22"/>
          <w:szCs w:val="22"/>
        </w:rPr>
      </w:pPr>
    </w:p>
    <w:p w14:paraId="55278284" w14:textId="77777777" w:rsidR="005739CB" w:rsidRDefault="005739CB" w:rsidP="005739CB">
      <w:pPr>
        <w:pStyle w:val="Heading4"/>
      </w:pPr>
      <w:bookmarkStart w:id="65" w:name="_Toc190944914"/>
      <w:bookmarkStart w:id="66" w:name="_Toc199254951"/>
      <w:r>
        <w:t>Sensitisation</w:t>
      </w:r>
      <w:bookmarkEnd w:id="65"/>
      <w:bookmarkEnd w:id="66"/>
    </w:p>
    <w:p w14:paraId="67C6D9D8" w14:textId="4E4F3097" w:rsidR="005739CB" w:rsidRDefault="005739CB" w:rsidP="00C26EA9">
      <w:proofErr w:type="gramStart"/>
      <w:r w:rsidRPr="001D51B9">
        <w:t>With the exception of</w:t>
      </w:r>
      <w:proofErr w:type="gramEnd"/>
      <w:r>
        <w:t xml:space="preserve"> octocrylene, all the ingredients were not found to be skin sensitisers in </w:t>
      </w:r>
      <w:r w:rsidRPr="008277F8">
        <w:rPr>
          <w:i/>
          <w:iCs/>
        </w:rPr>
        <w:t>in vivo</w:t>
      </w:r>
      <w:r>
        <w:t xml:space="preserve"> studies in animals (see below).</w:t>
      </w:r>
    </w:p>
    <w:p w14:paraId="52A00FC8" w14:textId="77777777" w:rsidR="005739CB" w:rsidRPr="00640E17" w:rsidRDefault="005739CB" w:rsidP="00C26EA9">
      <w:pPr>
        <w:pStyle w:val="Tabletitle"/>
      </w:pPr>
      <w:r w:rsidRPr="00922EBF">
        <w:t>Summary of skin sensitisation studies for sunscreen ingredients</w:t>
      </w:r>
    </w:p>
    <w:tbl>
      <w:tblPr>
        <w:tblW w:w="9469" w:type="dxa"/>
        <w:jc w:val="cente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Layout w:type="fixed"/>
        <w:tblCellMar>
          <w:top w:w="28" w:type="dxa"/>
          <w:left w:w="57" w:type="dxa"/>
          <w:bottom w:w="28" w:type="dxa"/>
          <w:right w:w="57" w:type="dxa"/>
        </w:tblCellMar>
        <w:tblLook w:val="01E0" w:firstRow="1" w:lastRow="1" w:firstColumn="1" w:lastColumn="1" w:noHBand="0" w:noVBand="0"/>
      </w:tblPr>
      <w:tblGrid>
        <w:gridCol w:w="1266"/>
        <w:gridCol w:w="1134"/>
        <w:gridCol w:w="1418"/>
        <w:gridCol w:w="1379"/>
        <w:gridCol w:w="1424"/>
        <w:gridCol w:w="1424"/>
        <w:gridCol w:w="1424"/>
      </w:tblGrid>
      <w:tr w:rsidR="005739CB" w:rsidRPr="0074486E" w14:paraId="25990AF2" w14:textId="77777777" w:rsidTr="00C26EA9">
        <w:trPr>
          <w:cantSplit/>
          <w:trHeight w:val="111"/>
          <w:tblHeader/>
          <w:jc w:val="center"/>
        </w:trPr>
        <w:tc>
          <w:tcPr>
            <w:tcW w:w="1266" w:type="dxa"/>
            <w:shd w:val="clear" w:color="auto" w:fill="B8CCEA"/>
            <w:vAlign w:val="center"/>
          </w:tcPr>
          <w:p w14:paraId="618A3D1A" w14:textId="77777777" w:rsidR="005739CB" w:rsidRPr="00C26EA9" w:rsidRDefault="005739CB" w:rsidP="00E07077">
            <w:pPr>
              <w:pStyle w:val="TableHeader"/>
              <w:rPr>
                <w:rFonts w:asciiTheme="minorHAnsi" w:hAnsiTheme="minorHAnsi" w:cstheme="minorHAnsi"/>
                <w:color w:val="263287"/>
                <w:sz w:val="18"/>
                <w:szCs w:val="18"/>
              </w:rPr>
            </w:pPr>
            <w:r w:rsidRPr="00C26EA9">
              <w:rPr>
                <w:rFonts w:asciiTheme="minorHAnsi" w:hAnsiTheme="minorHAnsi" w:cstheme="minorHAnsi"/>
                <w:color w:val="263287"/>
                <w:sz w:val="18"/>
                <w:szCs w:val="18"/>
              </w:rPr>
              <w:t xml:space="preserve">Butyl </w:t>
            </w:r>
            <w:proofErr w:type="spellStart"/>
            <w:r w:rsidRPr="00C26EA9">
              <w:rPr>
                <w:rFonts w:asciiTheme="minorHAnsi" w:hAnsiTheme="minorHAnsi" w:cstheme="minorHAnsi"/>
                <w:color w:val="263287"/>
                <w:sz w:val="18"/>
                <w:szCs w:val="18"/>
              </w:rPr>
              <w:t>methoxydibenzoylmethane</w:t>
            </w:r>
            <w:proofErr w:type="spellEnd"/>
            <w:r w:rsidRPr="00C26EA9" w:rsidDel="00600567">
              <w:rPr>
                <w:rFonts w:asciiTheme="minorHAnsi" w:hAnsiTheme="minorHAnsi" w:cstheme="minorHAnsi"/>
                <w:color w:val="263287"/>
                <w:sz w:val="18"/>
                <w:szCs w:val="18"/>
              </w:rPr>
              <w:t xml:space="preserve"> </w:t>
            </w:r>
            <w:r w:rsidRPr="00C26EA9">
              <w:rPr>
                <w:rFonts w:asciiTheme="minorHAnsi" w:hAnsiTheme="minorHAnsi" w:cstheme="minorHAnsi"/>
                <w:color w:val="263287"/>
                <w:sz w:val="18"/>
                <w:szCs w:val="18"/>
              </w:rPr>
              <w:t>(ECHA 2021a;</w:t>
            </w:r>
            <w:r w:rsidRPr="00C26EA9">
              <w:rPr>
                <w:rFonts w:asciiTheme="minorHAnsi" w:hAnsiTheme="minorHAnsi" w:cstheme="minorHAnsi"/>
                <w:b w:val="0"/>
                <w:snapToGrid/>
                <w:color w:val="263287"/>
                <w:kern w:val="0"/>
                <w:sz w:val="18"/>
                <w:szCs w:val="18"/>
              </w:rPr>
              <w:t xml:space="preserve"> </w:t>
            </w:r>
            <w:r w:rsidRPr="00C26EA9">
              <w:rPr>
                <w:rFonts w:asciiTheme="minorHAnsi" w:hAnsiTheme="minorHAnsi" w:cstheme="minorHAnsi"/>
                <w:color w:val="263287"/>
                <w:sz w:val="18"/>
                <w:szCs w:val="18"/>
              </w:rPr>
              <w:t xml:space="preserve">DEPA 2015)  </w:t>
            </w:r>
          </w:p>
        </w:tc>
        <w:tc>
          <w:tcPr>
            <w:tcW w:w="1134" w:type="dxa"/>
            <w:shd w:val="clear" w:color="auto" w:fill="B8CCEA"/>
            <w:tcMar>
              <w:left w:w="57" w:type="dxa"/>
              <w:right w:w="57" w:type="dxa"/>
            </w:tcMar>
            <w:vAlign w:val="center"/>
          </w:tcPr>
          <w:p w14:paraId="0F56F94C" w14:textId="77777777" w:rsidR="005739CB" w:rsidRPr="00C26EA9" w:rsidRDefault="005739CB" w:rsidP="00E07077">
            <w:pPr>
              <w:pStyle w:val="TableHeader"/>
              <w:rPr>
                <w:rFonts w:asciiTheme="minorHAnsi" w:hAnsiTheme="minorHAnsi" w:cstheme="minorHAnsi"/>
                <w:color w:val="263287"/>
                <w:sz w:val="18"/>
                <w:szCs w:val="18"/>
              </w:rPr>
            </w:pPr>
            <w:proofErr w:type="spellStart"/>
            <w:r w:rsidRPr="00C26EA9">
              <w:rPr>
                <w:rFonts w:asciiTheme="minorHAnsi" w:hAnsiTheme="minorHAnsi" w:cstheme="minorHAnsi"/>
                <w:color w:val="263287"/>
                <w:sz w:val="18"/>
                <w:szCs w:val="18"/>
              </w:rPr>
              <w:t>Ethylhexyl</w:t>
            </w:r>
            <w:proofErr w:type="spellEnd"/>
            <w:r w:rsidRPr="00C26EA9">
              <w:rPr>
                <w:rFonts w:asciiTheme="minorHAnsi" w:hAnsiTheme="minorHAnsi" w:cstheme="minorHAnsi"/>
                <w:color w:val="263287"/>
                <w:sz w:val="18"/>
                <w:szCs w:val="18"/>
              </w:rPr>
              <w:t xml:space="preserve"> </w:t>
            </w:r>
            <w:proofErr w:type="spellStart"/>
            <w:r w:rsidRPr="00C26EA9">
              <w:rPr>
                <w:rFonts w:asciiTheme="minorHAnsi" w:hAnsiTheme="minorHAnsi" w:cstheme="minorHAnsi"/>
                <w:color w:val="263287"/>
                <w:sz w:val="18"/>
                <w:szCs w:val="18"/>
              </w:rPr>
              <w:t>triazone</w:t>
            </w:r>
            <w:proofErr w:type="spellEnd"/>
          </w:p>
          <w:p w14:paraId="16A68CD6" w14:textId="77777777" w:rsidR="005739CB" w:rsidRPr="00C26EA9" w:rsidRDefault="005739CB" w:rsidP="00E07077">
            <w:pPr>
              <w:pStyle w:val="TableHeader"/>
              <w:rPr>
                <w:rFonts w:asciiTheme="minorHAnsi" w:hAnsiTheme="minorHAnsi" w:cstheme="minorHAnsi"/>
                <w:color w:val="263287"/>
                <w:sz w:val="18"/>
                <w:szCs w:val="18"/>
              </w:rPr>
            </w:pPr>
            <w:r w:rsidRPr="00C26EA9">
              <w:rPr>
                <w:rFonts w:asciiTheme="minorHAnsi" w:hAnsiTheme="minorHAnsi" w:cstheme="minorHAnsi"/>
                <w:color w:val="263287"/>
                <w:sz w:val="18"/>
                <w:szCs w:val="18"/>
              </w:rPr>
              <w:t>(ECHA (2021b; DEPA 2015</w:t>
            </w:r>
          </w:p>
        </w:tc>
        <w:tc>
          <w:tcPr>
            <w:tcW w:w="1418" w:type="dxa"/>
            <w:shd w:val="clear" w:color="auto" w:fill="B8CCEA"/>
            <w:vAlign w:val="center"/>
          </w:tcPr>
          <w:p w14:paraId="0E75B860" w14:textId="77777777" w:rsidR="005739CB" w:rsidRPr="00C26EA9" w:rsidRDefault="005739CB" w:rsidP="00E07077">
            <w:pPr>
              <w:pStyle w:val="TableHeader"/>
              <w:rPr>
                <w:rFonts w:asciiTheme="minorHAnsi" w:hAnsiTheme="minorHAnsi" w:cstheme="minorHAnsi"/>
                <w:color w:val="263287"/>
                <w:sz w:val="18"/>
                <w:szCs w:val="18"/>
              </w:rPr>
            </w:pPr>
            <w:proofErr w:type="spellStart"/>
            <w:r w:rsidRPr="00C26EA9">
              <w:rPr>
                <w:rFonts w:asciiTheme="minorHAnsi" w:hAnsiTheme="minorHAnsi" w:cstheme="minorHAnsi"/>
                <w:color w:val="263287"/>
                <w:sz w:val="18"/>
                <w:szCs w:val="18"/>
              </w:rPr>
              <w:t>Homosalate</w:t>
            </w:r>
            <w:proofErr w:type="spellEnd"/>
          </w:p>
          <w:p w14:paraId="552EEB0E" w14:textId="77777777" w:rsidR="005739CB" w:rsidRPr="00C26EA9" w:rsidRDefault="005739CB" w:rsidP="00E07077">
            <w:pPr>
              <w:pStyle w:val="TableHeader"/>
              <w:rPr>
                <w:rFonts w:asciiTheme="minorHAnsi" w:hAnsiTheme="minorHAnsi" w:cstheme="minorHAnsi"/>
                <w:color w:val="263287"/>
                <w:sz w:val="18"/>
                <w:szCs w:val="18"/>
              </w:rPr>
            </w:pPr>
            <w:r w:rsidRPr="00C26EA9">
              <w:rPr>
                <w:rFonts w:asciiTheme="minorHAnsi" w:hAnsiTheme="minorHAnsi" w:cstheme="minorHAnsi"/>
                <w:color w:val="263287"/>
                <w:sz w:val="18"/>
                <w:szCs w:val="18"/>
              </w:rPr>
              <w:t>(SCCS 2021</w:t>
            </w:r>
            <w:proofErr w:type="gramStart"/>
            <w:r w:rsidRPr="00C26EA9">
              <w:rPr>
                <w:rFonts w:asciiTheme="minorHAnsi" w:hAnsiTheme="minorHAnsi" w:cstheme="minorHAnsi"/>
                <w:color w:val="263287"/>
                <w:sz w:val="18"/>
                <w:szCs w:val="18"/>
              </w:rPr>
              <w:t>b,c</w:t>
            </w:r>
            <w:proofErr w:type="gramEnd"/>
            <w:r w:rsidRPr="00C26EA9">
              <w:rPr>
                <w:rFonts w:asciiTheme="minorHAnsi" w:hAnsiTheme="minorHAnsi" w:cstheme="minorHAnsi"/>
                <w:color w:val="263287"/>
                <w:sz w:val="18"/>
                <w:szCs w:val="18"/>
              </w:rPr>
              <w:t>; ECHA  2021c)</w:t>
            </w:r>
          </w:p>
        </w:tc>
        <w:tc>
          <w:tcPr>
            <w:tcW w:w="1379" w:type="dxa"/>
            <w:shd w:val="clear" w:color="auto" w:fill="B8CCEA"/>
            <w:vAlign w:val="center"/>
          </w:tcPr>
          <w:p w14:paraId="03FC4A10" w14:textId="77777777" w:rsidR="005739CB" w:rsidRPr="00C26EA9" w:rsidRDefault="005739CB" w:rsidP="00E07077">
            <w:pPr>
              <w:pStyle w:val="TableHeader"/>
              <w:rPr>
                <w:rFonts w:asciiTheme="minorHAnsi" w:hAnsiTheme="minorHAnsi" w:cstheme="minorHAnsi"/>
                <w:color w:val="263287"/>
                <w:sz w:val="18"/>
                <w:szCs w:val="18"/>
              </w:rPr>
            </w:pPr>
            <w:r w:rsidRPr="00C26EA9">
              <w:rPr>
                <w:rFonts w:asciiTheme="minorHAnsi" w:hAnsiTheme="minorHAnsi" w:cstheme="minorHAnsi"/>
                <w:color w:val="263287"/>
                <w:sz w:val="18"/>
                <w:szCs w:val="18"/>
              </w:rPr>
              <w:t>Octyl methoxycinnamate</w:t>
            </w:r>
          </w:p>
          <w:p w14:paraId="00B1F05A" w14:textId="77777777" w:rsidR="005739CB" w:rsidRPr="00C26EA9" w:rsidRDefault="005739CB" w:rsidP="00E07077">
            <w:pPr>
              <w:pStyle w:val="TableHeader"/>
              <w:rPr>
                <w:rFonts w:asciiTheme="minorHAnsi" w:hAnsiTheme="minorHAnsi" w:cstheme="minorHAnsi"/>
                <w:color w:val="263287"/>
                <w:sz w:val="18"/>
                <w:szCs w:val="18"/>
              </w:rPr>
            </w:pPr>
            <w:r w:rsidRPr="00C26EA9">
              <w:rPr>
                <w:rFonts w:asciiTheme="minorHAnsi" w:hAnsiTheme="minorHAnsi" w:cstheme="minorHAnsi"/>
                <w:color w:val="263287"/>
                <w:sz w:val="18"/>
                <w:szCs w:val="18"/>
              </w:rPr>
              <w:t>(ECHA 2021e)</w:t>
            </w:r>
          </w:p>
        </w:tc>
        <w:tc>
          <w:tcPr>
            <w:tcW w:w="1424" w:type="dxa"/>
            <w:shd w:val="clear" w:color="auto" w:fill="B8CCEA"/>
            <w:vAlign w:val="center"/>
          </w:tcPr>
          <w:p w14:paraId="455E6A70" w14:textId="77777777" w:rsidR="005739CB" w:rsidRPr="00C26EA9" w:rsidRDefault="005739CB" w:rsidP="00E07077">
            <w:pPr>
              <w:pStyle w:val="TableHeader"/>
              <w:rPr>
                <w:rFonts w:asciiTheme="minorHAnsi" w:hAnsiTheme="minorHAnsi" w:cstheme="minorHAnsi"/>
                <w:color w:val="263287"/>
                <w:sz w:val="18"/>
                <w:szCs w:val="18"/>
              </w:rPr>
            </w:pPr>
            <w:r w:rsidRPr="00C26EA9">
              <w:rPr>
                <w:rFonts w:asciiTheme="minorHAnsi" w:hAnsiTheme="minorHAnsi" w:cstheme="minorHAnsi"/>
                <w:color w:val="263287"/>
                <w:sz w:val="18"/>
                <w:szCs w:val="18"/>
              </w:rPr>
              <w:t>Octocrylene</w:t>
            </w:r>
          </w:p>
          <w:p w14:paraId="522617F0" w14:textId="77777777" w:rsidR="005739CB" w:rsidRPr="00C26EA9" w:rsidRDefault="005739CB" w:rsidP="00E07077">
            <w:pPr>
              <w:pStyle w:val="TableHeader"/>
              <w:rPr>
                <w:rFonts w:asciiTheme="minorHAnsi" w:hAnsiTheme="minorHAnsi" w:cstheme="minorHAnsi"/>
                <w:color w:val="263287"/>
                <w:sz w:val="18"/>
                <w:szCs w:val="18"/>
              </w:rPr>
            </w:pPr>
            <w:r w:rsidRPr="00C26EA9">
              <w:rPr>
                <w:rFonts w:asciiTheme="minorHAnsi" w:hAnsiTheme="minorHAnsi" w:cstheme="minorHAnsi"/>
                <w:color w:val="263287"/>
                <w:sz w:val="18"/>
                <w:szCs w:val="18"/>
              </w:rPr>
              <w:t>(SCCS 2021d; ECHA 2021d)</w:t>
            </w:r>
          </w:p>
        </w:tc>
        <w:tc>
          <w:tcPr>
            <w:tcW w:w="1424" w:type="dxa"/>
            <w:shd w:val="clear" w:color="auto" w:fill="B8CCEA"/>
            <w:vAlign w:val="center"/>
          </w:tcPr>
          <w:p w14:paraId="1A7141E8" w14:textId="77777777" w:rsidR="005739CB" w:rsidRPr="00C26EA9" w:rsidRDefault="005739CB" w:rsidP="00E07077">
            <w:pPr>
              <w:pStyle w:val="TableHeader"/>
              <w:rPr>
                <w:rFonts w:asciiTheme="minorHAnsi" w:hAnsiTheme="minorHAnsi" w:cstheme="minorHAnsi"/>
                <w:color w:val="263287"/>
                <w:sz w:val="18"/>
                <w:szCs w:val="18"/>
              </w:rPr>
            </w:pPr>
            <w:r w:rsidRPr="00C26EA9">
              <w:rPr>
                <w:rFonts w:asciiTheme="minorHAnsi" w:hAnsiTheme="minorHAnsi" w:cstheme="minorHAnsi"/>
                <w:color w:val="263287"/>
                <w:sz w:val="18"/>
                <w:szCs w:val="18"/>
              </w:rPr>
              <w:t>Oxybenzone</w:t>
            </w:r>
          </w:p>
          <w:p w14:paraId="05FA3475" w14:textId="77777777" w:rsidR="005739CB" w:rsidRPr="00C26EA9" w:rsidRDefault="005739CB" w:rsidP="00E07077">
            <w:pPr>
              <w:pStyle w:val="TableHeader"/>
              <w:rPr>
                <w:rFonts w:asciiTheme="minorHAnsi" w:hAnsiTheme="minorHAnsi" w:cstheme="minorHAnsi"/>
                <w:color w:val="263287"/>
                <w:sz w:val="18"/>
                <w:szCs w:val="18"/>
              </w:rPr>
            </w:pPr>
            <w:r w:rsidRPr="00C26EA9">
              <w:rPr>
                <w:rFonts w:asciiTheme="minorHAnsi" w:hAnsiTheme="minorHAnsi" w:cstheme="minorHAnsi"/>
                <w:color w:val="263287"/>
                <w:sz w:val="18"/>
                <w:szCs w:val="18"/>
              </w:rPr>
              <w:t>(SCCP 2006a; 2021c)</w:t>
            </w:r>
          </w:p>
        </w:tc>
        <w:tc>
          <w:tcPr>
            <w:tcW w:w="1424" w:type="dxa"/>
            <w:shd w:val="clear" w:color="auto" w:fill="B8CCEA"/>
            <w:vAlign w:val="center"/>
          </w:tcPr>
          <w:p w14:paraId="6ABB1171" w14:textId="77777777" w:rsidR="005739CB" w:rsidRPr="00C26EA9" w:rsidRDefault="005739CB" w:rsidP="00E07077">
            <w:pPr>
              <w:pStyle w:val="TableHeader"/>
              <w:rPr>
                <w:rFonts w:asciiTheme="minorHAnsi" w:hAnsiTheme="minorHAnsi" w:cstheme="minorHAnsi"/>
                <w:color w:val="263287"/>
                <w:sz w:val="18"/>
                <w:szCs w:val="18"/>
              </w:rPr>
            </w:pPr>
            <w:proofErr w:type="spellStart"/>
            <w:r w:rsidRPr="00C26EA9">
              <w:rPr>
                <w:rFonts w:asciiTheme="minorHAnsi" w:hAnsiTheme="minorHAnsi" w:cstheme="minorHAnsi"/>
                <w:color w:val="263287"/>
                <w:sz w:val="18"/>
                <w:szCs w:val="18"/>
              </w:rPr>
              <w:t>Phenylbenzimidazole</w:t>
            </w:r>
            <w:proofErr w:type="spellEnd"/>
            <w:r w:rsidRPr="00C26EA9">
              <w:rPr>
                <w:rFonts w:asciiTheme="minorHAnsi" w:hAnsiTheme="minorHAnsi" w:cstheme="minorHAnsi"/>
                <w:color w:val="263287"/>
                <w:sz w:val="18"/>
                <w:szCs w:val="18"/>
              </w:rPr>
              <w:t xml:space="preserve"> sulfonic acid (SCCP 2006b)</w:t>
            </w:r>
          </w:p>
        </w:tc>
      </w:tr>
      <w:tr w:rsidR="005739CB" w:rsidRPr="0074486E" w14:paraId="351A1907" w14:textId="77777777" w:rsidTr="00C26EA9">
        <w:trPr>
          <w:cantSplit/>
          <w:trHeight w:val="1551"/>
          <w:jc w:val="center"/>
        </w:trPr>
        <w:tc>
          <w:tcPr>
            <w:tcW w:w="1266" w:type="dxa"/>
            <w:vAlign w:val="center"/>
          </w:tcPr>
          <w:p w14:paraId="3CDD2C2B" w14:textId="603F09BF" w:rsidR="005739CB" w:rsidRPr="00C26EA9" w:rsidRDefault="005739CB" w:rsidP="00BA4549">
            <w:pPr>
              <w:pStyle w:val="Tabletextleft"/>
              <w:rPr>
                <w:rFonts w:asciiTheme="minorHAnsi" w:hAnsiTheme="minorHAnsi" w:cstheme="minorHAnsi"/>
              </w:rPr>
            </w:pPr>
            <w:r w:rsidRPr="00C26EA9">
              <w:rPr>
                <w:rFonts w:asciiTheme="minorHAnsi" w:hAnsiTheme="minorHAnsi" w:cstheme="minorHAnsi"/>
              </w:rPr>
              <w:t>Not sensiti</w:t>
            </w:r>
            <w:r w:rsidR="00BA4549">
              <w:rPr>
                <w:rFonts w:asciiTheme="minorHAnsi" w:hAnsiTheme="minorHAnsi" w:cstheme="minorHAnsi"/>
              </w:rPr>
              <w:t>s</w:t>
            </w:r>
            <w:r w:rsidRPr="00C26EA9">
              <w:rPr>
                <w:rFonts w:asciiTheme="minorHAnsi" w:hAnsiTheme="minorHAnsi" w:cstheme="minorHAnsi"/>
              </w:rPr>
              <w:t>ing (at 6% and 20% in GPMT)</w:t>
            </w:r>
          </w:p>
        </w:tc>
        <w:tc>
          <w:tcPr>
            <w:tcW w:w="1134" w:type="dxa"/>
            <w:shd w:val="clear" w:color="auto" w:fill="auto"/>
            <w:vAlign w:val="center"/>
          </w:tcPr>
          <w:p w14:paraId="3235F045" w14:textId="44ED75D6" w:rsidR="005739CB" w:rsidRPr="00C26EA9" w:rsidRDefault="005739CB" w:rsidP="00BA4549">
            <w:pPr>
              <w:pStyle w:val="Tabletextleft"/>
              <w:rPr>
                <w:rFonts w:asciiTheme="minorHAnsi" w:hAnsiTheme="minorHAnsi" w:cstheme="minorHAnsi"/>
              </w:rPr>
            </w:pPr>
            <w:r w:rsidRPr="00C26EA9">
              <w:rPr>
                <w:rFonts w:asciiTheme="minorHAnsi" w:hAnsiTheme="minorHAnsi" w:cstheme="minorHAnsi"/>
              </w:rPr>
              <w:t>Not sensiti</w:t>
            </w:r>
            <w:r w:rsidR="00BA4549">
              <w:rPr>
                <w:rFonts w:asciiTheme="minorHAnsi" w:hAnsiTheme="minorHAnsi" w:cstheme="minorHAnsi"/>
              </w:rPr>
              <w:t>s</w:t>
            </w:r>
            <w:r w:rsidRPr="00C26EA9">
              <w:rPr>
                <w:rFonts w:asciiTheme="minorHAnsi" w:hAnsiTheme="minorHAnsi" w:cstheme="minorHAnsi"/>
              </w:rPr>
              <w:t>ing (GPMT)</w:t>
            </w:r>
          </w:p>
        </w:tc>
        <w:tc>
          <w:tcPr>
            <w:tcW w:w="1418" w:type="dxa"/>
            <w:vAlign w:val="center"/>
          </w:tcPr>
          <w:p w14:paraId="5A4F4D93" w14:textId="77777777" w:rsidR="005739CB" w:rsidRPr="00C26EA9" w:rsidRDefault="005739CB" w:rsidP="00E07077">
            <w:pPr>
              <w:pStyle w:val="Tabletextleft"/>
              <w:rPr>
                <w:rFonts w:asciiTheme="minorHAnsi" w:hAnsiTheme="minorHAnsi" w:cstheme="minorHAnsi"/>
              </w:rPr>
            </w:pPr>
            <w:r w:rsidRPr="00C26EA9">
              <w:rPr>
                <w:rFonts w:asciiTheme="minorHAnsi" w:hAnsiTheme="minorHAnsi" w:cstheme="minorHAnsi"/>
              </w:rPr>
              <w:t>Not sensitizing (GPMT and mice)</w:t>
            </w:r>
          </w:p>
          <w:p w14:paraId="2F5FD752" w14:textId="592052C4" w:rsidR="005739CB" w:rsidRPr="00C26EA9" w:rsidRDefault="005739CB" w:rsidP="00E07077">
            <w:pPr>
              <w:pStyle w:val="Tabletextleft"/>
              <w:rPr>
                <w:rFonts w:asciiTheme="minorHAnsi" w:hAnsiTheme="minorHAnsi" w:cstheme="minorHAnsi"/>
              </w:rPr>
            </w:pPr>
            <w:r w:rsidRPr="00C26EA9">
              <w:rPr>
                <w:rFonts w:asciiTheme="minorHAnsi" w:hAnsiTheme="minorHAnsi" w:cstheme="minorHAnsi"/>
              </w:rPr>
              <w:t>Not sensiti</w:t>
            </w:r>
            <w:r w:rsidR="00BA4549">
              <w:rPr>
                <w:rFonts w:asciiTheme="minorHAnsi" w:hAnsiTheme="minorHAnsi" w:cstheme="minorHAnsi"/>
              </w:rPr>
              <w:t>s</w:t>
            </w:r>
            <w:r w:rsidRPr="00C26EA9">
              <w:rPr>
                <w:rFonts w:asciiTheme="minorHAnsi" w:hAnsiTheme="minorHAnsi" w:cstheme="minorHAnsi"/>
              </w:rPr>
              <w:t>ing (at 15%, HRIPT)</w:t>
            </w:r>
          </w:p>
        </w:tc>
        <w:tc>
          <w:tcPr>
            <w:tcW w:w="1379" w:type="dxa"/>
            <w:vAlign w:val="center"/>
          </w:tcPr>
          <w:p w14:paraId="09BE8BD2" w14:textId="4D577808" w:rsidR="005739CB" w:rsidRPr="00C26EA9" w:rsidRDefault="005739CB" w:rsidP="00BA4549">
            <w:pPr>
              <w:pStyle w:val="Tabletextleft"/>
              <w:rPr>
                <w:rFonts w:asciiTheme="minorHAnsi" w:hAnsiTheme="minorHAnsi" w:cstheme="minorHAnsi"/>
              </w:rPr>
            </w:pPr>
            <w:r w:rsidRPr="00C26EA9">
              <w:rPr>
                <w:rFonts w:asciiTheme="minorHAnsi" w:hAnsiTheme="minorHAnsi" w:cstheme="minorHAnsi"/>
              </w:rPr>
              <w:t>Not sensiti</w:t>
            </w:r>
            <w:r w:rsidR="00BA4549">
              <w:rPr>
                <w:rFonts w:asciiTheme="minorHAnsi" w:hAnsiTheme="minorHAnsi" w:cstheme="minorHAnsi"/>
              </w:rPr>
              <w:t>s</w:t>
            </w:r>
            <w:r w:rsidRPr="00C26EA9">
              <w:rPr>
                <w:rFonts w:asciiTheme="minorHAnsi" w:hAnsiTheme="minorHAnsi" w:cstheme="minorHAnsi"/>
              </w:rPr>
              <w:t>ing (GPMT)</w:t>
            </w:r>
          </w:p>
        </w:tc>
        <w:tc>
          <w:tcPr>
            <w:tcW w:w="1424" w:type="dxa"/>
            <w:vAlign w:val="center"/>
          </w:tcPr>
          <w:p w14:paraId="6E06B6E7" w14:textId="77777777" w:rsidR="005739CB" w:rsidRPr="00C26EA9" w:rsidRDefault="005739CB" w:rsidP="00E07077">
            <w:pPr>
              <w:pStyle w:val="Tabletextleft"/>
              <w:rPr>
                <w:rFonts w:asciiTheme="minorHAnsi" w:hAnsiTheme="minorHAnsi" w:cstheme="minorHAnsi"/>
              </w:rPr>
            </w:pPr>
            <w:r w:rsidRPr="00C26EA9">
              <w:rPr>
                <w:rFonts w:asciiTheme="minorHAnsi" w:hAnsiTheme="minorHAnsi" w:cstheme="minorHAnsi"/>
              </w:rPr>
              <w:t>Not sensitizing (GPMT)</w:t>
            </w:r>
          </w:p>
          <w:p w14:paraId="29EE570E" w14:textId="0D5E00EA" w:rsidR="005739CB" w:rsidRPr="00C26EA9" w:rsidRDefault="005739CB" w:rsidP="00BA4549">
            <w:pPr>
              <w:pStyle w:val="Tabletextleft"/>
              <w:rPr>
                <w:rFonts w:asciiTheme="minorHAnsi" w:hAnsiTheme="minorHAnsi" w:cstheme="minorHAnsi"/>
              </w:rPr>
            </w:pPr>
            <w:r w:rsidRPr="00C26EA9">
              <w:rPr>
                <w:rFonts w:asciiTheme="minorHAnsi" w:hAnsiTheme="minorHAnsi" w:cstheme="minorHAnsi"/>
              </w:rPr>
              <w:t>Moderate sensitising in a LLNA (not properly conducted)</w:t>
            </w:r>
          </w:p>
        </w:tc>
        <w:tc>
          <w:tcPr>
            <w:tcW w:w="1424" w:type="dxa"/>
            <w:vAlign w:val="center"/>
          </w:tcPr>
          <w:p w14:paraId="378E7247" w14:textId="77777777" w:rsidR="005739CB" w:rsidRPr="00C26EA9" w:rsidRDefault="005739CB" w:rsidP="00E07077">
            <w:pPr>
              <w:pStyle w:val="Tabletextleft"/>
              <w:rPr>
                <w:rFonts w:asciiTheme="minorHAnsi" w:hAnsiTheme="minorHAnsi" w:cstheme="minorHAnsi"/>
              </w:rPr>
            </w:pPr>
            <w:r w:rsidRPr="00C26EA9">
              <w:rPr>
                <w:rFonts w:asciiTheme="minorHAnsi" w:hAnsiTheme="minorHAnsi" w:cstheme="minorHAnsi"/>
              </w:rPr>
              <w:t>Not sensitizing (GPMT)</w:t>
            </w:r>
          </w:p>
          <w:p w14:paraId="6EC2DE7D" w14:textId="77777777" w:rsidR="005739CB" w:rsidRPr="00C26EA9" w:rsidRDefault="005739CB" w:rsidP="00E07077">
            <w:pPr>
              <w:pStyle w:val="Tabletextleft"/>
              <w:rPr>
                <w:rFonts w:asciiTheme="minorHAnsi" w:hAnsiTheme="minorHAnsi" w:cstheme="minorHAnsi"/>
              </w:rPr>
            </w:pPr>
            <w:r w:rsidRPr="00C26EA9">
              <w:rPr>
                <w:rFonts w:asciiTheme="minorHAnsi" w:hAnsiTheme="minorHAnsi" w:cstheme="minorHAnsi"/>
              </w:rPr>
              <w:t>Not sensitising (LLNA)</w:t>
            </w:r>
          </w:p>
        </w:tc>
        <w:tc>
          <w:tcPr>
            <w:tcW w:w="1424" w:type="dxa"/>
            <w:vAlign w:val="center"/>
          </w:tcPr>
          <w:p w14:paraId="202E8E69" w14:textId="52C81989" w:rsidR="005739CB" w:rsidRPr="00C26EA9" w:rsidRDefault="005739CB" w:rsidP="00BA4549">
            <w:pPr>
              <w:pStyle w:val="Tabletextleft"/>
              <w:rPr>
                <w:rFonts w:asciiTheme="minorHAnsi" w:hAnsiTheme="minorHAnsi" w:cstheme="minorHAnsi"/>
              </w:rPr>
            </w:pPr>
            <w:r w:rsidRPr="00C26EA9">
              <w:rPr>
                <w:rFonts w:asciiTheme="minorHAnsi" w:hAnsiTheme="minorHAnsi" w:cstheme="minorHAnsi"/>
              </w:rPr>
              <w:t>Not sensiti</w:t>
            </w:r>
            <w:r w:rsidR="00BA4549">
              <w:rPr>
                <w:rFonts w:asciiTheme="minorHAnsi" w:hAnsiTheme="minorHAnsi" w:cstheme="minorHAnsi"/>
              </w:rPr>
              <w:t>s</w:t>
            </w:r>
            <w:r w:rsidRPr="00C26EA9">
              <w:rPr>
                <w:rFonts w:asciiTheme="minorHAnsi" w:hAnsiTheme="minorHAnsi" w:cstheme="minorHAnsi"/>
              </w:rPr>
              <w:t>ing (GPMT)</w:t>
            </w:r>
          </w:p>
        </w:tc>
      </w:tr>
    </w:tbl>
    <w:p w14:paraId="453EF4F0" w14:textId="77777777" w:rsidR="005739CB" w:rsidRPr="0094232A" w:rsidRDefault="005739CB" w:rsidP="00C26EA9">
      <w:pPr>
        <w:pStyle w:val="Tabledescription"/>
      </w:pPr>
      <w:r w:rsidRPr="0094232A">
        <w:t>GPMT: Guinea Pig Maximization Test; LLNA: Local Lymph Node Assay; HRIPT: Human repeated insult patch test</w:t>
      </w:r>
    </w:p>
    <w:p w14:paraId="1B8582AD" w14:textId="77777777" w:rsidR="00192721" w:rsidRDefault="00192721" w:rsidP="00192721">
      <w:pPr>
        <w:pStyle w:val="Heading4"/>
      </w:pPr>
      <w:bookmarkStart w:id="67" w:name="_Toc190944915"/>
      <w:bookmarkStart w:id="68" w:name="_Toc199254952"/>
      <w:r>
        <w:t>Repeat dose toxicity</w:t>
      </w:r>
      <w:bookmarkEnd w:id="67"/>
      <w:bookmarkEnd w:id="68"/>
    </w:p>
    <w:p w14:paraId="6BF2D4ED" w14:textId="77777777" w:rsidR="00192721" w:rsidRDefault="00192721" w:rsidP="00C26EA9">
      <w:r>
        <w:t>A summary of repeat-dose toxicity studies for each sunscreen ingredient is shown in the table below:</w:t>
      </w:r>
    </w:p>
    <w:p w14:paraId="5DDF7D22" w14:textId="77777777" w:rsidR="00192721" w:rsidRPr="00922EBF" w:rsidRDefault="00192721" w:rsidP="00C26EA9">
      <w:pPr>
        <w:pStyle w:val="Tabletitle"/>
      </w:pPr>
      <w:r w:rsidRPr="00922EBF">
        <w:t>Repeat-dose toxicity studies for sunscreen ingredients</w:t>
      </w:r>
    </w:p>
    <w:tbl>
      <w:tblPr>
        <w:tblW w:w="9469" w:type="dxa"/>
        <w:jc w:val="cente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Layout w:type="fixed"/>
        <w:tblCellMar>
          <w:top w:w="28" w:type="dxa"/>
          <w:left w:w="85" w:type="dxa"/>
          <w:bottom w:w="28" w:type="dxa"/>
          <w:right w:w="85" w:type="dxa"/>
        </w:tblCellMar>
        <w:tblLook w:val="0000" w:firstRow="0" w:lastRow="0" w:firstColumn="0" w:lastColumn="0" w:noHBand="0" w:noVBand="0"/>
      </w:tblPr>
      <w:tblGrid>
        <w:gridCol w:w="1833"/>
        <w:gridCol w:w="2977"/>
        <w:gridCol w:w="4659"/>
      </w:tblGrid>
      <w:tr w:rsidR="00192721" w:rsidRPr="0074486E" w14:paraId="46C4D6FC" w14:textId="77777777" w:rsidTr="00C26EA9">
        <w:trPr>
          <w:trHeight w:val="227"/>
          <w:tblHeader/>
          <w:jc w:val="center"/>
        </w:trPr>
        <w:tc>
          <w:tcPr>
            <w:tcW w:w="1833" w:type="dxa"/>
            <w:shd w:val="clear" w:color="auto" w:fill="B8CCEA"/>
            <w:vAlign w:val="center"/>
          </w:tcPr>
          <w:p w14:paraId="61D07710" w14:textId="77777777" w:rsidR="00192721" w:rsidRPr="00C26EA9" w:rsidRDefault="00192721" w:rsidP="00E07077">
            <w:pPr>
              <w:pStyle w:val="TableHeader"/>
              <w:rPr>
                <w:rFonts w:asciiTheme="minorHAnsi" w:hAnsiTheme="minorHAnsi" w:cstheme="minorHAnsi"/>
                <w:color w:val="263287"/>
                <w:sz w:val="20"/>
                <w:szCs w:val="20"/>
              </w:rPr>
            </w:pPr>
            <w:r w:rsidRPr="00C26EA9">
              <w:rPr>
                <w:rFonts w:asciiTheme="minorHAnsi" w:hAnsiTheme="minorHAnsi" w:cstheme="minorHAnsi"/>
                <w:color w:val="263287"/>
                <w:sz w:val="20"/>
                <w:szCs w:val="20"/>
              </w:rPr>
              <w:t xml:space="preserve">Active ingredient </w:t>
            </w:r>
          </w:p>
        </w:tc>
        <w:tc>
          <w:tcPr>
            <w:tcW w:w="2977" w:type="dxa"/>
            <w:shd w:val="clear" w:color="auto" w:fill="B8CCEA"/>
            <w:tcMar>
              <w:top w:w="57" w:type="dxa"/>
              <w:bottom w:w="57" w:type="dxa"/>
            </w:tcMar>
            <w:vAlign w:val="center"/>
          </w:tcPr>
          <w:p w14:paraId="1574885E" w14:textId="77777777" w:rsidR="00192721" w:rsidRPr="00C26EA9" w:rsidRDefault="00192721" w:rsidP="00E07077">
            <w:pPr>
              <w:pStyle w:val="TableHeader"/>
              <w:rPr>
                <w:rFonts w:asciiTheme="minorHAnsi" w:hAnsiTheme="minorHAnsi" w:cstheme="minorHAnsi"/>
                <w:color w:val="263287"/>
                <w:sz w:val="20"/>
                <w:szCs w:val="20"/>
              </w:rPr>
            </w:pPr>
            <w:r w:rsidRPr="00C26EA9">
              <w:rPr>
                <w:rFonts w:asciiTheme="minorHAnsi" w:hAnsiTheme="minorHAnsi" w:cstheme="minorHAnsi"/>
                <w:color w:val="263287"/>
                <w:sz w:val="20"/>
                <w:szCs w:val="20"/>
              </w:rPr>
              <w:t xml:space="preserve">Study </w:t>
            </w:r>
            <w:proofErr w:type="spellStart"/>
            <w:r w:rsidRPr="00C26EA9">
              <w:rPr>
                <w:rFonts w:asciiTheme="minorHAnsi" w:hAnsiTheme="minorHAnsi" w:cstheme="minorHAnsi"/>
                <w:color w:val="263287"/>
                <w:sz w:val="20"/>
                <w:szCs w:val="20"/>
              </w:rPr>
              <w:t>details</w:t>
            </w:r>
            <w:r w:rsidRPr="00C26EA9">
              <w:rPr>
                <w:rFonts w:asciiTheme="minorHAnsi" w:hAnsiTheme="minorHAnsi" w:cstheme="minorHAnsi"/>
                <w:color w:val="263287"/>
                <w:sz w:val="20"/>
                <w:szCs w:val="20"/>
                <w:vertAlign w:val="superscript"/>
              </w:rPr>
              <w:t>Δ</w:t>
            </w:r>
            <w:proofErr w:type="spellEnd"/>
          </w:p>
        </w:tc>
        <w:tc>
          <w:tcPr>
            <w:tcW w:w="4659" w:type="dxa"/>
            <w:shd w:val="clear" w:color="auto" w:fill="B8CCEA"/>
            <w:tcMar>
              <w:top w:w="57" w:type="dxa"/>
              <w:bottom w:w="57" w:type="dxa"/>
            </w:tcMar>
            <w:vAlign w:val="center"/>
          </w:tcPr>
          <w:p w14:paraId="32A032AD" w14:textId="77777777" w:rsidR="00192721" w:rsidRPr="00C26EA9" w:rsidRDefault="00192721" w:rsidP="00E07077">
            <w:pPr>
              <w:pStyle w:val="TableHeader"/>
              <w:rPr>
                <w:rFonts w:asciiTheme="minorHAnsi" w:hAnsiTheme="minorHAnsi" w:cstheme="minorHAnsi"/>
                <w:color w:val="263287"/>
                <w:sz w:val="20"/>
                <w:szCs w:val="20"/>
              </w:rPr>
            </w:pPr>
            <w:r w:rsidRPr="00C26EA9">
              <w:rPr>
                <w:rFonts w:asciiTheme="minorHAnsi" w:hAnsiTheme="minorHAnsi" w:cstheme="minorHAnsi"/>
                <w:color w:val="263287"/>
                <w:sz w:val="20"/>
                <w:szCs w:val="20"/>
              </w:rPr>
              <w:t>Major findings</w:t>
            </w:r>
          </w:p>
        </w:tc>
      </w:tr>
      <w:tr w:rsidR="00192721" w:rsidRPr="0074486E" w14:paraId="736B0865" w14:textId="77777777" w:rsidTr="00C26EA9">
        <w:trPr>
          <w:trHeight w:val="284"/>
          <w:jc w:val="center"/>
        </w:trPr>
        <w:tc>
          <w:tcPr>
            <w:tcW w:w="1833" w:type="dxa"/>
            <w:vMerge w:val="restart"/>
            <w:vAlign w:val="center"/>
          </w:tcPr>
          <w:p w14:paraId="08786DF9"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 xml:space="preserve">Butyl </w:t>
            </w:r>
            <w:proofErr w:type="spellStart"/>
            <w:r w:rsidRPr="00C26EA9">
              <w:rPr>
                <w:rFonts w:asciiTheme="minorHAnsi" w:hAnsiTheme="minorHAnsi" w:cstheme="minorHAnsi"/>
                <w:kern w:val="2"/>
                <w:sz w:val="16"/>
                <w:szCs w:val="16"/>
              </w:rPr>
              <w:t>methoxydibenzoylmethane</w:t>
            </w:r>
            <w:proofErr w:type="spellEnd"/>
          </w:p>
          <w:p w14:paraId="49DFF97D" w14:textId="6D65BE86" w:rsidR="00192721" w:rsidRPr="00C26EA9" w:rsidRDefault="00192721" w:rsidP="00BA4549">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lastRenderedPageBreak/>
              <w:t>(ECHA 2021a;</w:t>
            </w:r>
            <w:r w:rsidRPr="00C26EA9">
              <w:rPr>
                <w:rFonts w:asciiTheme="minorHAnsi" w:hAnsiTheme="minorHAnsi" w:cstheme="minorHAnsi"/>
                <w:b/>
                <w:kern w:val="2"/>
                <w:sz w:val="16"/>
                <w:szCs w:val="16"/>
              </w:rPr>
              <w:t xml:space="preserve"> </w:t>
            </w:r>
            <w:r w:rsidRPr="00C26EA9">
              <w:rPr>
                <w:rFonts w:asciiTheme="minorHAnsi" w:hAnsiTheme="minorHAnsi" w:cstheme="minorHAnsi"/>
                <w:kern w:val="2"/>
                <w:sz w:val="16"/>
                <w:szCs w:val="16"/>
              </w:rPr>
              <w:t>DEPA 2015)</w:t>
            </w:r>
          </w:p>
        </w:tc>
        <w:tc>
          <w:tcPr>
            <w:tcW w:w="2977" w:type="dxa"/>
            <w:tcMar>
              <w:top w:w="57" w:type="dxa"/>
              <w:left w:w="57" w:type="dxa"/>
              <w:bottom w:w="57" w:type="dxa"/>
              <w:right w:w="57" w:type="dxa"/>
            </w:tcMar>
            <w:vAlign w:val="center"/>
          </w:tcPr>
          <w:p w14:paraId="490C6308" w14:textId="734B0839" w:rsidR="00192721" w:rsidRPr="00C26EA9" w:rsidRDefault="00192721" w:rsidP="00BA4549">
            <w:pPr>
              <w:pStyle w:val="Tabletextleft"/>
              <w:rPr>
                <w:rFonts w:asciiTheme="minorHAnsi" w:hAnsiTheme="minorHAnsi" w:cstheme="minorHAnsi"/>
                <w:kern w:val="2"/>
                <w:sz w:val="16"/>
                <w:szCs w:val="16"/>
              </w:rPr>
            </w:pPr>
            <w:r w:rsidRPr="00C26EA9">
              <w:rPr>
                <w:rFonts w:asciiTheme="minorHAnsi" w:hAnsiTheme="minorHAnsi" w:cstheme="minorHAnsi"/>
                <w:sz w:val="16"/>
                <w:szCs w:val="16"/>
              </w:rPr>
              <w:lastRenderedPageBreak/>
              <w:t>Rats (</w:t>
            </w:r>
            <w:r w:rsidRPr="00C26EA9">
              <w:rPr>
                <w:rFonts w:asciiTheme="minorHAnsi" w:hAnsiTheme="minorHAnsi" w:cstheme="minorHAnsi"/>
                <w:i/>
                <w:sz w:val="16"/>
                <w:szCs w:val="16"/>
              </w:rPr>
              <w:t>n</w:t>
            </w:r>
            <w:r w:rsidRPr="00C26EA9">
              <w:rPr>
                <w:rFonts w:asciiTheme="minorHAnsi" w:hAnsiTheme="minorHAnsi" w:cstheme="minorHAnsi"/>
                <w:sz w:val="16"/>
                <w:szCs w:val="16"/>
              </w:rPr>
              <w:t xml:space="preserve">=12/sex/dose), doses: 0, 200, 450, and 1000 mg /kg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 (diet), 13 weeks</w:t>
            </w:r>
          </w:p>
        </w:tc>
        <w:tc>
          <w:tcPr>
            <w:tcW w:w="4659" w:type="dxa"/>
            <w:vAlign w:val="center"/>
          </w:tcPr>
          <w:p w14:paraId="7B401473"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No treatment-related mortality.</w:t>
            </w:r>
          </w:p>
          <w:p w14:paraId="645D8B38"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No effect on the body weight and food consumption. </w:t>
            </w:r>
          </w:p>
          <w:p w14:paraId="73B2BE87"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 RBC in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rats at 1000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 xml:space="preserve">/day. </w:t>
            </w:r>
          </w:p>
          <w:p w14:paraId="2B44436B"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lastRenderedPageBreak/>
              <w:t xml:space="preserve">No findings in eyes. No treatment-related necropsy findings. </w:t>
            </w:r>
          </w:p>
          <w:p w14:paraId="74DB3BCE"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Treatment-related ↑ liver weights at 1000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 xml:space="preserve">/day in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and at 200, 450, and 1000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 xml:space="preserve">/day in </w:t>
            </w:r>
            <w:r w:rsidRPr="00C26EA9">
              <w:rPr>
                <w:rFonts w:asciiTheme="minorHAnsi" w:eastAsia="Cambria" w:hAnsiTheme="minorHAnsi" w:cstheme="minorHAnsi"/>
                <w:kern w:val="0"/>
                <w:sz w:val="16"/>
                <w:szCs w:val="16"/>
              </w:rPr>
              <w:t xml:space="preserve">♀ </w:t>
            </w:r>
            <w:r w:rsidRPr="00C26EA9">
              <w:rPr>
                <w:rFonts w:asciiTheme="minorHAnsi" w:hAnsiTheme="minorHAnsi" w:cstheme="minorHAnsi"/>
                <w:sz w:val="16"/>
                <w:szCs w:val="16"/>
              </w:rPr>
              <w:t>compared to control. All effects were fully reversed after a treatment-free period of 4 weeks.</w:t>
            </w:r>
          </w:p>
          <w:p w14:paraId="1992492C"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Hypertrophic hepatic parenchyma cells in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at 1000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w:t>
            </w:r>
          </w:p>
          <w:p w14:paraId="1C0DCFDD" w14:textId="77777777" w:rsidR="00192721" w:rsidRPr="00C26EA9" w:rsidRDefault="00192721" w:rsidP="00E07077">
            <w:pPr>
              <w:pStyle w:val="Tabletextleft"/>
              <w:rPr>
                <w:rFonts w:asciiTheme="minorHAnsi" w:hAnsiTheme="minorHAnsi" w:cstheme="minorHAnsi"/>
                <w:b/>
                <w:bCs/>
                <w:sz w:val="16"/>
                <w:szCs w:val="16"/>
              </w:rPr>
            </w:pPr>
            <w:r w:rsidRPr="00C26EA9">
              <w:rPr>
                <w:rFonts w:asciiTheme="minorHAnsi" w:hAnsiTheme="minorHAnsi" w:cstheme="minorHAnsi"/>
                <w:b/>
                <w:bCs/>
                <w:sz w:val="16"/>
                <w:szCs w:val="16"/>
              </w:rPr>
              <w:t xml:space="preserve">NOAEL:  450 mg/kg </w:t>
            </w:r>
            <w:proofErr w:type="spellStart"/>
            <w:r w:rsidRPr="00C26EA9">
              <w:rPr>
                <w:rFonts w:asciiTheme="minorHAnsi" w:hAnsiTheme="minorHAnsi" w:cstheme="minorHAnsi"/>
                <w:b/>
                <w:bCs/>
                <w:sz w:val="16"/>
                <w:szCs w:val="16"/>
              </w:rPr>
              <w:t>bw</w:t>
            </w:r>
            <w:proofErr w:type="spellEnd"/>
            <w:r w:rsidRPr="00C26EA9">
              <w:rPr>
                <w:rFonts w:asciiTheme="minorHAnsi" w:hAnsiTheme="minorHAnsi" w:cstheme="minorHAnsi"/>
                <w:b/>
                <w:bCs/>
                <w:sz w:val="16"/>
                <w:szCs w:val="16"/>
              </w:rPr>
              <w:t>/day</w:t>
            </w:r>
          </w:p>
          <w:p w14:paraId="58EC1193" w14:textId="77777777" w:rsidR="00192721" w:rsidRPr="00C26EA9" w:rsidRDefault="00192721" w:rsidP="00E07077">
            <w:pPr>
              <w:pStyle w:val="Tabletextleft"/>
              <w:rPr>
                <w:rFonts w:asciiTheme="minorHAnsi" w:hAnsiTheme="minorHAnsi" w:cstheme="minorHAnsi"/>
                <w:i/>
                <w:iCs/>
                <w:sz w:val="16"/>
                <w:szCs w:val="16"/>
              </w:rPr>
            </w:pPr>
            <w:r w:rsidRPr="00C26EA9">
              <w:rPr>
                <w:rFonts w:asciiTheme="minorHAnsi" w:hAnsiTheme="minorHAnsi" w:cstheme="minorHAnsi"/>
                <w:i/>
                <w:iCs/>
                <w:sz w:val="16"/>
                <w:szCs w:val="16"/>
              </w:rPr>
              <w:t xml:space="preserve">Applying route to route extrapolation, by assuming that penetration of butyl </w:t>
            </w:r>
            <w:proofErr w:type="spellStart"/>
            <w:r w:rsidRPr="00C26EA9">
              <w:rPr>
                <w:rFonts w:asciiTheme="minorHAnsi" w:hAnsiTheme="minorHAnsi" w:cstheme="minorHAnsi"/>
                <w:i/>
                <w:iCs/>
                <w:sz w:val="16"/>
                <w:szCs w:val="16"/>
              </w:rPr>
              <w:t>methoxydibenzoylmethane</w:t>
            </w:r>
            <w:proofErr w:type="spellEnd"/>
            <w:r w:rsidRPr="00C26EA9" w:rsidDel="007536D9">
              <w:rPr>
                <w:rFonts w:asciiTheme="minorHAnsi" w:hAnsiTheme="minorHAnsi" w:cstheme="minorHAnsi"/>
                <w:i/>
                <w:iCs/>
                <w:sz w:val="16"/>
                <w:szCs w:val="16"/>
              </w:rPr>
              <w:t xml:space="preserve"> </w:t>
            </w:r>
            <w:r w:rsidRPr="00C26EA9">
              <w:rPr>
                <w:rFonts w:asciiTheme="minorHAnsi" w:hAnsiTheme="minorHAnsi" w:cstheme="minorHAnsi"/>
                <w:i/>
                <w:iCs/>
                <w:sz w:val="16"/>
                <w:szCs w:val="16"/>
              </w:rPr>
              <w:t>through skin is equal to penetration through the intestinal wall, the same effect levels as for oral route shall apply for the dermal route of exposure (ECHA 2021)</w:t>
            </w:r>
          </w:p>
        </w:tc>
      </w:tr>
      <w:tr w:rsidR="00192721" w:rsidRPr="0074486E" w14:paraId="411F8C06" w14:textId="77777777" w:rsidTr="00C26EA9">
        <w:trPr>
          <w:trHeight w:val="284"/>
          <w:jc w:val="center"/>
        </w:trPr>
        <w:tc>
          <w:tcPr>
            <w:tcW w:w="1833" w:type="dxa"/>
            <w:vMerge/>
            <w:vAlign w:val="center"/>
          </w:tcPr>
          <w:p w14:paraId="6C2DFC48" w14:textId="77777777" w:rsidR="00192721" w:rsidRPr="00C26EA9" w:rsidRDefault="00192721" w:rsidP="00E07077">
            <w:pPr>
              <w:pStyle w:val="Tabletextleft"/>
              <w:rPr>
                <w:rFonts w:asciiTheme="minorHAnsi" w:hAnsiTheme="minorHAnsi" w:cstheme="minorHAnsi"/>
                <w:kern w:val="2"/>
                <w:sz w:val="16"/>
                <w:szCs w:val="16"/>
              </w:rPr>
            </w:pPr>
          </w:p>
        </w:tc>
        <w:tc>
          <w:tcPr>
            <w:tcW w:w="2977" w:type="dxa"/>
            <w:tcMar>
              <w:top w:w="57" w:type="dxa"/>
              <w:left w:w="57" w:type="dxa"/>
              <w:bottom w:w="57" w:type="dxa"/>
              <w:right w:w="57" w:type="dxa"/>
            </w:tcMar>
            <w:vAlign w:val="center"/>
          </w:tcPr>
          <w:p w14:paraId="5E3E8312" w14:textId="04CC435D" w:rsidR="00192721" w:rsidRPr="00C26EA9" w:rsidRDefault="00192721" w:rsidP="00BA4549">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Rabbits (</w:t>
            </w:r>
            <w:r w:rsidRPr="00C26EA9">
              <w:rPr>
                <w:rFonts w:asciiTheme="minorHAnsi" w:hAnsiTheme="minorHAnsi" w:cstheme="minorHAnsi"/>
                <w:i/>
                <w:kern w:val="2"/>
                <w:sz w:val="16"/>
                <w:szCs w:val="16"/>
              </w:rPr>
              <w:t>n</w:t>
            </w:r>
            <w:r w:rsidRPr="00C26EA9">
              <w:rPr>
                <w:rFonts w:asciiTheme="minorHAnsi" w:hAnsiTheme="minorHAnsi" w:cstheme="minorHAnsi"/>
                <w:kern w:val="2"/>
                <w:sz w:val="16"/>
                <w:szCs w:val="16"/>
              </w:rPr>
              <w:t xml:space="preserve">=10/sex/group), 1.5, 5 and 18 % w/v solutions in </w:t>
            </w:r>
            <w:proofErr w:type="spellStart"/>
            <w:r w:rsidRPr="00C26EA9">
              <w:rPr>
                <w:rFonts w:asciiTheme="minorHAnsi" w:hAnsiTheme="minorHAnsi" w:cstheme="minorHAnsi"/>
                <w:kern w:val="2"/>
                <w:sz w:val="16"/>
                <w:szCs w:val="16"/>
              </w:rPr>
              <w:t>carbitol</w:t>
            </w:r>
            <w:proofErr w:type="spellEnd"/>
            <w:r w:rsidRPr="00C26EA9">
              <w:rPr>
                <w:rFonts w:asciiTheme="minorHAnsi" w:hAnsiTheme="minorHAnsi" w:cstheme="minorHAnsi"/>
                <w:kern w:val="2"/>
                <w:sz w:val="16"/>
                <w:szCs w:val="16"/>
              </w:rPr>
              <w:t xml:space="preserve"> (vehicle) (30, 100 and 360 mg/kg </w:t>
            </w:r>
            <w:proofErr w:type="spellStart"/>
            <w:r w:rsidRPr="00C26EA9">
              <w:rPr>
                <w:rFonts w:asciiTheme="minorHAnsi" w:hAnsiTheme="minorHAnsi" w:cstheme="minorHAnsi"/>
                <w:kern w:val="2"/>
                <w:sz w:val="16"/>
                <w:szCs w:val="16"/>
              </w:rPr>
              <w:t>bw</w:t>
            </w:r>
            <w:proofErr w:type="spellEnd"/>
            <w:r w:rsidRPr="00C26EA9">
              <w:rPr>
                <w:rFonts w:asciiTheme="minorHAnsi" w:hAnsiTheme="minorHAnsi" w:cstheme="minorHAnsi"/>
                <w:kern w:val="2"/>
                <w:sz w:val="16"/>
                <w:szCs w:val="16"/>
              </w:rPr>
              <w:t>/day) (dermal once daily), exposure: 6 hours/day, 28 days</w:t>
            </w:r>
          </w:p>
        </w:tc>
        <w:tc>
          <w:tcPr>
            <w:tcW w:w="4659" w:type="dxa"/>
            <w:vAlign w:val="center"/>
          </w:tcPr>
          <w:p w14:paraId="1F372268"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No treatment-related mortality.</w:t>
            </w:r>
          </w:p>
          <w:p w14:paraId="212FB398"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 dose dependent severe dermal reactions ≥ 30 mg/kg/day, more persistent at 100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 xml:space="preserve">/day. </w:t>
            </w:r>
          </w:p>
          <w:p w14:paraId="3E099075"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 Incidence of epidermal thickening in both vehicle control and treatment groups compared to the untreated control group. </w:t>
            </w:r>
          </w:p>
          <w:p w14:paraId="0FF7A1DD"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NOAEL: 360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 xml:space="preserve">/day (based on systemic effects). </w:t>
            </w:r>
          </w:p>
          <w:p w14:paraId="2A094818"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LOAEL: 30 mg/kg/</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 (dermal)</w:t>
            </w:r>
          </w:p>
        </w:tc>
      </w:tr>
      <w:tr w:rsidR="00192721" w:rsidRPr="0074486E" w14:paraId="3B557319" w14:textId="77777777" w:rsidTr="00C26EA9">
        <w:trPr>
          <w:trHeight w:val="284"/>
          <w:jc w:val="center"/>
        </w:trPr>
        <w:tc>
          <w:tcPr>
            <w:tcW w:w="1833" w:type="dxa"/>
            <w:vMerge w:val="restart"/>
            <w:vAlign w:val="center"/>
          </w:tcPr>
          <w:p w14:paraId="724B8AB5"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 xml:space="preserve">Octocrylene </w:t>
            </w:r>
          </w:p>
          <w:p w14:paraId="64933121" w14:textId="7823BE9E" w:rsidR="00192721" w:rsidRPr="00C26EA9" w:rsidRDefault="00192721" w:rsidP="00BA4549">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(ECHA 2021d; SCCS 2021d)</w:t>
            </w:r>
          </w:p>
        </w:tc>
        <w:tc>
          <w:tcPr>
            <w:tcW w:w="2977" w:type="dxa"/>
            <w:tcMar>
              <w:top w:w="57" w:type="dxa"/>
              <w:left w:w="57" w:type="dxa"/>
              <w:bottom w:w="57" w:type="dxa"/>
              <w:right w:w="57" w:type="dxa"/>
            </w:tcMar>
            <w:vAlign w:val="center"/>
          </w:tcPr>
          <w:p w14:paraId="7DD0B0BA"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Rats (Wistar),</w:t>
            </w:r>
            <w:r w:rsidRPr="00C26EA9">
              <w:rPr>
                <w:rFonts w:asciiTheme="minorHAnsi" w:hAnsiTheme="minorHAnsi" w:cstheme="minorHAnsi"/>
                <w:color w:val="00B050"/>
                <w:kern w:val="2"/>
                <w:sz w:val="16"/>
                <w:szCs w:val="16"/>
              </w:rPr>
              <w:t xml:space="preserve"> </w:t>
            </w:r>
            <w:r w:rsidRPr="00C26EA9">
              <w:rPr>
                <w:rFonts w:asciiTheme="minorHAnsi" w:hAnsiTheme="minorHAnsi" w:cstheme="minorHAnsi"/>
                <w:i/>
                <w:kern w:val="2"/>
                <w:sz w:val="16"/>
                <w:szCs w:val="16"/>
              </w:rPr>
              <w:t>n</w:t>
            </w:r>
            <w:r w:rsidRPr="00C26EA9">
              <w:rPr>
                <w:rFonts w:asciiTheme="minorHAnsi" w:hAnsiTheme="minorHAnsi" w:cstheme="minorHAnsi"/>
                <w:w w:val="50"/>
                <w:kern w:val="2"/>
                <w:sz w:val="16"/>
                <w:szCs w:val="16"/>
              </w:rPr>
              <w:t> </w:t>
            </w:r>
            <w:r w:rsidRPr="00C26EA9">
              <w:rPr>
                <w:rFonts w:asciiTheme="minorHAnsi" w:hAnsiTheme="minorHAnsi" w:cstheme="minorHAnsi"/>
                <w:kern w:val="2"/>
                <w:sz w:val="16"/>
                <w:szCs w:val="16"/>
              </w:rPr>
              <w:t>=</w:t>
            </w:r>
            <w:r w:rsidRPr="00C26EA9">
              <w:rPr>
                <w:rFonts w:asciiTheme="minorHAnsi" w:hAnsiTheme="minorHAnsi" w:cstheme="minorHAnsi"/>
                <w:w w:val="50"/>
                <w:kern w:val="2"/>
                <w:sz w:val="16"/>
                <w:szCs w:val="16"/>
              </w:rPr>
              <w:t> </w:t>
            </w:r>
            <w:r w:rsidRPr="00C26EA9">
              <w:rPr>
                <w:rFonts w:asciiTheme="minorHAnsi" w:hAnsiTheme="minorHAnsi" w:cstheme="minorHAnsi"/>
                <w:kern w:val="2"/>
                <w:sz w:val="16"/>
                <w:szCs w:val="16"/>
              </w:rPr>
              <w:t>10/sex/dose</w:t>
            </w:r>
          </w:p>
          <w:p w14:paraId="4A18C56F"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 xml:space="preserve">0, 58, 175, 340 and 1085 mg/kg </w:t>
            </w:r>
            <w:proofErr w:type="spellStart"/>
            <w:r w:rsidRPr="00C26EA9">
              <w:rPr>
                <w:rFonts w:asciiTheme="minorHAnsi" w:hAnsiTheme="minorHAnsi" w:cstheme="minorHAnsi"/>
                <w:kern w:val="2"/>
                <w:sz w:val="16"/>
                <w:szCs w:val="16"/>
              </w:rPr>
              <w:t>bw</w:t>
            </w:r>
            <w:proofErr w:type="spellEnd"/>
            <w:r w:rsidRPr="00C26EA9">
              <w:rPr>
                <w:rFonts w:asciiTheme="minorHAnsi" w:hAnsiTheme="minorHAnsi" w:cstheme="minorHAnsi"/>
                <w:kern w:val="2"/>
                <w:sz w:val="16"/>
                <w:szCs w:val="16"/>
              </w:rPr>
              <w:t>/day (diet), 13 weeks</w:t>
            </w:r>
          </w:p>
          <w:p w14:paraId="335B0286" w14:textId="77777777" w:rsidR="00192721" w:rsidRPr="00C26EA9" w:rsidRDefault="00192721" w:rsidP="00E07077">
            <w:pPr>
              <w:pStyle w:val="Tabletextleft"/>
              <w:rPr>
                <w:rFonts w:asciiTheme="minorHAnsi" w:hAnsiTheme="minorHAnsi" w:cstheme="minorHAnsi"/>
                <w:color w:val="00B050"/>
                <w:kern w:val="2"/>
                <w:sz w:val="16"/>
                <w:szCs w:val="16"/>
              </w:rPr>
            </w:pPr>
          </w:p>
          <w:p w14:paraId="5A512860" w14:textId="2B41032E" w:rsidR="00192721" w:rsidRPr="00BA4549" w:rsidRDefault="00192721" w:rsidP="00BA4549">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Study BASF 50S0227/92059</w:t>
            </w:r>
          </w:p>
        </w:tc>
        <w:tc>
          <w:tcPr>
            <w:tcW w:w="4659" w:type="dxa"/>
            <w:vAlign w:val="center"/>
          </w:tcPr>
          <w:p w14:paraId="7686D0A0"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No treatment-related mortality.</w:t>
            </w:r>
          </w:p>
          <w:p w14:paraId="2CFE7D97"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No treatment-related clinical signs. </w:t>
            </w:r>
          </w:p>
          <w:p w14:paraId="3A24E040"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Body weight gain: ↓ at HD in both sexes along with decreased food consumption </w:t>
            </w:r>
          </w:p>
          <w:p w14:paraId="33BBBB49"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Haematology:  RBC affected (↓MCV, ↓MCH, ↓MCHC</w:t>
            </w:r>
            <w:r w:rsidRPr="00C26EA9">
              <w:rPr>
                <w:rStyle w:val="CommentReference"/>
                <w:rFonts w:asciiTheme="minorHAnsi" w:hAnsiTheme="minorHAnsi" w:cstheme="minorHAnsi"/>
                <w:kern w:val="0"/>
                <w:lang w:eastAsia="en-AU"/>
              </w:rPr>
              <w:t xml:space="preserve">) </w:t>
            </w:r>
            <w:r w:rsidRPr="00C26EA9">
              <w:rPr>
                <w:rFonts w:asciiTheme="minorHAnsi" w:hAnsiTheme="minorHAnsi" w:cstheme="minorHAnsi"/>
                <w:sz w:val="16"/>
                <w:szCs w:val="16"/>
              </w:rPr>
              <w:t>at HD in both sexes</w:t>
            </w:r>
          </w:p>
          <w:p w14:paraId="440CB6A9"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Organ weights (bodyweight-relative): ↑ absolute and relative weight of liver at 340 and 1085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w:t>
            </w:r>
          </w:p>
          <w:p w14:paraId="36C854C0"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Histopathology: hypertrophy of </w:t>
            </w:r>
            <w:proofErr w:type="spellStart"/>
            <w:r w:rsidRPr="00C26EA9">
              <w:rPr>
                <w:rFonts w:asciiTheme="minorHAnsi" w:hAnsiTheme="minorHAnsi" w:cstheme="minorHAnsi"/>
                <w:sz w:val="16"/>
                <w:szCs w:val="16"/>
              </w:rPr>
              <w:t>periacinar</w:t>
            </w:r>
            <w:proofErr w:type="spellEnd"/>
            <w:r w:rsidRPr="00C26EA9">
              <w:rPr>
                <w:rFonts w:asciiTheme="minorHAnsi" w:hAnsiTheme="minorHAnsi" w:cstheme="minorHAnsi"/>
                <w:sz w:val="16"/>
                <w:szCs w:val="16"/>
              </w:rPr>
              <w:t xml:space="preserve"> and </w:t>
            </w:r>
            <w:proofErr w:type="spellStart"/>
            <w:r w:rsidRPr="00C26EA9">
              <w:rPr>
                <w:rFonts w:asciiTheme="minorHAnsi" w:hAnsiTheme="minorHAnsi" w:cstheme="minorHAnsi"/>
                <w:sz w:val="16"/>
                <w:szCs w:val="16"/>
              </w:rPr>
              <w:t>centriacinar</w:t>
            </w:r>
            <w:proofErr w:type="spellEnd"/>
            <w:r w:rsidRPr="00C26EA9">
              <w:rPr>
                <w:rFonts w:asciiTheme="minorHAnsi" w:hAnsiTheme="minorHAnsi" w:cstheme="minorHAnsi"/>
                <w:sz w:val="16"/>
                <w:szCs w:val="16"/>
              </w:rPr>
              <w:t xml:space="preserve"> hepatocytes at 340 and 1085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 xml:space="preserve">/day; Slight or moderate hypertrophy of the thyroid, follicular epithelium and associated pale staining colloid at 340 and 1085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w:t>
            </w:r>
          </w:p>
          <w:p w14:paraId="3E681E0B" w14:textId="77777777" w:rsidR="00192721" w:rsidRPr="00C26EA9" w:rsidRDefault="00192721" w:rsidP="00E07077">
            <w:pPr>
              <w:pStyle w:val="Tabletextleft"/>
              <w:rPr>
                <w:rFonts w:asciiTheme="minorHAnsi" w:hAnsiTheme="minorHAnsi" w:cstheme="minorHAnsi"/>
                <w:color w:val="00B050"/>
                <w:sz w:val="16"/>
                <w:szCs w:val="16"/>
              </w:rPr>
            </w:pPr>
            <w:r w:rsidRPr="00C26EA9">
              <w:rPr>
                <w:rFonts w:asciiTheme="minorHAnsi" w:hAnsiTheme="minorHAnsi" w:cstheme="minorHAnsi"/>
                <w:sz w:val="16"/>
                <w:szCs w:val="16"/>
              </w:rPr>
              <w:t xml:space="preserve">NOAEL: 175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w:t>
            </w:r>
          </w:p>
        </w:tc>
      </w:tr>
      <w:tr w:rsidR="00192721" w:rsidRPr="0074486E" w14:paraId="52D5B433" w14:textId="77777777" w:rsidTr="00C26EA9">
        <w:trPr>
          <w:trHeight w:val="284"/>
          <w:jc w:val="center"/>
        </w:trPr>
        <w:tc>
          <w:tcPr>
            <w:tcW w:w="1833" w:type="dxa"/>
            <w:vMerge/>
            <w:vAlign w:val="center"/>
          </w:tcPr>
          <w:p w14:paraId="582D5D86" w14:textId="77777777" w:rsidR="00192721" w:rsidRPr="00C26EA9" w:rsidRDefault="00192721" w:rsidP="00E07077">
            <w:pPr>
              <w:pStyle w:val="Tabletextleft"/>
              <w:rPr>
                <w:rFonts w:asciiTheme="minorHAnsi" w:hAnsiTheme="minorHAnsi" w:cstheme="minorHAnsi"/>
                <w:kern w:val="2"/>
                <w:sz w:val="16"/>
                <w:szCs w:val="16"/>
              </w:rPr>
            </w:pPr>
          </w:p>
        </w:tc>
        <w:tc>
          <w:tcPr>
            <w:tcW w:w="2977" w:type="dxa"/>
            <w:tcMar>
              <w:top w:w="57" w:type="dxa"/>
              <w:left w:w="57" w:type="dxa"/>
              <w:bottom w:w="57" w:type="dxa"/>
              <w:right w:w="57" w:type="dxa"/>
            </w:tcMar>
            <w:vAlign w:val="center"/>
          </w:tcPr>
          <w:p w14:paraId="5F69B68B"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 xml:space="preserve">Rabbits (NZW), </w:t>
            </w:r>
            <w:r w:rsidRPr="00C26EA9">
              <w:rPr>
                <w:rFonts w:asciiTheme="minorHAnsi" w:hAnsiTheme="minorHAnsi" w:cstheme="minorHAnsi"/>
                <w:i/>
                <w:kern w:val="2"/>
                <w:sz w:val="16"/>
                <w:szCs w:val="16"/>
              </w:rPr>
              <w:t>n</w:t>
            </w:r>
            <w:r w:rsidRPr="00C26EA9">
              <w:rPr>
                <w:rFonts w:asciiTheme="minorHAnsi" w:hAnsiTheme="minorHAnsi" w:cstheme="minorHAnsi"/>
                <w:w w:val="50"/>
                <w:kern w:val="2"/>
                <w:sz w:val="16"/>
                <w:szCs w:val="16"/>
              </w:rPr>
              <w:t> </w:t>
            </w:r>
            <w:r w:rsidRPr="00C26EA9">
              <w:rPr>
                <w:rFonts w:asciiTheme="minorHAnsi" w:hAnsiTheme="minorHAnsi" w:cstheme="minorHAnsi"/>
                <w:kern w:val="2"/>
                <w:sz w:val="16"/>
                <w:szCs w:val="16"/>
              </w:rPr>
              <w:t>=</w:t>
            </w:r>
            <w:r w:rsidRPr="00C26EA9">
              <w:rPr>
                <w:rFonts w:asciiTheme="minorHAnsi" w:hAnsiTheme="minorHAnsi" w:cstheme="minorHAnsi"/>
                <w:w w:val="50"/>
                <w:kern w:val="2"/>
                <w:sz w:val="16"/>
                <w:szCs w:val="16"/>
              </w:rPr>
              <w:t> </w:t>
            </w:r>
            <w:r w:rsidRPr="00C26EA9">
              <w:rPr>
                <w:rFonts w:asciiTheme="minorHAnsi" w:hAnsiTheme="minorHAnsi" w:cstheme="minorHAnsi"/>
                <w:kern w:val="2"/>
                <w:sz w:val="16"/>
                <w:szCs w:val="16"/>
              </w:rPr>
              <w:t>5/sex/dose</w:t>
            </w:r>
          </w:p>
          <w:p w14:paraId="758CDCAB"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 xml:space="preserve">0, 130, 264, 534 mg/kg </w:t>
            </w:r>
            <w:proofErr w:type="spellStart"/>
            <w:r w:rsidRPr="00C26EA9">
              <w:rPr>
                <w:rFonts w:asciiTheme="minorHAnsi" w:hAnsiTheme="minorHAnsi" w:cstheme="minorHAnsi"/>
                <w:kern w:val="2"/>
                <w:sz w:val="16"/>
                <w:szCs w:val="16"/>
              </w:rPr>
              <w:t>bw</w:t>
            </w:r>
            <w:proofErr w:type="spellEnd"/>
            <w:r w:rsidRPr="00C26EA9">
              <w:rPr>
                <w:rFonts w:asciiTheme="minorHAnsi" w:hAnsiTheme="minorHAnsi" w:cstheme="minorHAnsi"/>
                <w:kern w:val="2"/>
                <w:sz w:val="16"/>
                <w:szCs w:val="16"/>
              </w:rPr>
              <w:t>/day (dermal)</w:t>
            </w:r>
          </w:p>
          <w:p w14:paraId="37FA74B9"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 xml:space="preserve">5 days/week; 13 weeks </w:t>
            </w:r>
          </w:p>
          <w:p w14:paraId="1E5CA690" w14:textId="77777777" w:rsidR="00192721" w:rsidRPr="00C26EA9" w:rsidRDefault="00192721" w:rsidP="00E07077">
            <w:pPr>
              <w:pStyle w:val="Tabletextleft"/>
              <w:rPr>
                <w:rFonts w:asciiTheme="minorHAnsi" w:hAnsiTheme="minorHAnsi" w:cstheme="minorHAnsi"/>
                <w:kern w:val="2"/>
                <w:sz w:val="16"/>
                <w:szCs w:val="16"/>
              </w:rPr>
            </w:pPr>
          </w:p>
          <w:p w14:paraId="636EB57B" w14:textId="77777777" w:rsidR="00192721" w:rsidRPr="00C26EA9" w:rsidRDefault="00192721" w:rsidP="00E07077">
            <w:pPr>
              <w:pStyle w:val="Tabletextleft"/>
              <w:rPr>
                <w:rFonts w:asciiTheme="minorHAnsi" w:hAnsiTheme="minorHAnsi" w:cstheme="minorHAnsi"/>
                <w:i/>
                <w:color w:val="00B050"/>
                <w:kern w:val="2"/>
                <w:sz w:val="16"/>
                <w:szCs w:val="16"/>
              </w:rPr>
            </w:pPr>
            <w:r w:rsidRPr="00C26EA9">
              <w:rPr>
                <w:rFonts w:asciiTheme="minorHAnsi" w:hAnsiTheme="minorHAnsi" w:cstheme="minorHAnsi"/>
                <w:kern w:val="2"/>
                <w:sz w:val="16"/>
                <w:szCs w:val="16"/>
              </w:rPr>
              <w:t xml:space="preserve">(Odio </w:t>
            </w:r>
            <w:r w:rsidRPr="00C26EA9">
              <w:rPr>
                <w:rFonts w:asciiTheme="minorHAnsi" w:hAnsiTheme="minorHAnsi" w:cstheme="minorHAnsi"/>
                <w:i/>
                <w:kern w:val="2"/>
                <w:sz w:val="16"/>
                <w:szCs w:val="16"/>
              </w:rPr>
              <w:t>et al.,</w:t>
            </w:r>
            <w:r w:rsidRPr="00C26EA9">
              <w:rPr>
                <w:rFonts w:asciiTheme="minorHAnsi" w:hAnsiTheme="minorHAnsi" w:cstheme="minorHAnsi"/>
                <w:kern w:val="2"/>
                <w:sz w:val="16"/>
                <w:szCs w:val="16"/>
              </w:rPr>
              <w:t xml:space="preserve"> 1994)</w:t>
            </w:r>
          </w:p>
        </w:tc>
        <w:tc>
          <w:tcPr>
            <w:tcW w:w="4659" w:type="dxa"/>
            <w:vAlign w:val="center"/>
          </w:tcPr>
          <w:p w14:paraId="2935215A"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Slight to moderate skin irritation (erythema and desquamation) at all doses at the site of application correlated to ↓ bodyweight gain at 264 and 534 m/kg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w:t>
            </w:r>
          </w:p>
          <w:p w14:paraId="764D4239"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No evidence for haematological or macroscopic and histopathological abnormalities</w:t>
            </w:r>
          </w:p>
          <w:p w14:paraId="0CF27E52"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No effects were reported on testicular and epididymal morphology as well as on sperm count and motility</w:t>
            </w:r>
          </w:p>
          <w:p w14:paraId="4DE4BBC5"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NOAEL</w:t>
            </w:r>
            <w:r w:rsidRPr="00C26EA9">
              <w:rPr>
                <w:rFonts w:asciiTheme="minorHAnsi" w:hAnsiTheme="minorHAnsi" w:cstheme="minorHAnsi"/>
                <w:i/>
                <w:sz w:val="16"/>
                <w:szCs w:val="16"/>
              </w:rPr>
              <w:t>:</w:t>
            </w:r>
            <w:r w:rsidRPr="00C26EA9">
              <w:rPr>
                <w:rFonts w:asciiTheme="minorHAnsi" w:hAnsiTheme="minorHAnsi" w:cstheme="minorHAnsi"/>
                <w:sz w:val="16"/>
                <w:szCs w:val="16"/>
              </w:rPr>
              <w:t xml:space="preserve"> 534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 xml:space="preserve">/day (systemic toxicity) </w:t>
            </w:r>
          </w:p>
          <w:p w14:paraId="5B04664E"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NOAEL: 130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 (dermal)</w:t>
            </w:r>
          </w:p>
        </w:tc>
      </w:tr>
      <w:tr w:rsidR="00192721" w:rsidRPr="0074486E" w14:paraId="0CB7EA24" w14:textId="77777777" w:rsidTr="00C26EA9">
        <w:trPr>
          <w:trHeight w:val="284"/>
          <w:jc w:val="center"/>
        </w:trPr>
        <w:tc>
          <w:tcPr>
            <w:tcW w:w="1833" w:type="dxa"/>
            <w:vMerge/>
            <w:vAlign w:val="center"/>
          </w:tcPr>
          <w:p w14:paraId="6B6ED7A6" w14:textId="77777777" w:rsidR="00192721" w:rsidRPr="00C26EA9" w:rsidRDefault="00192721" w:rsidP="00E07077">
            <w:pPr>
              <w:pStyle w:val="Tabletextleft"/>
              <w:rPr>
                <w:rFonts w:asciiTheme="minorHAnsi" w:hAnsiTheme="minorHAnsi" w:cstheme="minorHAnsi"/>
                <w:kern w:val="2"/>
                <w:sz w:val="16"/>
                <w:szCs w:val="16"/>
              </w:rPr>
            </w:pPr>
          </w:p>
        </w:tc>
        <w:tc>
          <w:tcPr>
            <w:tcW w:w="2977" w:type="dxa"/>
            <w:tcMar>
              <w:top w:w="57" w:type="dxa"/>
              <w:left w:w="57" w:type="dxa"/>
              <w:bottom w:w="57" w:type="dxa"/>
              <w:right w:w="57" w:type="dxa"/>
            </w:tcMar>
            <w:vAlign w:val="center"/>
          </w:tcPr>
          <w:p w14:paraId="1653F451"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A follow up mechanistic study was conducted in rats to investigate mechanisms related to potential thyroid effects of octocrylene observed in the 13-week oral repeat dose study in rats </w:t>
            </w:r>
          </w:p>
          <w:p w14:paraId="2DD08864" w14:textId="77777777" w:rsidR="00192721" w:rsidRPr="00C26EA9" w:rsidRDefault="00192721" w:rsidP="00E07077">
            <w:pPr>
              <w:pStyle w:val="Tabletextleft"/>
              <w:rPr>
                <w:rFonts w:asciiTheme="minorHAnsi" w:hAnsiTheme="minorHAnsi" w:cstheme="minorHAnsi"/>
                <w:color w:val="00B050"/>
                <w:kern w:val="2"/>
                <w:sz w:val="16"/>
                <w:szCs w:val="16"/>
              </w:rPr>
            </w:pPr>
          </w:p>
          <w:p w14:paraId="340D2A50"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Rats (Wistar)</w:t>
            </w:r>
            <w:r w:rsidRPr="00C26EA9">
              <w:rPr>
                <w:rFonts w:asciiTheme="minorHAnsi" w:hAnsiTheme="minorHAnsi" w:cstheme="minorHAnsi"/>
                <w:color w:val="00B050"/>
                <w:kern w:val="2"/>
                <w:sz w:val="16"/>
                <w:szCs w:val="16"/>
              </w:rPr>
              <w:t xml:space="preserve">, </w:t>
            </w:r>
            <w:r w:rsidRPr="00C26EA9">
              <w:rPr>
                <w:rFonts w:asciiTheme="minorHAnsi" w:hAnsiTheme="minorHAnsi" w:cstheme="minorHAnsi"/>
                <w:i/>
                <w:kern w:val="2"/>
                <w:sz w:val="16"/>
                <w:szCs w:val="16"/>
              </w:rPr>
              <w:t>n</w:t>
            </w:r>
            <w:r w:rsidRPr="00C26EA9">
              <w:rPr>
                <w:rFonts w:asciiTheme="minorHAnsi" w:hAnsiTheme="minorHAnsi" w:cstheme="minorHAnsi"/>
                <w:w w:val="50"/>
                <w:kern w:val="2"/>
                <w:sz w:val="16"/>
                <w:szCs w:val="16"/>
              </w:rPr>
              <w:t> </w:t>
            </w:r>
            <w:r w:rsidRPr="00C26EA9">
              <w:rPr>
                <w:rFonts w:asciiTheme="minorHAnsi" w:hAnsiTheme="minorHAnsi" w:cstheme="minorHAnsi"/>
                <w:kern w:val="2"/>
                <w:sz w:val="16"/>
                <w:szCs w:val="16"/>
              </w:rPr>
              <w:t>=</w:t>
            </w:r>
            <w:r w:rsidRPr="00C26EA9">
              <w:rPr>
                <w:rFonts w:asciiTheme="minorHAnsi" w:hAnsiTheme="minorHAnsi" w:cstheme="minorHAnsi"/>
                <w:w w:val="50"/>
                <w:kern w:val="2"/>
                <w:sz w:val="16"/>
                <w:szCs w:val="16"/>
              </w:rPr>
              <w:t> </w:t>
            </w:r>
            <w:r w:rsidRPr="00C26EA9">
              <w:rPr>
                <w:rFonts w:asciiTheme="minorHAnsi" w:hAnsiTheme="minorHAnsi" w:cstheme="minorHAnsi"/>
                <w:kern w:val="2"/>
                <w:sz w:val="16"/>
                <w:szCs w:val="16"/>
              </w:rPr>
              <w:t>5/sex/dose</w:t>
            </w:r>
          </w:p>
          <w:p w14:paraId="781D0B90"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 xml:space="preserve">72, 215, 720 mg/kg </w:t>
            </w:r>
            <w:proofErr w:type="spellStart"/>
            <w:r w:rsidRPr="00C26EA9">
              <w:rPr>
                <w:rFonts w:asciiTheme="minorHAnsi" w:hAnsiTheme="minorHAnsi" w:cstheme="minorHAnsi"/>
                <w:kern w:val="2"/>
                <w:sz w:val="16"/>
                <w:szCs w:val="16"/>
              </w:rPr>
              <w:t>bw</w:t>
            </w:r>
            <w:proofErr w:type="spellEnd"/>
            <w:r w:rsidRPr="00C26EA9">
              <w:rPr>
                <w:rFonts w:asciiTheme="minorHAnsi" w:hAnsiTheme="minorHAnsi" w:cstheme="minorHAnsi"/>
                <w:kern w:val="2"/>
                <w:sz w:val="16"/>
                <w:szCs w:val="16"/>
              </w:rPr>
              <w:t>/day PO (Subset A)</w:t>
            </w:r>
          </w:p>
          <w:p w14:paraId="0D517E9D"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 xml:space="preserve">63, 188, 630 mg/kg </w:t>
            </w:r>
            <w:proofErr w:type="spellStart"/>
            <w:r w:rsidRPr="00C26EA9">
              <w:rPr>
                <w:rFonts w:asciiTheme="minorHAnsi" w:hAnsiTheme="minorHAnsi" w:cstheme="minorHAnsi"/>
                <w:kern w:val="2"/>
                <w:sz w:val="16"/>
                <w:szCs w:val="16"/>
              </w:rPr>
              <w:t>bw</w:t>
            </w:r>
            <w:proofErr w:type="spellEnd"/>
            <w:r w:rsidRPr="00C26EA9">
              <w:rPr>
                <w:rFonts w:asciiTheme="minorHAnsi" w:hAnsiTheme="minorHAnsi" w:cstheme="minorHAnsi"/>
                <w:kern w:val="2"/>
                <w:sz w:val="16"/>
                <w:szCs w:val="16"/>
              </w:rPr>
              <w:t>/day PO (Subset B)</w:t>
            </w:r>
          </w:p>
          <w:p w14:paraId="0A7304B6" w14:textId="77777777" w:rsidR="00192721" w:rsidRPr="00C26EA9" w:rsidRDefault="00192721" w:rsidP="00E07077">
            <w:pPr>
              <w:pStyle w:val="Tabletextleft"/>
              <w:rPr>
                <w:rFonts w:asciiTheme="minorHAnsi" w:hAnsiTheme="minorHAnsi" w:cstheme="minorHAnsi"/>
                <w:color w:val="00B050"/>
                <w:kern w:val="2"/>
                <w:sz w:val="16"/>
                <w:szCs w:val="16"/>
              </w:rPr>
            </w:pPr>
          </w:p>
          <w:p w14:paraId="79886C04"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 xml:space="preserve">28 days (Subset A) </w:t>
            </w:r>
          </w:p>
          <w:p w14:paraId="2B7D2197" w14:textId="0E54BB79" w:rsidR="00192721" w:rsidRPr="00C26EA9" w:rsidRDefault="00192721" w:rsidP="00BA4549">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14 days (Subset B)</w:t>
            </w:r>
          </w:p>
        </w:tc>
        <w:tc>
          <w:tcPr>
            <w:tcW w:w="4659" w:type="dxa"/>
            <w:vAlign w:val="center"/>
          </w:tcPr>
          <w:p w14:paraId="7A7E6B2E"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No treatment-related mortality </w:t>
            </w:r>
          </w:p>
          <w:p w14:paraId="5EE2BA6F"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No treatment-related clinical signs. </w:t>
            </w:r>
          </w:p>
          <w:p w14:paraId="3B171A27"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Body weight gain: ↓ at HD in both subsets </w:t>
            </w:r>
          </w:p>
          <w:p w14:paraId="00531E3E"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Serum chemistry: ↑ TSH at </w:t>
            </w:r>
            <w:r w:rsidRPr="00C26EA9">
              <w:rPr>
                <w:rFonts w:asciiTheme="minorHAnsi" w:hAnsiTheme="minorHAnsi" w:cstheme="minorHAnsi"/>
                <w:kern w:val="2"/>
                <w:sz w:val="16"/>
                <w:szCs w:val="16"/>
              </w:rPr>
              <w:t xml:space="preserve">630 mg/kg </w:t>
            </w:r>
            <w:proofErr w:type="spellStart"/>
            <w:r w:rsidRPr="00C26EA9">
              <w:rPr>
                <w:rFonts w:asciiTheme="minorHAnsi" w:hAnsiTheme="minorHAnsi" w:cstheme="minorHAnsi"/>
                <w:kern w:val="2"/>
                <w:sz w:val="16"/>
                <w:szCs w:val="16"/>
              </w:rPr>
              <w:t>bw</w:t>
            </w:r>
            <w:proofErr w:type="spellEnd"/>
            <w:r w:rsidRPr="00C26EA9">
              <w:rPr>
                <w:rFonts w:asciiTheme="minorHAnsi" w:hAnsiTheme="minorHAnsi" w:cstheme="minorHAnsi"/>
                <w:kern w:val="2"/>
                <w:sz w:val="16"/>
                <w:szCs w:val="16"/>
              </w:rPr>
              <w:t>/day</w:t>
            </w:r>
            <w:r w:rsidRPr="00C26EA9">
              <w:rPr>
                <w:rFonts w:asciiTheme="minorHAnsi" w:hAnsiTheme="minorHAnsi" w:cstheme="minorHAnsi"/>
                <w:sz w:val="16"/>
                <w:szCs w:val="16"/>
              </w:rPr>
              <w:t xml:space="preserve"> in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in subset B; ↑ TSH at </w:t>
            </w:r>
            <w:r w:rsidRPr="00C26EA9">
              <w:rPr>
                <w:rFonts w:asciiTheme="minorHAnsi" w:hAnsiTheme="minorHAnsi" w:cstheme="minorHAnsi"/>
                <w:kern w:val="2"/>
                <w:sz w:val="16"/>
                <w:szCs w:val="16"/>
              </w:rPr>
              <w:t xml:space="preserve">720 mg/kg </w:t>
            </w:r>
            <w:proofErr w:type="spellStart"/>
            <w:r w:rsidRPr="00C26EA9">
              <w:rPr>
                <w:rFonts w:asciiTheme="minorHAnsi" w:hAnsiTheme="minorHAnsi" w:cstheme="minorHAnsi"/>
                <w:kern w:val="2"/>
                <w:sz w:val="16"/>
                <w:szCs w:val="16"/>
              </w:rPr>
              <w:t>bw</w:t>
            </w:r>
            <w:proofErr w:type="spellEnd"/>
            <w:r w:rsidRPr="00C26EA9">
              <w:rPr>
                <w:rFonts w:asciiTheme="minorHAnsi" w:hAnsiTheme="minorHAnsi" w:cstheme="minorHAnsi"/>
                <w:kern w:val="2"/>
                <w:sz w:val="16"/>
                <w:szCs w:val="16"/>
              </w:rPr>
              <w:t>/day</w:t>
            </w:r>
            <w:r w:rsidRPr="00C26EA9">
              <w:rPr>
                <w:rFonts w:asciiTheme="minorHAnsi" w:hAnsiTheme="minorHAnsi" w:cstheme="minorHAnsi"/>
                <w:sz w:val="16"/>
                <w:szCs w:val="16"/>
              </w:rPr>
              <w:t xml:space="preserve"> in </w:t>
            </w:r>
            <w:r w:rsidRPr="00C26EA9">
              <w:rPr>
                <w:rFonts w:asciiTheme="minorHAnsi" w:eastAsia="Cambria" w:hAnsiTheme="minorHAnsi" w:cstheme="minorHAnsi"/>
                <w:sz w:val="16"/>
                <w:szCs w:val="16"/>
              </w:rPr>
              <w:t>both sexes in subset A</w:t>
            </w:r>
          </w:p>
          <w:p w14:paraId="0FBBDC5C"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Organ weights (bodyweight-relative): ↑ absolute and relative weight of liver at high doses in both sexes in both subsets </w:t>
            </w:r>
          </w:p>
          <w:p w14:paraId="350172DE"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Histopathology: minimal follicular cell hypertrophy/hyperplasia of the thyroid gland at high doses in both sexes in both subsets </w:t>
            </w:r>
          </w:p>
          <w:p w14:paraId="13A06E66" w14:textId="5BB5B14E"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NOAEL: 188-215 mg/kg/day</w:t>
            </w:r>
          </w:p>
        </w:tc>
      </w:tr>
      <w:tr w:rsidR="00192721" w:rsidRPr="0074486E" w14:paraId="666C2660" w14:textId="77777777" w:rsidTr="00C26EA9">
        <w:trPr>
          <w:trHeight w:val="1050"/>
          <w:jc w:val="center"/>
        </w:trPr>
        <w:tc>
          <w:tcPr>
            <w:tcW w:w="1833" w:type="dxa"/>
            <w:vMerge w:val="restart"/>
            <w:vAlign w:val="center"/>
          </w:tcPr>
          <w:p w14:paraId="069E2B91"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lastRenderedPageBreak/>
              <w:t>Octyl methoxycinnamate</w:t>
            </w:r>
          </w:p>
          <w:p w14:paraId="7CFA0DE6"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sz w:val="16"/>
                <w:szCs w:val="16"/>
              </w:rPr>
              <w:t>(</w:t>
            </w:r>
            <w:r w:rsidRPr="00C26EA9">
              <w:rPr>
                <w:rFonts w:asciiTheme="minorHAnsi" w:eastAsiaTheme="minorHAnsi" w:hAnsiTheme="minorHAnsi" w:cstheme="minorHAnsi"/>
                <w:sz w:val="16"/>
                <w:szCs w:val="16"/>
              </w:rPr>
              <w:t>ECHA 2021e)</w:t>
            </w:r>
          </w:p>
        </w:tc>
        <w:tc>
          <w:tcPr>
            <w:tcW w:w="2977" w:type="dxa"/>
            <w:tcMar>
              <w:top w:w="57" w:type="dxa"/>
              <w:left w:w="57" w:type="dxa"/>
              <w:bottom w:w="57" w:type="dxa"/>
              <w:right w:w="57" w:type="dxa"/>
            </w:tcMar>
            <w:vAlign w:val="center"/>
          </w:tcPr>
          <w:p w14:paraId="1FF4218D"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Rats (not specified), </w:t>
            </w:r>
            <w:r w:rsidRPr="00C26EA9">
              <w:rPr>
                <w:rFonts w:asciiTheme="minorHAnsi" w:hAnsiTheme="minorHAnsi" w:cstheme="minorHAnsi"/>
                <w:i/>
                <w:sz w:val="16"/>
                <w:szCs w:val="16"/>
              </w:rPr>
              <w:t>n</w:t>
            </w:r>
            <w:r w:rsidRPr="00C26EA9">
              <w:rPr>
                <w:rFonts w:asciiTheme="minorHAnsi" w:hAnsiTheme="minorHAnsi" w:cstheme="minorHAnsi"/>
                <w:sz w:val="16"/>
                <w:szCs w:val="16"/>
              </w:rPr>
              <w:t xml:space="preserve">=5/sex/dose, at 300, 900 and 2700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 (gavage), 3 weeks</w:t>
            </w:r>
          </w:p>
        </w:tc>
        <w:tc>
          <w:tcPr>
            <w:tcW w:w="4659" w:type="dxa"/>
            <w:vAlign w:val="center"/>
          </w:tcPr>
          <w:p w14:paraId="73B7CE66" w14:textId="645FF2E6"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body weight, ↓ relative and absolute weight of the thymus at HD, ↓absolute weight of the left kidney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and ↓ absolute weight of the heart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at HD.</w:t>
            </w:r>
          </w:p>
          <w:p w14:paraId="6D761763"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NOAEL: 900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w:t>
            </w:r>
          </w:p>
        </w:tc>
      </w:tr>
      <w:tr w:rsidR="00192721" w:rsidRPr="0074486E" w14:paraId="46F642A8" w14:textId="77777777" w:rsidTr="00C26EA9">
        <w:trPr>
          <w:trHeight w:val="1050"/>
          <w:jc w:val="center"/>
        </w:trPr>
        <w:tc>
          <w:tcPr>
            <w:tcW w:w="1833" w:type="dxa"/>
            <w:vMerge/>
            <w:vAlign w:val="center"/>
          </w:tcPr>
          <w:p w14:paraId="5E0922FD" w14:textId="77777777" w:rsidR="00192721" w:rsidRPr="00C26EA9" w:rsidRDefault="00192721" w:rsidP="00E07077">
            <w:pPr>
              <w:pStyle w:val="Tabletextleft"/>
              <w:rPr>
                <w:rFonts w:asciiTheme="minorHAnsi" w:hAnsiTheme="minorHAnsi" w:cstheme="minorHAnsi"/>
                <w:kern w:val="2"/>
                <w:sz w:val="16"/>
                <w:szCs w:val="16"/>
              </w:rPr>
            </w:pPr>
          </w:p>
        </w:tc>
        <w:tc>
          <w:tcPr>
            <w:tcW w:w="2977" w:type="dxa"/>
            <w:tcMar>
              <w:top w:w="57" w:type="dxa"/>
              <w:left w:w="57" w:type="dxa"/>
              <w:bottom w:w="57" w:type="dxa"/>
              <w:right w:w="57" w:type="dxa"/>
            </w:tcMar>
            <w:vAlign w:val="center"/>
          </w:tcPr>
          <w:p w14:paraId="1F903641"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Rats (SPF), </w:t>
            </w:r>
            <w:r w:rsidRPr="00C26EA9">
              <w:rPr>
                <w:rFonts w:asciiTheme="minorHAnsi" w:hAnsiTheme="minorHAnsi" w:cstheme="minorHAnsi"/>
                <w:i/>
                <w:sz w:val="16"/>
                <w:szCs w:val="16"/>
              </w:rPr>
              <w:t>n</w:t>
            </w:r>
            <w:r w:rsidRPr="00C26EA9">
              <w:rPr>
                <w:rFonts w:asciiTheme="minorHAnsi" w:hAnsiTheme="minorHAnsi" w:cstheme="minorHAnsi"/>
                <w:sz w:val="16"/>
                <w:szCs w:val="16"/>
              </w:rPr>
              <w:t>=12/ sex/dose, at 200, 450 and 1000 mg/kg/day (oral), 13 weeks with recovery period of 5 weeks</w:t>
            </w:r>
          </w:p>
        </w:tc>
        <w:tc>
          <w:tcPr>
            <w:tcW w:w="4659" w:type="dxa"/>
            <w:vAlign w:val="center"/>
          </w:tcPr>
          <w:p w14:paraId="7A7E1621"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 Kidney weights at HD, reversed during the recovery period (5 weeks). ↓ glycogen in the liver and ↑ iron in the Kupfer cells at HD, ↑ GLDH in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at HD.</w:t>
            </w:r>
          </w:p>
          <w:p w14:paraId="5223EADF"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Some of the effects were reversed during the recovery period; however, then reversed effects were not listed in the AICIS report. NOAEL: 450 mg/kg/day based on the minor and reversible changes at 1000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 xml:space="preserve">/day </w:t>
            </w:r>
          </w:p>
        </w:tc>
      </w:tr>
      <w:tr w:rsidR="00192721" w:rsidRPr="0074486E" w14:paraId="51755B29" w14:textId="77777777" w:rsidTr="00C26EA9">
        <w:trPr>
          <w:trHeight w:val="1050"/>
          <w:jc w:val="center"/>
        </w:trPr>
        <w:tc>
          <w:tcPr>
            <w:tcW w:w="1833" w:type="dxa"/>
            <w:vMerge/>
            <w:vAlign w:val="center"/>
          </w:tcPr>
          <w:p w14:paraId="7067F21B" w14:textId="77777777" w:rsidR="00192721" w:rsidRPr="00C26EA9" w:rsidRDefault="00192721" w:rsidP="00E07077">
            <w:pPr>
              <w:pStyle w:val="Tabletextleft"/>
              <w:rPr>
                <w:rFonts w:asciiTheme="minorHAnsi" w:hAnsiTheme="minorHAnsi" w:cstheme="minorHAnsi"/>
                <w:kern w:val="2"/>
                <w:sz w:val="16"/>
                <w:szCs w:val="16"/>
              </w:rPr>
            </w:pPr>
          </w:p>
        </w:tc>
        <w:tc>
          <w:tcPr>
            <w:tcW w:w="2977" w:type="dxa"/>
            <w:tcMar>
              <w:top w:w="57" w:type="dxa"/>
              <w:left w:w="57" w:type="dxa"/>
              <w:bottom w:w="57" w:type="dxa"/>
              <w:right w:w="57" w:type="dxa"/>
            </w:tcMar>
            <w:vAlign w:val="center"/>
          </w:tcPr>
          <w:p w14:paraId="5EBFF629"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Rats (SD), </w:t>
            </w:r>
            <w:r w:rsidRPr="00C26EA9">
              <w:rPr>
                <w:rFonts w:asciiTheme="minorHAnsi" w:hAnsiTheme="minorHAnsi" w:cstheme="minorHAnsi"/>
                <w:i/>
                <w:sz w:val="16"/>
                <w:szCs w:val="16"/>
              </w:rPr>
              <w:t>n</w:t>
            </w:r>
            <w:r w:rsidRPr="00C26EA9">
              <w:rPr>
                <w:rFonts w:asciiTheme="minorHAnsi" w:hAnsiTheme="minorHAnsi" w:cstheme="minorHAnsi"/>
                <w:sz w:val="16"/>
                <w:szCs w:val="16"/>
              </w:rPr>
              <w:t>=10/sex/dose, 55.5, 277 and 555 mg/kg/day, 5 days/ week, 13 weeks (dermal)</w:t>
            </w:r>
          </w:p>
        </w:tc>
        <w:tc>
          <w:tcPr>
            <w:tcW w:w="4659" w:type="dxa"/>
            <w:vAlign w:val="center"/>
          </w:tcPr>
          <w:p w14:paraId="05536295"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Mortality: none treatment-related </w:t>
            </w:r>
          </w:p>
          <w:p w14:paraId="6AF99FE1"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 (non-significant) serum alanine phosphatase (SAP) levels and ↑ relative liver weight at HD. Liver effects were not observable upon microscopic examination. </w:t>
            </w:r>
          </w:p>
          <w:p w14:paraId="05776BF5"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NOAEL:  555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 based on no significant adverse effects at the highest treated dose</w:t>
            </w:r>
          </w:p>
        </w:tc>
      </w:tr>
      <w:tr w:rsidR="00192721" w:rsidRPr="0074486E" w14:paraId="4B75FD3D" w14:textId="77777777" w:rsidTr="00C26EA9">
        <w:trPr>
          <w:trHeight w:val="1050"/>
          <w:jc w:val="center"/>
        </w:trPr>
        <w:tc>
          <w:tcPr>
            <w:tcW w:w="1833" w:type="dxa"/>
            <w:vMerge/>
            <w:vAlign w:val="center"/>
          </w:tcPr>
          <w:p w14:paraId="1E3726D6" w14:textId="77777777" w:rsidR="00192721" w:rsidRPr="00C26EA9" w:rsidRDefault="00192721" w:rsidP="00E07077">
            <w:pPr>
              <w:pStyle w:val="Tabletextleft"/>
              <w:rPr>
                <w:rFonts w:asciiTheme="minorHAnsi" w:hAnsiTheme="minorHAnsi" w:cstheme="minorHAnsi"/>
                <w:kern w:val="2"/>
                <w:sz w:val="16"/>
                <w:szCs w:val="16"/>
              </w:rPr>
            </w:pPr>
          </w:p>
        </w:tc>
        <w:tc>
          <w:tcPr>
            <w:tcW w:w="2977" w:type="dxa"/>
            <w:tcMar>
              <w:top w:w="57" w:type="dxa"/>
              <w:left w:w="57" w:type="dxa"/>
              <w:bottom w:w="57" w:type="dxa"/>
              <w:right w:w="57" w:type="dxa"/>
            </w:tcMar>
            <w:vAlign w:val="center"/>
          </w:tcPr>
          <w:p w14:paraId="44D9ABA5"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Rats (SD), </w:t>
            </w:r>
            <w:r w:rsidRPr="00C26EA9">
              <w:rPr>
                <w:rFonts w:asciiTheme="minorHAnsi" w:hAnsiTheme="minorHAnsi" w:cstheme="minorHAnsi"/>
                <w:i/>
                <w:sz w:val="16"/>
                <w:szCs w:val="16"/>
              </w:rPr>
              <w:t>n</w:t>
            </w:r>
            <w:r w:rsidRPr="00C26EA9">
              <w:rPr>
                <w:rFonts w:asciiTheme="minorHAnsi" w:hAnsiTheme="minorHAnsi" w:cstheme="minorHAnsi"/>
                <w:sz w:val="16"/>
                <w:szCs w:val="16"/>
              </w:rPr>
              <w:t xml:space="preserve">=15/sex/dose; 0, 500, 1500 or 5000 mg/kg/day applied </w:t>
            </w:r>
            <w:proofErr w:type="spellStart"/>
            <w:r w:rsidRPr="00C26EA9">
              <w:rPr>
                <w:rFonts w:asciiTheme="minorHAnsi" w:hAnsiTheme="minorHAnsi" w:cstheme="minorHAnsi"/>
                <w:sz w:val="16"/>
                <w:szCs w:val="16"/>
              </w:rPr>
              <w:t>occlusively</w:t>
            </w:r>
            <w:proofErr w:type="spellEnd"/>
            <w:r w:rsidRPr="00C26EA9">
              <w:rPr>
                <w:rFonts w:asciiTheme="minorHAnsi" w:hAnsiTheme="minorHAnsi" w:cstheme="minorHAnsi"/>
                <w:sz w:val="16"/>
                <w:szCs w:val="16"/>
              </w:rPr>
              <w:t xml:space="preserve"> on the abraded skin, 6 days/ week, 28 days (dermal)</w:t>
            </w:r>
          </w:p>
        </w:tc>
        <w:tc>
          <w:tcPr>
            <w:tcW w:w="4659" w:type="dxa"/>
            <w:vAlign w:val="center"/>
          </w:tcPr>
          <w:p w14:paraId="6D9AB2DA"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No systemic effects, body weight changes, ocular defects, haematology effects or changes in blood chemistry parameters were observed.</w:t>
            </w:r>
          </w:p>
          <w:p w14:paraId="62CC5432"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Dose dependent low-grade epidermal proliferation at all doses (more prominent in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w:t>
            </w:r>
          </w:p>
          <w:p w14:paraId="53C6FDDF"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The chemical was considered as a low-grade irritant under the conditions of this study (OECD TG 410)</w:t>
            </w:r>
          </w:p>
          <w:p w14:paraId="14062995"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NOAEL: 5000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 xml:space="preserve">/day </w:t>
            </w:r>
          </w:p>
        </w:tc>
      </w:tr>
      <w:tr w:rsidR="00192721" w:rsidRPr="0074486E" w14:paraId="45B335E7" w14:textId="77777777" w:rsidTr="00C26EA9">
        <w:trPr>
          <w:trHeight w:val="1050"/>
          <w:jc w:val="center"/>
        </w:trPr>
        <w:tc>
          <w:tcPr>
            <w:tcW w:w="1833" w:type="dxa"/>
            <w:vMerge/>
            <w:vAlign w:val="center"/>
          </w:tcPr>
          <w:p w14:paraId="0880EB46" w14:textId="77777777" w:rsidR="00192721" w:rsidRPr="00C26EA9" w:rsidRDefault="00192721" w:rsidP="00E07077">
            <w:pPr>
              <w:pStyle w:val="Tabletextleft"/>
              <w:rPr>
                <w:rFonts w:asciiTheme="minorHAnsi" w:hAnsiTheme="minorHAnsi" w:cstheme="minorHAnsi"/>
                <w:kern w:val="2"/>
                <w:sz w:val="16"/>
                <w:szCs w:val="16"/>
              </w:rPr>
            </w:pPr>
          </w:p>
        </w:tc>
        <w:tc>
          <w:tcPr>
            <w:tcW w:w="2977" w:type="dxa"/>
            <w:tcMar>
              <w:top w:w="57" w:type="dxa"/>
              <w:left w:w="57" w:type="dxa"/>
              <w:bottom w:w="57" w:type="dxa"/>
              <w:right w:w="57" w:type="dxa"/>
            </w:tcMar>
            <w:vAlign w:val="center"/>
          </w:tcPr>
          <w:p w14:paraId="54CE954D"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Rabbits (NZW), </w:t>
            </w:r>
            <w:r w:rsidRPr="00C26EA9">
              <w:rPr>
                <w:rFonts w:asciiTheme="minorHAnsi" w:hAnsiTheme="minorHAnsi" w:cstheme="minorHAnsi"/>
                <w:i/>
                <w:iCs/>
                <w:sz w:val="16"/>
                <w:szCs w:val="16"/>
              </w:rPr>
              <w:t>n</w:t>
            </w:r>
            <w:r w:rsidRPr="00C26EA9">
              <w:rPr>
                <w:rFonts w:asciiTheme="minorHAnsi" w:hAnsiTheme="minorHAnsi" w:cstheme="minorHAnsi"/>
                <w:sz w:val="16"/>
                <w:szCs w:val="16"/>
              </w:rPr>
              <w:t xml:space="preserve"> = 10/sex/dose, 500, 1500 or 5000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 xml:space="preserve">/day applied </w:t>
            </w:r>
            <w:proofErr w:type="spellStart"/>
            <w:r w:rsidRPr="00C26EA9">
              <w:rPr>
                <w:rFonts w:asciiTheme="minorHAnsi" w:hAnsiTheme="minorHAnsi" w:cstheme="minorHAnsi"/>
                <w:sz w:val="16"/>
                <w:szCs w:val="16"/>
              </w:rPr>
              <w:t>occlusively</w:t>
            </w:r>
            <w:proofErr w:type="spellEnd"/>
            <w:r w:rsidRPr="00C26EA9">
              <w:rPr>
                <w:rFonts w:asciiTheme="minorHAnsi" w:hAnsiTheme="minorHAnsi" w:cstheme="minorHAnsi"/>
                <w:sz w:val="16"/>
                <w:szCs w:val="16"/>
              </w:rPr>
              <w:t xml:space="preserve"> on the abraded skin, 6 hours/day, 21 days (dermal)</w:t>
            </w:r>
          </w:p>
        </w:tc>
        <w:tc>
          <w:tcPr>
            <w:tcW w:w="4659" w:type="dxa"/>
            <w:vAlign w:val="center"/>
          </w:tcPr>
          <w:p w14:paraId="14427FA5"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Mortality: 3 at HD</w:t>
            </w:r>
          </w:p>
          <w:p w14:paraId="56279A28"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Lethargy, hunched posture, hair loss, soiled coats, emaciation, increased respiration, swelling of the conjunctivae, and reproductive effects (retardation of testicular growth) at HD. </w:t>
            </w:r>
          </w:p>
          <w:p w14:paraId="4851D9BB"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Haematological changes including ↑ neutrophils and urea nitrogen, and ↓ lymphocytes and alkaline phosphatase activity at HD. </w:t>
            </w:r>
          </w:p>
          <w:p w14:paraId="071AB5AD"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Dermal irritation effects (erythema, oedema, desquamation, cracking and atonia) were observed at all doses but were more severe at the HD. </w:t>
            </w:r>
          </w:p>
          <w:p w14:paraId="26B8600D"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Histopathology of the skin sites showed an epidermal proliferative response with low grade inflammatory reaction (dose dependent). </w:t>
            </w:r>
          </w:p>
          <w:p w14:paraId="0A49A107"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NOAEL: 1500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w:t>
            </w:r>
          </w:p>
        </w:tc>
      </w:tr>
      <w:tr w:rsidR="00192721" w:rsidRPr="0074486E" w14:paraId="56278E1F" w14:textId="77777777" w:rsidTr="00C26EA9">
        <w:trPr>
          <w:trHeight w:val="1050"/>
          <w:jc w:val="center"/>
        </w:trPr>
        <w:tc>
          <w:tcPr>
            <w:tcW w:w="1833" w:type="dxa"/>
            <w:vMerge w:val="restart"/>
            <w:vAlign w:val="center"/>
          </w:tcPr>
          <w:p w14:paraId="0727A6C7"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 xml:space="preserve">Ethyl hexyl </w:t>
            </w:r>
            <w:proofErr w:type="spellStart"/>
            <w:r w:rsidRPr="00C26EA9">
              <w:rPr>
                <w:rFonts w:asciiTheme="minorHAnsi" w:hAnsiTheme="minorHAnsi" w:cstheme="minorHAnsi"/>
                <w:kern w:val="2"/>
                <w:sz w:val="16"/>
                <w:szCs w:val="16"/>
              </w:rPr>
              <w:t>triazone</w:t>
            </w:r>
            <w:proofErr w:type="spellEnd"/>
          </w:p>
          <w:p w14:paraId="1735DB30"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sz w:val="16"/>
                <w:szCs w:val="16"/>
              </w:rPr>
              <w:t>(ECHA 2021b; DEPA 2015)</w:t>
            </w:r>
            <w:r w:rsidRPr="00C26EA9">
              <w:rPr>
                <w:rFonts w:asciiTheme="minorHAnsi" w:hAnsiTheme="minorHAnsi" w:cstheme="minorHAnsi"/>
                <w:kern w:val="2"/>
                <w:sz w:val="16"/>
                <w:szCs w:val="16"/>
              </w:rPr>
              <w:t xml:space="preserve"> </w:t>
            </w:r>
          </w:p>
        </w:tc>
        <w:tc>
          <w:tcPr>
            <w:tcW w:w="2977" w:type="dxa"/>
            <w:tcMar>
              <w:top w:w="57" w:type="dxa"/>
              <w:left w:w="57" w:type="dxa"/>
              <w:bottom w:w="57" w:type="dxa"/>
              <w:right w:w="57" w:type="dxa"/>
            </w:tcMar>
            <w:vAlign w:val="center"/>
          </w:tcPr>
          <w:p w14:paraId="4AA636BA" w14:textId="4FF63B2B" w:rsidR="00192721" w:rsidRPr="00C26EA9" w:rsidRDefault="00192721" w:rsidP="00BA4549">
            <w:pPr>
              <w:pStyle w:val="Tabletextleft"/>
              <w:rPr>
                <w:rFonts w:asciiTheme="minorHAnsi" w:hAnsiTheme="minorHAnsi" w:cstheme="minorHAnsi"/>
                <w:kern w:val="2"/>
                <w:sz w:val="16"/>
                <w:szCs w:val="16"/>
              </w:rPr>
            </w:pPr>
            <w:r w:rsidRPr="00C26EA9">
              <w:rPr>
                <w:rFonts w:asciiTheme="minorHAnsi" w:hAnsiTheme="minorHAnsi" w:cstheme="minorHAnsi"/>
                <w:sz w:val="16"/>
                <w:szCs w:val="16"/>
              </w:rPr>
              <w:t xml:space="preserve">Rats (Wistar), </w:t>
            </w:r>
            <w:r w:rsidRPr="00C26EA9">
              <w:rPr>
                <w:rFonts w:asciiTheme="minorHAnsi" w:hAnsiTheme="minorHAnsi" w:cstheme="minorHAnsi"/>
                <w:i/>
                <w:sz w:val="16"/>
                <w:szCs w:val="16"/>
              </w:rPr>
              <w:t>n</w:t>
            </w:r>
            <w:r w:rsidRPr="00C26EA9">
              <w:rPr>
                <w:rFonts w:asciiTheme="minorHAnsi" w:hAnsiTheme="minorHAnsi" w:cstheme="minorHAnsi"/>
                <w:sz w:val="16"/>
                <w:szCs w:val="16"/>
              </w:rPr>
              <w:t xml:space="preserve">=10/sex/group, 0, 1000, 4000, and 16000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/day;7 days/week, 90 days (oral)</w:t>
            </w:r>
          </w:p>
        </w:tc>
        <w:tc>
          <w:tcPr>
            <w:tcW w:w="4659" w:type="dxa"/>
            <w:vAlign w:val="center"/>
          </w:tcPr>
          <w:p w14:paraId="658E4A85"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Slight variations in the haematological and clinical chemistry parameters corresponded to the range of biological variation in the species.</w:t>
            </w:r>
            <w:r w:rsidRPr="00C26EA9">
              <w:rPr>
                <w:rFonts w:asciiTheme="minorHAnsi" w:hAnsiTheme="minorHAnsi" w:cstheme="minorHAnsi"/>
                <w:sz w:val="16"/>
                <w:szCs w:val="16"/>
              </w:rPr>
              <w:br/>
              <w:t>↑ Liver-weight without histological correlates among</w:t>
            </w:r>
            <w:r w:rsidRPr="00C26EA9">
              <w:rPr>
                <w:rFonts w:asciiTheme="minorHAnsi" w:hAnsiTheme="minorHAnsi" w:cstheme="minorHAnsi"/>
                <w:sz w:val="16"/>
                <w:szCs w:val="16"/>
              </w:rPr>
              <w:br/>
              <w:t>treated female animals could not be interpreted as being</w:t>
            </w:r>
            <w:r w:rsidRPr="00C26EA9">
              <w:rPr>
                <w:rFonts w:asciiTheme="minorHAnsi" w:hAnsiTheme="minorHAnsi" w:cstheme="minorHAnsi"/>
                <w:sz w:val="16"/>
                <w:szCs w:val="16"/>
              </w:rPr>
              <w:br/>
              <w:t>treatment-related.</w:t>
            </w:r>
          </w:p>
          <w:p w14:paraId="1ECDBF10" w14:textId="77777777" w:rsidR="00192721" w:rsidRPr="00C26EA9" w:rsidRDefault="00192721" w:rsidP="00E07077">
            <w:pPr>
              <w:pStyle w:val="Tabletextleft"/>
              <w:rPr>
                <w:rFonts w:asciiTheme="minorHAnsi" w:hAnsiTheme="minorHAnsi" w:cstheme="minorHAnsi"/>
                <w:i/>
                <w:sz w:val="16"/>
                <w:szCs w:val="16"/>
              </w:rPr>
            </w:pPr>
            <w:r w:rsidRPr="00C26EA9">
              <w:rPr>
                <w:rFonts w:asciiTheme="minorHAnsi" w:hAnsiTheme="minorHAnsi" w:cstheme="minorHAnsi"/>
                <w:b/>
                <w:bCs/>
                <w:sz w:val="16"/>
                <w:szCs w:val="16"/>
              </w:rPr>
              <w:t xml:space="preserve">NOAEL: 1000 mg/kg </w:t>
            </w:r>
            <w:proofErr w:type="spellStart"/>
            <w:r w:rsidRPr="00C26EA9">
              <w:rPr>
                <w:rFonts w:asciiTheme="minorHAnsi" w:hAnsiTheme="minorHAnsi" w:cstheme="minorHAnsi"/>
                <w:b/>
                <w:bCs/>
                <w:sz w:val="16"/>
                <w:szCs w:val="16"/>
              </w:rPr>
              <w:t>bw</w:t>
            </w:r>
            <w:proofErr w:type="spellEnd"/>
            <w:r w:rsidRPr="00C26EA9">
              <w:rPr>
                <w:rFonts w:asciiTheme="minorHAnsi" w:hAnsiTheme="minorHAnsi" w:cstheme="minorHAnsi"/>
                <w:b/>
                <w:bCs/>
                <w:sz w:val="16"/>
                <w:szCs w:val="16"/>
              </w:rPr>
              <w:t>/day</w:t>
            </w:r>
            <w:r w:rsidRPr="00C26EA9">
              <w:rPr>
                <w:rFonts w:asciiTheme="minorHAnsi" w:hAnsiTheme="minorHAnsi" w:cstheme="minorHAnsi"/>
                <w:sz w:val="16"/>
                <w:szCs w:val="16"/>
              </w:rPr>
              <w:t xml:space="preserve"> (nominal) was mentioned. </w:t>
            </w:r>
          </w:p>
        </w:tc>
      </w:tr>
      <w:tr w:rsidR="00192721" w:rsidRPr="0074486E" w14:paraId="2266F03C" w14:textId="77777777" w:rsidTr="00C26EA9">
        <w:trPr>
          <w:trHeight w:val="284"/>
          <w:jc w:val="center"/>
        </w:trPr>
        <w:tc>
          <w:tcPr>
            <w:tcW w:w="1833" w:type="dxa"/>
            <w:vMerge/>
            <w:vAlign w:val="center"/>
          </w:tcPr>
          <w:p w14:paraId="468415C6" w14:textId="77777777" w:rsidR="00192721" w:rsidRPr="00C26EA9" w:rsidRDefault="00192721" w:rsidP="00E07077">
            <w:pPr>
              <w:pStyle w:val="Tabletextleft"/>
              <w:rPr>
                <w:rFonts w:asciiTheme="minorHAnsi" w:hAnsiTheme="minorHAnsi" w:cstheme="minorHAnsi"/>
                <w:kern w:val="2"/>
                <w:sz w:val="16"/>
                <w:szCs w:val="16"/>
              </w:rPr>
            </w:pPr>
          </w:p>
        </w:tc>
        <w:tc>
          <w:tcPr>
            <w:tcW w:w="2977" w:type="dxa"/>
            <w:tcMar>
              <w:top w:w="57" w:type="dxa"/>
              <w:left w:w="57" w:type="dxa"/>
              <w:bottom w:w="57" w:type="dxa"/>
              <w:right w:w="57" w:type="dxa"/>
            </w:tcMar>
            <w:vAlign w:val="center"/>
          </w:tcPr>
          <w:p w14:paraId="57FD094D" w14:textId="3448C3C1" w:rsidR="00192721" w:rsidRPr="00C26EA9" w:rsidRDefault="00192721" w:rsidP="00BA4549">
            <w:pPr>
              <w:pStyle w:val="Tabletextleft"/>
              <w:rPr>
                <w:rFonts w:asciiTheme="minorHAnsi" w:hAnsiTheme="minorHAnsi" w:cstheme="minorHAnsi"/>
                <w:kern w:val="2"/>
                <w:sz w:val="16"/>
                <w:szCs w:val="16"/>
              </w:rPr>
            </w:pPr>
            <w:r w:rsidRPr="00C26EA9">
              <w:rPr>
                <w:rFonts w:asciiTheme="minorHAnsi" w:hAnsiTheme="minorHAnsi" w:cstheme="minorHAnsi"/>
                <w:sz w:val="16"/>
                <w:szCs w:val="16"/>
              </w:rPr>
              <w:t xml:space="preserve">Rats, </w:t>
            </w:r>
            <w:r w:rsidRPr="00C26EA9">
              <w:rPr>
                <w:rFonts w:asciiTheme="minorHAnsi" w:hAnsiTheme="minorHAnsi" w:cstheme="minorHAnsi"/>
                <w:i/>
                <w:iCs/>
                <w:sz w:val="16"/>
                <w:szCs w:val="16"/>
              </w:rPr>
              <w:t>n</w:t>
            </w:r>
            <w:r w:rsidRPr="00C26EA9">
              <w:rPr>
                <w:rFonts w:asciiTheme="minorHAnsi" w:hAnsiTheme="minorHAnsi" w:cstheme="minorHAnsi"/>
                <w:sz w:val="16"/>
                <w:szCs w:val="16"/>
              </w:rPr>
              <w:t xml:space="preserve"> = 10/sex/group, 0, 1000, 4000, and 16000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 (diet); 7 days/week, 90 days</w:t>
            </w:r>
          </w:p>
        </w:tc>
        <w:tc>
          <w:tcPr>
            <w:tcW w:w="4659" w:type="dxa"/>
            <w:vAlign w:val="center"/>
          </w:tcPr>
          <w:p w14:paraId="215AC6EF"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Clinical signs: none treatment-related in the haematological and clinical chemistry parameters</w:t>
            </w:r>
            <w:r w:rsidRPr="00C26EA9">
              <w:rPr>
                <w:rFonts w:asciiTheme="minorHAnsi" w:hAnsiTheme="minorHAnsi" w:cstheme="minorHAnsi"/>
                <w:sz w:val="16"/>
                <w:szCs w:val="16"/>
              </w:rPr>
              <w:br/>
              <w:t>No treatment-related effects on organs</w:t>
            </w:r>
          </w:p>
          <w:p w14:paraId="328E913F"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NOAEL: ≤ 1275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 (nominal)</w:t>
            </w:r>
          </w:p>
        </w:tc>
      </w:tr>
      <w:tr w:rsidR="00192721" w:rsidRPr="0074486E" w14:paraId="761DDAF4" w14:textId="77777777" w:rsidTr="00C26EA9">
        <w:trPr>
          <w:trHeight w:val="27"/>
          <w:jc w:val="center"/>
        </w:trPr>
        <w:tc>
          <w:tcPr>
            <w:tcW w:w="1833" w:type="dxa"/>
            <w:vMerge w:val="restart"/>
            <w:vAlign w:val="center"/>
          </w:tcPr>
          <w:p w14:paraId="621AF92C"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Oxybenzone</w:t>
            </w:r>
          </w:p>
          <w:p w14:paraId="10380DF6" w14:textId="626254CA" w:rsidR="00192721" w:rsidRPr="00C26EA9" w:rsidRDefault="00192721" w:rsidP="00BA4549">
            <w:pPr>
              <w:pStyle w:val="Tabletextleft"/>
              <w:rPr>
                <w:rFonts w:asciiTheme="minorHAnsi" w:hAnsiTheme="minorHAnsi" w:cstheme="minorHAnsi"/>
                <w:kern w:val="2"/>
                <w:sz w:val="16"/>
                <w:szCs w:val="16"/>
              </w:rPr>
            </w:pPr>
            <w:r w:rsidRPr="00C26EA9">
              <w:rPr>
                <w:rFonts w:asciiTheme="minorHAnsi" w:hAnsiTheme="minorHAnsi" w:cstheme="minorHAnsi"/>
                <w:sz w:val="16"/>
                <w:szCs w:val="16"/>
              </w:rPr>
              <w:t>(SCCP 2006a; 2021c)</w:t>
            </w:r>
          </w:p>
        </w:tc>
        <w:tc>
          <w:tcPr>
            <w:tcW w:w="2977" w:type="dxa"/>
            <w:tcMar>
              <w:top w:w="57" w:type="dxa"/>
              <w:left w:w="57" w:type="dxa"/>
              <w:bottom w:w="57" w:type="dxa"/>
              <w:right w:w="57" w:type="dxa"/>
            </w:tcMar>
            <w:vAlign w:val="center"/>
          </w:tcPr>
          <w:p w14:paraId="517C42A6"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Mice (B6C3F1; </w:t>
            </w:r>
            <w:r w:rsidRPr="00C26EA9">
              <w:rPr>
                <w:rFonts w:asciiTheme="minorHAnsi" w:hAnsiTheme="minorHAnsi" w:cstheme="minorHAnsi"/>
                <w:i/>
                <w:sz w:val="16"/>
                <w:szCs w:val="16"/>
              </w:rPr>
              <w:t>n</w:t>
            </w:r>
            <w:r w:rsidRPr="00C26EA9">
              <w:rPr>
                <w:rFonts w:asciiTheme="minorHAnsi" w:hAnsiTheme="minorHAnsi" w:cstheme="minorHAnsi"/>
                <w:sz w:val="16"/>
                <w:szCs w:val="16"/>
              </w:rPr>
              <w:t xml:space="preserve"> = </w:t>
            </w:r>
            <w:r w:rsidRPr="00C26EA9">
              <w:rPr>
                <w:rFonts w:asciiTheme="minorHAnsi" w:hAnsiTheme="minorHAnsi" w:cstheme="minorHAnsi"/>
                <w:i/>
                <w:sz w:val="16"/>
                <w:szCs w:val="16"/>
              </w:rPr>
              <w:t>5</w:t>
            </w:r>
            <w:r w:rsidRPr="00C26EA9">
              <w:rPr>
                <w:rFonts w:asciiTheme="minorHAnsi" w:hAnsiTheme="minorHAnsi" w:cstheme="minorHAnsi"/>
                <w:sz w:val="16"/>
                <w:szCs w:val="16"/>
              </w:rPr>
              <w:t xml:space="preserve">/sex/group), 0, 3125, 6250, 12500, 25000, 50000 ppm (equivalent to 1021, 2041, 4430, 8648, 20796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 14 days (diet)</w:t>
            </w:r>
          </w:p>
        </w:tc>
        <w:tc>
          <w:tcPr>
            <w:tcW w:w="4659" w:type="dxa"/>
            <w:vAlign w:val="center"/>
          </w:tcPr>
          <w:p w14:paraId="2715C18F"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Mortality: none</w:t>
            </w:r>
          </w:p>
          <w:p w14:paraId="08AF49F8"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Bodyweight gain: ↓ in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at HD.</w:t>
            </w:r>
          </w:p>
          <w:p w14:paraId="47B5595A"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Organ weight: ↑ liver weights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&amp;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from LD, associated histopathology observed at 2041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 xml:space="preserve">/day; ↓ kidney weight in </w:t>
            </w:r>
            <w:r w:rsidRPr="00C26EA9">
              <w:rPr>
                <w:rFonts w:asciiTheme="minorHAnsi" w:eastAsia="Cambria" w:hAnsiTheme="minorHAnsi" w:cstheme="minorHAnsi"/>
                <w:kern w:val="0"/>
                <w:sz w:val="16"/>
                <w:szCs w:val="16"/>
              </w:rPr>
              <w:t xml:space="preserve">♂ </w:t>
            </w:r>
            <w:r w:rsidRPr="00C26EA9">
              <w:rPr>
                <w:rFonts w:asciiTheme="minorHAnsi" w:hAnsiTheme="minorHAnsi" w:cstheme="minorHAnsi"/>
                <w:sz w:val="16"/>
                <w:szCs w:val="16"/>
              </w:rPr>
              <w:t xml:space="preserve">from 8648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 xml:space="preserve">/day. </w:t>
            </w:r>
          </w:p>
          <w:p w14:paraId="1331BC9F"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NOAEL: 992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)/1050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mg/kg/day </w:t>
            </w:r>
          </w:p>
        </w:tc>
      </w:tr>
      <w:tr w:rsidR="00192721" w:rsidRPr="0074486E" w14:paraId="5A0D6381" w14:textId="77777777" w:rsidTr="00C26EA9">
        <w:trPr>
          <w:trHeight w:val="24"/>
          <w:jc w:val="center"/>
        </w:trPr>
        <w:tc>
          <w:tcPr>
            <w:tcW w:w="1833" w:type="dxa"/>
            <w:vMerge/>
            <w:vAlign w:val="center"/>
          </w:tcPr>
          <w:p w14:paraId="7265AF82" w14:textId="77777777" w:rsidR="00192721" w:rsidRPr="00C26EA9" w:rsidRDefault="00192721" w:rsidP="00E07077">
            <w:pPr>
              <w:pStyle w:val="Tabletextleft"/>
              <w:rPr>
                <w:rFonts w:asciiTheme="minorHAnsi" w:hAnsiTheme="minorHAnsi" w:cstheme="minorHAnsi"/>
                <w:kern w:val="2"/>
                <w:sz w:val="16"/>
                <w:szCs w:val="16"/>
              </w:rPr>
            </w:pPr>
          </w:p>
        </w:tc>
        <w:tc>
          <w:tcPr>
            <w:tcW w:w="2977" w:type="dxa"/>
            <w:tcMar>
              <w:top w:w="57" w:type="dxa"/>
              <w:left w:w="57" w:type="dxa"/>
              <w:bottom w:w="57" w:type="dxa"/>
              <w:right w:w="57" w:type="dxa"/>
            </w:tcMar>
            <w:vAlign w:val="center"/>
          </w:tcPr>
          <w:p w14:paraId="3CC8289F" w14:textId="6ABD5BF6" w:rsidR="00192721" w:rsidRPr="00C26EA9" w:rsidRDefault="00192721" w:rsidP="00BA4549">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Mice (B6C3F1; </w:t>
            </w:r>
            <w:r w:rsidRPr="00C26EA9">
              <w:rPr>
                <w:rFonts w:asciiTheme="minorHAnsi" w:hAnsiTheme="minorHAnsi" w:cstheme="minorHAnsi"/>
                <w:i/>
                <w:sz w:val="16"/>
                <w:szCs w:val="16"/>
              </w:rPr>
              <w:t xml:space="preserve">n </w:t>
            </w:r>
            <w:r w:rsidRPr="00C26EA9">
              <w:rPr>
                <w:rFonts w:asciiTheme="minorHAnsi" w:hAnsiTheme="minorHAnsi" w:cstheme="minorHAnsi"/>
                <w:sz w:val="16"/>
                <w:szCs w:val="16"/>
              </w:rPr>
              <w:t xml:space="preserve">= 10/sex), doses: 0, 0, 3125, 6250, 12500, 25000, 50000 ppm (equivalent to 554, 1246, 2860, 6780, 16238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 90 days (diet)</w:t>
            </w:r>
          </w:p>
        </w:tc>
        <w:tc>
          <w:tcPr>
            <w:tcW w:w="4659" w:type="dxa"/>
            <w:vAlign w:val="center"/>
          </w:tcPr>
          <w:p w14:paraId="65CB3F44"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Mortality: none</w:t>
            </w:r>
          </w:p>
          <w:p w14:paraId="4146F5EF"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Bodyweight: ↓ BW gain in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&amp;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from 6780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w:t>
            </w:r>
          </w:p>
          <w:p w14:paraId="5A55B0AF" w14:textId="7D7DE90B"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Organ weights: ↑ liver weight from 1246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 xml:space="preserve">/day with histopathology from 6780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 xml:space="preserve">/day. Renal histopathology at HD in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w:t>
            </w:r>
          </w:p>
          <w:p w14:paraId="246801C4"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Reproductive parameters: ↓ sperm density and ↑ abnormal sperm in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and ↑ oestrus cycle length in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at HD</w:t>
            </w:r>
          </w:p>
          <w:p w14:paraId="45188E06"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NOAEL: 2860 mg/kg/day (equivalent to 1068 and 1425 mg/kg/day in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and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respectively)</w:t>
            </w:r>
          </w:p>
        </w:tc>
      </w:tr>
      <w:tr w:rsidR="00192721" w:rsidRPr="0074486E" w14:paraId="785CF961" w14:textId="77777777" w:rsidTr="00C26EA9">
        <w:trPr>
          <w:trHeight w:val="24"/>
          <w:jc w:val="center"/>
        </w:trPr>
        <w:tc>
          <w:tcPr>
            <w:tcW w:w="1833" w:type="dxa"/>
            <w:vMerge/>
            <w:vAlign w:val="center"/>
          </w:tcPr>
          <w:p w14:paraId="4EAF3836" w14:textId="77777777" w:rsidR="00192721" w:rsidRPr="00C26EA9" w:rsidRDefault="00192721" w:rsidP="00E07077">
            <w:pPr>
              <w:pStyle w:val="Tabletextleft"/>
              <w:rPr>
                <w:rFonts w:asciiTheme="minorHAnsi" w:hAnsiTheme="minorHAnsi" w:cstheme="minorHAnsi"/>
                <w:kern w:val="2"/>
                <w:sz w:val="16"/>
                <w:szCs w:val="16"/>
              </w:rPr>
            </w:pPr>
          </w:p>
        </w:tc>
        <w:tc>
          <w:tcPr>
            <w:tcW w:w="2977" w:type="dxa"/>
            <w:tcMar>
              <w:top w:w="57" w:type="dxa"/>
              <w:left w:w="57" w:type="dxa"/>
              <w:bottom w:w="57" w:type="dxa"/>
              <w:right w:w="57" w:type="dxa"/>
            </w:tcMar>
            <w:vAlign w:val="center"/>
          </w:tcPr>
          <w:p w14:paraId="776B3631" w14:textId="715BA4B8" w:rsidR="00192721" w:rsidRPr="00C26EA9" w:rsidRDefault="00192721" w:rsidP="00BA4549">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Rats (F344/N; </w:t>
            </w:r>
            <w:r w:rsidRPr="00C26EA9">
              <w:rPr>
                <w:rFonts w:asciiTheme="minorHAnsi" w:hAnsiTheme="minorHAnsi" w:cstheme="minorHAnsi"/>
                <w:i/>
                <w:sz w:val="16"/>
                <w:szCs w:val="16"/>
              </w:rPr>
              <w:t xml:space="preserve">n </w:t>
            </w:r>
            <w:r w:rsidRPr="00C26EA9">
              <w:rPr>
                <w:rFonts w:asciiTheme="minorHAnsi" w:hAnsiTheme="minorHAnsi" w:cstheme="minorHAnsi"/>
                <w:sz w:val="16"/>
                <w:szCs w:val="16"/>
              </w:rPr>
              <w:t xml:space="preserve">= 5/sex/group), Doses: 0, 3125, 6250, 12500, 25000, 50000 ppm (equivalent to 303, 576, 1132, 2238, 3868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 14 days (diet)</w:t>
            </w:r>
          </w:p>
        </w:tc>
        <w:tc>
          <w:tcPr>
            <w:tcW w:w="4659" w:type="dxa"/>
            <w:vAlign w:val="center"/>
          </w:tcPr>
          <w:p w14:paraId="670AFA32"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Mortality: none</w:t>
            </w:r>
          </w:p>
          <w:p w14:paraId="2B2D4EDF"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Bodyweight gain: ↓ in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at HD.</w:t>
            </w:r>
          </w:p>
          <w:p w14:paraId="04377A69" w14:textId="62523D38"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Organ weight: ↑ liver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&amp;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and kidney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weights from LD, associated histopathology observed at 576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 in liver and at HD in kidney.</w:t>
            </w:r>
          </w:p>
          <w:p w14:paraId="5F5FC6DD"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NOAEL: 303 mg/kg/day (equivalent to 295 and 311 mg/kg/day in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and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respectively)</w:t>
            </w:r>
          </w:p>
        </w:tc>
      </w:tr>
      <w:tr w:rsidR="00192721" w:rsidRPr="0074486E" w14:paraId="5540CEA5" w14:textId="77777777" w:rsidTr="00C26EA9">
        <w:trPr>
          <w:trHeight w:val="24"/>
          <w:jc w:val="center"/>
        </w:trPr>
        <w:tc>
          <w:tcPr>
            <w:tcW w:w="1833" w:type="dxa"/>
            <w:vMerge/>
            <w:vAlign w:val="center"/>
          </w:tcPr>
          <w:p w14:paraId="21D7EA10" w14:textId="77777777" w:rsidR="00192721" w:rsidRPr="00C26EA9" w:rsidRDefault="00192721" w:rsidP="00E07077">
            <w:pPr>
              <w:pStyle w:val="Tabletextleft"/>
              <w:rPr>
                <w:rFonts w:asciiTheme="minorHAnsi" w:hAnsiTheme="minorHAnsi" w:cstheme="minorHAnsi"/>
                <w:kern w:val="2"/>
                <w:sz w:val="16"/>
                <w:szCs w:val="16"/>
              </w:rPr>
            </w:pPr>
          </w:p>
        </w:tc>
        <w:tc>
          <w:tcPr>
            <w:tcW w:w="2977" w:type="dxa"/>
            <w:tcMar>
              <w:top w:w="57" w:type="dxa"/>
              <w:left w:w="57" w:type="dxa"/>
              <w:bottom w:w="57" w:type="dxa"/>
              <w:right w:w="57" w:type="dxa"/>
            </w:tcMar>
            <w:vAlign w:val="center"/>
          </w:tcPr>
          <w:p w14:paraId="733B29F9" w14:textId="6D477389"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Rats (F344/N; </w:t>
            </w:r>
            <w:r w:rsidRPr="00C26EA9">
              <w:rPr>
                <w:rFonts w:asciiTheme="minorHAnsi" w:hAnsiTheme="minorHAnsi" w:cstheme="minorHAnsi"/>
                <w:i/>
                <w:sz w:val="16"/>
                <w:szCs w:val="16"/>
              </w:rPr>
              <w:t xml:space="preserve">n </w:t>
            </w:r>
            <w:r w:rsidRPr="00C26EA9">
              <w:rPr>
                <w:rFonts w:asciiTheme="minorHAnsi" w:hAnsiTheme="minorHAnsi" w:cstheme="minorHAnsi"/>
                <w:sz w:val="16"/>
                <w:szCs w:val="16"/>
              </w:rPr>
              <w:t xml:space="preserve">= 10/sex/group), Doses: 0, 3125, 6250, 12500, 25000, 50000 ppm (equivalent to 0, 204, 411, 828, 1702, 3458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 90 days (diet)</w:t>
            </w:r>
          </w:p>
        </w:tc>
        <w:tc>
          <w:tcPr>
            <w:tcW w:w="4659" w:type="dxa"/>
            <w:vAlign w:val="center"/>
          </w:tcPr>
          <w:p w14:paraId="3FC61E35"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Mortality: none.</w:t>
            </w:r>
          </w:p>
          <w:p w14:paraId="2E81AEB2"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Clinical signs: coloured urine from LD. </w:t>
            </w:r>
          </w:p>
          <w:p w14:paraId="4017BB88"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Bodyweights: ↓ BW gain in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&amp;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from 1702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w:t>
            </w:r>
          </w:p>
          <w:p w14:paraId="69821437"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Clinical pathology: serum protein levels from 411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 xml:space="preserve">/day, ↑ platelet counts from 1702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 xml:space="preserve">/day </w:t>
            </w:r>
          </w:p>
          <w:p w14:paraId="3E4E6A95"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Organ weights: ↑ liver weight from LD; ↑ kidney weight in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from 1702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 xml:space="preserve">/day with dilation of renal tubules, inflammation with fibrosis in renal </w:t>
            </w:r>
            <w:proofErr w:type="spellStart"/>
            <w:r w:rsidRPr="00C26EA9">
              <w:rPr>
                <w:rFonts w:asciiTheme="minorHAnsi" w:hAnsiTheme="minorHAnsi" w:cstheme="minorHAnsi"/>
                <w:sz w:val="16"/>
                <w:szCs w:val="16"/>
              </w:rPr>
              <w:t>interstitium</w:t>
            </w:r>
            <w:proofErr w:type="spellEnd"/>
            <w:r w:rsidRPr="00C26EA9">
              <w:rPr>
                <w:rFonts w:asciiTheme="minorHAnsi" w:hAnsiTheme="minorHAnsi" w:cstheme="minorHAnsi"/>
                <w:sz w:val="16"/>
                <w:szCs w:val="16"/>
              </w:rPr>
              <w:t xml:space="preserve"> at HD.</w:t>
            </w:r>
          </w:p>
          <w:p w14:paraId="615B9F7B"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Reproductive parameters: ↓ sperm motility in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and ↑ oestrus cycle length in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at HD.</w:t>
            </w:r>
          </w:p>
          <w:p w14:paraId="13022B38"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NOAEL: 411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 xml:space="preserve">/day (equivalent to 429 and 393 in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and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respectively)</w:t>
            </w:r>
          </w:p>
        </w:tc>
      </w:tr>
      <w:tr w:rsidR="00192721" w:rsidRPr="0074486E" w14:paraId="4A9033DF" w14:textId="77777777" w:rsidTr="00C26EA9">
        <w:trPr>
          <w:trHeight w:val="24"/>
          <w:jc w:val="center"/>
        </w:trPr>
        <w:tc>
          <w:tcPr>
            <w:tcW w:w="1833" w:type="dxa"/>
            <w:vMerge/>
            <w:vAlign w:val="center"/>
          </w:tcPr>
          <w:p w14:paraId="32447ED6" w14:textId="77777777" w:rsidR="00192721" w:rsidRPr="00C26EA9" w:rsidRDefault="00192721" w:rsidP="00E07077">
            <w:pPr>
              <w:pStyle w:val="Tabletextleft"/>
              <w:rPr>
                <w:rFonts w:asciiTheme="minorHAnsi" w:hAnsiTheme="minorHAnsi" w:cstheme="minorHAnsi"/>
                <w:kern w:val="2"/>
                <w:sz w:val="16"/>
                <w:szCs w:val="16"/>
              </w:rPr>
            </w:pPr>
          </w:p>
        </w:tc>
        <w:tc>
          <w:tcPr>
            <w:tcW w:w="2977" w:type="dxa"/>
            <w:tcMar>
              <w:top w:w="57" w:type="dxa"/>
              <w:left w:w="57" w:type="dxa"/>
              <w:bottom w:w="57" w:type="dxa"/>
              <w:right w:w="57" w:type="dxa"/>
            </w:tcMar>
            <w:vAlign w:val="center"/>
          </w:tcPr>
          <w:p w14:paraId="08C2AAFE"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Mice (B6C3F1; </w:t>
            </w:r>
            <w:r w:rsidRPr="00C26EA9">
              <w:rPr>
                <w:rFonts w:asciiTheme="minorHAnsi" w:hAnsiTheme="minorHAnsi" w:cstheme="minorHAnsi"/>
                <w:i/>
                <w:sz w:val="16"/>
                <w:szCs w:val="16"/>
              </w:rPr>
              <w:t xml:space="preserve">n </w:t>
            </w:r>
            <w:r w:rsidRPr="00C26EA9">
              <w:rPr>
                <w:rFonts w:asciiTheme="minorHAnsi" w:hAnsiTheme="minorHAnsi" w:cstheme="minorHAnsi"/>
                <w:sz w:val="16"/>
                <w:szCs w:val="16"/>
              </w:rPr>
              <w:t xml:space="preserve">= 5/sex/group), Doses: 0, 0.5, 1.0, 2.0, 4.0, 8.0 mg/mouse in acetone or lotion* (equivalent to 24.8, 48.4, 100, 196, 388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 xml:space="preserve">/day), 14 days (dermal)  </w:t>
            </w:r>
          </w:p>
        </w:tc>
        <w:tc>
          <w:tcPr>
            <w:tcW w:w="4659" w:type="dxa"/>
            <w:vAlign w:val="center"/>
          </w:tcPr>
          <w:p w14:paraId="2F267E2F"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Mortality: none</w:t>
            </w:r>
          </w:p>
          <w:p w14:paraId="72C3957B"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Organ weights: ↑ liver weight from 196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w:t>
            </w:r>
          </w:p>
          <w:p w14:paraId="544A89AA"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NOAEL: 388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 xml:space="preserve">/day (equivalent to 384 and 432 mg/kg/day in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and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respectively)</w:t>
            </w:r>
          </w:p>
        </w:tc>
      </w:tr>
      <w:tr w:rsidR="00192721" w:rsidRPr="0074486E" w14:paraId="78DC8526" w14:textId="77777777" w:rsidTr="00C26EA9">
        <w:trPr>
          <w:trHeight w:val="24"/>
          <w:jc w:val="center"/>
        </w:trPr>
        <w:tc>
          <w:tcPr>
            <w:tcW w:w="1833" w:type="dxa"/>
            <w:vMerge/>
            <w:vAlign w:val="center"/>
          </w:tcPr>
          <w:p w14:paraId="1922C82F" w14:textId="77777777" w:rsidR="00192721" w:rsidRPr="00C26EA9" w:rsidRDefault="00192721" w:rsidP="00E07077">
            <w:pPr>
              <w:pStyle w:val="Tabletextleft"/>
              <w:rPr>
                <w:rFonts w:asciiTheme="minorHAnsi" w:hAnsiTheme="minorHAnsi" w:cstheme="minorHAnsi"/>
                <w:kern w:val="2"/>
                <w:sz w:val="16"/>
                <w:szCs w:val="16"/>
              </w:rPr>
            </w:pPr>
          </w:p>
        </w:tc>
        <w:tc>
          <w:tcPr>
            <w:tcW w:w="2977" w:type="dxa"/>
            <w:tcMar>
              <w:top w:w="57" w:type="dxa"/>
              <w:left w:w="57" w:type="dxa"/>
              <w:bottom w:w="57" w:type="dxa"/>
              <w:right w:w="57" w:type="dxa"/>
            </w:tcMar>
            <w:vAlign w:val="center"/>
          </w:tcPr>
          <w:p w14:paraId="66666234"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Mice (B6C3F1; </w:t>
            </w:r>
            <w:r w:rsidRPr="00C26EA9">
              <w:rPr>
                <w:rFonts w:asciiTheme="minorHAnsi" w:hAnsiTheme="minorHAnsi" w:cstheme="minorHAnsi"/>
                <w:i/>
                <w:sz w:val="16"/>
                <w:szCs w:val="16"/>
              </w:rPr>
              <w:t xml:space="preserve">n </w:t>
            </w:r>
            <w:r w:rsidRPr="00C26EA9">
              <w:rPr>
                <w:rFonts w:asciiTheme="minorHAnsi" w:hAnsiTheme="minorHAnsi" w:cstheme="minorHAnsi"/>
                <w:sz w:val="16"/>
                <w:szCs w:val="16"/>
              </w:rPr>
              <w:t xml:space="preserve">= 10/sex/group), Doses: 0, 22.8, 45.5, 91, 183, 364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 in acetone or lotion*, 90 days (dermal, 5 days/week)</w:t>
            </w:r>
          </w:p>
        </w:tc>
        <w:tc>
          <w:tcPr>
            <w:tcW w:w="4659" w:type="dxa"/>
            <w:vAlign w:val="center"/>
          </w:tcPr>
          <w:p w14:paraId="00D24866"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Mortality: none. </w:t>
            </w:r>
          </w:p>
          <w:p w14:paraId="1E302CED"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Organ weights: ↑ kidney weight in </w:t>
            </w:r>
            <w:r w:rsidRPr="00C26EA9">
              <w:rPr>
                <w:rFonts w:asciiTheme="minorHAnsi" w:eastAsia="Cambria" w:hAnsiTheme="minorHAnsi" w:cstheme="minorHAnsi"/>
                <w:kern w:val="0"/>
                <w:sz w:val="16"/>
                <w:szCs w:val="16"/>
              </w:rPr>
              <w:t>♂ at all doses</w:t>
            </w:r>
          </w:p>
          <w:p w14:paraId="39383898"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Reproductive parameters: ↓ epididymal sperm density in </w:t>
            </w:r>
            <w:r w:rsidRPr="00C26EA9">
              <w:rPr>
                <w:rFonts w:asciiTheme="minorHAnsi" w:eastAsia="Cambria" w:hAnsiTheme="minorHAnsi" w:cstheme="minorHAnsi"/>
                <w:kern w:val="0"/>
                <w:sz w:val="16"/>
                <w:szCs w:val="16"/>
              </w:rPr>
              <w:t>♂ at all doses</w:t>
            </w:r>
            <w:r w:rsidRPr="00C26EA9">
              <w:rPr>
                <w:rFonts w:asciiTheme="minorHAnsi" w:hAnsiTheme="minorHAnsi" w:cstheme="minorHAnsi"/>
                <w:sz w:val="16"/>
                <w:szCs w:val="16"/>
              </w:rPr>
              <w:t>.</w:t>
            </w:r>
          </w:p>
          <w:p w14:paraId="3CE002E9"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NOAEL: 364mg/kg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 xml:space="preserve">/day in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and </w:t>
            </w:r>
            <w:r w:rsidRPr="00C26EA9">
              <w:rPr>
                <w:rFonts w:asciiTheme="minorHAnsi" w:eastAsia="Cambria" w:hAnsiTheme="minorHAnsi" w:cstheme="minorHAnsi"/>
                <w:kern w:val="0"/>
                <w:sz w:val="16"/>
                <w:szCs w:val="16"/>
              </w:rPr>
              <w:t>♀</w:t>
            </w:r>
          </w:p>
        </w:tc>
      </w:tr>
      <w:tr w:rsidR="00192721" w:rsidRPr="0074486E" w14:paraId="7763C778" w14:textId="77777777" w:rsidTr="00C26EA9">
        <w:trPr>
          <w:trHeight w:val="24"/>
          <w:jc w:val="center"/>
        </w:trPr>
        <w:tc>
          <w:tcPr>
            <w:tcW w:w="1833" w:type="dxa"/>
            <w:vMerge/>
            <w:vAlign w:val="center"/>
          </w:tcPr>
          <w:p w14:paraId="3EED0136" w14:textId="77777777" w:rsidR="00192721" w:rsidRPr="00C26EA9" w:rsidRDefault="00192721" w:rsidP="00E07077">
            <w:pPr>
              <w:pStyle w:val="Tabletextleft"/>
              <w:rPr>
                <w:rFonts w:asciiTheme="minorHAnsi" w:hAnsiTheme="minorHAnsi" w:cstheme="minorHAnsi"/>
                <w:kern w:val="2"/>
                <w:sz w:val="16"/>
                <w:szCs w:val="16"/>
              </w:rPr>
            </w:pPr>
          </w:p>
        </w:tc>
        <w:tc>
          <w:tcPr>
            <w:tcW w:w="2977" w:type="dxa"/>
            <w:tcMar>
              <w:top w:w="57" w:type="dxa"/>
              <w:left w:w="57" w:type="dxa"/>
              <w:bottom w:w="57" w:type="dxa"/>
              <w:right w:w="57" w:type="dxa"/>
            </w:tcMar>
            <w:vAlign w:val="center"/>
          </w:tcPr>
          <w:p w14:paraId="25543894" w14:textId="692850C5"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Rats (F344/N; </w:t>
            </w:r>
            <w:r w:rsidRPr="00C26EA9">
              <w:rPr>
                <w:rFonts w:asciiTheme="minorHAnsi" w:hAnsiTheme="minorHAnsi" w:cstheme="minorHAnsi"/>
                <w:i/>
                <w:sz w:val="16"/>
                <w:szCs w:val="16"/>
              </w:rPr>
              <w:t xml:space="preserve">n </w:t>
            </w:r>
            <w:r w:rsidRPr="00C26EA9">
              <w:rPr>
                <w:rFonts w:asciiTheme="minorHAnsi" w:hAnsiTheme="minorHAnsi" w:cstheme="minorHAnsi"/>
                <w:sz w:val="16"/>
                <w:szCs w:val="16"/>
              </w:rPr>
              <w:t xml:space="preserve">= 5/sex/group), doses: 0, 1.25, 2.5, 5, 10, 20 mg/rat in acetone or lotion* (equivalent to 7, 13.6, 27.7, 54.9 and 110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 14 days (dermal) (5 days/week for 2 weeks)</w:t>
            </w:r>
          </w:p>
        </w:tc>
        <w:tc>
          <w:tcPr>
            <w:tcW w:w="4659" w:type="dxa"/>
            <w:vAlign w:val="center"/>
          </w:tcPr>
          <w:p w14:paraId="2B0B55F1"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Mortality: none</w:t>
            </w:r>
          </w:p>
          <w:p w14:paraId="6CECBFA9"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Organ weights: ↑ liver weight in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from 27.7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 xml:space="preserve">/day, ↑ kidney weight in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at HD</w:t>
            </w:r>
          </w:p>
          <w:p w14:paraId="5181B0AD"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NOAEL: 100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)/140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w:t>
            </w:r>
          </w:p>
        </w:tc>
      </w:tr>
      <w:tr w:rsidR="00192721" w:rsidRPr="0074486E" w14:paraId="5A8E4121" w14:textId="77777777" w:rsidTr="00C26EA9">
        <w:trPr>
          <w:trHeight w:val="24"/>
          <w:jc w:val="center"/>
        </w:trPr>
        <w:tc>
          <w:tcPr>
            <w:tcW w:w="1833" w:type="dxa"/>
            <w:vMerge/>
            <w:vAlign w:val="center"/>
          </w:tcPr>
          <w:p w14:paraId="49E832A4" w14:textId="77777777" w:rsidR="00192721" w:rsidRPr="00C26EA9" w:rsidRDefault="00192721" w:rsidP="00E07077">
            <w:pPr>
              <w:pStyle w:val="Tabletextleft"/>
              <w:rPr>
                <w:rFonts w:asciiTheme="minorHAnsi" w:hAnsiTheme="minorHAnsi" w:cstheme="minorHAnsi"/>
                <w:kern w:val="2"/>
                <w:sz w:val="16"/>
                <w:szCs w:val="16"/>
              </w:rPr>
            </w:pPr>
          </w:p>
        </w:tc>
        <w:tc>
          <w:tcPr>
            <w:tcW w:w="2977" w:type="dxa"/>
            <w:tcMar>
              <w:top w:w="57" w:type="dxa"/>
              <w:left w:w="57" w:type="dxa"/>
              <w:bottom w:w="57" w:type="dxa"/>
              <w:right w:w="57" w:type="dxa"/>
            </w:tcMar>
            <w:vAlign w:val="center"/>
          </w:tcPr>
          <w:p w14:paraId="6BEB94B8" w14:textId="4AAF751A"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Rats (SD; </w:t>
            </w:r>
            <w:r w:rsidRPr="00C26EA9">
              <w:rPr>
                <w:rFonts w:asciiTheme="minorHAnsi" w:hAnsiTheme="minorHAnsi" w:cstheme="minorHAnsi"/>
                <w:i/>
                <w:sz w:val="16"/>
                <w:szCs w:val="16"/>
              </w:rPr>
              <w:t>n</w:t>
            </w:r>
            <w:r w:rsidRPr="00C26EA9">
              <w:rPr>
                <w:rFonts w:asciiTheme="minorHAnsi" w:hAnsiTheme="minorHAnsi" w:cstheme="minorHAnsi"/>
                <w:sz w:val="16"/>
                <w:szCs w:val="16"/>
              </w:rPr>
              <w:t xml:space="preserve"> = 6</w:t>
            </w:r>
            <w:r w:rsidRPr="00C26EA9">
              <w:rPr>
                <w:rFonts w:asciiTheme="minorHAnsi" w:eastAsia="Cambria" w:hAnsiTheme="minorHAnsi" w:cstheme="minorHAnsi"/>
                <w:kern w:val="0"/>
                <w:sz w:val="16"/>
                <w:szCs w:val="16"/>
              </w:rPr>
              <w:t>♂/group</w:t>
            </w:r>
            <w:r w:rsidRPr="00C26EA9">
              <w:rPr>
                <w:rFonts w:asciiTheme="minorHAnsi" w:hAnsiTheme="minorHAnsi" w:cstheme="minorHAnsi"/>
                <w:sz w:val="16"/>
                <w:szCs w:val="16"/>
              </w:rPr>
              <w:t xml:space="preserve">), 0, 100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 28 days (twice daily)</w:t>
            </w:r>
            <w:r w:rsidR="00D32CE1">
              <w:rPr>
                <w:rFonts w:asciiTheme="minorHAnsi" w:hAnsiTheme="minorHAnsi" w:cstheme="minorHAnsi"/>
                <w:sz w:val="16"/>
                <w:szCs w:val="16"/>
              </w:rPr>
              <w:t xml:space="preserve"> </w:t>
            </w:r>
            <w:r w:rsidRPr="00C26EA9">
              <w:rPr>
                <w:rFonts w:asciiTheme="minorHAnsi" w:hAnsiTheme="minorHAnsi" w:cstheme="minorHAnsi"/>
                <w:sz w:val="16"/>
                <w:szCs w:val="16"/>
              </w:rPr>
              <w:t>(dermal)</w:t>
            </w:r>
          </w:p>
        </w:tc>
        <w:tc>
          <w:tcPr>
            <w:tcW w:w="4659" w:type="dxa"/>
            <w:vAlign w:val="center"/>
          </w:tcPr>
          <w:p w14:paraId="47B53A33"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No treatment-related effects (limited evaluation).</w:t>
            </w:r>
          </w:p>
          <w:p w14:paraId="0E868AFA"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NOAEL: 100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w:t>
            </w:r>
          </w:p>
        </w:tc>
      </w:tr>
      <w:tr w:rsidR="00192721" w:rsidRPr="0074486E" w14:paraId="53083E19" w14:textId="77777777" w:rsidTr="00C26EA9">
        <w:trPr>
          <w:trHeight w:val="24"/>
          <w:jc w:val="center"/>
        </w:trPr>
        <w:tc>
          <w:tcPr>
            <w:tcW w:w="1833" w:type="dxa"/>
            <w:vMerge/>
            <w:vAlign w:val="center"/>
          </w:tcPr>
          <w:p w14:paraId="1E65848E" w14:textId="77777777" w:rsidR="00192721" w:rsidRPr="00C26EA9" w:rsidRDefault="00192721" w:rsidP="00E07077">
            <w:pPr>
              <w:pStyle w:val="Tabletextleft"/>
              <w:rPr>
                <w:rFonts w:asciiTheme="minorHAnsi" w:hAnsiTheme="minorHAnsi" w:cstheme="minorHAnsi"/>
                <w:kern w:val="2"/>
                <w:sz w:val="16"/>
                <w:szCs w:val="16"/>
              </w:rPr>
            </w:pPr>
          </w:p>
        </w:tc>
        <w:tc>
          <w:tcPr>
            <w:tcW w:w="2977" w:type="dxa"/>
            <w:tcMar>
              <w:top w:w="57" w:type="dxa"/>
              <w:left w:w="57" w:type="dxa"/>
              <w:bottom w:w="57" w:type="dxa"/>
              <w:right w:w="57" w:type="dxa"/>
            </w:tcMar>
            <w:vAlign w:val="center"/>
          </w:tcPr>
          <w:p w14:paraId="379AEED6"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Rats (F344/N; </w:t>
            </w:r>
            <w:r w:rsidRPr="00C26EA9">
              <w:rPr>
                <w:rFonts w:asciiTheme="minorHAnsi" w:hAnsiTheme="minorHAnsi" w:cstheme="minorHAnsi"/>
                <w:i/>
                <w:sz w:val="16"/>
                <w:szCs w:val="16"/>
              </w:rPr>
              <w:t>n</w:t>
            </w:r>
            <w:r w:rsidRPr="00C26EA9">
              <w:rPr>
                <w:rFonts w:asciiTheme="minorHAnsi" w:hAnsiTheme="minorHAnsi" w:cstheme="minorHAnsi"/>
                <w:sz w:val="16"/>
                <w:szCs w:val="16"/>
              </w:rPr>
              <w:t xml:space="preserve">-10/sex/group), doses: 0, 12.5, 25, 50, 100, 200 mg/rat in acetone or lotion* (equivalent to 12.5, 25, 50, 100, 200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 90 days (dermal</w:t>
            </w:r>
            <w:proofErr w:type="gramStart"/>
            <w:r w:rsidRPr="00C26EA9">
              <w:rPr>
                <w:rFonts w:asciiTheme="minorHAnsi" w:hAnsiTheme="minorHAnsi" w:cstheme="minorHAnsi"/>
                <w:sz w:val="16"/>
                <w:szCs w:val="16"/>
              </w:rPr>
              <w:t>)(</w:t>
            </w:r>
            <w:proofErr w:type="gramEnd"/>
            <w:r w:rsidRPr="00C26EA9">
              <w:rPr>
                <w:rFonts w:asciiTheme="minorHAnsi" w:hAnsiTheme="minorHAnsi" w:cstheme="minorHAnsi"/>
                <w:sz w:val="16"/>
                <w:szCs w:val="16"/>
              </w:rPr>
              <w:t>5 days/week)</w:t>
            </w:r>
          </w:p>
        </w:tc>
        <w:tc>
          <w:tcPr>
            <w:tcW w:w="4659" w:type="dxa"/>
            <w:vAlign w:val="center"/>
          </w:tcPr>
          <w:p w14:paraId="4315D2C4"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Mortality: none.</w:t>
            </w:r>
          </w:p>
          <w:p w14:paraId="3743764E"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Clinical pathology: ↓ reticulocyte counts from LD, ↑ platelet counts from 50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 ↑ whole blood cell count produced by lymphocytosis at HD.</w:t>
            </w:r>
          </w:p>
          <w:p w14:paraId="321E64A8"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NOAEL: 200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w:t>
            </w:r>
          </w:p>
        </w:tc>
      </w:tr>
      <w:tr w:rsidR="00192721" w:rsidRPr="0074486E" w14:paraId="4DC696CE" w14:textId="77777777" w:rsidTr="00C26EA9">
        <w:trPr>
          <w:trHeight w:val="24"/>
          <w:jc w:val="center"/>
        </w:trPr>
        <w:tc>
          <w:tcPr>
            <w:tcW w:w="1833" w:type="dxa"/>
            <w:vAlign w:val="center"/>
          </w:tcPr>
          <w:p w14:paraId="7E432057" w14:textId="77777777" w:rsidR="00192721" w:rsidRPr="00C26EA9" w:rsidRDefault="00192721" w:rsidP="00E07077">
            <w:pPr>
              <w:pStyle w:val="Tabletextleft"/>
              <w:rPr>
                <w:rFonts w:asciiTheme="minorHAnsi" w:hAnsiTheme="minorHAnsi" w:cstheme="minorHAnsi"/>
                <w:kern w:val="2"/>
                <w:sz w:val="16"/>
                <w:szCs w:val="16"/>
              </w:rPr>
            </w:pPr>
            <w:proofErr w:type="spellStart"/>
            <w:r w:rsidRPr="00C26EA9">
              <w:rPr>
                <w:rFonts w:asciiTheme="minorHAnsi" w:hAnsiTheme="minorHAnsi" w:cstheme="minorHAnsi"/>
                <w:sz w:val="16"/>
                <w:szCs w:val="16"/>
              </w:rPr>
              <w:t>Phenylbenzimidazole</w:t>
            </w:r>
            <w:proofErr w:type="spellEnd"/>
            <w:r w:rsidRPr="00C26EA9">
              <w:rPr>
                <w:rFonts w:asciiTheme="minorHAnsi" w:hAnsiTheme="minorHAnsi" w:cstheme="minorHAnsi"/>
                <w:sz w:val="16"/>
                <w:szCs w:val="16"/>
              </w:rPr>
              <w:t xml:space="preserve"> sulfonic acid (SCCP 2006b)</w:t>
            </w:r>
          </w:p>
        </w:tc>
        <w:tc>
          <w:tcPr>
            <w:tcW w:w="2977" w:type="dxa"/>
            <w:tcMar>
              <w:top w:w="57" w:type="dxa"/>
              <w:left w:w="57" w:type="dxa"/>
              <w:bottom w:w="57" w:type="dxa"/>
              <w:right w:w="57" w:type="dxa"/>
            </w:tcMar>
            <w:vAlign w:val="center"/>
          </w:tcPr>
          <w:p w14:paraId="703CB2F2"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Rats (Wistar; </w:t>
            </w:r>
            <w:r w:rsidRPr="00C26EA9">
              <w:rPr>
                <w:rFonts w:asciiTheme="minorHAnsi" w:hAnsiTheme="minorHAnsi" w:cstheme="minorHAnsi"/>
                <w:i/>
                <w:sz w:val="16"/>
                <w:szCs w:val="16"/>
              </w:rPr>
              <w:t>n</w:t>
            </w:r>
            <w:r w:rsidRPr="00C26EA9">
              <w:rPr>
                <w:rFonts w:asciiTheme="minorHAnsi" w:hAnsiTheme="minorHAnsi" w:cstheme="minorHAnsi"/>
                <w:sz w:val="16"/>
                <w:szCs w:val="16"/>
              </w:rPr>
              <w:t xml:space="preserve"> = 5/sex/group)</w:t>
            </w:r>
          </w:p>
          <w:p w14:paraId="63A9EC2B" w14:textId="3363D5AD"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Doses: 0, 100, 330 and 1000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 13 weeks (oral)</w:t>
            </w:r>
          </w:p>
        </w:tc>
        <w:tc>
          <w:tcPr>
            <w:tcW w:w="4659" w:type="dxa"/>
            <w:vAlign w:val="center"/>
          </w:tcPr>
          <w:p w14:paraId="08D60A03" w14:textId="77777777" w:rsidR="00192721" w:rsidRPr="00C26EA9" w:rsidRDefault="00192721" w:rsidP="00E07077">
            <w:pPr>
              <w:pStyle w:val="Tabletextleft"/>
              <w:rPr>
                <w:rFonts w:asciiTheme="minorHAnsi" w:hAnsiTheme="minorHAnsi" w:cstheme="minorHAnsi"/>
                <w:sz w:val="16"/>
                <w:szCs w:val="16"/>
              </w:rPr>
            </w:pPr>
            <w:bookmarkStart w:id="69" w:name="_Toc296419642"/>
            <w:r w:rsidRPr="00C26EA9">
              <w:rPr>
                <w:rFonts w:asciiTheme="minorHAnsi" w:hAnsiTheme="minorHAnsi" w:cstheme="minorHAnsi"/>
                <w:sz w:val="16"/>
                <w:szCs w:val="16"/>
              </w:rPr>
              <w:t>No treatment-related effects.</w:t>
            </w:r>
          </w:p>
          <w:p w14:paraId="164AC725"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NOAEL:  1000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w:t>
            </w:r>
            <w:bookmarkEnd w:id="69"/>
          </w:p>
        </w:tc>
      </w:tr>
      <w:tr w:rsidR="00192721" w:rsidRPr="0074486E" w14:paraId="7D0E25E2" w14:textId="77777777" w:rsidTr="00C26EA9">
        <w:trPr>
          <w:trHeight w:val="95"/>
          <w:jc w:val="center"/>
        </w:trPr>
        <w:tc>
          <w:tcPr>
            <w:tcW w:w="1833" w:type="dxa"/>
            <w:vMerge w:val="restart"/>
            <w:vAlign w:val="center"/>
          </w:tcPr>
          <w:p w14:paraId="569437CC" w14:textId="77777777" w:rsidR="00192721" w:rsidRPr="00C26EA9" w:rsidRDefault="00192721" w:rsidP="00E07077">
            <w:pPr>
              <w:pStyle w:val="Tabletextleft"/>
              <w:rPr>
                <w:rFonts w:asciiTheme="minorHAnsi" w:hAnsiTheme="minorHAnsi" w:cstheme="minorHAnsi"/>
                <w:kern w:val="2"/>
                <w:sz w:val="16"/>
                <w:szCs w:val="16"/>
              </w:rPr>
            </w:pPr>
            <w:proofErr w:type="spellStart"/>
            <w:r w:rsidRPr="00C26EA9">
              <w:rPr>
                <w:rFonts w:asciiTheme="minorHAnsi" w:hAnsiTheme="minorHAnsi" w:cstheme="minorHAnsi"/>
                <w:kern w:val="2"/>
                <w:sz w:val="16"/>
                <w:szCs w:val="16"/>
              </w:rPr>
              <w:t>Homosalate</w:t>
            </w:r>
            <w:proofErr w:type="spellEnd"/>
            <w:r w:rsidRPr="00C26EA9">
              <w:rPr>
                <w:rFonts w:asciiTheme="minorHAnsi" w:hAnsiTheme="minorHAnsi" w:cstheme="minorHAnsi"/>
                <w:kern w:val="2"/>
                <w:sz w:val="16"/>
                <w:szCs w:val="16"/>
              </w:rPr>
              <w:t xml:space="preserve"> </w:t>
            </w:r>
          </w:p>
          <w:p w14:paraId="0F2D7A95"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sz w:val="16"/>
                <w:szCs w:val="16"/>
              </w:rPr>
              <w:lastRenderedPageBreak/>
              <w:t>(SCCS 2021</w:t>
            </w:r>
            <w:proofErr w:type="gramStart"/>
            <w:r w:rsidRPr="00C26EA9">
              <w:rPr>
                <w:rFonts w:asciiTheme="minorHAnsi" w:hAnsiTheme="minorHAnsi" w:cstheme="minorHAnsi"/>
                <w:sz w:val="16"/>
                <w:szCs w:val="16"/>
              </w:rPr>
              <w:t>b,c</w:t>
            </w:r>
            <w:proofErr w:type="gramEnd"/>
            <w:r w:rsidRPr="00C26EA9">
              <w:rPr>
                <w:rFonts w:asciiTheme="minorHAnsi" w:hAnsiTheme="minorHAnsi" w:cstheme="minorHAnsi"/>
                <w:sz w:val="16"/>
                <w:szCs w:val="16"/>
              </w:rPr>
              <w:t>; ECHA  2021c)</w:t>
            </w:r>
          </w:p>
        </w:tc>
        <w:tc>
          <w:tcPr>
            <w:tcW w:w="2977" w:type="dxa"/>
            <w:tcMar>
              <w:top w:w="57" w:type="dxa"/>
              <w:left w:w="57" w:type="dxa"/>
              <w:bottom w:w="57" w:type="dxa"/>
              <w:right w:w="57" w:type="dxa"/>
            </w:tcMar>
            <w:vAlign w:val="center"/>
          </w:tcPr>
          <w:p w14:paraId="5EC46810"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lastRenderedPageBreak/>
              <w:t xml:space="preserve">Rats, n=5/sex/dose, </w:t>
            </w:r>
            <w:r w:rsidRPr="00C26EA9">
              <w:rPr>
                <w:rFonts w:asciiTheme="minorHAnsi" w:hAnsiTheme="minorHAnsi" w:cstheme="minorHAnsi"/>
                <w:kern w:val="2"/>
                <w:sz w:val="16"/>
                <w:szCs w:val="16"/>
              </w:rPr>
              <w:t xml:space="preserve">0, 100, 300, 1000 mg/kg </w:t>
            </w:r>
            <w:proofErr w:type="spellStart"/>
            <w:r w:rsidRPr="00C26EA9">
              <w:rPr>
                <w:rFonts w:asciiTheme="minorHAnsi" w:hAnsiTheme="minorHAnsi" w:cstheme="minorHAnsi"/>
                <w:kern w:val="2"/>
                <w:sz w:val="16"/>
                <w:szCs w:val="16"/>
              </w:rPr>
              <w:t>bw</w:t>
            </w:r>
            <w:proofErr w:type="spellEnd"/>
            <w:r w:rsidRPr="00C26EA9">
              <w:rPr>
                <w:rFonts w:asciiTheme="minorHAnsi" w:hAnsiTheme="minorHAnsi" w:cstheme="minorHAnsi"/>
                <w:kern w:val="2"/>
                <w:sz w:val="16"/>
                <w:szCs w:val="16"/>
              </w:rPr>
              <w:t>/day</w:t>
            </w:r>
            <w:r w:rsidRPr="00C26EA9">
              <w:rPr>
                <w:rFonts w:asciiTheme="minorHAnsi" w:hAnsiTheme="minorHAnsi" w:cstheme="minorHAnsi"/>
                <w:sz w:val="16"/>
                <w:szCs w:val="16"/>
              </w:rPr>
              <w:t>, 2 weeks (</w:t>
            </w:r>
            <w:r w:rsidRPr="00C26EA9">
              <w:rPr>
                <w:rFonts w:asciiTheme="minorHAnsi" w:hAnsiTheme="minorHAnsi" w:cstheme="minorHAnsi"/>
                <w:kern w:val="2"/>
                <w:sz w:val="16"/>
                <w:szCs w:val="16"/>
              </w:rPr>
              <w:t>gavage</w:t>
            </w:r>
            <w:r w:rsidRPr="00C26EA9">
              <w:rPr>
                <w:rFonts w:asciiTheme="minorHAnsi" w:hAnsiTheme="minorHAnsi" w:cstheme="minorHAnsi"/>
                <w:sz w:val="16"/>
                <w:szCs w:val="16"/>
              </w:rPr>
              <w:t>)</w:t>
            </w:r>
          </w:p>
        </w:tc>
        <w:tc>
          <w:tcPr>
            <w:tcW w:w="4659" w:type="dxa"/>
            <w:vAlign w:val="center"/>
          </w:tcPr>
          <w:p w14:paraId="2FD92806"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 xml:space="preserve">Mortality: none </w:t>
            </w:r>
          </w:p>
          <w:p w14:paraId="38E12B79"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 xml:space="preserve">Clinical signs: none treatment related </w:t>
            </w:r>
          </w:p>
          <w:p w14:paraId="314D8AC3"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lastRenderedPageBreak/>
              <w:t xml:space="preserve">Body weight gain: ↓ at HD in </w:t>
            </w:r>
            <w:r w:rsidRPr="00C26EA9">
              <w:rPr>
                <w:rFonts w:asciiTheme="minorHAnsi" w:eastAsia="Cambria" w:hAnsiTheme="minorHAnsi" w:cstheme="minorHAnsi"/>
                <w:kern w:val="0"/>
                <w:sz w:val="16"/>
                <w:szCs w:val="16"/>
              </w:rPr>
              <w:t>♂</w:t>
            </w:r>
            <w:r w:rsidRPr="00C26EA9">
              <w:rPr>
                <w:rFonts w:asciiTheme="minorHAnsi" w:hAnsiTheme="minorHAnsi" w:cstheme="minorHAnsi"/>
                <w:kern w:val="2"/>
                <w:sz w:val="16"/>
                <w:szCs w:val="16"/>
              </w:rPr>
              <w:t xml:space="preserve"> along with decreased food consumption </w:t>
            </w:r>
          </w:p>
          <w:p w14:paraId="06D13176"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 xml:space="preserve">Haematology:  none treatment related </w:t>
            </w:r>
          </w:p>
          <w:p w14:paraId="22632E72"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 xml:space="preserve">Serum chemistry: ↑ Triglycerides in both sexes at HD ↑APTT in </w:t>
            </w:r>
            <w:r w:rsidRPr="00C26EA9">
              <w:rPr>
                <w:rFonts w:asciiTheme="minorHAnsi" w:eastAsia="Cambria" w:hAnsiTheme="minorHAnsi" w:cstheme="minorHAnsi"/>
                <w:kern w:val="0"/>
                <w:sz w:val="16"/>
                <w:szCs w:val="16"/>
              </w:rPr>
              <w:t>♂</w:t>
            </w:r>
            <w:r w:rsidRPr="00C26EA9">
              <w:rPr>
                <w:rFonts w:asciiTheme="minorHAnsi" w:hAnsiTheme="minorHAnsi" w:cstheme="minorHAnsi"/>
                <w:kern w:val="2"/>
                <w:sz w:val="16"/>
                <w:szCs w:val="16"/>
              </w:rPr>
              <w:t xml:space="preserve"> at MD</w:t>
            </w:r>
          </w:p>
          <w:p w14:paraId="51F99631" w14:textId="00500F98"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 xml:space="preserve">NOAEL: &gt; 300 mg/kg </w:t>
            </w:r>
            <w:proofErr w:type="spellStart"/>
            <w:r w:rsidRPr="00C26EA9">
              <w:rPr>
                <w:rFonts w:asciiTheme="minorHAnsi" w:hAnsiTheme="minorHAnsi" w:cstheme="minorHAnsi"/>
                <w:kern w:val="2"/>
                <w:sz w:val="16"/>
                <w:szCs w:val="16"/>
              </w:rPr>
              <w:t>bw</w:t>
            </w:r>
            <w:proofErr w:type="spellEnd"/>
            <w:r w:rsidRPr="00C26EA9">
              <w:rPr>
                <w:rFonts w:asciiTheme="minorHAnsi" w:hAnsiTheme="minorHAnsi" w:cstheme="minorHAnsi"/>
                <w:kern w:val="2"/>
                <w:sz w:val="16"/>
                <w:szCs w:val="16"/>
              </w:rPr>
              <w:t xml:space="preserve">/day </w:t>
            </w:r>
            <w:r w:rsidRPr="00C26EA9">
              <w:rPr>
                <w:rFonts w:asciiTheme="minorHAnsi" w:eastAsia="Cambria" w:hAnsiTheme="minorHAnsi" w:cstheme="minorHAnsi"/>
                <w:kern w:val="0"/>
                <w:sz w:val="16"/>
                <w:szCs w:val="16"/>
              </w:rPr>
              <w:t>♂</w:t>
            </w:r>
          </w:p>
          <w:p w14:paraId="6F03BA47" w14:textId="478E2665"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NOAEL: &gt;1000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 xml:space="preserve">/day </w:t>
            </w:r>
            <w:r w:rsidRPr="00C26EA9">
              <w:rPr>
                <w:rFonts w:asciiTheme="minorHAnsi" w:eastAsia="Cambria" w:hAnsiTheme="minorHAnsi" w:cstheme="minorHAnsi"/>
                <w:kern w:val="0"/>
                <w:sz w:val="16"/>
                <w:szCs w:val="16"/>
              </w:rPr>
              <w:t>♀</w:t>
            </w:r>
          </w:p>
        </w:tc>
      </w:tr>
      <w:tr w:rsidR="00192721" w:rsidRPr="0074486E" w14:paraId="252C31D5" w14:textId="77777777" w:rsidTr="00C26EA9">
        <w:trPr>
          <w:trHeight w:val="94"/>
          <w:jc w:val="center"/>
        </w:trPr>
        <w:tc>
          <w:tcPr>
            <w:tcW w:w="1833" w:type="dxa"/>
            <w:vMerge/>
            <w:vAlign w:val="center"/>
          </w:tcPr>
          <w:p w14:paraId="22D0451E" w14:textId="77777777" w:rsidR="00192721" w:rsidRPr="00C26EA9" w:rsidRDefault="00192721" w:rsidP="00E07077">
            <w:pPr>
              <w:pStyle w:val="Tabletextleft"/>
              <w:rPr>
                <w:rFonts w:asciiTheme="minorHAnsi" w:hAnsiTheme="minorHAnsi" w:cstheme="minorHAnsi"/>
                <w:kern w:val="2"/>
                <w:sz w:val="16"/>
                <w:szCs w:val="16"/>
              </w:rPr>
            </w:pPr>
          </w:p>
        </w:tc>
        <w:tc>
          <w:tcPr>
            <w:tcW w:w="2977" w:type="dxa"/>
            <w:tcMar>
              <w:top w:w="57" w:type="dxa"/>
              <w:left w:w="57" w:type="dxa"/>
              <w:bottom w:w="57" w:type="dxa"/>
              <w:right w:w="57" w:type="dxa"/>
            </w:tcMar>
            <w:vAlign w:val="center"/>
          </w:tcPr>
          <w:p w14:paraId="2AF846AC"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Repeat dose/ reproduction/ developments study</w:t>
            </w:r>
          </w:p>
          <w:p w14:paraId="11BC05DC" w14:textId="77777777" w:rsidR="00192721" w:rsidRPr="00C26EA9" w:rsidRDefault="00192721" w:rsidP="00E07077">
            <w:pPr>
              <w:pStyle w:val="Tabletextleft"/>
              <w:rPr>
                <w:rFonts w:asciiTheme="minorHAnsi" w:hAnsiTheme="minorHAnsi" w:cstheme="minorHAnsi"/>
                <w:kern w:val="2"/>
                <w:sz w:val="16"/>
                <w:szCs w:val="16"/>
              </w:rPr>
            </w:pPr>
          </w:p>
          <w:p w14:paraId="7539866F" w14:textId="77777777" w:rsidR="00192721" w:rsidRPr="00C26EA9" w:rsidRDefault="00192721" w:rsidP="00E07077">
            <w:pPr>
              <w:pStyle w:val="Tabletextleft"/>
              <w:rPr>
                <w:rFonts w:asciiTheme="minorHAnsi" w:hAnsiTheme="minorHAnsi" w:cstheme="minorHAnsi"/>
                <w:kern w:val="2"/>
                <w:sz w:val="16"/>
                <w:szCs w:val="16"/>
              </w:rPr>
            </w:pPr>
          </w:p>
          <w:p w14:paraId="3AE75566"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z w:val="16"/>
                <w:szCs w:val="16"/>
              </w:rPr>
              <w:t xml:space="preserve"> Rats (Wistar), </w:t>
            </w:r>
            <w:r w:rsidRPr="00C26EA9">
              <w:rPr>
                <w:rFonts w:asciiTheme="minorHAnsi" w:hAnsiTheme="minorHAnsi" w:cstheme="minorHAnsi"/>
                <w:i/>
                <w:sz w:val="16"/>
                <w:szCs w:val="16"/>
              </w:rPr>
              <w:t>n</w:t>
            </w:r>
            <w:r w:rsidRPr="00C26EA9">
              <w:rPr>
                <w:rFonts w:asciiTheme="minorHAnsi" w:hAnsiTheme="minorHAnsi" w:cstheme="minorHAnsi"/>
                <w:sz w:val="16"/>
                <w:szCs w:val="16"/>
              </w:rPr>
              <w:t xml:space="preserve"> =10/sex, 0, 60, 120, 300, 750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 (gavage), 7 weeks duration</w:t>
            </w:r>
          </w:p>
          <w:p w14:paraId="138054C4" w14:textId="180929DD" w:rsidR="00192721" w:rsidRPr="00C26EA9" w:rsidRDefault="00192721" w:rsidP="00BA4549">
            <w:pPr>
              <w:pStyle w:val="Tabletextleft"/>
              <w:rPr>
                <w:rFonts w:asciiTheme="minorHAnsi" w:hAnsiTheme="minorHAnsi" w:cstheme="minorHAnsi"/>
                <w:sz w:val="16"/>
                <w:szCs w:val="16"/>
              </w:rPr>
            </w:pPr>
            <w:r w:rsidRPr="00C26EA9">
              <w:rPr>
                <w:rFonts w:asciiTheme="minorHAnsi" w:hAnsiTheme="minorHAnsi" w:cstheme="minorHAnsi"/>
                <w:sz w:val="16"/>
                <w:szCs w:val="16"/>
              </w:rPr>
              <w:t>(ECHA 2020)</w:t>
            </w:r>
          </w:p>
        </w:tc>
        <w:tc>
          <w:tcPr>
            <w:tcW w:w="4659" w:type="dxa"/>
            <w:vAlign w:val="center"/>
          </w:tcPr>
          <w:p w14:paraId="3D40A36B"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i/>
                <w:kern w:val="2"/>
                <w:sz w:val="16"/>
                <w:szCs w:val="16"/>
              </w:rPr>
              <w:t>Mortality:</w:t>
            </w:r>
            <w:r w:rsidRPr="00C26EA9">
              <w:rPr>
                <w:rFonts w:asciiTheme="minorHAnsi" w:hAnsiTheme="minorHAnsi" w:cstheme="minorHAnsi"/>
                <w:kern w:val="2"/>
                <w:sz w:val="16"/>
                <w:szCs w:val="16"/>
              </w:rPr>
              <w:t xml:space="preserve"> 2 </w:t>
            </w:r>
            <w:r w:rsidRPr="00C26EA9">
              <w:rPr>
                <w:rFonts w:asciiTheme="minorHAnsi" w:eastAsia="Cambria" w:hAnsiTheme="minorHAnsi" w:cstheme="minorHAnsi"/>
                <w:kern w:val="0"/>
                <w:sz w:val="16"/>
                <w:szCs w:val="16"/>
              </w:rPr>
              <w:t>♀</w:t>
            </w:r>
            <w:r w:rsidRPr="00C26EA9">
              <w:rPr>
                <w:rFonts w:asciiTheme="minorHAnsi" w:hAnsiTheme="minorHAnsi" w:cstheme="minorHAnsi"/>
                <w:kern w:val="2"/>
                <w:sz w:val="16"/>
                <w:szCs w:val="16"/>
              </w:rPr>
              <w:t xml:space="preserve"> at 750 mg/kg </w:t>
            </w:r>
            <w:proofErr w:type="spellStart"/>
            <w:r w:rsidRPr="00C26EA9">
              <w:rPr>
                <w:rFonts w:asciiTheme="minorHAnsi" w:hAnsiTheme="minorHAnsi" w:cstheme="minorHAnsi"/>
                <w:kern w:val="2"/>
                <w:sz w:val="16"/>
                <w:szCs w:val="16"/>
              </w:rPr>
              <w:t>bw</w:t>
            </w:r>
            <w:proofErr w:type="spellEnd"/>
            <w:r w:rsidRPr="00C26EA9">
              <w:rPr>
                <w:rFonts w:asciiTheme="minorHAnsi" w:hAnsiTheme="minorHAnsi" w:cstheme="minorHAnsi"/>
                <w:kern w:val="2"/>
                <w:sz w:val="16"/>
                <w:szCs w:val="16"/>
              </w:rPr>
              <w:t xml:space="preserve">/day </w:t>
            </w:r>
          </w:p>
          <w:p w14:paraId="73CA0CE5"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i/>
                <w:kern w:val="2"/>
                <w:sz w:val="16"/>
                <w:szCs w:val="16"/>
              </w:rPr>
              <w:t>Clinical signs:</w:t>
            </w:r>
            <w:r w:rsidRPr="00C26EA9">
              <w:rPr>
                <w:rFonts w:asciiTheme="minorHAnsi" w:hAnsiTheme="minorHAnsi" w:cstheme="minorHAnsi"/>
                <w:kern w:val="2"/>
                <w:sz w:val="16"/>
                <w:szCs w:val="16"/>
              </w:rPr>
              <w:t xml:space="preserve"> none </w:t>
            </w:r>
            <w:r w:rsidRPr="00C26EA9">
              <w:rPr>
                <w:rFonts w:asciiTheme="minorHAnsi" w:hAnsiTheme="minorHAnsi" w:cstheme="minorHAnsi"/>
                <w:sz w:val="16"/>
                <w:szCs w:val="16"/>
              </w:rPr>
              <w:t xml:space="preserve">treatment-related </w:t>
            </w:r>
            <w:r w:rsidRPr="00C26EA9">
              <w:rPr>
                <w:rFonts w:asciiTheme="minorHAnsi" w:hAnsiTheme="minorHAnsi" w:cstheme="minorHAnsi"/>
                <w:kern w:val="2"/>
                <w:sz w:val="16"/>
                <w:szCs w:val="16"/>
              </w:rPr>
              <w:t xml:space="preserve"> </w:t>
            </w:r>
          </w:p>
          <w:p w14:paraId="295DA2E8"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i/>
                <w:kern w:val="2"/>
                <w:sz w:val="16"/>
                <w:szCs w:val="16"/>
              </w:rPr>
              <w:t>Body weight gain:</w:t>
            </w:r>
            <w:r w:rsidRPr="00C26EA9">
              <w:rPr>
                <w:rFonts w:asciiTheme="minorHAnsi" w:hAnsiTheme="minorHAnsi" w:cstheme="minorHAnsi"/>
                <w:kern w:val="2"/>
                <w:sz w:val="16"/>
                <w:szCs w:val="16"/>
              </w:rPr>
              <w:t xml:space="preserve"> ↓ at 750 mg/kg </w:t>
            </w:r>
            <w:proofErr w:type="spellStart"/>
            <w:r w:rsidRPr="00C26EA9">
              <w:rPr>
                <w:rFonts w:asciiTheme="minorHAnsi" w:hAnsiTheme="minorHAnsi" w:cstheme="minorHAnsi"/>
                <w:kern w:val="2"/>
                <w:sz w:val="16"/>
                <w:szCs w:val="16"/>
              </w:rPr>
              <w:t>bw</w:t>
            </w:r>
            <w:proofErr w:type="spellEnd"/>
            <w:r w:rsidRPr="00C26EA9">
              <w:rPr>
                <w:rFonts w:asciiTheme="minorHAnsi" w:hAnsiTheme="minorHAnsi" w:cstheme="minorHAnsi"/>
                <w:kern w:val="2"/>
                <w:sz w:val="16"/>
                <w:szCs w:val="16"/>
              </w:rPr>
              <w:t xml:space="preserve">/day in </w:t>
            </w:r>
            <w:r w:rsidRPr="00C26EA9">
              <w:rPr>
                <w:rFonts w:asciiTheme="minorHAnsi" w:eastAsia="Cambria" w:hAnsiTheme="minorHAnsi" w:cstheme="minorHAnsi"/>
                <w:kern w:val="0"/>
                <w:sz w:val="16"/>
                <w:szCs w:val="16"/>
              </w:rPr>
              <w:t>♂</w:t>
            </w:r>
            <w:r w:rsidRPr="00C26EA9">
              <w:rPr>
                <w:rFonts w:asciiTheme="minorHAnsi" w:hAnsiTheme="minorHAnsi" w:cstheme="minorHAnsi"/>
                <w:kern w:val="2"/>
                <w:sz w:val="16"/>
                <w:szCs w:val="16"/>
              </w:rPr>
              <w:t xml:space="preserve"> and </w:t>
            </w:r>
            <w:r w:rsidRPr="00C26EA9">
              <w:rPr>
                <w:rFonts w:asciiTheme="minorHAnsi" w:eastAsia="Cambria" w:hAnsiTheme="minorHAnsi" w:cstheme="minorHAnsi"/>
                <w:kern w:val="0"/>
                <w:sz w:val="16"/>
                <w:szCs w:val="16"/>
              </w:rPr>
              <w:t>♀</w:t>
            </w:r>
            <w:r w:rsidRPr="00C26EA9">
              <w:rPr>
                <w:rFonts w:asciiTheme="minorHAnsi" w:hAnsiTheme="minorHAnsi" w:cstheme="minorHAnsi"/>
                <w:kern w:val="2"/>
                <w:sz w:val="16"/>
                <w:szCs w:val="16"/>
              </w:rPr>
              <w:t xml:space="preserve"> </w:t>
            </w:r>
          </w:p>
          <w:p w14:paraId="083F5F8C"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i/>
                <w:kern w:val="2"/>
                <w:sz w:val="16"/>
                <w:szCs w:val="16"/>
              </w:rPr>
              <w:t>Haematology:</w:t>
            </w:r>
            <w:r w:rsidRPr="00C26EA9">
              <w:rPr>
                <w:rFonts w:asciiTheme="minorHAnsi" w:hAnsiTheme="minorHAnsi" w:cstheme="minorHAnsi"/>
                <w:kern w:val="2"/>
                <w:sz w:val="16"/>
                <w:szCs w:val="16"/>
              </w:rPr>
              <w:t xml:space="preserve">  none </w:t>
            </w:r>
            <w:r w:rsidRPr="00C26EA9">
              <w:rPr>
                <w:rFonts w:asciiTheme="minorHAnsi" w:hAnsiTheme="minorHAnsi" w:cstheme="minorHAnsi"/>
                <w:sz w:val="16"/>
                <w:szCs w:val="16"/>
              </w:rPr>
              <w:t xml:space="preserve">treatment-related </w:t>
            </w:r>
            <w:r w:rsidRPr="00C26EA9">
              <w:rPr>
                <w:rFonts w:asciiTheme="minorHAnsi" w:hAnsiTheme="minorHAnsi" w:cstheme="minorHAnsi"/>
                <w:kern w:val="2"/>
                <w:sz w:val="16"/>
                <w:szCs w:val="16"/>
              </w:rPr>
              <w:t xml:space="preserve"> </w:t>
            </w:r>
          </w:p>
          <w:p w14:paraId="0241395B"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i/>
                <w:kern w:val="2"/>
                <w:sz w:val="16"/>
                <w:szCs w:val="16"/>
              </w:rPr>
              <w:t>Serum chemistry:</w:t>
            </w:r>
            <w:r w:rsidRPr="00C26EA9">
              <w:rPr>
                <w:rFonts w:asciiTheme="minorHAnsi" w:hAnsiTheme="minorHAnsi" w:cstheme="minorHAnsi"/>
                <w:kern w:val="2"/>
                <w:sz w:val="16"/>
                <w:szCs w:val="16"/>
              </w:rPr>
              <w:t xml:space="preserve"> ↑ Albumin and ↓ Globulin </w:t>
            </w:r>
            <w:r w:rsidRPr="00C26EA9">
              <w:rPr>
                <w:rFonts w:asciiTheme="minorHAnsi" w:hAnsiTheme="minorHAnsi" w:cstheme="minorHAnsi"/>
                <w:sz w:val="16"/>
                <w:szCs w:val="16"/>
              </w:rPr>
              <w:t xml:space="preserve">in </w:t>
            </w:r>
            <w:r w:rsidRPr="00C26EA9">
              <w:rPr>
                <w:rFonts w:asciiTheme="minorHAnsi" w:eastAsia="Cambria" w:hAnsiTheme="minorHAnsi" w:cstheme="minorHAnsi"/>
                <w:kern w:val="0"/>
                <w:sz w:val="16"/>
                <w:szCs w:val="16"/>
              </w:rPr>
              <w:t>♂</w:t>
            </w:r>
            <w:r w:rsidRPr="00C26EA9">
              <w:rPr>
                <w:rFonts w:asciiTheme="minorHAnsi" w:hAnsiTheme="minorHAnsi" w:cstheme="minorHAnsi"/>
                <w:sz w:val="16"/>
                <w:szCs w:val="16"/>
              </w:rPr>
              <w:t xml:space="preserve"> </w:t>
            </w:r>
            <w:r w:rsidRPr="00C26EA9">
              <w:rPr>
                <w:rFonts w:asciiTheme="minorHAnsi" w:hAnsiTheme="minorHAnsi" w:cstheme="minorHAnsi"/>
                <w:kern w:val="2"/>
                <w:sz w:val="16"/>
                <w:szCs w:val="16"/>
              </w:rPr>
              <w:t xml:space="preserve">at 300 mg/kg </w:t>
            </w:r>
            <w:proofErr w:type="spellStart"/>
            <w:r w:rsidRPr="00C26EA9">
              <w:rPr>
                <w:rFonts w:asciiTheme="minorHAnsi" w:hAnsiTheme="minorHAnsi" w:cstheme="minorHAnsi"/>
                <w:kern w:val="2"/>
                <w:sz w:val="16"/>
                <w:szCs w:val="16"/>
              </w:rPr>
              <w:t>bw</w:t>
            </w:r>
            <w:proofErr w:type="spellEnd"/>
            <w:r w:rsidRPr="00C26EA9">
              <w:rPr>
                <w:rFonts w:asciiTheme="minorHAnsi" w:hAnsiTheme="minorHAnsi" w:cstheme="minorHAnsi"/>
                <w:kern w:val="2"/>
                <w:sz w:val="16"/>
                <w:szCs w:val="16"/>
              </w:rPr>
              <w:t>/day</w:t>
            </w:r>
          </w:p>
          <w:p w14:paraId="1B421414"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i/>
                <w:kern w:val="2"/>
                <w:sz w:val="16"/>
                <w:szCs w:val="16"/>
              </w:rPr>
              <w:t>Urinalysis:</w:t>
            </w:r>
            <w:r w:rsidRPr="00C26EA9">
              <w:rPr>
                <w:rFonts w:asciiTheme="minorHAnsi" w:hAnsiTheme="minorHAnsi" w:cstheme="minorHAnsi"/>
                <w:kern w:val="2"/>
                <w:sz w:val="16"/>
                <w:szCs w:val="16"/>
              </w:rPr>
              <w:t xml:space="preserve"> not conducted</w:t>
            </w:r>
          </w:p>
          <w:p w14:paraId="510909B3"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i/>
                <w:kern w:val="2"/>
                <w:sz w:val="16"/>
                <w:szCs w:val="16"/>
              </w:rPr>
              <w:t>Organ weights (bodyweight-relative):</w:t>
            </w:r>
            <w:r w:rsidRPr="00C26EA9">
              <w:rPr>
                <w:rFonts w:asciiTheme="minorHAnsi" w:hAnsiTheme="minorHAnsi" w:cstheme="minorHAnsi"/>
                <w:kern w:val="2"/>
                <w:sz w:val="16"/>
                <w:szCs w:val="16"/>
              </w:rPr>
              <w:t xml:space="preserve"> ↑ absolute and relative weight of liver in both sexes at 300 and 750 mg/kg </w:t>
            </w:r>
            <w:proofErr w:type="spellStart"/>
            <w:r w:rsidRPr="00C26EA9">
              <w:rPr>
                <w:rFonts w:asciiTheme="minorHAnsi" w:hAnsiTheme="minorHAnsi" w:cstheme="minorHAnsi"/>
                <w:kern w:val="2"/>
                <w:sz w:val="16"/>
                <w:szCs w:val="16"/>
              </w:rPr>
              <w:t>bw</w:t>
            </w:r>
            <w:proofErr w:type="spellEnd"/>
            <w:r w:rsidRPr="00C26EA9">
              <w:rPr>
                <w:rFonts w:asciiTheme="minorHAnsi" w:hAnsiTheme="minorHAnsi" w:cstheme="minorHAnsi"/>
                <w:kern w:val="2"/>
                <w:sz w:val="16"/>
                <w:szCs w:val="16"/>
              </w:rPr>
              <w:t xml:space="preserve">/day, ↑ kidney in </w:t>
            </w:r>
            <w:r w:rsidRPr="00C26EA9">
              <w:rPr>
                <w:rFonts w:asciiTheme="minorHAnsi" w:eastAsia="Cambria" w:hAnsiTheme="minorHAnsi" w:cstheme="minorHAnsi"/>
                <w:kern w:val="0"/>
                <w:sz w:val="16"/>
                <w:szCs w:val="16"/>
              </w:rPr>
              <w:t>♀</w:t>
            </w:r>
            <w:r w:rsidRPr="00C26EA9">
              <w:rPr>
                <w:rFonts w:asciiTheme="minorHAnsi" w:hAnsiTheme="minorHAnsi" w:cstheme="minorHAnsi"/>
                <w:kern w:val="2"/>
                <w:sz w:val="16"/>
                <w:szCs w:val="16"/>
              </w:rPr>
              <w:t xml:space="preserve"> at 300 mg/kg </w:t>
            </w:r>
            <w:proofErr w:type="spellStart"/>
            <w:r w:rsidRPr="00C26EA9">
              <w:rPr>
                <w:rFonts w:asciiTheme="minorHAnsi" w:hAnsiTheme="minorHAnsi" w:cstheme="minorHAnsi"/>
                <w:kern w:val="2"/>
                <w:sz w:val="16"/>
                <w:szCs w:val="16"/>
              </w:rPr>
              <w:t>bw</w:t>
            </w:r>
            <w:proofErr w:type="spellEnd"/>
            <w:r w:rsidRPr="00C26EA9">
              <w:rPr>
                <w:rFonts w:asciiTheme="minorHAnsi" w:hAnsiTheme="minorHAnsi" w:cstheme="minorHAnsi"/>
                <w:kern w:val="2"/>
                <w:sz w:val="16"/>
                <w:szCs w:val="16"/>
              </w:rPr>
              <w:t xml:space="preserve">/day. ↓ thymus in both sexes at 750 mg/kg </w:t>
            </w:r>
            <w:proofErr w:type="spellStart"/>
            <w:r w:rsidRPr="00C26EA9">
              <w:rPr>
                <w:rFonts w:asciiTheme="minorHAnsi" w:hAnsiTheme="minorHAnsi" w:cstheme="minorHAnsi"/>
                <w:kern w:val="2"/>
                <w:sz w:val="16"/>
                <w:szCs w:val="16"/>
              </w:rPr>
              <w:t>bw</w:t>
            </w:r>
            <w:proofErr w:type="spellEnd"/>
            <w:r w:rsidRPr="00C26EA9">
              <w:rPr>
                <w:rFonts w:asciiTheme="minorHAnsi" w:hAnsiTheme="minorHAnsi" w:cstheme="minorHAnsi"/>
                <w:kern w:val="2"/>
                <w:sz w:val="16"/>
                <w:szCs w:val="16"/>
              </w:rPr>
              <w:t xml:space="preserve">/day. ↓ prostate and seminal vesicles at HD 750 mg/kg </w:t>
            </w:r>
            <w:proofErr w:type="spellStart"/>
            <w:r w:rsidRPr="00C26EA9">
              <w:rPr>
                <w:rFonts w:asciiTheme="minorHAnsi" w:hAnsiTheme="minorHAnsi" w:cstheme="minorHAnsi"/>
                <w:kern w:val="2"/>
                <w:sz w:val="16"/>
                <w:szCs w:val="16"/>
              </w:rPr>
              <w:t>bw</w:t>
            </w:r>
            <w:proofErr w:type="spellEnd"/>
            <w:r w:rsidRPr="00C26EA9">
              <w:rPr>
                <w:rFonts w:asciiTheme="minorHAnsi" w:hAnsiTheme="minorHAnsi" w:cstheme="minorHAnsi"/>
                <w:kern w:val="2"/>
                <w:sz w:val="16"/>
                <w:szCs w:val="16"/>
              </w:rPr>
              <w:t>/day.</w:t>
            </w:r>
          </w:p>
          <w:p w14:paraId="62C5FEFA"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i/>
                <w:kern w:val="2"/>
                <w:sz w:val="16"/>
                <w:szCs w:val="16"/>
              </w:rPr>
              <w:t>Gross pathology:</w:t>
            </w:r>
            <w:r w:rsidRPr="00C26EA9">
              <w:rPr>
                <w:rFonts w:asciiTheme="minorHAnsi" w:hAnsiTheme="minorHAnsi" w:cstheme="minorHAnsi"/>
                <w:kern w:val="2"/>
                <w:sz w:val="16"/>
                <w:szCs w:val="16"/>
              </w:rPr>
              <w:t xml:space="preserve"> no treatment-related findings</w:t>
            </w:r>
          </w:p>
          <w:p w14:paraId="60D3ACB0"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i/>
                <w:kern w:val="2"/>
                <w:sz w:val="16"/>
                <w:szCs w:val="16"/>
              </w:rPr>
              <w:t>Histopathology:</w:t>
            </w:r>
            <w:r w:rsidRPr="00C26EA9">
              <w:rPr>
                <w:rFonts w:asciiTheme="minorHAnsi" w:hAnsiTheme="minorHAnsi" w:cstheme="minorHAnsi"/>
                <w:kern w:val="2"/>
                <w:sz w:val="16"/>
                <w:szCs w:val="16"/>
              </w:rPr>
              <w:t xml:space="preserve"> ↑ Minimal/moderate intra-epithelial hyaline droplets in the kidneys </w:t>
            </w:r>
            <w:r w:rsidRPr="00C26EA9">
              <w:rPr>
                <w:rFonts w:asciiTheme="minorHAnsi" w:eastAsia="Cambria" w:hAnsiTheme="minorHAnsi" w:cstheme="minorHAnsi"/>
                <w:kern w:val="0"/>
                <w:sz w:val="16"/>
                <w:szCs w:val="16"/>
              </w:rPr>
              <w:t>♂</w:t>
            </w:r>
            <w:r w:rsidRPr="00C26EA9">
              <w:rPr>
                <w:rFonts w:asciiTheme="minorHAnsi" w:hAnsiTheme="minorHAnsi" w:cstheme="minorHAnsi"/>
                <w:kern w:val="2"/>
                <w:sz w:val="16"/>
                <w:szCs w:val="16"/>
              </w:rPr>
              <w:t xml:space="preserve"> from 60 mg/kg </w:t>
            </w:r>
            <w:proofErr w:type="spellStart"/>
            <w:r w:rsidRPr="00C26EA9">
              <w:rPr>
                <w:rFonts w:asciiTheme="minorHAnsi" w:hAnsiTheme="minorHAnsi" w:cstheme="minorHAnsi"/>
                <w:kern w:val="2"/>
                <w:sz w:val="16"/>
                <w:szCs w:val="16"/>
              </w:rPr>
              <w:t>bw</w:t>
            </w:r>
            <w:proofErr w:type="spellEnd"/>
            <w:r w:rsidRPr="00C26EA9">
              <w:rPr>
                <w:rFonts w:asciiTheme="minorHAnsi" w:hAnsiTheme="minorHAnsi" w:cstheme="minorHAnsi"/>
                <w:kern w:val="2"/>
                <w:sz w:val="16"/>
                <w:szCs w:val="16"/>
              </w:rPr>
              <w:t xml:space="preserve">/day (associated with ↑ in foci of basophilic tubules, single cell death and/or the presence of granular casts). * </w:t>
            </w:r>
          </w:p>
          <w:p w14:paraId="3394BD0C"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 xml:space="preserve">Minimal/mild hypertrophy of hepatocytes (1/5 </w:t>
            </w:r>
            <w:r w:rsidRPr="00C26EA9">
              <w:rPr>
                <w:rFonts w:asciiTheme="minorHAnsi" w:eastAsia="Cambria" w:hAnsiTheme="minorHAnsi" w:cstheme="minorHAnsi"/>
                <w:kern w:val="0"/>
                <w:sz w:val="16"/>
                <w:szCs w:val="16"/>
              </w:rPr>
              <w:t>♂</w:t>
            </w:r>
            <w:r w:rsidRPr="00C26EA9">
              <w:rPr>
                <w:rFonts w:asciiTheme="minorHAnsi" w:hAnsiTheme="minorHAnsi" w:cstheme="minorHAnsi"/>
                <w:kern w:val="2"/>
                <w:sz w:val="16"/>
                <w:szCs w:val="16"/>
              </w:rPr>
              <w:t xml:space="preserve">) at 120 mg/kg </w:t>
            </w:r>
            <w:proofErr w:type="spellStart"/>
            <w:r w:rsidRPr="00C26EA9">
              <w:rPr>
                <w:rFonts w:asciiTheme="minorHAnsi" w:hAnsiTheme="minorHAnsi" w:cstheme="minorHAnsi"/>
                <w:kern w:val="2"/>
                <w:sz w:val="16"/>
                <w:szCs w:val="16"/>
              </w:rPr>
              <w:t>bw</w:t>
            </w:r>
            <w:proofErr w:type="spellEnd"/>
            <w:r w:rsidRPr="00C26EA9">
              <w:rPr>
                <w:rFonts w:asciiTheme="minorHAnsi" w:hAnsiTheme="minorHAnsi" w:cstheme="minorHAnsi"/>
                <w:kern w:val="2"/>
                <w:sz w:val="16"/>
                <w:szCs w:val="16"/>
              </w:rPr>
              <w:t xml:space="preserve">/day, and almost every </w:t>
            </w:r>
            <w:r w:rsidRPr="00C26EA9">
              <w:rPr>
                <w:rFonts w:asciiTheme="minorHAnsi" w:eastAsia="Cambria" w:hAnsiTheme="minorHAnsi" w:cstheme="minorHAnsi"/>
                <w:kern w:val="0"/>
                <w:sz w:val="16"/>
                <w:szCs w:val="16"/>
              </w:rPr>
              <w:t>♂</w:t>
            </w:r>
            <w:r w:rsidRPr="00C26EA9">
              <w:rPr>
                <w:rFonts w:asciiTheme="minorHAnsi" w:hAnsiTheme="minorHAnsi" w:cstheme="minorHAnsi"/>
                <w:kern w:val="2"/>
                <w:sz w:val="16"/>
                <w:szCs w:val="16"/>
              </w:rPr>
              <w:t xml:space="preserve"> and </w:t>
            </w:r>
            <w:r w:rsidRPr="00C26EA9">
              <w:rPr>
                <w:rFonts w:asciiTheme="minorHAnsi" w:eastAsia="Cambria" w:hAnsiTheme="minorHAnsi" w:cstheme="minorHAnsi"/>
                <w:kern w:val="0"/>
                <w:sz w:val="16"/>
                <w:szCs w:val="16"/>
              </w:rPr>
              <w:t>♀</w:t>
            </w:r>
            <w:r w:rsidRPr="00C26EA9">
              <w:rPr>
                <w:rFonts w:asciiTheme="minorHAnsi" w:hAnsiTheme="minorHAnsi" w:cstheme="minorHAnsi"/>
                <w:kern w:val="2"/>
                <w:sz w:val="16"/>
                <w:szCs w:val="16"/>
              </w:rPr>
              <w:t xml:space="preserve"> from 300 mg/kg </w:t>
            </w:r>
            <w:proofErr w:type="spellStart"/>
            <w:r w:rsidRPr="00C26EA9">
              <w:rPr>
                <w:rFonts w:asciiTheme="minorHAnsi" w:hAnsiTheme="minorHAnsi" w:cstheme="minorHAnsi"/>
                <w:kern w:val="2"/>
                <w:sz w:val="16"/>
                <w:szCs w:val="16"/>
              </w:rPr>
              <w:t>bw</w:t>
            </w:r>
            <w:proofErr w:type="spellEnd"/>
            <w:r w:rsidRPr="00C26EA9">
              <w:rPr>
                <w:rFonts w:asciiTheme="minorHAnsi" w:hAnsiTheme="minorHAnsi" w:cstheme="minorHAnsi"/>
                <w:kern w:val="2"/>
                <w:sz w:val="16"/>
                <w:szCs w:val="16"/>
              </w:rPr>
              <w:t xml:space="preserve">/day. </w:t>
            </w:r>
          </w:p>
          <w:p w14:paraId="6C25386B"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 xml:space="preserve">Hypertrophy of the follicular epithelium of thyroid gland in </w:t>
            </w:r>
            <w:r w:rsidRPr="00C26EA9">
              <w:rPr>
                <w:rFonts w:asciiTheme="minorHAnsi" w:eastAsia="Cambria" w:hAnsiTheme="minorHAnsi" w:cstheme="minorHAnsi"/>
                <w:kern w:val="0"/>
                <w:sz w:val="16"/>
                <w:szCs w:val="16"/>
              </w:rPr>
              <w:t>♂</w:t>
            </w:r>
            <w:r w:rsidRPr="00C26EA9">
              <w:rPr>
                <w:rFonts w:asciiTheme="minorHAnsi" w:hAnsiTheme="minorHAnsi" w:cstheme="minorHAnsi"/>
                <w:kern w:val="2"/>
                <w:sz w:val="16"/>
                <w:szCs w:val="16"/>
              </w:rPr>
              <w:t xml:space="preserve"> at 750 mg/kg </w:t>
            </w:r>
            <w:proofErr w:type="spellStart"/>
            <w:r w:rsidRPr="00C26EA9">
              <w:rPr>
                <w:rFonts w:asciiTheme="minorHAnsi" w:hAnsiTheme="minorHAnsi" w:cstheme="minorHAnsi"/>
                <w:kern w:val="2"/>
                <w:sz w:val="16"/>
                <w:szCs w:val="16"/>
              </w:rPr>
              <w:t>bw</w:t>
            </w:r>
            <w:proofErr w:type="spellEnd"/>
            <w:r w:rsidRPr="00C26EA9">
              <w:rPr>
                <w:rFonts w:asciiTheme="minorHAnsi" w:hAnsiTheme="minorHAnsi" w:cstheme="minorHAnsi"/>
                <w:kern w:val="2"/>
                <w:sz w:val="16"/>
                <w:szCs w:val="16"/>
              </w:rPr>
              <w:t xml:space="preserve">/day and in </w:t>
            </w:r>
            <w:r w:rsidRPr="00C26EA9">
              <w:rPr>
                <w:rFonts w:asciiTheme="minorHAnsi" w:eastAsia="Cambria" w:hAnsiTheme="minorHAnsi" w:cstheme="minorHAnsi"/>
                <w:kern w:val="0"/>
                <w:sz w:val="16"/>
                <w:szCs w:val="16"/>
              </w:rPr>
              <w:t>♀</w:t>
            </w:r>
            <w:r w:rsidRPr="00C26EA9">
              <w:rPr>
                <w:rFonts w:asciiTheme="minorHAnsi" w:hAnsiTheme="minorHAnsi" w:cstheme="minorHAnsi"/>
                <w:kern w:val="2"/>
                <w:sz w:val="16"/>
                <w:szCs w:val="16"/>
              </w:rPr>
              <w:t xml:space="preserve"> from 300 mg/kg </w:t>
            </w:r>
            <w:proofErr w:type="spellStart"/>
            <w:r w:rsidRPr="00C26EA9">
              <w:rPr>
                <w:rFonts w:asciiTheme="minorHAnsi" w:hAnsiTheme="minorHAnsi" w:cstheme="minorHAnsi"/>
                <w:kern w:val="2"/>
                <w:sz w:val="16"/>
                <w:szCs w:val="16"/>
              </w:rPr>
              <w:t>bw</w:t>
            </w:r>
            <w:proofErr w:type="spellEnd"/>
            <w:r w:rsidRPr="00C26EA9">
              <w:rPr>
                <w:rFonts w:asciiTheme="minorHAnsi" w:hAnsiTheme="minorHAnsi" w:cstheme="minorHAnsi"/>
                <w:kern w:val="2"/>
                <w:sz w:val="16"/>
                <w:szCs w:val="16"/>
              </w:rPr>
              <w:t>/day.</w:t>
            </w:r>
          </w:p>
          <w:p w14:paraId="6AF25083" w14:textId="77777777" w:rsidR="00192721" w:rsidRPr="00C26EA9" w:rsidRDefault="00192721" w:rsidP="00E07077">
            <w:pPr>
              <w:pStyle w:val="Tabletextleft"/>
              <w:rPr>
                <w:rFonts w:asciiTheme="minorHAnsi" w:hAnsiTheme="minorHAnsi" w:cstheme="minorHAnsi"/>
                <w:kern w:val="2"/>
                <w:sz w:val="16"/>
                <w:szCs w:val="16"/>
              </w:rPr>
            </w:pPr>
            <w:r w:rsidRPr="00C26EA9">
              <w:rPr>
                <w:rFonts w:asciiTheme="minorHAnsi" w:hAnsiTheme="minorHAnsi" w:cstheme="minorHAnsi"/>
                <w:kern w:val="2"/>
                <w:sz w:val="16"/>
                <w:szCs w:val="16"/>
              </w:rPr>
              <w:t xml:space="preserve">↓ Cortical lymphocytes in males from 300 mg/kg </w:t>
            </w:r>
            <w:proofErr w:type="spellStart"/>
            <w:r w:rsidRPr="00C26EA9">
              <w:rPr>
                <w:rFonts w:asciiTheme="minorHAnsi" w:hAnsiTheme="minorHAnsi" w:cstheme="minorHAnsi"/>
                <w:kern w:val="2"/>
                <w:sz w:val="16"/>
                <w:szCs w:val="16"/>
              </w:rPr>
              <w:t>bw</w:t>
            </w:r>
            <w:proofErr w:type="spellEnd"/>
            <w:r w:rsidRPr="00C26EA9">
              <w:rPr>
                <w:rFonts w:asciiTheme="minorHAnsi" w:hAnsiTheme="minorHAnsi" w:cstheme="minorHAnsi"/>
                <w:kern w:val="2"/>
                <w:sz w:val="16"/>
                <w:szCs w:val="16"/>
              </w:rPr>
              <w:t xml:space="preserve">/day and in </w:t>
            </w:r>
            <w:r w:rsidRPr="00C26EA9">
              <w:rPr>
                <w:rFonts w:asciiTheme="minorHAnsi" w:eastAsia="Cambria" w:hAnsiTheme="minorHAnsi" w:cstheme="minorHAnsi"/>
                <w:kern w:val="0"/>
                <w:sz w:val="16"/>
                <w:szCs w:val="16"/>
              </w:rPr>
              <w:t>♀</w:t>
            </w:r>
            <w:r w:rsidRPr="00C26EA9">
              <w:rPr>
                <w:rFonts w:asciiTheme="minorHAnsi" w:hAnsiTheme="minorHAnsi" w:cstheme="minorHAnsi"/>
                <w:kern w:val="2"/>
                <w:sz w:val="16"/>
                <w:szCs w:val="16"/>
              </w:rPr>
              <w:t xml:space="preserve"> at 750 mg/kg </w:t>
            </w:r>
            <w:proofErr w:type="spellStart"/>
            <w:r w:rsidRPr="00C26EA9">
              <w:rPr>
                <w:rFonts w:asciiTheme="minorHAnsi" w:hAnsiTheme="minorHAnsi" w:cstheme="minorHAnsi"/>
                <w:kern w:val="2"/>
                <w:sz w:val="16"/>
                <w:szCs w:val="16"/>
              </w:rPr>
              <w:t>bw</w:t>
            </w:r>
            <w:proofErr w:type="spellEnd"/>
            <w:r w:rsidRPr="00C26EA9">
              <w:rPr>
                <w:rFonts w:asciiTheme="minorHAnsi" w:hAnsiTheme="minorHAnsi" w:cstheme="minorHAnsi"/>
                <w:kern w:val="2"/>
                <w:sz w:val="16"/>
                <w:szCs w:val="16"/>
              </w:rPr>
              <w:t>/day</w:t>
            </w:r>
          </w:p>
          <w:p w14:paraId="6D07A44D"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i/>
                <w:sz w:val="16"/>
                <w:szCs w:val="16"/>
              </w:rPr>
              <w:t>NOAEL:</w:t>
            </w:r>
            <w:r w:rsidRPr="00C26EA9">
              <w:rPr>
                <w:rFonts w:asciiTheme="minorHAnsi" w:hAnsiTheme="minorHAnsi" w:cstheme="minorHAnsi"/>
                <w:sz w:val="16"/>
                <w:szCs w:val="16"/>
              </w:rPr>
              <w:t xml:space="preserve"> ** mg/kg </w:t>
            </w:r>
            <w:proofErr w:type="spellStart"/>
            <w:r w:rsidRPr="00C26EA9">
              <w:rPr>
                <w:rFonts w:asciiTheme="minorHAnsi" w:hAnsiTheme="minorHAnsi" w:cstheme="minorHAnsi"/>
                <w:sz w:val="16"/>
                <w:szCs w:val="16"/>
              </w:rPr>
              <w:t>bw</w:t>
            </w:r>
            <w:proofErr w:type="spellEnd"/>
            <w:r w:rsidRPr="00C26EA9">
              <w:rPr>
                <w:rFonts w:asciiTheme="minorHAnsi" w:hAnsiTheme="minorHAnsi" w:cstheme="minorHAnsi"/>
                <w:sz w:val="16"/>
                <w:szCs w:val="16"/>
              </w:rPr>
              <w:t>/day</w:t>
            </w:r>
          </w:p>
          <w:p w14:paraId="593721C5" w14:textId="77777777" w:rsidR="00192721" w:rsidRPr="00C26EA9" w:rsidRDefault="00192721" w:rsidP="00E07077">
            <w:pPr>
              <w:pStyle w:val="Tabletextleft"/>
              <w:rPr>
                <w:rFonts w:asciiTheme="minorHAnsi" w:hAnsiTheme="minorHAnsi" w:cstheme="minorHAnsi"/>
                <w:snapToGrid w:val="0"/>
                <w:sz w:val="16"/>
                <w:szCs w:val="16"/>
                <w:lang w:eastAsia="en-AU"/>
              </w:rPr>
            </w:pPr>
            <w:r w:rsidRPr="00C26EA9">
              <w:rPr>
                <w:rFonts w:asciiTheme="minorHAnsi" w:hAnsiTheme="minorHAnsi" w:cstheme="minorHAnsi"/>
                <w:snapToGrid w:val="0"/>
                <w:sz w:val="16"/>
                <w:szCs w:val="16"/>
                <w:lang w:eastAsia="en-AU"/>
              </w:rPr>
              <w:t>*The REACH registrants considered this as manifestations of hyaline droplet nephropathy without giving further evidence.</w:t>
            </w:r>
          </w:p>
          <w:p w14:paraId="33176FE3" w14:textId="77777777" w:rsidR="00192721" w:rsidRPr="00C26EA9" w:rsidRDefault="00192721" w:rsidP="00E07077">
            <w:pPr>
              <w:pStyle w:val="Tabletextleft"/>
              <w:rPr>
                <w:rFonts w:asciiTheme="minorHAnsi" w:hAnsiTheme="minorHAnsi" w:cstheme="minorHAnsi"/>
                <w:sz w:val="16"/>
                <w:szCs w:val="16"/>
              </w:rPr>
            </w:pPr>
            <w:r w:rsidRPr="00C26EA9">
              <w:rPr>
                <w:rFonts w:asciiTheme="minorHAnsi" w:hAnsiTheme="minorHAnsi" w:cstheme="minorHAnsi"/>
                <w:snapToGrid w:val="0"/>
                <w:sz w:val="16"/>
                <w:szCs w:val="16"/>
                <w:lang w:eastAsia="en-AU"/>
              </w:rPr>
              <w:t xml:space="preserve">**Based on this study, the REACH registrants derived a NOAEL of 300 mg/kg/day for general toxicity based on mortality in HD females. However, at this dose effects on kidneys, liver, thyroid and thymus occurred. </w:t>
            </w:r>
            <w:r w:rsidRPr="00C26EA9">
              <w:rPr>
                <w:rFonts w:asciiTheme="minorHAnsi" w:hAnsiTheme="minorHAnsi" w:cstheme="minorHAnsi"/>
                <w:snapToGrid w:val="0"/>
                <w:sz w:val="16"/>
                <w:szCs w:val="16"/>
                <w:u w:val="single"/>
                <w:lang w:eastAsia="en-AU"/>
              </w:rPr>
              <w:t xml:space="preserve">In males, effects were noted </w:t>
            </w:r>
            <w:r w:rsidRPr="00C26EA9">
              <w:rPr>
                <w:rFonts w:asciiTheme="minorHAnsi" w:hAnsiTheme="minorHAnsi" w:cstheme="minorHAnsi"/>
                <w:b/>
                <w:bCs/>
                <w:snapToGrid w:val="0"/>
                <w:sz w:val="16"/>
                <w:szCs w:val="16"/>
                <w:u w:val="single"/>
                <w:lang w:eastAsia="en-AU"/>
              </w:rPr>
              <w:t xml:space="preserve">from the lowest dose of 60 mg/kg </w:t>
            </w:r>
            <w:proofErr w:type="spellStart"/>
            <w:r w:rsidRPr="00C26EA9">
              <w:rPr>
                <w:rFonts w:asciiTheme="minorHAnsi" w:hAnsiTheme="minorHAnsi" w:cstheme="minorHAnsi"/>
                <w:b/>
                <w:bCs/>
                <w:snapToGrid w:val="0"/>
                <w:sz w:val="16"/>
                <w:szCs w:val="16"/>
                <w:u w:val="single"/>
                <w:lang w:eastAsia="en-AU"/>
              </w:rPr>
              <w:t>bw</w:t>
            </w:r>
            <w:proofErr w:type="spellEnd"/>
            <w:r w:rsidRPr="00C26EA9">
              <w:rPr>
                <w:rFonts w:asciiTheme="minorHAnsi" w:hAnsiTheme="minorHAnsi" w:cstheme="minorHAnsi"/>
                <w:b/>
                <w:bCs/>
                <w:snapToGrid w:val="0"/>
                <w:sz w:val="16"/>
                <w:szCs w:val="16"/>
                <w:u w:val="single"/>
                <w:lang w:eastAsia="en-AU"/>
              </w:rPr>
              <w:t>/d</w:t>
            </w:r>
            <w:r w:rsidRPr="00C26EA9">
              <w:rPr>
                <w:rFonts w:asciiTheme="minorHAnsi" w:hAnsiTheme="minorHAnsi" w:cstheme="minorHAnsi"/>
                <w:snapToGrid w:val="0"/>
                <w:sz w:val="16"/>
                <w:szCs w:val="16"/>
                <w:u w:val="single"/>
                <w:lang w:eastAsia="en-AU"/>
              </w:rPr>
              <w:t>, therefore the SCCS considers this dose as LOAEL</w:t>
            </w:r>
            <w:r w:rsidRPr="00C26EA9">
              <w:rPr>
                <w:rFonts w:asciiTheme="minorHAnsi" w:hAnsiTheme="minorHAnsi" w:cstheme="minorHAnsi"/>
                <w:snapToGrid w:val="0"/>
                <w:sz w:val="16"/>
                <w:szCs w:val="16"/>
                <w:lang w:eastAsia="en-AU"/>
              </w:rPr>
              <w:t>.</w:t>
            </w:r>
          </w:p>
        </w:tc>
      </w:tr>
    </w:tbl>
    <w:p w14:paraId="2B806E1B" w14:textId="77777777" w:rsidR="00192721" w:rsidRDefault="00192721" w:rsidP="007512B7">
      <w:pPr>
        <w:pStyle w:val="Tabledescription"/>
      </w:pPr>
      <w:r w:rsidRPr="0094232A">
        <w:rPr>
          <w:vertAlign w:val="superscript"/>
        </w:rPr>
        <w:t>Δ</w:t>
      </w:r>
      <w:r>
        <w:t xml:space="preserve"> GLP compliance was not specified in the reviews</w:t>
      </w:r>
    </w:p>
    <w:p w14:paraId="790CBE59" w14:textId="77777777" w:rsidR="00192721" w:rsidRDefault="00192721" w:rsidP="00192721">
      <w:pPr>
        <w:pStyle w:val="Heading4"/>
      </w:pPr>
      <w:bookmarkStart w:id="70" w:name="_Toc190944916"/>
      <w:bookmarkStart w:id="71" w:name="_Toc199254953"/>
      <w:r>
        <w:t>Genotoxicity</w:t>
      </w:r>
      <w:bookmarkEnd w:id="70"/>
      <w:bookmarkEnd w:id="71"/>
    </w:p>
    <w:p w14:paraId="78EF538A" w14:textId="482C30A0" w:rsidR="00192721" w:rsidRPr="00BE0D25" w:rsidRDefault="00192721" w:rsidP="007512B7">
      <w:r w:rsidRPr="00BE0D25">
        <w:t xml:space="preserve">A summary of genotoxicity studies for each sunscreen ingredient is shown in the table below. </w:t>
      </w:r>
      <w:proofErr w:type="gramStart"/>
      <w:r w:rsidRPr="00BE0D25">
        <w:t>With the exception of</w:t>
      </w:r>
      <w:proofErr w:type="gramEnd"/>
      <w:r w:rsidRPr="00BE0D25">
        <w:t xml:space="preserve"> </w:t>
      </w:r>
      <w:proofErr w:type="spellStart"/>
      <w:r w:rsidRPr="00BE0D25">
        <w:t>homosalate</w:t>
      </w:r>
      <w:proofErr w:type="spellEnd"/>
      <w:r w:rsidRPr="00BE0D25">
        <w:t xml:space="preserve">, all sunscreen ingredients were negative in </w:t>
      </w:r>
      <w:r w:rsidRPr="00BE0D25">
        <w:rPr>
          <w:i/>
          <w:iCs/>
        </w:rPr>
        <w:t>in vitro</w:t>
      </w:r>
      <w:r w:rsidRPr="00BE0D25">
        <w:t xml:space="preserve"> and </w:t>
      </w:r>
      <w:r w:rsidRPr="00BE0D25">
        <w:rPr>
          <w:i/>
          <w:iCs/>
        </w:rPr>
        <w:t>in vivo</w:t>
      </w:r>
      <w:r w:rsidRPr="00BE0D25">
        <w:t xml:space="preserve"> tests. </w:t>
      </w:r>
      <w:proofErr w:type="spellStart"/>
      <w:r w:rsidRPr="00BE0D25">
        <w:t>Homosalate</w:t>
      </w:r>
      <w:proofErr w:type="spellEnd"/>
      <w:r w:rsidRPr="00BE0D25">
        <w:t xml:space="preserve"> was negative in the Ames test and the gene mutation test in Chinese hamster cells </w:t>
      </w:r>
      <w:r w:rsidRPr="00BE0D25">
        <w:rPr>
          <w:i/>
          <w:iCs/>
        </w:rPr>
        <w:t>in vitro</w:t>
      </w:r>
      <w:r>
        <w:rPr>
          <w:i/>
          <w:iCs/>
        </w:rPr>
        <w:t>.</w:t>
      </w:r>
      <w:r w:rsidRPr="00BE0D25">
        <w:t xml:space="preserve"> </w:t>
      </w:r>
      <w:r>
        <w:t>H</w:t>
      </w:r>
      <w:r w:rsidRPr="00BE0D25">
        <w:t>owever</w:t>
      </w:r>
      <w:r w:rsidR="00D32CE1">
        <w:t>,</w:t>
      </w:r>
      <w:r w:rsidRPr="00BE0D25">
        <w:t xml:space="preserve"> </w:t>
      </w:r>
      <w:proofErr w:type="spellStart"/>
      <w:r w:rsidRPr="00BE0D25">
        <w:t>homosalate</w:t>
      </w:r>
      <w:proofErr w:type="spellEnd"/>
      <w:r w:rsidRPr="00BE0D25">
        <w:t xml:space="preserve"> induced DNA damage the Comet assay in isolate human peripheral lymphocytes and in the micronucleus assay </w:t>
      </w:r>
      <w:r w:rsidRPr="00BE0D25">
        <w:rPr>
          <w:i/>
          <w:iCs/>
        </w:rPr>
        <w:t>in vivo</w:t>
      </w:r>
      <w:r w:rsidRPr="00BE0D25">
        <w:t xml:space="preserve">. </w:t>
      </w:r>
    </w:p>
    <w:p w14:paraId="32C1283A" w14:textId="77777777" w:rsidR="003F2CEC" w:rsidRPr="005C0E95" w:rsidRDefault="003F2CEC" w:rsidP="007512B7">
      <w:pPr>
        <w:pStyle w:val="Tabletitle"/>
      </w:pPr>
      <w:r>
        <w:t>Table 3-7. Summary of genotoxicity studies with sunscreen ingredients</w:t>
      </w:r>
    </w:p>
    <w:tbl>
      <w:tblPr>
        <w:tblW w:w="9488" w:type="dxa"/>
        <w:jc w:val="cente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Layout w:type="fixed"/>
        <w:tblCellMar>
          <w:top w:w="28" w:type="dxa"/>
          <w:left w:w="57" w:type="dxa"/>
          <w:bottom w:w="28" w:type="dxa"/>
          <w:right w:w="57" w:type="dxa"/>
        </w:tblCellMar>
        <w:tblLook w:val="01E0" w:firstRow="1" w:lastRow="1" w:firstColumn="1" w:lastColumn="1" w:noHBand="0" w:noVBand="0"/>
      </w:tblPr>
      <w:tblGrid>
        <w:gridCol w:w="1266"/>
        <w:gridCol w:w="1276"/>
        <w:gridCol w:w="1276"/>
        <w:gridCol w:w="1385"/>
        <w:gridCol w:w="1385"/>
        <w:gridCol w:w="1450"/>
        <w:gridCol w:w="1450"/>
      </w:tblGrid>
      <w:tr w:rsidR="003F2CEC" w:rsidRPr="0083022D" w14:paraId="17EE0FC8" w14:textId="77777777" w:rsidTr="007512B7">
        <w:trPr>
          <w:trHeight w:val="111"/>
          <w:tblHeader/>
          <w:jc w:val="center"/>
        </w:trPr>
        <w:tc>
          <w:tcPr>
            <w:tcW w:w="1266" w:type="dxa"/>
            <w:shd w:val="clear" w:color="auto" w:fill="B8CCEA"/>
            <w:vAlign w:val="center"/>
          </w:tcPr>
          <w:p w14:paraId="3730F636" w14:textId="77777777" w:rsidR="003F2CEC" w:rsidRPr="007512B7" w:rsidRDefault="003F2CEC" w:rsidP="00E07077">
            <w:pPr>
              <w:pStyle w:val="TableHeader"/>
              <w:rPr>
                <w:rFonts w:asciiTheme="minorHAnsi" w:hAnsiTheme="minorHAnsi" w:cstheme="minorHAnsi"/>
                <w:color w:val="263287"/>
                <w:sz w:val="18"/>
                <w:szCs w:val="18"/>
              </w:rPr>
            </w:pPr>
            <w:r w:rsidRPr="007512B7">
              <w:rPr>
                <w:rFonts w:asciiTheme="minorHAnsi" w:hAnsiTheme="minorHAnsi" w:cstheme="minorHAnsi"/>
                <w:color w:val="263287"/>
                <w:sz w:val="18"/>
                <w:szCs w:val="18"/>
              </w:rPr>
              <w:t xml:space="preserve">Butyl </w:t>
            </w:r>
            <w:proofErr w:type="spellStart"/>
            <w:r w:rsidRPr="007512B7">
              <w:rPr>
                <w:rFonts w:asciiTheme="minorHAnsi" w:hAnsiTheme="minorHAnsi" w:cstheme="minorHAnsi"/>
                <w:color w:val="263287"/>
                <w:sz w:val="18"/>
                <w:szCs w:val="18"/>
              </w:rPr>
              <w:t>methoxydibenzoylmethane</w:t>
            </w:r>
            <w:proofErr w:type="spellEnd"/>
          </w:p>
          <w:p w14:paraId="6C6257D9" w14:textId="77777777" w:rsidR="003F2CEC" w:rsidRPr="007512B7" w:rsidRDefault="003F2CEC" w:rsidP="00E07077">
            <w:pPr>
              <w:pStyle w:val="TableHeader"/>
              <w:rPr>
                <w:rFonts w:asciiTheme="minorHAnsi" w:hAnsiTheme="minorHAnsi" w:cstheme="minorHAnsi"/>
                <w:color w:val="263287"/>
                <w:sz w:val="18"/>
                <w:szCs w:val="18"/>
              </w:rPr>
            </w:pPr>
            <w:r w:rsidRPr="007512B7">
              <w:rPr>
                <w:rFonts w:asciiTheme="minorHAnsi" w:hAnsiTheme="minorHAnsi" w:cstheme="minorHAnsi"/>
                <w:color w:val="263287"/>
                <w:sz w:val="18"/>
                <w:szCs w:val="18"/>
              </w:rPr>
              <w:t>(ECHA (2021a;</w:t>
            </w:r>
            <w:r w:rsidRPr="007512B7">
              <w:rPr>
                <w:rFonts w:asciiTheme="minorHAnsi" w:hAnsiTheme="minorHAnsi" w:cstheme="minorHAnsi"/>
                <w:b w:val="0"/>
                <w:snapToGrid/>
                <w:color w:val="263287"/>
                <w:kern w:val="0"/>
                <w:sz w:val="18"/>
                <w:szCs w:val="18"/>
              </w:rPr>
              <w:t xml:space="preserve"> </w:t>
            </w:r>
            <w:r w:rsidRPr="007512B7">
              <w:rPr>
                <w:rFonts w:asciiTheme="minorHAnsi" w:hAnsiTheme="minorHAnsi" w:cstheme="minorHAnsi"/>
                <w:color w:val="263287"/>
                <w:sz w:val="18"/>
                <w:szCs w:val="18"/>
              </w:rPr>
              <w:t xml:space="preserve">DEPA 2015)  </w:t>
            </w:r>
          </w:p>
        </w:tc>
        <w:tc>
          <w:tcPr>
            <w:tcW w:w="1276" w:type="dxa"/>
            <w:shd w:val="clear" w:color="auto" w:fill="B8CCEA"/>
            <w:tcMar>
              <w:left w:w="57" w:type="dxa"/>
              <w:right w:w="57" w:type="dxa"/>
            </w:tcMar>
          </w:tcPr>
          <w:p w14:paraId="13D0FEB2" w14:textId="77777777" w:rsidR="003F2CEC" w:rsidRPr="007512B7" w:rsidRDefault="003F2CEC" w:rsidP="00E07077">
            <w:pPr>
              <w:pStyle w:val="TableHeader"/>
              <w:rPr>
                <w:rFonts w:asciiTheme="minorHAnsi" w:hAnsiTheme="minorHAnsi" w:cstheme="minorHAnsi"/>
                <w:color w:val="263287"/>
                <w:sz w:val="18"/>
                <w:szCs w:val="18"/>
              </w:rPr>
            </w:pPr>
            <w:proofErr w:type="spellStart"/>
            <w:r w:rsidRPr="007512B7">
              <w:rPr>
                <w:rFonts w:asciiTheme="minorHAnsi" w:hAnsiTheme="minorHAnsi" w:cstheme="minorHAnsi"/>
                <w:color w:val="263287"/>
                <w:sz w:val="18"/>
                <w:szCs w:val="18"/>
              </w:rPr>
              <w:t>Ethylhexyl</w:t>
            </w:r>
            <w:proofErr w:type="spellEnd"/>
            <w:r w:rsidRPr="007512B7">
              <w:rPr>
                <w:rFonts w:asciiTheme="minorHAnsi" w:hAnsiTheme="minorHAnsi" w:cstheme="minorHAnsi"/>
                <w:color w:val="263287"/>
                <w:sz w:val="18"/>
                <w:szCs w:val="18"/>
              </w:rPr>
              <w:t xml:space="preserve"> </w:t>
            </w:r>
            <w:proofErr w:type="spellStart"/>
            <w:r w:rsidRPr="007512B7">
              <w:rPr>
                <w:rFonts w:asciiTheme="minorHAnsi" w:hAnsiTheme="minorHAnsi" w:cstheme="minorHAnsi"/>
                <w:color w:val="263287"/>
                <w:sz w:val="18"/>
                <w:szCs w:val="18"/>
              </w:rPr>
              <w:t>triazone</w:t>
            </w:r>
            <w:proofErr w:type="spellEnd"/>
          </w:p>
          <w:p w14:paraId="53C7A4A4" w14:textId="77777777" w:rsidR="003F2CEC" w:rsidRPr="007512B7" w:rsidRDefault="003F2CEC" w:rsidP="00E07077">
            <w:pPr>
              <w:pStyle w:val="TableHeader"/>
              <w:rPr>
                <w:rFonts w:asciiTheme="minorHAnsi" w:hAnsiTheme="minorHAnsi" w:cstheme="minorHAnsi"/>
                <w:color w:val="263287"/>
                <w:sz w:val="18"/>
                <w:szCs w:val="18"/>
              </w:rPr>
            </w:pPr>
            <w:r w:rsidRPr="007512B7">
              <w:rPr>
                <w:rFonts w:asciiTheme="minorHAnsi" w:hAnsiTheme="minorHAnsi" w:cstheme="minorHAnsi"/>
                <w:color w:val="263287"/>
                <w:sz w:val="18"/>
                <w:szCs w:val="18"/>
              </w:rPr>
              <w:t>(ECHA (2021b; DEPA 2015</w:t>
            </w:r>
          </w:p>
        </w:tc>
        <w:tc>
          <w:tcPr>
            <w:tcW w:w="1276" w:type="dxa"/>
            <w:shd w:val="clear" w:color="auto" w:fill="B8CCEA"/>
            <w:vAlign w:val="center"/>
          </w:tcPr>
          <w:p w14:paraId="2D040757" w14:textId="77777777" w:rsidR="003F2CEC" w:rsidRPr="007512B7" w:rsidRDefault="003F2CEC" w:rsidP="00E07077">
            <w:pPr>
              <w:pStyle w:val="TableHeader"/>
              <w:rPr>
                <w:rFonts w:asciiTheme="minorHAnsi" w:hAnsiTheme="minorHAnsi" w:cstheme="minorHAnsi"/>
                <w:color w:val="263287"/>
                <w:sz w:val="18"/>
                <w:szCs w:val="18"/>
              </w:rPr>
            </w:pPr>
            <w:proofErr w:type="spellStart"/>
            <w:r w:rsidRPr="007512B7">
              <w:rPr>
                <w:rFonts w:asciiTheme="minorHAnsi" w:hAnsiTheme="minorHAnsi" w:cstheme="minorHAnsi"/>
                <w:color w:val="263287"/>
                <w:sz w:val="18"/>
                <w:szCs w:val="18"/>
              </w:rPr>
              <w:t>Homosalate</w:t>
            </w:r>
            <w:proofErr w:type="spellEnd"/>
          </w:p>
          <w:p w14:paraId="0E9A4D54" w14:textId="77777777" w:rsidR="003F2CEC" w:rsidRPr="007512B7" w:rsidRDefault="003F2CEC" w:rsidP="00E07077">
            <w:pPr>
              <w:pStyle w:val="TableHeader"/>
              <w:rPr>
                <w:rFonts w:asciiTheme="minorHAnsi" w:hAnsiTheme="minorHAnsi" w:cstheme="minorHAnsi"/>
                <w:color w:val="263287"/>
                <w:sz w:val="18"/>
                <w:szCs w:val="18"/>
              </w:rPr>
            </w:pPr>
            <w:r w:rsidRPr="007512B7">
              <w:rPr>
                <w:rFonts w:asciiTheme="minorHAnsi" w:hAnsiTheme="minorHAnsi" w:cstheme="minorHAnsi"/>
                <w:color w:val="263287"/>
                <w:sz w:val="18"/>
                <w:szCs w:val="18"/>
              </w:rPr>
              <w:t>(SCCS 2021</w:t>
            </w:r>
            <w:proofErr w:type="gramStart"/>
            <w:r w:rsidRPr="007512B7">
              <w:rPr>
                <w:rFonts w:asciiTheme="minorHAnsi" w:hAnsiTheme="minorHAnsi" w:cstheme="minorHAnsi"/>
                <w:color w:val="263287"/>
                <w:sz w:val="18"/>
                <w:szCs w:val="18"/>
              </w:rPr>
              <w:t>b,c</w:t>
            </w:r>
            <w:proofErr w:type="gramEnd"/>
            <w:r w:rsidRPr="007512B7">
              <w:rPr>
                <w:rFonts w:asciiTheme="minorHAnsi" w:hAnsiTheme="minorHAnsi" w:cstheme="minorHAnsi"/>
                <w:color w:val="263287"/>
                <w:sz w:val="18"/>
                <w:szCs w:val="18"/>
              </w:rPr>
              <w:t>; ECHA  2021c)</w:t>
            </w:r>
          </w:p>
        </w:tc>
        <w:tc>
          <w:tcPr>
            <w:tcW w:w="1385" w:type="dxa"/>
            <w:shd w:val="clear" w:color="auto" w:fill="B8CCEA"/>
            <w:vAlign w:val="center"/>
          </w:tcPr>
          <w:p w14:paraId="5095563F" w14:textId="77777777" w:rsidR="003F2CEC" w:rsidRPr="007512B7" w:rsidRDefault="003F2CEC" w:rsidP="00E07077">
            <w:pPr>
              <w:pStyle w:val="TableHeader"/>
              <w:rPr>
                <w:rFonts w:asciiTheme="minorHAnsi" w:hAnsiTheme="minorHAnsi" w:cstheme="minorHAnsi"/>
                <w:color w:val="263287"/>
                <w:sz w:val="18"/>
                <w:szCs w:val="18"/>
              </w:rPr>
            </w:pPr>
            <w:r w:rsidRPr="007512B7">
              <w:rPr>
                <w:rFonts w:asciiTheme="minorHAnsi" w:hAnsiTheme="minorHAnsi" w:cstheme="minorHAnsi"/>
                <w:color w:val="263287"/>
                <w:sz w:val="18"/>
                <w:szCs w:val="18"/>
              </w:rPr>
              <w:t>Octyl methoxycinnamate</w:t>
            </w:r>
          </w:p>
          <w:p w14:paraId="0C1A9AB6" w14:textId="77777777" w:rsidR="003F2CEC" w:rsidRPr="007512B7" w:rsidRDefault="003F2CEC" w:rsidP="00E07077">
            <w:pPr>
              <w:pStyle w:val="TableHeader"/>
              <w:rPr>
                <w:rFonts w:asciiTheme="minorHAnsi" w:hAnsiTheme="minorHAnsi" w:cstheme="minorHAnsi"/>
                <w:color w:val="263287"/>
                <w:sz w:val="18"/>
                <w:szCs w:val="18"/>
              </w:rPr>
            </w:pPr>
            <w:r w:rsidRPr="007512B7">
              <w:rPr>
                <w:rFonts w:asciiTheme="minorHAnsi" w:hAnsiTheme="minorHAnsi" w:cstheme="minorHAnsi"/>
                <w:color w:val="263287"/>
                <w:sz w:val="18"/>
                <w:szCs w:val="18"/>
              </w:rPr>
              <w:t>(ECHA 2021e)</w:t>
            </w:r>
          </w:p>
        </w:tc>
        <w:tc>
          <w:tcPr>
            <w:tcW w:w="1385" w:type="dxa"/>
            <w:shd w:val="clear" w:color="auto" w:fill="B8CCEA"/>
            <w:vAlign w:val="center"/>
          </w:tcPr>
          <w:p w14:paraId="73ADFA33" w14:textId="77777777" w:rsidR="003F2CEC" w:rsidRPr="007512B7" w:rsidRDefault="003F2CEC" w:rsidP="00E07077">
            <w:pPr>
              <w:pStyle w:val="TableHeader"/>
              <w:rPr>
                <w:rFonts w:asciiTheme="minorHAnsi" w:hAnsiTheme="minorHAnsi" w:cstheme="minorHAnsi"/>
                <w:color w:val="263287"/>
                <w:sz w:val="18"/>
                <w:szCs w:val="18"/>
              </w:rPr>
            </w:pPr>
            <w:r w:rsidRPr="007512B7">
              <w:rPr>
                <w:rFonts w:asciiTheme="minorHAnsi" w:hAnsiTheme="minorHAnsi" w:cstheme="minorHAnsi"/>
                <w:color w:val="263287"/>
                <w:sz w:val="18"/>
                <w:szCs w:val="18"/>
              </w:rPr>
              <w:t>Octocrylene</w:t>
            </w:r>
          </w:p>
          <w:p w14:paraId="74647EAB" w14:textId="77777777" w:rsidR="003F2CEC" w:rsidRPr="007512B7" w:rsidRDefault="003F2CEC" w:rsidP="00E07077">
            <w:pPr>
              <w:pStyle w:val="TableHeader"/>
              <w:rPr>
                <w:rFonts w:asciiTheme="minorHAnsi" w:hAnsiTheme="minorHAnsi" w:cstheme="minorHAnsi"/>
                <w:color w:val="263287"/>
                <w:sz w:val="18"/>
                <w:szCs w:val="18"/>
              </w:rPr>
            </w:pPr>
            <w:r w:rsidRPr="007512B7">
              <w:rPr>
                <w:rFonts w:asciiTheme="minorHAnsi" w:hAnsiTheme="minorHAnsi" w:cstheme="minorHAnsi"/>
                <w:color w:val="263287"/>
                <w:sz w:val="18"/>
                <w:szCs w:val="18"/>
              </w:rPr>
              <w:t>(SCCS 2021d; ECHA 2021d)</w:t>
            </w:r>
          </w:p>
        </w:tc>
        <w:tc>
          <w:tcPr>
            <w:tcW w:w="1450" w:type="dxa"/>
            <w:shd w:val="clear" w:color="auto" w:fill="B8CCEA"/>
            <w:vAlign w:val="center"/>
          </w:tcPr>
          <w:p w14:paraId="4E5C67F9" w14:textId="77777777" w:rsidR="003F2CEC" w:rsidRPr="007512B7" w:rsidRDefault="003F2CEC" w:rsidP="00E07077">
            <w:pPr>
              <w:pStyle w:val="TableHeader"/>
              <w:rPr>
                <w:rFonts w:asciiTheme="minorHAnsi" w:hAnsiTheme="minorHAnsi" w:cstheme="minorHAnsi"/>
                <w:color w:val="263287"/>
                <w:sz w:val="18"/>
                <w:szCs w:val="18"/>
              </w:rPr>
            </w:pPr>
            <w:r w:rsidRPr="007512B7">
              <w:rPr>
                <w:rFonts w:asciiTheme="minorHAnsi" w:hAnsiTheme="minorHAnsi" w:cstheme="minorHAnsi"/>
                <w:color w:val="263287"/>
                <w:sz w:val="18"/>
                <w:szCs w:val="18"/>
              </w:rPr>
              <w:t>Oxybenzone</w:t>
            </w:r>
          </w:p>
          <w:p w14:paraId="4A0D8D0E" w14:textId="77777777" w:rsidR="003F2CEC" w:rsidRPr="007512B7" w:rsidRDefault="003F2CEC" w:rsidP="00E07077">
            <w:pPr>
              <w:pStyle w:val="TableHeader"/>
              <w:rPr>
                <w:rFonts w:asciiTheme="minorHAnsi" w:hAnsiTheme="minorHAnsi" w:cstheme="minorHAnsi"/>
                <w:color w:val="263287"/>
                <w:sz w:val="18"/>
                <w:szCs w:val="18"/>
              </w:rPr>
            </w:pPr>
            <w:r w:rsidRPr="007512B7">
              <w:rPr>
                <w:rFonts w:asciiTheme="minorHAnsi" w:hAnsiTheme="minorHAnsi" w:cstheme="minorHAnsi"/>
                <w:color w:val="263287"/>
                <w:sz w:val="18"/>
                <w:szCs w:val="18"/>
              </w:rPr>
              <w:t>(SCCP 2006a; 2021c)</w:t>
            </w:r>
          </w:p>
        </w:tc>
        <w:tc>
          <w:tcPr>
            <w:tcW w:w="1450" w:type="dxa"/>
            <w:shd w:val="clear" w:color="auto" w:fill="B8CCEA"/>
            <w:vAlign w:val="center"/>
          </w:tcPr>
          <w:p w14:paraId="04E92483" w14:textId="77777777" w:rsidR="003F2CEC" w:rsidRPr="007512B7" w:rsidRDefault="003F2CEC" w:rsidP="00E07077">
            <w:pPr>
              <w:pStyle w:val="TableHeader"/>
              <w:rPr>
                <w:rFonts w:asciiTheme="minorHAnsi" w:hAnsiTheme="minorHAnsi" w:cstheme="minorHAnsi"/>
                <w:color w:val="263287"/>
                <w:sz w:val="18"/>
                <w:szCs w:val="18"/>
              </w:rPr>
            </w:pPr>
            <w:proofErr w:type="spellStart"/>
            <w:r w:rsidRPr="007512B7">
              <w:rPr>
                <w:rFonts w:asciiTheme="minorHAnsi" w:hAnsiTheme="minorHAnsi" w:cstheme="minorHAnsi"/>
                <w:color w:val="263287"/>
                <w:sz w:val="18"/>
                <w:szCs w:val="18"/>
              </w:rPr>
              <w:t>Phenylbenzimidazole</w:t>
            </w:r>
            <w:proofErr w:type="spellEnd"/>
            <w:r w:rsidRPr="007512B7">
              <w:rPr>
                <w:rFonts w:asciiTheme="minorHAnsi" w:hAnsiTheme="minorHAnsi" w:cstheme="minorHAnsi"/>
                <w:color w:val="263287"/>
                <w:sz w:val="18"/>
                <w:szCs w:val="18"/>
              </w:rPr>
              <w:t xml:space="preserve"> sulfonic acid</w:t>
            </w:r>
          </w:p>
          <w:p w14:paraId="7F2A6192" w14:textId="77777777" w:rsidR="003F2CEC" w:rsidRPr="007512B7" w:rsidRDefault="003F2CEC" w:rsidP="00E07077">
            <w:pPr>
              <w:pStyle w:val="TableHeader"/>
              <w:rPr>
                <w:rFonts w:asciiTheme="minorHAnsi" w:hAnsiTheme="minorHAnsi" w:cstheme="minorHAnsi"/>
                <w:color w:val="263287"/>
                <w:sz w:val="18"/>
                <w:szCs w:val="18"/>
              </w:rPr>
            </w:pPr>
            <w:r w:rsidRPr="007512B7">
              <w:rPr>
                <w:rFonts w:asciiTheme="minorHAnsi" w:hAnsiTheme="minorHAnsi" w:cstheme="minorHAnsi"/>
                <w:color w:val="263287"/>
                <w:sz w:val="18"/>
                <w:szCs w:val="18"/>
              </w:rPr>
              <w:t>(SCCP 2006b)</w:t>
            </w:r>
          </w:p>
        </w:tc>
      </w:tr>
      <w:tr w:rsidR="003F2CEC" w:rsidRPr="0083022D" w14:paraId="1D1D9F4A" w14:textId="77777777" w:rsidTr="007512B7">
        <w:trPr>
          <w:trHeight w:val="255"/>
          <w:jc w:val="center"/>
        </w:trPr>
        <w:tc>
          <w:tcPr>
            <w:tcW w:w="1266" w:type="dxa"/>
          </w:tcPr>
          <w:p w14:paraId="22E03B4F" w14:textId="77777777" w:rsidR="003F2CEC" w:rsidRPr="007512B7" w:rsidRDefault="003F2CEC" w:rsidP="00E07077">
            <w:pPr>
              <w:pStyle w:val="Tabletextleft"/>
              <w:rPr>
                <w:rFonts w:ascii="Arial" w:hAnsi="Arial" w:cs="Arial"/>
                <w:i/>
                <w:iCs/>
              </w:rPr>
            </w:pPr>
            <w:r w:rsidRPr="007512B7">
              <w:rPr>
                <w:rFonts w:ascii="Arial" w:hAnsi="Arial" w:cs="Arial"/>
                <w:i/>
                <w:iCs/>
              </w:rPr>
              <w:t>In vitro</w:t>
            </w:r>
          </w:p>
          <w:p w14:paraId="0F4FFC66" w14:textId="77777777" w:rsidR="003F2CEC" w:rsidRPr="007512B7" w:rsidRDefault="003F2CEC" w:rsidP="00E07077">
            <w:pPr>
              <w:pStyle w:val="Tabletextleft"/>
              <w:rPr>
                <w:rFonts w:ascii="Arial" w:hAnsi="Arial" w:cs="Arial"/>
              </w:rPr>
            </w:pPr>
            <w:r w:rsidRPr="007512B7">
              <w:rPr>
                <w:rFonts w:ascii="Arial" w:hAnsi="Arial" w:cs="Arial"/>
              </w:rPr>
              <w:lastRenderedPageBreak/>
              <w:t xml:space="preserve">Negative </w:t>
            </w:r>
          </w:p>
          <w:p w14:paraId="0A929F76" w14:textId="77777777" w:rsidR="003F2CEC" w:rsidRPr="007512B7" w:rsidRDefault="003F2CEC" w:rsidP="00E07077">
            <w:pPr>
              <w:pStyle w:val="Tabletextleft"/>
              <w:rPr>
                <w:rFonts w:ascii="Arial" w:hAnsi="Arial" w:cs="Arial"/>
              </w:rPr>
            </w:pPr>
            <w:r w:rsidRPr="007512B7">
              <w:rPr>
                <w:rFonts w:ascii="Arial" w:hAnsi="Arial" w:cs="Arial"/>
              </w:rPr>
              <w:t>AMES test and gene mutation study V79 Chinese hamster cells</w:t>
            </w:r>
          </w:p>
          <w:p w14:paraId="35FC3381" w14:textId="77777777" w:rsidR="003F2CEC" w:rsidRPr="007512B7" w:rsidRDefault="003F2CEC" w:rsidP="00E07077">
            <w:pPr>
              <w:pStyle w:val="Tabletextleft"/>
              <w:rPr>
                <w:rFonts w:ascii="Arial" w:hAnsi="Arial" w:cs="Arial"/>
              </w:rPr>
            </w:pPr>
            <w:r w:rsidRPr="007512B7">
              <w:rPr>
                <w:rFonts w:ascii="Arial" w:hAnsi="Arial" w:cs="Arial"/>
              </w:rPr>
              <w:t xml:space="preserve"> </w:t>
            </w:r>
          </w:p>
          <w:p w14:paraId="2750BA33" w14:textId="77777777" w:rsidR="003F2CEC" w:rsidRPr="007512B7" w:rsidRDefault="003F2CEC" w:rsidP="00E07077">
            <w:pPr>
              <w:pStyle w:val="Tabletextleft"/>
              <w:rPr>
                <w:rFonts w:ascii="Arial" w:hAnsi="Arial" w:cs="Arial"/>
              </w:rPr>
            </w:pPr>
            <w:r w:rsidRPr="007512B7">
              <w:rPr>
                <w:rFonts w:ascii="Arial" w:hAnsi="Arial" w:cs="Arial"/>
              </w:rPr>
              <w:t>In vivo</w:t>
            </w:r>
          </w:p>
          <w:p w14:paraId="21F43449" w14:textId="019BA4E5" w:rsidR="003F2CEC" w:rsidRPr="007512B7" w:rsidRDefault="003F2CEC" w:rsidP="00BA4549">
            <w:pPr>
              <w:pStyle w:val="Tabletextleft"/>
              <w:rPr>
                <w:rFonts w:ascii="Arial" w:hAnsi="Arial" w:cs="Arial"/>
              </w:rPr>
            </w:pPr>
            <w:r w:rsidRPr="007512B7">
              <w:rPr>
                <w:rFonts w:ascii="Arial" w:hAnsi="Arial" w:cs="Arial"/>
              </w:rPr>
              <w:t>Negative</w:t>
            </w:r>
            <w:r w:rsidRPr="007512B7">
              <w:rPr>
                <w:rFonts w:ascii="Arial" w:eastAsia="CIDFont+F2" w:hAnsi="Arial" w:cs="Arial"/>
              </w:rPr>
              <w:t xml:space="preserve"> </w:t>
            </w:r>
            <w:r w:rsidRPr="007512B7">
              <w:rPr>
                <w:rFonts w:ascii="Arial" w:hAnsi="Arial" w:cs="Arial"/>
              </w:rPr>
              <w:t>Bone marrow poly-</w:t>
            </w:r>
            <w:proofErr w:type="gramStart"/>
            <w:r w:rsidRPr="007512B7">
              <w:rPr>
                <w:rFonts w:ascii="Arial" w:hAnsi="Arial" w:cs="Arial"/>
              </w:rPr>
              <w:t>chromatic  erythrocytes</w:t>
            </w:r>
            <w:proofErr w:type="gramEnd"/>
            <w:r w:rsidRPr="007512B7">
              <w:rPr>
                <w:rFonts w:ascii="Arial" w:hAnsi="Arial" w:cs="Arial"/>
              </w:rPr>
              <w:t xml:space="preserve"> (mice)</w:t>
            </w:r>
          </w:p>
        </w:tc>
        <w:tc>
          <w:tcPr>
            <w:tcW w:w="1276" w:type="dxa"/>
            <w:shd w:val="clear" w:color="auto" w:fill="auto"/>
          </w:tcPr>
          <w:p w14:paraId="30868CCB" w14:textId="77777777" w:rsidR="003F2CEC" w:rsidRPr="007512B7" w:rsidRDefault="003F2CEC" w:rsidP="00E07077">
            <w:pPr>
              <w:pStyle w:val="Tabletextleft"/>
              <w:rPr>
                <w:rFonts w:ascii="Arial" w:hAnsi="Arial" w:cs="Arial"/>
                <w:i/>
                <w:iCs/>
              </w:rPr>
            </w:pPr>
            <w:r w:rsidRPr="007512B7">
              <w:rPr>
                <w:rFonts w:ascii="Arial" w:hAnsi="Arial" w:cs="Arial"/>
                <w:i/>
                <w:iCs/>
              </w:rPr>
              <w:lastRenderedPageBreak/>
              <w:t xml:space="preserve">In vitro </w:t>
            </w:r>
          </w:p>
          <w:p w14:paraId="34D40B08" w14:textId="77777777" w:rsidR="003F2CEC" w:rsidRPr="007512B7" w:rsidRDefault="003F2CEC" w:rsidP="00E07077">
            <w:pPr>
              <w:pStyle w:val="Tabletextleft"/>
              <w:rPr>
                <w:rFonts w:ascii="Arial" w:hAnsi="Arial" w:cs="Arial"/>
              </w:rPr>
            </w:pPr>
            <w:r w:rsidRPr="007512B7">
              <w:rPr>
                <w:rFonts w:ascii="Arial" w:hAnsi="Arial" w:cs="Arial"/>
              </w:rPr>
              <w:lastRenderedPageBreak/>
              <w:t>Negative</w:t>
            </w:r>
          </w:p>
          <w:p w14:paraId="45B81017" w14:textId="77777777" w:rsidR="003F2CEC" w:rsidRPr="007512B7" w:rsidRDefault="003F2CEC" w:rsidP="00E07077">
            <w:pPr>
              <w:pStyle w:val="Tabletextleft"/>
              <w:rPr>
                <w:rFonts w:ascii="Arial" w:hAnsi="Arial" w:cs="Arial"/>
              </w:rPr>
            </w:pPr>
            <w:r w:rsidRPr="007512B7">
              <w:rPr>
                <w:rFonts w:ascii="Arial" w:hAnsi="Arial" w:cs="Arial"/>
              </w:rPr>
              <w:t>AMES test, Chinese hamster lung fibroblasts for chromosome aberration, Chinese hamster ovary (CHO) cells, in vivo chromosome aberration test</w:t>
            </w:r>
          </w:p>
        </w:tc>
        <w:tc>
          <w:tcPr>
            <w:tcW w:w="1276" w:type="dxa"/>
          </w:tcPr>
          <w:p w14:paraId="414E288F" w14:textId="77777777" w:rsidR="003F2CEC" w:rsidRPr="007512B7" w:rsidRDefault="003F2CEC" w:rsidP="00E07077">
            <w:pPr>
              <w:pStyle w:val="Tabletextleft"/>
              <w:rPr>
                <w:rFonts w:ascii="Arial" w:hAnsi="Arial" w:cs="Arial"/>
                <w:i/>
                <w:iCs/>
              </w:rPr>
            </w:pPr>
            <w:r w:rsidRPr="007512B7">
              <w:rPr>
                <w:rFonts w:ascii="Arial" w:hAnsi="Arial" w:cs="Arial"/>
                <w:i/>
                <w:iCs/>
              </w:rPr>
              <w:lastRenderedPageBreak/>
              <w:t>In vitro</w:t>
            </w:r>
          </w:p>
          <w:p w14:paraId="6E76C67F" w14:textId="77777777" w:rsidR="003F2CEC" w:rsidRPr="007512B7" w:rsidRDefault="003F2CEC" w:rsidP="00E07077">
            <w:pPr>
              <w:pStyle w:val="Tabletextleft"/>
              <w:rPr>
                <w:rFonts w:ascii="Arial" w:hAnsi="Arial" w:cs="Arial"/>
              </w:rPr>
            </w:pPr>
            <w:r w:rsidRPr="007512B7">
              <w:rPr>
                <w:rFonts w:ascii="Arial" w:hAnsi="Arial" w:cs="Arial"/>
              </w:rPr>
              <w:lastRenderedPageBreak/>
              <w:t xml:space="preserve">Negative </w:t>
            </w:r>
          </w:p>
          <w:p w14:paraId="5DA9DA17" w14:textId="77777777" w:rsidR="003F2CEC" w:rsidRPr="007512B7" w:rsidRDefault="003F2CEC" w:rsidP="00E07077">
            <w:pPr>
              <w:pStyle w:val="Tabletextleft"/>
              <w:rPr>
                <w:rFonts w:ascii="Arial" w:hAnsi="Arial" w:cs="Arial"/>
              </w:rPr>
            </w:pPr>
            <w:r w:rsidRPr="007512B7">
              <w:rPr>
                <w:rFonts w:ascii="Arial" w:hAnsi="Arial" w:cs="Arial"/>
              </w:rPr>
              <w:t>AMES test and gene mutation study in V79 Chinese hamster cells</w:t>
            </w:r>
          </w:p>
          <w:p w14:paraId="58208A2F" w14:textId="77777777" w:rsidR="003F2CEC" w:rsidRPr="007512B7" w:rsidRDefault="003F2CEC" w:rsidP="00E07077">
            <w:pPr>
              <w:pStyle w:val="Tabletextleft"/>
              <w:rPr>
                <w:rFonts w:ascii="Arial" w:hAnsi="Arial" w:cs="Arial"/>
              </w:rPr>
            </w:pPr>
          </w:p>
          <w:p w14:paraId="73620124" w14:textId="77777777" w:rsidR="003F2CEC" w:rsidRPr="007512B7" w:rsidRDefault="003F2CEC" w:rsidP="00E07077">
            <w:pPr>
              <w:pStyle w:val="Tabletextleft"/>
              <w:rPr>
                <w:rFonts w:ascii="Arial" w:hAnsi="Arial" w:cs="Arial"/>
              </w:rPr>
            </w:pPr>
            <w:r w:rsidRPr="007512B7">
              <w:rPr>
                <w:rFonts w:ascii="Arial" w:hAnsi="Arial" w:cs="Arial"/>
              </w:rPr>
              <w:t>Findings from the SCGE comet assay in isolated human peripheral lymphocytes and micronucleus assay in MCF</w:t>
            </w:r>
            <w:r w:rsidRPr="007512B7">
              <w:rPr>
                <w:rFonts w:ascii="Cambria Math" w:hAnsi="Cambria Math" w:cs="Cambria Math"/>
              </w:rPr>
              <w:t>‐</w:t>
            </w:r>
            <w:r w:rsidRPr="007512B7">
              <w:rPr>
                <w:rFonts w:ascii="Arial" w:hAnsi="Arial" w:cs="Arial"/>
              </w:rPr>
              <w:t xml:space="preserve">7 cells suggest that </w:t>
            </w:r>
            <w:proofErr w:type="spellStart"/>
            <w:r w:rsidRPr="007512B7">
              <w:rPr>
                <w:rFonts w:ascii="Arial" w:hAnsi="Arial" w:cs="Arial"/>
              </w:rPr>
              <w:t>homosalate</w:t>
            </w:r>
            <w:proofErr w:type="spellEnd"/>
            <w:r w:rsidRPr="007512B7">
              <w:rPr>
                <w:rFonts w:ascii="Arial" w:hAnsi="Arial" w:cs="Arial"/>
              </w:rPr>
              <w:t xml:space="preserve"> induced DNA damage in a dose dependent manner and it is clastogenic when the cells were incubated at cytotoxic concentrations (Yazar et al. 2018; 2019)</w:t>
            </w:r>
          </w:p>
        </w:tc>
        <w:tc>
          <w:tcPr>
            <w:tcW w:w="1385" w:type="dxa"/>
            <w:vAlign w:val="center"/>
          </w:tcPr>
          <w:p w14:paraId="11D2BAA4" w14:textId="77777777" w:rsidR="003F2CEC" w:rsidRPr="007512B7" w:rsidRDefault="003F2CEC" w:rsidP="00E07077">
            <w:pPr>
              <w:pStyle w:val="Tabletextleft"/>
              <w:rPr>
                <w:rFonts w:ascii="Arial" w:hAnsi="Arial" w:cs="Arial"/>
                <w:i/>
                <w:iCs/>
              </w:rPr>
            </w:pPr>
            <w:r w:rsidRPr="007512B7">
              <w:rPr>
                <w:rFonts w:ascii="Arial" w:hAnsi="Arial" w:cs="Arial"/>
                <w:i/>
                <w:iCs/>
              </w:rPr>
              <w:lastRenderedPageBreak/>
              <w:t>In vitro</w:t>
            </w:r>
          </w:p>
          <w:p w14:paraId="5C4EE318" w14:textId="77777777" w:rsidR="003F2CEC" w:rsidRPr="007512B7" w:rsidRDefault="003F2CEC" w:rsidP="00E07077">
            <w:pPr>
              <w:pStyle w:val="Tabletextleft"/>
              <w:rPr>
                <w:rFonts w:ascii="Arial" w:hAnsi="Arial" w:cs="Arial"/>
              </w:rPr>
            </w:pPr>
            <w:r w:rsidRPr="007512B7">
              <w:rPr>
                <w:rFonts w:ascii="Arial" w:hAnsi="Arial" w:cs="Arial"/>
              </w:rPr>
              <w:lastRenderedPageBreak/>
              <w:t>Negative</w:t>
            </w:r>
          </w:p>
          <w:p w14:paraId="596AEE6D" w14:textId="77777777" w:rsidR="003F2CEC" w:rsidRPr="007512B7" w:rsidRDefault="003F2CEC" w:rsidP="00E07077">
            <w:pPr>
              <w:pStyle w:val="Tabletextleft"/>
              <w:rPr>
                <w:rFonts w:ascii="Arial" w:hAnsi="Arial" w:cs="Arial"/>
              </w:rPr>
            </w:pPr>
            <w:r w:rsidRPr="007512B7">
              <w:rPr>
                <w:rFonts w:ascii="Arial" w:hAnsi="Arial" w:cs="Arial"/>
              </w:rPr>
              <w:t xml:space="preserve">AMES test, mammalian cell transformation assay (BALB/c-3T3 clone A31-11 cells), micronucleus test (mice), </w:t>
            </w:r>
          </w:p>
          <w:p w14:paraId="7649BC36" w14:textId="77777777" w:rsidR="003F2CEC" w:rsidRPr="007512B7" w:rsidRDefault="003F2CEC" w:rsidP="00E07077">
            <w:pPr>
              <w:pStyle w:val="Tabletextleft"/>
              <w:rPr>
                <w:rFonts w:ascii="Arial" w:hAnsi="Arial" w:cs="Arial"/>
              </w:rPr>
            </w:pPr>
            <w:r w:rsidRPr="007512B7">
              <w:rPr>
                <w:rFonts w:ascii="Arial" w:hAnsi="Arial" w:cs="Arial"/>
              </w:rPr>
              <w:t xml:space="preserve">Unscheduled DNA synthesis assay (rat primary hepatocytes), </w:t>
            </w:r>
          </w:p>
          <w:p w14:paraId="05C6640C" w14:textId="77777777" w:rsidR="003F2CEC" w:rsidRPr="007512B7" w:rsidRDefault="003F2CEC" w:rsidP="00E07077">
            <w:pPr>
              <w:pStyle w:val="Tabletextleft"/>
              <w:rPr>
                <w:rFonts w:ascii="Arial" w:hAnsi="Arial" w:cs="Arial"/>
              </w:rPr>
            </w:pPr>
            <w:r w:rsidRPr="007512B7">
              <w:rPr>
                <w:rFonts w:ascii="Arial" w:hAnsi="Arial" w:cs="Arial"/>
              </w:rPr>
              <w:t>Chromosomal aberrations (human peripheral blood lymphocytes)</w:t>
            </w:r>
          </w:p>
          <w:p w14:paraId="26F8E0BA" w14:textId="77777777" w:rsidR="003F2CEC" w:rsidRPr="007512B7" w:rsidRDefault="003F2CEC" w:rsidP="00E07077">
            <w:pPr>
              <w:pStyle w:val="Tabletextleft"/>
              <w:rPr>
                <w:rFonts w:ascii="Arial" w:hAnsi="Arial" w:cs="Arial"/>
              </w:rPr>
            </w:pPr>
          </w:p>
          <w:p w14:paraId="34D1F42C" w14:textId="77777777" w:rsidR="003F2CEC" w:rsidRPr="007512B7" w:rsidRDefault="003F2CEC" w:rsidP="00E07077">
            <w:pPr>
              <w:pStyle w:val="Tabletextleft"/>
              <w:rPr>
                <w:rFonts w:ascii="Arial" w:hAnsi="Arial" w:cs="Arial"/>
              </w:rPr>
            </w:pPr>
            <w:r w:rsidRPr="007512B7">
              <w:rPr>
                <w:rFonts w:ascii="Arial" w:hAnsi="Arial" w:cs="Arial"/>
              </w:rPr>
              <w:t>In vivo</w:t>
            </w:r>
          </w:p>
          <w:p w14:paraId="75910317" w14:textId="77777777" w:rsidR="003F2CEC" w:rsidRPr="007512B7" w:rsidRDefault="003F2CEC" w:rsidP="00E07077">
            <w:pPr>
              <w:pStyle w:val="Tabletextleft"/>
              <w:rPr>
                <w:rFonts w:ascii="Arial" w:hAnsi="Arial" w:cs="Arial"/>
              </w:rPr>
            </w:pPr>
            <w:r w:rsidRPr="007512B7">
              <w:rPr>
                <w:rFonts w:ascii="Arial" w:hAnsi="Arial" w:cs="Arial"/>
              </w:rPr>
              <w:t>Negative</w:t>
            </w:r>
          </w:p>
          <w:p w14:paraId="573071A8" w14:textId="77777777" w:rsidR="003F2CEC" w:rsidRPr="007512B7" w:rsidRDefault="003F2CEC" w:rsidP="00E07077">
            <w:pPr>
              <w:pStyle w:val="Tabletextleft"/>
              <w:rPr>
                <w:rFonts w:ascii="Arial" w:hAnsi="Arial" w:cs="Arial"/>
              </w:rPr>
            </w:pPr>
            <w:r w:rsidRPr="007512B7">
              <w:rPr>
                <w:rFonts w:ascii="Arial" w:hAnsi="Arial" w:cs="Arial"/>
              </w:rPr>
              <w:t>Chromosomal aberrations in micronucleus assay in bone marrow polychromatic erythrocytes, Cell gene mutation assay (V79, ± S9) showed a very slight increase in mutant colonies (up to 20 mg/mL)</w:t>
            </w:r>
          </w:p>
        </w:tc>
        <w:tc>
          <w:tcPr>
            <w:tcW w:w="1385" w:type="dxa"/>
          </w:tcPr>
          <w:p w14:paraId="78850DDF" w14:textId="77777777" w:rsidR="003F2CEC" w:rsidRPr="007512B7" w:rsidRDefault="003F2CEC" w:rsidP="00E07077">
            <w:pPr>
              <w:pStyle w:val="Tabletextleft"/>
              <w:rPr>
                <w:rFonts w:ascii="Arial" w:hAnsi="Arial" w:cs="Arial"/>
                <w:i/>
                <w:iCs/>
              </w:rPr>
            </w:pPr>
            <w:r w:rsidRPr="007512B7">
              <w:rPr>
                <w:rFonts w:ascii="Arial" w:hAnsi="Arial" w:cs="Arial"/>
                <w:i/>
                <w:iCs/>
              </w:rPr>
              <w:lastRenderedPageBreak/>
              <w:t>In vitro</w:t>
            </w:r>
          </w:p>
          <w:p w14:paraId="23722E08" w14:textId="77777777" w:rsidR="003F2CEC" w:rsidRPr="007512B7" w:rsidRDefault="003F2CEC" w:rsidP="00E07077">
            <w:pPr>
              <w:pStyle w:val="Tabletextleft"/>
              <w:rPr>
                <w:rFonts w:ascii="Arial" w:hAnsi="Arial" w:cs="Arial"/>
              </w:rPr>
            </w:pPr>
            <w:r w:rsidRPr="007512B7">
              <w:rPr>
                <w:rFonts w:ascii="Arial" w:hAnsi="Arial" w:cs="Arial"/>
              </w:rPr>
              <w:lastRenderedPageBreak/>
              <w:t xml:space="preserve">Negative AMES test, gene mutation test, </w:t>
            </w:r>
            <w:proofErr w:type="spellStart"/>
            <w:r w:rsidRPr="007512B7">
              <w:rPr>
                <w:rFonts w:ascii="Arial" w:hAnsi="Arial" w:cs="Arial"/>
              </w:rPr>
              <w:t>cytogenicity</w:t>
            </w:r>
            <w:proofErr w:type="spellEnd"/>
            <w:r w:rsidRPr="007512B7">
              <w:rPr>
                <w:rFonts w:ascii="Arial" w:hAnsi="Arial" w:cs="Arial"/>
              </w:rPr>
              <w:t xml:space="preserve"> test in mammalian cells, chromosome aberrations tests</w:t>
            </w:r>
          </w:p>
          <w:p w14:paraId="6E5CB2DC" w14:textId="77777777" w:rsidR="003F2CEC" w:rsidRPr="007512B7" w:rsidRDefault="003F2CEC" w:rsidP="00E07077">
            <w:pPr>
              <w:pStyle w:val="Tabletextleft"/>
              <w:rPr>
                <w:rFonts w:ascii="Arial" w:hAnsi="Arial" w:cs="Arial"/>
              </w:rPr>
            </w:pPr>
          </w:p>
          <w:p w14:paraId="75468679" w14:textId="77777777" w:rsidR="003F2CEC" w:rsidRPr="007512B7" w:rsidRDefault="003F2CEC" w:rsidP="00E07077">
            <w:pPr>
              <w:pStyle w:val="Tabletextleft"/>
              <w:rPr>
                <w:rFonts w:ascii="Arial" w:hAnsi="Arial" w:cs="Arial"/>
              </w:rPr>
            </w:pPr>
            <w:r w:rsidRPr="007512B7">
              <w:rPr>
                <w:rFonts w:ascii="Arial" w:hAnsi="Arial" w:cs="Arial"/>
              </w:rPr>
              <w:t>In vivo</w:t>
            </w:r>
          </w:p>
          <w:p w14:paraId="2DA1C72B" w14:textId="77777777" w:rsidR="003F2CEC" w:rsidRPr="007512B7" w:rsidRDefault="003F2CEC" w:rsidP="00E07077">
            <w:pPr>
              <w:pStyle w:val="Tabletextleft"/>
              <w:rPr>
                <w:rFonts w:ascii="Arial" w:hAnsi="Arial" w:cs="Arial"/>
              </w:rPr>
            </w:pPr>
            <w:r w:rsidRPr="007512B7">
              <w:rPr>
                <w:rFonts w:ascii="Arial" w:hAnsi="Arial" w:cs="Arial"/>
              </w:rPr>
              <w:t>Negative</w:t>
            </w:r>
          </w:p>
          <w:p w14:paraId="32629629" w14:textId="77777777" w:rsidR="003F2CEC" w:rsidRPr="007512B7" w:rsidRDefault="003F2CEC" w:rsidP="00E07077">
            <w:pPr>
              <w:pStyle w:val="Tabletextleft"/>
              <w:rPr>
                <w:rFonts w:ascii="Arial" w:hAnsi="Arial" w:cs="Arial"/>
              </w:rPr>
            </w:pPr>
            <w:proofErr w:type="spellStart"/>
            <w:r w:rsidRPr="007512B7">
              <w:rPr>
                <w:rFonts w:ascii="Arial" w:hAnsi="Arial" w:cs="Arial"/>
              </w:rPr>
              <w:t>Cytogenicity</w:t>
            </w:r>
            <w:proofErr w:type="spellEnd"/>
            <w:r w:rsidRPr="007512B7">
              <w:rPr>
                <w:rFonts w:ascii="Arial" w:hAnsi="Arial" w:cs="Arial"/>
              </w:rPr>
              <w:t xml:space="preserve"> test in mice</w:t>
            </w:r>
          </w:p>
          <w:p w14:paraId="0B277F0F" w14:textId="77777777" w:rsidR="003F2CEC" w:rsidRPr="007512B7" w:rsidRDefault="003F2CEC" w:rsidP="00E07077">
            <w:pPr>
              <w:pStyle w:val="Tabletextleft"/>
              <w:rPr>
                <w:rFonts w:ascii="Arial" w:hAnsi="Arial" w:cs="Arial"/>
              </w:rPr>
            </w:pPr>
            <w:r w:rsidRPr="007512B7">
              <w:rPr>
                <w:rFonts w:ascii="Arial" w:hAnsi="Arial" w:cs="Arial"/>
              </w:rPr>
              <w:t>(ECHA 2020, SCCS 2021</w:t>
            </w:r>
            <w:proofErr w:type="gramStart"/>
            <w:r w:rsidRPr="007512B7">
              <w:rPr>
                <w:rFonts w:ascii="Arial" w:hAnsi="Arial" w:cs="Arial"/>
              </w:rPr>
              <w:t>b,c</w:t>
            </w:r>
            <w:proofErr w:type="gramEnd"/>
            <w:r w:rsidRPr="007512B7">
              <w:rPr>
                <w:rFonts w:ascii="Arial" w:hAnsi="Arial" w:cs="Arial"/>
              </w:rPr>
              <w:t>)</w:t>
            </w:r>
          </w:p>
        </w:tc>
        <w:tc>
          <w:tcPr>
            <w:tcW w:w="1450" w:type="dxa"/>
          </w:tcPr>
          <w:p w14:paraId="054225F7" w14:textId="77777777" w:rsidR="003F2CEC" w:rsidRPr="007512B7" w:rsidRDefault="003F2CEC" w:rsidP="00E07077">
            <w:pPr>
              <w:pStyle w:val="Tabletextleft"/>
              <w:rPr>
                <w:rFonts w:ascii="Arial" w:hAnsi="Arial" w:cs="Arial"/>
                <w:i/>
                <w:iCs/>
              </w:rPr>
            </w:pPr>
            <w:r w:rsidRPr="007512B7">
              <w:rPr>
                <w:rFonts w:ascii="Arial" w:hAnsi="Arial" w:cs="Arial"/>
                <w:i/>
                <w:iCs/>
              </w:rPr>
              <w:lastRenderedPageBreak/>
              <w:t xml:space="preserve">In vitro </w:t>
            </w:r>
          </w:p>
          <w:p w14:paraId="55B71B18" w14:textId="77777777" w:rsidR="003F2CEC" w:rsidRPr="007512B7" w:rsidRDefault="003F2CEC" w:rsidP="00E07077">
            <w:pPr>
              <w:pStyle w:val="Tabletextleft"/>
              <w:rPr>
                <w:rFonts w:ascii="Arial" w:hAnsi="Arial" w:cs="Arial"/>
              </w:rPr>
            </w:pPr>
            <w:r w:rsidRPr="007512B7">
              <w:rPr>
                <w:rFonts w:ascii="Arial" w:hAnsi="Arial" w:cs="Arial"/>
              </w:rPr>
              <w:lastRenderedPageBreak/>
              <w:t>Negative</w:t>
            </w:r>
          </w:p>
          <w:p w14:paraId="6C97418E" w14:textId="77777777" w:rsidR="003F2CEC" w:rsidRPr="007512B7" w:rsidRDefault="003F2CEC" w:rsidP="00E07077">
            <w:pPr>
              <w:pStyle w:val="Tabletextleft"/>
              <w:rPr>
                <w:rFonts w:ascii="Arial" w:hAnsi="Arial" w:cs="Arial"/>
              </w:rPr>
            </w:pPr>
            <w:r w:rsidRPr="007512B7">
              <w:rPr>
                <w:rFonts w:ascii="Arial" w:hAnsi="Arial" w:cs="Arial"/>
              </w:rPr>
              <w:t>AMES test (weak positive: TA97 (30% hamster +S9), 10% hamster or 10% and 30% rat S9), Chinese hamster lung fibroblasts for chromosome aberration ±S9, CHO cells –S9; Sister-chromatid exchanges and chromosomal aberrations + S9</w:t>
            </w:r>
          </w:p>
          <w:p w14:paraId="01BADCA0" w14:textId="77777777" w:rsidR="003F2CEC" w:rsidRPr="007512B7" w:rsidRDefault="003F2CEC" w:rsidP="00E07077">
            <w:pPr>
              <w:pStyle w:val="Tabletextleft"/>
              <w:rPr>
                <w:rFonts w:ascii="Arial" w:hAnsi="Arial" w:cs="Arial"/>
              </w:rPr>
            </w:pPr>
          </w:p>
          <w:p w14:paraId="78AE994C" w14:textId="77777777" w:rsidR="003F2CEC" w:rsidRPr="007512B7" w:rsidRDefault="003F2CEC" w:rsidP="00E07077">
            <w:pPr>
              <w:pStyle w:val="Tabletextleft"/>
              <w:rPr>
                <w:rFonts w:ascii="Arial" w:hAnsi="Arial" w:cs="Arial"/>
              </w:rPr>
            </w:pPr>
            <w:r w:rsidRPr="007512B7">
              <w:rPr>
                <w:rFonts w:ascii="Arial" w:hAnsi="Arial" w:cs="Arial"/>
              </w:rPr>
              <w:t>In vivo</w:t>
            </w:r>
          </w:p>
          <w:p w14:paraId="5D3BFB23" w14:textId="77777777" w:rsidR="003F2CEC" w:rsidRPr="007512B7" w:rsidRDefault="003F2CEC" w:rsidP="00E07077">
            <w:pPr>
              <w:pStyle w:val="Tabletextleft"/>
              <w:rPr>
                <w:rFonts w:ascii="Arial" w:hAnsi="Arial" w:cs="Arial"/>
              </w:rPr>
            </w:pPr>
            <w:r w:rsidRPr="007512B7">
              <w:rPr>
                <w:rFonts w:ascii="Arial" w:hAnsi="Arial" w:cs="Arial"/>
              </w:rPr>
              <w:t>Negative</w:t>
            </w:r>
          </w:p>
          <w:p w14:paraId="611E484D" w14:textId="77777777" w:rsidR="003F2CEC" w:rsidRPr="007512B7" w:rsidRDefault="003F2CEC" w:rsidP="00E07077">
            <w:pPr>
              <w:pStyle w:val="Tabletextleft"/>
              <w:rPr>
                <w:rFonts w:ascii="Arial" w:hAnsi="Arial" w:cs="Arial"/>
              </w:rPr>
            </w:pPr>
            <w:r w:rsidRPr="007512B7">
              <w:rPr>
                <w:rFonts w:ascii="Arial" w:hAnsi="Arial" w:cs="Arial"/>
              </w:rPr>
              <w:t>micronucleus test (mice), chromosome aberration test (rats), Drosophila (SMART)ϯ</w:t>
            </w:r>
          </w:p>
        </w:tc>
        <w:tc>
          <w:tcPr>
            <w:tcW w:w="1450" w:type="dxa"/>
          </w:tcPr>
          <w:p w14:paraId="61C8A2F6" w14:textId="77777777" w:rsidR="003F2CEC" w:rsidRPr="007512B7" w:rsidRDefault="003F2CEC" w:rsidP="00E07077">
            <w:pPr>
              <w:pStyle w:val="Tabletextleft"/>
              <w:rPr>
                <w:rFonts w:ascii="Arial" w:hAnsi="Arial" w:cs="Arial"/>
                <w:i/>
                <w:iCs/>
              </w:rPr>
            </w:pPr>
            <w:r w:rsidRPr="007512B7">
              <w:rPr>
                <w:rFonts w:ascii="Arial" w:hAnsi="Arial" w:cs="Arial"/>
                <w:i/>
                <w:iCs/>
              </w:rPr>
              <w:lastRenderedPageBreak/>
              <w:t>In vitro</w:t>
            </w:r>
          </w:p>
          <w:p w14:paraId="6920B445" w14:textId="77777777" w:rsidR="003F2CEC" w:rsidRPr="007512B7" w:rsidRDefault="003F2CEC" w:rsidP="00E07077">
            <w:pPr>
              <w:pStyle w:val="Tabletextleft"/>
              <w:rPr>
                <w:rFonts w:ascii="Arial" w:hAnsi="Arial" w:cs="Arial"/>
              </w:rPr>
            </w:pPr>
            <w:r w:rsidRPr="007512B7">
              <w:rPr>
                <w:rFonts w:ascii="Arial" w:hAnsi="Arial" w:cs="Arial"/>
              </w:rPr>
              <w:lastRenderedPageBreak/>
              <w:t>Negative</w:t>
            </w:r>
          </w:p>
          <w:p w14:paraId="26B0B367" w14:textId="77777777" w:rsidR="003F2CEC" w:rsidRPr="007512B7" w:rsidRDefault="003F2CEC" w:rsidP="00E07077">
            <w:pPr>
              <w:pStyle w:val="Tabletextleft"/>
              <w:rPr>
                <w:rFonts w:ascii="Arial" w:hAnsi="Arial" w:cs="Arial"/>
              </w:rPr>
            </w:pPr>
            <w:r w:rsidRPr="007512B7">
              <w:rPr>
                <w:rFonts w:ascii="Arial" w:hAnsi="Arial" w:cs="Arial"/>
              </w:rPr>
              <w:t>AMES test and chromosome aberration test in human peripheral blood lymphocytes</w:t>
            </w:r>
          </w:p>
          <w:p w14:paraId="63DF4551" w14:textId="77777777" w:rsidR="003F2CEC" w:rsidRPr="007512B7" w:rsidRDefault="003F2CEC" w:rsidP="00E07077">
            <w:pPr>
              <w:pStyle w:val="Tabletextleft"/>
              <w:rPr>
                <w:rFonts w:ascii="Arial" w:hAnsi="Arial" w:cs="Arial"/>
              </w:rPr>
            </w:pPr>
          </w:p>
          <w:p w14:paraId="07731889" w14:textId="77777777" w:rsidR="003F2CEC" w:rsidRPr="007512B7" w:rsidRDefault="003F2CEC" w:rsidP="00E07077">
            <w:pPr>
              <w:pStyle w:val="Tabletextleft"/>
              <w:rPr>
                <w:rFonts w:ascii="Arial" w:hAnsi="Arial" w:cs="Arial"/>
              </w:rPr>
            </w:pPr>
            <w:r w:rsidRPr="007512B7">
              <w:rPr>
                <w:rFonts w:ascii="Arial" w:hAnsi="Arial" w:cs="Arial"/>
              </w:rPr>
              <w:t>In vivo</w:t>
            </w:r>
          </w:p>
          <w:p w14:paraId="6580E6A8" w14:textId="4B1197EB" w:rsidR="003F2CEC" w:rsidRPr="007512B7" w:rsidRDefault="003F2CEC" w:rsidP="00E07077">
            <w:pPr>
              <w:pStyle w:val="Tabletextleft"/>
              <w:rPr>
                <w:rFonts w:ascii="Arial" w:hAnsi="Arial" w:cs="Arial"/>
              </w:rPr>
            </w:pPr>
            <w:r w:rsidRPr="007512B7">
              <w:rPr>
                <w:rFonts w:ascii="Arial" w:hAnsi="Arial" w:cs="Arial"/>
              </w:rPr>
              <w:t>No data</w:t>
            </w:r>
          </w:p>
        </w:tc>
      </w:tr>
    </w:tbl>
    <w:p w14:paraId="14748EB6" w14:textId="77777777" w:rsidR="003F2CEC" w:rsidRPr="0074486E" w:rsidRDefault="003F2CEC" w:rsidP="007512B7">
      <w:pPr>
        <w:pStyle w:val="Tabledescription"/>
      </w:pPr>
      <w:r w:rsidRPr="00D62326">
        <w:lastRenderedPageBreak/>
        <w:t xml:space="preserve">ϯ </w:t>
      </w:r>
      <w:proofErr w:type="gramStart"/>
      <w:r w:rsidRPr="00D62326">
        <w:t>In</w:t>
      </w:r>
      <w:proofErr w:type="gramEnd"/>
      <w:r w:rsidRPr="00D62326">
        <w:t xml:space="preserve"> a recently published study (Majhi </w:t>
      </w:r>
      <w:r w:rsidRPr="00645F1F">
        <w:rPr>
          <w:i/>
          <w:iCs/>
        </w:rPr>
        <w:t>et al.</w:t>
      </w:r>
      <w:r w:rsidRPr="00D62326">
        <w:t xml:space="preserve"> 2020), benzophone-3 (1 and 5 </w:t>
      </w:r>
      <w:proofErr w:type="spellStart"/>
      <w:r w:rsidRPr="00D62326">
        <w:t>μM</w:t>
      </w:r>
      <w:proofErr w:type="spellEnd"/>
      <w:r w:rsidRPr="00D62326">
        <w:t xml:space="preserve">) increased DNA damage </w:t>
      </w:r>
      <w:proofErr w:type="gramStart"/>
      <w:r w:rsidRPr="00D62326">
        <w:t>similar to</w:t>
      </w:r>
      <w:proofErr w:type="gramEnd"/>
      <w:r w:rsidRPr="00D62326">
        <w:t xml:space="preserve"> that of E2 treatment in a ERα-dependent manner. Benzophone-3 exposure caused R-loop formation in a normal epithelial cell line when ERα was i</w:t>
      </w:r>
      <w:r w:rsidRPr="00B76C5D">
        <w:t>ntroduced. R-loops and DNA damage were also detected in mammary epithelial cells of mice treated with benzophone-3.</w:t>
      </w:r>
    </w:p>
    <w:p w14:paraId="569391C4" w14:textId="77777777" w:rsidR="003F2CEC" w:rsidRDefault="003F2CEC" w:rsidP="003F2CEC">
      <w:pPr>
        <w:pStyle w:val="Heading4"/>
      </w:pPr>
      <w:bookmarkStart w:id="72" w:name="_Toc190944917"/>
      <w:bookmarkStart w:id="73" w:name="_Toc199254954"/>
      <w:r>
        <w:t>Carcinogenicity</w:t>
      </w:r>
      <w:bookmarkEnd w:id="72"/>
      <w:bookmarkEnd w:id="73"/>
    </w:p>
    <w:p w14:paraId="764BE823" w14:textId="77777777" w:rsidR="003F2CEC" w:rsidRDefault="003F2CEC" w:rsidP="007512B7">
      <w:bookmarkStart w:id="74" w:name="_Toc296419645"/>
      <w:bookmarkStart w:id="75" w:name="_Toc64877750"/>
      <w:bookmarkStart w:id="76" w:name="_Toc100664718"/>
      <w:bookmarkStart w:id="77" w:name="_Toc114863476"/>
      <w:r>
        <w:t xml:space="preserve">No carcinogenicity data were available for </w:t>
      </w:r>
      <w:r w:rsidRPr="00A74998">
        <w:t xml:space="preserve">butyl </w:t>
      </w:r>
      <w:proofErr w:type="spellStart"/>
      <w:r w:rsidRPr="00A74998">
        <w:t>methoxydibenzoylmethane</w:t>
      </w:r>
      <w:proofErr w:type="spellEnd"/>
      <w:r>
        <w:t xml:space="preserve">, </w:t>
      </w:r>
      <w:r w:rsidRPr="00FB4BE3">
        <w:rPr>
          <w:sz w:val="22"/>
        </w:rPr>
        <w:t>octyl methoxycinnamate</w:t>
      </w:r>
      <w:r>
        <w:t xml:space="preserve">, octocrylene, </w:t>
      </w:r>
      <w:proofErr w:type="spellStart"/>
      <w:r>
        <w:t>ethylhexyl</w:t>
      </w:r>
      <w:proofErr w:type="spellEnd"/>
      <w:r>
        <w:t xml:space="preserve"> </w:t>
      </w:r>
      <w:proofErr w:type="spellStart"/>
      <w:r>
        <w:t>triazone</w:t>
      </w:r>
      <w:proofErr w:type="spellEnd"/>
      <w:r>
        <w:t xml:space="preserve">, </w:t>
      </w:r>
      <w:proofErr w:type="spellStart"/>
      <w:r>
        <w:t>homosalate</w:t>
      </w:r>
      <w:proofErr w:type="spellEnd"/>
      <w:r>
        <w:t xml:space="preserve"> or </w:t>
      </w:r>
      <w:proofErr w:type="spellStart"/>
      <w:r w:rsidRPr="0074486E">
        <w:rPr>
          <w:sz w:val="22"/>
          <w:szCs w:val="22"/>
        </w:rPr>
        <w:t>phenylbenzimidazole</w:t>
      </w:r>
      <w:proofErr w:type="spellEnd"/>
      <w:r w:rsidRPr="0074486E">
        <w:rPr>
          <w:sz w:val="22"/>
          <w:szCs w:val="22"/>
        </w:rPr>
        <w:t xml:space="preserve"> sulfonic acid</w:t>
      </w:r>
      <w:r>
        <w:t>. Oxybenzone was carcinogenic in mice (bone marrow, spleen, kidney and liver), with equivocal evidence of carcinogenicity observed in rats (brain, spinal cord, thyroid and uterus).  Findings are provided in the following table.</w:t>
      </w:r>
    </w:p>
    <w:p w14:paraId="5915820C" w14:textId="77777777" w:rsidR="003F2CEC" w:rsidRDefault="003F2CEC" w:rsidP="003F2CEC">
      <w:pPr>
        <w:pStyle w:val="Standard"/>
        <w:spacing w:after="40"/>
        <w:rPr>
          <w:b/>
          <w:bCs/>
          <w:sz w:val="22"/>
          <w:szCs w:val="22"/>
        </w:rPr>
      </w:pPr>
    </w:p>
    <w:p w14:paraId="292ADF9A" w14:textId="77777777" w:rsidR="003F2CEC" w:rsidRPr="00922EBF" w:rsidRDefault="003F2CEC" w:rsidP="007512B7">
      <w:pPr>
        <w:pStyle w:val="Tabletitle"/>
      </w:pPr>
      <w:r>
        <w:lastRenderedPageBreak/>
        <w:t>Table 3-8. Summary of carcinogenicity studies with sunscreen ingredients</w:t>
      </w:r>
    </w:p>
    <w:tbl>
      <w:tblPr>
        <w:tblW w:w="94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85" w:type="dxa"/>
          <w:bottom w:w="28" w:type="dxa"/>
          <w:right w:w="85" w:type="dxa"/>
        </w:tblCellMar>
        <w:tblLook w:val="0000" w:firstRow="0" w:lastRow="0" w:firstColumn="0" w:lastColumn="0" w:noHBand="0" w:noVBand="0"/>
      </w:tblPr>
      <w:tblGrid>
        <w:gridCol w:w="1691"/>
        <w:gridCol w:w="2552"/>
        <w:gridCol w:w="5226"/>
      </w:tblGrid>
      <w:tr w:rsidR="003F2CEC" w:rsidRPr="007512B7" w14:paraId="2F660241" w14:textId="77777777" w:rsidTr="007512B7">
        <w:trPr>
          <w:cantSplit/>
          <w:trHeight w:val="227"/>
          <w:tblHeader/>
          <w:jc w:val="center"/>
        </w:trPr>
        <w:tc>
          <w:tcPr>
            <w:tcW w:w="1691" w:type="dxa"/>
            <w:tcBorders>
              <w:bottom w:val="single" w:sz="8" w:space="0" w:color="auto"/>
              <w:right w:val="single" w:sz="4" w:space="0" w:color="auto"/>
            </w:tcBorders>
            <w:shd w:val="clear" w:color="auto" w:fill="B8CCEA"/>
          </w:tcPr>
          <w:p w14:paraId="6CD0D73B" w14:textId="77777777" w:rsidR="003F2CEC" w:rsidRPr="007512B7" w:rsidRDefault="003F2CEC" w:rsidP="00E07077">
            <w:pPr>
              <w:pStyle w:val="TableHeader"/>
              <w:rPr>
                <w:rFonts w:ascii="Arial" w:hAnsi="Arial" w:cs="Arial"/>
                <w:color w:val="263287"/>
                <w:sz w:val="18"/>
                <w:szCs w:val="18"/>
              </w:rPr>
            </w:pPr>
            <w:r w:rsidRPr="007512B7">
              <w:rPr>
                <w:rFonts w:ascii="Arial" w:hAnsi="Arial" w:cs="Arial"/>
                <w:color w:val="263287"/>
                <w:sz w:val="18"/>
                <w:szCs w:val="18"/>
              </w:rPr>
              <w:t xml:space="preserve">Active ingredient </w:t>
            </w:r>
          </w:p>
        </w:tc>
        <w:tc>
          <w:tcPr>
            <w:tcW w:w="2552" w:type="dxa"/>
            <w:tcBorders>
              <w:bottom w:val="single" w:sz="8" w:space="0" w:color="auto"/>
              <w:right w:val="single" w:sz="4" w:space="0" w:color="auto"/>
            </w:tcBorders>
            <w:shd w:val="clear" w:color="auto" w:fill="B8CCEA"/>
            <w:tcMar>
              <w:top w:w="57" w:type="dxa"/>
              <w:bottom w:w="57" w:type="dxa"/>
            </w:tcMar>
            <w:vAlign w:val="center"/>
          </w:tcPr>
          <w:p w14:paraId="22DDECCB" w14:textId="77777777" w:rsidR="003F2CEC" w:rsidRPr="007512B7" w:rsidRDefault="003F2CEC" w:rsidP="00E07077">
            <w:pPr>
              <w:pStyle w:val="TableHeader"/>
              <w:rPr>
                <w:rFonts w:ascii="Arial" w:hAnsi="Arial" w:cs="Arial"/>
                <w:color w:val="263287"/>
                <w:sz w:val="18"/>
                <w:szCs w:val="18"/>
              </w:rPr>
            </w:pPr>
            <w:r w:rsidRPr="007512B7">
              <w:rPr>
                <w:rFonts w:ascii="Arial" w:hAnsi="Arial" w:cs="Arial"/>
                <w:color w:val="263287"/>
                <w:sz w:val="18"/>
                <w:szCs w:val="18"/>
              </w:rPr>
              <w:t>Study details</w:t>
            </w:r>
          </w:p>
        </w:tc>
        <w:tc>
          <w:tcPr>
            <w:tcW w:w="5226" w:type="dxa"/>
            <w:tcBorders>
              <w:left w:val="single" w:sz="4" w:space="0" w:color="auto"/>
              <w:bottom w:val="single" w:sz="8" w:space="0" w:color="auto"/>
            </w:tcBorders>
            <w:shd w:val="clear" w:color="auto" w:fill="B8CCEA"/>
            <w:tcMar>
              <w:top w:w="57" w:type="dxa"/>
              <w:bottom w:w="57" w:type="dxa"/>
            </w:tcMar>
            <w:vAlign w:val="center"/>
          </w:tcPr>
          <w:p w14:paraId="36D1F30D" w14:textId="77777777" w:rsidR="003F2CEC" w:rsidRPr="007512B7" w:rsidRDefault="003F2CEC" w:rsidP="00E07077">
            <w:pPr>
              <w:pStyle w:val="TableHeader"/>
              <w:rPr>
                <w:rFonts w:ascii="Arial" w:hAnsi="Arial" w:cs="Arial"/>
                <w:color w:val="263287"/>
                <w:sz w:val="18"/>
                <w:szCs w:val="18"/>
              </w:rPr>
            </w:pPr>
            <w:r w:rsidRPr="007512B7">
              <w:rPr>
                <w:rFonts w:ascii="Arial" w:hAnsi="Arial" w:cs="Arial"/>
                <w:color w:val="263287"/>
                <w:sz w:val="18"/>
                <w:szCs w:val="18"/>
              </w:rPr>
              <w:t>Major findings</w:t>
            </w:r>
          </w:p>
        </w:tc>
      </w:tr>
      <w:tr w:rsidR="003F2CEC" w:rsidRPr="007512B7" w14:paraId="236CA0C4" w14:textId="77777777" w:rsidTr="00E07077">
        <w:trPr>
          <w:cantSplit/>
          <w:trHeight w:val="284"/>
          <w:jc w:val="center"/>
        </w:trPr>
        <w:tc>
          <w:tcPr>
            <w:tcW w:w="1691" w:type="dxa"/>
            <w:tcBorders>
              <w:top w:val="single" w:sz="4" w:space="0" w:color="auto"/>
              <w:right w:val="single" w:sz="4" w:space="0" w:color="auto"/>
            </w:tcBorders>
            <w:vAlign w:val="center"/>
          </w:tcPr>
          <w:p w14:paraId="77714ADB" w14:textId="77777777" w:rsidR="003F2CEC" w:rsidRPr="007512B7" w:rsidRDefault="003F2CEC" w:rsidP="00E07077">
            <w:pPr>
              <w:pStyle w:val="Tabletextleft"/>
              <w:rPr>
                <w:rFonts w:ascii="Arial" w:hAnsi="Arial" w:cs="Arial"/>
              </w:rPr>
            </w:pPr>
            <w:r w:rsidRPr="007512B7">
              <w:rPr>
                <w:rFonts w:ascii="Arial" w:hAnsi="Arial" w:cs="Arial"/>
              </w:rPr>
              <w:t xml:space="preserve">Butyl </w:t>
            </w:r>
            <w:proofErr w:type="spellStart"/>
            <w:r w:rsidRPr="007512B7">
              <w:rPr>
                <w:rFonts w:ascii="Arial" w:hAnsi="Arial" w:cs="Arial"/>
              </w:rPr>
              <w:t>methoxydibenzoylmethane</w:t>
            </w:r>
            <w:proofErr w:type="spellEnd"/>
            <w:r w:rsidRPr="007512B7">
              <w:rPr>
                <w:rFonts w:ascii="Arial" w:hAnsi="Arial" w:cs="Arial"/>
              </w:rPr>
              <w:t xml:space="preserve"> </w:t>
            </w:r>
          </w:p>
        </w:tc>
        <w:tc>
          <w:tcPr>
            <w:tcW w:w="2552" w:type="dxa"/>
            <w:tcBorders>
              <w:top w:val="single" w:sz="4" w:space="0" w:color="auto"/>
              <w:bottom w:val="single" w:sz="4" w:space="0" w:color="auto"/>
              <w:right w:val="single" w:sz="4" w:space="0" w:color="auto"/>
            </w:tcBorders>
            <w:tcMar>
              <w:top w:w="57" w:type="dxa"/>
              <w:left w:w="57" w:type="dxa"/>
              <w:bottom w:w="57" w:type="dxa"/>
              <w:right w:w="57" w:type="dxa"/>
            </w:tcMar>
            <w:vAlign w:val="center"/>
          </w:tcPr>
          <w:p w14:paraId="5051AC31" w14:textId="77777777" w:rsidR="003F2CEC" w:rsidRPr="007512B7" w:rsidRDefault="003F2CEC" w:rsidP="00E07077">
            <w:pPr>
              <w:pStyle w:val="Tabletextleft"/>
              <w:rPr>
                <w:rFonts w:ascii="Arial" w:hAnsi="Arial" w:cs="Arial"/>
              </w:rPr>
            </w:pPr>
            <w:r w:rsidRPr="007512B7">
              <w:rPr>
                <w:rFonts w:ascii="Arial" w:hAnsi="Arial" w:cs="Arial"/>
              </w:rPr>
              <w:t>–</w:t>
            </w:r>
          </w:p>
        </w:tc>
        <w:tc>
          <w:tcPr>
            <w:tcW w:w="5226" w:type="dxa"/>
            <w:tcBorders>
              <w:top w:val="single" w:sz="4" w:space="0" w:color="auto"/>
              <w:left w:val="single" w:sz="4" w:space="0" w:color="auto"/>
              <w:bottom w:val="single" w:sz="4" w:space="0" w:color="auto"/>
            </w:tcBorders>
            <w:vAlign w:val="center"/>
          </w:tcPr>
          <w:p w14:paraId="6847BEB9" w14:textId="77777777" w:rsidR="003F2CEC" w:rsidRPr="007512B7" w:rsidRDefault="003F2CEC" w:rsidP="00E07077">
            <w:pPr>
              <w:pStyle w:val="Tabletextleft"/>
              <w:rPr>
                <w:rFonts w:ascii="Arial" w:hAnsi="Arial" w:cs="Arial"/>
              </w:rPr>
            </w:pPr>
            <w:r w:rsidRPr="007512B7">
              <w:rPr>
                <w:rFonts w:ascii="Arial" w:hAnsi="Arial" w:cs="Arial"/>
              </w:rPr>
              <w:t xml:space="preserve">No data </w:t>
            </w:r>
          </w:p>
        </w:tc>
      </w:tr>
      <w:tr w:rsidR="003F2CEC" w:rsidRPr="007512B7" w14:paraId="2FC7BC81" w14:textId="77777777" w:rsidTr="00E07077">
        <w:trPr>
          <w:cantSplit/>
          <w:trHeight w:val="284"/>
          <w:jc w:val="center"/>
        </w:trPr>
        <w:tc>
          <w:tcPr>
            <w:tcW w:w="1691" w:type="dxa"/>
            <w:tcBorders>
              <w:top w:val="single" w:sz="4" w:space="0" w:color="auto"/>
              <w:right w:val="single" w:sz="4" w:space="0" w:color="auto"/>
            </w:tcBorders>
            <w:vAlign w:val="center"/>
          </w:tcPr>
          <w:p w14:paraId="196045B7" w14:textId="77777777" w:rsidR="003F2CEC" w:rsidRPr="007512B7" w:rsidRDefault="003F2CEC" w:rsidP="00E07077">
            <w:pPr>
              <w:pStyle w:val="Tabletextleft"/>
              <w:rPr>
                <w:rFonts w:ascii="Arial" w:hAnsi="Arial" w:cs="Arial"/>
              </w:rPr>
            </w:pPr>
            <w:r w:rsidRPr="007512B7">
              <w:rPr>
                <w:rFonts w:ascii="Arial" w:hAnsi="Arial" w:cs="Arial"/>
              </w:rPr>
              <w:t xml:space="preserve">Ethyl hexyl </w:t>
            </w:r>
            <w:proofErr w:type="spellStart"/>
            <w:r w:rsidRPr="007512B7">
              <w:rPr>
                <w:rFonts w:ascii="Arial" w:hAnsi="Arial" w:cs="Arial"/>
              </w:rPr>
              <w:t>triazone</w:t>
            </w:r>
            <w:proofErr w:type="spellEnd"/>
          </w:p>
        </w:tc>
        <w:tc>
          <w:tcPr>
            <w:tcW w:w="2552" w:type="dxa"/>
            <w:tcBorders>
              <w:top w:val="single" w:sz="4" w:space="0" w:color="auto"/>
              <w:bottom w:val="single" w:sz="4" w:space="0" w:color="auto"/>
              <w:right w:val="single" w:sz="4" w:space="0" w:color="auto"/>
            </w:tcBorders>
            <w:tcMar>
              <w:top w:w="57" w:type="dxa"/>
              <w:left w:w="57" w:type="dxa"/>
              <w:bottom w:w="57" w:type="dxa"/>
              <w:right w:w="57" w:type="dxa"/>
            </w:tcMar>
            <w:vAlign w:val="center"/>
          </w:tcPr>
          <w:p w14:paraId="1D5F2E09" w14:textId="77777777" w:rsidR="003F2CEC" w:rsidRPr="007512B7" w:rsidRDefault="003F2CEC" w:rsidP="00E07077">
            <w:pPr>
              <w:pStyle w:val="Tabletextleft"/>
              <w:rPr>
                <w:rFonts w:ascii="Arial" w:hAnsi="Arial" w:cs="Arial"/>
              </w:rPr>
            </w:pPr>
            <w:r w:rsidRPr="007512B7">
              <w:rPr>
                <w:rFonts w:ascii="Arial" w:hAnsi="Arial" w:cs="Arial"/>
              </w:rPr>
              <w:t>–</w:t>
            </w:r>
          </w:p>
        </w:tc>
        <w:tc>
          <w:tcPr>
            <w:tcW w:w="5226" w:type="dxa"/>
            <w:tcBorders>
              <w:top w:val="single" w:sz="4" w:space="0" w:color="auto"/>
              <w:left w:val="single" w:sz="4" w:space="0" w:color="auto"/>
              <w:bottom w:val="single" w:sz="4" w:space="0" w:color="auto"/>
            </w:tcBorders>
            <w:vAlign w:val="center"/>
          </w:tcPr>
          <w:p w14:paraId="6775DDB8" w14:textId="77777777" w:rsidR="003F2CEC" w:rsidRPr="007512B7" w:rsidRDefault="003F2CEC" w:rsidP="00E07077">
            <w:pPr>
              <w:pStyle w:val="Tabletextleft"/>
              <w:rPr>
                <w:rFonts w:ascii="Arial" w:hAnsi="Arial" w:cs="Arial"/>
              </w:rPr>
            </w:pPr>
            <w:r w:rsidRPr="007512B7">
              <w:rPr>
                <w:rFonts w:ascii="Arial" w:hAnsi="Arial" w:cs="Arial"/>
              </w:rPr>
              <w:t xml:space="preserve">No data </w:t>
            </w:r>
          </w:p>
        </w:tc>
      </w:tr>
      <w:tr w:rsidR="003F2CEC" w:rsidRPr="007512B7" w14:paraId="4D059A39" w14:textId="77777777" w:rsidTr="00E07077">
        <w:trPr>
          <w:cantSplit/>
          <w:trHeight w:val="284"/>
          <w:jc w:val="center"/>
        </w:trPr>
        <w:tc>
          <w:tcPr>
            <w:tcW w:w="1691" w:type="dxa"/>
            <w:tcBorders>
              <w:top w:val="single" w:sz="4" w:space="0" w:color="auto"/>
              <w:right w:val="single" w:sz="4" w:space="0" w:color="auto"/>
            </w:tcBorders>
            <w:vAlign w:val="center"/>
          </w:tcPr>
          <w:p w14:paraId="1C97607B" w14:textId="77777777" w:rsidR="003F2CEC" w:rsidRPr="007512B7" w:rsidRDefault="003F2CEC" w:rsidP="00E07077">
            <w:pPr>
              <w:pStyle w:val="Tabletextleft"/>
              <w:rPr>
                <w:rFonts w:ascii="Arial" w:hAnsi="Arial" w:cs="Arial"/>
              </w:rPr>
            </w:pPr>
            <w:proofErr w:type="spellStart"/>
            <w:r w:rsidRPr="007512B7">
              <w:rPr>
                <w:rFonts w:ascii="Arial" w:hAnsi="Arial" w:cs="Arial"/>
              </w:rPr>
              <w:t>Homosalate</w:t>
            </w:r>
            <w:proofErr w:type="spellEnd"/>
            <w:r w:rsidRPr="007512B7">
              <w:rPr>
                <w:rFonts w:ascii="Arial" w:hAnsi="Arial" w:cs="Arial"/>
              </w:rPr>
              <w:t xml:space="preserve"> </w:t>
            </w:r>
          </w:p>
        </w:tc>
        <w:tc>
          <w:tcPr>
            <w:tcW w:w="2552" w:type="dxa"/>
            <w:tcBorders>
              <w:top w:val="single" w:sz="4" w:space="0" w:color="auto"/>
              <w:bottom w:val="single" w:sz="4" w:space="0" w:color="auto"/>
              <w:right w:val="single" w:sz="4" w:space="0" w:color="auto"/>
            </w:tcBorders>
            <w:tcMar>
              <w:top w:w="57" w:type="dxa"/>
              <w:left w:w="57" w:type="dxa"/>
              <w:bottom w:w="57" w:type="dxa"/>
              <w:right w:w="57" w:type="dxa"/>
            </w:tcMar>
            <w:vAlign w:val="center"/>
          </w:tcPr>
          <w:p w14:paraId="765D0A53" w14:textId="77777777" w:rsidR="003F2CEC" w:rsidRPr="007512B7" w:rsidRDefault="003F2CEC" w:rsidP="00E07077">
            <w:pPr>
              <w:pStyle w:val="Tabletextleft"/>
              <w:rPr>
                <w:rFonts w:ascii="Arial" w:hAnsi="Arial" w:cs="Arial"/>
              </w:rPr>
            </w:pPr>
            <w:r w:rsidRPr="007512B7">
              <w:rPr>
                <w:rFonts w:ascii="Arial" w:hAnsi="Arial" w:cs="Arial"/>
              </w:rPr>
              <w:t xml:space="preserve">– </w:t>
            </w:r>
          </w:p>
        </w:tc>
        <w:tc>
          <w:tcPr>
            <w:tcW w:w="5226" w:type="dxa"/>
            <w:tcBorders>
              <w:top w:val="single" w:sz="4" w:space="0" w:color="auto"/>
              <w:left w:val="single" w:sz="4" w:space="0" w:color="auto"/>
              <w:bottom w:val="single" w:sz="4" w:space="0" w:color="auto"/>
            </w:tcBorders>
            <w:vAlign w:val="center"/>
          </w:tcPr>
          <w:p w14:paraId="6A620278" w14:textId="77777777" w:rsidR="003F2CEC" w:rsidRPr="007512B7" w:rsidRDefault="003F2CEC" w:rsidP="00E07077">
            <w:pPr>
              <w:pStyle w:val="Tabletextleft"/>
              <w:rPr>
                <w:rFonts w:ascii="Arial" w:hAnsi="Arial" w:cs="Arial"/>
              </w:rPr>
            </w:pPr>
            <w:r w:rsidRPr="007512B7">
              <w:rPr>
                <w:rFonts w:ascii="Arial" w:hAnsi="Arial" w:cs="Arial"/>
              </w:rPr>
              <w:t>No data</w:t>
            </w:r>
          </w:p>
        </w:tc>
      </w:tr>
      <w:tr w:rsidR="003F2CEC" w:rsidRPr="007512B7" w14:paraId="06701654" w14:textId="77777777" w:rsidTr="00E07077">
        <w:trPr>
          <w:cantSplit/>
          <w:trHeight w:val="284"/>
          <w:jc w:val="center"/>
        </w:trPr>
        <w:tc>
          <w:tcPr>
            <w:tcW w:w="1691" w:type="dxa"/>
            <w:tcBorders>
              <w:top w:val="single" w:sz="4" w:space="0" w:color="auto"/>
              <w:right w:val="single" w:sz="4" w:space="0" w:color="auto"/>
            </w:tcBorders>
            <w:vAlign w:val="center"/>
          </w:tcPr>
          <w:p w14:paraId="6AFA545F" w14:textId="77777777" w:rsidR="003F2CEC" w:rsidRPr="007512B7" w:rsidRDefault="003F2CEC" w:rsidP="00E07077">
            <w:pPr>
              <w:pStyle w:val="Tabletextleft"/>
              <w:rPr>
                <w:rFonts w:ascii="Arial" w:hAnsi="Arial" w:cs="Arial"/>
              </w:rPr>
            </w:pPr>
            <w:r w:rsidRPr="007512B7">
              <w:rPr>
                <w:rFonts w:ascii="Arial" w:hAnsi="Arial" w:cs="Arial"/>
              </w:rPr>
              <w:t>Octyl methoxycinnamate</w:t>
            </w:r>
          </w:p>
        </w:tc>
        <w:tc>
          <w:tcPr>
            <w:tcW w:w="2552" w:type="dxa"/>
            <w:tcBorders>
              <w:top w:val="single" w:sz="4" w:space="0" w:color="auto"/>
              <w:bottom w:val="single" w:sz="4" w:space="0" w:color="auto"/>
              <w:right w:val="single" w:sz="4" w:space="0" w:color="auto"/>
            </w:tcBorders>
            <w:tcMar>
              <w:top w:w="57" w:type="dxa"/>
              <w:left w:w="57" w:type="dxa"/>
              <w:bottom w:w="57" w:type="dxa"/>
              <w:right w:w="57" w:type="dxa"/>
            </w:tcMar>
            <w:vAlign w:val="center"/>
          </w:tcPr>
          <w:p w14:paraId="2083AE49" w14:textId="77777777" w:rsidR="003F2CEC" w:rsidRPr="007512B7" w:rsidRDefault="003F2CEC" w:rsidP="00E07077">
            <w:pPr>
              <w:pStyle w:val="Tabletextleft"/>
              <w:rPr>
                <w:rFonts w:ascii="Arial" w:hAnsi="Arial" w:cs="Arial"/>
              </w:rPr>
            </w:pPr>
            <w:r w:rsidRPr="007512B7">
              <w:rPr>
                <w:rFonts w:ascii="Arial" w:hAnsi="Arial" w:cs="Arial"/>
              </w:rPr>
              <w:t xml:space="preserve">– </w:t>
            </w:r>
          </w:p>
        </w:tc>
        <w:tc>
          <w:tcPr>
            <w:tcW w:w="5226" w:type="dxa"/>
            <w:tcBorders>
              <w:top w:val="single" w:sz="4" w:space="0" w:color="auto"/>
              <w:left w:val="single" w:sz="4" w:space="0" w:color="auto"/>
              <w:bottom w:val="single" w:sz="4" w:space="0" w:color="auto"/>
            </w:tcBorders>
            <w:vAlign w:val="center"/>
          </w:tcPr>
          <w:p w14:paraId="76C1DE0A" w14:textId="77777777" w:rsidR="003F2CEC" w:rsidRPr="007512B7" w:rsidRDefault="003F2CEC" w:rsidP="00E07077">
            <w:pPr>
              <w:pStyle w:val="Tabletextleft"/>
              <w:rPr>
                <w:rFonts w:ascii="Arial" w:hAnsi="Arial" w:cs="Arial"/>
              </w:rPr>
            </w:pPr>
            <w:r w:rsidRPr="007512B7">
              <w:rPr>
                <w:rFonts w:ascii="Arial" w:hAnsi="Arial" w:cs="Arial"/>
              </w:rPr>
              <w:t>No data</w:t>
            </w:r>
          </w:p>
        </w:tc>
      </w:tr>
      <w:tr w:rsidR="003F2CEC" w:rsidRPr="007512B7" w14:paraId="5ACE271A" w14:textId="77777777" w:rsidTr="00E07077">
        <w:trPr>
          <w:cantSplit/>
          <w:trHeight w:val="284"/>
          <w:jc w:val="center"/>
        </w:trPr>
        <w:tc>
          <w:tcPr>
            <w:tcW w:w="1691" w:type="dxa"/>
            <w:tcBorders>
              <w:top w:val="single" w:sz="4" w:space="0" w:color="auto"/>
              <w:right w:val="single" w:sz="4" w:space="0" w:color="auto"/>
            </w:tcBorders>
            <w:vAlign w:val="center"/>
          </w:tcPr>
          <w:p w14:paraId="15154F30" w14:textId="77777777" w:rsidR="003F2CEC" w:rsidRPr="007512B7" w:rsidRDefault="003F2CEC" w:rsidP="00E07077">
            <w:pPr>
              <w:pStyle w:val="Tabletextleft"/>
              <w:rPr>
                <w:rFonts w:ascii="Arial" w:hAnsi="Arial" w:cs="Arial"/>
              </w:rPr>
            </w:pPr>
            <w:r w:rsidRPr="007512B7">
              <w:rPr>
                <w:rFonts w:ascii="Arial" w:hAnsi="Arial" w:cs="Arial"/>
              </w:rPr>
              <w:t>Octocrylene</w:t>
            </w:r>
          </w:p>
        </w:tc>
        <w:tc>
          <w:tcPr>
            <w:tcW w:w="2552" w:type="dxa"/>
            <w:tcBorders>
              <w:top w:val="single" w:sz="4" w:space="0" w:color="auto"/>
              <w:bottom w:val="single" w:sz="4" w:space="0" w:color="auto"/>
              <w:right w:val="single" w:sz="4" w:space="0" w:color="auto"/>
            </w:tcBorders>
            <w:tcMar>
              <w:top w:w="57" w:type="dxa"/>
              <w:left w:w="57" w:type="dxa"/>
              <w:bottom w:w="57" w:type="dxa"/>
              <w:right w:w="57" w:type="dxa"/>
            </w:tcMar>
            <w:vAlign w:val="center"/>
          </w:tcPr>
          <w:p w14:paraId="6D8BA087" w14:textId="77777777" w:rsidR="003F2CEC" w:rsidRPr="007512B7" w:rsidRDefault="003F2CEC" w:rsidP="00E07077">
            <w:pPr>
              <w:pStyle w:val="Tabletextleft"/>
              <w:rPr>
                <w:rFonts w:ascii="Arial" w:hAnsi="Arial" w:cs="Arial"/>
                <w:color w:val="00B050"/>
              </w:rPr>
            </w:pPr>
            <w:r w:rsidRPr="007512B7">
              <w:rPr>
                <w:rFonts w:ascii="Arial" w:hAnsi="Arial" w:cs="Arial"/>
              </w:rPr>
              <w:t xml:space="preserve"> –</w:t>
            </w:r>
          </w:p>
        </w:tc>
        <w:tc>
          <w:tcPr>
            <w:tcW w:w="5226" w:type="dxa"/>
            <w:tcBorders>
              <w:top w:val="single" w:sz="4" w:space="0" w:color="auto"/>
              <w:left w:val="single" w:sz="4" w:space="0" w:color="auto"/>
              <w:bottom w:val="single" w:sz="4" w:space="0" w:color="auto"/>
            </w:tcBorders>
            <w:vAlign w:val="center"/>
          </w:tcPr>
          <w:p w14:paraId="209A4ECF" w14:textId="77777777" w:rsidR="003F2CEC" w:rsidRPr="007512B7" w:rsidRDefault="003F2CEC" w:rsidP="00E07077">
            <w:pPr>
              <w:pStyle w:val="Tabletextleft"/>
              <w:rPr>
                <w:rFonts w:ascii="Arial" w:hAnsi="Arial" w:cs="Arial"/>
                <w:color w:val="00B050"/>
              </w:rPr>
            </w:pPr>
            <w:r w:rsidRPr="007512B7">
              <w:rPr>
                <w:rFonts w:ascii="Arial" w:hAnsi="Arial" w:cs="Arial"/>
              </w:rPr>
              <w:t>No data</w:t>
            </w:r>
          </w:p>
        </w:tc>
      </w:tr>
      <w:tr w:rsidR="003F2CEC" w:rsidRPr="007512B7" w14:paraId="2E4889A6" w14:textId="77777777" w:rsidTr="00E07077">
        <w:trPr>
          <w:cantSplit/>
          <w:trHeight w:val="284"/>
          <w:jc w:val="center"/>
        </w:trPr>
        <w:tc>
          <w:tcPr>
            <w:tcW w:w="1691" w:type="dxa"/>
            <w:tcBorders>
              <w:right w:val="single" w:sz="4" w:space="0" w:color="auto"/>
            </w:tcBorders>
            <w:vAlign w:val="center"/>
          </w:tcPr>
          <w:p w14:paraId="31BEEA5C" w14:textId="77777777" w:rsidR="003F2CEC" w:rsidRPr="007512B7" w:rsidRDefault="003F2CEC" w:rsidP="00E07077">
            <w:pPr>
              <w:pStyle w:val="Tabletextleft"/>
              <w:rPr>
                <w:rFonts w:ascii="Arial" w:hAnsi="Arial" w:cs="Arial"/>
              </w:rPr>
            </w:pPr>
            <w:r w:rsidRPr="007512B7">
              <w:rPr>
                <w:rFonts w:ascii="Arial" w:hAnsi="Arial" w:cs="Arial"/>
              </w:rPr>
              <w:t>Oxybenzone</w:t>
            </w:r>
          </w:p>
          <w:p w14:paraId="0431A411" w14:textId="77777777" w:rsidR="003F2CEC" w:rsidRPr="007512B7" w:rsidRDefault="003F2CEC" w:rsidP="00E07077">
            <w:pPr>
              <w:pStyle w:val="Tabletextleft"/>
              <w:rPr>
                <w:rFonts w:ascii="Arial" w:hAnsi="Arial" w:cs="Arial"/>
              </w:rPr>
            </w:pPr>
            <w:r w:rsidRPr="007512B7">
              <w:rPr>
                <w:rFonts w:ascii="Arial" w:hAnsi="Arial" w:cs="Arial"/>
              </w:rPr>
              <w:t xml:space="preserve">(SCCP 2006a; 2021c) </w:t>
            </w:r>
          </w:p>
        </w:tc>
        <w:tc>
          <w:tcPr>
            <w:tcW w:w="2552" w:type="dxa"/>
            <w:tcBorders>
              <w:top w:val="single" w:sz="4" w:space="0" w:color="auto"/>
              <w:bottom w:val="single" w:sz="4" w:space="0" w:color="auto"/>
              <w:right w:val="single" w:sz="4" w:space="0" w:color="auto"/>
            </w:tcBorders>
            <w:tcMar>
              <w:top w:w="57" w:type="dxa"/>
              <w:left w:w="57" w:type="dxa"/>
              <w:bottom w:w="57" w:type="dxa"/>
              <w:right w:w="57" w:type="dxa"/>
            </w:tcMar>
            <w:vAlign w:val="center"/>
          </w:tcPr>
          <w:p w14:paraId="7F6FCF14" w14:textId="77777777" w:rsidR="003F2CEC" w:rsidRPr="007512B7" w:rsidRDefault="003F2CEC" w:rsidP="00E07077">
            <w:pPr>
              <w:pStyle w:val="Tabletextleft"/>
              <w:rPr>
                <w:rFonts w:ascii="Arial" w:hAnsi="Arial" w:cs="Arial"/>
              </w:rPr>
            </w:pPr>
            <w:r w:rsidRPr="007512B7">
              <w:rPr>
                <w:rFonts w:ascii="Arial" w:hAnsi="Arial" w:cs="Arial"/>
              </w:rPr>
              <w:t xml:space="preserve">Mice (B6C3F1/N; </w:t>
            </w:r>
            <w:r w:rsidRPr="007512B7">
              <w:rPr>
                <w:rFonts w:ascii="Arial" w:hAnsi="Arial" w:cs="Arial"/>
                <w:i/>
              </w:rPr>
              <w:t>n</w:t>
            </w:r>
            <w:r w:rsidRPr="007512B7">
              <w:rPr>
                <w:rFonts w:ascii="Arial" w:hAnsi="Arial" w:cs="Arial"/>
              </w:rPr>
              <w:t xml:space="preserve">=50/sex/group), 0, 1000, 3000, 10000 ppm (equivalent to 113/109, 339/320, 1207/1278 mg/kg </w:t>
            </w:r>
            <w:proofErr w:type="spellStart"/>
            <w:r w:rsidRPr="007512B7">
              <w:rPr>
                <w:rFonts w:ascii="Arial" w:hAnsi="Arial" w:cs="Arial"/>
              </w:rPr>
              <w:t>bw</w:t>
            </w:r>
            <w:proofErr w:type="spellEnd"/>
            <w:r w:rsidRPr="007512B7">
              <w:rPr>
                <w:rFonts w:ascii="Arial" w:hAnsi="Arial" w:cs="Arial"/>
              </w:rPr>
              <w:t xml:space="preserve">/day in </w:t>
            </w:r>
            <w:r w:rsidRPr="007512B7">
              <w:rPr>
                <w:rFonts w:ascii="Arial" w:eastAsia="Cambria" w:hAnsi="Arial" w:cs="Arial"/>
                <w:kern w:val="0"/>
              </w:rPr>
              <w:t>♂/♀</w:t>
            </w:r>
            <w:r w:rsidRPr="007512B7">
              <w:rPr>
                <w:rFonts w:ascii="Arial" w:hAnsi="Arial" w:cs="Arial"/>
              </w:rPr>
              <w:t>)</w:t>
            </w:r>
          </w:p>
          <w:p w14:paraId="7F68273A" w14:textId="77777777" w:rsidR="003F2CEC" w:rsidRPr="007512B7" w:rsidRDefault="003F2CEC" w:rsidP="00E07077">
            <w:pPr>
              <w:pStyle w:val="Tabletextleft"/>
              <w:rPr>
                <w:rFonts w:ascii="Arial" w:hAnsi="Arial" w:cs="Arial"/>
              </w:rPr>
            </w:pPr>
          </w:p>
          <w:p w14:paraId="59B5CABD" w14:textId="77777777" w:rsidR="003F2CEC" w:rsidRPr="007512B7" w:rsidRDefault="003F2CEC" w:rsidP="00E07077">
            <w:pPr>
              <w:pStyle w:val="Tabletextleft"/>
              <w:rPr>
                <w:rFonts w:ascii="Arial" w:hAnsi="Arial" w:cs="Arial"/>
              </w:rPr>
            </w:pPr>
          </w:p>
          <w:p w14:paraId="2E2F9971" w14:textId="77777777" w:rsidR="003F2CEC" w:rsidRPr="007512B7" w:rsidRDefault="003F2CEC" w:rsidP="00E07077">
            <w:pPr>
              <w:pStyle w:val="Tabletextleft"/>
              <w:rPr>
                <w:rFonts w:ascii="Arial" w:hAnsi="Arial" w:cs="Arial"/>
              </w:rPr>
            </w:pPr>
            <w:r w:rsidRPr="007512B7">
              <w:rPr>
                <w:rFonts w:ascii="Arial" w:hAnsi="Arial" w:cs="Arial"/>
              </w:rPr>
              <w:t xml:space="preserve">Rats (SD; </w:t>
            </w:r>
            <w:r w:rsidRPr="007512B7">
              <w:rPr>
                <w:rFonts w:ascii="Arial" w:hAnsi="Arial" w:cs="Arial"/>
                <w:i/>
              </w:rPr>
              <w:t>n</w:t>
            </w:r>
            <w:r w:rsidRPr="007512B7">
              <w:rPr>
                <w:rFonts w:ascii="Arial" w:hAnsi="Arial" w:cs="Arial"/>
              </w:rPr>
              <w:t xml:space="preserve">=10/sex/group), 0, 1000, 3000, 10000 ppm (equivalent to 58/60, 168/180, 585/632 mg/kg </w:t>
            </w:r>
            <w:proofErr w:type="spellStart"/>
            <w:r w:rsidRPr="007512B7">
              <w:rPr>
                <w:rFonts w:ascii="Arial" w:hAnsi="Arial" w:cs="Arial"/>
              </w:rPr>
              <w:t>bw</w:t>
            </w:r>
            <w:proofErr w:type="spellEnd"/>
            <w:r w:rsidRPr="007512B7">
              <w:rPr>
                <w:rFonts w:ascii="Arial" w:hAnsi="Arial" w:cs="Arial"/>
              </w:rPr>
              <w:t xml:space="preserve">/day in </w:t>
            </w:r>
            <w:r w:rsidRPr="007512B7">
              <w:rPr>
                <w:rFonts w:ascii="Arial" w:eastAsia="Cambria" w:hAnsi="Arial" w:cs="Arial"/>
                <w:kern w:val="0"/>
              </w:rPr>
              <w:t>♂/♀</w:t>
            </w:r>
            <w:r w:rsidRPr="007512B7">
              <w:rPr>
                <w:rFonts w:ascii="Arial" w:hAnsi="Arial" w:cs="Arial"/>
              </w:rPr>
              <w:t>)</w:t>
            </w:r>
          </w:p>
          <w:p w14:paraId="731E434A" w14:textId="77777777" w:rsidR="003F2CEC" w:rsidRPr="007512B7" w:rsidRDefault="003F2CEC" w:rsidP="00E07077">
            <w:pPr>
              <w:pStyle w:val="Tabletextleft"/>
              <w:rPr>
                <w:rFonts w:ascii="Arial" w:hAnsi="Arial" w:cs="Arial"/>
              </w:rPr>
            </w:pPr>
            <w:r w:rsidRPr="007512B7">
              <w:rPr>
                <w:rFonts w:ascii="Arial" w:hAnsi="Arial" w:cs="Arial"/>
              </w:rPr>
              <w:t xml:space="preserve">Two years (beginning on GD6 in </w:t>
            </w:r>
            <w:r w:rsidRPr="007512B7">
              <w:rPr>
                <w:rFonts w:ascii="Arial" w:eastAsia="Cambria" w:hAnsi="Arial" w:cs="Arial"/>
                <w:kern w:val="0"/>
              </w:rPr>
              <w:t>♀</w:t>
            </w:r>
            <w:r w:rsidRPr="007512B7">
              <w:rPr>
                <w:rFonts w:ascii="Arial" w:hAnsi="Arial" w:cs="Arial"/>
              </w:rPr>
              <w:t>)</w:t>
            </w:r>
          </w:p>
        </w:tc>
        <w:tc>
          <w:tcPr>
            <w:tcW w:w="5226" w:type="dxa"/>
            <w:tcBorders>
              <w:top w:val="single" w:sz="4" w:space="0" w:color="auto"/>
              <w:left w:val="single" w:sz="4" w:space="0" w:color="auto"/>
              <w:bottom w:val="single" w:sz="4" w:space="0" w:color="auto"/>
            </w:tcBorders>
            <w:vAlign w:val="center"/>
          </w:tcPr>
          <w:p w14:paraId="6B085369" w14:textId="77777777" w:rsidR="003F2CEC" w:rsidRPr="007512B7" w:rsidRDefault="003F2CEC" w:rsidP="00E07077">
            <w:pPr>
              <w:pStyle w:val="Tabletextleft"/>
              <w:rPr>
                <w:rFonts w:ascii="Arial" w:eastAsia="Cambria" w:hAnsi="Arial" w:cs="Arial"/>
                <w:kern w:val="0"/>
              </w:rPr>
            </w:pPr>
            <w:r w:rsidRPr="007512B7">
              <w:rPr>
                <w:rFonts w:ascii="Arial" w:hAnsi="Arial" w:cs="Arial"/>
              </w:rPr>
              <w:t xml:space="preserve">Mice: ↑ lesions in the bone marrow, spleen, and kidney of both sexes and in the liver in </w:t>
            </w:r>
            <w:r w:rsidRPr="007512B7">
              <w:rPr>
                <w:rFonts w:ascii="Arial" w:eastAsia="Cambria" w:hAnsi="Arial" w:cs="Arial"/>
                <w:kern w:val="0"/>
              </w:rPr>
              <w:t>♂</w:t>
            </w:r>
          </w:p>
          <w:p w14:paraId="3974C1C8" w14:textId="77777777" w:rsidR="003F2CEC" w:rsidRPr="007512B7" w:rsidRDefault="003F2CEC" w:rsidP="00E07077">
            <w:pPr>
              <w:pStyle w:val="Tabletextleft"/>
              <w:rPr>
                <w:rFonts w:ascii="Arial" w:hAnsi="Arial" w:cs="Arial"/>
              </w:rPr>
            </w:pPr>
          </w:p>
          <w:p w14:paraId="4F3AD904" w14:textId="77777777" w:rsidR="003F2CEC" w:rsidRPr="007512B7" w:rsidRDefault="003F2CEC" w:rsidP="00E07077">
            <w:pPr>
              <w:pStyle w:val="Tabletextleft"/>
              <w:rPr>
                <w:rFonts w:ascii="Arial" w:hAnsi="Arial" w:cs="Arial"/>
              </w:rPr>
            </w:pPr>
          </w:p>
          <w:p w14:paraId="1FA4539C" w14:textId="77777777" w:rsidR="003F2CEC" w:rsidRPr="007512B7" w:rsidRDefault="003F2CEC" w:rsidP="00E07077">
            <w:pPr>
              <w:pStyle w:val="Tabletextleft"/>
              <w:rPr>
                <w:rFonts w:ascii="Arial" w:hAnsi="Arial" w:cs="Arial"/>
              </w:rPr>
            </w:pPr>
          </w:p>
          <w:p w14:paraId="7E284363" w14:textId="77777777" w:rsidR="003F2CEC" w:rsidRPr="007512B7" w:rsidRDefault="003F2CEC" w:rsidP="00E07077">
            <w:pPr>
              <w:pStyle w:val="Tabletextleft"/>
              <w:rPr>
                <w:rFonts w:ascii="Arial" w:hAnsi="Arial" w:cs="Arial"/>
              </w:rPr>
            </w:pPr>
          </w:p>
          <w:p w14:paraId="69AE2440" w14:textId="77777777" w:rsidR="003F2CEC" w:rsidRPr="007512B7" w:rsidRDefault="003F2CEC" w:rsidP="00E07077">
            <w:pPr>
              <w:pStyle w:val="Tabletextleft"/>
              <w:rPr>
                <w:rFonts w:ascii="Arial" w:hAnsi="Arial" w:cs="Arial"/>
              </w:rPr>
            </w:pPr>
            <w:r w:rsidRPr="007512B7">
              <w:rPr>
                <w:rFonts w:ascii="Arial" w:hAnsi="Arial" w:cs="Arial"/>
              </w:rPr>
              <w:t xml:space="preserve">Rats: ↑ incidence of brain and spinal cord malignant meningiomas at 3000 ppm in </w:t>
            </w:r>
            <w:r w:rsidRPr="007512B7">
              <w:rPr>
                <w:rFonts w:ascii="Arial" w:eastAsia="Cambria" w:hAnsi="Arial" w:cs="Arial"/>
                <w:kern w:val="0"/>
              </w:rPr>
              <w:t>♂</w:t>
            </w:r>
            <w:r w:rsidRPr="007512B7">
              <w:rPr>
                <w:rFonts w:ascii="Arial" w:hAnsi="Arial" w:cs="Arial"/>
              </w:rPr>
              <w:t xml:space="preserve"> and thyroid C-cell adenomas at 3000 ppm) and uterine stromal polyps at 3000 ppm in </w:t>
            </w:r>
            <w:r w:rsidRPr="007512B7">
              <w:rPr>
                <w:rFonts w:ascii="Arial" w:eastAsia="Cambria" w:hAnsi="Arial" w:cs="Arial"/>
                <w:kern w:val="0"/>
              </w:rPr>
              <w:t xml:space="preserve">♀ </w:t>
            </w:r>
            <w:r w:rsidRPr="007512B7">
              <w:rPr>
                <w:rFonts w:ascii="Arial" w:hAnsi="Arial" w:cs="Arial"/>
              </w:rPr>
              <w:t xml:space="preserve">without any dose-response relationship. </w:t>
            </w:r>
          </w:p>
          <w:p w14:paraId="58B18BAE" w14:textId="77777777" w:rsidR="003F2CEC" w:rsidRPr="007512B7" w:rsidRDefault="003F2CEC" w:rsidP="00E07077">
            <w:pPr>
              <w:pStyle w:val="Tabletextleft"/>
              <w:rPr>
                <w:rFonts w:ascii="Arial" w:hAnsi="Arial" w:cs="Arial"/>
              </w:rPr>
            </w:pPr>
            <w:r w:rsidRPr="007512B7">
              <w:rPr>
                <w:rFonts w:ascii="Arial" w:hAnsi="Arial" w:cs="Arial"/>
              </w:rPr>
              <w:t xml:space="preserve">These findings are considered equivocal evidence of carcinogenicity. </w:t>
            </w:r>
          </w:p>
        </w:tc>
      </w:tr>
      <w:tr w:rsidR="003F2CEC" w:rsidRPr="007512B7" w14:paraId="073A0F11" w14:textId="77777777" w:rsidTr="00E07077">
        <w:trPr>
          <w:cantSplit/>
          <w:trHeight w:val="284"/>
          <w:jc w:val="center"/>
        </w:trPr>
        <w:tc>
          <w:tcPr>
            <w:tcW w:w="1691" w:type="dxa"/>
            <w:tcBorders>
              <w:right w:val="single" w:sz="4" w:space="0" w:color="auto"/>
            </w:tcBorders>
            <w:vAlign w:val="center"/>
          </w:tcPr>
          <w:p w14:paraId="2FD56D50" w14:textId="77777777" w:rsidR="003F2CEC" w:rsidRPr="007512B7" w:rsidRDefault="003F2CEC" w:rsidP="00E07077">
            <w:pPr>
              <w:pStyle w:val="Tabletextleft"/>
              <w:rPr>
                <w:rFonts w:ascii="Arial" w:hAnsi="Arial" w:cs="Arial"/>
              </w:rPr>
            </w:pPr>
            <w:proofErr w:type="spellStart"/>
            <w:r w:rsidRPr="007512B7">
              <w:rPr>
                <w:rFonts w:ascii="Arial" w:hAnsi="Arial" w:cs="Arial"/>
              </w:rPr>
              <w:t>Phenylbenzimidazole</w:t>
            </w:r>
            <w:proofErr w:type="spellEnd"/>
            <w:r w:rsidRPr="007512B7">
              <w:rPr>
                <w:rFonts w:ascii="Arial" w:hAnsi="Arial" w:cs="Arial"/>
              </w:rPr>
              <w:t xml:space="preserve"> sulfonic acid</w:t>
            </w:r>
          </w:p>
        </w:tc>
        <w:tc>
          <w:tcPr>
            <w:tcW w:w="2552" w:type="dxa"/>
            <w:tcBorders>
              <w:top w:val="single" w:sz="4" w:space="0" w:color="auto"/>
              <w:right w:val="single" w:sz="4" w:space="0" w:color="auto"/>
            </w:tcBorders>
            <w:tcMar>
              <w:top w:w="57" w:type="dxa"/>
              <w:left w:w="57" w:type="dxa"/>
              <w:bottom w:w="57" w:type="dxa"/>
              <w:right w:w="57" w:type="dxa"/>
            </w:tcMar>
            <w:vAlign w:val="center"/>
          </w:tcPr>
          <w:p w14:paraId="29CF5EE5" w14:textId="77777777" w:rsidR="003F2CEC" w:rsidRPr="007512B7" w:rsidRDefault="003F2CEC" w:rsidP="00E07077">
            <w:pPr>
              <w:pStyle w:val="Tabletextleft"/>
              <w:rPr>
                <w:rFonts w:ascii="Arial" w:hAnsi="Arial" w:cs="Arial"/>
              </w:rPr>
            </w:pPr>
            <w:r w:rsidRPr="007512B7">
              <w:rPr>
                <w:rFonts w:ascii="Arial" w:hAnsi="Arial" w:cs="Arial"/>
              </w:rPr>
              <w:t>–</w:t>
            </w:r>
          </w:p>
        </w:tc>
        <w:tc>
          <w:tcPr>
            <w:tcW w:w="5226" w:type="dxa"/>
            <w:tcBorders>
              <w:top w:val="single" w:sz="4" w:space="0" w:color="auto"/>
              <w:left w:val="single" w:sz="4" w:space="0" w:color="auto"/>
            </w:tcBorders>
            <w:vAlign w:val="center"/>
          </w:tcPr>
          <w:p w14:paraId="13783FF3" w14:textId="77777777" w:rsidR="003F2CEC" w:rsidRPr="007512B7" w:rsidRDefault="003F2CEC" w:rsidP="00E07077">
            <w:pPr>
              <w:pStyle w:val="Tabletextleft"/>
              <w:rPr>
                <w:rFonts w:ascii="Arial" w:hAnsi="Arial" w:cs="Arial"/>
              </w:rPr>
            </w:pPr>
            <w:r w:rsidRPr="007512B7">
              <w:rPr>
                <w:rFonts w:ascii="Arial" w:hAnsi="Arial" w:cs="Arial"/>
              </w:rPr>
              <w:t xml:space="preserve">No data </w:t>
            </w:r>
          </w:p>
        </w:tc>
      </w:tr>
    </w:tbl>
    <w:p w14:paraId="5960C515" w14:textId="77777777" w:rsidR="003F2CEC" w:rsidRDefault="003F2CEC" w:rsidP="003F2CEC">
      <w:pPr>
        <w:pStyle w:val="WhiteSpace"/>
      </w:pPr>
    </w:p>
    <w:p w14:paraId="7075A286" w14:textId="77777777" w:rsidR="003F2CEC" w:rsidRPr="00922EBF" w:rsidRDefault="003F2CEC" w:rsidP="003F2CEC">
      <w:pPr>
        <w:pStyle w:val="WhiteSpace"/>
      </w:pPr>
    </w:p>
    <w:p w14:paraId="6BE8DE19" w14:textId="77777777" w:rsidR="003F2CEC" w:rsidRDefault="003F2CEC" w:rsidP="003F2CEC">
      <w:pPr>
        <w:pStyle w:val="Heading4"/>
      </w:pPr>
      <w:bookmarkStart w:id="78" w:name="_Toc190944918"/>
      <w:bookmarkStart w:id="79" w:name="_Toc199254955"/>
      <w:r w:rsidRPr="0074486E">
        <w:t>Reproductive and developmental studies</w:t>
      </w:r>
      <w:bookmarkEnd w:id="74"/>
      <w:bookmarkEnd w:id="75"/>
      <w:bookmarkEnd w:id="76"/>
      <w:bookmarkEnd w:id="77"/>
      <w:bookmarkEnd w:id="78"/>
      <w:bookmarkEnd w:id="79"/>
    </w:p>
    <w:p w14:paraId="5F9D42D1" w14:textId="77777777" w:rsidR="003F2CEC" w:rsidRDefault="003F2CEC" w:rsidP="007512B7">
      <w:r>
        <w:t>A summary of reproductive and developmental toxicity studies for each sunscreen ingredient is shown in the table below.</w:t>
      </w:r>
    </w:p>
    <w:p w14:paraId="2F192EC2" w14:textId="77777777" w:rsidR="003F2CEC" w:rsidRDefault="003F2CEC" w:rsidP="007512B7">
      <w:pPr>
        <w:rPr>
          <w:b/>
          <w:bCs/>
          <w:sz w:val="22"/>
          <w:szCs w:val="22"/>
        </w:rPr>
      </w:pPr>
    </w:p>
    <w:p w14:paraId="7423925A" w14:textId="77777777" w:rsidR="003F2CEC" w:rsidRPr="00922EBF" w:rsidRDefault="003F2CEC" w:rsidP="007512B7">
      <w:pPr>
        <w:pStyle w:val="Tabletitle"/>
      </w:pPr>
      <w:r>
        <w:t>Table 3-9. Summary of reproductive and developmental toxicity studies with sunscreen ingredients</w:t>
      </w:r>
    </w:p>
    <w:tbl>
      <w:tblPr>
        <w:tblW w:w="9543" w:type="dxa"/>
        <w:jc w:val="cente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Layout w:type="fixed"/>
        <w:tblCellMar>
          <w:top w:w="28" w:type="dxa"/>
          <w:left w:w="85" w:type="dxa"/>
          <w:bottom w:w="28" w:type="dxa"/>
          <w:right w:w="85" w:type="dxa"/>
        </w:tblCellMar>
        <w:tblLook w:val="0000" w:firstRow="0" w:lastRow="0" w:firstColumn="0" w:lastColumn="0" w:noHBand="0" w:noVBand="0"/>
      </w:tblPr>
      <w:tblGrid>
        <w:gridCol w:w="1482"/>
        <w:gridCol w:w="2835"/>
        <w:gridCol w:w="5226"/>
      </w:tblGrid>
      <w:tr w:rsidR="003F2CEC" w:rsidRPr="0074486E" w14:paraId="3CCDA21F" w14:textId="77777777" w:rsidTr="007512B7">
        <w:trPr>
          <w:trHeight w:val="227"/>
          <w:tblHeader/>
          <w:jc w:val="center"/>
        </w:trPr>
        <w:tc>
          <w:tcPr>
            <w:tcW w:w="1482" w:type="dxa"/>
            <w:shd w:val="clear" w:color="auto" w:fill="B8CCEA"/>
          </w:tcPr>
          <w:p w14:paraId="13B28AA6" w14:textId="77777777" w:rsidR="003F2CEC" w:rsidRPr="007512B7" w:rsidRDefault="003F2CEC" w:rsidP="00E07077">
            <w:pPr>
              <w:pStyle w:val="TableHeader"/>
              <w:rPr>
                <w:rFonts w:asciiTheme="minorHAnsi" w:hAnsiTheme="minorHAnsi" w:cstheme="minorHAnsi"/>
                <w:color w:val="263287"/>
                <w:sz w:val="20"/>
                <w:szCs w:val="20"/>
              </w:rPr>
            </w:pPr>
            <w:r w:rsidRPr="007512B7">
              <w:rPr>
                <w:rFonts w:asciiTheme="minorHAnsi" w:hAnsiTheme="minorHAnsi" w:cstheme="minorHAnsi"/>
                <w:color w:val="263287"/>
                <w:sz w:val="20"/>
                <w:szCs w:val="20"/>
              </w:rPr>
              <w:t xml:space="preserve">Active ingredient </w:t>
            </w:r>
          </w:p>
        </w:tc>
        <w:tc>
          <w:tcPr>
            <w:tcW w:w="2835" w:type="dxa"/>
            <w:shd w:val="clear" w:color="auto" w:fill="B8CCEA"/>
            <w:tcMar>
              <w:top w:w="57" w:type="dxa"/>
              <w:bottom w:w="57" w:type="dxa"/>
            </w:tcMar>
            <w:vAlign w:val="center"/>
          </w:tcPr>
          <w:p w14:paraId="437DB0D6" w14:textId="77777777" w:rsidR="003F2CEC" w:rsidRPr="007512B7" w:rsidRDefault="003F2CEC" w:rsidP="00E07077">
            <w:pPr>
              <w:pStyle w:val="TableHeader"/>
              <w:rPr>
                <w:rFonts w:asciiTheme="minorHAnsi" w:hAnsiTheme="minorHAnsi" w:cstheme="minorHAnsi"/>
                <w:color w:val="263287"/>
                <w:sz w:val="20"/>
                <w:szCs w:val="20"/>
              </w:rPr>
            </w:pPr>
            <w:r w:rsidRPr="007512B7">
              <w:rPr>
                <w:rFonts w:asciiTheme="minorHAnsi" w:hAnsiTheme="minorHAnsi" w:cstheme="minorHAnsi"/>
                <w:color w:val="263287"/>
                <w:sz w:val="20"/>
                <w:szCs w:val="20"/>
              </w:rPr>
              <w:t>Study details</w:t>
            </w:r>
          </w:p>
        </w:tc>
        <w:tc>
          <w:tcPr>
            <w:tcW w:w="5226" w:type="dxa"/>
            <w:shd w:val="clear" w:color="auto" w:fill="B8CCEA"/>
            <w:tcMar>
              <w:top w:w="57" w:type="dxa"/>
              <w:bottom w:w="57" w:type="dxa"/>
            </w:tcMar>
            <w:vAlign w:val="center"/>
          </w:tcPr>
          <w:p w14:paraId="47F5D3DD" w14:textId="77777777" w:rsidR="003F2CEC" w:rsidRPr="007512B7" w:rsidRDefault="003F2CEC" w:rsidP="00E07077">
            <w:pPr>
              <w:pStyle w:val="TableHeader"/>
              <w:rPr>
                <w:rFonts w:asciiTheme="minorHAnsi" w:hAnsiTheme="minorHAnsi" w:cstheme="minorHAnsi"/>
                <w:color w:val="263287"/>
                <w:sz w:val="20"/>
                <w:szCs w:val="20"/>
              </w:rPr>
            </w:pPr>
            <w:r w:rsidRPr="007512B7">
              <w:rPr>
                <w:rFonts w:asciiTheme="minorHAnsi" w:hAnsiTheme="minorHAnsi" w:cstheme="minorHAnsi"/>
                <w:color w:val="263287"/>
                <w:sz w:val="20"/>
                <w:szCs w:val="20"/>
              </w:rPr>
              <w:t>Major findings</w:t>
            </w:r>
          </w:p>
        </w:tc>
      </w:tr>
      <w:tr w:rsidR="003F2CEC" w:rsidRPr="0074486E" w14:paraId="3561DFB3" w14:textId="77777777" w:rsidTr="007512B7">
        <w:trPr>
          <w:trHeight w:val="1014"/>
          <w:jc w:val="center"/>
        </w:trPr>
        <w:tc>
          <w:tcPr>
            <w:tcW w:w="1482" w:type="dxa"/>
            <w:vMerge w:val="restart"/>
            <w:vAlign w:val="center"/>
          </w:tcPr>
          <w:p w14:paraId="37D15B20"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Butyl </w:t>
            </w:r>
            <w:proofErr w:type="spellStart"/>
            <w:r w:rsidRPr="007512B7">
              <w:rPr>
                <w:rFonts w:asciiTheme="minorHAnsi" w:hAnsiTheme="minorHAnsi" w:cstheme="minorHAnsi"/>
              </w:rPr>
              <w:t>methoxydibenzoylmethane</w:t>
            </w:r>
            <w:proofErr w:type="spellEnd"/>
            <w:r w:rsidRPr="007512B7">
              <w:rPr>
                <w:rFonts w:asciiTheme="minorHAnsi" w:hAnsiTheme="minorHAnsi" w:cstheme="minorHAnsi"/>
              </w:rPr>
              <w:t xml:space="preserve"> </w:t>
            </w:r>
          </w:p>
          <w:p w14:paraId="75A1A89F"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(ECHA 2021a;</w:t>
            </w:r>
            <w:r w:rsidRPr="007512B7">
              <w:rPr>
                <w:rFonts w:asciiTheme="minorHAnsi" w:hAnsiTheme="minorHAnsi" w:cstheme="minorHAnsi"/>
                <w:b/>
                <w:kern w:val="0"/>
              </w:rPr>
              <w:t xml:space="preserve"> </w:t>
            </w:r>
            <w:r w:rsidRPr="007512B7">
              <w:rPr>
                <w:rFonts w:asciiTheme="minorHAnsi" w:hAnsiTheme="minorHAnsi" w:cstheme="minorHAnsi"/>
              </w:rPr>
              <w:t xml:space="preserve">DEPA 2015)  </w:t>
            </w:r>
          </w:p>
        </w:tc>
        <w:tc>
          <w:tcPr>
            <w:tcW w:w="2835" w:type="dxa"/>
            <w:tcMar>
              <w:top w:w="57" w:type="dxa"/>
              <w:left w:w="57" w:type="dxa"/>
              <w:bottom w:w="57" w:type="dxa"/>
              <w:right w:w="57" w:type="dxa"/>
            </w:tcMar>
            <w:vAlign w:val="center"/>
          </w:tcPr>
          <w:p w14:paraId="7C5ABE94" w14:textId="343092B2" w:rsidR="003F2CEC" w:rsidRPr="007512B7" w:rsidRDefault="003F2CEC" w:rsidP="00BA4549">
            <w:pPr>
              <w:pStyle w:val="Tabletextleft"/>
              <w:rPr>
                <w:rFonts w:asciiTheme="minorHAnsi" w:hAnsiTheme="minorHAnsi" w:cstheme="minorHAnsi"/>
              </w:rPr>
            </w:pPr>
            <w:r w:rsidRPr="007512B7">
              <w:rPr>
                <w:rFonts w:asciiTheme="minorHAnsi" w:hAnsiTheme="minorHAnsi" w:cstheme="minorHAnsi"/>
              </w:rPr>
              <w:t xml:space="preserve">Rats at 0, 250, 500 and 1000 mg/kg </w:t>
            </w:r>
            <w:proofErr w:type="spellStart"/>
            <w:r w:rsidRPr="007512B7">
              <w:rPr>
                <w:rFonts w:asciiTheme="minorHAnsi" w:hAnsiTheme="minorHAnsi" w:cstheme="minorHAnsi"/>
              </w:rPr>
              <w:t>bw</w:t>
            </w:r>
            <w:proofErr w:type="spellEnd"/>
            <w:r w:rsidRPr="007512B7">
              <w:rPr>
                <w:rFonts w:asciiTheme="minorHAnsi" w:hAnsiTheme="minorHAnsi" w:cstheme="minorHAnsi"/>
              </w:rPr>
              <w:t>/day (oral gavage), GD 7 -16.</w:t>
            </w:r>
          </w:p>
        </w:tc>
        <w:tc>
          <w:tcPr>
            <w:tcW w:w="5226" w:type="dxa"/>
            <w:vAlign w:val="center"/>
          </w:tcPr>
          <w:p w14:paraId="404E39E3"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No treatment-related skeletal malformations were observed. One pup with two fused sternal elements was seen at LD. A slight increase of incised neural arches and </w:t>
            </w:r>
            <w:proofErr w:type="spellStart"/>
            <w:r w:rsidRPr="007512B7">
              <w:rPr>
                <w:rFonts w:asciiTheme="minorHAnsi" w:hAnsiTheme="minorHAnsi" w:cstheme="minorHAnsi"/>
              </w:rPr>
              <w:t>sternebrae</w:t>
            </w:r>
            <w:proofErr w:type="spellEnd"/>
            <w:r w:rsidRPr="007512B7">
              <w:rPr>
                <w:rFonts w:asciiTheme="minorHAnsi" w:hAnsiTheme="minorHAnsi" w:cstheme="minorHAnsi"/>
              </w:rPr>
              <w:t xml:space="preserve"> was seen at 500 mg/kg/day. The soft tissue examination displayed one </w:t>
            </w:r>
            <w:proofErr w:type="spellStart"/>
            <w:r w:rsidRPr="007512B7">
              <w:rPr>
                <w:rFonts w:asciiTheme="minorHAnsi" w:hAnsiTheme="minorHAnsi" w:cstheme="minorHAnsi"/>
              </w:rPr>
              <w:t>fetus</w:t>
            </w:r>
            <w:proofErr w:type="spellEnd"/>
            <w:r w:rsidRPr="007512B7">
              <w:rPr>
                <w:rFonts w:asciiTheme="minorHAnsi" w:hAnsiTheme="minorHAnsi" w:cstheme="minorHAnsi"/>
              </w:rPr>
              <w:t xml:space="preserve"> of the 500 mg/kg dose group with unilateral missing ovarium and uterus. No effects were considered treatment related in the absence of dose dependence. In the rearing group, all measured parameters were well comparable to concurrent control group values.</w:t>
            </w:r>
          </w:p>
          <w:p w14:paraId="140F98B4"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Maternal and developmental NOAEL: 1000 mg/kg </w:t>
            </w:r>
            <w:proofErr w:type="spellStart"/>
            <w:r w:rsidRPr="007512B7">
              <w:rPr>
                <w:rFonts w:asciiTheme="minorHAnsi" w:hAnsiTheme="minorHAnsi" w:cstheme="minorHAnsi"/>
              </w:rPr>
              <w:t>bw</w:t>
            </w:r>
            <w:proofErr w:type="spellEnd"/>
            <w:r w:rsidRPr="007512B7">
              <w:rPr>
                <w:rFonts w:asciiTheme="minorHAnsi" w:hAnsiTheme="minorHAnsi" w:cstheme="minorHAnsi"/>
              </w:rPr>
              <w:t>/day.</w:t>
            </w:r>
          </w:p>
        </w:tc>
      </w:tr>
      <w:tr w:rsidR="003F2CEC" w:rsidRPr="0074486E" w14:paraId="29BB6D7B" w14:textId="77777777" w:rsidTr="007512B7">
        <w:trPr>
          <w:trHeight w:val="1013"/>
          <w:jc w:val="center"/>
        </w:trPr>
        <w:tc>
          <w:tcPr>
            <w:tcW w:w="1482" w:type="dxa"/>
            <w:vMerge/>
            <w:vAlign w:val="center"/>
          </w:tcPr>
          <w:p w14:paraId="06CF933F" w14:textId="77777777" w:rsidR="003F2CEC" w:rsidRPr="007512B7" w:rsidRDefault="003F2CEC" w:rsidP="00E07077">
            <w:pPr>
              <w:pStyle w:val="Tabletextleft"/>
              <w:rPr>
                <w:rFonts w:asciiTheme="minorHAnsi" w:hAnsiTheme="minorHAnsi" w:cstheme="minorHAnsi"/>
              </w:rPr>
            </w:pPr>
          </w:p>
        </w:tc>
        <w:tc>
          <w:tcPr>
            <w:tcW w:w="2835" w:type="dxa"/>
            <w:tcMar>
              <w:top w:w="57" w:type="dxa"/>
              <w:left w:w="57" w:type="dxa"/>
              <w:bottom w:w="57" w:type="dxa"/>
              <w:right w:w="57" w:type="dxa"/>
            </w:tcMar>
            <w:vAlign w:val="center"/>
          </w:tcPr>
          <w:p w14:paraId="64509AB9"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Rabbits, single dose of 500 mg/kg </w:t>
            </w:r>
            <w:proofErr w:type="spellStart"/>
            <w:r w:rsidRPr="007512B7">
              <w:rPr>
                <w:rFonts w:asciiTheme="minorHAnsi" w:hAnsiTheme="minorHAnsi" w:cstheme="minorHAnsi"/>
              </w:rPr>
              <w:t>bw</w:t>
            </w:r>
            <w:proofErr w:type="spellEnd"/>
            <w:r w:rsidRPr="007512B7">
              <w:rPr>
                <w:rFonts w:asciiTheme="minorHAnsi" w:hAnsiTheme="minorHAnsi" w:cstheme="minorHAnsi"/>
              </w:rPr>
              <w:t>/day GD 7-19 (oral, daily)</w:t>
            </w:r>
          </w:p>
        </w:tc>
        <w:tc>
          <w:tcPr>
            <w:tcW w:w="5226" w:type="dxa"/>
            <w:vAlign w:val="center"/>
          </w:tcPr>
          <w:p w14:paraId="034C85F3"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  No treatment-related effects or teratogenicity. </w:t>
            </w:r>
          </w:p>
        </w:tc>
      </w:tr>
      <w:tr w:rsidR="003F2CEC" w:rsidRPr="0074486E" w14:paraId="2E2E70A9" w14:textId="77777777" w:rsidTr="007512B7">
        <w:trPr>
          <w:trHeight w:val="2037"/>
          <w:jc w:val="center"/>
        </w:trPr>
        <w:tc>
          <w:tcPr>
            <w:tcW w:w="1482" w:type="dxa"/>
            <w:vMerge w:val="restart"/>
            <w:vAlign w:val="center"/>
          </w:tcPr>
          <w:p w14:paraId="1663D5FD"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Octyl methoxycinnamate</w:t>
            </w:r>
          </w:p>
          <w:p w14:paraId="0F150E46"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(ECHA 2021e)</w:t>
            </w:r>
          </w:p>
        </w:tc>
        <w:tc>
          <w:tcPr>
            <w:tcW w:w="2835" w:type="dxa"/>
            <w:tcMar>
              <w:top w:w="57" w:type="dxa"/>
              <w:left w:w="57" w:type="dxa"/>
              <w:bottom w:w="57" w:type="dxa"/>
              <w:right w:w="57" w:type="dxa"/>
            </w:tcMar>
            <w:vAlign w:val="center"/>
          </w:tcPr>
          <w:p w14:paraId="35D15238" w14:textId="46787920"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Rats (Wistar); </w:t>
            </w:r>
            <w:r w:rsidRPr="007512B7">
              <w:rPr>
                <w:rFonts w:asciiTheme="minorHAnsi" w:hAnsiTheme="minorHAnsi" w:cstheme="minorHAnsi"/>
                <w:i/>
              </w:rPr>
              <w:t>n</w:t>
            </w:r>
            <w:r w:rsidRPr="007512B7">
              <w:rPr>
                <w:rFonts w:asciiTheme="minorHAnsi" w:hAnsiTheme="minorHAnsi" w:cstheme="minorHAnsi"/>
              </w:rPr>
              <w:t xml:space="preserve"> = 25/sex/dose. 0, 150, 450 or 1000 mg/kg </w:t>
            </w:r>
            <w:proofErr w:type="spellStart"/>
            <w:r w:rsidRPr="007512B7">
              <w:rPr>
                <w:rFonts w:asciiTheme="minorHAnsi" w:hAnsiTheme="minorHAnsi" w:cstheme="minorHAnsi"/>
              </w:rPr>
              <w:t>bw</w:t>
            </w:r>
            <w:proofErr w:type="spellEnd"/>
            <w:r w:rsidRPr="007512B7">
              <w:rPr>
                <w:rFonts w:asciiTheme="minorHAnsi" w:hAnsiTheme="minorHAnsi" w:cstheme="minorHAnsi"/>
              </w:rPr>
              <w:t xml:space="preserve">/day </w:t>
            </w:r>
            <w:r w:rsidRPr="007512B7">
              <w:rPr>
                <w:rFonts w:asciiTheme="minorHAnsi" w:hAnsiTheme="minorHAnsi" w:cstheme="minorHAnsi"/>
              </w:rPr>
              <w:br/>
              <w:t xml:space="preserve">(oral), The parental (F0) generation was exposed throughout premating period (73 days), mating (21 days), gestation (21 days), and up to weaning of the F1 offspring (21 days). The duration of exposure for the F1 generation was </w:t>
            </w:r>
            <w:proofErr w:type="gramStart"/>
            <w:r w:rsidRPr="007512B7">
              <w:rPr>
                <w:rFonts w:asciiTheme="minorHAnsi" w:hAnsiTheme="minorHAnsi" w:cstheme="minorHAnsi"/>
              </w:rPr>
              <w:t>similar to</w:t>
            </w:r>
            <w:proofErr w:type="gramEnd"/>
            <w:r w:rsidRPr="007512B7">
              <w:rPr>
                <w:rFonts w:asciiTheme="minorHAnsi" w:hAnsiTheme="minorHAnsi" w:cstheme="minorHAnsi"/>
              </w:rPr>
              <w:t xml:space="preserve"> F0.</w:t>
            </w:r>
          </w:p>
        </w:tc>
        <w:tc>
          <w:tcPr>
            <w:tcW w:w="5226" w:type="dxa"/>
            <w:vAlign w:val="center"/>
          </w:tcPr>
          <w:p w14:paraId="3A4C106D"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No adverse effects were observed on oestrous cycles, sperm and follicle parameters, mating, fertility, morphology and motility, gestation and parturition. </w:t>
            </w:r>
          </w:p>
          <w:p w14:paraId="131EF686"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food consumption and body weight, ↑ liver weight and hepatic cytoplasmic eosinophilia related to hepatic enzyme induction, and ↑ ulceration of the glandular stomach mucosa at HD.</w:t>
            </w:r>
          </w:p>
          <w:p w14:paraId="25E42CC0"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In the offspring, ↓ lactation weight gain and organ weights, and slightly delayed sexual maturation (vaginal opening and preputial separation) at HD. </w:t>
            </w:r>
          </w:p>
          <w:p w14:paraId="3D9592D3"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b/>
                <w:bCs/>
              </w:rPr>
              <w:t xml:space="preserve">NOAEL: 450 mg/kg </w:t>
            </w:r>
            <w:proofErr w:type="spellStart"/>
            <w:r w:rsidRPr="007512B7">
              <w:rPr>
                <w:rFonts w:asciiTheme="minorHAnsi" w:hAnsiTheme="minorHAnsi" w:cstheme="minorHAnsi"/>
                <w:b/>
                <w:bCs/>
              </w:rPr>
              <w:t>bw</w:t>
            </w:r>
            <w:proofErr w:type="spellEnd"/>
            <w:r w:rsidRPr="007512B7">
              <w:rPr>
                <w:rFonts w:asciiTheme="minorHAnsi" w:hAnsiTheme="minorHAnsi" w:cstheme="minorHAnsi"/>
                <w:b/>
                <w:bCs/>
              </w:rPr>
              <w:t>/day</w:t>
            </w:r>
            <w:r w:rsidRPr="007512B7">
              <w:rPr>
                <w:rFonts w:asciiTheme="minorHAnsi" w:hAnsiTheme="minorHAnsi" w:cstheme="minorHAnsi"/>
              </w:rPr>
              <w:t xml:space="preserve"> for fertility and reproduction parameters, and for systemic parental and developmental toxicity (Schneider </w:t>
            </w:r>
            <w:r w:rsidRPr="007512B7">
              <w:rPr>
                <w:rFonts w:asciiTheme="minorHAnsi" w:hAnsiTheme="minorHAnsi" w:cstheme="minorHAnsi"/>
                <w:i/>
              </w:rPr>
              <w:t>et al.</w:t>
            </w:r>
            <w:r w:rsidRPr="007512B7">
              <w:rPr>
                <w:rFonts w:asciiTheme="minorHAnsi" w:hAnsiTheme="minorHAnsi" w:cstheme="minorHAnsi"/>
              </w:rPr>
              <w:t xml:space="preserve"> 2005, REACH).</w:t>
            </w:r>
            <w:r w:rsidRPr="007512B7">
              <w:rPr>
                <w:rFonts w:asciiTheme="minorHAnsi" w:hAnsiTheme="minorHAnsi" w:cstheme="minorHAnsi"/>
                <w:vertAlign w:val="superscript"/>
              </w:rPr>
              <w:t xml:space="preserve"> </w:t>
            </w:r>
          </w:p>
        </w:tc>
      </w:tr>
      <w:tr w:rsidR="003F2CEC" w:rsidRPr="0074486E" w14:paraId="26D117FF" w14:textId="77777777" w:rsidTr="007512B7">
        <w:trPr>
          <w:trHeight w:val="284"/>
          <w:jc w:val="center"/>
        </w:trPr>
        <w:tc>
          <w:tcPr>
            <w:tcW w:w="1482" w:type="dxa"/>
            <w:vMerge/>
            <w:vAlign w:val="center"/>
          </w:tcPr>
          <w:p w14:paraId="46A4CC3A" w14:textId="77777777" w:rsidR="003F2CEC" w:rsidRPr="007512B7" w:rsidRDefault="003F2CEC" w:rsidP="00E07077">
            <w:pPr>
              <w:pStyle w:val="Tabletextleft"/>
              <w:rPr>
                <w:rFonts w:asciiTheme="minorHAnsi" w:hAnsiTheme="minorHAnsi" w:cstheme="minorHAnsi"/>
                <w:kern w:val="2"/>
              </w:rPr>
            </w:pPr>
          </w:p>
        </w:tc>
        <w:tc>
          <w:tcPr>
            <w:tcW w:w="2835" w:type="dxa"/>
            <w:tcMar>
              <w:top w:w="57" w:type="dxa"/>
              <w:left w:w="57" w:type="dxa"/>
              <w:bottom w:w="57" w:type="dxa"/>
              <w:right w:w="57" w:type="dxa"/>
            </w:tcMar>
            <w:vAlign w:val="center"/>
          </w:tcPr>
          <w:p w14:paraId="3B3B95D4" w14:textId="16CB9EE3" w:rsidR="003F2CEC" w:rsidRPr="007512B7" w:rsidRDefault="003F2CEC" w:rsidP="00E07077">
            <w:pPr>
              <w:pStyle w:val="Tabletextleft"/>
              <w:rPr>
                <w:rFonts w:asciiTheme="minorHAnsi" w:hAnsiTheme="minorHAnsi" w:cstheme="minorHAnsi"/>
                <w:kern w:val="2"/>
              </w:rPr>
            </w:pPr>
            <w:r w:rsidRPr="007512B7">
              <w:rPr>
                <w:rFonts w:asciiTheme="minorHAnsi" w:hAnsiTheme="minorHAnsi" w:cstheme="minorHAnsi"/>
              </w:rPr>
              <w:t>Pregnant rabbits (</w:t>
            </w:r>
            <w:r w:rsidRPr="007512B7">
              <w:rPr>
                <w:rFonts w:asciiTheme="minorHAnsi" w:hAnsiTheme="minorHAnsi" w:cstheme="minorHAnsi"/>
                <w:i/>
              </w:rPr>
              <w:t>n</w:t>
            </w:r>
            <w:r w:rsidRPr="007512B7">
              <w:rPr>
                <w:rFonts w:asciiTheme="minorHAnsi" w:hAnsiTheme="minorHAnsi" w:cstheme="minorHAnsi"/>
              </w:rPr>
              <w:t xml:space="preserve">=20/dose), 80, 200 or 500 mg/kg </w:t>
            </w:r>
            <w:proofErr w:type="spellStart"/>
            <w:r w:rsidRPr="007512B7">
              <w:rPr>
                <w:rFonts w:asciiTheme="minorHAnsi" w:hAnsiTheme="minorHAnsi" w:cstheme="minorHAnsi"/>
              </w:rPr>
              <w:t>bw</w:t>
            </w:r>
            <w:proofErr w:type="spellEnd"/>
            <w:r w:rsidRPr="007512B7">
              <w:rPr>
                <w:rFonts w:asciiTheme="minorHAnsi" w:hAnsiTheme="minorHAnsi" w:cstheme="minorHAnsi"/>
              </w:rPr>
              <w:t>/day on GD 7–20.</w:t>
            </w:r>
          </w:p>
        </w:tc>
        <w:tc>
          <w:tcPr>
            <w:tcW w:w="5226" w:type="dxa"/>
            <w:vAlign w:val="center"/>
          </w:tcPr>
          <w:p w14:paraId="77EFA7CD"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Reproductive parameters were not affected. Except for a slight reduction of maternal and foetal weight at HD, no abnormality was found. The </w:t>
            </w:r>
            <w:proofErr w:type="spellStart"/>
            <w:r w:rsidRPr="007512B7">
              <w:rPr>
                <w:rFonts w:asciiTheme="minorHAnsi" w:hAnsiTheme="minorHAnsi" w:cstheme="minorHAnsi"/>
              </w:rPr>
              <w:t>fetuses</w:t>
            </w:r>
            <w:proofErr w:type="spellEnd"/>
            <w:r w:rsidRPr="007512B7">
              <w:rPr>
                <w:rFonts w:asciiTheme="minorHAnsi" w:hAnsiTheme="minorHAnsi" w:cstheme="minorHAnsi"/>
              </w:rPr>
              <w:t xml:space="preserve"> did not show any skeletal or visceral abnormalities. ↓ body weight at HD, but within the range of other doses and the controls. </w:t>
            </w:r>
          </w:p>
          <w:p w14:paraId="40054FBF"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NOAELs: 500 mg/kg </w:t>
            </w:r>
            <w:proofErr w:type="spellStart"/>
            <w:r w:rsidRPr="007512B7">
              <w:rPr>
                <w:rFonts w:asciiTheme="minorHAnsi" w:hAnsiTheme="minorHAnsi" w:cstheme="minorHAnsi"/>
              </w:rPr>
              <w:t>bw</w:t>
            </w:r>
            <w:proofErr w:type="spellEnd"/>
            <w:r w:rsidRPr="007512B7">
              <w:rPr>
                <w:rFonts w:asciiTheme="minorHAnsi" w:hAnsiTheme="minorHAnsi" w:cstheme="minorHAnsi"/>
              </w:rPr>
              <w:t>/day (Maternal and developmental).</w:t>
            </w:r>
          </w:p>
        </w:tc>
      </w:tr>
      <w:tr w:rsidR="003F2CEC" w:rsidRPr="0074486E" w14:paraId="10819A6C" w14:textId="77777777" w:rsidTr="007512B7">
        <w:trPr>
          <w:trHeight w:val="284"/>
          <w:jc w:val="center"/>
        </w:trPr>
        <w:tc>
          <w:tcPr>
            <w:tcW w:w="1482" w:type="dxa"/>
            <w:vMerge/>
            <w:vAlign w:val="center"/>
          </w:tcPr>
          <w:p w14:paraId="3E9261A9" w14:textId="77777777" w:rsidR="003F2CEC" w:rsidRPr="007512B7" w:rsidRDefault="003F2CEC" w:rsidP="00E07077">
            <w:pPr>
              <w:pStyle w:val="Tabletextleft"/>
              <w:rPr>
                <w:rFonts w:asciiTheme="minorHAnsi" w:hAnsiTheme="minorHAnsi" w:cstheme="minorHAnsi"/>
                <w:kern w:val="2"/>
              </w:rPr>
            </w:pPr>
          </w:p>
        </w:tc>
        <w:tc>
          <w:tcPr>
            <w:tcW w:w="2835" w:type="dxa"/>
            <w:tcMar>
              <w:top w:w="57" w:type="dxa"/>
              <w:left w:w="57" w:type="dxa"/>
              <w:bottom w:w="57" w:type="dxa"/>
              <w:right w:w="57" w:type="dxa"/>
            </w:tcMar>
            <w:vAlign w:val="center"/>
          </w:tcPr>
          <w:p w14:paraId="10B969F0"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Rats (albino, </w:t>
            </w:r>
            <w:r w:rsidRPr="007512B7">
              <w:rPr>
                <w:rFonts w:asciiTheme="minorHAnsi" w:eastAsia="Cambria" w:hAnsiTheme="minorHAnsi" w:cstheme="minorHAnsi"/>
                <w:kern w:val="0"/>
              </w:rPr>
              <w:t>♀</w:t>
            </w:r>
            <w:r w:rsidRPr="007512B7">
              <w:rPr>
                <w:rFonts w:asciiTheme="minorHAnsi" w:hAnsiTheme="minorHAnsi" w:cstheme="minorHAnsi"/>
              </w:rPr>
              <w:t xml:space="preserve">), single dose of 1000 mg/kg </w:t>
            </w:r>
            <w:proofErr w:type="spellStart"/>
            <w:r w:rsidRPr="007512B7">
              <w:rPr>
                <w:rFonts w:asciiTheme="minorHAnsi" w:hAnsiTheme="minorHAnsi" w:cstheme="minorHAnsi"/>
              </w:rPr>
              <w:t>bw</w:t>
            </w:r>
            <w:proofErr w:type="spellEnd"/>
            <w:r w:rsidRPr="007512B7">
              <w:rPr>
                <w:rFonts w:asciiTheme="minorHAnsi" w:hAnsiTheme="minorHAnsi" w:cstheme="minorHAnsi"/>
              </w:rPr>
              <w:t>/day on GD 7–16 (oral gavage)</w:t>
            </w:r>
          </w:p>
        </w:tc>
        <w:tc>
          <w:tcPr>
            <w:tcW w:w="5226" w:type="dxa"/>
            <w:vAlign w:val="center"/>
          </w:tcPr>
          <w:p w14:paraId="3421D1FD"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No maternal, embryotoxic or teratogenic effects were observed. No other information was provided.</w:t>
            </w:r>
          </w:p>
        </w:tc>
      </w:tr>
      <w:tr w:rsidR="003F2CEC" w:rsidRPr="0074486E" w14:paraId="001C2355" w14:textId="77777777" w:rsidTr="007512B7">
        <w:trPr>
          <w:trHeight w:val="284"/>
          <w:jc w:val="center"/>
        </w:trPr>
        <w:tc>
          <w:tcPr>
            <w:tcW w:w="1482" w:type="dxa"/>
            <w:vMerge/>
            <w:vAlign w:val="center"/>
          </w:tcPr>
          <w:p w14:paraId="570DEDF6" w14:textId="77777777" w:rsidR="003F2CEC" w:rsidRPr="007512B7" w:rsidRDefault="003F2CEC" w:rsidP="00E07077">
            <w:pPr>
              <w:pStyle w:val="Tabletextleft"/>
              <w:rPr>
                <w:rFonts w:asciiTheme="minorHAnsi" w:hAnsiTheme="minorHAnsi" w:cstheme="minorHAnsi"/>
                <w:kern w:val="2"/>
              </w:rPr>
            </w:pPr>
          </w:p>
        </w:tc>
        <w:tc>
          <w:tcPr>
            <w:tcW w:w="2835" w:type="dxa"/>
            <w:tcMar>
              <w:top w:w="57" w:type="dxa"/>
              <w:left w:w="57" w:type="dxa"/>
              <w:bottom w:w="57" w:type="dxa"/>
              <w:right w:w="57" w:type="dxa"/>
            </w:tcMar>
            <w:vAlign w:val="center"/>
          </w:tcPr>
          <w:p w14:paraId="4C6ED035"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NTP-DART-06 (2022b)</w:t>
            </w:r>
          </w:p>
          <w:p w14:paraId="523652ED"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Modified one-generation study</w:t>
            </w:r>
          </w:p>
          <w:p w14:paraId="0918277E"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Rats (SD); </w:t>
            </w:r>
            <w:r w:rsidRPr="007512B7">
              <w:rPr>
                <w:rFonts w:asciiTheme="minorHAnsi" w:hAnsiTheme="minorHAnsi" w:cstheme="minorHAnsi"/>
                <w:i/>
                <w:iCs/>
              </w:rPr>
              <w:t>n</w:t>
            </w:r>
            <w:r w:rsidRPr="007512B7">
              <w:rPr>
                <w:rFonts w:asciiTheme="minorHAnsi" w:hAnsiTheme="minorHAnsi" w:cstheme="minorHAnsi"/>
              </w:rPr>
              <w:t xml:space="preserve">=26/dose; exposure through feed and/or lactation </w:t>
            </w:r>
          </w:p>
          <w:p w14:paraId="7EAFB4A2"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1000, 3000, 6000 ppm (equivalent to 70 to 87, 207-418, 419-842 mg/kg/day) </w:t>
            </w:r>
          </w:p>
          <w:p w14:paraId="35B19CF8"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F</w:t>
            </w:r>
            <w:r w:rsidRPr="007512B7">
              <w:rPr>
                <w:rFonts w:asciiTheme="minorHAnsi" w:hAnsiTheme="minorHAnsi" w:cstheme="minorHAnsi"/>
                <w:vertAlign w:val="subscript"/>
              </w:rPr>
              <w:t xml:space="preserve">0 </w:t>
            </w:r>
            <w:r w:rsidRPr="007512B7">
              <w:rPr>
                <w:rFonts w:asciiTheme="minorHAnsi" w:hAnsiTheme="minorHAnsi" w:cstheme="minorHAnsi"/>
              </w:rPr>
              <w:t xml:space="preserve">dams: GD6 - LD 28 </w:t>
            </w:r>
          </w:p>
          <w:p w14:paraId="79DFA225"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F</w:t>
            </w:r>
            <w:r w:rsidRPr="007512B7">
              <w:rPr>
                <w:rFonts w:asciiTheme="minorHAnsi" w:hAnsiTheme="minorHAnsi" w:cstheme="minorHAnsi"/>
                <w:vertAlign w:val="subscript"/>
              </w:rPr>
              <w:t>1</w:t>
            </w:r>
            <w:r w:rsidRPr="007512B7">
              <w:rPr>
                <w:rFonts w:asciiTheme="minorHAnsi" w:hAnsiTheme="minorHAnsi" w:cstheme="minorHAnsi"/>
              </w:rPr>
              <w:t xml:space="preserve"> offspring were exposed in utero and during lactation through postnatal day (PND) 28 and evaluated for signs of toxicity. After weaning, F</w:t>
            </w:r>
            <w:r w:rsidRPr="007512B7">
              <w:rPr>
                <w:rFonts w:asciiTheme="minorHAnsi" w:hAnsiTheme="minorHAnsi" w:cstheme="minorHAnsi"/>
                <w:vertAlign w:val="subscript"/>
              </w:rPr>
              <w:t>1</w:t>
            </w:r>
            <w:r w:rsidRPr="007512B7">
              <w:rPr>
                <w:rFonts w:asciiTheme="minorHAnsi" w:hAnsiTheme="minorHAnsi" w:cstheme="minorHAnsi"/>
              </w:rPr>
              <w:t xml:space="preserve"> offspring were allocated into prenatal, reproductive performance or </w:t>
            </w:r>
            <w:proofErr w:type="spellStart"/>
            <w:r w:rsidRPr="007512B7">
              <w:rPr>
                <w:rFonts w:asciiTheme="minorHAnsi" w:hAnsiTheme="minorHAnsi" w:cstheme="minorHAnsi"/>
              </w:rPr>
              <w:t>subchronic</w:t>
            </w:r>
            <w:proofErr w:type="spellEnd"/>
            <w:r w:rsidRPr="007512B7">
              <w:rPr>
                <w:rFonts w:asciiTheme="minorHAnsi" w:hAnsiTheme="minorHAnsi" w:cstheme="minorHAnsi"/>
              </w:rPr>
              <w:t xml:space="preserve"> exposure cohorts. Exposure to test article continued in feed until necropsy on PND96, 120 or 150.  </w:t>
            </w:r>
          </w:p>
          <w:p w14:paraId="135C4D4C"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F</w:t>
            </w:r>
            <w:r w:rsidRPr="007512B7">
              <w:rPr>
                <w:rFonts w:asciiTheme="minorHAnsi" w:hAnsiTheme="minorHAnsi" w:cstheme="minorHAnsi"/>
                <w:vertAlign w:val="subscript"/>
              </w:rPr>
              <w:t xml:space="preserve">2 </w:t>
            </w:r>
            <w:r w:rsidRPr="007512B7">
              <w:rPr>
                <w:rFonts w:asciiTheme="minorHAnsi" w:hAnsiTheme="minorHAnsi" w:cstheme="minorHAnsi"/>
              </w:rPr>
              <w:t xml:space="preserve">offspring were exposed in utero, during lactation and postweaning until necropsy on GD21 or PND28. </w:t>
            </w:r>
          </w:p>
        </w:tc>
        <w:tc>
          <w:tcPr>
            <w:tcW w:w="5226" w:type="dxa"/>
            <w:vAlign w:val="center"/>
          </w:tcPr>
          <w:p w14:paraId="570E06CB"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Octyl methoxycinnamate</w:t>
            </w:r>
            <w:r w:rsidRPr="007512B7" w:rsidDel="006C7C32">
              <w:rPr>
                <w:rFonts w:asciiTheme="minorHAnsi" w:hAnsiTheme="minorHAnsi" w:cstheme="minorHAnsi"/>
              </w:rPr>
              <w:t xml:space="preserve"> </w:t>
            </w:r>
            <w:r w:rsidRPr="007512B7">
              <w:rPr>
                <w:rFonts w:asciiTheme="minorHAnsi" w:hAnsiTheme="minorHAnsi" w:cstheme="minorHAnsi"/>
              </w:rPr>
              <w:t>did not induce overt F</w:t>
            </w:r>
            <w:r w:rsidRPr="007512B7">
              <w:rPr>
                <w:rFonts w:asciiTheme="minorHAnsi" w:hAnsiTheme="minorHAnsi" w:cstheme="minorHAnsi"/>
                <w:vertAlign w:val="subscript"/>
              </w:rPr>
              <w:t>0</w:t>
            </w:r>
            <w:r w:rsidRPr="007512B7">
              <w:rPr>
                <w:rFonts w:asciiTheme="minorHAnsi" w:hAnsiTheme="minorHAnsi" w:cstheme="minorHAnsi"/>
              </w:rPr>
              <w:t xml:space="preserve"> or F</w:t>
            </w:r>
            <w:r w:rsidRPr="007512B7">
              <w:rPr>
                <w:rFonts w:asciiTheme="minorHAnsi" w:hAnsiTheme="minorHAnsi" w:cstheme="minorHAnsi"/>
                <w:vertAlign w:val="subscript"/>
              </w:rPr>
              <w:t>1</w:t>
            </w:r>
            <w:r w:rsidRPr="007512B7">
              <w:rPr>
                <w:rFonts w:asciiTheme="minorHAnsi" w:hAnsiTheme="minorHAnsi" w:cstheme="minorHAnsi"/>
              </w:rPr>
              <w:t xml:space="preserve"> maternal toxicity or affected mating or pregnancy indices. Reproductive performance (fertility and fecundity), numbers of live </w:t>
            </w:r>
            <w:proofErr w:type="spellStart"/>
            <w:r w:rsidRPr="007512B7">
              <w:rPr>
                <w:rFonts w:asciiTheme="minorHAnsi" w:hAnsiTheme="minorHAnsi" w:cstheme="minorHAnsi"/>
              </w:rPr>
              <w:t>fetuses</w:t>
            </w:r>
            <w:proofErr w:type="spellEnd"/>
            <w:r w:rsidRPr="007512B7">
              <w:rPr>
                <w:rFonts w:asciiTheme="minorHAnsi" w:hAnsiTheme="minorHAnsi" w:cstheme="minorHAnsi"/>
              </w:rPr>
              <w:t xml:space="preserve"> and pups ware not affected. Octyl methoxycinnamate</w:t>
            </w:r>
            <w:r w:rsidRPr="007512B7" w:rsidDel="00D20A6A">
              <w:rPr>
                <w:rFonts w:asciiTheme="minorHAnsi" w:hAnsiTheme="minorHAnsi" w:cstheme="minorHAnsi"/>
              </w:rPr>
              <w:t xml:space="preserve"> </w:t>
            </w:r>
            <w:r w:rsidRPr="007512B7">
              <w:rPr>
                <w:rFonts w:asciiTheme="minorHAnsi" w:hAnsiTheme="minorHAnsi" w:cstheme="minorHAnsi"/>
              </w:rPr>
              <w:t xml:space="preserve">exposure was not associated with any effects on </w:t>
            </w:r>
            <w:proofErr w:type="spellStart"/>
            <w:r w:rsidRPr="007512B7">
              <w:rPr>
                <w:rFonts w:asciiTheme="minorHAnsi" w:hAnsiTheme="minorHAnsi" w:cstheme="minorHAnsi"/>
              </w:rPr>
              <w:t>fetal</w:t>
            </w:r>
            <w:proofErr w:type="spellEnd"/>
            <w:r w:rsidRPr="007512B7">
              <w:rPr>
                <w:rFonts w:asciiTheme="minorHAnsi" w:hAnsiTheme="minorHAnsi" w:cstheme="minorHAnsi"/>
              </w:rPr>
              <w:t xml:space="preserve"> weight or the incidences of external, visceral, or skeletal malformations. </w:t>
            </w:r>
          </w:p>
          <w:p w14:paraId="50277DB3"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Equivocal evidence of developmental toxicity was observed:</w:t>
            </w:r>
          </w:p>
          <w:p w14:paraId="160E21B5"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Mean pup body weight (F1) at HD</w:t>
            </w:r>
          </w:p>
          <w:p w14:paraId="372FE2E3"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Vaginal opening (F</w:t>
            </w:r>
            <w:r w:rsidRPr="007512B7">
              <w:rPr>
                <w:rFonts w:asciiTheme="minorHAnsi" w:hAnsiTheme="minorHAnsi" w:cstheme="minorHAnsi"/>
                <w:vertAlign w:val="subscript"/>
              </w:rPr>
              <w:t>1</w:t>
            </w:r>
            <w:r w:rsidRPr="007512B7">
              <w:rPr>
                <w:rFonts w:asciiTheme="minorHAnsi" w:hAnsiTheme="minorHAnsi" w:cstheme="minorHAnsi"/>
              </w:rPr>
              <w:t>) from MD</w:t>
            </w:r>
          </w:p>
          <w:p w14:paraId="431FF8E7"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shd w:val="clear" w:color="auto" w:fill="FFFFFF"/>
              </w:rPr>
              <w:t xml:space="preserve">↑ </w:t>
            </w:r>
            <w:proofErr w:type="spellStart"/>
            <w:r w:rsidRPr="007512B7">
              <w:rPr>
                <w:rFonts w:asciiTheme="minorHAnsi" w:hAnsiTheme="minorHAnsi" w:cstheme="minorHAnsi"/>
                <w:shd w:val="clear" w:color="auto" w:fill="FFFFFF"/>
              </w:rPr>
              <w:t>Balanopreputial</w:t>
            </w:r>
            <w:proofErr w:type="spellEnd"/>
            <w:r w:rsidRPr="007512B7">
              <w:rPr>
                <w:rFonts w:asciiTheme="minorHAnsi" w:hAnsiTheme="minorHAnsi" w:cstheme="minorHAnsi"/>
                <w:shd w:val="clear" w:color="auto" w:fill="FFFFFF"/>
              </w:rPr>
              <w:t xml:space="preserve"> separation (F</w:t>
            </w:r>
            <w:r w:rsidRPr="007512B7">
              <w:rPr>
                <w:rFonts w:asciiTheme="minorHAnsi" w:hAnsiTheme="minorHAnsi" w:cstheme="minorHAnsi"/>
                <w:shd w:val="clear" w:color="auto" w:fill="FFFFFF"/>
                <w:vertAlign w:val="subscript"/>
              </w:rPr>
              <w:t>1</w:t>
            </w:r>
            <w:r w:rsidRPr="007512B7">
              <w:rPr>
                <w:rFonts w:asciiTheme="minorHAnsi" w:hAnsiTheme="minorHAnsi" w:cstheme="minorHAnsi"/>
                <w:shd w:val="clear" w:color="auto" w:fill="FFFFFF"/>
              </w:rPr>
              <w:t>) at HD</w:t>
            </w:r>
          </w:p>
          <w:p w14:paraId="3C9C98F9"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 </w:t>
            </w:r>
          </w:p>
          <w:p w14:paraId="5EA5673D"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NOAEL: 6000 ppm for parental systemic toxicity, fertility and reproduction performance</w:t>
            </w:r>
          </w:p>
          <w:p w14:paraId="0A7686C0"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NOAEL: 1000 ppm for developmental toxicity</w:t>
            </w:r>
          </w:p>
        </w:tc>
      </w:tr>
      <w:tr w:rsidR="003F2CEC" w:rsidRPr="0074486E" w14:paraId="17B647CF" w14:textId="77777777" w:rsidTr="007512B7">
        <w:trPr>
          <w:trHeight w:val="284"/>
          <w:jc w:val="center"/>
        </w:trPr>
        <w:tc>
          <w:tcPr>
            <w:tcW w:w="1482" w:type="dxa"/>
            <w:vMerge w:val="restart"/>
          </w:tcPr>
          <w:p w14:paraId="52843477" w14:textId="77777777" w:rsidR="003F2CEC" w:rsidRPr="007512B7" w:rsidRDefault="003F2CEC" w:rsidP="00E07077">
            <w:pPr>
              <w:pStyle w:val="Tabletextleft"/>
              <w:rPr>
                <w:rFonts w:asciiTheme="minorHAnsi" w:hAnsiTheme="minorHAnsi" w:cstheme="minorHAnsi"/>
                <w:kern w:val="2"/>
              </w:rPr>
            </w:pPr>
            <w:r w:rsidRPr="007512B7">
              <w:rPr>
                <w:rFonts w:asciiTheme="minorHAnsi" w:hAnsiTheme="minorHAnsi" w:cstheme="minorHAnsi"/>
                <w:kern w:val="2"/>
              </w:rPr>
              <w:t xml:space="preserve">Octocrylene </w:t>
            </w:r>
          </w:p>
          <w:p w14:paraId="34DDA91A" w14:textId="77777777" w:rsidR="003F2CEC" w:rsidRPr="007512B7" w:rsidRDefault="003F2CEC" w:rsidP="00E07077">
            <w:pPr>
              <w:pStyle w:val="Tabletextleft"/>
              <w:rPr>
                <w:rFonts w:asciiTheme="minorHAnsi" w:hAnsiTheme="minorHAnsi" w:cstheme="minorHAnsi"/>
                <w:kern w:val="2"/>
              </w:rPr>
            </w:pPr>
            <w:r w:rsidRPr="007512B7">
              <w:rPr>
                <w:rFonts w:asciiTheme="minorHAnsi" w:hAnsiTheme="minorHAnsi" w:cstheme="minorHAnsi"/>
              </w:rPr>
              <w:t>(SCCS 2021d; ECHA 2021d)</w:t>
            </w:r>
          </w:p>
          <w:p w14:paraId="36AD1394" w14:textId="77777777" w:rsidR="003F2CEC" w:rsidRPr="007512B7" w:rsidRDefault="003F2CEC" w:rsidP="00E07077">
            <w:pPr>
              <w:pStyle w:val="Tabletextleft"/>
              <w:rPr>
                <w:rFonts w:asciiTheme="minorHAnsi" w:hAnsiTheme="minorHAnsi" w:cstheme="minorHAnsi"/>
                <w:kern w:val="2"/>
              </w:rPr>
            </w:pPr>
          </w:p>
        </w:tc>
        <w:tc>
          <w:tcPr>
            <w:tcW w:w="2835" w:type="dxa"/>
            <w:tcMar>
              <w:top w:w="57" w:type="dxa"/>
              <w:left w:w="57" w:type="dxa"/>
              <w:bottom w:w="57" w:type="dxa"/>
              <w:right w:w="57" w:type="dxa"/>
            </w:tcMar>
            <w:vAlign w:val="center"/>
          </w:tcPr>
          <w:p w14:paraId="28D4D308" w14:textId="77777777" w:rsidR="003F2CEC" w:rsidRPr="007512B7" w:rsidRDefault="003F2CEC" w:rsidP="00E07077">
            <w:pPr>
              <w:pStyle w:val="Tabletextleft"/>
              <w:rPr>
                <w:rFonts w:asciiTheme="minorHAnsi" w:hAnsiTheme="minorHAnsi" w:cstheme="minorHAnsi"/>
                <w:kern w:val="2"/>
              </w:rPr>
            </w:pPr>
            <w:r w:rsidRPr="007512B7">
              <w:rPr>
                <w:rFonts w:asciiTheme="minorHAnsi" w:hAnsiTheme="minorHAnsi" w:cstheme="minorHAnsi"/>
                <w:kern w:val="2"/>
              </w:rPr>
              <w:t xml:space="preserve">Extended one generation reproductive toxicity study </w:t>
            </w:r>
            <w:r w:rsidRPr="007512B7">
              <w:rPr>
                <w:rFonts w:asciiTheme="minorHAnsi" w:hAnsiTheme="minorHAnsi" w:cstheme="minorHAnsi"/>
                <w:bCs/>
                <w:kern w:val="2"/>
              </w:rPr>
              <w:t>(EOGRTS)</w:t>
            </w:r>
            <w:r w:rsidRPr="007512B7">
              <w:rPr>
                <w:rFonts w:asciiTheme="minorHAnsi" w:hAnsiTheme="minorHAnsi" w:cstheme="minorHAnsi"/>
                <w:kern w:val="2"/>
              </w:rPr>
              <w:t>, GLP</w:t>
            </w:r>
          </w:p>
          <w:p w14:paraId="07B0B193" w14:textId="77777777" w:rsidR="003F2CEC" w:rsidRPr="007512B7" w:rsidRDefault="003F2CEC" w:rsidP="00E07077">
            <w:pPr>
              <w:pStyle w:val="Tabletextleft"/>
              <w:rPr>
                <w:rFonts w:asciiTheme="minorHAnsi" w:hAnsiTheme="minorHAnsi" w:cstheme="minorHAnsi"/>
                <w:kern w:val="2"/>
              </w:rPr>
            </w:pPr>
            <w:r w:rsidRPr="007512B7">
              <w:rPr>
                <w:rFonts w:asciiTheme="minorHAnsi" w:hAnsiTheme="minorHAnsi" w:cstheme="minorHAnsi"/>
                <w:kern w:val="2"/>
              </w:rPr>
              <w:t xml:space="preserve">Rat (Wistar); Dose: (diets) 55, 153, 534 mg/kg </w:t>
            </w:r>
            <w:proofErr w:type="spellStart"/>
            <w:r w:rsidRPr="007512B7">
              <w:rPr>
                <w:rFonts w:asciiTheme="minorHAnsi" w:hAnsiTheme="minorHAnsi" w:cstheme="minorHAnsi"/>
                <w:kern w:val="2"/>
              </w:rPr>
              <w:t>bw</w:t>
            </w:r>
            <w:proofErr w:type="spellEnd"/>
            <w:r w:rsidRPr="007512B7">
              <w:rPr>
                <w:rFonts w:asciiTheme="minorHAnsi" w:hAnsiTheme="minorHAnsi" w:cstheme="minorHAnsi"/>
                <w:kern w:val="2"/>
              </w:rPr>
              <w:t xml:space="preserve">/day </w:t>
            </w:r>
            <w:r w:rsidRPr="007512B7">
              <w:rPr>
                <w:rFonts w:asciiTheme="minorHAnsi" w:eastAsia="Cambria" w:hAnsiTheme="minorHAnsi" w:cstheme="minorHAnsi"/>
                <w:kern w:val="0"/>
              </w:rPr>
              <w:t xml:space="preserve">♂ </w:t>
            </w:r>
          </w:p>
          <w:p w14:paraId="20991BD0" w14:textId="77777777" w:rsidR="003F2CEC" w:rsidRPr="007512B7" w:rsidRDefault="003F2CEC" w:rsidP="00E07077">
            <w:pPr>
              <w:pStyle w:val="Tabletextleft"/>
              <w:rPr>
                <w:rFonts w:asciiTheme="minorHAnsi" w:hAnsiTheme="minorHAnsi" w:cstheme="minorHAnsi"/>
                <w:kern w:val="2"/>
              </w:rPr>
            </w:pPr>
            <w:r w:rsidRPr="007512B7">
              <w:rPr>
                <w:rFonts w:asciiTheme="minorHAnsi" w:hAnsiTheme="minorHAnsi" w:cstheme="minorHAnsi"/>
                <w:kern w:val="2"/>
              </w:rPr>
              <w:t xml:space="preserve">58, 163, 550 mg/kg </w:t>
            </w:r>
            <w:proofErr w:type="spellStart"/>
            <w:r w:rsidRPr="007512B7">
              <w:rPr>
                <w:rFonts w:asciiTheme="minorHAnsi" w:hAnsiTheme="minorHAnsi" w:cstheme="minorHAnsi"/>
                <w:kern w:val="2"/>
              </w:rPr>
              <w:t>bw</w:t>
            </w:r>
            <w:proofErr w:type="spellEnd"/>
            <w:r w:rsidRPr="007512B7">
              <w:rPr>
                <w:rFonts w:asciiTheme="minorHAnsi" w:hAnsiTheme="minorHAnsi" w:cstheme="minorHAnsi"/>
                <w:kern w:val="2"/>
              </w:rPr>
              <w:t xml:space="preserve">/day </w:t>
            </w:r>
            <w:r w:rsidRPr="007512B7">
              <w:rPr>
                <w:rFonts w:asciiTheme="minorHAnsi" w:eastAsia="Cambria" w:hAnsiTheme="minorHAnsi" w:cstheme="minorHAnsi"/>
                <w:kern w:val="0"/>
              </w:rPr>
              <w:t xml:space="preserve">♀ </w:t>
            </w:r>
          </w:p>
          <w:p w14:paraId="2CCCB203" w14:textId="77777777" w:rsidR="003F2CEC" w:rsidRPr="007512B7" w:rsidRDefault="003F2CEC" w:rsidP="00E07077">
            <w:pPr>
              <w:pStyle w:val="Tabletextleft"/>
              <w:rPr>
                <w:rFonts w:asciiTheme="minorHAnsi" w:hAnsiTheme="minorHAnsi" w:cstheme="minorHAnsi"/>
                <w:kern w:val="2"/>
              </w:rPr>
            </w:pPr>
          </w:p>
          <w:p w14:paraId="43D5E073" w14:textId="77777777" w:rsidR="003F2CEC" w:rsidRPr="007512B7" w:rsidRDefault="003F2CEC" w:rsidP="00E07077">
            <w:pPr>
              <w:pStyle w:val="Tabletextleft"/>
              <w:rPr>
                <w:rFonts w:asciiTheme="minorHAnsi" w:hAnsiTheme="minorHAnsi" w:cstheme="minorHAnsi"/>
                <w:kern w:val="2"/>
              </w:rPr>
            </w:pPr>
            <w:r w:rsidRPr="007512B7">
              <w:rPr>
                <w:rFonts w:asciiTheme="minorHAnsi" w:hAnsiTheme="minorHAnsi" w:cstheme="minorHAnsi"/>
                <w:i/>
                <w:kern w:val="2"/>
              </w:rPr>
              <w:t>n</w:t>
            </w:r>
            <w:r w:rsidRPr="007512B7">
              <w:rPr>
                <w:rFonts w:asciiTheme="minorHAnsi" w:hAnsiTheme="minorHAnsi" w:cstheme="minorHAnsi"/>
                <w:kern w:val="2"/>
              </w:rPr>
              <w:t xml:space="preserve">= 27 or 28 /sex /dose </w:t>
            </w:r>
          </w:p>
          <w:p w14:paraId="7F1080ED" w14:textId="77777777" w:rsidR="003F2CEC" w:rsidRPr="007512B7" w:rsidRDefault="003F2CEC" w:rsidP="00E07077">
            <w:pPr>
              <w:pStyle w:val="Tabletextleft"/>
              <w:rPr>
                <w:rFonts w:asciiTheme="minorHAnsi" w:hAnsiTheme="minorHAnsi" w:cstheme="minorHAnsi"/>
                <w:kern w:val="2"/>
              </w:rPr>
            </w:pPr>
            <w:r w:rsidRPr="007512B7">
              <w:rPr>
                <w:rFonts w:asciiTheme="minorHAnsi" w:hAnsiTheme="minorHAnsi" w:cstheme="minorHAnsi"/>
                <w:kern w:val="2"/>
              </w:rPr>
              <w:t>F1: Cohort 1A: 19/sex/ dose</w:t>
            </w:r>
          </w:p>
          <w:p w14:paraId="372F0C8B" w14:textId="77777777" w:rsidR="003F2CEC" w:rsidRPr="007512B7" w:rsidRDefault="003F2CEC" w:rsidP="00E07077">
            <w:pPr>
              <w:pStyle w:val="Tabletextleft"/>
              <w:rPr>
                <w:rFonts w:asciiTheme="minorHAnsi" w:hAnsiTheme="minorHAnsi" w:cstheme="minorHAnsi"/>
                <w:kern w:val="2"/>
              </w:rPr>
            </w:pPr>
            <w:r w:rsidRPr="007512B7">
              <w:rPr>
                <w:rFonts w:asciiTheme="minorHAnsi" w:hAnsiTheme="minorHAnsi" w:cstheme="minorHAnsi"/>
                <w:kern w:val="2"/>
              </w:rPr>
              <w:lastRenderedPageBreak/>
              <w:t>Cohort 1B: 25/sex/dose</w:t>
            </w:r>
          </w:p>
          <w:p w14:paraId="2301017F" w14:textId="77777777" w:rsidR="003F2CEC" w:rsidRPr="007512B7" w:rsidRDefault="003F2CEC" w:rsidP="00E07077">
            <w:pPr>
              <w:pStyle w:val="Tabletextleft"/>
              <w:rPr>
                <w:rFonts w:asciiTheme="minorHAnsi" w:hAnsiTheme="minorHAnsi" w:cstheme="minorHAnsi"/>
                <w:kern w:val="2"/>
              </w:rPr>
            </w:pPr>
            <w:r w:rsidRPr="007512B7">
              <w:rPr>
                <w:rFonts w:asciiTheme="minorHAnsi" w:hAnsiTheme="minorHAnsi" w:cstheme="minorHAnsi"/>
                <w:kern w:val="2"/>
              </w:rPr>
              <w:t>Cohort 2A: 10/sex/ dose</w:t>
            </w:r>
          </w:p>
          <w:p w14:paraId="78A3262C" w14:textId="77777777" w:rsidR="003F2CEC" w:rsidRPr="007512B7" w:rsidRDefault="003F2CEC" w:rsidP="00E07077">
            <w:pPr>
              <w:pStyle w:val="Tabletextleft"/>
              <w:rPr>
                <w:rFonts w:asciiTheme="minorHAnsi" w:hAnsiTheme="minorHAnsi" w:cstheme="minorHAnsi"/>
                <w:kern w:val="2"/>
              </w:rPr>
            </w:pPr>
            <w:r w:rsidRPr="007512B7">
              <w:rPr>
                <w:rFonts w:asciiTheme="minorHAnsi" w:hAnsiTheme="minorHAnsi" w:cstheme="minorHAnsi"/>
                <w:kern w:val="2"/>
              </w:rPr>
              <w:t>Cohort 2B: 10/sex/dose</w:t>
            </w:r>
          </w:p>
          <w:p w14:paraId="25FC594D" w14:textId="77777777" w:rsidR="003F2CEC" w:rsidRPr="007512B7" w:rsidRDefault="003F2CEC" w:rsidP="00E07077">
            <w:pPr>
              <w:pStyle w:val="Tabletextleft"/>
              <w:rPr>
                <w:rFonts w:asciiTheme="minorHAnsi" w:hAnsiTheme="minorHAnsi" w:cstheme="minorHAnsi"/>
                <w:kern w:val="2"/>
              </w:rPr>
            </w:pPr>
            <w:r w:rsidRPr="007512B7">
              <w:rPr>
                <w:rFonts w:asciiTheme="minorHAnsi" w:hAnsiTheme="minorHAnsi" w:cstheme="minorHAnsi"/>
                <w:i/>
                <w:kern w:val="2"/>
              </w:rPr>
              <w:br/>
            </w:r>
            <w:r w:rsidRPr="007512B7">
              <w:rPr>
                <w:rFonts w:asciiTheme="minorHAnsi" w:hAnsiTheme="minorHAnsi" w:cstheme="minorHAnsi"/>
                <w:kern w:val="2"/>
              </w:rPr>
              <w:t xml:space="preserve"> </w:t>
            </w:r>
            <w:r w:rsidRPr="007512B7">
              <w:rPr>
                <w:rFonts w:asciiTheme="minorHAnsi" w:eastAsia="Cambria" w:hAnsiTheme="minorHAnsi" w:cstheme="minorHAnsi"/>
                <w:kern w:val="0"/>
              </w:rPr>
              <w:t>♂</w:t>
            </w:r>
            <w:r w:rsidRPr="007512B7">
              <w:rPr>
                <w:rFonts w:asciiTheme="minorHAnsi" w:hAnsiTheme="minorHAnsi" w:cstheme="minorHAnsi"/>
                <w:kern w:val="2"/>
              </w:rPr>
              <w:t>: 10-week premating period, during mating up to the day of sacrifice (~ 13 weeks)</w:t>
            </w:r>
          </w:p>
          <w:p w14:paraId="5CFAA76D" w14:textId="77777777" w:rsidR="003F2CEC" w:rsidRPr="007512B7" w:rsidRDefault="003F2CEC" w:rsidP="00E07077">
            <w:pPr>
              <w:pStyle w:val="Tabletextleft"/>
              <w:rPr>
                <w:rFonts w:asciiTheme="minorHAnsi" w:hAnsiTheme="minorHAnsi" w:cstheme="minorHAnsi"/>
                <w:kern w:val="2"/>
              </w:rPr>
            </w:pPr>
            <w:r w:rsidRPr="007512B7">
              <w:rPr>
                <w:rFonts w:asciiTheme="minorHAnsi" w:eastAsia="Cambria" w:hAnsiTheme="minorHAnsi" w:cstheme="minorHAnsi"/>
                <w:kern w:val="0"/>
              </w:rPr>
              <w:t>♀</w:t>
            </w:r>
            <w:r w:rsidRPr="007512B7">
              <w:rPr>
                <w:rFonts w:asciiTheme="minorHAnsi" w:hAnsiTheme="minorHAnsi" w:cstheme="minorHAnsi"/>
                <w:kern w:val="2"/>
              </w:rPr>
              <w:t>: P: 10-week premating period, termination on LD 21</w:t>
            </w:r>
          </w:p>
          <w:p w14:paraId="16F5F33E" w14:textId="77777777" w:rsidR="003F2CEC" w:rsidRPr="007512B7" w:rsidRDefault="003F2CEC" w:rsidP="00E07077">
            <w:pPr>
              <w:pStyle w:val="Tabletextleft"/>
              <w:rPr>
                <w:rFonts w:asciiTheme="minorHAnsi" w:hAnsiTheme="minorHAnsi" w:cstheme="minorHAnsi"/>
                <w:kern w:val="2"/>
              </w:rPr>
            </w:pPr>
            <w:r w:rsidRPr="007512B7">
              <w:rPr>
                <w:rFonts w:asciiTheme="minorHAnsi" w:hAnsiTheme="minorHAnsi" w:cstheme="minorHAnsi"/>
                <w:kern w:val="2"/>
              </w:rPr>
              <w:t>F1: from weaning up to sacrifice (~ 10 weeks in Cohort 1A, ~ 13 weeks (</w:t>
            </w:r>
            <w:r w:rsidRPr="007512B7">
              <w:rPr>
                <w:rFonts w:asciiTheme="minorHAnsi" w:eastAsia="Cambria" w:hAnsiTheme="minorHAnsi" w:cstheme="minorHAnsi"/>
                <w:kern w:val="0"/>
              </w:rPr>
              <w:t>♂</w:t>
            </w:r>
            <w:r w:rsidRPr="007512B7">
              <w:rPr>
                <w:rFonts w:asciiTheme="minorHAnsi" w:hAnsiTheme="minorHAnsi" w:cstheme="minorHAnsi"/>
                <w:kern w:val="2"/>
              </w:rPr>
              <w:t>) and approx. 18 weeks (</w:t>
            </w:r>
            <w:r w:rsidRPr="007512B7">
              <w:rPr>
                <w:rFonts w:asciiTheme="minorHAnsi" w:eastAsia="Cambria" w:hAnsiTheme="minorHAnsi" w:cstheme="minorHAnsi"/>
                <w:kern w:val="0"/>
              </w:rPr>
              <w:t>♀</w:t>
            </w:r>
            <w:r w:rsidRPr="007512B7">
              <w:rPr>
                <w:rFonts w:asciiTheme="minorHAnsi" w:hAnsiTheme="minorHAnsi" w:cstheme="minorHAnsi"/>
                <w:kern w:val="2"/>
              </w:rPr>
              <w:t>) in Cohort 1B; ~ 8 weeks in cohort 2A)</w:t>
            </w:r>
          </w:p>
          <w:p w14:paraId="7481418D" w14:textId="77777777" w:rsidR="003F2CEC" w:rsidRPr="007512B7" w:rsidRDefault="003F2CEC" w:rsidP="00E07077">
            <w:pPr>
              <w:pStyle w:val="Tabletextleft"/>
              <w:rPr>
                <w:rFonts w:asciiTheme="minorHAnsi" w:hAnsiTheme="minorHAnsi" w:cstheme="minorHAnsi"/>
                <w:kern w:val="2"/>
              </w:rPr>
            </w:pPr>
            <w:r w:rsidRPr="007512B7">
              <w:rPr>
                <w:rFonts w:asciiTheme="minorHAnsi" w:hAnsiTheme="minorHAnsi" w:cstheme="minorHAnsi"/>
                <w:kern w:val="2"/>
              </w:rPr>
              <w:t>F2: until weaning (indirectly)</w:t>
            </w:r>
          </w:p>
          <w:p w14:paraId="1DBCA8A0" w14:textId="77777777" w:rsidR="003F2CEC" w:rsidRPr="007512B7" w:rsidRDefault="003F2CEC" w:rsidP="00E07077">
            <w:pPr>
              <w:pStyle w:val="Tabletextleft"/>
              <w:rPr>
                <w:rFonts w:asciiTheme="minorHAnsi" w:hAnsiTheme="minorHAnsi" w:cstheme="minorHAnsi"/>
                <w:kern w:val="2"/>
              </w:rPr>
            </w:pPr>
            <w:r w:rsidRPr="007512B7">
              <w:rPr>
                <w:rFonts w:asciiTheme="minorHAnsi" w:hAnsiTheme="minorHAnsi" w:cstheme="minorHAnsi"/>
                <w:kern w:val="2"/>
              </w:rPr>
              <w:t>(ECHA 2021d; SCCS 2021d)</w:t>
            </w:r>
          </w:p>
        </w:tc>
        <w:tc>
          <w:tcPr>
            <w:tcW w:w="5226" w:type="dxa"/>
            <w:vAlign w:val="center"/>
          </w:tcPr>
          <w:p w14:paraId="699DB2E7"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lastRenderedPageBreak/>
              <w:t>↓ number of implantation sites and consequently a lower number of pups at HD</w:t>
            </w:r>
          </w:p>
          <w:p w14:paraId="61E52B45"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bodyweight of pups at HD</w:t>
            </w:r>
          </w:p>
          <w:p w14:paraId="2FB9F0BA"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No effects on male fertility and male and female reproductive parameters such as oestrus cycle, epididymal and testicular sperm parameters at all doses.</w:t>
            </w:r>
          </w:p>
          <w:p w14:paraId="0B54D050"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No effects on sexual and neurodevelopmental parameters in pups.</w:t>
            </w:r>
          </w:p>
          <w:p w14:paraId="4FC83E24"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lastRenderedPageBreak/>
              <w:t xml:space="preserve">Based on effects on parental and pup body weights, a lower number of implantation sites and lower number of pups delivered. </w:t>
            </w:r>
          </w:p>
          <w:p w14:paraId="61DDDEB9" w14:textId="7F7FB3E2" w:rsidR="003F2CEC" w:rsidRPr="007512B7" w:rsidRDefault="003F2CEC" w:rsidP="00BA4549">
            <w:pPr>
              <w:pStyle w:val="Tabletextleft"/>
              <w:rPr>
                <w:rFonts w:asciiTheme="minorHAnsi" w:hAnsiTheme="minorHAnsi" w:cstheme="minorHAnsi"/>
                <w:i/>
              </w:rPr>
            </w:pPr>
            <w:r w:rsidRPr="007512B7">
              <w:rPr>
                <w:rFonts w:asciiTheme="minorHAnsi" w:hAnsiTheme="minorHAnsi" w:cstheme="minorHAnsi"/>
                <w:b/>
                <w:bCs/>
              </w:rPr>
              <w:t xml:space="preserve">NOAEL: 153/163 mg/kg </w:t>
            </w:r>
            <w:proofErr w:type="spellStart"/>
            <w:r w:rsidRPr="007512B7">
              <w:rPr>
                <w:rFonts w:asciiTheme="minorHAnsi" w:hAnsiTheme="minorHAnsi" w:cstheme="minorHAnsi"/>
                <w:b/>
                <w:bCs/>
              </w:rPr>
              <w:t>bw</w:t>
            </w:r>
            <w:proofErr w:type="spellEnd"/>
            <w:r w:rsidRPr="007512B7">
              <w:rPr>
                <w:rFonts w:asciiTheme="minorHAnsi" w:hAnsiTheme="minorHAnsi" w:cstheme="minorHAnsi"/>
                <w:b/>
                <w:bCs/>
              </w:rPr>
              <w:t>/day for males/females</w:t>
            </w:r>
            <w:r w:rsidRPr="007512B7">
              <w:rPr>
                <w:rFonts w:asciiTheme="minorHAnsi" w:hAnsiTheme="minorHAnsi" w:cstheme="minorHAnsi"/>
              </w:rPr>
              <w:t xml:space="preserve"> for parental systemic toxicity, fertility/reproduction performance, and general and sexual developmen</w:t>
            </w:r>
            <w:r w:rsidR="00BA4549">
              <w:rPr>
                <w:rFonts w:asciiTheme="minorHAnsi" w:hAnsiTheme="minorHAnsi" w:cstheme="minorHAnsi"/>
              </w:rPr>
              <w:t>t</w:t>
            </w:r>
          </w:p>
        </w:tc>
      </w:tr>
      <w:tr w:rsidR="003F2CEC" w:rsidRPr="0074486E" w14:paraId="1A70FCDD" w14:textId="77777777" w:rsidTr="007512B7">
        <w:trPr>
          <w:trHeight w:val="284"/>
          <w:jc w:val="center"/>
        </w:trPr>
        <w:tc>
          <w:tcPr>
            <w:tcW w:w="1482" w:type="dxa"/>
            <w:vMerge/>
          </w:tcPr>
          <w:p w14:paraId="46ED998E" w14:textId="77777777" w:rsidR="003F2CEC" w:rsidRPr="007512B7" w:rsidRDefault="003F2CEC" w:rsidP="00E07077">
            <w:pPr>
              <w:pStyle w:val="Tabletextleft"/>
              <w:rPr>
                <w:rFonts w:asciiTheme="minorHAnsi" w:hAnsiTheme="minorHAnsi" w:cstheme="minorHAnsi"/>
                <w:kern w:val="2"/>
              </w:rPr>
            </w:pPr>
          </w:p>
        </w:tc>
        <w:tc>
          <w:tcPr>
            <w:tcW w:w="2835" w:type="dxa"/>
            <w:tcMar>
              <w:top w:w="57" w:type="dxa"/>
              <w:left w:w="57" w:type="dxa"/>
              <w:bottom w:w="57" w:type="dxa"/>
              <w:right w:w="57" w:type="dxa"/>
            </w:tcMar>
            <w:vAlign w:val="center"/>
          </w:tcPr>
          <w:p w14:paraId="2428AFC2" w14:textId="77777777" w:rsidR="003F2CEC" w:rsidRPr="007512B7" w:rsidRDefault="003F2CEC" w:rsidP="00E07077">
            <w:pPr>
              <w:pStyle w:val="Tabletextleft"/>
              <w:rPr>
                <w:rFonts w:asciiTheme="minorHAnsi" w:hAnsiTheme="minorHAnsi" w:cstheme="minorHAnsi"/>
                <w:kern w:val="2"/>
              </w:rPr>
            </w:pPr>
            <w:r w:rsidRPr="007512B7">
              <w:rPr>
                <w:rFonts w:asciiTheme="minorHAnsi" w:hAnsiTheme="minorHAnsi" w:cstheme="minorHAnsi"/>
                <w:kern w:val="2"/>
              </w:rPr>
              <w:t>Pregnant rats (Wistar);</w:t>
            </w:r>
            <w:r w:rsidRPr="007512B7">
              <w:rPr>
                <w:rFonts w:asciiTheme="minorHAnsi" w:hAnsiTheme="minorHAnsi" w:cstheme="minorHAnsi"/>
                <w:i/>
                <w:kern w:val="2"/>
              </w:rPr>
              <w:t xml:space="preserve"> n</w:t>
            </w:r>
            <w:r w:rsidRPr="007512B7">
              <w:rPr>
                <w:rFonts w:asciiTheme="minorHAnsi" w:hAnsiTheme="minorHAnsi" w:cstheme="minorHAnsi"/>
                <w:kern w:val="2"/>
              </w:rPr>
              <w:t xml:space="preserve"> = 25/ </w:t>
            </w:r>
            <w:r w:rsidRPr="007512B7">
              <w:rPr>
                <w:rFonts w:asciiTheme="minorHAnsi" w:eastAsia="Cambria" w:hAnsiTheme="minorHAnsi" w:cstheme="minorHAnsi"/>
                <w:kern w:val="0"/>
              </w:rPr>
              <w:t>♀</w:t>
            </w:r>
            <w:r w:rsidRPr="007512B7">
              <w:rPr>
                <w:rFonts w:asciiTheme="minorHAnsi" w:hAnsiTheme="minorHAnsi" w:cstheme="minorHAnsi"/>
                <w:kern w:val="2"/>
              </w:rPr>
              <w:t xml:space="preserve">/dose, Dose: 0, 100, 400, 1000 mg/kg </w:t>
            </w:r>
            <w:proofErr w:type="spellStart"/>
            <w:r w:rsidRPr="007512B7">
              <w:rPr>
                <w:rFonts w:asciiTheme="minorHAnsi" w:hAnsiTheme="minorHAnsi" w:cstheme="minorHAnsi"/>
                <w:kern w:val="2"/>
              </w:rPr>
              <w:t>bw</w:t>
            </w:r>
            <w:proofErr w:type="spellEnd"/>
            <w:r w:rsidRPr="007512B7">
              <w:rPr>
                <w:rFonts w:asciiTheme="minorHAnsi" w:hAnsiTheme="minorHAnsi" w:cstheme="minorHAnsi"/>
                <w:kern w:val="2"/>
              </w:rPr>
              <w:t>/day PO</w:t>
            </w:r>
            <w:r w:rsidRPr="007512B7">
              <w:rPr>
                <w:rFonts w:asciiTheme="minorHAnsi" w:hAnsiTheme="minorHAnsi" w:cstheme="minorHAnsi"/>
                <w:i/>
                <w:kern w:val="2"/>
              </w:rPr>
              <w:br/>
            </w:r>
            <w:r w:rsidRPr="007512B7">
              <w:rPr>
                <w:rFonts w:asciiTheme="minorHAnsi" w:hAnsiTheme="minorHAnsi" w:cstheme="minorHAnsi"/>
                <w:kern w:val="2"/>
              </w:rPr>
              <w:t>GD6–GD15; termination on GD21</w:t>
            </w:r>
          </w:p>
        </w:tc>
        <w:tc>
          <w:tcPr>
            <w:tcW w:w="5226" w:type="dxa"/>
            <w:vAlign w:val="center"/>
          </w:tcPr>
          <w:p w14:paraId="47EB70C8"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F0: </w:t>
            </w:r>
          </w:p>
          <w:p w14:paraId="2E527130"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Transient salivation at HD.</w:t>
            </w:r>
          </w:p>
          <w:p w14:paraId="2BCD11AF"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 relative liver weight at MD and HD </w:t>
            </w:r>
          </w:p>
          <w:p w14:paraId="752C38D8"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F1:</w:t>
            </w:r>
          </w:p>
          <w:p w14:paraId="3C8DA13E"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No treatment related effects.</w:t>
            </w:r>
          </w:p>
          <w:p w14:paraId="74A2890F" w14:textId="60BCC4CD" w:rsidR="003F2CEC" w:rsidRPr="007512B7" w:rsidRDefault="003F2CEC" w:rsidP="00BA4549">
            <w:pPr>
              <w:pStyle w:val="Tabletextleft"/>
              <w:rPr>
                <w:rFonts w:asciiTheme="minorHAnsi" w:hAnsiTheme="minorHAnsi" w:cstheme="minorHAnsi"/>
              </w:rPr>
            </w:pPr>
            <w:r w:rsidRPr="007512B7">
              <w:rPr>
                <w:rFonts w:asciiTheme="minorHAnsi" w:hAnsiTheme="minorHAnsi" w:cstheme="minorHAnsi"/>
              </w:rPr>
              <w:t xml:space="preserve">NOAEL: ≥ 1000 mg/kg </w:t>
            </w:r>
            <w:proofErr w:type="spellStart"/>
            <w:r w:rsidRPr="007512B7">
              <w:rPr>
                <w:rFonts w:asciiTheme="minorHAnsi" w:hAnsiTheme="minorHAnsi" w:cstheme="minorHAnsi"/>
              </w:rPr>
              <w:t>bw</w:t>
            </w:r>
            <w:proofErr w:type="spellEnd"/>
            <w:r w:rsidRPr="007512B7">
              <w:rPr>
                <w:rFonts w:asciiTheme="minorHAnsi" w:hAnsiTheme="minorHAnsi" w:cstheme="minorHAnsi"/>
              </w:rPr>
              <w:t>/day (teratogenicity)</w:t>
            </w:r>
          </w:p>
        </w:tc>
      </w:tr>
      <w:tr w:rsidR="003F2CEC" w:rsidRPr="0074486E" w14:paraId="05699734" w14:textId="77777777" w:rsidTr="007512B7">
        <w:trPr>
          <w:trHeight w:val="725"/>
          <w:jc w:val="center"/>
        </w:trPr>
        <w:tc>
          <w:tcPr>
            <w:tcW w:w="1482" w:type="dxa"/>
            <w:vMerge/>
          </w:tcPr>
          <w:p w14:paraId="7BA159DC" w14:textId="77777777" w:rsidR="003F2CEC" w:rsidRPr="007512B7" w:rsidRDefault="003F2CEC" w:rsidP="00E07077">
            <w:pPr>
              <w:pStyle w:val="Tabletextleft"/>
              <w:rPr>
                <w:rFonts w:asciiTheme="minorHAnsi" w:hAnsiTheme="minorHAnsi" w:cstheme="minorHAnsi"/>
                <w:kern w:val="2"/>
              </w:rPr>
            </w:pPr>
          </w:p>
        </w:tc>
        <w:tc>
          <w:tcPr>
            <w:tcW w:w="2835" w:type="dxa"/>
            <w:tcMar>
              <w:top w:w="57" w:type="dxa"/>
              <w:left w:w="57" w:type="dxa"/>
              <w:bottom w:w="57" w:type="dxa"/>
              <w:right w:w="57" w:type="dxa"/>
            </w:tcMar>
            <w:vAlign w:val="center"/>
          </w:tcPr>
          <w:p w14:paraId="78015A3C" w14:textId="77777777" w:rsidR="003F2CEC" w:rsidRPr="007512B7" w:rsidRDefault="003F2CEC" w:rsidP="00E07077">
            <w:pPr>
              <w:pStyle w:val="Tabletextleft"/>
              <w:rPr>
                <w:rFonts w:asciiTheme="minorHAnsi" w:hAnsiTheme="minorHAnsi" w:cstheme="minorHAnsi"/>
                <w:snapToGrid w:val="0"/>
              </w:rPr>
            </w:pPr>
            <w:r w:rsidRPr="007512B7">
              <w:rPr>
                <w:rFonts w:asciiTheme="minorHAnsi" w:hAnsiTheme="minorHAnsi" w:cstheme="minorHAnsi"/>
              </w:rPr>
              <w:t>Mice (CD</w:t>
            </w:r>
            <w:r w:rsidRPr="007512B7">
              <w:rPr>
                <w:rFonts w:asciiTheme="minorHAnsi" w:hAnsiTheme="minorHAnsi" w:cstheme="minorHAnsi"/>
              </w:rPr>
              <w:noBreakHyphen/>
              <w:t xml:space="preserve">1); </w:t>
            </w:r>
            <w:r w:rsidRPr="007512B7">
              <w:rPr>
                <w:rFonts w:asciiTheme="minorHAnsi" w:hAnsiTheme="minorHAnsi" w:cstheme="minorHAnsi"/>
                <w:i/>
              </w:rPr>
              <w:t>n</w:t>
            </w:r>
            <w:r w:rsidRPr="007512B7">
              <w:rPr>
                <w:rFonts w:asciiTheme="minorHAnsi" w:hAnsiTheme="minorHAnsi" w:cstheme="minorHAnsi"/>
              </w:rPr>
              <w:t xml:space="preserve">= 12 </w:t>
            </w:r>
            <w:r w:rsidRPr="007512B7">
              <w:rPr>
                <w:rFonts w:asciiTheme="minorHAnsi" w:eastAsia="Cambria" w:hAnsiTheme="minorHAnsi" w:cstheme="minorHAnsi"/>
                <w:kern w:val="0"/>
              </w:rPr>
              <w:t>♀</w:t>
            </w:r>
            <w:r w:rsidRPr="007512B7">
              <w:rPr>
                <w:rFonts w:asciiTheme="minorHAnsi" w:hAnsiTheme="minorHAnsi" w:cstheme="minorHAnsi"/>
              </w:rPr>
              <w:t xml:space="preserve">/dose, Dose: 0, 100, 300, 1000 mg/kg </w:t>
            </w:r>
            <w:proofErr w:type="spellStart"/>
            <w:r w:rsidRPr="007512B7">
              <w:rPr>
                <w:rFonts w:asciiTheme="minorHAnsi" w:hAnsiTheme="minorHAnsi" w:cstheme="minorHAnsi"/>
              </w:rPr>
              <w:t>bw</w:t>
            </w:r>
            <w:proofErr w:type="spellEnd"/>
            <w:r w:rsidRPr="007512B7">
              <w:rPr>
                <w:rFonts w:asciiTheme="minorHAnsi" w:hAnsiTheme="minorHAnsi" w:cstheme="minorHAnsi"/>
              </w:rPr>
              <w:t xml:space="preserve">/day (oral gavage); </w:t>
            </w:r>
            <w:r w:rsidRPr="007512B7">
              <w:rPr>
                <w:rFonts w:asciiTheme="minorHAnsi" w:hAnsiTheme="minorHAnsi" w:cstheme="minorHAnsi"/>
                <w:snapToGrid w:val="0"/>
              </w:rPr>
              <w:t>GD8–GD12; termination on LD3</w:t>
            </w:r>
          </w:p>
          <w:p w14:paraId="66EF9FD0" w14:textId="77777777" w:rsidR="003F2CEC" w:rsidRPr="007512B7" w:rsidRDefault="003F2CEC" w:rsidP="00E07077">
            <w:pPr>
              <w:pStyle w:val="Tabletextleft"/>
              <w:rPr>
                <w:rFonts w:asciiTheme="minorHAnsi" w:hAnsiTheme="minorHAnsi" w:cstheme="minorHAnsi"/>
                <w:kern w:val="2"/>
              </w:rPr>
            </w:pPr>
            <w:r w:rsidRPr="007512B7">
              <w:rPr>
                <w:rFonts w:asciiTheme="minorHAnsi" w:hAnsiTheme="minorHAnsi" w:cstheme="minorHAnsi"/>
                <w:kern w:val="2"/>
              </w:rPr>
              <w:t xml:space="preserve">Odio </w:t>
            </w:r>
            <w:r w:rsidRPr="007512B7">
              <w:rPr>
                <w:rFonts w:asciiTheme="minorHAnsi" w:hAnsiTheme="minorHAnsi" w:cstheme="minorHAnsi"/>
                <w:i/>
                <w:kern w:val="2"/>
              </w:rPr>
              <w:t>et al</w:t>
            </w:r>
            <w:r w:rsidRPr="007512B7">
              <w:rPr>
                <w:rFonts w:asciiTheme="minorHAnsi" w:hAnsiTheme="minorHAnsi" w:cstheme="minorHAnsi"/>
                <w:kern w:val="2"/>
              </w:rPr>
              <w:t>. (1994)</w:t>
            </w:r>
          </w:p>
        </w:tc>
        <w:tc>
          <w:tcPr>
            <w:tcW w:w="5226" w:type="dxa"/>
            <w:vAlign w:val="center"/>
          </w:tcPr>
          <w:p w14:paraId="11D2DDAF" w14:textId="77777777" w:rsidR="003F2CEC" w:rsidRPr="007512B7" w:rsidRDefault="003F2CEC" w:rsidP="00E07077">
            <w:pPr>
              <w:pStyle w:val="Tabletextleft"/>
              <w:rPr>
                <w:rFonts w:asciiTheme="minorHAnsi" w:hAnsiTheme="minorHAnsi" w:cstheme="minorHAnsi"/>
                <w:snapToGrid w:val="0"/>
              </w:rPr>
            </w:pPr>
            <w:r w:rsidRPr="007512B7">
              <w:rPr>
                <w:rFonts w:asciiTheme="minorHAnsi" w:hAnsiTheme="minorHAnsi" w:cstheme="minorHAnsi"/>
                <w:snapToGrid w:val="0"/>
              </w:rPr>
              <w:t>No treatment related adverse effects.</w:t>
            </w:r>
          </w:p>
          <w:p w14:paraId="503E69B1" w14:textId="44D6D6B9" w:rsidR="003F2CEC" w:rsidRPr="007512B7" w:rsidRDefault="003F2CEC" w:rsidP="00BA4549">
            <w:pPr>
              <w:pStyle w:val="Tabletextleft"/>
              <w:rPr>
                <w:rFonts w:asciiTheme="minorHAnsi" w:hAnsiTheme="minorHAnsi" w:cstheme="minorHAnsi"/>
              </w:rPr>
            </w:pPr>
            <w:r w:rsidRPr="007512B7">
              <w:rPr>
                <w:rFonts w:asciiTheme="minorHAnsi" w:hAnsiTheme="minorHAnsi" w:cstheme="minorHAnsi"/>
                <w:snapToGrid w:val="0"/>
              </w:rPr>
              <w:t xml:space="preserve">NOEL: 1000 mg/kg </w:t>
            </w:r>
            <w:proofErr w:type="spellStart"/>
            <w:r w:rsidRPr="007512B7">
              <w:rPr>
                <w:rFonts w:asciiTheme="minorHAnsi" w:hAnsiTheme="minorHAnsi" w:cstheme="minorHAnsi"/>
                <w:snapToGrid w:val="0"/>
              </w:rPr>
              <w:t>bw</w:t>
            </w:r>
            <w:proofErr w:type="spellEnd"/>
            <w:r w:rsidRPr="007512B7">
              <w:rPr>
                <w:rFonts w:asciiTheme="minorHAnsi" w:hAnsiTheme="minorHAnsi" w:cstheme="minorHAnsi"/>
                <w:snapToGrid w:val="0"/>
              </w:rPr>
              <w:t>/day (mice)</w:t>
            </w:r>
          </w:p>
        </w:tc>
      </w:tr>
      <w:tr w:rsidR="003F2CEC" w:rsidRPr="0074486E" w14:paraId="5B6FFFD3" w14:textId="77777777" w:rsidTr="007512B7">
        <w:trPr>
          <w:trHeight w:val="725"/>
          <w:jc w:val="center"/>
        </w:trPr>
        <w:tc>
          <w:tcPr>
            <w:tcW w:w="1482" w:type="dxa"/>
            <w:vMerge/>
          </w:tcPr>
          <w:p w14:paraId="3EDA4895" w14:textId="77777777" w:rsidR="003F2CEC" w:rsidRPr="007512B7" w:rsidRDefault="003F2CEC" w:rsidP="00E07077">
            <w:pPr>
              <w:pStyle w:val="Tabletextleft"/>
              <w:rPr>
                <w:rFonts w:asciiTheme="minorHAnsi" w:hAnsiTheme="minorHAnsi" w:cstheme="minorHAnsi"/>
              </w:rPr>
            </w:pPr>
          </w:p>
        </w:tc>
        <w:tc>
          <w:tcPr>
            <w:tcW w:w="2835" w:type="dxa"/>
            <w:tcMar>
              <w:top w:w="57" w:type="dxa"/>
              <w:left w:w="57" w:type="dxa"/>
              <w:bottom w:w="57" w:type="dxa"/>
              <w:right w:w="57" w:type="dxa"/>
            </w:tcMar>
            <w:vAlign w:val="center"/>
          </w:tcPr>
          <w:p w14:paraId="571F59CA" w14:textId="77777777" w:rsidR="003F2CEC" w:rsidRPr="007512B7" w:rsidRDefault="003F2CEC" w:rsidP="00E07077">
            <w:pPr>
              <w:pStyle w:val="Tabletextleft"/>
              <w:rPr>
                <w:rFonts w:asciiTheme="minorHAnsi" w:hAnsiTheme="minorHAnsi" w:cstheme="minorHAnsi"/>
                <w:kern w:val="2"/>
              </w:rPr>
            </w:pPr>
            <w:r w:rsidRPr="007512B7">
              <w:rPr>
                <w:rFonts w:asciiTheme="minorHAnsi" w:hAnsiTheme="minorHAnsi" w:cstheme="minorHAnsi"/>
                <w:kern w:val="2"/>
              </w:rPr>
              <w:t>Rabbit (NZW);</w:t>
            </w:r>
            <w:r w:rsidRPr="007512B7">
              <w:rPr>
                <w:rFonts w:asciiTheme="minorHAnsi" w:hAnsiTheme="minorHAnsi" w:cstheme="minorHAnsi"/>
                <w:i/>
                <w:kern w:val="2"/>
              </w:rPr>
              <w:t xml:space="preserve"> n</w:t>
            </w:r>
            <w:r w:rsidRPr="007512B7">
              <w:rPr>
                <w:rFonts w:asciiTheme="minorHAnsi" w:hAnsiTheme="minorHAnsi" w:cstheme="minorHAnsi"/>
                <w:kern w:val="2"/>
              </w:rPr>
              <w:t xml:space="preserve"> = 17 </w:t>
            </w:r>
            <w:r w:rsidRPr="007512B7">
              <w:rPr>
                <w:rFonts w:asciiTheme="minorHAnsi" w:eastAsia="Cambria" w:hAnsiTheme="minorHAnsi" w:cstheme="minorHAnsi"/>
                <w:kern w:val="0"/>
              </w:rPr>
              <w:t>♀</w:t>
            </w:r>
            <w:r w:rsidRPr="007512B7">
              <w:rPr>
                <w:rFonts w:asciiTheme="minorHAnsi" w:hAnsiTheme="minorHAnsi" w:cstheme="minorHAnsi"/>
                <w:kern w:val="2"/>
              </w:rPr>
              <w:t>/dose</w:t>
            </w:r>
          </w:p>
          <w:p w14:paraId="68C4762B" w14:textId="77777777" w:rsidR="003F2CEC" w:rsidRPr="007512B7" w:rsidRDefault="003F2CEC" w:rsidP="00E07077">
            <w:pPr>
              <w:pStyle w:val="Tabletextleft"/>
              <w:rPr>
                <w:rFonts w:asciiTheme="minorHAnsi" w:hAnsiTheme="minorHAnsi" w:cstheme="minorHAnsi"/>
                <w:kern w:val="2"/>
              </w:rPr>
            </w:pPr>
            <w:r w:rsidRPr="007512B7">
              <w:rPr>
                <w:rFonts w:asciiTheme="minorHAnsi" w:hAnsiTheme="minorHAnsi" w:cstheme="minorHAnsi"/>
                <w:kern w:val="2"/>
              </w:rPr>
              <w:t xml:space="preserve">Dose:  0, 65, 267 mg/kg </w:t>
            </w:r>
            <w:proofErr w:type="spellStart"/>
            <w:r w:rsidRPr="007512B7">
              <w:rPr>
                <w:rFonts w:asciiTheme="minorHAnsi" w:hAnsiTheme="minorHAnsi" w:cstheme="minorHAnsi"/>
                <w:kern w:val="2"/>
              </w:rPr>
              <w:t>bw</w:t>
            </w:r>
            <w:proofErr w:type="spellEnd"/>
            <w:r w:rsidRPr="007512B7">
              <w:rPr>
                <w:rFonts w:asciiTheme="minorHAnsi" w:hAnsiTheme="minorHAnsi" w:cstheme="minorHAnsi"/>
                <w:kern w:val="2"/>
              </w:rPr>
              <w:t>/day, (</w:t>
            </w:r>
            <w:r w:rsidRPr="007512B7">
              <w:rPr>
                <w:rFonts w:asciiTheme="minorHAnsi" w:hAnsiTheme="minorHAnsi" w:cstheme="minorHAnsi"/>
              </w:rPr>
              <w:t xml:space="preserve">Dermal, open, clipped area on the back), </w:t>
            </w:r>
            <w:r w:rsidRPr="007512B7">
              <w:rPr>
                <w:rFonts w:asciiTheme="minorHAnsi" w:hAnsiTheme="minorHAnsi" w:cstheme="minorHAnsi"/>
                <w:kern w:val="2"/>
              </w:rPr>
              <w:t>dosing GD6–GD18; termination on GD21</w:t>
            </w:r>
          </w:p>
          <w:p w14:paraId="53F63D04"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Odio </w:t>
            </w:r>
            <w:r w:rsidRPr="007512B7">
              <w:rPr>
                <w:rFonts w:asciiTheme="minorHAnsi" w:hAnsiTheme="minorHAnsi" w:cstheme="minorHAnsi"/>
                <w:i/>
              </w:rPr>
              <w:t>et al</w:t>
            </w:r>
            <w:r w:rsidRPr="007512B7">
              <w:rPr>
                <w:rFonts w:asciiTheme="minorHAnsi" w:hAnsiTheme="minorHAnsi" w:cstheme="minorHAnsi"/>
              </w:rPr>
              <w:t xml:space="preserve">. (1994) </w:t>
            </w:r>
          </w:p>
        </w:tc>
        <w:tc>
          <w:tcPr>
            <w:tcW w:w="5226" w:type="dxa"/>
            <w:vAlign w:val="center"/>
          </w:tcPr>
          <w:p w14:paraId="288FA3C9" w14:textId="77777777" w:rsidR="003F2CEC" w:rsidRPr="007512B7" w:rsidRDefault="003F2CEC" w:rsidP="00E07077">
            <w:pPr>
              <w:pStyle w:val="Tabletextleft"/>
              <w:rPr>
                <w:rFonts w:asciiTheme="minorHAnsi" w:hAnsiTheme="minorHAnsi" w:cstheme="minorHAnsi"/>
                <w:snapToGrid w:val="0"/>
              </w:rPr>
            </w:pPr>
            <w:r w:rsidRPr="007512B7">
              <w:rPr>
                <w:rFonts w:asciiTheme="minorHAnsi" w:hAnsiTheme="minorHAnsi" w:cstheme="minorHAnsi"/>
                <w:snapToGrid w:val="0"/>
              </w:rPr>
              <w:t>No treatment related adverse effects.</w:t>
            </w:r>
          </w:p>
          <w:p w14:paraId="298B2DFD"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snapToGrid w:val="0"/>
              </w:rPr>
              <w:t xml:space="preserve">NOEL (percutaneous): 267 mg/kg </w:t>
            </w:r>
            <w:proofErr w:type="spellStart"/>
            <w:r w:rsidRPr="007512B7">
              <w:rPr>
                <w:rFonts w:asciiTheme="minorHAnsi" w:hAnsiTheme="minorHAnsi" w:cstheme="minorHAnsi"/>
                <w:snapToGrid w:val="0"/>
              </w:rPr>
              <w:t>bw</w:t>
            </w:r>
            <w:proofErr w:type="spellEnd"/>
            <w:r w:rsidRPr="007512B7">
              <w:rPr>
                <w:rFonts w:asciiTheme="minorHAnsi" w:hAnsiTheme="minorHAnsi" w:cstheme="minorHAnsi"/>
                <w:snapToGrid w:val="0"/>
              </w:rPr>
              <w:t xml:space="preserve">/day (rabbits) </w:t>
            </w:r>
          </w:p>
        </w:tc>
      </w:tr>
      <w:tr w:rsidR="003F2CEC" w:rsidRPr="0074486E" w14:paraId="488CB7FD" w14:textId="77777777" w:rsidTr="007512B7">
        <w:trPr>
          <w:trHeight w:val="725"/>
          <w:jc w:val="center"/>
        </w:trPr>
        <w:tc>
          <w:tcPr>
            <w:tcW w:w="1482" w:type="dxa"/>
            <w:vAlign w:val="center"/>
          </w:tcPr>
          <w:p w14:paraId="72B63557" w14:textId="77777777" w:rsidR="003F2CEC" w:rsidRPr="007512B7" w:rsidRDefault="003F2CEC" w:rsidP="00E07077">
            <w:pPr>
              <w:pStyle w:val="Tabletextleft"/>
              <w:rPr>
                <w:rFonts w:asciiTheme="minorHAnsi" w:hAnsiTheme="minorHAnsi" w:cstheme="minorHAnsi"/>
              </w:rPr>
            </w:pPr>
            <w:proofErr w:type="spellStart"/>
            <w:r w:rsidRPr="007512B7">
              <w:rPr>
                <w:rFonts w:asciiTheme="minorHAnsi" w:hAnsiTheme="minorHAnsi" w:cstheme="minorHAnsi"/>
              </w:rPr>
              <w:t>Ethylhexyl</w:t>
            </w:r>
            <w:proofErr w:type="spellEnd"/>
            <w:r w:rsidRPr="007512B7">
              <w:rPr>
                <w:rFonts w:asciiTheme="minorHAnsi" w:hAnsiTheme="minorHAnsi" w:cstheme="minorHAnsi"/>
              </w:rPr>
              <w:t xml:space="preserve"> </w:t>
            </w:r>
            <w:proofErr w:type="spellStart"/>
            <w:r w:rsidRPr="007512B7">
              <w:rPr>
                <w:rFonts w:asciiTheme="minorHAnsi" w:hAnsiTheme="minorHAnsi" w:cstheme="minorHAnsi"/>
              </w:rPr>
              <w:t>triazone</w:t>
            </w:r>
            <w:proofErr w:type="spellEnd"/>
          </w:p>
          <w:p w14:paraId="532935D4"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(ECHA 2021b; DEPA 2015</w:t>
            </w:r>
          </w:p>
        </w:tc>
        <w:tc>
          <w:tcPr>
            <w:tcW w:w="2835" w:type="dxa"/>
            <w:tcMar>
              <w:top w:w="57" w:type="dxa"/>
              <w:left w:w="57" w:type="dxa"/>
              <w:bottom w:w="57" w:type="dxa"/>
              <w:right w:w="57" w:type="dxa"/>
            </w:tcMar>
            <w:vAlign w:val="center"/>
          </w:tcPr>
          <w:p w14:paraId="6F02DD28" w14:textId="77777777" w:rsidR="003F2CEC" w:rsidRPr="007512B7" w:rsidRDefault="003F2CEC" w:rsidP="00E07077">
            <w:pPr>
              <w:pStyle w:val="Tabletextleft"/>
              <w:rPr>
                <w:rFonts w:asciiTheme="minorHAnsi" w:hAnsiTheme="minorHAnsi" w:cstheme="minorHAnsi"/>
                <w:kern w:val="2"/>
              </w:rPr>
            </w:pPr>
            <w:r w:rsidRPr="007512B7">
              <w:rPr>
                <w:rFonts w:asciiTheme="minorHAnsi" w:hAnsiTheme="minorHAnsi" w:cstheme="minorHAnsi"/>
              </w:rPr>
              <w:t>Rats (</w:t>
            </w:r>
            <w:proofErr w:type="spellStart"/>
            <w:r w:rsidRPr="007512B7">
              <w:rPr>
                <w:rFonts w:asciiTheme="minorHAnsi" w:hAnsiTheme="minorHAnsi" w:cstheme="minorHAnsi"/>
              </w:rPr>
              <w:t>wistar</w:t>
            </w:r>
            <w:proofErr w:type="spellEnd"/>
            <w:r w:rsidRPr="007512B7">
              <w:rPr>
                <w:rFonts w:asciiTheme="minorHAnsi" w:hAnsiTheme="minorHAnsi" w:cstheme="minorHAnsi"/>
              </w:rPr>
              <w:t>), Prenatal Developmental Toxicity study (</w:t>
            </w:r>
            <w:r w:rsidRPr="007512B7">
              <w:rPr>
                <w:rFonts w:asciiTheme="minorHAnsi" w:hAnsiTheme="minorHAnsi" w:cstheme="minorHAnsi"/>
                <w:i/>
                <w:iCs/>
              </w:rPr>
              <w:t>n</w:t>
            </w:r>
            <w:r w:rsidRPr="007512B7">
              <w:rPr>
                <w:rFonts w:asciiTheme="minorHAnsi" w:hAnsiTheme="minorHAnsi" w:cstheme="minorHAnsi"/>
              </w:rPr>
              <w:t xml:space="preserve">=25/dose). Dosing the dams 7 days/week for an unspecified period (0, 100, 400 and 1000 mg/kg </w:t>
            </w:r>
            <w:proofErr w:type="spellStart"/>
            <w:r w:rsidRPr="007512B7">
              <w:rPr>
                <w:rFonts w:asciiTheme="minorHAnsi" w:hAnsiTheme="minorHAnsi" w:cstheme="minorHAnsi"/>
              </w:rPr>
              <w:t>bw</w:t>
            </w:r>
            <w:proofErr w:type="spellEnd"/>
            <w:r w:rsidRPr="007512B7">
              <w:rPr>
                <w:rFonts w:asciiTheme="minorHAnsi" w:hAnsiTheme="minorHAnsi" w:cstheme="minorHAnsi"/>
              </w:rPr>
              <w:t>/day).</w:t>
            </w:r>
          </w:p>
        </w:tc>
        <w:tc>
          <w:tcPr>
            <w:tcW w:w="5226" w:type="dxa"/>
            <w:vAlign w:val="center"/>
          </w:tcPr>
          <w:p w14:paraId="5BEB2AE3"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No treatment-related effects reported.</w:t>
            </w:r>
          </w:p>
          <w:p w14:paraId="67D91AE8"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Maternal NOAEL = 1000 mg/kg </w:t>
            </w:r>
            <w:proofErr w:type="spellStart"/>
            <w:r w:rsidRPr="007512B7">
              <w:rPr>
                <w:rFonts w:asciiTheme="minorHAnsi" w:hAnsiTheme="minorHAnsi" w:cstheme="minorHAnsi"/>
              </w:rPr>
              <w:t>bw</w:t>
            </w:r>
            <w:proofErr w:type="spellEnd"/>
            <w:r w:rsidRPr="007512B7">
              <w:rPr>
                <w:rFonts w:asciiTheme="minorHAnsi" w:hAnsiTheme="minorHAnsi" w:cstheme="minorHAnsi"/>
              </w:rPr>
              <w:t>/</w:t>
            </w:r>
            <w:proofErr w:type="gramStart"/>
            <w:r w:rsidRPr="007512B7">
              <w:rPr>
                <w:rFonts w:asciiTheme="minorHAnsi" w:hAnsiTheme="minorHAnsi" w:cstheme="minorHAnsi"/>
              </w:rPr>
              <w:t>day;</w:t>
            </w:r>
            <w:proofErr w:type="gramEnd"/>
          </w:p>
          <w:p w14:paraId="0EEA2B53"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Developmental NOAEL = 1000 mg/kg </w:t>
            </w:r>
            <w:proofErr w:type="spellStart"/>
            <w:r w:rsidRPr="007512B7">
              <w:rPr>
                <w:rFonts w:asciiTheme="minorHAnsi" w:hAnsiTheme="minorHAnsi" w:cstheme="minorHAnsi"/>
              </w:rPr>
              <w:t>bw</w:t>
            </w:r>
            <w:proofErr w:type="spellEnd"/>
            <w:r w:rsidRPr="007512B7">
              <w:rPr>
                <w:rFonts w:asciiTheme="minorHAnsi" w:hAnsiTheme="minorHAnsi" w:cstheme="minorHAnsi"/>
              </w:rPr>
              <w:t>/day</w:t>
            </w:r>
          </w:p>
        </w:tc>
      </w:tr>
      <w:tr w:rsidR="003F2CEC" w:rsidRPr="0074486E" w14:paraId="684F4357" w14:textId="77777777" w:rsidTr="007512B7">
        <w:trPr>
          <w:trHeight w:val="725"/>
          <w:jc w:val="center"/>
        </w:trPr>
        <w:tc>
          <w:tcPr>
            <w:tcW w:w="1482" w:type="dxa"/>
            <w:vAlign w:val="center"/>
          </w:tcPr>
          <w:p w14:paraId="597B3E86" w14:textId="77777777" w:rsidR="003F2CEC" w:rsidRPr="007512B7" w:rsidRDefault="003F2CEC" w:rsidP="00E07077">
            <w:pPr>
              <w:pStyle w:val="Tabletextleft"/>
              <w:rPr>
                <w:rFonts w:asciiTheme="minorHAnsi" w:hAnsiTheme="minorHAnsi" w:cstheme="minorHAnsi"/>
              </w:rPr>
            </w:pPr>
            <w:proofErr w:type="spellStart"/>
            <w:r w:rsidRPr="007512B7">
              <w:rPr>
                <w:rFonts w:asciiTheme="minorHAnsi" w:hAnsiTheme="minorHAnsi" w:cstheme="minorHAnsi"/>
              </w:rPr>
              <w:t>Homosalate</w:t>
            </w:r>
            <w:proofErr w:type="spellEnd"/>
            <w:r w:rsidRPr="007512B7">
              <w:rPr>
                <w:rFonts w:asciiTheme="minorHAnsi" w:hAnsiTheme="minorHAnsi" w:cstheme="minorHAnsi"/>
              </w:rPr>
              <w:t xml:space="preserve"> </w:t>
            </w:r>
          </w:p>
          <w:p w14:paraId="681A7DCF"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(SCCS 2021</w:t>
            </w:r>
            <w:proofErr w:type="gramStart"/>
            <w:r w:rsidRPr="007512B7">
              <w:rPr>
                <w:rFonts w:asciiTheme="minorHAnsi" w:hAnsiTheme="minorHAnsi" w:cstheme="minorHAnsi"/>
              </w:rPr>
              <w:t>b,c</w:t>
            </w:r>
            <w:proofErr w:type="gramEnd"/>
            <w:r w:rsidRPr="007512B7">
              <w:rPr>
                <w:rFonts w:asciiTheme="minorHAnsi" w:hAnsiTheme="minorHAnsi" w:cstheme="minorHAnsi"/>
              </w:rPr>
              <w:t>; ECHA 2021c)</w:t>
            </w:r>
          </w:p>
        </w:tc>
        <w:tc>
          <w:tcPr>
            <w:tcW w:w="8061" w:type="dxa"/>
            <w:gridSpan w:val="2"/>
            <w:tcMar>
              <w:top w:w="57" w:type="dxa"/>
              <w:left w:w="57" w:type="dxa"/>
              <w:bottom w:w="57" w:type="dxa"/>
              <w:right w:w="57" w:type="dxa"/>
            </w:tcMar>
            <w:vAlign w:val="center"/>
          </w:tcPr>
          <w:p w14:paraId="5B5953F3"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The evaluation of potential toxicity of </w:t>
            </w:r>
            <w:proofErr w:type="spellStart"/>
            <w:r w:rsidRPr="007512B7">
              <w:rPr>
                <w:rFonts w:asciiTheme="minorHAnsi" w:hAnsiTheme="minorHAnsi" w:cstheme="minorHAnsi"/>
              </w:rPr>
              <w:t>homosalate</w:t>
            </w:r>
            <w:proofErr w:type="spellEnd"/>
            <w:r w:rsidRPr="007512B7">
              <w:rPr>
                <w:rFonts w:asciiTheme="minorHAnsi" w:hAnsiTheme="minorHAnsi" w:cstheme="minorHAnsi"/>
              </w:rPr>
              <w:t xml:space="preserve"> on fertility and development was performed in a combined repeat dose toxicity study with the reproduction/developmental toxicity-screening test (described above in repeat-dose toxicity section).</w:t>
            </w:r>
          </w:p>
          <w:p w14:paraId="0CF684BF" w14:textId="00F8406B"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The study findings were considered as inconclusive and unreliable due to a technical error that maintained the animals under a constant light.  In the context of a compliance check process under REACH, the ECHA adopted a decision in 2018 requesting a sub-chronic toxicity study, a prenatal developmental toxicity study, an extended one-generation reproductive toxicity study, and the identification of degradation products (ECHA 2018, ECHA decision CCH-D-2114386909-26-01/F). An appeal was filed against this decision; however, the Board of Appeal dismissed the appeal and decided that the information must be provided by 25 February 2024.</w:t>
            </w:r>
          </w:p>
        </w:tc>
      </w:tr>
      <w:tr w:rsidR="003F2CEC" w:rsidRPr="0074486E" w14:paraId="19263CA5" w14:textId="77777777" w:rsidTr="007512B7">
        <w:trPr>
          <w:trHeight w:val="84"/>
          <w:jc w:val="center"/>
        </w:trPr>
        <w:tc>
          <w:tcPr>
            <w:tcW w:w="1482" w:type="dxa"/>
            <w:vMerge w:val="restart"/>
            <w:vAlign w:val="center"/>
          </w:tcPr>
          <w:p w14:paraId="43D74409"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Oxybenzone </w:t>
            </w:r>
          </w:p>
          <w:p w14:paraId="783A8C62" w14:textId="4ECBE7BE" w:rsidR="003F2CEC" w:rsidRPr="007512B7" w:rsidRDefault="003F2CEC" w:rsidP="00BA4549">
            <w:pPr>
              <w:pStyle w:val="Tabletextleft"/>
              <w:rPr>
                <w:rFonts w:asciiTheme="minorHAnsi" w:hAnsiTheme="minorHAnsi" w:cstheme="minorHAnsi"/>
              </w:rPr>
            </w:pPr>
            <w:r w:rsidRPr="007512B7">
              <w:rPr>
                <w:rFonts w:asciiTheme="minorHAnsi" w:hAnsiTheme="minorHAnsi" w:cstheme="minorHAnsi"/>
              </w:rPr>
              <w:t>(SCCP 2006a; 2021c)</w:t>
            </w:r>
          </w:p>
        </w:tc>
        <w:tc>
          <w:tcPr>
            <w:tcW w:w="2835" w:type="dxa"/>
            <w:tcMar>
              <w:top w:w="57" w:type="dxa"/>
              <w:left w:w="57" w:type="dxa"/>
              <w:bottom w:w="57" w:type="dxa"/>
              <w:right w:w="57" w:type="dxa"/>
            </w:tcMar>
            <w:vAlign w:val="center"/>
          </w:tcPr>
          <w:p w14:paraId="792889C7"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Mice (CD-1), RACB (Reproductive Assessment by Continuous Breeding): 1850, 3950, 9050 mg/kg </w:t>
            </w:r>
            <w:proofErr w:type="spellStart"/>
            <w:r w:rsidRPr="007512B7">
              <w:rPr>
                <w:rFonts w:asciiTheme="minorHAnsi" w:hAnsiTheme="minorHAnsi" w:cstheme="minorHAnsi"/>
              </w:rPr>
              <w:t>bw</w:t>
            </w:r>
            <w:proofErr w:type="spellEnd"/>
            <w:r w:rsidRPr="007512B7">
              <w:rPr>
                <w:rFonts w:asciiTheme="minorHAnsi" w:hAnsiTheme="minorHAnsi" w:cstheme="minorHAnsi"/>
              </w:rPr>
              <w:t xml:space="preserve">/day (14 days; </w:t>
            </w:r>
            <w:r w:rsidRPr="007512B7">
              <w:rPr>
                <w:rFonts w:asciiTheme="minorHAnsi" w:hAnsiTheme="minorHAnsi" w:cstheme="minorHAnsi"/>
                <w:i/>
                <w:iCs/>
              </w:rPr>
              <w:t>n</w:t>
            </w:r>
            <w:r w:rsidRPr="007512B7">
              <w:rPr>
                <w:rFonts w:asciiTheme="minorHAnsi" w:hAnsiTheme="minorHAnsi" w:cstheme="minorHAnsi"/>
              </w:rPr>
              <w:t xml:space="preserve">=20/sex); 1000, 2100, 4700, 10200, 15700 mg/kg </w:t>
            </w:r>
            <w:proofErr w:type="spellStart"/>
            <w:r w:rsidRPr="007512B7">
              <w:rPr>
                <w:rFonts w:asciiTheme="minorHAnsi" w:hAnsiTheme="minorHAnsi" w:cstheme="minorHAnsi"/>
              </w:rPr>
              <w:t>bw</w:t>
            </w:r>
            <w:proofErr w:type="spellEnd"/>
            <w:r w:rsidRPr="007512B7">
              <w:rPr>
                <w:rFonts w:asciiTheme="minorHAnsi" w:hAnsiTheme="minorHAnsi" w:cstheme="minorHAnsi"/>
              </w:rPr>
              <w:t xml:space="preserve">/day (14 weeks; </w:t>
            </w:r>
            <w:r w:rsidRPr="007512B7">
              <w:rPr>
                <w:rFonts w:asciiTheme="minorHAnsi" w:hAnsiTheme="minorHAnsi" w:cstheme="minorHAnsi"/>
                <w:i/>
                <w:iCs/>
              </w:rPr>
              <w:t>n</w:t>
            </w:r>
            <w:r w:rsidRPr="007512B7">
              <w:rPr>
                <w:rFonts w:asciiTheme="minorHAnsi" w:hAnsiTheme="minorHAnsi" w:cstheme="minorHAnsi"/>
              </w:rPr>
              <w:t>=8/sex)</w:t>
            </w:r>
          </w:p>
        </w:tc>
        <w:tc>
          <w:tcPr>
            <w:tcW w:w="5226" w:type="dxa"/>
            <w:vAlign w:val="center"/>
          </w:tcPr>
          <w:p w14:paraId="233A9300"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No effect on fertility at doses up to 8600/9500 mg/kg </w:t>
            </w:r>
            <w:proofErr w:type="spellStart"/>
            <w:r w:rsidRPr="007512B7">
              <w:rPr>
                <w:rFonts w:asciiTheme="minorHAnsi" w:hAnsiTheme="minorHAnsi" w:cstheme="minorHAnsi"/>
              </w:rPr>
              <w:t>bw</w:t>
            </w:r>
            <w:proofErr w:type="spellEnd"/>
            <w:r w:rsidRPr="007512B7">
              <w:rPr>
                <w:rFonts w:asciiTheme="minorHAnsi" w:hAnsiTheme="minorHAnsi" w:cstheme="minorHAnsi"/>
              </w:rPr>
              <w:t>/day in</w:t>
            </w:r>
            <w:r w:rsidRPr="007512B7">
              <w:rPr>
                <w:rFonts w:asciiTheme="minorHAnsi" w:eastAsia="Cambria" w:hAnsiTheme="minorHAnsi" w:cstheme="minorHAnsi"/>
                <w:kern w:val="0"/>
              </w:rPr>
              <w:t>♂</w:t>
            </w:r>
            <w:r w:rsidRPr="007512B7">
              <w:rPr>
                <w:rFonts w:asciiTheme="minorHAnsi" w:eastAsia="Cambria" w:hAnsiTheme="minorHAnsi" w:cstheme="minorHAnsi"/>
              </w:rPr>
              <w:t xml:space="preserve"> </w:t>
            </w:r>
            <w:r w:rsidRPr="007512B7">
              <w:rPr>
                <w:rFonts w:asciiTheme="minorHAnsi" w:hAnsiTheme="minorHAnsi" w:cstheme="minorHAnsi"/>
              </w:rPr>
              <w:t>/</w:t>
            </w:r>
            <w:r w:rsidRPr="007512B7">
              <w:rPr>
                <w:rFonts w:asciiTheme="minorHAnsi" w:eastAsia="Cambria" w:hAnsiTheme="minorHAnsi" w:cstheme="minorHAnsi"/>
                <w:kern w:val="0"/>
              </w:rPr>
              <w:t>♀</w:t>
            </w:r>
            <w:r w:rsidRPr="007512B7">
              <w:rPr>
                <w:rFonts w:asciiTheme="minorHAnsi" w:hAnsiTheme="minorHAnsi" w:cstheme="minorHAnsi"/>
              </w:rPr>
              <w:t xml:space="preserve"> mice (highest dose). Effects on reproductive performance included a slightly lower number of live pups at birth. Impaired body weight/body weight gain in pups was also observed. All effects were observed at dose levels resulting maternal toxicity including decreased bodyweight and premature death at doses of 1850 mg/kg </w:t>
            </w:r>
            <w:proofErr w:type="spellStart"/>
            <w:r w:rsidRPr="007512B7">
              <w:rPr>
                <w:rFonts w:asciiTheme="minorHAnsi" w:hAnsiTheme="minorHAnsi" w:cstheme="minorHAnsi"/>
              </w:rPr>
              <w:t>bw</w:t>
            </w:r>
            <w:proofErr w:type="spellEnd"/>
            <w:r w:rsidRPr="007512B7">
              <w:rPr>
                <w:rFonts w:asciiTheme="minorHAnsi" w:hAnsiTheme="minorHAnsi" w:cstheme="minorHAnsi"/>
              </w:rPr>
              <w:t xml:space="preserve">/day. The NOAEL for systemic, reproductive and developmental toxicity was 1800/1900 mg/kg </w:t>
            </w:r>
            <w:proofErr w:type="spellStart"/>
            <w:r w:rsidRPr="007512B7">
              <w:rPr>
                <w:rFonts w:asciiTheme="minorHAnsi" w:hAnsiTheme="minorHAnsi" w:cstheme="minorHAnsi"/>
              </w:rPr>
              <w:t>bw</w:t>
            </w:r>
            <w:proofErr w:type="spellEnd"/>
            <w:r w:rsidRPr="007512B7">
              <w:rPr>
                <w:rFonts w:asciiTheme="minorHAnsi" w:hAnsiTheme="minorHAnsi" w:cstheme="minorHAnsi"/>
              </w:rPr>
              <w:t>/day in males/females.</w:t>
            </w:r>
          </w:p>
        </w:tc>
      </w:tr>
      <w:tr w:rsidR="003F2CEC" w:rsidRPr="0074486E" w14:paraId="313B5417" w14:textId="77777777" w:rsidTr="007512B7">
        <w:trPr>
          <w:trHeight w:val="82"/>
          <w:jc w:val="center"/>
        </w:trPr>
        <w:tc>
          <w:tcPr>
            <w:tcW w:w="1482" w:type="dxa"/>
            <w:vMerge/>
          </w:tcPr>
          <w:p w14:paraId="6AF15104" w14:textId="77777777" w:rsidR="003F2CEC" w:rsidRPr="007512B7" w:rsidRDefault="003F2CEC" w:rsidP="00E07077">
            <w:pPr>
              <w:pStyle w:val="Tabletextleft"/>
              <w:rPr>
                <w:rFonts w:asciiTheme="minorHAnsi" w:hAnsiTheme="minorHAnsi" w:cstheme="minorHAnsi"/>
              </w:rPr>
            </w:pPr>
          </w:p>
        </w:tc>
        <w:tc>
          <w:tcPr>
            <w:tcW w:w="2835" w:type="dxa"/>
            <w:tcMar>
              <w:top w:w="57" w:type="dxa"/>
              <w:left w:w="57" w:type="dxa"/>
              <w:bottom w:w="57" w:type="dxa"/>
              <w:right w:w="57" w:type="dxa"/>
            </w:tcMar>
            <w:vAlign w:val="center"/>
          </w:tcPr>
          <w:p w14:paraId="46BE06CE"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Rats (F344/N; </w:t>
            </w:r>
            <w:r w:rsidRPr="007512B7">
              <w:rPr>
                <w:rFonts w:asciiTheme="minorHAnsi" w:hAnsiTheme="minorHAnsi" w:cstheme="minorHAnsi"/>
                <w:i/>
                <w:iCs/>
              </w:rPr>
              <w:t>n</w:t>
            </w:r>
            <w:r w:rsidRPr="007512B7">
              <w:rPr>
                <w:rFonts w:asciiTheme="minorHAnsi" w:hAnsiTheme="minorHAnsi" w:cstheme="minorHAnsi"/>
              </w:rPr>
              <w:t xml:space="preserve">=10/sex) and mice (B6C3F1; </w:t>
            </w:r>
            <w:r w:rsidRPr="007512B7">
              <w:rPr>
                <w:rFonts w:asciiTheme="minorHAnsi" w:hAnsiTheme="minorHAnsi" w:cstheme="minorHAnsi"/>
                <w:i/>
                <w:iCs/>
              </w:rPr>
              <w:t>n</w:t>
            </w:r>
            <w:r w:rsidRPr="007512B7">
              <w:rPr>
                <w:rFonts w:asciiTheme="minorHAnsi" w:hAnsiTheme="minorHAnsi" w:cstheme="minorHAnsi"/>
              </w:rPr>
              <w:t>=10/sex):</w:t>
            </w:r>
          </w:p>
          <w:p w14:paraId="0317EC86"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0, 3125, 12500, 50000 ppm (equivalent to 204, 828, 3458 mg/kg </w:t>
            </w:r>
            <w:proofErr w:type="spellStart"/>
            <w:r w:rsidRPr="007512B7">
              <w:rPr>
                <w:rFonts w:asciiTheme="minorHAnsi" w:hAnsiTheme="minorHAnsi" w:cstheme="minorHAnsi"/>
              </w:rPr>
              <w:t>bw</w:t>
            </w:r>
            <w:proofErr w:type="spellEnd"/>
            <w:r w:rsidRPr="007512B7">
              <w:rPr>
                <w:rFonts w:asciiTheme="minorHAnsi" w:hAnsiTheme="minorHAnsi" w:cstheme="minorHAnsi"/>
              </w:rPr>
              <w:t xml:space="preserve">/day in rats and 554, 2860, 16238 mg/kg </w:t>
            </w:r>
            <w:proofErr w:type="spellStart"/>
            <w:r w:rsidRPr="007512B7">
              <w:rPr>
                <w:rFonts w:asciiTheme="minorHAnsi" w:hAnsiTheme="minorHAnsi" w:cstheme="minorHAnsi"/>
              </w:rPr>
              <w:t>bw</w:t>
            </w:r>
            <w:proofErr w:type="spellEnd"/>
            <w:r w:rsidRPr="007512B7">
              <w:rPr>
                <w:rFonts w:asciiTheme="minorHAnsi" w:hAnsiTheme="minorHAnsi" w:cstheme="minorHAnsi"/>
              </w:rPr>
              <w:t>/day in mice);13 weeks (dietary)</w:t>
            </w:r>
          </w:p>
        </w:tc>
        <w:tc>
          <w:tcPr>
            <w:tcW w:w="5226" w:type="dxa"/>
            <w:vAlign w:val="center"/>
          </w:tcPr>
          <w:p w14:paraId="47D9826F" w14:textId="5B0EAF48"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 Epididymal sperm counts, and decreased absolute cauda, epididymal and testis weight </w:t>
            </w:r>
            <w:proofErr w:type="gramStart"/>
            <w:r w:rsidRPr="007512B7">
              <w:rPr>
                <w:rFonts w:asciiTheme="minorHAnsi" w:hAnsiTheme="minorHAnsi" w:cstheme="minorHAnsi"/>
              </w:rPr>
              <w:t>as a consequence of</w:t>
            </w:r>
            <w:proofErr w:type="gramEnd"/>
            <w:r w:rsidRPr="007512B7">
              <w:rPr>
                <w:rFonts w:asciiTheme="minorHAnsi" w:hAnsiTheme="minorHAnsi" w:cstheme="minorHAnsi"/>
              </w:rPr>
              <w:t xml:space="preserve"> the reduced body weight in male rats and ↑ in the length of the oestrous cycle in female rats.</w:t>
            </w:r>
          </w:p>
          <w:p w14:paraId="7E6DA72D" w14:textId="7F863791"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in the epididymal sperm count and ↑ the incidence of abnormal sperm was observed in male mice, and there was an ↑ in the length of the oestrous cycle in female mice (as seen in rats).</w:t>
            </w:r>
          </w:p>
          <w:p w14:paraId="4FB36BCC"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Oestrous cyclicity was not affected in either rats or mice. NOAEL for reproductive parameters was established at 828 mg/kg </w:t>
            </w:r>
            <w:proofErr w:type="spellStart"/>
            <w:r w:rsidRPr="007512B7">
              <w:rPr>
                <w:rFonts w:asciiTheme="minorHAnsi" w:hAnsiTheme="minorHAnsi" w:cstheme="minorHAnsi"/>
              </w:rPr>
              <w:t>bw</w:t>
            </w:r>
            <w:proofErr w:type="spellEnd"/>
            <w:r w:rsidRPr="007512B7">
              <w:rPr>
                <w:rFonts w:asciiTheme="minorHAnsi" w:hAnsiTheme="minorHAnsi" w:cstheme="minorHAnsi"/>
              </w:rPr>
              <w:t xml:space="preserve">/day in rats and 2860 mg/kg </w:t>
            </w:r>
            <w:proofErr w:type="spellStart"/>
            <w:r w:rsidRPr="007512B7">
              <w:rPr>
                <w:rFonts w:asciiTheme="minorHAnsi" w:hAnsiTheme="minorHAnsi" w:cstheme="minorHAnsi"/>
              </w:rPr>
              <w:t>bw</w:t>
            </w:r>
            <w:proofErr w:type="spellEnd"/>
            <w:r w:rsidRPr="007512B7">
              <w:rPr>
                <w:rFonts w:asciiTheme="minorHAnsi" w:hAnsiTheme="minorHAnsi" w:cstheme="minorHAnsi"/>
              </w:rPr>
              <w:t>/day in mice (SCCP 2006a).</w:t>
            </w:r>
          </w:p>
        </w:tc>
      </w:tr>
      <w:tr w:rsidR="003F2CEC" w:rsidRPr="0074486E" w14:paraId="6085191A" w14:textId="77777777" w:rsidTr="007512B7">
        <w:trPr>
          <w:trHeight w:val="82"/>
          <w:jc w:val="center"/>
        </w:trPr>
        <w:tc>
          <w:tcPr>
            <w:tcW w:w="1482" w:type="dxa"/>
            <w:vMerge/>
          </w:tcPr>
          <w:p w14:paraId="4C15CE2C" w14:textId="77777777" w:rsidR="003F2CEC" w:rsidRPr="007512B7" w:rsidRDefault="003F2CEC" w:rsidP="00E07077">
            <w:pPr>
              <w:pStyle w:val="Tabletextleft"/>
              <w:rPr>
                <w:rFonts w:asciiTheme="minorHAnsi" w:hAnsiTheme="minorHAnsi" w:cstheme="minorHAnsi"/>
              </w:rPr>
            </w:pPr>
          </w:p>
        </w:tc>
        <w:tc>
          <w:tcPr>
            <w:tcW w:w="2835" w:type="dxa"/>
            <w:tcMar>
              <w:top w:w="57" w:type="dxa"/>
              <w:left w:w="57" w:type="dxa"/>
              <w:bottom w:w="57" w:type="dxa"/>
              <w:right w:w="57" w:type="dxa"/>
            </w:tcMar>
            <w:vAlign w:val="center"/>
          </w:tcPr>
          <w:p w14:paraId="7B934353"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Rats (SD; n=not reported) doses up to 200 mg/kg </w:t>
            </w:r>
            <w:proofErr w:type="spellStart"/>
            <w:r w:rsidRPr="007512B7">
              <w:rPr>
                <w:rFonts w:asciiTheme="minorHAnsi" w:hAnsiTheme="minorHAnsi" w:cstheme="minorHAnsi"/>
              </w:rPr>
              <w:t>bw</w:t>
            </w:r>
            <w:proofErr w:type="spellEnd"/>
            <w:r w:rsidRPr="007512B7">
              <w:rPr>
                <w:rFonts w:asciiTheme="minorHAnsi" w:hAnsiTheme="minorHAnsi" w:cstheme="minorHAnsi"/>
              </w:rPr>
              <w:t xml:space="preserve">/day and mice (B6C3F1; </w:t>
            </w:r>
            <w:r w:rsidRPr="007512B7">
              <w:rPr>
                <w:rFonts w:asciiTheme="minorHAnsi" w:hAnsiTheme="minorHAnsi" w:cstheme="minorHAnsi"/>
                <w:i/>
                <w:iCs/>
              </w:rPr>
              <w:t>n</w:t>
            </w:r>
            <w:r w:rsidRPr="007512B7">
              <w:rPr>
                <w:rFonts w:asciiTheme="minorHAnsi" w:hAnsiTheme="minorHAnsi" w:cstheme="minorHAnsi"/>
              </w:rPr>
              <w:t xml:space="preserve">= x </w:t>
            </w:r>
            <w:r w:rsidRPr="007512B7">
              <w:rPr>
                <w:rFonts w:asciiTheme="minorHAnsi" w:eastAsia="Cambria" w:hAnsiTheme="minorHAnsi" w:cstheme="minorHAnsi"/>
                <w:kern w:val="0"/>
              </w:rPr>
              <w:t>♂</w:t>
            </w:r>
            <w:r w:rsidRPr="007512B7">
              <w:rPr>
                <w:rFonts w:asciiTheme="minorHAnsi" w:hAnsiTheme="minorHAnsi" w:cstheme="minorHAnsi"/>
              </w:rPr>
              <w:t xml:space="preserve">);0, 20, 100, 400 mg/kg </w:t>
            </w:r>
            <w:proofErr w:type="spellStart"/>
            <w:r w:rsidRPr="007512B7">
              <w:rPr>
                <w:rFonts w:asciiTheme="minorHAnsi" w:hAnsiTheme="minorHAnsi" w:cstheme="minorHAnsi"/>
              </w:rPr>
              <w:t>bw</w:t>
            </w:r>
            <w:proofErr w:type="spellEnd"/>
            <w:r w:rsidRPr="007512B7">
              <w:rPr>
                <w:rFonts w:asciiTheme="minorHAnsi" w:hAnsiTheme="minorHAnsi" w:cstheme="minorHAnsi"/>
              </w:rPr>
              <w:t>/</w:t>
            </w:r>
            <w:proofErr w:type="gramStart"/>
            <w:r w:rsidRPr="007512B7">
              <w:rPr>
                <w:rFonts w:asciiTheme="minorHAnsi" w:hAnsiTheme="minorHAnsi" w:cstheme="minorHAnsi"/>
              </w:rPr>
              <w:t>day;</w:t>
            </w:r>
            <w:proofErr w:type="gramEnd"/>
          </w:p>
          <w:p w14:paraId="5B8AC315"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13 weeks (dermal)</w:t>
            </w:r>
          </w:p>
        </w:tc>
        <w:tc>
          <w:tcPr>
            <w:tcW w:w="5226" w:type="dxa"/>
            <w:vAlign w:val="center"/>
          </w:tcPr>
          <w:p w14:paraId="756AE740" w14:textId="6055F106"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No effects on selective reproduction parameters and a NOAEL was established at 200 mg/kg </w:t>
            </w:r>
            <w:proofErr w:type="spellStart"/>
            <w:r w:rsidRPr="007512B7">
              <w:rPr>
                <w:rFonts w:asciiTheme="minorHAnsi" w:hAnsiTheme="minorHAnsi" w:cstheme="minorHAnsi"/>
              </w:rPr>
              <w:t>bw</w:t>
            </w:r>
            <w:proofErr w:type="spellEnd"/>
            <w:r w:rsidRPr="007512B7">
              <w:rPr>
                <w:rFonts w:asciiTheme="minorHAnsi" w:hAnsiTheme="minorHAnsi" w:cstheme="minorHAnsi"/>
              </w:rPr>
              <w:t>/day, the highest dose tested in rats.</w:t>
            </w:r>
          </w:p>
          <w:p w14:paraId="21366E4C" w14:textId="5D6755DD"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In mice, there were no effects on reproductive organ weight, cauda epididymal sperm concentration, sperm parameters, testicular spermatid concentration or testicular histology.</w:t>
            </w:r>
          </w:p>
          <w:p w14:paraId="403230C0" w14:textId="5C0C690A"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NOAEL: 400 mg/kg </w:t>
            </w:r>
            <w:proofErr w:type="spellStart"/>
            <w:r w:rsidRPr="007512B7">
              <w:rPr>
                <w:rFonts w:asciiTheme="minorHAnsi" w:hAnsiTheme="minorHAnsi" w:cstheme="minorHAnsi"/>
              </w:rPr>
              <w:t>bw</w:t>
            </w:r>
            <w:proofErr w:type="spellEnd"/>
            <w:r w:rsidRPr="007512B7">
              <w:rPr>
                <w:rFonts w:asciiTheme="minorHAnsi" w:hAnsiTheme="minorHAnsi" w:cstheme="minorHAnsi"/>
              </w:rPr>
              <w:t>/day, the highest dose tested.</w:t>
            </w:r>
          </w:p>
        </w:tc>
      </w:tr>
      <w:tr w:rsidR="003F2CEC" w:rsidRPr="0074486E" w14:paraId="2666A1D7" w14:textId="77777777" w:rsidTr="007512B7">
        <w:trPr>
          <w:trHeight w:val="82"/>
          <w:jc w:val="center"/>
        </w:trPr>
        <w:tc>
          <w:tcPr>
            <w:tcW w:w="1482" w:type="dxa"/>
            <w:vMerge/>
          </w:tcPr>
          <w:p w14:paraId="6D20F51A" w14:textId="77777777" w:rsidR="003F2CEC" w:rsidRPr="007512B7" w:rsidRDefault="003F2CEC" w:rsidP="00E07077">
            <w:pPr>
              <w:pStyle w:val="Tabletextleft"/>
              <w:rPr>
                <w:rFonts w:asciiTheme="minorHAnsi" w:hAnsiTheme="minorHAnsi" w:cstheme="minorHAnsi"/>
              </w:rPr>
            </w:pPr>
          </w:p>
        </w:tc>
        <w:tc>
          <w:tcPr>
            <w:tcW w:w="2835" w:type="dxa"/>
            <w:tcMar>
              <w:top w:w="57" w:type="dxa"/>
              <w:left w:w="57" w:type="dxa"/>
              <w:bottom w:w="57" w:type="dxa"/>
              <w:right w:w="57" w:type="dxa"/>
            </w:tcMar>
            <w:vAlign w:val="center"/>
          </w:tcPr>
          <w:p w14:paraId="2467CD8C"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Prenatal developmental toxicity study in rats (Wistar; </w:t>
            </w:r>
            <w:r w:rsidRPr="007512B7">
              <w:rPr>
                <w:rFonts w:asciiTheme="minorHAnsi" w:hAnsiTheme="minorHAnsi" w:cstheme="minorHAnsi"/>
                <w:i/>
                <w:iCs/>
              </w:rPr>
              <w:t>n</w:t>
            </w:r>
            <w:r w:rsidRPr="007512B7">
              <w:rPr>
                <w:rFonts w:asciiTheme="minorHAnsi" w:hAnsiTheme="minorHAnsi" w:cstheme="minorHAnsi"/>
              </w:rPr>
              <w:t xml:space="preserve">=25 </w:t>
            </w:r>
            <w:r w:rsidRPr="007512B7">
              <w:rPr>
                <w:rFonts w:asciiTheme="minorHAnsi" w:eastAsia="Cambria" w:hAnsiTheme="minorHAnsi" w:cstheme="minorHAnsi"/>
                <w:kern w:val="0"/>
              </w:rPr>
              <w:t>♀</w:t>
            </w:r>
            <w:r w:rsidRPr="007512B7">
              <w:rPr>
                <w:rFonts w:asciiTheme="minorHAnsi" w:hAnsiTheme="minorHAnsi" w:cstheme="minorHAnsi"/>
              </w:rPr>
              <w:t xml:space="preserve">), at doses of 0, 40, 200, 1000 mg/kg </w:t>
            </w:r>
            <w:proofErr w:type="spellStart"/>
            <w:r w:rsidRPr="007512B7">
              <w:rPr>
                <w:rFonts w:asciiTheme="minorHAnsi" w:hAnsiTheme="minorHAnsi" w:cstheme="minorHAnsi"/>
              </w:rPr>
              <w:t>bw</w:t>
            </w:r>
            <w:proofErr w:type="spellEnd"/>
            <w:r w:rsidRPr="007512B7">
              <w:rPr>
                <w:rFonts w:asciiTheme="minorHAnsi" w:hAnsiTheme="minorHAnsi" w:cstheme="minorHAnsi"/>
              </w:rPr>
              <w:t xml:space="preserve">/day PO </w:t>
            </w:r>
          </w:p>
        </w:tc>
        <w:tc>
          <w:tcPr>
            <w:tcW w:w="5226" w:type="dxa"/>
            <w:vAlign w:val="center"/>
          </w:tcPr>
          <w:p w14:paraId="3D454B4D"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Slight ↑ rates of </w:t>
            </w:r>
            <w:proofErr w:type="spellStart"/>
            <w:r w:rsidRPr="007512B7">
              <w:rPr>
                <w:rFonts w:asciiTheme="minorHAnsi" w:hAnsiTheme="minorHAnsi" w:cstheme="minorHAnsi"/>
              </w:rPr>
              <w:t>fetuses</w:t>
            </w:r>
            <w:proofErr w:type="spellEnd"/>
            <w:r w:rsidRPr="007512B7">
              <w:rPr>
                <w:rFonts w:asciiTheme="minorHAnsi" w:hAnsiTheme="minorHAnsi" w:cstheme="minorHAnsi"/>
              </w:rPr>
              <w:t xml:space="preserve">/litter with skeletal variations (incomplete ossification of different skull bones and cervical arch, supernumerary 14th ribs) and therefore ↑ rates of total variations were observed at 1000 mg/kg </w:t>
            </w:r>
            <w:proofErr w:type="spellStart"/>
            <w:r w:rsidRPr="007512B7">
              <w:rPr>
                <w:rFonts w:asciiTheme="minorHAnsi" w:hAnsiTheme="minorHAnsi" w:cstheme="minorHAnsi"/>
              </w:rPr>
              <w:t>bw</w:t>
            </w:r>
            <w:proofErr w:type="spellEnd"/>
            <w:r w:rsidRPr="007512B7">
              <w:rPr>
                <w:rFonts w:asciiTheme="minorHAnsi" w:hAnsiTheme="minorHAnsi" w:cstheme="minorHAnsi"/>
              </w:rPr>
              <w:t xml:space="preserve">/day. These effects were associated with maternal toxicity (clinical signs, reduced bodyweight and food consumption). The NOAEL was established at 200 mg/kg </w:t>
            </w:r>
            <w:proofErr w:type="spellStart"/>
            <w:r w:rsidRPr="007512B7">
              <w:rPr>
                <w:rFonts w:asciiTheme="minorHAnsi" w:hAnsiTheme="minorHAnsi" w:cstheme="minorHAnsi"/>
              </w:rPr>
              <w:t>bw</w:t>
            </w:r>
            <w:proofErr w:type="spellEnd"/>
            <w:r w:rsidRPr="007512B7">
              <w:rPr>
                <w:rFonts w:asciiTheme="minorHAnsi" w:hAnsiTheme="minorHAnsi" w:cstheme="minorHAnsi"/>
              </w:rPr>
              <w:t>/day.</w:t>
            </w:r>
          </w:p>
        </w:tc>
      </w:tr>
      <w:tr w:rsidR="003F2CEC" w:rsidRPr="0074486E" w14:paraId="3175FAB7" w14:textId="77777777" w:rsidTr="007512B7">
        <w:trPr>
          <w:trHeight w:val="82"/>
          <w:jc w:val="center"/>
        </w:trPr>
        <w:tc>
          <w:tcPr>
            <w:tcW w:w="1482" w:type="dxa"/>
            <w:vMerge/>
          </w:tcPr>
          <w:p w14:paraId="4A5B78EA" w14:textId="77777777" w:rsidR="003F2CEC" w:rsidRPr="007512B7" w:rsidRDefault="003F2CEC" w:rsidP="00E07077">
            <w:pPr>
              <w:pStyle w:val="Tabletextleft"/>
              <w:rPr>
                <w:rFonts w:asciiTheme="minorHAnsi" w:hAnsiTheme="minorHAnsi" w:cstheme="minorHAnsi"/>
              </w:rPr>
            </w:pPr>
          </w:p>
        </w:tc>
        <w:tc>
          <w:tcPr>
            <w:tcW w:w="2835" w:type="dxa"/>
            <w:tcMar>
              <w:top w:w="57" w:type="dxa"/>
              <w:left w:w="57" w:type="dxa"/>
              <w:bottom w:w="57" w:type="dxa"/>
              <w:right w:w="57" w:type="dxa"/>
            </w:tcMar>
            <w:vAlign w:val="center"/>
          </w:tcPr>
          <w:p w14:paraId="323A919C"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Reproductive toxicity study in rats (SD) at doses of 3000, 10000 and 30000 ppm (equivalent to 242, 725 and 3689 mg/kg </w:t>
            </w:r>
            <w:proofErr w:type="spellStart"/>
            <w:r w:rsidRPr="007512B7">
              <w:rPr>
                <w:rFonts w:asciiTheme="minorHAnsi" w:hAnsiTheme="minorHAnsi" w:cstheme="minorHAnsi"/>
              </w:rPr>
              <w:t>bw</w:t>
            </w:r>
            <w:proofErr w:type="spellEnd"/>
            <w:r w:rsidRPr="007512B7">
              <w:rPr>
                <w:rFonts w:asciiTheme="minorHAnsi" w:hAnsiTheme="minorHAnsi" w:cstheme="minorHAnsi"/>
              </w:rPr>
              <w:t>/day) in the diet from GD 5-15.</w:t>
            </w:r>
          </w:p>
        </w:tc>
        <w:tc>
          <w:tcPr>
            <w:tcW w:w="5226" w:type="dxa"/>
            <w:vAlign w:val="center"/>
          </w:tcPr>
          <w:p w14:paraId="0BF0D708" w14:textId="63269A1E"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The maternal NOAEL was established at 3000 ppm (206-478 mg/kg </w:t>
            </w:r>
            <w:proofErr w:type="spellStart"/>
            <w:r w:rsidRPr="007512B7">
              <w:rPr>
                <w:rFonts w:asciiTheme="minorHAnsi" w:hAnsiTheme="minorHAnsi" w:cstheme="minorHAnsi"/>
              </w:rPr>
              <w:t>bw</w:t>
            </w:r>
            <w:proofErr w:type="spellEnd"/>
            <w:r w:rsidRPr="007512B7">
              <w:rPr>
                <w:rFonts w:asciiTheme="minorHAnsi" w:hAnsiTheme="minorHAnsi" w:cstheme="minorHAnsi"/>
              </w:rPr>
              <w:t xml:space="preserve">/day) based on reduced bodyweight gain during GD 6-9 and lactation day 4-21. The developmental NOEL was established at 3000 ppm (206-478 mg/kg </w:t>
            </w:r>
            <w:proofErr w:type="spellStart"/>
            <w:r w:rsidRPr="007512B7">
              <w:rPr>
                <w:rFonts w:asciiTheme="minorHAnsi" w:hAnsiTheme="minorHAnsi" w:cstheme="minorHAnsi"/>
              </w:rPr>
              <w:t>bw</w:t>
            </w:r>
            <w:proofErr w:type="spellEnd"/>
            <w:r w:rsidRPr="007512B7">
              <w:rPr>
                <w:rFonts w:asciiTheme="minorHAnsi" w:hAnsiTheme="minorHAnsi" w:cstheme="minorHAnsi"/>
              </w:rPr>
              <w:t xml:space="preserve">/day) based on impaired postnatal bodyweight performance at 10000 ppm (660-1609 mg/kg </w:t>
            </w:r>
            <w:proofErr w:type="spellStart"/>
            <w:r w:rsidRPr="007512B7">
              <w:rPr>
                <w:rFonts w:asciiTheme="minorHAnsi" w:hAnsiTheme="minorHAnsi" w:cstheme="minorHAnsi"/>
              </w:rPr>
              <w:t>bw</w:t>
            </w:r>
            <w:proofErr w:type="spellEnd"/>
            <w:r w:rsidRPr="007512B7">
              <w:rPr>
                <w:rFonts w:asciiTheme="minorHAnsi" w:hAnsiTheme="minorHAnsi" w:cstheme="minorHAnsi"/>
              </w:rPr>
              <w:t>/day) (SCCS 2021e).</w:t>
            </w:r>
          </w:p>
        </w:tc>
      </w:tr>
      <w:tr w:rsidR="003F2CEC" w:rsidRPr="0074486E" w14:paraId="7B326F0C" w14:textId="77777777" w:rsidTr="007512B7">
        <w:trPr>
          <w:trHeight w:val="82"/>
          <w:jc w:val="center"/>
        </w:trPr>
        <w:tc>
          <w:tcPr>
            <w:tcW w:w="1482" w:type="dxa"/>
            <w:vMerge/>
          </w:tcPr>
          <w:p w14:paraId="162009C9" w14:textId="77777777" w:rsidR="003F2CEC" w:rsidRPr="007512B7" w:rsidRDefault="003F2CEC" w:rsidP="00E07077">
            <w:pPr>
              <w:pStyle w:val="Tabletextleft"/>
              <w:rPr>
                <w:rFonts w:asciiTheme="minorHAnsi" w:hAnsiTheme="minorHAnsi" w:cstheme="minorHAnsi"/>
              </w:rPr>
            </w:pPr>
          </w:p>
        </w:tc>
        <w:tc>
          <w:tcPr>
            <w:tcW w:w="2835" w:type="dxa"/>
            <w:tcMar>
              <w:top w:w="57" w:type="dxa"/>
              <w:left w:w="57" w:type="dxa"/>
              <w:bottom w:w="57" w:type="dxa"/>
              <w:right w:w="57" w:type="dxa"/>
            </w:tcMar>
            <w:vAlign w:val="center"/>
          </w:tcPr>
          <w:p w14:paraId="66242C8C"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Nakamura </w:t>
            </w:r>
            <w:r w:rsidRPr="007512B7">
              <w:rPr>
                <w:rFonts w:asciiTheme="minorHAnsi" w:hAnsiTheme="minorHAnsi" w:cstheme="minorHAnsi"/>
                <w:i/>
                <w:iCs/>
              </w:rPr>
              <w:t>et al.</w:t>
            </w:r>
            <w:r w:rsidRPr="007512B7">
              <w:rPr>
                <w:rFonts w:asciiTheme="minorHAnsi" w:hAnsiTheme="minorHAnsi" w:cstheme="minorHAnsi"/>
              </w:rPr>
              <w:t xml:space="preserve"> (2015) </w:t>
            </w:r>
          </w:p>
          <w:p w14:paraId="14CDF079"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Reproductive toxicity study in rats (SD; </w:t>
            </w:r>
            <w:r w:rsidRPr="007512B7">
              <w:rPr>
                <w:rFonts w:asciiTheme="minorHAnsi" w:hAnsiTheme="minorHAnsi" w:cstheme="minorHAnsi"/>
                <w:i/>
                <w:iCs/>
              </w:rPr>
              <w:t>n</w:t>
            </w:r>
            <w:r w:rsidRPr="007512B7">
              <w:rPr>
                <w:rFonts w:asciiTheme="minorHAnsi" w:hAnsiTheme="minorHAnsi" w:cstheme="minorHAnsi"/>
              </w:rPr>
              <w:t xml:space="preserve">=7-8 mated </w:t>
            </w:r>
            <w:r w:rsidRPr="007512B7">
              <w:rPr>
                <w:rFonts w:asciiTheme="minorHAnsi" w:eastAsia="Cambria" w:hAnsiTheme="minorHAnsi" w:cstheme="minorHAnsi"/>
                <w:kern w:val="0"/>
              </w:rPr>
              <w:t>♀</w:t>
            </w:r>
            <w:proofErr w:type="gramStart"/>
            <w:r w:rsidRPr="007512B7">
              <w:rPr>
                <w:rFonts w:asciiTheme="minorHAnsi" w:hAnsiTheme="minorHAnsi" w:cstheme="minorHAnsi"/>
              </w:rPr>
              <w:t>);</w:t>
            </w:r>
            <w:proofErr w:type="gramEnd"/>
          </w:p>
          <w:p w14:paraId="3B8EFDDE"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Doses: 0, 1000, 3000, 10,000, 25,000, or 50,000 ppm, equivalent to 67.9, 207.1, 670.8, 1798.3, and 3448.2 mg/kg </w:t>
            </w:r>
            <w:proofErr w:type="spellStart"/>
            <w:r w:rsidRPr="007512B7">
              <w:rPr>
                <w:rFonts w:asciiTheme="minorHAnsi" w:hAnsiTheme="minorHAnsi" w:cstheme="minorHAnsi"/>
              </w:rPr>
              <w:t>bw</w:t>
            </w:r>
            <w:proofErr w:type="spellEnd"/>
            <w:r w:rsidRPr="007512B7">
              <w:rPr>
                <w:rFonts w:asciiTheme="minorHAnsi" w:hAnsiTheme="minorHAnsi" w:cstheme="minorHAnsi"/>
              </w:rPr>
              <w:t>/day, respectively. Treatment from GD6-PND23.</w:t>
            </w:r>
          </w:p>
          <w:p w14:paraId="77ADF20E" w14:textId="5AF369E8"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The effects of maternal exposure during gestation and lactation on development and reproductive organs of offspring of mated female rats was examined.</w:t>
            </w:r>
          </w:p>
        </w:tc>
        <w:tc>
          <w:tcPr>
            <w:tcW w:w="5226" w:type="dxa"/>
            <w:vAlign w:val="center"/>
          </w:tcPr>
          <w:p w14:paraId="1D986A4B" w14:textId="4732D088" w:rsidR="003F2CEC" w:rsidRPr="007512B7" w:rsidRDefault="003F2CEC" w:rsidP="00BA4549">
            <w:pPr>
              <w:pStyle w:val="Tabletextleft"/>
              <w:rPr>
                <w:rFonts w:asciiTheme="minorHAnsi" w:hAnsiTheme="minorHAnsi" w:cstheme="minorHAnsi"/>
              </w:rPr>
            </w:pPr>
            <w:r w:rsidRPr="007512B7" w:rsidDel="001A28CC">
              <w:rPr>
                <w:rFonts w:asciiTheme="minorHAnsi" w:hAnsiTheme="minorHAnsi" w:cstheme="minorHAnsi"/>
              </w:rPr>
              <w:t>Exposure to &lt;10,000 ppm oxybenzone was not associated with adverse effects on the reproductive system in rats. At higher doses, a d</w:t>
            </w:r>
            <w:r w:rsidRPr="007512B7">
              <w:rPr>
                <w:rFonts w:asciiTheme="minorHAnsi" w:hAnsiTheme="minorHAnsi" w:cstheme="minorHAnsi"/>
              </w:rPr>
              <w:t xml:space="preserve">ecrease in the normalised anogenital distance in male pups at PND 23, impairment of spermatocyte development in testes of male offspring, delayed follicular development in females was observed at doses of ≥207 mg/kg </w:t>
            </w:r>
            <w:proofErr w:type="spellStart"/>
            <w:r w:rsidRPr="007512B7">
              <w:rPr>
                <w:rFonts w:asciiTheme="minorHAnsi" w:hAnsiTheme="minorHAnsi" w:cstheme="minorHAnsi"/>
              </w:rPr>
              <w:t>bw</w:t>
            </w:r>
            <w:proofErr w:type="spellEnd"/>
            <w:r w:rsidRPr="007512B7">
              <w:rPr>
                <w:rFonts w:asciiTheme="minorHAnsi" w:hAnsiTheme="minorHAnsi" w:cstheme="minorHAnsi"/>
              </w:rPr>
              <w:t xml:space="preserve">/day. The </w:t>
            </w:r>
            <w:r w:rsidRPr="007512B7">
              <w:rPr>
                <w:rFonts w:asciiTheme="minorHAnsi" w:hAnsiTheme="minorHAnsi" w:cstheme="minorHAnsi"/>
                <w:b/>
                <w:bCs/>
              </w:rPr>
              <w:t xml:space="preserve">NOAEL was established at 67.9 mg/kg </w:t>
            </w:r>
            <w:proofErr w:type="spellStart"/>
            <w:r w:rsidRPr="007512B7">
              <w:rPr>
                <w:rFonts w:asciiTheme="minorHAnsi" w:hAnsiTheme="minorHAnsi" w:cstheme="minorHAnsi"/>
                <w:b/>
                <w:bCs/>
              </w:rPr>
              <w:t>bw</w:t>
            </w:r>
            <w:proofErr w:type="spellEnd"/>
            <w:r w:rsidRPr="007512B7">
              <w:rPr>
                <w:rFonts w:asciiTheme="minorHAnsi" w:hAnsiTheme="minorHAnsi" w:cstheme="minorHAnsi"/>
                <w:b/>
                <w:bCs/>
              </w:rPr>
              <w:t>/day.</w:t>
            </w:r>
          </w:p>
        </w:tc>
      </w:tr>
      <w:tr w:rsidR="003F2CEC" w:rsidRPr="0074486E" w14:paraId="142EC6D6" w14:textId="77777777" w:rsidTr="007512B7">
        <w:trPr>
          <w:trHeight w:val="82"/>
          <w:jc w:val="center"/>
        </w:trPr>
        <w:tc>
          <w:tcPr>
            <w:tcW w:w="1482" w:type="dxa"/>
          </w:tcPr>
          <w:p w14:paraId="58DB1B37" w14:textId="77777777" w:rsidR="003F2CEC" w:rsidRPr="007512B7" w:rsidRDefault="003F2CEC" w:rsidP="00E07077">
            <w:pPr>
              <w:pStyle w:val="Tabletextleft"/>
              <w:rPr>
                <w:rFonts w:asciiTheme="minorHAnsi" w:hAnsiTheme="minorHAnsi" w:cstheme="minorHAnsi"/>
              </w:rPr>
            </w:pPr>
          </w:p>
        </w:tc>
        <w:tc>
          <w:tcPr>
            <w:tcW w:w="2835" w:type="dxa"/>
            <w:tcMar>
              <w:top w:w="57" w:type="dxa"/>
              <w:left w:w="57" w:type="dxa"/>
              <w:bottom w:w="57" w:type="dxa"/>
              <w:right w:w="57" w:type="dxa"/>
            </w:tcMar>
            <w:vAlign w:val="center"/>
          </w:tcPr>
          <w:p w14:paraId="68AFF08F"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Han </w:t>
            </w:r>
            <w:r w:rsidRPr="007512B7">
              <w:rPr>
                <w:rFonts w:asciiTheme="minorHAnsi" w:hAnsiTheme="minorHAnsi" w:cstheme="minorHAnsi"/>
                <w:i/>
                <w:iCs/>
              </w:rPr>
              <w:t>et al.</w:t>
            </w:r>
            <w:r w:rsidRPr="007512B7">
              <w:rPr>
                <w:rFonts w:asciiTheme="minorHAnsi" w:hAnsiTheme="minorHAnsi" w:cstheme="minorHAnsi"/>
              </w:rPr>
              <w:t xml:space="preserve"> (2022)</w:t>
            </w:r>
          </w:p>
          <w:p w14:paraId="40AC8726"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Reproductive toxicity study in mice (ICR; </w:t>
            </w:r>
            <w:r w:rsidRPr="007512B7">
              <w:rPr>
                <w:rFonts w:asciiTheme="minorHAnsi" w:hAnsiTheme="minorHAnsi" w:cstheme="minorHAnsi"/>
                <w:i/>
                <w:iCs/>
              </w:rPr>
              <w:t>n</w:t>
            </w:r>
            <w:r w:rsidRPr="007512B7">
              <w:rPr>
                <w:rFonts w:asciiTheme="minorHAnsi" w:hAnsiTheme="minorHAnsi" w:cstheme="minorHAnsi"/>
              </w:rPr>
              <w:t xml:space="preserve">=13-15 mated </w:t>
            </w:r>
            <w:r w:rsidRPr="007512B7">
              <w:rPr>
                <w:rFonts w:asciiTheme="minorHAnsi" w:eastAsia="Cambria" w:hAnsiTheme="minorHAnsi" w:cstheme="minorHAnsi"/>
                <w:kern w:val="0"/>
              </w:rPr>
              <w:t>♀</w:t>
            </w:r>
            <w:r w:rsidRPr="007512B7">
              <w:rPr>
                <w:rFonts w:asciiTheme="minorHAnsi" w:hAnsiTheme="minorHAnsi" w:cstheme="minorHAnsi"/>
              </w:rPr>
              <w:t>)</w:t>
            </w:r>
          </w:p>
          <w:p w14:paraId="35C9978B"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Doses: 0, 0.1, 10, 1000 mg/kg/day PO</w:t>
            </w:r>
          </w:p>
          <w:p w14:paraId="11C78811" w14:textId="2B1DAB0F"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Treatment from GD1-GD13</w:t>
            </w:r>
          </w:p>
        </w:tc>
        <w:tc>
          <w:tcPr>
            <w:tcW w:w="5226" w:type="dxa"/>
            <w:vAlign w:val="center"/>
          </w:tcPr>
          <w:p w14:paraId="2EBB9C1D" w14:textId="7784577F"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No adverse effect on maternal body weight and the relative weights of the liver, brain and the uterus</w:t>
            </w:r>
            <w:r w:rsidR="00BA4549">
              <w:rPr>
                <w:rFonts w:asciiTheme="minorHAnsi" w:hAnsiTheme="minorHAnsi" w:cstheme="minorHAnsi"/>
              </w:rPr>
              <w:t>.</w:t>
            </w:r>
          </w:p>
          <w:p w14:paraId="6E60D741" w14:textId="011AADA6" w:rsidR="003F2CEC" w:rsidRPr="007512B7" w:rsidDel="001A28CC" w:rsidRDefault="003F2CEC" w:rsidP="00E07077">
            <w:pPr>
              <w:pStyle w:val="Tabletextleft"/>
              <w:rPr>
                <w:rFonts w:asciiTheme="minorHAnsi" w:hAnsiTheme="minorHAnsi" w:cstheme="minorHAnsi"/>
              </w:rPr>
            </w:pPr>
            <w:r w:rsidRPr="007512B7">
              <w:rPr>
                <w:rFonts w:asciiTheme="minorHAnsi" w:hAnsiTheme="minorHAnsi" w:cstheme="minorHAnsi"/>
              </w:rPr>
              <w:t xml:space="preserve">Slight ↑ rate of </w:t>
            </w:r>
            <w:proofErr w:type="spellStart"/>
            <w:r w:rsidRPr="007512B7">
              <w:rPr>
                <w:rFonts w:asciiTheme="minorHAnsi" w:hAnsiTheme="minorHAnsi" w:cstheme="minorHAnsi"/>
              </w:rPr>
              <w:t>fetal</w:t>
            </w:r>
            <w:proofErr w:type="spellEnd"/>
            <w:r w:rsidRPr="007512B7">
              <w:rPr>
                <w:rFonts w:asciiTheme="minorHAnsi" w:hAnsiTheme="minorHAnsi" w:cstheme="minorHAnsi"/>
              </w:rPr>
              <w:t xml:space="preserve"> loss at HD; ↑ placental thrombosis and necrosis from LD (severity not assessed)</w:t>
            </w:r>
          </w:p>
        </w:tc>
      </w:tr>
      <w:tr w:rsidR="003F2CEC" w:rsidRPr="0074486E" w14:paraId="46FFEA67" w14:textId="77777777" w:rsidTr="007512B7">
        <w:trPr>
          <w:trHeight w:val="82"/>
          <w:jc w:val="center"/>
        </w:trPr>
        <w:tc>
          <w:tcPr>
            <w:tcW w:w="1482" w:type="dxa"/>
          </w:tcPr>
          <w:p w14:paraId="618EBAB6" w14:textId="77777777" w:rsidR="003F2CEC" w:rsidRPr="007512B7" w:rsidRDefault="003F2CEC" w:rsidP="00E07077">
            <w:pPr>
              <w:pStyle w:val="Tabletextleft"/>
              <w:rPr>
                <w:rFonts w:asciiTheme="minorHAnsi" w:hAnsiTheme="minorHAnsi" w:cstheme="minorHAnsi"/>
              </w:rPr>
            </w:pPr>
          </w:p>
        </w:tc>
        <w:tc>
          <w:tcPr>
            <w:tcW w:w="2835" w:type="dxa"/>
            <w:tcMar>
              <w:top w:w="57" w:type="dxa"/>
              <w:left w:w="57" w:type="dxa"/>
              <w:bottom w:w="57" w:type="dxa"/>
              <w:right w:w="57" w:type="dxa"/>
            </w:tcMar>
            <w:vAlign w:val="center"/>
          </w:tcPr>
          <w:p w14:paraId="3B9DB015"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NTP-DART-05 (2022a)</w:t>
            </w:r>
          </w:p>
          <w:p w14:paraId="2B78F8E9"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Modified one-generation study</w:t>
            </w:r>
          </w:p>
          <w:p w14:paraId="5AF1CFF8"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Rats (SD; mated </w:t>
            </w:r>
            <w:r w:rsidRPr="007512B7">
              <w:rPr>
                <w:rFonts w:asciiTheme="minorHAnsi" w:eastAsia="Cambria" w:hAnsiTheme="minorHAnsi" w:cstheme="minorHAnsi"/>
                <w:kern w:val="0"/>
              </w:rPr>
              <w:t xml:space="preserve">♀; </w:t>
            </w:r>
            <w:r w:rsidRPr="007512B7">
              <w:rPr>
                <w:rFonts w:asciiTheme="minorHAnsi" w:hAnsiTheme="minorHAnsi" w:cstheme="minorHAnsi"/>
                <w:i/>
                <w:iCs/>
              </w:rPr>
              <w:t>n</w:t>
            </w:r>
            <w:r w:rsidRPr="007512B7">
              <w:rPr>
                <w:rFonts w:asciiTheme="minorHAnsi" w:hAnsiTheme="minorHAnsi" w:cstheme="minorHAnsi"/>
              </w:rPr>
              <w:t>= 25/dose)</w:t>
            </w:r>
          </w:p>
          <w:p w14:paraId="09C44852"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Doses: 0, 3000,10000, 30000 ppm; exposure through feed and/or lactation</w:t>
            </w:r>
          </w:p>
          <w:p w14:paraId="4A17227E"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lastRenderedPageBreak/>
              <w:t>(equivalent of 205 to 426, 697 to 1621, and 2,644 to 5944 mg/kg/day respectively)</w:t>
            </w:r>
          </w:p>
          <w:p w14:paraId="74931828"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F</w:t>
            </w:r>
            <w:r w:rsidRPr="007512B7">
              <w:rPr>
                <w:rFonts w:asciiTheme="minorHAnsi" w:hAnsiTheme="minorHAnsi" w:cstheme="minorHAnsi"/>
                <w:vertAlign w:val="subscript"/>
              </w:rPr>
              <w:t>0</w:t>
            </w:r>
            <w:r w:rsidRPr="007512B7">
              <w:rPr>
                <w:rFonts w:asciiTheme="minorHAnsi" w:hAnsiTheme="minorHAnsi" w:cstheme="minorHAnsi"/>
              </w:rPr>
              <w:t xml:space="preserve"> GD6 - LD28 </w:t>
            </w:r>
          </w:p>
          <w:p w14:paraId="4A12B54F"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F</w:t>
            </w:r>
            <w:r w:rsidRPr="007512B7">
              <w:rPr>
                <w:rFonts w:asciiTheme="minorHAnsi" w:hAnsiTheme="minorHAnsi" w:cstheme="minorHAnsi"/>
                <w:vertAlign w:val="subscript"/>
              </w:rPr>
              <w:t xml:space="preserve">1 </w:t>
            </w:r>
            <w:r w:rsidRPr="007512B7">
              <w:rPr>
                <w:rFonts w:asciiTheme="minorHAnsi" w:hAnsiTheme="minorHAnsi" w:cstheme="minorHAnsi"/>
              </w:rPr>
              <w:t>GD6 - LD28; after weaning, F</w:t>
            </w:r>
            <w:r w:rsidRPr="007512B7">
              <w:rPr>
                <w:rFonts w:asciiTheme="minorHAnsi" w:hAnsiTheme="minorHAnsi" w:cstheme="minorHAnsi"/>
                <w:vertAlign w:val="subscript"/>
              </w:rPr>
              <w:t xml:space="preserve">1 </w:t>
            </w:r>
            <w:r w:rsidRPr="007512B7">
              <w:rPr>
                <w:rFonts w:asciiTheme="minorHAnsi" w:hAnsiTheme="minorHAnsi" w:cstheme="minorHAnsi"/>
              </w:rPr>
              <w:t xml:space="preserve">offspring were allocated into cohorts for prenatal, reproductive performance, or additional assessments (e.g., </w:t>
            </w:r>
            <w:proofErr w:type="spellStart"/>
            <w:r w:rsidRPr="007512B7">
              <w:rPr>
                <w:rFonts w:asciiTheme="minorHAnsi" w:hAnsiTheme="minorHAnsi" w:cstheme="minorHAnsi"/>
              </w:rPr>
              <w:t>subchronic</w:t>
            </w:r>
            <w:proofErr w:type="spellEnd"/>
            <w:r w:rsidRPr="007512B7">
              <w:rPr>
                <w:rFonts w:asciiTheme="minorHAnsi" w:hAnsiTheme="minorHAnsi" w:cstheme="minorHAnsi"/>
              </w:rPr>
              <w:t xml:space="preserve"> or biological sampling cohorts) and exposure to test article in feed continued until necropsy on PND96, PND120 or PND150</w:t>
            </w:r>
          </w:p>
          <w:p w14:paraId="2278F690" w14:textId="253D8FF6" w:rsidR="003F2CEC" w:rsidRPr="007512B7" w:rsidRDefault="003F2CEC" w:rsidP="00BA4549">
            <w:pPr>
              <w:pStyle w:val="Tabletextleft"/>
              <w:rPr>
                <w:rFonts w:asciiTheme="minorHAnsi" w:hAnsiTheme="minorHAnsi" w:cstheme="minorHAnsi"/>
              </w:rPr>
            </w:pPr>
            <w:r w:rsidRPr="007512B7">
              <w:rPr>
                <w:rFonts w:asciiTheme="minorHAnsi" w:hAnsiTheme="minorHAnsi" w:cstheme="minorHAnsi"/>
              </w:rPr>
              <w:t>F</w:t>
            </w:r>
            <w:r w:rsidRPr="007512B7">
              <w:rPr>
                <w:rFonts w:asciiTheme="minorHAnsi" w:hAnsiTheme="minorHAnsi" w:cstheme="minorHAnsi"/>
                <w:vertAlign w:val="subscript"/>
              </w:rPr>
              <w:t xml:space="preserve">2 </w:t>
            </w:r>
            <w:r w:rsidRPr="007512B7">
              <w:rPr>
                <w:rFonts w:asciiTheme="minorHAnsi" w:hAnsiTheme="minorHAnsi" w:cstheme="minorHAnsi"/>
              </w:rPr>
              <w:t>offspring were exposed in utero, during lactation and postweaning until necropsy on GD21 or PND28.</w:t>
            </w:r>
          </w:p>
        </w:tc>
        <w:tc>
          <w:tcPr>
            <w:tcW w:w="5226" w:type="dxa"/>
            <w:vAlign w:val="center"/>
          </w:tcPr>
          <w:p w14:paraId="1597B96C" w14:textId="2C38307F"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lastRenderedPageBreak/>
              <w:t>There was equivocal evidence of reproductive toxicity of oxybenzone based on ↓ F</w:t>
            </w:r>
            <w:r w:rsidRPr="007512B7">
              <w:rPr>
                <w:rFonts w:asciiTheme="minorHAnsi" w:hAnsiTheme="minorHAnsi" w:cstheme="minorHAnsi"/>
                <w:vertAlign w:val="subscript"/>
              </w:rPr>
              <w:t xml:space="preserve">2 </w:t>
            </w:r>
            <w:r w:rsidRPr="007512B7">
              <w:rPr>
                <w:rFonts w:asciiTheme="minorHAnsi" w:hAnsiTheme="minorHAnsi" w:cstheme="minorHAnsi"/>
              </w:rPr>
              <w:t>litter size at HD.</w:t>
            </w:r>
          </w:p>
          <w:p w14:paraId="78B1262B"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There was some evidence of developmental toxicity from MD</w:t>
            </w:r>
          </w:p>
          <w:p w14:paraId="3F1239D4" w14:textId="02A94E02"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based on ↓ F</w:t>
            </w:r>
            <w:r w:rsidRPr="007512B7">
              <w:rPr>
                <w:rFonts w:asciiTheme="minorHAnsi" w:hAnsiTheme="minorHAnsi" w:cstheme="minorHAnsi"/>
                <w:vertAlign w:val="subscript"/>
              </w:rPr>
              <w:t xml:space="preserve">1 </w:t>
            </w:r>
            <w:r w:rsidRPr="007512B7">
              <w:rPr>
                <w:rFonts w:asciiTheme="minorHAnsi" w:hAnsiTheme="minorHAnsi" w:cstheme="minorHAnsi"/>
              </w:rPr>
              <w:t>and F</w:t>
            </w:r>
            <w:r w:rsidRPr="007512B7">
              <w:rPr>
                <w:rFonts w:asciiTheme="minorHAnsi" w:hAnsiTheme="minorHAnsi" w:cstheme="minorHAnsi"/>
                <w:vertAlign w:val="subscript"/>
              </w:rPr>
              <w:t>2</w:t>
            </w:r>
            <w:r w:rsidRPr="007512B7">
              <w:rPr>
                <w:rFonts w:asciiTheme="minorHAnsi" w:hAnsiTheme="minorHAnsi" w:cstheme="minorHAnsi"/>
              </w:rPr>
              <w:t xml:space="preserve"> mean body weights; this effect on body weight contributed to the apparent oxybenzone -related ↓ in male reproductive organ weights from MD.</w:t>
            </w:r>
          </w:p>
          <w:p w14:paraId="39415DBF"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lastRenderedPageBreak/>
              <w:t xml:space="preserve">The relationship of the ↑ occurrence of diaphragmatic and </w:t>
            </w:r>
            <w:proofErr w:type="spellStart"/>
            <w:r w:rsidRPr="007512B7">
              <w:rPr>
                <w:rFonts w:asciiTheme="minorHAnsi" w:hAnsiTheme="minorHAnsi" w:cstheme="minorHAnsi"/>
              </w:rPr>
              <w:t>hepatodiaphragmatic</w:t>
            </w:r>
            <w:proofErr w:type="spellEnd"/>
            <w:r w:rsidRPr="007512B7">
              <w:rPr>
                <w:rFonts w:asciiTheme="minorHAnsi" w:hAnsiTheme="minorHAnsi" w:cstheme="minorHAnsi"/>
              </w:rPr>
              <w:t xml:space="preserve"> hernias in F</w:t>
            </w:r>
            <w:r w:rsidRPr="007512B7">
              <w:rPr>
                <w:rFonts w:asciiTheme="minorHAnsi" w:hAnsiTheme="minorHAnsi" w:cstheme="minorHAnsi"/>
                <w:vertAlign w:val="subscript"/>
              </w:rPr>
              <w:t>1</w:t>
            </w:r>
            <w:r w:rsidRPr="007512B7">
              <w:rPr>
                <w:rFonts w:asciiTheme="minorHAnsi" w:hAnsiTheme="minorHAnsi" w:cstheme="minorHAnsi"/>
              </w:rPr>
              <w:t xml:space="preserve"> adults and F</w:t>
            </w:r>
            <w:r w:rsidRPr="007512B7">
              <w:rPr>
                <w:rFonts w:asciiTheme="minorHAnsi" w:hAnsiTheme="minorHAnsi" w:cstheme="minorHAnsi"/>
                <w:vertAlign w:val="subscript"/>
              </w:rPr>
              <w:t>2</w:t>
            </w:r>
            <w:r w:rsidRPr="007512B7">
              <w:rPr>
                <w:rFonts w:asciiTheme="minorHAnsi" w:hAnsiTheme="minorHAnsi" w:cstheme="minorHAnsi"/>
              </w:rPr>
              <w:t xml:space="preserve"> pups from MD is unclear. </w:t>
            </w:r>
          </w:p>
          <w:p w14:paraId="1BB63929"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Exposure to oxybenzone was associated with ↑ nonneoplastic kidney lesions in the F</w:t>
            </w:r>
            <w:r w:rsidRPr="007512B7">
              <w:rPr>
                <w:rFonts w:asciiTheme="minorHAnsi" w:hAnsiTheme="minorHAnsi" w:cstheme="minorHAnsi"/>
                <w:vertAlign w:val="subscript"/>
              </w:rPr>
              <w:t>0</w:t>
            </w:r>
            <w:r w:rsidRPr="007512B7">
              <w:rPr>
                <w:rFonts w:asciiTheme="minorHAnsi" w:hAnsiTheme="minorHAnsi" w:cstheme="minorHAnsi"/>
              </w:rPr>
              <w:t>, F</w:t>
            </w:r>
            <w:r w:rsidRPr="007512B7">
              <w:rPr>
                <w:rFonts w:asciiTheme="minorHAnsi" w:hAnsiTheme="minorHAnsi" w:cstheme="minorHAnsi"/>
                <w:vertAlign w:val="subscript"/>
              </w:rPr>
              <w:t>1</w:t>
            </w:r>
            <w:r w:rsidRPr="007512B7">
              <w:rPr>
                <w:rFonts w:asciiTheme="minorHAnsi" w:hAnsiTheme="minorHAnsi" w:cstheme="minorHAnsi"/>
              </w:rPr>
              <w:t>, and F</w:t>
            </w:r>
            <w:r w:rsidRPr="007512B7">
              <w:rPr>
                <w:rFonts w:asciiTheme="minorHAnsi" w:hAnsiTheme="minorHAnsi" w:cstheme="minorHAnsi"/>
                <w:vertAlign w:val="subscript"/>
              </w:rPr>
              <w:t>2</w:t>
            </w:r>
            <w:r w:rsidRPr="007512B7">
              <w:rPr>
                <w:rFonts w:asciiTheme="minorHAnsi" w:hAnsiTheme="minorHAnsi" w:cstheme="minorHAnsi"/>
              </w:rPr>
              <w:t xml:space="preserve"> generations at HD</w:t>
            </w:r>
          </w:p>
          <w:p w14:paraId="38BBAC64"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Exposure to oxybenzone was not associated with signals consistent with alterations in estrogenic, androgenic, or antiandrogenic action.</w:t>
            </w:r>
          </w:p>
          <w:p w14:paraId="12D151A5" w14:textId="77777777" w:rsidR="003F2CEC" w:rsidRPr="007512B7" w:rsidRDefault="003F2CEC" w:rsidP="00E07077">
            <w:pPr>
              <w:pStyle w:val="Tabletextleft"/>
              <w:rPr>
                <w:rFonts w:asciiTheme="minorHAnsi" w:hAnsiTheme="minorHAnsi" w:cstheme="minorHAnsi"/>
              </w:rPr>
            </w:pPr>
          </w:p>
          <w:p w14:paraId="0335EE34"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NOAEL: 3000 ppm </w:t>
            </w:r>
          </w:p>
        </w:tc>
      </w:tr>
      <w:tr w:rsidR="003F2CEC" w:rsidRPr="0074486E" w14:paraId="6F4EB729" w14:textId="77777777" w:rsidTr="007512B7">
        <w:trPr>
          <w:trHeight w:val="82"/>
          <w:jc w:val="center"/>
        </w:trPr>
        <w:tc>
          <w:tcPr>
            <w:tcW w:w="1482" w:type="dxa"/>
            <w:vAlign w:val="center"/>
          </w:tcPr>
          <w:p w14:paraId="62D03D05" w14:textId="77777777" w:rsidR="003F2CEC" w:rsidRPr="007512B7" w:rsidRDefault="003F2CEC" w:rsidP="00E07077">
            <w:pPr>
              <w:pStyle w:val="Tabletextleft"/>
              <w:rPr>
                <w:rFonts w:asciiTheme="minorHAnsi" w:hAnsiTheme="minorHAnsi" w:cstheme="minorHAnsi"/>
              </w:rPr>
            </w:pPr>
            <w:proofErr w:type="spellStart"/>
            <w:r w:rsidRPr="007512B7">
              <w:rPr>
                <w:rFonts w:asciiTheme="minorHAnsi" w:hAnsiTheme="minorHAnsi" w:cstheme="minorHAnsi"/>
              </w:rPr>
              <w:lastRenderedPageBreak/>
              <w:t>Phenylbenzimidazole</w:t>
            </w:r>
            <w:proofErr w:type="spellEnd"/>
            <w:r w:rsidRPr="007512B7">
              <w:rPr>
                <w:rFonts w:asciiTheme="minorHAnsi" w:hAnsiTheme="minorHAnsi" w:cstheme="minorHAnsi"/>
              </w:rPr>
              <w:t xml:space="preserve"> sulfonic acid (SCCP 2006b)</w:t>
            </w:r>
          </w:p>
        </w:tc>
        <w:tc>
          <w:tcPr>
            <w:tcW w:w="2835" w:type="dxa"/>
            <w:tcMar>
              <w:top w:w="57" w:type="dxa"/>
              <w:left w:w="57" w:type="dxa"/>
              <w:bottom w:w="57" w:type="dxa"/>
              <w:right w:w="57" w:type="dxa"/>
            </w:tcMar>
            <w:vAlign w:val="center"/>
          </w:tcPr>
          <w:p w14:paraId="69C1E439" w14:textId="1F8193D8"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 xml:space="preserve">A prenatal developmental study (rats, </w:t>
            </w:r>
            <w:r w:rsidRPr="007512B7">
              <w:rPr>
                <w:rFonts w:asciiTheme="minorHAnsi" w:hAnsiTheme="minorHAnsi" w:cstheme="minorHAnsi"/>
                <w:i/>
                <w:iCs/>
              </w:rPr>
              <w:t>n</w:t>
            </w:r>
            <w:r w:rsidRPr="007512B7">
              <w:rPr>
                <w:rFonts w:asciiTheme="minorHAnsi" w:hAnsiTheme="minorHAnsi" w:cstheme="minorHAnsi"/>
              </w:rPr>
              <w:t>=25</w:t>
            </w:r>
            <w:r w:rsidRPr="007512B7">
              <w:rPr>
                <w:rFonts w:asciiTheme="minorHAnsi" w:eastAsia="Cambria" w:hAnsiTheme="minorHAnsi" w:cstheme="minorHAnsi"/>
                <w:kern w:val="0"/>
              </w:rPr>
              <w:t>♀</w:t>
            </w:r>
            <w:r w:rsidRPr="007512B7">
              <w:rPr>
                <w:rFonts w:asciiTheme="minorHAnsi" w:hAnsiTheme="minorHAnsi" w:cstheme="minorHAnsi"/>
              </w:rPr>
              <w:t xml:space="preserve">/group), treatment GD 6-15, doses: 0 and 1000 mg/kg </w:t>
            </w:r>
            <w:proofErr w:type="spellStart"/>
            <w:r w:rsidRPr="007512B7">
              <w:rPr>
                <w:rFonts w:asciiTheme="minorHAnsi" w:hAnsiTheme="minorHAnsi" w:cstheme="minorHAnsi"/>
              </w:rPr>
              <w:t>bw</w:t>
            </w:r>
            <w:proofErr w:type="spellEnd"/>
            <w:r w:rsidRPr="007512B7">
              <w:rPr>
                <w:rFonts w:asciiTheme="minorHAnsi" w:hAnsiTheme="minorHAnsi" w:cstheme="minorHAnsi"/>
              </w:rPr>
              <w:t>/day (gavage)</w:t>
            </w:r>
          </w:p>
        </w:tc>
        <w:tc>
          <w:tcPr>
            <w:tcW w:w="5226" w:type="dxa"/>
            <w:vAlign w:val="center"/>
          </w:tcPr>
          <w:p w14:paraId="4E5D3EC4" w14:textId="77777777" w:rsidR="003F2CEC" w:rsidRPr="007512B7" w:rsidRDefault="003F2CEC" w:rsidP="00E07077">
            <w:pPr>
              <w:pStyle w:val="Tabletextleft"/>
              <w:rPr>
                <w:rFonts w:asciiTheme="minorHAnsi" w:hAnsiTheme="minorHAnsi" w:cstheme="minorHAnsi"/>
              </w:rPr>
            </w:pPr>
            <w:r w:rsidRPr="007512B7">
              <w:rPr>
                <w:rFonts w:asciiTheme="minorHAnsi" w:hAnsiTheme="minorHAnsi" w:cstheme="minorHAnsi"/>
              </w:rPr>
              <w:t>No treatment-related findings were noted in the study.</w:t>
            </w:r>
          </w:p>
          <w:p w14:paraId="5D0DA3B8" w14:textId="3CF1B38A" w:rsidR="003F2CEC" w:rsidRPr="007512B7" w:rsidRDefault="003F2CEC" w:rsidP="00BA4549">
            <w:pPr>
              <w:pStyle w:val="Tabletextleft"/>
              <w:rPr>
                <w:rFonts w:asciiTheme="minorHAnsi" w:hAnsiTheme="minorHAnsi" w:cstheme="minorHAnsi"/>
              </w:rPr>
            </w:pPr>
            <w:r w:rsidRPr="007512B7">
              <w:rPr>
                <w:rFonts w:asciiTheme="minorHAnsi" w:hAnsiTheme="minorHAnsi" w:cstheme="minorHAnsi"/>
              </w:rPr>
              <w:t xml:space="preserve">The NOAEL for maternal and </w:t>
            </w:r>
            <w:proofErr w:type="spellStart"/>
            <w:r w:rsidRPr="007512B7">
              <w:rPr>
                <w:rFonts w:asciiTheme="minorHAnsi" w:hAnsiTheme="minorHAnsi" w:cstheme="minorHAnsi"/>
              </w:rPr>
              <w:t>fetal</w:t>
            </w:r>
            <w:proofErr w:type="spellEnd"/>
            <w:r w:rsidRPr="007512B7">
              <w:rPr>
                <w:rFonts w:asciiTheme="minorHAnsi" w:hAnsiTheme="minorHAnsi" w:cstheme="minorHAnsi"/>
              </w:rPr>
              <w:t xml:space="preserve"> toxicity was 1000 mg/kg </w:t>
            </w:r>
            <w:proofErr w:type="spellStart"/>
            <w:r w:rsidRPr="007512B7">
              <w:rPr>
                <w:rFonts w:asciiTheme="minorHAnsi" w:hAnsiTheme="minorHAnsi" w:cstheme="minorHAnsi"/>
              </w:rPr>
              <w:t>bw</w:t>
            </w:r>
            <w:proofErr w:type="spellEnd"/>
            <w:r w:rsidRPr="007512B7">
              <w:rPr>
                <w:rFonts w:asciiTheme="minorHAnsi" w:hAnsiTheme="minorHAnsi" w:cstheme="minorHAnsi"/>
              </w:rPr>
              <w:t>/day.</w:t>
            </w:r>
          </w:p>
        </w:tc>
      </w:tr>
    </w:tbl>
    <w:p w14:paraId="537FCFFF" w14:textId="77777777" w:rsidR="003F2CEC" w:rsidRDefault="003F2CEC" w:rsidP="00BA4549">
      <w:pPr>
        <w:pStyle w:val="Tabletextleft"/>
        <w:ind w:left="0"/>
        <w:rPr>
          <w:sz w:val="22"/>
          <w:szCs w:val="22"/>
        </w:rPr>
      </w:pPr>
    </w:p>
    <w:p w14:paraId="695B5A7A" w14:textId="77777777" w:rsidR="003F2CEC" w:rsidRPr="00BA4549" w:rsidRDefault="003F2CEC" w:rsidP="007512B7">
      <w:pPr>
        <w:rPr>
          <w:rFonts w:asciiTheme="minorHAnsi" w:hAnsiTheme="minorHAnsi" w:cstheme="minorHAnsi"/>
          <w:b/>
          <w:bCs/>
          <w:i/>
          <w:iCs/>
        </w:rPr>
      </w:pPr>
      <w:r w:rsidRPr="00BA4549">
        <w:rPr>
          <w:rFonts w:asciiTheme="minorHAnsi" w:hAnsiTheme="minorHAnsi" w:cstheme="minorHAnsi"/>
          <w:b/>
          <w:bCs/>
          <w:i/>
          <w:iCs/>
        </w:rPr>
        <w:t>Active ingredients in human milk</w:t>
      </w:r>
    </w:p>
    <w:p w14:paraId="70AAE949" w14:textId="6A4FD03E" w:rsidR="003F2CEC" w:rsidRPr="00BA4549" w:rsidRDefault="003F2CEC" w:rsidP="007512B7">
      <w:pPr>
        <w:rPr>
          <w:rFonts w:asciiTheme="minorHAnsi" w:hAnsiTheme="minorHAnsi" w:cstheme="minorHAnsi"/>
        </w:rPr>
      </w:pPr>
      <w:r w:rsidRPr="00BA4549">
        <w:rPr>
          <w:rFonts w:asciiTheme="minorHAnsi" w:hAnsiTheme="minorHAnsi" w:cstheme="minorHAnsi"/>
        </w:rPr>
        <w:t>In a cohort study between 2004 and 2006, 54 human milk samples were analysed, and UV filters were detectable in 46 samples and levels were positively correlated with the reported usage of UV filter products (Schlumpf et al., 2010). Concentrations of octyl methoxycinnamate</w:t>
      </w:r>
      <w:r w:rsidRPr="00BA4549" w:rsidDel="00910472">
        <w:rPr>
          <w:rFonts w:asciiTheme="minorHAnsi" w:hAnsiTheme="minorHAnsi" w:cstheme="minorHAnsi"/>
        </w:rPr>
        <w:t xml:space="preserve"> </w:t>
      </w:r>
      <w:r w:rsidRPr="00BA4549">
        <w:rPr>
          <w:rFonts w:asciiTheme="minorHAnsi" w:hAnsiTheme="minorHAnsi" w:cstheme="minorHAnsi"/>
        </w:rPr>
        <w:t xml:space="preserve">or </w:t>
      </w:r>
      <w:proofErr w:type="spellStart"/>
      <w:r w:rsidRPr="00BA4549">
        <w:rPr>
          <w:rFonts w:asciiTheme="minorHAnsi" w:hAnsiTheme="minorHAnsi" w:cstheme="minorHAnsi"/>
        </w:rPr>
        <w:t>ethylhexyl</w:t>
      </w:r>
      <w:proofErr w:type="spellEnd"/>
      <w:r w:rsidRPr="00BA4549">
        <w:rPr>
          <w:rFonts w:asciiTheme="minorHAnsi" w:hAnsiTheme="minorHAnsi" w:cstheme="minorHAnsi"/>
        </w:rPr>
        <w:t xml:space="preserve"> methoxy cinnamate (EHMC), octocrylene (OC), 4-methylbenzylidene camphor (4-MBC), </w:t>
      </w:r>
      <w:proofErr w:type="spellStart"/>
      <w:r w:rsidRPr="00BA4549">
        <w:rPr>
          <w:rFonts w:asciiTheme="minorHAnsi" w:hAnsiTheme="minorHAnsi" w:cstheme="minorHAnsi"/>
        </w:rPr>
        <w:t>homosalate</w:t>
      </w:r>
      <w:proofErr w:type="spellEnd"/>
      <w:r w:rsidRPr="00BA4549">
        <w:rPr>
          <w:rFonts w:asciiTheme="minorHAnsi" w:hAnsiTheme="minorHAnsi" w:cstheme="minorHAnsi"/>
        </w:rPr>
        <w:t xml:space="preserve"> (HMS) and oxybenzone (BP-3) ranged 2.10–134.95 ng/g lipid, with octyl methoxycinnamate/EHMC and octocrylene</w:t>
      </w:r>
      <w:r w:rsidRPr="00BA4549" w:rsidDel="006A1C4D">
        <w:rPr>
          <w:rFonts w:asciiTheme="minorHAnsi" w:hAnsiTheme="minorHAnsi" w:cstheme="minorHAnsi"/>
        </w:rPr>
        <w:t xml:space="preserve"> </w:t>
      </w:r>
      <w:r w:rsidRPr="00BA4549">
        <w:rPr>
          <w:rFonts w:asciiTheme="minorHAnsi" w:hAnsiTheme="minorHAnsi" w:cstheme="minorHAnsi"/>
        </w:rPr>
        <w:t>being most prevalent (42 and 36 positive samples, respectively) and an average of 7 positive samples for the other three (Schlumpf et al., 2010).  In another study, levels of oxybenzone</w:t>
      </w:r>
      <w:r w:rsidRPr="00BA4549" w:rsidDel="00CA6C8A">
        <w:rPr>
          <w:rFonts w:asciiTheme="minorHAnsi" w:hAnsiTheme="minorHAnsi" w:cstheme="minorHAnsi"/>
        </w:rPr>
        <w:t xml:space="preserve"> </w:t>
      </w:r>
      <w:r w:rsidRPr="00BA4549">
        <w:rPr>
          <w:rFonts w:asciiTheme="minorHAnsi" w:hAnsiTheme="minorHAnsi" w:cstheme="minorHAnsi"/>
        </w:rPr>
        <w:t>in maternal urinary samples taken in gestational weeks 6–30 were positively correlated with the overall weight and head circumference of the baby (Philippat et al. 2012). The significance of these limited postnatal and prenatal exposure findings to human mothers are unclear.</w:t>
      </w:r>
    </w:p>
    <w:p w14:paraId="4EBF667D" w14:textId="77777777" w:rsidR="00341C02" w:rsidRDefault="00341C02" w:rsidP="00341C02">
      <w:pPr>
        <w:pStyle w:val="Heading4"/>
      </w:pPr>
      <w:bookmarkStart w:id="80" w:name="_Toc190944919"/>
      <w:bookmarkStart w:id="81" w:name="_Toc199254956"/>
      <w:r>
        <w:t>Endocrine activity modulation</w:t>
      </w:r>
      <w:bookmarkEnd w:id="80"/>
      <w:bookmarkEnd w:id="81"/>
    </w:p>
    <w:p w14:paraId="1FCBB3E3" w14:textId="5316AA2B" w:rsidR="00341C02" w:rsidRPr="0067570F" w:rsidRDefault="00341C02" w:rsidP="007512B7">
      <w:bookmarkStart w:id="82" w:name="_Toc100664720"/>
      <w:bookmarkStart w:id="83" w:name="_Toc114863478"/>
      <w:r w:rsidRPr="006C7F1B">
        <w:t>In the light of the recent regulations in Europe</w:t>
      </w:r>
      <w:r w:rsidRPr="00F759F9">
        <w:t xml:space="preserve">, several studies have been conducted to investigate the </w:t>
      </w:r>
      <w:r w:rsidRPr="0067570F">
        <w:t>endocrine disruption potential of most of these ingredients. Since the FDA released its draft proposal (FDA, 2019</w:t>
      </w:r>
      <w:r>
        <w:t>b</w:t>
      </w:r>
      <w:r w:rsidRPr="0067570F">
        <w:t>), several studies published in 2020 support previous findings that oxybenzone can act as an endocrine disruptor and may increase the risk of breast cancer and endometriosis (</w:t>
      </w:r>
      <w:proofErr w:type="spellStart"/>
      <w:r w:rsidRPr="0067570F">
        <w:t>Kariagina</w:t>
      </w:r>
      <w:proofErr w:type="spellEnd"/>
      <w:r w:rsidRPr="0067570F">
        <w:t xml:space="preserve"> 2020, Santamaria 2020).</w:t>
      </w:r>
    </w:p>
    <w:p w14:paraId="64C0C336" w14:textId="77777777" w:rsidR="00341C02" w:rsidRPr="0067570F" w:rsidRDefault="00341C02" w:rsidP="007512B7">
      <w:r>
        <w:t xml:space="preserve">A systemic review on oxybenzone and </w:t>
      </w:r>
      <w:r w:rsidRPr="00FB4BE3">
        <w:t>octyl methoxycinnamate</w:t>
      </w:r>
      <w:r w:rsidDel="00910472">
        <w:t xml:space="preserve"> </w:t>
      </w:r>
      <w:r>
        <w:t>suggest that c</w:t>
      </w:r>
      <w:r w:rsidRPr="0067570F">
        <w:t xml:space="preserve">urrent evidence is not sufficient to support the causal relationship between the elevated systemic level of </w:t>
      </w:r>
      <w:r>
        <w:t xml:space="preserve">oxybenzone and </w:t>
      </w:r>
      <w:r w:rsidRPr="00FB4BE3">
        <w:t>octyl methoxycinnamate</w:t>
      </w:r>
      <w:r w:rsidDel="00910472">
        <w:t xml:space="preserve"> </w:t>
      </w:r>
      <w:r w:rsidRPr="0067570F">
        <w:t>and adverse health outcomes</w:t>
      </w:r>
      <w:r>
        <w:t xml:space="preserve"> </w:t>
      </w:r>
      <w:r w:rsidRPr="004E2BC8">
        <w:t xml:space="preserve">(Suh 2020).  </w:t>
      </w:r>
      <w:r w:rsidRPr="0067570F">
        <w:t xml:space="preserve">There are either contradictory findings among different studies or insufficient number of studies to corroborate the observed association. To accurately evaluate the long-term risk of exposure to </w:t>
      </w:r>
      <w:r>
        <w:t xml:space="preserve">oxybenzone and </w:t>
      </w:r>
      <w:r w:rsidRPr="00FB4BE3">
        <w:t>octyl methoxycinnamate</w:t>
      </w:r>
      <w:r w:rsidDel="00910472">
        <w:t xml:space="preserve"> </w:t>
      </w:r>
      <w:r w:rsidRPr="0067570F">
        <w:t>from sunscreen, a well-designed longitudinal randomized controlled trial needs to be conducted</w:t>
      </w:r>
      <w:r>
        <w:t xml:space="preserve"> which is not feasible from ethical point of view</w:t>
      </w:r>
      <w:r w:rsidRPr="0067570F">
        <w:t>.</w:t>
      </w:r>
    </w:p>
    <w:p w14:paraId="520DCDDA" w14:textId="77777777" w:rsidR="00341C02" w:rsidRPr="0074486E" w:rsidRDefault="00341C02" w:rsidP="007512B7">
      <w:r w:rsidRPr="0074486E">
        <w:t>Most current SCCS opinions have evaluated the most current data on endocrine disruption potential for these ingredients.</w:t>
      </w:r>
    </w:p>
    <w:p w14:paraId="769EF8DC" w14:textId="1E6A8434" w:rsidR="00341C02" w:rsidRDefault="00341C02" w:rsidP="007512B7">
      <w:r w:rsidRPr="0074486E">
        <w:t xml:space="preserve">For </w:t>
      </w:r>
      <w:proofErr w:type="spellStart"/>
      <w:r w:rsidRPr="0074486E">
        <w:t>ethylhexyl</w:t>
      </w:r>
      <w:proofErr w:type="spellEnd"/>
      <w:r w:rsidRPr="0074486E">
        <w:t xml:space="preserve"> </w:t>
      </w:r>
      <w:proofErr w:type="spellStart"/>
      <w:r w:rsidRPr="0074486E">
        <w:t>triazone</w:t>
      </w:r>
      <w:proofErr w:type="spellEnd"/>
      <w:r w:rsidRPr="0074486E">
        <w:t xml:space="preserve">, the only information on reproductive toxicity or endocrine disrupting potential was from </w:t>
      </w:r>
      <w:r>
        <w:t xml:space="preserve">a </w:t>
      </w:r>
      <w:r w:rsidRPr="0074486E">
        <w:t>short SCCS opinion (</w:t>
      </w:r>
      <w:proofErr w:type="spellStart"/>
      <w:r w:rsidRPr="0074486E">
        <w:t>Hojerová</w:t>
      </w:r>
      <w:proofErr w:type="spellEnd"/>
      <w:r w:rsidRPr="0074486E">
        <w:t> </w:t>
      </w:r>
      <w:r w:rsidRPr="0074486E">
        <w:rPr>
          <w:i/>
        </w:rPr>
        <w:t>et al.</w:t>
      </w:r>
      <w:r w:rsidRPr="0074486E">
        <w:t xml:space="preserve"> 2017). Therefore, further information would be required for the endocrine disruption potential of </w:t>
      </w:r>
      <w:proofErr w:type="spellStart"/>
      <w:r w:rsidRPr="0074486E">
        <w:t>ethylhexyl</w:t>
      </w:r>
      <w:proofErr w:type="spellEnd"/>
      <w:r w:rsidRPr="0074486E">
        <w:t xml:space="preserve"> </w:t>
      </w:r>
      <w:proofErr w:type="spellStart"/>
      <w:r w:rsidRPr="0074486E">
        <w:t>triazone</w:t>
      </w:r>
      <w:proofErr w:type="spellEnd"/>
      <w:r w:rsidRPr="0074486E">
        <w:t xml:space="preserve">. The available data (evaluated in </w:t>
      </w:r>
      <w:r w:rsidRPr="0074486E">
        <w:lastRenderedPageBreak/>
        <w:t xml:space="preserve">SCCS opinions) on </w:t>
      </w:r>
      <w:r>
        <w:t>b</w:t>
      </w:r>
      <w:r w:rsidRPr="00FB4BE3">
        <w:t xml:space="preserve">utyl </w:t>
      </w:r>
      <w:proofErr w:type="spellStart"/>
      <w:r w:rsidRPr="00FB4BE3">
        <w:t>methoxydibenzoylmethane</w:t>
      </w:r>
      <w:proofErr w:type="spellEnd"/>
      <w:r w:rsidRPr="0074486E">
        <w:t xml:space="preserve">, </w:t>
      </w:r>
      <w:proofErr w:type="spellStart"/>
      <w:r w:rsidRPr="0074486E">
        <w:t>homosalate</w:t>
      </w:r>
      <w:proofErr w:type="spellEnd"/>
      <w:r w:rsidRPr="0074486E">
        <w:t xml:space="preserve">, octocrylene, </w:t>
      </w:r>
      <w:r w:rsidRPr="00FB4BE3">
        <w:t>octyl methoxycinnamate</w:t>
      </w:r>
      <w:r w:rsidRPr="0074486E" w:rsidDel="00910472">
        <w:t xml:space="preserve"> </w:t>
      </w:r>
      <w:r w:rsidRPr="0074486E">
        <w:t>and oxybenzone indicate potential endocrine effects, however, they are not adequate to regard them as an endocrine disrupting ingredient, or to derive a toxicological point of departure based on endocrine disrupting properties for use in human health risk assessments.</w:t>
      </w:r>
    </w:p>
    <w:p w14:paraId="4BBE19DD" w14:textId="278B19D3" w:rsidR="00341C02" w:rsidRPr="0074486E" w:rsidRDefault="00341C02" w:rsidP="007512B7">
      <w:pPr>
        <w:rPr>
          <w:b/>
          <w:bCs/>
        </w:rPr>
      </w:pPr>
      <w:r>
        <w:t xml:space="preserve">Chemicals with endocrine activity modulation </w:t>
      </w:r>
      <w:r w:rsidRPr="0074486E">
        <w:t xml:space="preserve">are exogenous chemicals that </w:t>
      </w:r>
      <w:r>
        <w:t>can alter</w:t>
      </w:r>
      <w:r w:rsidRPr="0074486E">
        <w:t xml:space="preserve"> hormone action, thereby</w:t>
      </w:r>
      <w:r>
        <w:t xml:space="preserve"> potentially</w:t>
      </w:r>
      <w:r w:rsidRPr="0074486E">
        <w:t xml:space="preserve"> increasing the risk of adverse health outcomes, including cancer, reproductive impairment, cognitive deficits and obesity.  In 2013, publicly available data on endocrine disruptive properties of 23 ingredients including the ingredients reviewed in this document were collected and evaluated by the Danish Centre on Endocrine Disruptors (</w:t>
      </w:r>
      <w:proofErr w:type="spellStart"/>
      <w:r w:rsidRPr="0074486E">
        <w:t>Axelstad</w:t>
      </w:r>
      <w:proofErr w:type="spellEnd"/>
      <w:r w:rsidRPr="0074486E">
        <w:t xml:space="preserve"> </w:t>
      </w:r>
      <w:r w:rsidRPr="0074486E">
        <w:rPr>
          <w:i/>
        </w:rPr>
        <w:t>et al.</w:t>
      </w:r>
      <w:r w:rsidRPr="0074486E">
        <w:t xml:space="preserve"> 2013). </w:t>
      </w:r>
      <w:r w:rsidRPr="0094232A">
        <w:t>The overall conclusion of the evaluation was that there were not enough data to conclude whether the ingredients have endocrine disruptive properties or not.</w:t>
      </w:r>
    </w:p>
    <w:p w14:paraId="56F31C8F" w14:textId="77777777" w:rsidR="00341C02" w:rsidRPr="007512B7" w:rsidRDefault="00341C02" w:rsidP="00341C02">
      <w:pPr>
        <w:pStyle w:val="Standard"/>
        <w:ind w:left="720"/>
        <w:rPr>
          <w:rFonts w:ascii="Arial" w:hAnsi="Arial" w:cs="Arial"/>
          <w:i/>
          <w:sz w:val="20"/>
          <w:szCs w:val="20"/>
        </w:rPr>
      </w:pPr>
      <w:r w:rsidRPr="007512B7">
        <w:rPr>
          <w:rFonts w:ascii="Arial" w:hAnsi="Arial" w:cs="Arial"/>
          <w:i/>
          <w:sz w:val="20"/>
          <w:szCs w:val="20"/>
        </w:rPr>
        <w:t>“In conclusion, very little is known on the endocrine disrupting potential of these 23 UV-filters. For 14 of the 23 assessed UV-filters</w:t>
      </w:r>
      <w:r w:rsidRPr="007512B7">
        <w:rPr>
          <w:rStyle w:val="FootnoteReference"/>
          <w:rFonts w:ascii="Arial" w:hAnsi="Arial" w:cs="Arial"/>
          <w:i/>
          <w:sz w:val="20"/>
          <w:szCs w:val="20"/>
        </w:rPr>
        <w:footnoteReference w:id="10"/>
      </w:r>
      <w:r w:rsidRPr="007512B7">
        <w:rPr>
          <w:rFonts w:ascii="Arial" w:hAnsi="Arial" w:cs="Arial"/>
          <w:i/>
          <w:sz w:val="20"/>
          <w:szCs w:val="20"/>
        </w:rPr>
        <w:t xml:space="preserve"> no in vivo studies in rodents, assessing endpoint that are sensitive to endocrine disruption, have been performed, and it was therefore not possible to conclude anything on their endocrine disrupting potential, </w:t>
      </w:r>
      <w:proofErr w:type="gramStart"/>
      <w:r w:rsidRPr="007512B7">
        <w:rPr>
          <w:rFonts w:ascii="Arial" w:hAnsi="Arial" w:cs="Arial"/>
          <w:i/>
          <w:sz w:val="20"/>
          <w:szCs w:val="20"/>
        </w:rPr>
        <w:t>with regard to</w:t>
      </w:r>
      <w:proofErr w:type="gramEnd"/>
      <w:r w:rsidRPr="007512B7">
        <w:rPr>
          <w:rFonts w:ascii="Arial" w:hAnsi="Arial" w:cs="Arial"/>
          <w:i/>
          <w:sz w:val="20"/>
          <w:szCs w:val="20"/>
        </w:rPr>
        <w:t xml:space="preserve"> human health…</w:t>
      </w:r>
    </w:p>
    <w:p w14:paraId="479B7BA8" w14:textId="77777777" w:rsidR="00341C02" w:rsidRPr="007512B7" w:rsidRDefault="00341C02" w:rsidP="00341C02">
      <w:pPr>
        <w:pStyle w:val="Standard"/>
        <w:ind w:left="720"/>
        <w:rPr>
          <w:rFonts w:ascii="Arial" w:hAnsi="Arial" w:cs="Arial"/>
          <w:i/>
          <w:sz w:val="20"/>
          <w:szCs w:val="20"/>
        </w:rPr>
      </w:pPr>
      <w:r w:rsidRPr="007512B7">
        <w:rPr>
          <w:rFonts w:ascii="Arial" w:hAnsi="Arial" w:cs="Arial"/>
          <w:i/>
          <w:sz w:val="20"/>
          <w:szCs w:val="20"/>
        </w:rPr>
        <w:t>Two of these (</w:t>
      </w:r>
      <w:r w:rsidRPr="007512B7">
        <w:rPr>
          <w:rFonts w:ascii="Arial" w:hAnsi="Arial" w:cs="Arial"/>
          <w:bCs/>
          <w:i/>
          <w:sz w:val="20"/>
          <w:szCs w:val="20"/>
        </w:rPr>
        <w:t xml:space="preserve">octocrylene and butyl </w:t>
      </w:r>
      <w:proofErr w:type="spellStart"/>
      <w:r w:rsidRPr="007512B7">
        <w:rPr>
          <w:rFonts w:ascii="Arial" w:hAnsi="Arial" w:cs="Arial"/>
          <w:bCs/>
          <w:i/>
          <w:sz w:val="20"/>
          <w:szCs w:val="20"/>
        </w:rPr>
        <w:t>methoxydibenzoylmethane</w:t>
      </w:r>
      <w:proofErr w:type="spellEnd"/>
      <w:r w:rsidRPr="007512B7">
        <w:rPr>
          <w:rFonts w:ascii="Arial" w:hAnsi="Arial" w:cs="Arial"/>
          <w:i/>
          <w:sz w:val="20"/>
          <w:szCs w:val="20"/>
        </w:rPr>
        <w:t xml:space="preserve">) showed no adverse effects in the used test systems. Seven of the UV-filters (placed in groups C &amp; D) were tested in the </w:t>
      </w:r>
      <w:proofErr w:type="spellStart"/>
      <w:r w:rsidRPr="007512B7">
        <w:rPr>
          <w:rFonts w:ascii="Arial" w:hAnsi="Arial" w:cs="Arial"/>
          <w:i/>
          <w:sz w:val="20"/>
          <w:szCs w:val="20"/>
        </w:rPr>
        <w:t>Uterotrophic</w:t>
      </w:r>
      <w:proofErr w:type="spellEnd"/>
      <w:r w:rsidRPr="007512B7">
        <w:rPr>
          <w:rFonts w:ascii="Arial" w:hAnsi="Arial" w:cs="Arial"/>
          <w:i/>
          <w:sz w:val="20"/>
          <w:szCs w:val="20"/>
        </w:rPr>
        <w:t xml:space="preserve"> assay, and regardless of their estrogenic potential in vitro, none of them caused increased uterine weights, indicating lack of estrogenic potential in vivo. The three compounds in-group E</w:t>
      </w:r>
      <w:r w:rsidRPr="007512B7">
        <w:rPr>
          <w:rStyle w:val="FootnoteReference"/>
          <w:rFonts w:ascii="Arial" w:hAnsi="Arial" w:cs="Arial"/>
          <w:i/>
          <w:sz w:val="20"/>
          <w:szCs w:val="20"/>
        </w:rPr>
        <w:footnoteReference w:id="11"/>
      </w:r>
      <w:r w:rsidRPr="007512B7">
        <w:rPr>
          <w:rFonts w:ascii="Arial" w:hAnsi="Arial" w:cs="Arial"/>
          <w:i/>
          <w:sz w:val="20"/>
          <w:szCs w:val="20"/>
        </w:rPr>
        <w:t xml:space="preserve">  were also investigated for androgen receptor (AR) agonism/antagonism in vitro, and the results differed somewhat depending on which type of study had been performed. However, since no in vivo studies investigating the </w:t>
      </w:r>
      <w:proofErr w:type="spellStart"/>
      <w:r w:rsidRPr="007512B7">
        <w:rPr>
          <w:rFonts w:ascii="Arial" w:hAnsi="Arial" w:cs="Arial"/>
          <w:i/>
          <w:sz w:val="20"/>
          <w:szCs w:val="20"/>
        </w:rPr>
        <w:t>anti androgenic</w:t>
      </w:r>
      <w:proofErr w:type="spellEnd"/>
      <w:r w:rsidRPr="007512B7">
        <w:rPr>
          <w:rFonts w:ascii="Arial" w:hAnsi="Arial" w:cs="Arial"/>
          <w:i/>
          <w:sz w:val="20"/>
          <w:szCs w:val="20"/>
        </w:rPr>
        <w:t xml:space="preserve"> effects of the compounds were present, it is difficult to conclude anything on their endocrine disrupting potential </w:t>
      </w:r>
      <w:proofErr w:type="gramStart"/>
      <w:r w:rsidRPr="007512B7">
        <w:rPr>
          <w:rFonts w:ascii="Arial" w:hAnsi="Arial" w:cs="Arial"/>
          <w:i/>
          <w:sz w:val="20"/>
          <w:szCs w:val="20"/>
        </w:rPr>
        <w:t>with regard to</w:t>
      </w:r>
      <w:proofErr w:type="gramEnd"/>
      <w:r w:rsidRPr="007512B7">
        <w:rPr>
          <w:rFonts w:ascii="Arial" w:hAnsi="Arial" w:cs="Arial"/>
          <w:i/>
          <w:sz w:val="20"/>
          <w:szCs w:val="20"/>
        </w:rPr>
        <w:t xml:space="preserve"> the possible androgenic/antiandrogenic mode of action. Information on human health endocrine disrupting potential of last two UV-filters (octocrylene and titanium dioxide) was also scarce. Since no adverse effects on testicular and epididymal morphology or on sperm quality were seen in a 90-day study of octocrylene, this UV filter did not seem to be a potent anti-androgen. Read across assessment showed possible resemblance of the chemical structures of some of the presently evaluated UV-filters to known or suspected endocrine disrupting UV-filters, however more knowledge on the endocrine disrupting potential of the presently evaluated UV-filters could be obtained by doing QSAR analyses. </w:t>
      </w:r>
      <w:proofErr w:type="gramStart"/>
      <w:r w:rsidRPr="007512B7">
        <w:rPr>
          <w:rFonts w:ascii="Arial" w:hAnsi="Arial" w:cs="Arial"/>
          <w:i/>
          <w:sz w:val="20"/>
          <w:szCs w:val="20"/>
        </w:rPr>
        <w:t>Unfortunately</w:t>
      </w:r>
      <w:proofErr w:type="gramEnd"/>
      <w:r w:rsidRPr="007512B7">
        <w:rPr>
          <w:rFonts w:ascii="Arial" w:hAnsi="Arial" w:cs="Arial"/>
          <w:i/>
          <w:sz w:val="20"/>
          <w:szCs w:val="20"/>
        </w:rPr>
        <w:t xml:space="preserve"> no published reports of such analysis were present in the open literature.”</w:t>
      </w:r>
    </w:p>
    <w:p w14:paraId="32E3B07A" w14:textId="77777777" w:rsidR="00341C02" w:rsidRPr="0074486E" w:rsidRDefault="00341C02" w:rsidP="007512B7">
      <w:r w:rsidRPr="00B01B1F">
        <w:t xml:space="preserve">An extensive review in 2016 also </w:t>
      </w:r>
      <w:r w:rsidRPr="00B01B1F">
        <w:rPr>
          <w:shd w:val="clear" w:color="auto" w:fill="FFFFFF"/>
        </w:rPr>
        <w:t xml:space="preserve">discussed the potential endocrine disruption of typical UV filters including benzophenones (i.e. oxybenzone), camphor derivatives and cinnamate derivatives (i.e., octocrylene, </w:t>
      </w:r>
      <w:r w:rsidRPr="00FB4BE3">
        <w:t>octyl methoxycinnamate</w:t>
      </w:r>
      <w:r w:rsidRPr="00B01B1F">
        <w:rPr>
          <w:shd w:val="clear" w:color="auto" w:fill="FFFFFF"/>
        </w:rPr>
        <w:t xml:space="preserve"> etc.)</w:t>
      </w:r>
      <w:r w:rsidRPr="00B01B1F">
        <w:t xml:space="preserve"> (Wang </w:t>
      </w:r>
      <w:r w:rsidRPr="00B01B1F">
        <w:rPr>
          <w:i/>
        </w:rPr>
        <w:t>et al.</w:t>
      </w:r>
      <w:r w:rsidRPr="00B01B1F">
        <w:t xml:space="preserve"> 2016). The review (Wang </w:t>
      </w:r>
      <w:r w:rsidRPr="00B01B1F">
        <w:rPr>
          <w:i/>
        </w:rPr>
        <w:t>et al.</w:t>
      </w:r>
      <w:r w:rsidRPr="00B01B1F">
        <w:t xml:space="preserve"> 2016) concluded</w:t>
      </w:r>
      <w:r>
        <w:t>:</w:t>
      </w:r>
    </w:p>
    <w:p w14:paraId="63F606FE" w14:textId="77777777" w:rsidR="00341C02" w:rsidRPr="007512B7" w:rsidRDefault="00341C02" w:rsidP="00341C02">
      <w:pPr>
        <w:pStyle w:val="Standard"/>
        <w:ind w:left="720"/>
        <w:rPr>
          <w:rFonts w:asciiTheme="minorHAnsi" w:hAnsiTheme="minorHAnsi" w:cstheme="minorHAnsi"/>
          <w:i/>
          <w:iCs/>
          <w:sz w:val="20"/>
          <w:szCs w:val="20"/>
        </w:rPr>
      </w:pPr>
      <w:r w:rsidRPr="007512B7">
        <w:rPr>
          <w:rFonts w:asciiTheme="minorHAnsi" w:hAnsiTheme="minorHAnsi" w:cstheme="minorHAnsi"/>
          <w:i/>
          <w:iCs/>
          <w:sz w:val="20"/>
          <w:szCs w:val="20"/>
        </w:rPr>
        <w:t>“These UV filters are generally involved in the disruption of the hypothalamic–pituitary–gonadal system. As revealed by in vivo and in vitro assays, exposure to these chemicals induced various endocrine disrupting effects such as estrogenic disrupting effects, androgenic disrupting effects as well as the disrupting effects towards TR, PR. The underlying mechanism of endocrine disruption was summarized … The minor structural changes of these kinds of UV filters have influence on the potency of their endocrine disrupting effects.”</w:t>
      </w:r>
    </w:p>
    <w:p w14:paraId="707733D5" w14:textId="672760D3" w:rsidR="00341C02" w:rsidRPr="0074486E" w:rsidRDefault="00341C02" w:rsidP="007512B7">
      <w:pPr>
        <w:rPr>
          <w:i/>
          <w:iCs/>
        </w:rPr>
      </w:pPr>
      <w:r w:rsidRPr="00B609CA">
        <w:t xml:space="preserve">The Table 2 (summarising the Endocrine Activity Modulation effects of the commonly used UV filters) from the Wang review is provided in </w:t>
      </w:r>
      <w:r w:rsidR="00032671">
        <w:fldChar w:fldCharType="begin"/>
      </w:r>
      <w:r w:rsidR="00032671">
        <w:instrText xml:space="preserve"> REF _Ref195174808 \h </w:instrText>
      </w:r>
      <w:r w:rsidR="00032671">
        <w:fldChar w:fldCharType="separate"/>
      </w:r>
      <w:r w:rsidR="00CB5A59">
        <w:t>Attachment 2: List of endocrine activity modulation effects of commonly used UV filters</w:t>
      </w:r>
      <w:r w:rsidR="00032671">
        <w:fldChar w:fldCharType="end"/>
      </w:r>
      <w:r w:rsidRPr="00B609CA">
        <w:t>.</w:t>
      </w:r>
    </w:p>
    <w:p w14:paraId="280C725C" w14:textId="77777777" w:rsidR="00341C02" w:rsidRPr="0074486E" w:rsidRDefault="00341C02" w:rsidP="007512B7">
      <w:r w:rsidRPr="0074486E">
        <w:t xml:space="preserve">In a recent </w:t>
      </w:r>
      <w:r w:rsidRPr="0094232A">
        <w:rPr>
          <w:i/>
          <w:iCs/>
        </w:rPr>
        <w:t>in vitro</w:t>
      </w:r>
      <w:r>
        <w:t xml:space="preserve"> </w:t>
      </w:r>
      <w:r w:rsidRPr="0074486E">
        <w:t xml:space="preserve">study, Rehfeld </w:t>
      </w:r>
      <w:r w:rsidRPr="0074486E">
        <w:rPr>
          <w:i/>
        </w:rPr>
        <w:t>et al.</w:t>
      </w:r>
      <w:r w:rsidRPr="0074486E">
        <w:t xml:space="preserve"> (2018) found that the </w:t>
      </w:r>
      <w:proofErr w:type="spellStart"/>
      <w:r w:rsidRPr="0074486E">
        <w:t>homosalate</w:t>
      </w:r>
      <w:proofErr w:type="spellEnd"/>
      <w:r w:rsidRPr="0074486E">
        <w:t xml:space="preserve">, oxybenzone, </w:t>
      </w:r>
      <w:r>
        <w:t>b</w:t>
      </w:r>
      <w:r w:rsidRPr="00FB4BE3">
        <w:t xml:space="preserve">utyl </w:t>
      </w:r>
      <w:proofErr w:type="spellStart"/>
      <w:r w:rsidRPr="00FB4BE3">
        <w:t>methoxydibenzoylmethane</w:t>
      </w:r>
      <w:proofErr w:type="spellEnd"/>
      <w:r w:rsidRPr="0074486E">
        <w:t xml:space="preserve">, </w:t>
      </w:r>
      <w:r w:rsidRPr="00FB4BE3">
        <w:t>octyl methoxycinnamate</w:t>
      </w:r>
      <w:r w:rsidRPr="0074486E" w:rsidDel="00910472">
        <w:t xml:space="preserve"> </w:t>
      </w:r>
      <w:r w:rsidRPr="0074486E">
        <w:t>and octocrylene induced Ca</w:t>
      </w:r>
      <w:r w:rsidRPr="0074486E">
        <w:rPr>
          <w:vertAlign w:val="superscript"/>
        </w:rPr>
        <w:t>2+</w:t>
      </w:r>
      <w:r w:rsidRPr="0074486E">
        <w:t xml:space="preserve"> influx in human sperm cells whereas </w:t>
      </w:r>
      <w:proofErr w:type="spellStart"/>
      <w:r w:rsidRPr="0074486E">
        <w:t>ethylhexyl</w:t>
      </w:r>
      <w:proofErr w:type="spellEnd"/>
      <w:r w:rsidRPr="0074486E">
        <w:t xml:space="preserve"> </w:t>
      </w:r>
      <w:proofErr w:type="spellStart"/>
      <w:r w:rsidRPr="0074486E">
        <w:t>triazone</w:t>
      </w:r>
      <w:proofErr w:type="spellEnd"/>
      <w:r w:rsidRPr="0074486E">
        <w:t xml:space="preserve"> did not.</w:t>
      </w:r>
      <w:r w:rsidRPr="0074486E">
        <w:rPr>
          <w:i/>
        </w:rPr>
        <w:t xml:space="preserve"> </w:t>
      </w:r>
      <w:r w:rsidRPr="0074486E">
        <w:t>It concluded</w:t>
      </w:r>
      <w:r>
        <w:t>:</w:t>
      </w:r>
    </w:p>
    <w:p w14:paraId="008BF031" w14:textId="77777777" w:rsidR="00341C02" w:rsidRPr="007512B7" w:rsidRDefault="00341C02" w:rsidP="00341C02">
      <w:pPr>
        <w:pStyle w:val="Standard"/>
        <w:ind w:left="720"/>
        <w:rPr>
          <w:rFonts w:ascii="Arial" w:hAnsi="Arial" w:cs="Arial"/>
          <w:i/>
          <w:sz w:val="20"/>
          <w:szCs w:val="20"/>
        </w:rPr>
      </w:pPr>
      <w:r w:rsidRPr="007512B7">
        <w:rPr>
          <w:rFonts w:ascii="Arial" w:hAnsi="Arial" w:cs="Arial"/>
          <w:sz w:val="20"/>
          <w:szCs w:val="20"/>
        </w:rPr>
        <w:lastRenderedPageBreak/>
        <w:t>“</w:t>
      </w:r>
      <w:r w:rsidRPr="007512B7">
        <w:rPr>
          <w:rFonts w:ascii="Arial" w:hAnsi="Arial" w:cs="Arial"/>
          <w:i/>
          <w:sz w:val="20"/>
          <w:szCs w:val="20"/>
        </w:rPr>
        <w:t>In conclusion, chemical UV filters that mimic the effect of progesterone on Ca</w:t>
      </w:r>
      <w:r w:rsidRPr="007512B7">
        <w:rPr>
          <w:rFonts w:ascii="Arial" w:hAnsi="Arial" w:cs="Arial"/>
          <w:i/>
          <w:sz w:val="20"/>
          <w:szCs w:val="20"/>
          <w:vertAlign w:val="superscript"/>
        </w:rPr>
        <w:t>2+</w:t>
      </w:r>
      <w:r w:rsidRPr="007512B7">
        <w:rPr>
          <w:rFonts w:ascii="Arial" w:hAnsi="Arial" w:cs="Arial"/>
          <w:i/>
          <w:sz w:val="20"/>
          <w:szCs w:val="20"/>
        </w:rPr>
        <w:t> </w:t>
      </w:r>
      <w:proofErr w:type="spellStart"/>
      <w:r w:rsidRPr="007512B7">
        <w:rPr>
          <w:rFonts w:ascii="Arial" w:hAnsi="Arial" w:cs="Arial"/>
          <w:i/>
          <w:sz w:val="20"/>
          <w:szCs w:val="20"/>
        </w:rPr>
        <w:t>signaling</w:t>
      </w:r>
      <w:proofErr w:type="spellEnd"/>
      <w:r w:rsidRPr="007512B7">
        <w:rPr>
          <w:rFonts w:ascii="Arial" w:hAnsi="Arial" w:cs="Arial"/>
          <w:i/>
          <w:sz w:val="20"/>
          <w:szCs w:val="20"/>
        </w:rPr>
        <w:t xml:space="preserve"> in human sperm cells can similarly mimic the effect of progesterone on acrosome reaction and sperm penetration. Human exposure to these chemical UV filters may impair fertility by interfering with sperm function, e.g. through induction of premature acrosome reaction. Further studies are needed to confirm the results </w:t>
      </w:r>
      <w:r w:rsidRPr="007512B7">
        <w:rPr>
          <w:rFonts w:ascii="Arial" w:hAnsi="Arial" w:cs="Arial"/>
          <w:i/>
          <w:iCs/>
          <w:sz w:val="20"/>
          <w:szCs w:val="20"/>
        </w:rPr>
        <w:t>in vivo”</w:t>
      </w:r>
      <w:r w:rsidRPr="007512B7">
        <w:rPr>
          <w:rFonts w:ascii="Arial" w:hAnsi="Arial" w:cs="Arial"/>
          <w:i/>
          <w:sz w:val="20"/>
          <w:szCs w:val="20"/>
        </w:rPr>
        <w:t>.</w:t>
      </w:r>
    </w:p>
    <w:p w14:paraId="138A4731" w14:textId="7EDA605C" w:rsidR="00341C02" w:rsidRPr="002C7324" w:rsidRDefault="00341C02" w:rsidP="007512B7">
      <w:r w:rsidRPr="002C7324">
        <w:t xml:space="preserve">Lee </w:t>
      </w:r>
      <w:r w:rsidRPr="002C7324">
        <w:rPr>
          <w:i/>
        </w:rPr>
        <w:t>et al.</w:t>
      </w:r>
      <w:r w:rsidRPr="002C7324">
        <w:t xml:space="preserve"> (2022) screened </w:t>
      </w:r>
      <w:r w:rsidRPr="00FB4BE3">
        <w:t>octyl methoxycinnamate</w:t>
      </w:r>
      <w:r w:rsidRPr="002C7324">
        <w:t xml:space="preserve">, octocrylene, </w:t>
      </w:r>
      <w:r>
        <w:t>b</w:t>
      </w:r>
      <w:r w:rsidRPr="00FB4BE3">
        <w:t xml:space="preserve">utyl </w:t>
      </w:r>
      <w:proofErr w:type="spellStart"/>
      <w:r w:rsidRPr="00FB4BE3">
        <w:t>methoxydibenzoylmethane</w:t>
      </w:r>
      <w:proofErr w:type="spellEnd"/>
      <w:r w:rsidRPr="002C7324" w:rsidDel="0000243B">
        <w:t xml:space="preserve"> </w:t>
      </w:r>
      <w:r w:rsidRPr="002C7324">
        <w:t xml:space="preserve">and </w:t>
      </w:r>
      <w:proofErr w:type="spellStart"/>
      <w:r w:rsidRPr="002C7324">
        <w:t>homosalate</w:t>
      </w:r>
      <w:proofErr w:type="spellEnd"/>
      <w:r w:rsidRPr="002C7324">
        <w:t xml:space="preserve"> among 35 other chemicals used in consumer products, for their ability to modulate estrogen receptor (ER) or androgen receptor (AR) </w:t>
      </w:r>
      <w:r w:rsidRPr="002C7324">
        <w:rPr>
          <w:i/>
        </w:rPr>
        <w:t xml:space="preserve">in vitro. </w:t>
      </w:r>
      <w:r w:rsidRPr="002C7324">
        <w:t>O</w:t>
      </w:r>
      <w:r w:rsidRPr="00FB4BE3">
        <w:t>ctyl methoxycinnamate</w:t>
      </w:r>
      <w:r w:rsidRPr="002C7324" w:rsidDel="0005447B">
        <w:t xml:space="preserve"> </w:t>
      </w:r>
      <w:r w:rsidRPr="002C7324">
        <w:t xml:space="preserve">was a weak agonist of ER, while octocrylene acted both as a very weak agonist or a weak antagonist of ER, but both were negative for AR. </w:t>
      </w:r>
      <w:r>
        <w:t>B</w:t>
      </w:r>
      <w:r w:rsidRPr="00FB4BE3">
        <w:t xml:space="preserve">utyl </w:t>
      </w:r>
      <w:proofErr w:type="spellStart"/>
      <w:r w:rsidRPr="00FB4BE3">
        <w:t>methoxydibenzoylmethane</w:t>
      </w:r>
      <w:proofErr w:type="spellEnd"/>
      <w:r w:rsidRPr="002C7324" w:rsidDel="004B7665">
        <w:t xml:space="preserve"> </w:t>
      </w:r>
      <w:r w:rsidRPr="002C7324">
        <w:t xml:space="preserve">and </w:t>
      </w:r>
      <w:proofErr w:type="spellStart"/>
      <w:r w:rsidRPr="002C7324">
        <w:t>homosalate</w:t>
      </w:r>
      <w:proofErr w:type="spellEnd"/>
      <w:r w:rsidRPr="002C7324">
        <w:t xml:space="preserve"> did not activate either ER or AR.</w:t>
      </w:r>
    </w:p>
    <w:p w14:paraId="3AD9EFE7" w14:textId="1AAF95FF" w:rsidR="00341C02" w:rsidRPr="0074486E" w:rsidRDefault="00341C02" w:rsidP="007512B7">
      <w:r w:rsidRPr="0074486E">
        <w:t xml:space="preserve">In the light of increased safety concerns regarding the </w:t>
      </w:r>
      <w:r>
        <w:t xml:space="preserve">Endocrine Activity Modulation </w:t>
      </w:r>
      <w:r w:rsidRPr="0074486E">
        <w:t xml:space="preserve">potential of the active ingredients in sunscreens, in 2018, the ECHA and the European Food Safety Authority (EFSA) published “Guidance for the identification of endocrine disruptors in the context of Regulations (EU) No 528/2012 and (EC) No 1107/2009 (Andersson </w:t>
      </w:r>
      <w:r w:rsidRPr="0074486E">
        <w:rPr>
          <w:i/>
        </w:rPr>
        <w:t>et al.</w:t>
      </w:r>
      <w:r w:rsidRPr="0074486E">
        <w:t xml:space="preserve"> 2018). The Biocidal Products Regulation (EU No 528/2012; BPR) restricts approvals of the active substances considered to have </w:t>
      </w:r>
      <w:r>
        <w:t>endocrine disruption</w:t>
      </w:r>
      <w:r w:rsidRPr="0074486E">
        <w:t xml:space="preserve"> properties, unless the risk from exposure to the active substance is shown to be negligible or unless there is evidence that the active substance is essential to prevent or control </w:t>
      </w:r>
      <w:proofErr w:type="gramStart"/>
      <w:r w:rsidRPr="0074486E">
        <w:t>a serious danger</w:t>
      </w:r>
      <w:proofErr w:type="gramEnd"/>
      <w:r w:rsidRPr="0074486E">
        <w:t xml:space="preserve"> to human health, animal health, or the environment.</w:t>
      </w:r>
    </w:p>
    <w:p w14:paraId="55D552BC" w14:textId="5D1A12C1" w:rsidR="00341C02" w:rsidRDefault="00341C02" w:rsidP="007512B7">
      <w:r w:rsidRPr="0074486E">
        <w:t xml:space="preserve">A recent Consensus Statement discussed ten key characteristics (KCs) of </w:t>
      </w:r>
      <w:r>
        <w:t>Endocrine Activity Modulation</w:t>
      </w:r>
      <w:r w:rsidRPr="0074486E">
        <w:t xml:space="preserve"> based on hormone actions and </w:t>
      </w:r>
      <w:r>
        <w:t>Endocrine Activity Modulation</w:t>
      </w:r>
      <w:r w:rsidRPr="0074486E">
        <w:t xml:space="preserve"> effects, the logic behind the identification of these KCs and the assays that could be used to assess several of these KCs (la Merrill </w:t>
      </w:r>
      <w:r w:rsidRPr="0074486E">
        <w:rPr>
          <w:i/>
        </w:rPr>
        <w:t>et al.</w:t>
      </w:r>
      <w:r w:rsidRPr="0074486E">
        <w:t xml:space="preserve"> 2020).</w:t>
      </w:r>
    </w:p>
    <w:p w14:paraId="73D3E856" w14:textId="77777777" w:rsidR="00341C02" w:rsidRPr="006C7F1B" w:rsidRDefault="00341C02" w:rsidP="007512B7">
      <w:r w:rsidRPr="004E2BC8">
        <w:t>A system</w:t>
      </w:r>
      <w:r>
        <w:t>at</w:t>
      </w:r>
      <w:r w:rsidRPr="004E2BC8">
        <w:t xml:space="preserve">ic review assessed </w:t>
      </w:r>
      <w:r w:rsidRPr="006C7F1B">
        <w:t>29 studies that address</w:t>
      </w:r>
      <w:r w:rsidRPr="004E2BC8">
        <w:t xml:space="preserve">ed the impact of oxybenzone on human health (Suh 2020).  The review suggests increased systemic level of oxybenzone had no adverse effect on male and female fertility, female reproductive hormone level, adiposity, </w:t>
      </w:r>
      <w:proofErr w:type="spellStart"/>
      <w:r w:rsidRPr="004E2BC8">
        <w:t>fetal</w:t>
      </w:r>
      <w:proofErr w:type="spellEnd"/>
      <w:r w:rsidRPr="004E2BC8">
        <w:t xml:space="preserve"> growth, child’s neurodevelopment and sexual maturation (Suh 2020). However, the association of oxybenzone level on thyroid hormone, testosterone level, kidney function and pubertal timing has been reported warranting further investigations to validate a true association. The health effects of an increased </w:t>
      </w:r>
      <w:r w:rsidRPr="00FB4BE3">
        <w:t>octyl methoxycinnamate</w:t>
      </w:r>
      <w:r w:rsidRPr="004E2BC8" w:rsidDel="00372CE1">
        <w:t xml:space="preserve"> </w:t>
      </w:r>
      <w:r w:rsidRPr="004E2BC8">
        <w:t>level ha</w:t>
      </w:r>
      <w:r>
        <w:t>ve</w:t>
      </w:r>
      <w:r w:rsidRPr="004E2BC8">
        <w:t xml:space="preserve"> been less extensively studied presumably. The current evidence shows that topical application of </w:t>
      </w:r>
      <w:r w:rsidRPr="00FB4BE3">
        <w:t>octyl methoxycinnamate</w:t>
      </w:r>
      <w:r w:rsidRPr="004E2BC8" w:rsidDel="00372CE1">
        <w:t xml:space="preserve"> </w:t>
      </w:r>
      <w:r w:rsidRPr="004E2BC8">
        <w:t xml:space="preserve">does not have biologically significant effect on thyroid and reproductive hormone levels </w:t>
      </w:r>
      <w:r w:rsidRPr="006C7F1B">
        <w:t>(S</w:t>
      </w:r>
      <w:r w:rsidRPr="004E2BC8">
        <w:t xml:space="preserve">uh 2020). </w:t>
      </w:r>
      <w:r>
        <w:t xml:space="preserve">However, </w:t>
      </w:r>
      <w:r w:rsidRPr="0063233A">
        <w:t xml:space="preserve">the topical application of </w:t>
      </w:r>
      <w:r w:rsidRPr="00FB4BE3">
        <w:t>octyl methoxycinnamate</w:t>
      </w:r>
      <w:r w:rsidDel="00372CE1">
        <w:t xml:space="preserve"> </w:t>
      </w:r>
      <w:r w:rsidRPr="0063233A">
        <w:t xml:space="preserve">results in systemic absorption greater than 0.5 ng/mL, a threshold established by the FDA for waiving toxicology assessment, and therefore further drug safety assessment on </w:t>
      </w:r>
      <w:r w:rsidRPr="00FB4BE3">
        <w:t>octyl methoxycinnamate</w:t>
      </w:r>
      <w:r w:rsidDel="00372CE1">
        <w:t xml:space="preserve"> </w:t>
      </w:r>
      <w:r w:rsidRPr="0063233A">
        <w:t>is crucial.</w:t>
      </w:r>
    </w:p>
    <w:p w14:paraId="2385169E" w14:textId="77777777" w:rsidR="00341C02" w:rsidRPr="004E2BC8" w:rsidRDefault="00341C02" w:rsidP="007512B7">
      <w:r w:rsidRPr="004E2BC8">
        <w:t>The review concluded that</w:t>
      </w:r>
      <w:r>
        <w:t>:</w:t>
      </w:r>
    </w:p>
    <w:p w14:paraId="43C16A1D" w14:textId="77777777" w:rsidR="00341C02" w:rsidRPr="007512B7" w:rsidRDefault="00341C02" w:rsidP="00341C02">
      <w:pPr>
        <w:pStyle w:val="Standard"/>
        <w:ind w:left="720"/>
        <w:rPr>
          <w:rFonts w:asciiTheme="minorHAnsi" w:hAnsiTheme="minorHAnsi" w:cstheme="minorHAnsi"/>
          <w:sz w:val="20"/>
          <w:szCs w:val="20"/>
        </w:rPr>
      </w:pPr>
      <w:r w:rsidRPr="007512B7">
        <w:rPr>
          <w:rFonts w:asciiTheme="minorHAnsi" w:hAnsiTheme="minorHAnsi" w:cstheme="minorHAnsi"/>
          <w:i/>
          <w:iCs/>
          <w:sz w:val="20"/>
          <w:szCs w:val="20"/>
        </w:rPr>
        <w:t>“To evaluate the long-term risk of exposure to BP-3 or OMC from sunscreens, a well-designed longitudinal randomized controlled trial is of high priority.”</w:t>
      </w:r>
    </w:p>
    <w:p w14:paraId="6E10B5A5" w14:textId="4C4E5C04" w:rsidR="00341C02" w:rsidRDefault="00341C02" w:rsidP="007512B7">
      <w:r>
        <w:t>T</w:t>
      </w:r>
      <w:r w:rsidRPr="0074486E">
        <w:t xml:space="preserve">he </w:t>
      </w:r>
      <w:r>
        <w:t xml:space="preserve">latest SCCS opinions on these ingredients considered </w:t>
      </w:r>
      <w:r w:rsidRPr="0074486E">
        <w:t>available information on the endocrine activity of the</w:t>
      </w:r>
      <w:r>
        <w:t>se</w:t>
      </w:r>
      <w:r w:rsidRPr="0074486E">
        <w:t xml:space="preserve"> active ingredients </w:t>
      </w:r>
      <w:r>
        <w:t>and suggested inadequate evidence is available for relevant safety determination.</w:t>
      </w:r>
    </w:p>
    <w:p w14:paraId="1215765A" w14:textId="752CE07D" w:rsidR="00341C02" w:rsidRPr="0074486E" w:rsidRDefault="00341C02" w:rsidP="007512B7">
      <w:r>
        <w:t>The key conclusions from the evidence above are given below for each individual ingredient</w:t>
      </w:r>
      <w:r w:rsidRPr="0074486E">
        <w:t>.</w:t>
      </w:r>
    </w:p>
    <w:p w14:paraId="5C6A1477" w14:textId="77777777" w:rsidR="00341C02" w:rsidRPr="0074486E" w:rsidRDefault="00341C02" w:rsidP="00341C02">
      <w:pPr>
        <w:pStyle w:val="Heading5sub"/>
      </w:pPr>
      <w:r>
        <w:t>B</w:t>
      </w:r>
      <w:r w:rsidRPr="009D3201">
        <w:t xml:space="preserve">utyl </w:t>
      </w:r>
      <w:proofErr w:type="spellStart"/>
      <w:r w:rsidRPr="009D3201">
        <w:t>methoxydibenzoylmethane</w:t>
      </w:r>
      <w:proofErr w:type="spellEnd"/>
      <w:r w:rsidRPr="009D3201" w:rsidDel="009D3201">
        <w:t xml:space="preserve"> </w:t>
      </w:r>
      <w:bookmarkEnd w:id="82"/>
      <w:bookmarkEnd w:id="83"/>
    </w:p>
    <w:p w14:paraId="6C9FF4CA" w14:textId="77777777" w:rsidR="00341C02" w:rsidRPr="0074486E" w:rsidRDefault="00341C02" w:rsidP="007512B7">
      <w:bookmarkStart w:id="84" w:name="_Toc100664721"/>
      <w:bookmarkStart w:id="85" w:name="_Toc114863479"/>
      <w:r w:rsidRPr="0074486E">
        <w:t>The Danish Centre on Endocrine Disruptors (</w:t>
      </w:r>
      <w:proofErr w:type="spellStart"/>
      <w:r w:rsidRPr="0074486E">
        <w:t>Axelstad</w:t>
      </w:r>
      <w:proofErr w:type="spellEnd"/>
      <w:r w:rsidRPr="0074486E">
        <w:t xml:space="preserve"> </w:t>
      </w:r>
      <w:r w:rsidRPr="0074486E">
        <w:rPr>
          <w:i/>
        </w:rPr>
        <w:t>et al.</w:t>
      </w:r>
      <w:r w:rsidRPr="0074486E">
        <w:t xml:space="preserve"> 2013) evaluated publicly available data on endocrine disruptive properties of substances and based on the assessment it concluded that there were not enough data to conclude whether </w:t>
      </w:r>
      <w:r>
        <w:t>b</w:t>
      </w:r>
      <w:r w:rsidRPr="00FB4BE3">
        <w:t xml:space="preserve">utyl </w:t>
      </w:r>
      <w:proofErr w:type="spellStart"/>
      <w:r w:rsidRPr="00FB4BE3">
        <w:t>methoxydibenzoylmethane</w:t>
      </w:r>
      <w:proofErr w:type="spellEnd"/>
      <w:r w:rsidRPr="0074486E" w:rsidDel="008139F0">
        <w:t xml:space="preserve"> </w:t>
      </w:r>
      <w:r w:rsidRPr="0074486E">
        <w:t>has endocrine disruptive properties or not.</w:t>
      </w:r>
    </w:p>
    <w:p w14:paraId="4F7EE83C" w14:textId="77777777" w:rsidR="00341C02" w:rsidRPr="0074486E" w:rsidRDefault="00341C02" w:rsidP="00341C02">
      <w:pPr>
        <w:pStyle w:val="Heading5sub"/>
      </w:pPr>
      <w:proofErr w:type="spellStart"/>
      <w:r w:rsidRPr="0074486E">
        <w:lastRenderedPageBreak/>
        <w:t>Homosalate</w:t>
      </w:r>
      <w:bookmarkEnd w:id="84"/>
      <w:bookmarkEnd w:id="85"/>
      <w:proofErr w:type="spellEnd"/>
    </w:p>
    <w:p w14:paraId="52A03391" w14:textId="47D57DEC" w:rsidR="00341C02" w:rsidRPr="0074486E" w:rsidRDefault="00341C02" w:rsidP="007512B7">
      <w:bookmarkStart w:id="86" w:name="_Toc100664722"/>
      <w:bookmarkStart w:id="87" w:name="_Toc114863480"/>
      <w:r w:rsidRPr="0074486E">
        <w:t xml:space="preserve">According to Danish QSAR database, </w:t>
      </w:r>
      <w:proofErr w:type="spellStart"/>
      <w:r w:rsidRPr="0074486E">
        <w:t>homosalate</w:t>
      </w:r>
      <w:proofErr w:type="spellEnd"/>
      <w:r w:rsidRPr="0074486E">
        <w:t xml:space="preserve"> was predicted to activate the E2R (</w:t>
      </w:r>
      <w:proofErr w:type="spellStart"/>
      <w:r w:rsidRPr="0074486E">
        <w:t>Leadscope</w:t>
      </w:r>
      <w:proofErr w:type="spellEnd"/>
      <w:r w:rsidRPr="0074486E">
        <w:t xml:space="preserve"> and </w:t>
      </w:r>
      <w:proofErr w:type="spellStart"/>
      <w:r w:rsidRPr="0074486E">
        <w:t>SciQSAR</w:t>
      </w:r>
      <w:proofErr w:type="spellEnd"/>
      <w:r w:rsidRPr="0074486E">
        <w:t>)</w:t>
      </w:r>
      <w:bookmarkStart w:id="88" w:name="_Ref83041722"/>
      <w:r>
        <w:rPr>
          <w:rStyle w:val="FootnoteReference"/>
          <w:sz w:val="22"/>
          <w:szCs w:val="22"/>
        </w:rPr>
        <w:footnoteReference w:id="12"/>
      </w:r>
      <w:bookmarkEnd w:id="88"/>
      <w:r w:rsidRPr="0074486E">
        <w:t xml:space="preserve"> and to act as an antagonist of androgen receptor (AR)(CASE Ultra and </w:t>
      </w:r>
      <w:proofErr w:type="spellStart"/>
      <w:r w:rsidRPr="0074486E">
        <w:t>Leadscope</w:t>
      </w:r>
      <w:proofErr w:type="spellEnd"/>
      <w:r w:rsidRPr="0074486E">
        <w:t>).</w:t>
      </w:r>
      <w:r>
        <w:rPr>
          <w:rStyle w:val="FootnoteReference"/>
          <w:sz w:val="22"/>
          <w:szCs w:val="22"/>
        </w:rPr>
        <w:fldChar w:fldCharType="begin"/>
      </w:r>
      <w:r>
        <w:instrText xml:space="preserve"> NOTEREF _Ref83041722 \f \h </w:instrText>
      </w:r>
      <w:r w:rsidR="007512B7">
        <w:rPr>
          <w:rStyle w:val="FootnoteReference"/>
          <w:sz w:val="22"/>
          <w:szCs w:val="22"/>
        </w:rPr>
        <w:instrText xml:space="preserve"> \* MERGEFORMAT </w:instrText>
      </w:r>
      <w:r>
        <w:rPr>
          <w:rStyle w:val="FootnoteReference"/>
          <w:sz w:val="22"/>
          <w:szCs w:val="22"/>
        </w:rPr>
      </w:r>
      <w:r>
        <w:rPr>
          <w:rStyle w:val="FootnoteReference"/>
          <w:sz w:val="22"/>
          <w:szCs w:val="22"/>
        </w:rPr>
        <w:fldChar w:fldCharType="separate"/>
      </w:r>
      <w:r w:rsidR="00CB5A59" w:rsidRPr="00CB5A59">
        <w:rPr>
          <w:rStyle w:val="FootnoteReference"/>
        </w:rPr>
        <w:t>12</w:t>
      </w:r>
      <w:r>
        <w:rPr>
          <w:rStyle w:val="FootnoteReference"/>
          <w:sz w:val="22"/>
          <w:szCs w:val="22"/>
        </w:rPr>
        <w:fldChar w:fldCharType="end"/>
      </w:r>
    </w:p>
    <w:p w14:paraId="66E71F7C" w14:textId="55AD0FD9" w:rsidR="00341C02" w:rsidRPr="0074486E" w:rsidRDefault="00341C02" w:rsidP="007512B7">
      <w:pPr>
        <w:rPr>
          <w:i/>
          <w:lang w:val="en"/>
        </w:rPr>
      </w:pPr>
      <w:r w:rsidRPr="0074486E">
        <w:rPr>
          <w:lang w:val="en"/>
        </w:rPr>
        <w:t xml:space="preserve">The </w:t>
      </w:r>
      <w:r w:rsidRPr="0074486E">
        <w:t>SCCS (202</w:t>
      </w:r>
      <w:r>
        <w:t>1b</w:t>
      </w:r>
      <w:r w:rsidRPr="0074486E">
        <w:t xml:space="preserve">) </w:t>
      </w:r>
      <w:r w:rsidRPr="0074486E">
        <w:rPr>
          <w:lang w:val="en"/>
        </w:rPr>
        <w:t xml:space="preserve">conclusion was based on a </w:t>
      </w:r>
      <w:r w:rsidRPr="0074486E">
        <w:t>Risk Management Options Analysis</w:t>
      </w:r>
      <w:r w:rsidRPr="0074486E">
        <w:rPr>
          <w:lang w:val="en"/>
        </w:rPr>
        <w:t xml:space="preserve"> </w:t>
      </w:r>
      <w:r w:rsidRPr="000E0E87">
        <w:rPr>
          <w:lang w:val="en"/>
        </w:rPr>
        <w:t>(</w:t>
      </w:r>
      <w:r w:rsidRPr="00922EBF">
        <w:rPr>
          <w:lang w:val="en"/>
        </w:rPr>
        <w:t>RMOA) 2016</w:t>
      </w:r>
      <w:r w:rsidRPr="0074486E">
        <w:rPr>
          <w:lang w:val="en"/>
        </w:rPr>
        <w:t xml:space="preserve"> by ANSES</w:t>
      </w:r>
      <w:r>
        <w:rPr>
          <w:rStyle w:val="FootnoteReference"/>
          <w:sz w:val="22"/>
          <w:szCs w:val="22"/>
          <w:lang w:val="en"/>
        </w:rPr>
        <w:footnoteReference w:id="13"/>
      </w:r>
      <w:r w:rsidRPr="0074486E">
        <w:rPr>
          <w:lang w:val="en"/>
        </w:rPr>
        <w:t xml:space="preserve">. As per the RMOA, </w:t>
      </w:r>
      <w:r w:rsidRPr="0094232A">
        <w:rPr>
          <w:i/>
          <w:iCs/>
          <w:lang w:val="en"/>
        </w:rPr>
        <w:t xml:space="preserve">the available data from non-testing methods and </w:t>
      </w:r>
      <w:r w:rsidRPr="00B9792D">
        <w:rPr>
          <w:i/>
          <w:iCs/>
          <w:lang w:val="en"/>
        </w:rPr>
        <w:t>in vitro</w:t>
      </w:r>
      <w:r w:rsidRPr="0094232A">
        <w:rPr>
          <w:i/>
          <w:iCs/>
          <w:lang w:val="en"/>
        </w:rPr>
        <w:t xml:space="preserve"> assay and the inadequate </w:t>
      </w:r>
      <w:r w:rsidRPr="00B9792D">
        <w:rPr>
          <w:i/>
          <w:iCs/>
          <w:lang w:val="en"/>
        </w:rPr>
        <w:t>in vivo</w:t>
      </w:r>
      <w:r w:rsidRPr="0094232A">
        <w:rPr>
          <w:i/>
          <w:iCs/>
          <w:lang w:val="en"/>
        </w:rPr>
        <w:t xml:space="preserve"> studies provide indications for an ED potential of </w:t>
      </w:r>
      <w:proofErr w:type="spellStart"/>
      <w:r w:rsidRPr="0094232A">
        <w:rPr>
          <w:i/>
          <w:iCs/>
          <w:lang w:val="en"/>
        </w:rPr>
        <w:t>homosalate</w:t>
      </w:r>
      <w:proofErr w:type="spellEnd"/>
      <w:r w:rsidRPr="0094232A">
        <w:rPr>
          <w:i/>
          <w:iCs/>
          <w:lang w:val="en"/>
        </w:rPr>
        <w:t xml:space="preserve">, whereas the rest of the studies were of limited relevance and do not indicate the potential for ED concern. Despite the poor quality of the </w:t>
      </w:r>
      <w:r w:rsidRPr="00B9792D">
        <w:rPr>
          <w:i/>
          <w:iCs/>
          <w:lang w:val="en"/>
        </w:rPr>
        <w:t>in vivo</w:t>
      </w:r>
      <w:r w:rsidRPr="0094232A">
        <w:rPr>
          <w:i/>
          <w:iCs/>
          <w:lang w:val="en"/>
        </w:rPr>
        <w:t xml:space="preserve"> studies, findings that could be linked to an endocrine disruption were identified, </w:t>
      </w:r>
      <w:proofErr w:type="gramStart"/>
      <w:r w:rsidRPr="0094232A">
        <w:rPr>
          <w:i/>
          <w:iCs/>
          <w:lang w:val="en"/>
        </w:rPr>
        <w:t>in particular fluctuations</w:t>
      </w:r>
      <w:proofErr w:type="gramEnd"/>
      <w:r w:rsidRPr="0094232A">
        <w:rPr>
          <w:i/>
          <w:iCs/>
          <w:lang w:val="en"/>
        </w:rPr>
        <w:t xml:space="preserve"> of hormones, sperm changes and effects on the thyroid</w:t>
      </w:r>
      <w:r w:rsidRPr="0074486E">
        <w:rPr>
          <w:lang w:val="en"/>
        </w:rPr>
        <w:t xml:space="preserve">. These effects raised some concerns regarding ED properties of </w:t>
      </w:r>
      <w:proofErr w:type="spellStart"/>
      <w:r w:rsidRPr="0074486E">
        <w:rPr>
          <w:lang w:val="en"/>
        </w:rPr>
        <w:t>homosalate</w:t>
      </w:r>
      <w:proofErr w:type="spellEnd"/>
      <w:r w:rsidRPr="0074486E">
        <w:rPr>
          <w:lang w:val="en"/>
        </w:rPr>
        <w:t>.</w:t>
      </w:r>
    </w:p>
    <w:p w14:paraId="4BAFC1C5" w14:textId="6B45DC29" w:rsidR="00341C02" w:rsidRPr="0074486E" w:rsidRDefault="00341C02" w:rsidP="007512B7">
      <w:pPr>
        <w:rPr>
          <w:lang w:val="en"/>
        </w:rPr>
      </w:pPr>
      <w:r w:rsidRPr="0074486E">
        <w:t>Therefore, t</w:t>
      </w:r>
      <w:r w:rsidRPr="0074486E">
        <w:rPr>
          <w:lang w:val="en"/>
        </w:rPr>
        <w:t xml:space="preserve">he </w:t>
      </w:r>
      <w:r w:rsidRPr="0074486E">
        <w:t>SCCS (202</w:t>
      </w:r>
      <w:r>
        <w:t>1b</w:t>
      </w:r>
      <w:r w:rsidRPr="0074486E">
        <w:t xml:space="preserve">) </w:t>
      </w:r>
      <w:r w:rsidRPr="0074486E">
        <w:rPr>
          <w:lang w:val="en"/>
        </w:rPr>
        <w:t>concluded:</w:t>
      </w:r>
    </w:p>
    <w:p w14:paraId="30A987B9" w14:textId="77777777" w:rsidR="00341C02" w:rsidRPr="007512B7" w:rsidRDefault="00341C02" w:rsidP="00341C02">
      <w:pPr>
        <w:pStyle w:val="Standard"/>
        <w:ind w:left="720"/>
        <w:rPr>
          <w:rFonts w:asciiTheme="minorHAnsi" w:hAnsiTheme="minorHAnsi" w:cstheme="minorHAnsi"/>
          <w:sz w:val="20"/>
          <w:szCs w:val="20"/>
        </w:rPr>
      </w:pPr>
      <w:r w:rsidRPr="007512B7">
        <w:rPr>
          <w:rFonts w:asciiTheme="minorHAnsi" w:hAnsiTheme="minorHAnsi" w:cstheme="minorHAnsi"/>
          <w:sz w:val="20"/>
          <w:szCs w:val="20"/>
          <w:lang w:val="en"/>
        </w:rPr>
        <w:t>“</w:t>
      </w:r>
      <w:r w:rsidRPr="007512B7">
        <w:rPr>
          <w:rFonts w:asciiTheme="minorHAnsi" w:hAnsiTheme="minorHAnsi" w:cstheme="minorHAnsi"/>
          <w:i/>
          <w:sz w:val="20"/>
          <w:szCs w:val="20"/>
        </w:rPr>
        <w:t xml:space="preserve">It needs to be noted that the SCCS has regarded the currently available evidence for endocrine disrupting properties of </w:t>
      </w:r>
      <w:proofErr w:type="spellStart"/>
      <w:r w:rsidRPr="007512B7">
        <w:rPr>
          <w:rFonts w:asciiTheme="minorHAnsi" w:hAnsiTheme="minorHAnsi" w:cstheme="minorHAnsi"/>
          <w:i/>
          <w:sz w:val="20"/>
          <w:szCs w:val="20"/>
        </w:rPr>
        <w:t>homosalate</w:t>
      </w:r>
      <w:proofErr w:type="spellEnd"/>
      <w:r w:rsidRPr="007512B7">
        <w:rPr>
          <w:rFonts w:asciiTheme="minorHAnsi" w:hAnsiTheme="minorHAnsi" w:cstheme="minorHAnsi"/>
          <w:i/>
          <w:sz w:val="20"/>
          <w:szCs w:val="20"/>
        </w:rPr>
        <w:t xml:space="preserve"> as inconclusive, and at best equivocal. This applies to </w:t>
      </w:r>
      <w:proofErr w:type="gramStart"/>
      <w:r w:rsidRPr="007512B7">
        <w:rPr>
          <w:rFonts w:asciiTheme="minorHAnsi" w:hAnsiTheme="minorHAnsi" w:cstheme="minorHAnsi"/>
          <w:i/>
          <w:sz w:val="20"/>
          <w:szCs w:val="20"/>
        </w:rPr>
        <w:t>all of</w:t>
      </w:r>
      <w:proofErr w:type="gramEnd"/>
      <w:r w:rsidRPr="007512B7">
        <w:rPr>
          <w:rFonts w:asciiTheme="minorHAnsi" w:hAnsiTheme="minorHAnsi" w:cstheme="minorHAnsi"/>
          <w:i/>
          <w:sz w:val="20"/>
          <w:szCs w:val="20"/>
        </w:rPr>
        <w:t xml:space="preserve"> the available data derived from in silico modelling, in vitro tests and in vivo studies, when considered individually or taken together. The SCCS considers that, whilst there are indications from some studies to suggest that </w:t>
      </w:r>
      <w:proofErr w:type="spellStart"/>
      <w:r w:rsidRPr="007512B7">
        <w:rPr>
          <w:rFonts w:asciiTheme="minorHAnsi" w:hAnsiTheme="minorHAnsi" w:cstheme="minorHAnsi"/>
          <w:i/>
          <w:sz w:val="20"/>
          <w:szCs w:val="20"/>
        </w:rPr>
        <w:t>homosalate</w:t>
      </w:r>
      <w:proofErr w:type="spellEnd"/>
      <w:r w:rsidRPr="007512B7">
        <w:rPr>
          <w:rFonts w:asciiTheme="minorHAnsi" w:hAnsiTheme="minorHAnsi" w:cstheme="minorHAnsi"/>
          <w:i/>
          <w:sz w:val="20"/>
          <w:szCs w:val="20"/>
        </w:rPr>
        <w:t xml:space="preserve"> may have endocrine effects, the evidence is not conclusive enough at present to enable deriving a specific endocrine-related toxicological point of departure for use in safety assessment.”</w:t>
      </w:r>
      <w:r w:rsidRPr="007512B7">
        <w:rPr>
          <w:rFonts w:asciiTheme="minorHAnsi" w:hAnsiTheme="minorHAnsi" w:cstheme="minorHAnsi"/>
          <w:sz w:val="20"/>
          <w:szCs w:val="20"/>
        </w:rPr>
        <w:t xml:space="preserve"> </w:t>
      </w:r>
    </w:p>
    <w:p w14:paraId="72C87FEC" w14:textId="77777777" w:rsidR="00341C02" w:rsidRPr="0074486E" w:rsidRDefault="00341C02" w:rsidP="00341C02">
      <w:pPr>
        <w:pStyle w:val="Heading5sub"/>
      </w:pPr>
      <w:r w:rsidRPr="0074486E">
        <w:t>Octocrylene</w:t>
      </w:r>
      <w:bookmarkEnd w:id="86"/>
      <w:bookmarkEnd w:id="87"/>
    </w:p>
    <w:p w14:paraId="10E07806" w14:textId="77777777" w:rsidR="00341C02" w:rsidRPr="0074486E" w:rsidRDefault="00341C02" w:rsidP="007512B7">
      <w:bookmarkStart w:id="89" w:name="_Toc100664723"/>
      <w:bookmarkStart w:id="90" w:name="_Toc114863481"/>
      <w:r w:rsidRPr="0074486E">
        <w:t xml:space="preserve">The endocrine </w:t>
      </w:r>
      <w:r>
        <w:t>activity modulation pote</w:t>
      </w:r>
      <w:r w:rsidRPr="0074486E">
        <w:t>ntial of octocrylene was extensively discussed in SCCS (2021</w:t>
      </w:r>
      <w:r>
        <w:t>d</w:t>
      </w:r>
      <w:r w:rsidRPr="0074486E">
        <w:t>). The SCCS opinion concluded that</w:t>
      </w:r>
      <w:r>
        <w:t>:</w:t>
      </w:r>
    </w:p>
    <w:p w14:paraId="0E693841" w14:textId="721BF30C" w:rsidR="00341C02" w:rsidRPr="007512B7" w:rsidRDefault="00341C02" w:rsidP="00341C02">
      <w:pPr>
        <w:pStyle w:val="Standard"/>
        <w:ind w:left="720"/>
        <w:rPr>
          <w:rFonts w:ascii="Arial" w:hAnsi="Arial" w:cs="Arial"/>
          <w:i/>
          <w:sz w:val="20"/>
          <w:szCs w:val="20"/>
        </w:rPr>
      </w:pPr>
      <w:r w:rsidRPr="007512B7">
        <w:rPr>
          <w:rFonts w:ascii="Arial" w:hAnsi="Arial" w:cs="Arial"/>
          <w:i/>
          <w:sz w:val="20"/>
          <w:szCs w:val="20"/>
        </w:rPr>
        <w:t>“The SCCS considers that, whilst there are indications from some in vivo studies to suggest that Octocrylene may have endocrine effects, the evidence is not conclusive enough at present to enable deriving a specific endocrine-related toxicological point of departure for use in safety assessment”.</w:t>
      </w:r>
    </w:p>
    <w:p w14:paraId="759FC052" w14:textId="77777777" w:rsidR="00341C02" w:rsidRPr="0074486E" w:rsidRDefault="00341C02" w:rsidP="00341C02">
      <w:pPr>
        <w:pStyle w:val="Heading5sub"/>
      </w:pPr>
      <w:r w:rsidRPr="0074486E">
        <w:t>Oxybenzone</w:t>
      </w:r>
      <w:bookmarkEnd w:id="89"/>
      <w:bookmarkEnd w:id="90"/>
      <w:r w:rsidRPr="0074486E">
        <w:t xml:space="preserve"> </w:t>
      </w:r>
    </w:p>
    <w:p w14:paraId="0CA1F829" w14:textId="28DE502A" w:rsidR="00341C02" w:rsidRPr="00E32B96" w:rsidRDefault="00341C02" w:rsidP="007512B7">
      <w:bookmarkStart w:id="91" w:name="_Toc100664724"/>
      <w:bookmarkStart w:id="92" w:name="_Toc114863482"/>
      <w:r w:rsidRPr="00E32B96">
        <w:t xml:space="preserve">The </w:t>
      </w:r>
      <w:r w:rsidRPr="00260DBA">
        <w:t xml:space="preserve">endocrine activity modulation </w:t>
      </w:r>
      <w:r w:rsidRPr="00E32B96">
        <w:t>potential of oxybenzone was extensively discussed in SCCS (2021</w:t>
      </w:r>
      <w:r>
        <w:t>e</w:t>
      </w:r>
      <w:r w:rsidRPr="00E32B96">
        <w:t>). The SCCS (202</w:t>
      </w:r>
      <w:r>
        <w:t>1e</w:t>
      </w:r>
      <w:r w:rsidRPr="00E32B96">
        <w:t xml:space="preserve">) evaluated the potential endocrine mode of action for oxybenzone (BP-3) </w:t>
      </w:r>
      <w:r w:rsidRPr="00E32B96">
        <w:rPr>
          <w:i/>
        </w:rPr>
        <w:t>in vitro</w:t>
      </w:r>
      <w:r w:rsidRPr="00E32B96">
        <w:t xml:space="preserve"> and </w:t>
      </w:r>
      <w:r w:rsidRPr="00E32B96">
        <w:rPr>
          <w:i/>
        </w:rPr>
        <w:t>in vivo</w:t>
      </w:r>
      <w:r w:rsidRPr="00E32B96">
        <w:t xml:space="preserve"> and endocrine-related adverse effects in humans and animals.</w:t>
      </w:r>
    </w:p>
    <w:p w14:paraId="477D5932" w14:textId="354811C4" w:rsidR="00341C02" w:rsidRPr="00E32B96" w:rsidRDefault="00341C02" w:rsidP="007512B7">
      <w:r w:rsidRPr="00E32B96">
        <w:t>The SCCS concluded:</w:t>
      </w:r>
    </w:p>
    <w:p w14:paraId="0B27BF73" w14:textId="77777777" w:rsidR="00341C02" w:rsidRPr="007512B7" w:rsidRDefault="00341C02" w:rsidP="00341C02">
      <w:pPr>
        <w:spacing w:after="220" w:line="252" w:lineRule="auto"/>
        <w:ind w:left="720"/>
        <w:rPr>
          <w:rFonts w:asciiTheme="minorHAnsi" w:eastAsia="Times New Roman" w:hAnsiTheme="minorHAnsi" w:cstheme="minorHAnsi"/>
          <w:i/>
          <w:snapToGrid w:val="0"/>
          <w:kern w:val="16"/>
        </w:rPr>
      </w:pPr>
      <w:r w:rsidRPr="007512B7">
        <w:rPr>
          <w:rFonts w:asciiTheme="minorHAnsi" w:eastAsia="Times New Roman" w:hAnsiTheme="minorHAnsi" w:cstheme="minorHAnsi"/>
          <w:snapToGrid w:val="0"/>
          <w:kern w:val="16"/>
        </w:rPr>
        <w:t>“</w:t>
      </w:r>
      <w:r w:rsidRPr="007512B7">
        <w:rPr>
          <w:rFonts w:asciiTheme="minorHAnsi" w:eastAsia="Times New Roman" w:hAnsiTheme="minorHAnsi" w:cstheme="minorHAnsi"/>
          <w:i/>
          <w:snapToGrid w:val="0"/>
          <w:kern w:val="16"/>
        </w:rPr>
        <w:t xml:space="preserve">The currently available evidence for endocrine disrupting properties of BP-3 is not </w:t>
      </w:r>
      <w:proofErr w:type="gramStart"/>
      <w:r w:rsidRPr="007512B7">
        <w:rPr>
          <w:rFonts w:asciiTheme="minorHAnsi" w:eastAsia="Times New Roman" w:hAnsiTheme="minorHAnsi" w:cstheme="minorHAnsi"/>
          <w:i/>
          <w:snapToGrid w:val="0"/>
          <w:kern w:val="16"/>
        </w:rPr>
        <w:t>conclusive, and</w:t>
      </w:r>
      <w:proofErr w:type="gramEnd"/>
      <w:r w:rsidRPr="007512B7">
        <w:rPr>
          <w:rFonts w:asciiTheme="minorHAnsi" w:eastAsia="Times New Roman" w:hAnsiTheme="minorHAnsi" w:cstheme="minorHAnsi"/>
          <w:i/>
          <w:snapToGrid w:val="0"/>
          <w:kern w:val="16"/>
        </w:rPr>
        <w:t xml:space="preserve"> is at best equivocal. This applies to the data derived from </w:t>
      </w:r>
      <w:r w:rsidRPr="007512B7">
        <w:rPr>
          <w:rFonts w:asciiTheme="minorHAnsi" w:eastAsia="Times New Roman" w:hAnsiTheme="minorHAnsi" w:cstheme="minorHAnsi"/>
          <w:i/>
          <w:iCs/>
          <w:snapToGrid w:val="0"/>
          <w:kern w:val="16"/>
        </w:rPr>
        <w:t xml:space="preserve">in silico </w:t>
      </w:r>
      <w:r w:rsidRPr="007512B7">
        <w:rPr>
          <w:rFonts w:asciiTheme="minorHAnsi" w:eastAsia="Times New Roman" w:hAnsiTheme="minorHAnsi" w:cstheme="minorHAnsi"/>
          <w:i/>
          <w:snapToGrid w:val="0"/>
          <w:kern w:val="16"/>
        </w:rPr>
        <w:t xml:space="preserve">modelling, </w:t>
      </w:r>
      <w:r w:rsidRPr="007512B7">
        <w:rPr>
          <w:rFonts w:asciiTheme="minorHAnsi" w:eastAsia="Times New Roman" w:hAnsiTheme="minorHAnsi" w:cstheme="minorHAnsi"/>
          <w:i/>
          <w:iCs/>
          <w:snapToGrid w:val="0"/>
          <w:kern w:val="16"/>
        </w:rPr>
        <w:t xml:space="preserve">in vitro </w:t>
      </w:r>
      <w:r w:rsidRPr="007512B7">
        <w:rPr>
          <w:rFonts w:asciiTheme="minorHAnsi" w:eastAsia="Times New Roman" w:hAnsiTheme="minorHAnsi" w:cstheme="minorHAnsi"/>
          <w:i/>
          <w:snapToGrid w:val="0"/>
          <w:kern w:val="16"/>
        </w:rPr>
        <w:t xml:space="preserve">tests and </w:t>
      </w:r>
      <w:r w:rsidRPr="007512B7">
        <w:rPr>
          <w:rFonts w:asciiTheme="minorHAnsi" w:eastAsia="Times New Roman" w:hAnsiTheme="minorHAnsi" w:cstheme="minorHAnsi"/>
          <w:i/>
          <w:iCs/>
          <w:snapToGrid w:val="0"/>
          <w:kern w:val="16"/>
        </w:rPr>
        <w:t xml:space="preserve">in vivo </w:t>
      </w:r>
      <w:r w:rsidRPr="007512B7">
        <w:rPr>
          <w:rFonts w:asciiTheme="minorHAnsi" w:eastAsia="Times New Roman" w:hAnsiTheme="minorHAnsi" w:cstheme="minorHAnsi"/>
          <w:i/>
          <w:snapToGrid w:val="0"/>
          <w:kern w:val="16"/>
        </w:rPr>
        <w:t>studies, when considered individually or taken together. There are either contradictory results from different studies, or the reported data do not show dose-response relationship, and/or the effect are seen only at relatively very high doses that can only be considered far beyond the human exposure range. In view of this, the SCCS considers that whilst there are indications from some studies to suggest that BP-3 may have endocrine effects, it is not conclusive enough at present to enable deriving a new endocrine-related toxicological point of departure for use in safety assessment.”</w:t>
      </w:r>
    </w:p>
    <w:p w14:paraId="0EE860CB" w14:textId="77777777" w:rsidR="00341C02" w:rsidRPr="0074486E" w:rsidRDefault="00341C02" w:rsidP="00341C02">
      <w:pPr>
        <w:pStyle w:val="Heading5sub"/>
      </w:pPr>
      <w:r w:rsidRPr="0074486E">
        <w:lastRenderedPageBreak/>
        <w:t>O</w:t>
      </w:r>
      <w:r w:rsidRPr="00C9782B">
        <w:t>ctyl methoxycinnamate</w:t>
      </w:r>
      <w:r w:rsidRPr="00C9782B" w:rsidDel="00C9782B">
        <w:t xml:space="preserve"> </w:t>
      </w:r>
      <w:bookmarkEnd w:id="91"/>
      <w:bookmarkEnd w:id="92"/>
      <w:r w:rsidRPr="0074486E">
        <w:t xml:space="preserve"> </w:t>
      </w:r>
    </w:p>
    <w:p w14:paraId="03D60033" w14:textId="2EAD0270" w:rsidR="00341C02" w:rsidRPr="00E32B96" w:rsidRDefault="00341C02" w:rsidP="007512B7">
      <w:pPr>
        <w:rPr>
          <w:snapToGrid w:val="0"/>
        </w:rPr>
      </w:pPr>
      <w:r w:rsidRPr="00E32B96">
        <w:rPr>
          <w:snapToGrid w:val="0"/>
        </w:rPr>
        <w:t>Most of the</w:t>
      </w:r>
      <w:r w:rsidRPr="00E32B96">
        <w:rPr>
          <w:snapToGrid w:val="0"/>
          <w:lang w:val="en"/>
        </w:rPr>
        <w:t xml:space="preserve"> available data suggest that </w:t>
      </w:r>
      <w:r w:rsidRPr="00FB4BE3">
        <w:t>octyl methoxycinnamate</w:t>
      </w:r>
      <w:r w:rsidRPr="00E32B96" w:rsidDel="00852B36">
        <w:rPr>
          <w:snapToGrid w:val="0"/>
          <w:lang w:val="en"/>
        </w:rPr>
        <w:t xml:space="preserve"> </w:t>
      </w:r>
      <w:r w:rsidRPr="00E32B96">
        <w:rPr>
          <w:snapToGrid w:val="0"/>
          <w:lang w:val="en"/>
        </w:rPr>
        <w:t xml:space="preserve">has an estrogenic activity, androgenic and anti-thyroid activity in rats and humans [NICNAS (currently known as AICIS), 2017; Lorigo </w:t>
      </w:r>
      <w:r w:rsidRPr="00E32B96">
        <w:rPr>
          <w:i/>
          <w:snapToGrid w:val="0"/>
          <w:lang w:val="en"/>
        </w:rPr>
        <w:t>et al.</w:t>
      </w:r>
      <w:r w:rsidRPr="00E32B96">
        <w:rPr>
          <w:snapToGrid w:val="0"/>
          <w:lang w:val="en"/>
        </w:rPr>
        <w:t xml:space="preserve"> 2018].</w:t>
      </w:r>
    </w:p>
    <w:p w14:paraId="43D25DB3" w14:textId="3E4356AF" w:rsidR="00341C02" w:rsidRPr="00E32B96" w:rsidRDefault="00341C02" w:rsidP="007512B7">
      <w:pPr>
        <w:rPr>
          <w:snapToGrid w:val="0"/>
          <w:lang w:val="en"/>
        </w:rPr>
      </w:pPr>
      <w:r w:rsidRPr="00E32B96">
        <w:rPr>
          <w:snapToGrid w:val="0"/>
          <w:lang w:val="en"/>
        </w:rPr>
        <w:t xml:space="preserve">Regarding the </w:t>
      </w:r>
      <w:r w:rsidRPr="00FB4BE3">
        <w:t>octyl methoxycinnamate</w:t>
      </w:r>
      <w:r w:rsidRPr="00E32B96" w:rsidDel="00852B36">
        <w:rPr>
          <w:snapToGrid w:val="0"/>
          <w:lang w:val="en"/>
        </w:rPr>
        <w:t xml:space="preserve"> </w:t>
      </w:r>
      <w:r w:rsidRPr="00E32B96">
        <w:rPr>
          <w:snapToGrid w:val="0"/>
          <w:lang w:val="en"/>
        </w:rPr>
        <w:t xml:space="preserve">mechanism of action, several studies showed that the effects exerted by </w:t>
      </w:r>
      <w:proofErr w:type="spellStart"/>
      <w:r w:rsidRPr="00D87B8A">
        <w:rPr>
          <w:snapToGrid w:val="0"/>
        </w:rPr>
        <w:t>Estradiol</w:t>
      </w:r>
      <w:proofErr w:type="spellEnd"/>
      <w:r w:rsidRPr="00D87B8A">
        <w:rPr>
          <w:snapToGrid w:val="0"/>
        </w:rPr>
        <w:t xml:space="preserve"> (</w:t>
      </w:r>
      <w:r w:rsidRPr="00D87B8A">
        <w:rPr>
          <w:snapToGrid w:val="0"/>
          <w:lang w:val="en"/>
        </w:rPr>
        <w:t xml:space="preserve">E2) and </w:t>
      </w:r>
      <w:r w:rsidRPr="00FB4BE3">
        <w:t>octyl methoxycinnamate</w:t>
      </w:r>
      <w:r w:rsidRPr="00D87B8A">
        <w:rPr>
          <w:snapToGrid w:val="0"/>
          <w:lang w:val="en"/>
        </w:rPr>
        <w:t xml:space="preserve"> </w:t>
      </w:r>
      <w:proofErr w:type="spellStart"/>
      <w:r w:rsidRPr="00D87B8A">
        <w:rPr>
          <w:snapToGrid w:val="0"/>
          <w:lang w:val="en"/>
        </w:rPr>
        <w:t>were</w:t>
      </w:r>
      <w:proofErr w:type="spellEnd"/>
      <w:r w:rsidRPr="00D87B8A">
        <w:rPr>
          <w:snapToGrid w:val="0"/>
          <w:lang w:val="en"/>
        </w:rPr>
        <w:t xml:space="preserve"> not always totally shared and it is possible</w:t>
      </w:r>
      <w:r w:rsidRPr="00E32B96">
        <w:rPr>
          <w:snapToGrid w:val="0"/>
          <w:lang w:val="en"/>
        </w:rPr>
        <w:t xml:space="preserve"> that </w:t>
      </w:r>
      <w:r w:rsidRPr="00FB4BE3">
        <w:t>octyl methoxycinnamate</w:t>
      </w:r>
      <w:r w:rsidRPr="00E32B96" w:rsidDel="00852B36">
        <w:rPr>
          <w:snapToGrid w:val="0"/>
          <w:lang w:val="en"/>
        </w:rPr>
        <w:t xml:space="preserve"> </w:t>
      </w:r>
      <w:r w:rsidRPr="00E32B96">
        <w:rPr>
          <w:snapToGrid w:val="0"/>
          <w:lang w:val="en"/>
        </w:rPr>
        <w:t xml:space="preserve">could act by a mechanism different from the classic E2R (α y β). There are few data regarding the anti-androgenic activity of </w:t>
      </w:r>
      <w:r w:rsidRPr="00FB4BE3">
        <w:t>octyl methoxycinnamate</w:t>
      </w:r>
      <w:r w:rsidRPr="00E32B96">
        <w:rPr>
          <w:snapToGrid w:val="0"/>
          <w:lang w:val="en"/>
        </w:rPr>
        <w:t xml:space="preserve">, and the studies suggest that </w:t>
      </w:r>
      <w:r w:rsidRPr="00FB4BE3">
        <w:t>octyl methoxycinnamate</w:t>
      </w:r>
      <w:r w:rsidRPr="00E32B96" w:rsidDel="00852B36">
        <w:rPr>
          <w:snapToGrid w:val="0"/>
          <w:lang w:val="en"/>
        </w:rPr>
        <w:t xml:space="preserve"> </w:t>
      </w:r>
      <w:r w:rsidRPr="00E32B96">
        <w:rPr>
          <w:snapToGrid w:val="0"/>
          <w:lang w:val="en"/>
        </w:rPr>
        <w:t xml:space="preserve">is not able to bind to androgen receptors. Studies in rats showed that </w:t>
      </w:r>
      <w:r w:rsidRPr="00FB4BE3">
        <w:t>octyl methoxycinnamate</w:t>
      </w:r>
      <w:r w:rsidRPr="00E32B96" w:rsidDel="00852B36">
        <w:rPr>
          <w:snapToGrid w:val="0"/>
          <w:lang w:val="en"/>
        </w:rPr>
        <w:t xml:space="preserve"> </w:t>
      </w:r>
      <w:r w:rsidRPr="00E32B96">
        <w:rPr>
          <w:snapToGrid w:val="0"/>
          <w:lang w:val="en"/>
        </w:rPr>
        <w:t>could disturb the homeostasis of the thyroid hormones by mechanisms different from the classical ones of hormone-dependent regulation and feedback.</w:t>
      </w:r>
    </w:p>
    <w:p w14:paraId="78616634" w14:textId="386142CE" w:rsidR="00341C02" w:rsidRPr="00E32B96" w:rsidRDefault="00341C02" w:rsidP="007512B7">
      <w:pPr>
        <w:rPr>
          <w:snapToGrid w:val="0"/>
          <w:lang w:val="en"/>
        </w:rPr>
      </w:pPr>
      <w:r w:rsidRPr="00E32B96">
        <w:rPr>
          <w:snapToGrid w:val="0"/>
          <w:lang w:val="en"/>
        </w:rPr>
        <w:t xml:space="preserve">More studies in rodents and very few in </w:t>
      </w:r>
      <w:proofErr w:type="gramStart"/>
      <w:r w:rsidRPr="00E32B96">
        <w:rPr>
          <w:snapToGrid w:val="0"/>
          <w:lang w:val="en"/>
        </w:rPr>
        <w:t>humans,</w:t>
      </w:r>
      <w:proofErr w:type="gramEnd"/>
      <w:r w:rsidRPr="00E32B96">
        <w:rPr>
          <w:snapToGrid w:val="0"/>
          <w:lang w:val="en"/>
        </w:rPr>
        <w:t xml:space="preserve"> suggest that an increase exposure to </w:t>
      </w:r>
      <w:r w:rsidRPr="00FB4BE3">
        <w:t>octyl methoxycinnamate</w:t>
      </w:r>
      <w:r w:rsidRPr="00E32B96" w:rsidDel="00852B36">
        <w:rPr>
          <w:snapToGrid w:val="0"/>
          <w:lang w:val="en"/>
        </w:rPr>
        <w:t xml:space="preserve"> </w:t>
      </w:r>
      <w:r w:rsidRPr="00475518">
        <w:rPr>
          <w:snapToGrid w:val="0"/>
          <w:lang w:val="en"/>
        </w:rPr>
        <w:t xml:space="preserve">could be related to infertility or changes in GnRH and disturbance of reproductive hormone levels. </w:t>
      </w:r>
      <w:r w:rsidRPr="002C7324">
        <w:rPr>
          <w:snapToGrid w:val="0"/>
          <w:lang w:val="en"/>
        </w:rPr>
        <w:t>A</w:t>
      </w:r>
      <w:r w:rsidRPr="00475518">
        <w:rPr>
          <w:snapToGrid w:val="0"/>
          <w:lang w:val="en"/>
        </w:rPr>
        <w:t xml:space="preserve"> public call by the European Commission for data on the </w:t>
      </w:r>
      <w:r w:rsidRPr="00475518">
        <w:rPr>
          <w:snapToGrid w:val="0"/>
        </w:rPr>
        <w:t xml:space="preserve">endocrine activity modulation </w:t>
      </w:r>
      <w:r w:rsidRPr="00475518">
        <w:rPr>
          <w:snapToGrid w:val="0"/>
          <w:lang w:val="en"/>
        </w:rPr>
        <w:t xml:space="preserve">potential of </w:t>
      </w:r>
      <w:r w:rsidRPr="002C7324">
        <w:rPr>
          <w:snapToGrid w:val="0"/>
          <w:lang w:val="en"/>
        </w:rPr>
        <w:t xml:space="preserve">ingredients used in cosmetics, including </w:t>
      </w:r>
      <w:r w:rsidRPr="00FB4BE3">
        <w:t>octyl methoxycinnamate</w:t>
      </w:r>
      <w:r w:rsidRPr="002C7324">
        <w:rPr>
          <w:snapToGrid w:val="0"/>
          <w:lang w:val="en"/>
        </w:rPr>
        <w:t>, was undertaken from 15 February to 15 November 2021</w:t>
      </w:r>
      <w:r w:rsidRPr="00475518">
        <w:rPr>
          <w:snapToGrid w:val="0"/>
          <w:lang w:val="en"/>
        </w:rPr>
        <w:t xml:space="preserve"> (EU 2021).</w:t>
      </w:r>
    </w:p>
    <w:p w14:paraId="4B9AD259" w14:textId="064C9A67" w:rsidR="00341C02" w:rsidRPr="00E32B96" w:rsidRDefault="00341C02" w:rsidP="007512B7">
      <w:pPr>
        <w:rPr>
          <w:snapToGrid w:val="0"/>
        </w:rPr>
      </w:pPr>
      <w:r w:rsidRPr="00E32B96">
        <w:rPr>
          <w:snapToGrid w:val="0"/>
          <w:lang w:val="en"/>
        </w:rPr>
        <w:t xml:space="preserve">A recent review </w:t>
      </w:r>
      <w:proofErr w:type="spellStart"/>
      <w:r w:rsidRPr="00E32B96">
        <w:rPr>
          <w:snapToGrid w:val="0"/>
          <w:lang w:val="en"/>
        </w:rPr>
        <w:t>summarises</w:t>
      </w:r>
      <w:proofErr w:type="spellEnd"/>
      <w:r w:rsidRPr="00E32B96">
        <w:rPr>
          <w:snapToGrid w:val="0"/>
          <w:lang w:val="en"/>
        </w:rPr>
        <w:t xml:space="preserve"> the endocrine effects of these ingredients </w:t>
      </w:r>
      <w:proofErr w:type="spellStart"/>
      <w:r w:rsidRPr="00E32B96">
        <w:rPr>
          <w:snapToGrid w:val="0"/>
          <w:lang w:val="en"/>
        </w:rPr>
        <w:t>recognising</w:t>
      </w:r>
      <w:proofErr w:type="spellEnd"/>
      <w:r w:rsidRPr="00E32B96">
        <w:rPr>
          <w:snapToGrid w:val="0"/>
          <w:lang w:val="en"/>
        </w:rPr>
        <w:t xml:space="preserve"> limited data availability (</w:t>
      </w:r>
      <w:proofErr w:type="spellStart"/>
      <w:r w:rsidRPr="00E32B96">
        <w:rPr>
          <w:snapToGrid w:val="0"/>
          <w:lang w:val="en"/>
        </w:rPr>
        <w:t>Fivenson</w:t>
      </w:r>
      <w:proofErr w:type="spellEnd"/>
      <w:r w:rsidRPr="00E32B96">
        <w:rPr>
          <w:snapToGrid w:val="0"/>
          <w:lang w:val="en"/>
        </w:rPr>
        <w:t xml:space="preserve"> 2020). </w:t>
      </w:r>
      <w:r w:rsidRPr="00E32B96">
        <w:rPr>
          <w:snapToGrid w:val="0"/>
        </w:rPr>
        <w:t>This was a retrospective literature review that involved many different types of studies across a variety of species. Comparison between reports is limited by variations in methodology and criteria for toxicity.</w:t>
      </w:r>
    </w:p>
    <w:p w14:paraId="4A79254F" w14:textId="77777777" w:rsidR="00CD51B9" w:rsidRDefault="00CD51B9" w:rsidP="00CD51B9">
      <w:pPr>
        <w:pStyle w:val="Heading3"/>
      </w:pPr>
      <w:bookmarkStart w:id="93" w:name="_Toc190944920"/>
      <w:bookmarkStart w:id="94" w:name="_Toc199254957"/>
      <w:r>
        <w:t>Other studies</w:t>
      </w:r>
      <w:bookmarkEnd w:id="93"/>
      <w:bookmarkEnd w:id="94"/>
    </w:p>
    <w:p w14:paraId="2499371F" w14:textId="43CC126C" w:rsidR="00CD51B9" w:rsidRPr="0074486E" w:rsidRDefault="00CD51B9" w:rsidP="007512B7">
      <w:r w:rsidRPr="0074486E">
        <w:t>The photo</w:t>
      </w:r>
      <w:r>
        <w:t>-</w:t>
      </w:r>
      <w:r w:rsidRPr="0074486E">
        <w:t xml:space="preserve">allergic potential of </w:t>
      </w:r>
      <w:r>
        <w:t>b</w:t>
      </w:r>
      <w:r w:rsidRPr="00FB4BE3">
        <w:t xml:space="preserve">utyl </w:t>
      </w:r>
      <w:proofErr w:type="spellStart"/>
      <w:r w:rsidRPr="00FB4BE3">
        <w:t>methoxydibenzoylmethane</w:t>
      </w:r>
      <w:proofErr w:type="spellEnd"/>
      <w:r w:rsidRPr="0074486E" w:rsidDel="008139F0">
        <w:t xml:space="preserve"> </w:t>
      </w:r>
      <w:r w:rsidRPr="0074486E">
        <w:t xml:space="preserve">has been extensively reviewed in several publications (Nash </w:t>
      </w:r>
      <w:r>
        <w:t>and</w:t>
      </w:r>
      <w:r w:rsidRPr="0074486E">
        <w:t xml:space="preserve"> Tanner 2014). However, given the mechanistic understanding and known photo-degradation of </w:t>
      </w:r>
      <w:r>
        <w:t>b</w:t>
      </w:r>
      <w:r w:rsidRPr="00FB4BE3">
        <w:t xml:space="preserve">utyl </w:t>
      </w:r>
      <w:proofErr w:type="spellStart"/>
      <w:r w:rsidRPr="00FB4BE3">
        <w:t>methoxydibenzoylmethane</w:t>
      </w:r>
      <w:proofErr w:type="spellEnd"/>
      <w:r w:rsidRPr="0074486E">
        <w:t xml:space="preserve">, the findings were inconsistent.  For example, the </w:t>
      </w:r>
      <w:r w:rsidRPr="0074486E">
        <w:rPr>
          <w:i/>
        </w:rPr>
        <w:t>in vitro</w:t>
      </w:r>
      <w:r w:rsidRPr="0074486E">
        <w:t xml:space="preserve"> skin phototoxicity of cosmetic formulations containing </w:t>
      </w:r>
      <w:r>
        <w:t>b</w:t>
      </w:r>
      <w:r w:rsidRPr="00FB4BE3">
        <w:t xml:space="preserve">utyl </w:t>
      </w:r>
      <w:proofErr w:type="spellStart"/>
      <w:r w:rsidRPr="00FB4BE3">
        <w:t>methoxydibenzoylmethane</w:t>
      </w:r>
      <w:proofErr w:type="spellEnd"/>
      <w:r w:rsidRPr="0074486E">
        <w:t xml:space="preserve">, other UV filters and vitamin A palmitate was assessed by two </w:t>
      </w:r>
      <w:r w:rsidRPr="0074486E">
        <w:rPr>
          <w:i/>
        </w:rPr>
        <w:t>in vitro</w:t>
      </w:r>
      <w:r w:rsidRPr="0074486E">
        <w:t xml:space="preserve"> techniques [3T3 Neutral Red Uptake Phototoxicity Test (3T3-NRU-PT) and Human 3-D Skin Model </w:t>
      </w:r>
      <w:r w:rsidRPr="0074486E">
        <w:rPr>
          <w:i/>
        </w:rPr>
        <w:t>In Vitro</w:t>
      </w:r>
      <w:r w:rsidRPr="0074486E">
        <w:t xml:space="preserve"> Phototoxicity Test (H3D-PT)](Gaspar </w:t>
      </w:r>
      <w:r w:rsidRPr="0074486E">
        <w:rPr>
          <w:i/>
        </w:rPr>
        <w:t>et al.</w:t>
      </w:r>
      <w:r w:rsidRPr="0074486E">
        <w:t xml:space="preserve"> 2013).The phototoxicity potential was ‘positive’ for </w:t>
      </w:r>
      <w:r>
        <w:t>b</w:t>
      </w:r>
      <w:r w:rsidRPr="00FB4BE3">
        <w:t xml:space="preserve">utyl </w:t>
      </w:r>
      <w:proofErr w:type="spellStart"/>
      <w:r w:rsidRPr="00FB4BE3">
        <w:t>methoxydibenzoylmethane</w:t>
      </w:r>
      <w:proofErr w:type="spellEnd"/>
      <w:r w:rsidRPr="0074486E" w:rsidDel="00E74B9E">
        <w:t xml:space="preserve"> </w:t>
      </w:r>
      <w:r w:rsidRPr="0074486E">
        <w:t xml:space="preserve">alone and in combination with other UV filters (3T3-NRU-PT). However, when tested on a human skin model, the ‘positive’ results were no longer observed. It has been suggested by several studies and reviews that the photoallergic potential of </w:t>
      </w:r>
      <w:r>
        <w:t>b</w:t>
      </w:r>
      <w:r w:rsidRPr="00FB4BE3">
        <w:t xml:space="preserve">utyl </w:t>
      </w:r>
      <w:proofErr w:type="spellStart"/>
      <w:r w:rsidRPr="00FB4BE3">
        <w:t>methoxydibenzoylmethane</w:t>
      </w:r>
      <w:proofErr w:type="spellEnd"/>
      <w:r w:rsidRPr="0074486E" w:rsidDel="00E74B9E">
        <w:t xml:space="preserve"> </w:t>
      </w:r>
      <w:r w:rsidRPr="0074486E">
        <w:t xml:space="preserve">may be the result of the photoproducts formed following exposure to UV. These data suggest that photo-degradation of </w:t>
      </w:r>
      <w:r>
        <w:t>b</w:t>
      </w:r>
      <w:r w:rsidRPr="00FB4BE3">
        <w:t xml:space="preserve">utyl </w:t>
      </w:r>
      <w:proofErr w:type="spellStart"/>
      <w:r w:rsidRPr="00FB4BE3">
        <w:t>methoxydibenzoylmethane</w:t>
      </w:r>
      <w:proofErr w:type="spellEnd"/>
      <w:r w:rsidRPr="0074486E" w:rsidDel="00E74B9E">
        <w:t xml:space="preserve"> </w:t>
      </w:r>
      <w:r w:rsidRPr="0074486E">
        <w:t>forms classes of photoproducts (</w:t>
      </w:r>
      <w:proofErr w:type="spellStart"/>
      <w:r w:rsidRPr="0074486E">
        <w:t>arylglyoxals</w:t>
      </w:r>
      <w:proofErr w:type="spellEnd"/>
      <w:r w:rsidRPr="0074486E">
        <w:t xml:space="preserve"> and </w:t>
      </w:r>
      <w:proofErr w:type="spellStart"/>
      <w:r w:rsidRPr="0074486E">
        <w:t>benzils</w:t>
      </w:r>
      <w:proofErr w:type="spellEnd"/>
      <w:r w:rsidRPr="0074486E">
        <w:t xml:space="preserve">) which have strong potential for sensitization (Karlsson </w:t>
      </w:r>
      <w:r w:rsidRPr="0074486E">
        <w:rPr>
          <w:i/>
        </w:rPr>
        <w:t>et al.</w:t>
      </w:r>
      <w:r w:rsidRPr="0074486E">
        <w:t xml:space="preserve"> 2009).</w:t>
      </w:r>
    </w:p>
    <w:p w14:paraId="24E45790" w14:textId="569128C4" w:rsidR="00CD51B9" w:rsidRPr="00BA4549" w:rsidRDefault="00CD51B9" w:rsidP="007512B7">
      <w:pPr>
        <w:rPr>
          <w:rFonts w:asciiTheme="minorHAnsi" w:eastAsia="Times New Roman" w:hAnsiTheme="minorHAnsi" w:cstheme="minorHAnsi"/>
          <w:snapToGrid w:val="0"/>
          <w:kern w:val="16"/>
        </w:rPr>
      </w:pPr>
      <w:r w:rsidRPr="00BA4549">
        <w:rPr>
          <w:rFonts w:asciiTheme="minorHAnsi" w:eastAsia="Times New Roman" w:hAnsiTheme="minorHAnsi" w:cstheme="minorHAnsi"/>
          <w:snapToGrid w:val="0"/>
          <w:kern w:val="16"/>
        </w:rPr>
        <w:t xml:space="preserve">A survey in Canada (2001-2010) indicated that the most common </w:t>
      </w:r>
      <w:proofErr w:type="spellStart"/>
      <w:r w:rsidRPr="00BA4549">
        <w:rPr>
          <w:rFonts w:asciiTheme="minorHAnsi" w:eastAsia="Times New Roman" w:hAnsiTheme="minorHAnsi" w:cstheme="minorHAnsi"/>
          <w:snapToGrid w:val="0"/>
          <w:kern w:val="16"/>
        </w:rPr>
        <w:t>photoallergens</w:t>
      </w:r>
      <w:proofErr w:type="spellEnd"/>
      <w:r w:rsidRPr="00BA4549">
        <w:rPr>
          <w:rFonts w:asciiTheme="minorHAnsi" w:eastAsia="Times New Roman" w:hAnsiTheme="minorHAnsi" w:cstheme="minorHAnsi"/>
          <w:snapToGrid w:val="0"/>
          <w:kern w:val="16"/>
        </w:rPr>
        <w:t xml:space="preserve"> were oxybenzone, octyl dimethyl para-amino- benzoic acid and </w:t>
      </w:r>
      <w:r w:rsidRPr="00BA4549">
        <w:rPr>
          <w:rFonts w:asciiTheme="minorHAnsi" w:hAnsiTheme="minorHAnsi" w:cstheme="minorHAnsi"/>
        </w:rPr>
        <w:t xml:space="preserve">butyl </w:t>
      </w:r>
      <w:proofErr w:type="spellStart"/>
      <w:r w:rsidRPr="00BA4549">
        <w:rPr>
          <w:rFonts w:asciiTheme="minorHAnsi" w:hAnsiTheme="minorHAnsi" w:cstheme="minorHAnsi"/>
        </w:rPr>
        <w:t>methoxydibenzoylmethane</w:t>
      </w:r>
      <w:proofErr w:type="spellEnd"/>
      <w:r w:rsidRPr="00BA4549" w:rsidDel="00E74B9E">
        <w:rPr>
          <w:rFonts w:asciiTheme="minorHAnsi" w:eastAsia="Times New Roman" w:hAnsiTheme="minorHAnsi" w:cstheme="minorHAnsi"/>
          <w:snapToGrid w:val="0"/>
          <w:kern w:val="16"/>
        </w:rPr>
        <w:t xml:space="preserve"> </w:t>
      </w:r>
      <w:r w:rsidRPr="00BA4549">
        <w:rPr>
          <w:rFonts w:asciiTheme="minorHAnsi" w:eastAsia="Times New Roman" w:hAnsiTheme="minorHAnsi" w:cstheme="minorHAnsi"/>
          <w:snapToGrid w:val="0"/>
          <w:kern w:val="16"/>
        </w:rPr>
        <w:t>whereas the most common contact allergens were octyl dimethyl para-aminobenzoic acid, oxybenzone and sandalwood (Yap 2017).</w:t>
      </w:r>
    </w:p>
    <w:p w14:paraId="66FFE4BC" w14:textId="19D5C95D" w:rsidR="00CD51B9" w:rsidRPr="001D51B9" w:rsidRDefault="00CD51B9" w:rsidP="007512B7">
      <w:r w:rsidRPr="001D51B9">
        <w:t xml:space="preserve">The SCCS (SCCS 2000) stated that </w:t>
      </w:r>
      <w:r w:rsidRPr="00FB4BE3">
        <w:t>octyl methoxycinnamate</w:t>
      </w:r>
      <w:r w:rsidRPr="001D51B9" w:rsidDel="00852B36">
        <w:t xml:space="preserve"> </w:t>
      </w:r>
      <w:r w:rsidRPr="001D51B9">
        <w:t xml:space="preserve">did not have phototoxic potential based on one study of 10 subjects exposed to patches of </w:t>
      </w:r>
      <w:r w:rsidRPr="00FB4BE3">
        <w:t>octyl methoxycinnamate</w:t>
      </w:r>
      <w:r w:rsidRPr="000E4B78" w:rsidDel="00852B36">
        <w:t xml:space="preserve"> </w:t>
      </w:r>
      <w:r w:rsidRPr="000E4B78">
        <w:t>for 24 hours and then exposed to a sub-erythematous dose of UV irradiation. No</w:t>
      </w:r>
      <w:r w:rsidRPr="00BD6CF1">
        <w:t xml:space="preserve"> further details were supplied in the S</w:t>
      </w:r>
      <w:r w:rsidRPr="0069667D">
        <w:t xml:space="preserve">CCS report. </w:t>
      </w:r>
      <w:r w:rsidRPr="001D51B9">
        <w:t xml:space="preserve">Recent </w:t>
      </w:r>
      <w:r w:rsidRPr="001D51B9">
        <w:rPr>
          <w:i/>
        </w:rPr>
        <w:t>in vitro</w:t>
      </w:r>
      <w:r w:rsidRPr="001D51B9">
        <w:t xml:space="preserve"> (3T3 viable monolayer fibroblast cultures) and </w:t>
      </w:r>
      <w:r w:rsidRPr="001D51B9">
        <w:rPr>
          <w:i/>
        </w:rPr>
        <w:t>in vivo</w:t>
      </w:r>
      <w:r w:rsidRPr="001D51B9">
        <w:t xml:space="preserve"> studies indicated that </w:t>
      </w:r>
      <w:r w:rsidRPr="00FB4BE3">
        <w:t>octyl methoxycinnamate</w:t>
      </w:r>
      <w:r w:rsidRPr="001D51B9" w:rsidDel="00852B36">
        <w:t xml:space="preserve"> </w:t>
      </w:r>
      <w:r w:rsidRPr="001D51B9">
        <w:t xml:space="preserve">was not phototoxicity (Gomes </w:t>
      </w:r>
      <w:r w:rsidRPr="001D51B9">
        <w:rPr>
          <w:i/>
        </w:rPr>
        <w:t>et al.</w:t>
      </w:r>
      <w:r w:rsidRPr="001D51B9">
        <w:t xml:space="preserve"> 2015).</w:t>
      </w:r>
    </w:p>
    <w:p w14:paraId="01F6EDB2" w14:textId="77777777" w:rsidR="00CD51B9" w:rsidRPr="000348A0" w:rsidRDefault="00CD51B9" w:rsidP="007512B7">
      <w:pPr>
        <w:rPr>
          <w:lang w:eastAsia="en-AU"/>
        </w:rPr>
      </w:pPr>
      <w:r w:rsidRPr="001D51B9">
        <w:t xml:space="preserve">A </w:t>
      </w:r>
      <w:r>
        <w:t>human</w:t>
      </w:r>
      <w:r w:rsidRPr="001D51B9">
        <w:t xml:space="preserve"> repeated insult patch test</w:t>
      </w:r>
      <w:r>
        <w:t xml:space="preserve"> (HRIPT)</w:t>
      </w:r>
      <w:r w:rsidRPr="001D51B9">
        <w:t xml:space="preserve"> was carried out at a concentration of 2%</w:t>
      </w:r>
      <w:r>
        <w:t xml:space="preserve"> </w:t>
      </w:r>
      <w:r w:rsidRPr="00FB4BE3">
        <w:t>octyl methoxycinnamate</w:t>
      </w:r>
      <w:r w:rsidDel="00852B36">
        <w:t xml:space="preserve"> </w:t>
      </w:r>
      <w:r w:rsidRPr="001D51B9">
        <w:t xml:space="preserve">in 53 subjects. There was no sensitisation. Similar studies using different formulations (7.5 % </w:t>
      </w:r>
      <w:r w:rsidRPr="00FB4BE3">
        <w:t>octyl methoxycinnamate</w:t>
      </w:r>
      <w:r w:rsidRPr="001D51B9" w:rsidDel="00852B36">
        <w:t xml:space="preserve"> </w:t>
      </w:r>
      <w:r w:rsidRPr="001D51B9">
        <w:t xml:space="preserve">in petrolatum or 10 % </w:t>
      </w:r>
      <w:r w:rsidRPr="00FB4BE3">
        <w:t>octyl methoxycinnamate</w:t>
      </w:r>
      <w:r w:rsidRPr="001D51B9" w:rsidDel="00852B36">
        <w:t xml:space="preserve"> </w:t>
      </w:r>
      <w:r w:rsidRPr="001D51B9">
        <w:t xml:space="preserve">in </w:t>
      </w:r>
      <w:proofErr w:type="spellStart"/>
      <w:r w:rsidRPr="001D51B9">
        <w:t>dimethylphthalate</w:t>
      </w:r>
      <w:proofErr w:type="spellEnd"/>
      <w:r w:rsidRPr="001D51B9">
        <w:t xml:space="preserve">) also did not show any adverse reaction after 24 and 48 h. </w:t>
      </w:r>
      <w:r w:rsidRPr="000E4B78">
        <w:t>In a study in 32 healthy volunteers, daily</w:t>
      </w:r>
      <w:r w:rsidRPr="00BD6CF1">
        <w:t xml:space="preserve"> whole–body topical application of 2 mg/cm</w:t>
      </w:r>
      <w:r w:rsidRPr="00BD6CF1">
        <w:rPr>
          <w:vertAlign w:val="superscript"/>
        </w:rPr>
        <w:t>2</w:t>
      </w:r>
      <w:r w:rsidRPr="0069667D">
        <w:t xml:space="preserve"> of cream formulation without (week 1) </w:t>
      </w:r>
      <w:r w:rsidRPr="0069667D">
        <w:lastRenderedPageBreak/>
        <w:t>and with (week 2) the sunscreen (</w:t>
      </w:r>
      <w:r w:rsidRPr="00FB4BE3">
        <w:t>octyl methoxycinnamate</w:t>
      </w:r>
      <w:r w:rsidRPr="001D51B9" w:rsidDel="00852B36">
        <w:t xml:space="preserve"> </w:t>
      </w:r>
      <w:r w:rsidRPr="001D51B9">
        <w:t>10%) for one week was performed. Hormone changes (testosterone, oestradiol and inhibin B levels) were observed following treatment but were not considered to be biologically significant. Following 1–2 hours of application, the chemical was detected in the parent form both in plasma and in urine (more than 86 % of the applied dose)</w:t>
      </w:r>
      <w:r w:rsidRPr="001D51B9">
        <w:rPr>
          <w:lang w:eastAsia="en-AU"/>
        </w:rPr>
        <w:t>.</w:t>
      </w:r>
    </w:p>
    <w:p w14:paraId="790980A1" w14:textId="77777777" w:rsidR="00CD51B9" w:rsidRPr="00BE0D25" w:rsidRDefault="00CD51B9" w:rsidP="007512B7">
      <w:r w:rsidRPr="00BE0D25">
        <w:t xml:space="preserve">Oxybenzone was not phototoxic in the 3T3-NRU-PT test and was not phototoxic in </w:t>
      </w:r>
      <w:r w:rsidRPr="00BE0D25">
        <w:rPr>
          <w:i/>
        </w:rPr>
        <w:t>S. cerevisiae</w:t>
      </w:r>
      <w:r w:rsidRPr="00BE0D25">
        <w:t xml:space="preserve"> or </w:t>
      </w:r>
      <w:r w:rsidRPr="00BE0D25">
        <w:rPr>
          <w:i/>
        </w:rPr>
        <w:t>E. coli</w:t>
      </w:r>
      <w:r w:rsidRPr="00BE0D25">
        <w:t xml:space="preserve"> </w:t>
      </w:r>
      <w:r w:rsidRPr="00BE0D25">
        <w:rPr>
          <w:i/>
        </w:rPr>
        <w:t>in vitro</w:t>
      </w:r>
      <w:r w:rsidRPr="00BE0D25">
        <w:t xml:space="preserve">. Oxybenzone was not phototoxic in guinea pigs </w:t>
      </w:r>
      <w:r w:rsidRPr="00BE0D25">
        <w:rPr>
          <w:i/>
        </w:rPr>
        <w:t>in vivo</w:t>
      </w:r>
      <w:r w:rsidRPr="00BE0D25">
        <w:t xml:space="preserve"> at a concentration of 10% (oxybenzone applied to shaven and depilated skin for 30 minutes followed by irradiation (UV-A) for 60 minutes). Oxybenzone did not cause photosensitisation in rabbits </w:t>
      </w:r>
      <w:r w:rsidRPr="00BE0D25">
        <w:rPr>
          <w:i/>
        </w:rPr>
        <w:t xml:space="preserve">in vivo </w:t>
      </w:r>
      <w:r w:rsidRPr="00BE0D25">
        <w:rPr>
          <w:iCs/>
        </w:rPr>
        <w:t>(study details not available)</w:t>
      </w:r>
      <w:r w:rsidRPr="00BE0D25">
        <w:t xml:space="preserve">. Oxybenzone was not </w:t>
      </w:r>
      <w:proofErr w:type="spellStart"/>
      <w:r w:rsidRPr="00BE0D25">
        <w:t>photomutagenic</w:t>
      </w:r>
      <w:proofErr w:type="spellEnd"/>
      <w:r w:rsidRPr="00BE0D25">
        <w:t xml:space="preserve"> in the photo Ames test or an </w:t>
      </w:r>
      <w:r w:rsidRPr="00BE0D25">
        <w:rPr>
          <w:i/>
          <w:iCs/>
        </w:rPr>
        <w:t xml:space="preserve">in vitro </w:t>
      </w:r>
      <w:r w:rsidRPr="00BE0D25">
        <w:t>chromosome aberration assay in CHO cells.</w:t>
      </w:r>
    </w:p>
    <w:p w14:paraId="7C989ED1" w14:textId="399AA650" w:rsidR="00CD51B9" w:rsidRPr="0074486E" w:rsidRDefault="00CD51B9" w:rsidP="007512B7">
      <w:r w:rsidRPr="0074486E">
        <w:t xml:space="preserve">Oxybenzone was tested for </w:t>
      </w:r>
      <w:proofErr w:type="spellStart"/>
      <w:r w:rsidRPr="0074486E">
        <w:t>photobinding</w:t>
      </w:r>
      <w:proofErr w:type="spellEnd"/>
      <w:r w:rsidRPr="0074486E">
        <w:t xml:space="preserve"> to human serum albumin and histidine photo-oxidation potential in a mechanistic </w:t>
      </w:r>
      <w:r w:rsidRPr="0074486E">
        <w:rPr>
          <w:i/>
          <w:iCs/>
        </w:rPr>
        <w:t xml:space="preserve">in vitro </w:t>
      </w:r>
      <w:r w:rsidRPr="0074486E">
        <w:t>test for the discrimination of the photo-allergic and photo-irritants</w:t>
      </w:r>
      <w:r>
        <w:t xml:space="preserve"> where o</w:t>
      </w:r>
      <w:r w:rsidRPr="0074486E">
        <w:t>xybenzone revealed no phototoxic potential</w:t>
      </w:r>
      <w:r>
        <w:t xml:space="preserve"> (SCCP 2006a)</w:t>
      </w:r>
      <w:r w:rsidRPr="0074486E">
        <w:t>.</w:t>
      </w:r>
      <w:r>
        <w:t xml:space="preserve"> However, in a recent study</w:t>
      </w:r>
      <w:r w:rsidRPr="00F466FC">
        <w:t xml:space="preserve">, oxybenzone was shown to cause </w:t>
      </w:r>
      <w:proofErr w:type="spellStart"/>
      <w:r w:rsidRPr="00F466FC">
        <w:t>photoallergenic</w:t>
      </w:r>
      <w:proofErr w:type="spellEnd"/>
      <w:r w:rsidRPr="00F466FC">
        <w:t xml:space="preserve"> reactions being second most frequent photo contact allergen </w:t>
      </w:r>
      <w:r w:rsidRPr="00AE3E4E">
        <w:t>among the UV filters (European photo patch test task force) (</w:t>
      </w:r>
      <w:proofErr w:type="spellStart"/>
      <w:r w:rsidRPr="00AE3E4E">
        <w:t>Subiabre</w:t>
      </w:r>
      <w:proofErr w:type="spellEnd"/>
      <w:r w:rsidRPr="00AE3E4E">
        <w:t xml:space="preserve">-Ferrer </w:t>
      </w:r>
      <w:r w:rsidRPr="00AE3E4E">
        <w:rPr>
          <w:i/>
          <w:iCs/>
        </w:rPr>
        <w:t>et al.</w:t>
      </w:r>
      <w:r w:rsidRPr="00AE3E4E">
        <w:t xml:space="preserve"> 2019).</w:t>
      </w:r>
    </w:p>
    <w:p w14:paraId="0611B24A" w14:textId="7CEB275F" w:rsidR="00CD51B9" w:rsidRPr="0074486E" w:rsidRDefault="00CD51B9" w:rsidP="007512B7">
      <w:proofErr w:type="spellStart"/>
      <w:r>
        <w:t>E</w:t>
      </w:r>
      <w:r w:rsidRPr="0074486E">
        <w:t>thylhexyl</w:t>
      </w:r>
      <w:proofErr w:type="spellEnd"/>
      <w:r w:rsidRPr="0074486E">
        <w:t xml:space="preserve"> </w:t>
      </w:r>
      <w:proofErr w:type="spellStart"/>
      <w:r w:rsidRPr="0074486E">
        <w:t>triazone</w:t>
      </w:r>
      <w:proofErr w:type="spellEnd"/>
      <w:r>
        <w:t xml:space="preserve"> (</w:t>
      </w:r>
      <w:r w:rsidRPr="0074486E">
        <w:t>10%</w:t>
      </w:r>
      <w:r>
        <w:t>)</w:t>
      </w:r>
      <w:r w:rsidRPr="0074486E">
        <w:t xml:space="preserve"> did not cause photosensitisation in guinea pigs. Separate tests with </w:t>
      </w:r>
      <w:r w:rsidRPr="0074486E">
        <w:rPr>
          <w:i/>
        </w:rPr>
        <w:t>Saccharomyces cerevisiae</w:t>
      </w:r>
      <w:r w:rsidRPr="0074486E">
        <w:t xml:space="preserve"> and CHO cells exposed to the </w:t>
      </w:r>
      <w:proofErr w:type="spellStart"/>
      <w:r w:rsidRPr="0074486E">
        <w:t>ethylhexyl</w:t>
      </w:r>
      <w:proofErr w:type="spellEnd"/>
      <w:r w:rsidRPr="0074486E">
        <w:t xml:space="preserve"> </w:t>
      </w:r>
      <w:proofErr w:type="spellStart"/>
      <w:r w:rsidRPr="0074486E">
        <w:t>triazone</w:t>
      </w:r>
      <w:proofErr w:type="spellEnd"/>
      <w:r w:rsidRPr="0074486E">
        <w:t xml:space="preserve"> and UVA and UVB irradiation did not show any potential </w:t>
      </w:r>
      <w:proofErr w:type="spellStart"/>
      <w:r w:rsidRPr="0074486E">
        <w:t>photomutagenic</w:t>
      </w:r>
      <w:proofErr w:type="spellEnd"/>
      <w:r w:rsidRPr="0074486E">
        <w:t xml:space="preserve"> effects of </w:t>
      </w:r>
      <w:proofErr w:type="spellStart"/>
      <w:r w:rsidRPr="0074486E">
        <w:t>ethylhexyl</w:t>
      </w:r>
      <w:proofErr w:type="spellEnd"/>
      <w:r w:rsidRPr="0074486E">
        <w:t xml:space="preserve"> </w:t>
      </w:r>
      <w:proofErr w:type="spellStart"/>
      <w:r w:rsidRPr="0074486E">
        <w:t>triazone</w:t>
      </w:r>
      <w:proofErr w:type="spellEnd"/>
      <w:r w:rsidRPr="0074486E">
        <w:t>.</w:t>
      </w:r>
    </w:p>
    <w:p w14:paraId="6FF165D2" w14:textId="77777777" w:rsidR="00CD51B9" w:rsidRPr="0074486E" w:rsidRDefault="00CD51B9" w:rsidP="007512B7">
      <w:r w:rsidRPr="0074486E">
        <w:t xml:space="preserve">Phototoxicity, photosensitisation and photomutagenicity of </w:t>
      </w:r>
      <w:proofErr w:type="spellStart"/>
      <w:r w:rsidRPr="0074486E">
        <w:t>phenylbenzimidazole</w:t>
      </w:r>
      <w:proofErr w:type="spellEnd"/>
      <w:r w:rsidRPr="0074486E">
        <w:t xml:space="preserve"> sulfonic acid was examined in the SCCP opinion on </w:t>
      </w:r>
      <w:proofErr w:type="spellStart"/>
      <w:r w:rsidRPr="0074486E">
        <w:t>phenylbenzimidazole</w:t>
      </w:r>
      <w:proofErr w:type="spellEnd"/>
      <w:r w:rsidRPr="0074486E">
        <w:t xml:space="preserve"> sulfonic acid and its salts (SCCP 2006b).</w:t>
      </w:r>
      <w:r w:rsidRPr="0074486E">
        <w:rPr>
          <w:b/>
        </w:rPr>
        <w:t xml:space="preserve"> </w:t>
      </w:r>
      <w:proofErr w:type="spellStart"/>
      <w:r w:rsidRPr="0074486E">
        <w:t>Phenylbenzimidazole</w:t>
      </w:r>
      <w:proofErr w:type="spellEnd"/>
      <w:r w:rsidRPr="0074486E">
        <w:t xml:space="preserve"> sulfonic acid was not a photo-irritant in mice or guinea pigs </w:t>
      </w:r>
      <w:r w:rsidRPr="0074486E">
        <w:rPr>
          <w:i/>
        </w:rPr>
        <w:t>in vivo</w:t>
      </w:r>
      <w:r w:rsidRPr="0074486E">
        <w:t xml:space="preserve">, or in 3T3 cells </w:t>
      </w:r>
      <w:r w:rsidRPr="0074486E">
        <w:rPr>
          <w:i/>
        </w:rPr>
        <w:t>in vitro</w:t>
      </w:r>
      <w:r w:rsidRPr="0074486E">
        <w:t xml:space="preserve"> (Photo irritation factor of 1.4). In addition, </w:t>
      </w:r>
      <w:proofErr w:type="spellStart"/>
      <w:r w:rsidRPr="0074486E">
        <w:t>phenylbenzimidazole</w:t>
      </w:r>
      <w:proofErr w:type="spellEnd"/>
      <w:r w:rsidRPr="0074486E">
        <w:t xml:space="preserve"> sulfonic acid was not </w:t>
      </w:r>
      <w:proofErr w:type="spellStart"/>
      <w:r w:rsidRPr="0074486E">
        <w:t>photomutagenic</w:t>
      </w:r>
      <w:proofErr w:type="spellEnd"/>
      <w:r w:rsidRPr="0074486E">
        <w:t xml:space="preserve"> in the photo Ames test, a yeast gene conversion assay or an </w:t>
      </w:r>
      <w:r w:rsidRPr="0074486E">
        <w:rPr>
          <w:i/>
          <w:iCs/>
        </w:rPr>
        <w:t xml:space="preserve">in vitro </w:t>
      </w:r>
      <w:r w:rsidRPr="0074486E">
        <w:t xml:space="preserve">chromosome aberration assay in CHO cells. A few cases of photoallergic contact dermatitis reactions have been reported in the literature following use of products containing </w:t>
      </w:r>
      <w:proofErr w:type="spellStart"/>
      <w:r w:rsidRPr="0074486E">
        <w:t>phenylbenzimidazole</w:t>
      </w:r>
      <w:proofErr w:type="spellEnd"/>
      <w:r w:rsidRPr="0074486E">
        <w:t xml:space="preserve"> sulfonic acid, however no skin reactions have been observed in dedicated patch tests studies in human volunteers at concentrations up to 10%, with or without irradiation (SCCP 2006b).</w:t>
      </w:r>
    </w:p>
    <w:p w14:paraId="1ADC182F" w14:textId="77777777" w:rsidR="00CD51B9" w:rsidRPr="0074486E" w:rsidRDefault="00CD51B9" w:rsidP="007512B7">
      <w:r w:rsidRPr="0074486E">
        <w:t>The incidence of positive reactions (0.08%) w</w:t>
      </w:r>
      <w:r>
        <w:t>as</w:t>
      </w:r>
      <w:r w:rsidRPr="0074486E">
        <w:t xml:space="preserve"> reported in a recent patch study among patients administered with octocrylene at 10% in petrolatum (</w:t>
      </w:r>
      <w:r w:rsidRPr="0074486E">
        <w:rPr>
          <w:i/>
        </w:rPr>
        <w:t>n</w:t>
      </w:r>
      <w:r w:rsidRPr="0074486E">
        <w:t xml:space="preserve"> = 2577)</w:t>
      </w:r>
      <w:r>
        <w:t xml:space="preserve"> </w:t>
      </w:r>
      <w:r w:rsidRPr="0074486E">
        <w:t xml:space="preserve">(Uter </w:t>
      </w:r>
      <w:r w:rsidRPr="0074486E">
        <w:rPr>
          <w:i/>
        </w:rPr>
        <w:t>et al.</w:t>
      </w:r>
      <w:r w:rsidRPr="0074486E">
        <w:t xml:space="preserve"> 2017). Similar findings were reported in an EU multicentre </w:t>
      </w:r>
      <w:proofErr w:type="spellStart"/>
      <w:r w:rsidRPr="0074486E">
        <w:t>photopatch</w:t>
      </w:r>
      <w:proofErr w:type="spellEnd"/>
      <w:r w:rsidRPr="0074486E">
        <w:t xml:space="preserve"> test study where contact allergy was reported in only 0.7% of the 1031 patients patch tested with 10% octocrylene in petrolatum for suspected photoallergic contact dermatitis (Klimova </w:t>
      </w:r>
      <w:r w:rsidRPr="0074486E">
        <w:rPr>
          <w:i/>
        </w:rPr>
        <w:t>et al.</w:t>
      </w:r>
      <w:r w:rsidRPr="0074486E">
        <w:t xml:space="preserve"> 2015).</w:t>
      </w:r>
    </w:p>
    <w:p w14:paraId="08989653" w14:textId="77777777" w:rsidR="00CD51B9" w:rsidRPr="0074486E" w:rsidRDefault="00CD51B9" w:rsidP="007512B7">
      <w:r w:rsidRPr="0074486E">
        <w:t xml:space="preserve">Contact allergy to octocrylene appears to be more frequent and severe in children (EMCPPTSA 2012; </w:t>
      </w:r>
      <w:proofErr w:type="spellStart"/>
      <w:r w:rsidRPr="0074486E">
        <w:t>Gilaberte</w:t>
      </w:r>
      <w:proofErr w:type="spellEnd"/>
      <w:r w:rsidRPr="0074486E">
        <w:t xml:space="preserve"> </w:t>
      </w:r>
      <w:r>
        <w:t>and</w:t>
      </w:r>
      <w:r w:rsidRPr="0074486E">
        <w:t xml:space="preserve"> Carrascosa 2014) whereas photoallergic contact dermatitis to octocrylene was found to be much more frequent in adults (NICNAS 2017). </w:t>
      </w:r>
      <w:proofErr w:type="spellStart"/>
      <w:r w:rsidRPr="0074486E">
        <w:t>Photocontact</w:t>
      </w:r>
      <w:proofErr w:type="spellEnd"/>
      <w:r w:rsidRPr="0074486E">
        <w:t xml:space="preserve"> allergy to octocrylene was reported in 4% of the 1031 adult patients</w:t>
      </w:r>
      <w:r>
        <w:t xml:space="preserve"> that were</w:t>
      </w:r>
      <w:r w:rsidRPr="0074486E">
        <w:t xml:space="preserve"> patch-tested for suspected photoallergic contact dermatitis (EMCPPTSA 2012). The occurrence of photoallergic contact dermatitis to octocrylene was found to be related to a previous photoallergy to topical ketoprofen (Loh </w:t>
      </w:r>
      <w:r>
        <w:t>and</w:t>
      </w:r>
      <w:r w:rsidRPr="0074486E">
        <w:t xml:space="preserve"> Cohen 2016). Patients with photoallergic contact dermatitis caused by sunscreens and positive </w:t>
      </w:r>
      <w:proofErr w:type="spellStart"/>
      <w:r w:rsidRPr="0074486E">
        <w:t>photopatch</w:t>
      </w:r>
      <w:proofErr w:type="spellEnd"/>
      <w:r w:rsidRPr="0074486E">
        <w:t xml:space="preserve"> tests to octocrylene have been mainly reported in France, Belgium, Italy and Spain, countries in which topical ketoprofen is </w:t>
      </w:r>
      <w:r>
        <w:t>used regularly</w:t>
      </w:r>
      <w:r w:rsidRPr="0074486E">
        <w:t xml:space="preserve"> </w:t>
      </w:r>
      <w:r>
        <w:t xml:space="preserve">in consumer products </w:t>
      </w:r>
      <w:r w:rsidRPr="0074486E">
        <w:t xml:space="preserve">(de Groot </w:t>
      </w:r>
      <w:r>
        <w:t>and</w:t>
      </w:r>
      <w:r w:rsidRPr="0074486E">
        <w:t xml:space="preserve"> Roberts 2014). This was confirmed in a recent study conducted in Italy where concomitant </w:t>
      </w:r>
      <w:proofErr w:type="spellStart"/>
      <w:r w:rsidRPr="0074486E">
        <w:t>photocontact</w:t>
      </w:r>
      <w:proofErr w:type="spellEnd"/>
      <w:r w:rsidRPr="0074486E">
        <w:t xml:space="preserve"> allergy to ketoprofen was reported in 61.5% of 156 patients (Romita </w:t>
      </w:r>
      <w:r w:rsidRPr="0074486E">
        <w:rPr>
          <w:i/>
        </w:rPr>
        <w:t>et al.</w:t>
      </w:r>
      <w:r w:rsidRPr="0074486E">
        <w:t xml:space="preserve"> 2018). A very recent review has evaluated these findings extensively (</w:t>
      </w:r>
      <w:proofErr w:type="spellStart"/>
      <w:r w:rsidRPr="0074486E">
        <w:t>Berardesca</w:t>
      </w:r>
      <w:proofErr w:type="spellEnd"/>
      <w:r w:rsidRPr="0074486E">
        <w:t xml:space="preserve"> </w:t>
      </w:r>
      <w:r w:rsidRPr="0074486E">
        <w:rPr>
          <w:i/>
        </w:rPr>
        <w:t>et al.</w:t>
      </w:r>
      <w:r w:rsidRPr="0074486E">
        <w:t xml:space="preserve"> 2019).</w:t>
      </w:r>
    </w:p>
    <w:p w14:paraId="60CB9A0F" w14:textId="64525F52" w:rsidR="00CD51B9" w:rsidRPr="0074486E" w:rsidRDefault="00CD51B9" w:rsidP="007512B7">
      <w:r w:rsidRPr="0074486E">
        <w:t>Several hypotheses were proposed to illustrate the mechanism for the co-reactivity of octocrylene namely: (</w:t>
      </w:r>
      <w:proofErr w:type="spellStart"/>
      <w:r w:rsidRPr="0074486E">
        <w:t>i</w:t>
      </w:r>
      <w:proofErr w:type="spellEnd"/>
      <w:r w:rsidRPr="0074486E">
        <w:t xml:space="preserve">) the role of the benzophenone moiety of ketoprofen (although the benzophenone moiety is not part of the octocrylene structure, </w:t>
      </w:r>
      <w:proofErr w:type="spellStart"/>
      <w:r w:rsidRPr="0074486E">
        <w:t>aminolysis</w:t>
      </w:r>
      <w:proofErr w:type="spellEnd"/>
      <w:r w:rsidRPr="0074486E">
        <w:t xml:space="preserve"> and hydrolysis of octocrylene in the skin may result in the formation of benzophenone which then can lead to cross-reactivity); (ii) hyper-photo susceptibility to ingredients that are nonrelevant allergens; and (iii) co-reactivity – i.e. concomitant sensitization or prior or subsequent </w:t>
      </w:r>
      <w:r w:rsidRPr="0074486E">
        <w:rPr>
          <w:i/>
          <w:iCs/>
        </w:rPr>
        <w:t>de novo</w:t>
      </w:r>
      <w:r w:rsidRPr="0074486E">
        <w:t xml:space="preserve"> photosensitisation – may be involved in place of cross-reaction.</w:t>
      </w:r>
    </w:p>
    <w:p w14:paraId="7DE21C38" w14:textId="77777777" w:rsidR="00CD51B9" w:rsidRDefault="00CD51B9" w:rsidP="007512B7">
      <w:r w:rsidRPr="0074486E">
        <w:t xml:space="preserve">The presence of sensitizing impurities in some commercial batches of octocrylene were also suspected to be allergens contributing to </w:t>
      </w:r>
      <w:proofErr w:type="spellStart"/>
      <w:r w:rsidRPr="0074486E">
        <w:t>photocontact</w:t>
      </w:r>
      <w:proofErr w:type="spellEnd"/>
      <w:r w:rsidRPr="0074486E">
        <w:t xml:space="preserve"> allergy (Aerts </w:t>
      </w:r>
      <w:r w:rsidRPr="0074486E">
        <w:rPr>
          <w:i/>
        </w:rPr>
        <w:t>et al.</w:t>
      </w:r>
      <w:r w:rsidRPr="0074486E">
        <w:t xml:space="preserve"> 2016).</w:t>
      </w:r>
    </w:p>
    <w:p w14:paraId="66618A53" w14:textId="77777777" w:rsidR="00CD51B9" w:rsidRDefault="00CD51B9" w:rsidP="007512B7">
      <w:r>
        <w:lastRenderedPageBreak/>
        <w:t>Neurotoxic effects of active ingredients in sunscreens were reviewed extensively (</w:t>
      </w:r>
      <w:proofErr w:type="spellStart"/>
      <w:r>
        <w:t>Ruszkiewcz</w:t>
      </w:r>
      <w:proofErr w:type="spellEnd"/>
      <w:r>
        <w:t xml:space="preserve"> </w:t>
      </w:r>
      <w:r w:rsidRPr="0094232A">
        <w:rPr>
          <w:i/>
          <w:iCs/>
        </w:rPr>
        <w:t>et al.</w:t>
      </w:r>
      <w:r>
        <w:t xml:space="preserve"> 2017). The table listing the effects from the treatment of </w:t>
      </w:r>
      <w:r w:rsidRPr="00FB4BE3">
        <w:t>octyl methoxycinnamate</w:t>
      </w:r>
      <w:r>
        <w:t>, oxybenzone and octocrylene is shown below. However, this is not reviewed in this discussion elaborately as similar mechanisms apply on endocrine activity modulation potential of these ingredients</w:t>
      </w:r>
      <w:r w:rsidRPr="00F6063C">
        <w:t xml:space="preserve"> </w:t>
      </w:r>
      <w:r>
        <w:t>(</w:t>
      </w:r>
      <w:proofErr w:type="spellStart"/>
      <w:r>
        <w:t>Ruszkiewcz</w:t>
      </w:r>
      <w:proofErr w:type="spellEnd"/>
      <w:r>
        <w:t xml:space="preserve"> </w:t>
      </w:r>
      <w:r w:rsidRPr="0094232A">
        <w:rPr>
          <w:i/>
          <w:iCs/>
        </w:rPr>
        <w:t>et al.</w:t>
      </w:r>
      <w:r>
        <w:t xml:space="preserve"> 2017).</w:t>
      </w:r>
    </w:p>
    <w:p w14:paraId="47048744" w14:textId="471FB7B6" w:rsidR="00CD51B9" w:rsidRPr="002C7324" w:rsidRDefault="00CD51B9" w:rsidP="007512B7">
      <w:r w:rsidRPr="002C7324">
        <w:t xml:space="preserve">Obesogenic potential of </w:t>
      </w:r>
      <w:r>
        <w:t>b</w:t>
      </w:r>
      <w:r w:rsidRPr="00FB4BE3">
        <w:t xml:space="preserve">utyl </w:t>
      </w:r>
      <w:proofErr w:type="spellStart"/>
      <w:r w:rsidRPr="00FB4BE3">
        <w:t>methoxydibenzoylmethane</w:t>
      </w:r>
      <w:proofErr w:type="spellEnd"/>
      <w:r w:rsidRPr="002C7324" w:rsidDel="00E74B9E">
        <w:t xml:space="preserve"> </w:t>
      </w:r>
      <w:r w:rsidRPr="002C7324">
        <w:t xml:space="preserve">was demonstrated </w:t>
      </w:r>
      <w:r w:rsidRPr="002C7324">
        <w:rPr>
          <w:i/>
          <w:iCs/>
        </w:rPr>
        <w:t>in vitro</w:t>
      </w:r>
      <w:r w:rsidRPr="002C7324">
        <w:t xml:space="preserve"> by </w:t>
      </w:r>
      <w:r w:rsidRPr="002C7324">
        <w:rPr>
          <w:rFonts w:cs="AdvOT596495f2"/>
        </w:rPr>
        <w:t xml:space="preserve">Shin et al. (2020) and Ahn et al. (2019). </w:t>
      </w:r>
      <w:r w:rsidRPr="002C7324">
        <w:t xml:space="preserve">In normal human epidermal keratinocytes, </w:t>
      </w:r>
      <w:r>
        <w:t>b</w:t>
      </w:r>
      <w:r w:rsidRPr="00FB4BE3">
        <w:t xml:space="preserve">utyl </w:t>
      </w:r>
      <w:proofErr w:type="spellStart"/>
      <w:r w:rsidRPr="00FB4BE3">
        <w:t>methoxydibenzoylmethane</w:t>
      </w:r>
      <w:proofErr w:type="spellEnd"/>
      <w:r w:rsidRPr="002C7324" w:rsidDel="00E74B9E">
        <w:t xml:space="preserve"> </w:t>
      </w:r>
      <w:r w:rsidRPr="002C7324">
        <w:t xml:space="preserve">(10 </w:t>
      </w:r>
      <w:proofErr w:type="spellStart"/>
      <w:r w:rsidRPr="002C7324">
        <w:t>μM</w:t>
      </w:r>
      <w:proofErr w:type="spellEnd"/>
      <w:r w:rsidRPr="002C7324">
        <w:t>) increased expression of genes associated with lipid metabolism, including peroxisome proliferator-activated receptor γ (</w:t>
      </w:r>
      <w:proofErr w:type="spellStart"/>
      <w:r w:rsidRPr="002C7324">
        <w:t>PPARγ</w:t>
      </w:r>
      <w:proofErr w:type="spellEnd"/>
      <w:r w:rsidRPr="002C7324">
        <w:t>) and promoted adipogenesis in human bone marrow mesenchymal stem cells (</w:t>
      </w:r>
      <w:r w:rsidRPr="002C7324">
        <w:rPr>
          <w:rFonts w:eastAsia="Cambria"/>
        </w:rPr>
        <w:t>EC</w:t>
      </w:r>
      <w:r w:rsidRPr="002C7324">
        <w:rPr>
          <w:rFonts w:eastAsia="Cambria"/>
          <w:vertAlign w:val="subscript"/>
        </w:rPr>
        <w:t xml:space="preserve">50 </w:t>
      </w:r>
      <w:r w:rsidRPr="002C7324">
        <w:t xml:space="preserve">= 14.1 </w:t>
      </w:r>
      <w:proofErr w:type="spellStart"/>
      <w:r w:rsidRPr="002C7324">
        <w:t>μM</w:t>
      </w:r>
      <w:proofErr w:type="spellEnd"/>
      <w:r w:rsidRPr="002C7324">
        <w:t xml:space="preserve">). Nevertheless, </w:t>
      </w:r>
      <w:r>
        <w:t>b</w:t>
      </w:r>
      <w:r w:rsidRPr="00FB4BE3">
        <w:t xml:space="preserve">utyl </w:t>
      </w:r>
      <w:proofErr w:type="spellStart"/>
      <w:r w:rsidRPr="00FB4BE3">
        <w:t>methoxydibenzoylmethane</w:t>
      </w:r>
      <w:proofErr w:type="spellEnd"/>
      <w:r w:rsidRPr="002C7324" w:rsidDel="00E74B9E">
        <w:t xml:space="preserve"> </w:t>
      </w:r>
      <w:r w:rsidRPr="002C7324">
        <w:t xml:space="preserve">did not bind </w:t>
      </w:r>
      <w:proofErr w:type="spellStart"/>
      <w:r w:rsidRPr="002C7324">
        <w:t>PPARγ</w:t>
      </w:r>
      <w:proofErr w:type="spellEnd"/>
      <w:r w:rsidRPr="002C7324">
        <w:t xml:space="preserve"> and the </w:t>
      </w:r>
      <w:r>
        <w:t>b</w:t>
      </w:r>
      <w:r w:rsidRPr="00FB4BE3">
        <w:t xml:space="preserve">utyl </w:t>
      </w:r>
      <w:proofErr w:type="spellStart"/>
      <w:r w:rsidRPr="00FB4BE3">
        <w:t>methoxydibenzoylmethane</w:t>
      </w:r>
      <w:proofErr w:type="spellEnd"/>
      <w:r w:rsidRPr="002C7324">
        <w:t xml:space="preserve">-induced adipogenesis-promoting activity was not affected by </w:t>
      </w:r>
      <w:proofErr w:type="spellStart"/>
      <w:r w:rsidRPr="002C7324">
        <w:t>PPARγ</w:t>
      </w:r>
      <w:proofErr w:type="spellEnd"/>
      <w:r w:rsidRPr="002C7324">
        <w:t xml:space="preserve"> antagonists (Ahn </w:t>
      </w:r>
      <w:r w:rsidRPr="002C7324">
        <w:rPr>
          <w:i/>
          <w:iCs/>
        </w:rPr>
        <w:t>et al.</w:t>
      </w:r>
      <w:r w:rsidRPr="002C7324">
        <w:t xml:space="preserve"> 2019). Even though potential obesogenic effect in human subject cannot be unequivocally excluded, it is unlikely given that mean </w:t>
      </w:r>
      <w:proofErr w:type="spellStart"/>
      <w:r w:rsidRPr="002C7324">
        <w:rPr>
          <w:rFonts w:eastAsia="Cambria"/>
        </w:rPr>
        <w:t>C</w:t>
      </w:r>
      <w:r w:rsidRPr="002C7324">
        <w:rPr>
          <w:rFonts w:eastAsia="Cambria"/>
          <w:vertAlign w:val="subscript"/>
        </w:rPr>
        <w:t>max</w:t>
      </w:r>
      <w:proofErr w:type="spellEnd"/>
      <w:r w:rsidRPr="002C7324">
        <w:t xml:space="preserve"> (12.89 </w:t>
      </w:r>
      <w:proofErr w:type="spellStart"/>
      <w:r w:rsidRPr="002C7324">
        <w:t>nM</w:t>
      </w:r>
      <w:proofErr w:type="spellEnd"/>
      <w:r w:rsidRPr="002C7324">
        <w:t xml:space="preserve"> or 4 </w:t>
      </w:r>
      <w:proofErr w:type="spellStart"/>
      <w:r w:rsidRPr="002C7324">
        <w:t>μg</w:t>
      </w:r>
      <w:proofErr w:type="spellEnd"/>
      <w:r w:rsidRPr="002C7324">
        <w:t>/L;</w:t>
      </w:r>
      <w:r w:rsidRPr="00C06A99">
        <w:t xml:space="preserve"> </w:t>
      </w:r>
      <w:r>
        <w:t>s</w:t>
      </w:r>
      <w:r w:rsidRPr="00D47D0D">
        <w:t xml:space="preserve">ee </w:t>
      </w:r>
      <w:r w:rsidRPr="00B248E1">
        <w:rPr>
          <w:b/>
          <w:bCs/>
        </w:rPr>
        <w:t>Clinical Trials</w:t>
      </w:r>
      <w:r w:rsidRPr="00B248E1">
        <w:t>)</w:t>
      </w:r>
      <w:r>
        <w:t xml:space="preserve"> </w:t>
      </w:r>
      <w:r w:rsidRPr="002C7324">
        <w:t xml:space="preserve">of </w:t>
      </w:r>
      <w:r>
        <w:t>b</w:t>
      </w:r>
      <w:r w:rsidRPr="00FB4BE3">
        <w:t xml:space="preserve">utyl </w:t>
      </w:r>
      <w:proofErr w:type="spellStart"/>
      <w:r w:rsidRPr="00FB4BE3">
        <w:t>methoxydibenzoylmethane</w:t>
      </w:r>
      <w:proofErr w:type="spellEnd"/>
      <w:r w:rsidRPr="002C7324" w:rsidDel="00E74B9E">
        <w:t xml:space="preserve"> </w:t>
      </w:r>
      <w:r w:rsidRPr="002C7324">
        <w:t xml:space="preserve">following a dermal application was ~1000 lower than concentrations promoting adipogenesis </w:t>
      </w:r>
      <w:r w:rsidRPr="002C7324">
        <w:rPr>
          <w:i/>
          <w:iCs/>
        </w:rPr>
        <w:t>in vitro</w:t>
      </w:r>
      <w:r w:rsidRPr="002C7324">
        <w:t>.</w:t>
      </w:r>
    </w:p>
    <w:p w14:paraId="13C611E0" w14:textId="26D7A2AD" w:rsidR="00CD51B9" w:rsidRPr="002C7324" w:rsidRDefault="00CD51B9" w:rsidP="007512B7">
      <w:r w:rsidRPr="002C7324">
        <w:t xml:space="preserve">Similarly, obesogenic potential of octocrylene was postulated by Ko </w:t>
      </w:r>
      <w:r w:rsidRPr="002C7324">
        <w:rPr>
          <w:i/>
          <w:iCs/>
        </w:rPr>
        <w:t>et al.</w:t>
      </w:r>
      <w:r w:rsidRPr="002C7324">
        <w:t xml:space="preserve"> (2022), but in contrast to </w:t>
      </w:r>
      <w:r>
        <w:t>b</w:t>
      </w:r>
      <w:r w:rsidRPr="00FB4BE3">
        <w:t xml:space="preserve">utyl </w:t>
      </w:r>
      <w:proofErr w:type="spellStart"/>
      <w:r w:rsidRPr="00FB4BE3">
        <w:t>methoxydibenzoylmethane</w:t>
      </w:r>
      <w:proofErr w:type="spellEnd"/>
      <w:r w:rsidRPr="002C7324">
        <w:t xml:space="preserve">, octocrylene directly bound </w:t>
      </w:r>
      <w:proofErr w:type="spellStart"/>
      <w:r w:rsidRPr="002C7324">
        <w:t>PPARγ</w:t>
      </w:r>
      <w:proofErr w:type="spellEnd"/>
      <w:r w:rsidRPr="002C7324">
        <w:t xml:space="preserve">, although with a relatively low affinity (Ki = 37.8 </w:t>
      </w:r>
      <w:proofErr w:type="spellStart"/>
      <w:r w:rsidRPr="002C7324">
        <w:t>μM</w:t>
      </w:r>
      <w:proofErr w:type="spellEnd"/>
      <w:r w:rsidRPr="002C7324">
        <w:t xml:space="preserve">).  </w:t>
      </w:r>
      <w:r w:rsidRPr="002C7324">
        <w:rPr>
          <w:i/>
          <w:iCs/>
        </w:rPr>
        <w:t>In vitro</w:t>
      </w:r>
      <w:r w:rsidRPr="002C7324">
        <w:t xml:space="preserve"> octocrylene induced (</w:t>
      </w:r>
      <w:r w:rsidRPr="002C7324">
        <w:rPr>
          <w:rFonts w:eastAsia="Cambria"/>
        </w:rPr>
        <w:t>EC</w:t>
      </w:r>
      <w:r w:rsidRPr="002C7324">
        <w:rPr>
          <w:rFonts w:eastAsia="Cambria"/>
          <w:vertAlign w:val="subscript"/>
        </w:rPr>
        <w:t>50</w:t>
      </w:r>
      <w:r w:rsidRPr="002C7324">
        <w:t xml:space="preserve">= 29.6 </w:t>
      </w:r>
      <w:proofErr w:type="spellStart"/>
      <w:r w:rsidRPr="002C7324">
        <w:t>μM</w:t>
      </w:r>
      <w:proofErr w:type="spellEnd"/>
      <w:r w:rsidRPr="002C7324">
        <w:t xml:space="preserve">) adiponectin secretion by human bone marrow mesenchymal stem. However, like </w:t>
      </w:r>
      <w:r>
        <w:t>b</w:t>
      </w:r>
      <w:r w:rsidRPr="00FB4BE3">
        <w:t xml:space="preserve">utyl </w:t>
      </w:r>
      <w:proofErr w:type="spellStart"/>
      <w:r w:rsidRPr="00FB4BE3">
        <w:t>methoxydibenzoylmethane</w:t>
      </w:r>
      <w:proofErr w:type="spellEnd"/>
      <w:r w:rsidRPr="002C7324">
        <w:t xml:space="preserve">, the obesogenic impact of octocrylene applied dermally is not expected, as mean plasma </w:t>
      </w:r>
      <w:proofErr w:type="spellStart"/>
      <w:r w:rsidRPr="002C7324">
        <w:rPr>
          <w:rFonts w:eastAsia="Cambria"/>
        </w:rPr>
        <w:t>C</w:t>
      </w:r>
      <w:r w:rsidRPr="002C7324">
        <w:rPr>
          <w:rFonts w:eastAsia="Cambria"/>
          <w:vertAlign w:val="subscript"/>
        </w:rPr>
        <w:t>max</w:t>
      </w:r>
      <w:proofErr w:type="spellEnd"/>
      <w:r w:rsidRPr="002C7324">
        <w:rPr>
          <w:rFonts w:eastAsia="Cambria"/>
          <w:vertAlign w:val="subscript"/>
        </w:rPr>
        <w:t xml:space="preserve"> </w:t>
      </w:r>
      <w:r w:rsidRPr="002C7324">
        <w:t xml:space="preserve">of (32 </w:t>
      </w:r>
      <w:proofErr w:type="spellStart"/>
      <w:r w:rsidRPr="002C7324">
        <w:t>nM</w:t>
      </w:r>
      <w:proofErr w:type="spellEnd"/>
      <w:r w:rsidRPr="002C7324">
        <w:t xml:space="preserve"> or 11.7 </w:t>
      </w:r>
      <w:proofErr w:type="spellStart"/>
      <w:r w:rsidRPr="002C7324">
        <w:t>μg</w:t>
      </w:r>
      <w:proofErr w:type="spellEnd"/>
      <w:r w:rsidRPr="002C7324">
        <w:t>/L;</w:t>
      </w:r>
      <w:r>
        <w:t xml:space="preserve"> (s</w:t>
      </w:r>
      <w:r w:rsidRPr="00D47D0D">
        <w:t xml:space="preserve">ee </w:t>
      </w:r>
      <w:hyperlink w:anchor="_Clinical_trials" w:history="1">
        <w:r w:rsidRPr="0094665F">
          <w:t>Clinical Trials</w:t>
        </w:r>
      </w:hyperlink>
      <w:r w:rsidRPr="0094665F">
        <w:t>)</w:t>
      </w:r>
      <w:r w:rsidRPr="002C7324">
        <w:t xml:space="preserve"> was 925 lower than the </w:t>
      </w:r>
      <w:r w:rsidRPr="002C7324">
        <w:rPr>
          <w:rFonts w:eastAsia="Cambria"/>
        </w:rPr>
        <w:t>EC</w:t>
      </w:r>
      <w:r w:rsidRPr="002C7324">
        <w:rPr>
          <w:rFonts w:eastAsia="Cambria"/>
          <w:vertAlign w:val="subscript"/>
        </w:rPr>
        <w:t>50</w:t>
      </w:r>
      <w:r w:rsidRPr="002C7324">
        <w:t xml:space="preserve"> of adiponectin secretion </w:t>
      </w:r>
      <w:r w:rsidRPr="002C7324">
        <w:rPr>
          <w:i/>
          <w:iCs/>
        </w:rPr>
        <w:t>in vitro</w:t>
      </w:r>
      <w:r w:rsidRPr="002C7324">
        <w:t>.</w:t>
      </w:r>
    </w:p>
    <w:p w14:paraId="30A86D82" w14:textId="39888D5B" w:rsidR="00CD51B9" w:rsidRDefault="00CD51B9" w:rsidP="007512B7">
      <w:r w:rsidRPr="002C7324">
        <w:t xml:space="preserve">The immunomodulatory effect of </w:t>
      </w:r>
      <w:r>
        <w:t>b</w:t>
      </w:r>
      <w:r w:rsidRPr="00FB4BE3">
        <w:t xml:space="preserve">utyl </w:t>
      </w:r>
      <w:proofErr w:type="spellStart"/>
      <w:r w:rsidRPr="00FB4BE3">
        <w:t>methoxydibenzoylmethane</w:t>
      </w:r>
      <w:proofErr w:type="spellEnd"/>
      <w:r w:rsidRPr="002C7324" w:rsidDel="00E74B9E">
        <w:t xml:space="preserve"> </w:t>
      </w:r>
      <w:r w:rsidRPr="002C7324">
        <w:t xml:space="preserve">was reported </w:t>
      </w:r>
      <w:r w:rsidRPr="002C7324">
        <w:rPr>
          <w:i/>
          <w:iCs/>
        </w:rPr>
        <w:t>in vitro</w:t>
      </w:r>
      <w:r w:rsidRPr="002C7324">
        <w:t xml:space="preserve">. At 50 </w:t>
      </w:r>
      <w:proofErr w:type="spellStart"/>
      <w:r w:rsidRPr="002C7324">
        <w:t>μM</w:t>
      </w:r>
      <w:proofErr w:type="spellEnd"/>
      <w:r w:rsidRPr="002C7324">
        <w:t xml:space="preserve"> the compound increased IL-8 secretion by monocyte-like THP-1 cells as well as by THP-1 derived macrophages (Weiss </w:t>
      </w:r>
      <w:r w:rsidRPr="002C7324">
        <w:rPr>
          <w:i/>
          <w:iCs/>
        </w:rPr>
        <w:t>et al.</w:t>
      </w:r>
      <w:r w:rsidRPr="002C7324">
        <w:t xml:space="preserve"> 2023). However, the immunomodulatory effect of </w:t>
      </w:r>
      <w:r>
        <w:t>b</w:t>
      </w:r>
      <w:r w:rsidRPr="00FB4BE3">
        <w:t xml:space="preserve">utyl </w:t>
      </w:r>
      <w:proofErr w:type="spellStart"/>
      <w:r w:rsidRPr="00FB4BE3">
        <w:t>methoxydibenzoylmethane</w:t>
      </w:r>
      <w:proofErr w:type="spellEnd"/>
      <w:r w:rsidRPr="002C7324" w:rsidDel="00E74B9E">
        <w:t xml:space="preserve"> </w:t>
      </w:r>
      <w:r w:rsidRPr="002C7324">
        <w:t>in sunscreen applications is not predicted considering low systemic exposures (</w:t>
      </w:r>
      <w:proofErr w:type="spellStart"/>
      <w:r w:rsidRPr="002C7324">
        <w:rPr>
          <w:rFonts w:eastAsia="Cambria"/>
        </w:rPr>
        <w:t>C</w:t>
      </w:r>
      <w:r w:rsidRPr="002C7324">
        <w:rPr>
          <w:rFonts w:eastAsia="Cambria"/>
          <w:vertAlign w:val="subscript"/>
        </w:rPr>
        <w:t>max</w:t>
      </w:r>
      <w:proofErr w:type="spellEnd"/>
      <w:r w:rsidRPr="002C7324">
        <w:t xml:space="preserve"> = 12.89 </w:t>
      </w:r>
      <w:proofErr w:type="spellStart"/>
      <w:r w:rsidRPr="002C7324">
        <w:t>nM</w:t>
      </w:r>
      <w:proofErr w:type="spellEnd"/>
      <w:r w:rsidRPr="002C7324">
        <w:t xml:space="preserve">) and relatively low impact </w:t>
      </w:r>
      <w:r w:rsidRPr="002C7324">
        <w:rPr>
          <w:i/>
          <w:iCs/>
        </w:rPr>
        <w:t>in vitro</w:t>
      </w:r>
      <w:r w:rsidRPr="002C7324">
        <w:t xml:space="preserve"> (fold changes of affected factors were generally &lt; 2) at concentrations exceeding </w:t>
      </w:r>
      <w:proofErr w:type="spellStart"/>
      <w:r w:rsidRPr="002C7324">
        <w:rPr>
          <w:rFonts w:eastAsia="Cambria"/>
        </w:rPr>
        <w:t>C</w:t>
      </w:r>
      <w:r w:rsidRPr="002C7324">
        <w:rPr>
          <w:rFonts w:eastAsia="Cambria"/>
          <w:vertAlign w:val="subscript"/>
        </w:rPr>
        <w:t>max</w:t>
      </w:r>
      <w:proofErr w:type="spellEnd"/>
      <w:r w:rsidRPr="002C7324">
        <w:t xml:space="preserve"> ~4000 times.</w:t>
      </w:r>
    </w:p>
    <w:p w14:paraId="00C133D5" w14:textId="77777777" w:rsidR="007512B7" w:rsidRPr="002C7324" w:rsidRDefault="007512B7" w:rsidP="007512B7"/>
    <w:p w14:paraId="487DD15E" w14:textId="772CEEE7" w:rsidR="00CD51B9" w:rsidRPr="002C7324" w:rsidRDefault="00CD51B9" w:rsidP="007512B7">
      <w:pPr>
        <w:pStyle w:val="Tabletitle"/>
        <w:rPr>
          <w:i/>
          <w:iCs/>
          <w:color w:val="00B050"/>
          <w:sz w:val="18"/>
          <w:szCs w:val="18"/>
          <w:lang w:val="pl-PL"/>
        </w:rPr>
      </w:pPr>
      <w:r w:rsidRPr="002C7324">
        <w:t xml:space="preserve">Table </w:t>
      </w:r>
      <w:r w:rsidRPr="002C7324">
        <w:fldChar w:fldCharType="begin"/>
      </w:r>
      <w:r w:rsidRPr="002C7324">
        <w:instrText xml:space="preserve"> STYLEREF 1 \s </w:instrText>
      </w:r>
      <w:r w:rsidRPr="002C7324">
        <w:fldChar w:fldCharType="separate"/>
      </w:r>
      <w:r w:rsidR="00CB5A59">
        <w:rPr>
          <w:b w:val="0"/>
          <w:bCs/>
          <w:noProof/>
          <w:lang w:val="en-US"/>
        </w:rPr>
        <w:t>Error! No text of specified style in document.</w:t>
      </w:r>
      <w:r w:rsidRPr="002C7324">
        <w:fldChar w:fldCharType="end"/>
      </w:r>
      <w:r w:rsidRPr="002C7324">
        <w:noBreakHyphen/>
      </w:r>
      <w:r w:rsidRPr="002C7324">
        <w:fldChar w:fldCharType="begin"/>
      </w:r>
      <w:r w:rsidRPr="002C7324">
        <w:instrText xml:space="preserve"> SEQ Table \* ARABIC \s 1 </w:instrText>
      </w:r>
      <w:r w:rsidRPr="002C7324">
        <w:fldChar w:fldCharType="separate"/>
      </w:r>
      <w:r w:rsidR="00CB5A59">
        <w:rPr>
          <w:noProof/>
        </w:rPr>
        <w:t>1</w:t>
      </w:r>
      <w:r w:rsidRPr="002C7324">
        <w:fldChar w:fldCharType="end"/>
      </w:r>
      <w:r>
        <w:t>0</w:t>
      </w:r>
      <w:r w:rsidRPr="002C7324">
        <w:t xml:space="preserve"> </w:t>
      </w:r>
      <w:r>
        <w:t>Summaries of other studies</w:t>
      </w:r>
    </w:p>
    <w:tbl>
      <w:tblPr>
        <w:tblStyle w:val="TableGrid"/>
        <w:tblW w:w="0" w:type="auto"/>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Look w:val="04A0" w:firstRow="1" w:lastRow="0" w:firstColumn="1" w:lastColumn="0" w:noHBand="0" w:noVBand="1"/>
      </w:tblPr>
      <w:tblGrid>
        <w:gridCol w:w="1988"/>
        <w:gridCol w:w="1967"/>
        <w:gridCol w:w="2113"/>
        <w:gridCol w:w="2948"/>
      </w:tblGrid>
      <w:tr w:rsidR="00CD51B9" w:rsidRPr="004F5A9D" w14:paraId="4455BD94" w14:textId="77777777" w:rsidTr="007512B7">
        <w:trPr>
          <w:trHeight w:val="515"/>
        </w:trPr>
        <w:tc>
          <w:tcPr>
            <w:tcW w:w="1990" w:type="dxa"/>
            <w:shd w:val="clear" w:color="auto" w:fill="B8CCEA"/>
            <w:vAlign w:val="center"/>
          </w:tcPr>
          <w:p w14:paraId="1DD5E562" w14:textId="77777777" w:rsidR="00CD51B9" w:rsidRPr="007512B7" w:rsidRDefault="00CD51B9" w:rsidP="00E07077">
            <w:pPr>
              <w:pStyle w:val="TableHeader"/>
              <w:rPr>
                <w:rFonts w:asciiTheme="minorHAnsi" w:hAnsiTheme="minorHAnsi" w:cstheme="minorHAnsi"/>
                <w:b w:val="0"/>
                <w:color w:val="263287"/>
                <w:sz w:val="20"/>
                <w:szCs w:val="20"/>
              </w:rPr>
            </w:pPr>
            <w:r w:rsidRPr="007512B7">
              <w:rPr>
                <w:rFonts w:asciiTheme="minorHAnsi" w:hAnsiTheme="minorHAnsi" w:cstheme="minorHAnsi"/>
                <w:color w:val="263287"/>
                <w:sz w:val="20"/>
                <w:szCs w:val="20"/>
              </w:rPr>
              <w:t>Compound</w:t>
            </w:r>
          </w:p>
        </w:tc>
        <w:tc>
          <w:tcPr>
            <w:tcW w:w="1980" w:type="dxa"/>
            <w:shd w:val="clear" w:color="auto" w:fill="B8CCEA"/>
            <w:vAlign w:val="center"/>
          </w:tcPr>
          <w:p w14:paraId="31CD9919" w14:textId="77777777" w:rsidR="00CD51B9" w:rsidRPr="007512B7" w:rsidRDefault="00CD51B9" w:rsidP="00E07077">
            <w:pPr>
              <w:pStyle w:val="TableHeader"/>
              <w:rPr>
                <w:rFonts w:asciiTheme="minorHAnsi" w:hAnsiTheme="minorHAnsi" w:cstheme="minorHAnsi"/>
                <w:b w:val="0"/>
                <w:bCs/>
                <w:color w:val="263287"/>
                <w:sz w:val="20"/>
                <w:szCs w:val="20"/>
              </w:rPr>
            </w:pPr>
            <w:r w:rsidRPr="007512B7">
              <w:rPr>
                <w:rFonts w:asciiTheme="minorHAnsi" w:hAnsiTheme="minorHAnsi" w:cstheme="minorHAnsi"/>
                <w:color w:val="263287"/>
                <w:sz w:val="20"/>
                <w:szCs w:val="20"/>
              </w:rPr>
              <w:t>Exposure model</w:t>
            </w:r>
          </w:p>
        </w:tc>
        <w:tc>
          <w:tcPr>
            <w:tcW w:w="2114" w:type="dxa"/>
            <w:shd w:val="clear" w:color="auto" w:fill="B8CCEA"/>
            <w:vAlign w:val="center"/>
          </w:tcPr>
          <w:p w14:paraId="37772C46" w14:textId="77777777" w:rsidR="00CD51B9" w:rsidRPr="007512B7" w:rsidRDefault="00CD51B9" w:rsidP="00E07077">
            <w:pPr>
              <w:pStyle w:val="TableHeader"/>
              <w:rPr>
                <w:rFonts w:asciiTheme="minorHAnsi" w:hAnsiTheme="minorHAnsi" w:cstheme="minorHAnsi"/>
                <w:b w:val="0"/>
                <w:bCs/>
                <w:color w:val="263287"/>
                <w:sz w:val="20"/>
                <w:szCs w:val="20"/>
              </w:rPr>
            </w:pPr>
            <w:r w:rsidRPr="007512B7">
              <w:rPr>
                <w:rFonts w:asciiTheme="minorHAnsi" w:hAnsiTheme="minorHAnsi" w:cstheme="minorHAnsi"/>
                <w:color w:val="263287"/>
                <w:sz w:val="20"/>
                <w:szCs w:val="20"/>
              </w:rPr>
              <w:t>Experimental design</w:t>
            </w:r>
          </w:p>
        </w:tc>
        <w:tc>
          <w:tcPr>
            <w:tcW w:w="2976" w:type="dxa"/>
            <w:shd w:val="clear" w:color="auto" w:fill="B8CCEA"/>
            <w:vAlign w:val="center"/>
          </w:tcPr>
          <w:p w14:paraId="71EA4B40" w14:textId="77777777" w:rsidR="00CD51B9" w:rsidRPr="007512B7" w:rsidRDefault="00CD51B9" w:rsidP="00E07077">
            <w:pPr>
              <w:pStyle w:val="TableHeader"/>
              <w:rPr>
                <w:rFonts w:asciiTheme="minorHAnsi" w:hAnsiTheme="minorHAnsi" w:cstheme="minorHAnsi"/>
                <w:b w:val="0"/>
                <w:bCs/>
                <w:color w:val="263287"/>
                <w:sz w:val="20"/>
                <w:szCs w:val="20"/>
              </w:rPr>
            </w:pPr>
            <w:r w:rsidRPr="007512B7">
              <w:rPr>
                <w:rFonts w:asciiTheme="minorHAnsi" w:hAnsiTheme="minorHAnsi" w:cstheme="minorHAnsi"/>
                <w:color w:val="263287"/>
                <w:sz w:val="20"/>
                <w:szCs w:val="20"/>
              </w:rPr>
              <w:t>Effect</w:t>
            </w:r>
          </w:p>
        </w:tc>
      </w:tr>
      <w:tr w:rsidR="00CD51B9" w:rsidRPr="004F5A9D" w14:paraId="032AC0D4" w14:textId="77777777" w:rsidTr="007512B7">
        <w:tc>
          <w:tcPr>
            <w:tcW w:w="1990" w:type="dxa"/>
            <w:vMerge w:val="restart"/>
          </w:tcPr>
          <w:p w14:paraId="28569CD3"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Octyl </w:t>
            </w:r>
            <w:proofErr w:type="spellStart"/>
            <w:r w:rsidRPr="007512B7">
              <w:rPr>
                <w:rFonts w:asciiTheme="minorHAnsi" w:hAnsiTheme="minorHAnsi" w:cstheme="minorHAnsi"/>
              </w:rPr>
              <w:t>methyoxycinnamate</w:t>
            </w:r>
            <w:proofErr w:type="spellEnd"/>
            <w:r w:rsidRPr="007512B7">
              <w:rPr>
                <w:rFonts w:asciiTheme="minorHAnsi" w:hAnsiTheme="minorHAnsi" w:cstheme="minorHAnsi"/>
              </w:rPr>
              <w:t xml:space="preserve"> or </w:t>
            </w:r>
            <w:proofErr w:type="spellStart"/>
            <w:r w:rsidRPr="007512B7">
              <w:rPr>
                <w:rFonts w:asciiTheme="minorHAnsi" w:hAnsiTheme="minorHAnsi" w:cstheme="minorHAnsi"/>
              </w:rPr>
              <w:t>octinoxate</w:t>
            </w:r>
            <w:proofErr w:type="spellEnd"/>
            <w:r w:rsidRPr="007512B7">
              <w:rPr>
                <w:rFonts w:asciiTheme="minorHAnsi" w:hAnsiTheme="minorHAnsi" w:cstheme="minorHAnsi"/>
              </w:rPr>
              <w:t xml:space="preserve"> </w:t>
            </w:r>
          </w:p>
        </w:tc>
        <w:tc>
          <w:tcPr>
            <w:tcW w:w="1980" w:type="dxa"/>
          </w:tcPr>
          <w:p w14:paraId="1DCB1E20"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Wistar rats</w:t>
            </w:r>
          </w:p>
        </w:tc>
        <w:tc>
          <w:tcPr>
            <w:tcW w:w="2114" w:type="dxa"/>
          </w:tcPr>
          <w:p w14:paraId="144F7271"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Oral (gavage) administration during gestation and lactation</w:t>
            </w:r>
          </w:p>
        </w:tc>
        <w:tc>
          <w:tcPr>
            <w:tcW w:w="2976" w:type="dxa"/>
          </w:tcPr>
          <w:p w14:paraId="46E61119"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Decreased motor activity in female offspring, increased spatial learning in male offspring.</w:t>
            </w:r>
          </w:p>
        </w:tc>
      </w:tr>
      <w:tr w:rsidR="00CD51B9" w:rsidRPr="004F5A9D" w14:paraId="2AFDB749" w14:textId="77777777" w:rsidTr="007512B7">
        <w:tc>
          <w:tcPr>
            <w:tcW w:w="1990" w:type="dxa"/>
            <w:vMerge/>
          </w:tcPr>
          <w:p w14:paraId="1A344934" w14:textId="77777777" w:rsidR="00CD51B9" w:rsidRPr="007512B7" w:rsidRDefault="00CD51B9" w:rsidP="00E07077">
            <w:pPr>
              <w:pStyle w:val="Tabletextleft"/>
              <w:rPr>
                <w:rFonts w:asciiTheme="minorHAnsi" w:hAnsiTheme="minorHAnsi" w:cstheme="minorHAnsi"/>
              </w:rPr>
            </w:pPr>
          </w:p>
        </w:tc>
        <w:tc>
          <w:tcPr>
            <w:tcW w:w="1980" w:type="dxa"/>
          </w:tcPr>
          <w:p w14:paraId="62E90E9B"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Sprague-Dawley rats, female</w:t>
            </w:r>
          </w:p>
        </w:tc>
        <w:tc>
          <w:tcPr>
            <w:tcW w:w="2114" w:type="dxa"/>
          </w:tcPr>
          <w:p w14:paraId="21E2426D"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Oral (gavage) administration for 5 days; 10–1000 mg/kg/day</w:t>
            </w:r>
          </w:p>
        </w:tc>
        <w:tc>
          <w:tcPr>
            <w:tcW w:w="2976" w:type="dxa"/>
          </w:tcPr>
          <w:p w14:paraId="001B1B94"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Non-estrogenic interference within the rodent HPT axis; no changes in pre-</w:t>
            </w:r>
            <w:proofErr w:type="spellStart"/>
            <w:r w:rsidRPr="007512B7">
              <w:rPr>
                <w:rFonts w:asciiTheme="minorHAnsi" w:hAnsiTheme="minorHAnsi" w:cstheme="minorHAnsi"/>
              </w:rPr>
              <w:t>proTRH</w:t>
            </w:r>
            <w:proofErr w:type="spellEnd"/>
            <w:r w:rsidRPr="007512B7">
              <w:rPr>
                <w:rFonts w:asciiTheme="minorHAnsi" w:hAnsiTheme="minorHAnsi" w:cstheme="minorHAnsi"/>
              </w:rPr>
              <w:t xml:space="preserve"> mRNA in </w:t>
            </w:r>
            <w:proofErr w:type="spellStart"/>
            <w:r w:rsidRPr="007512B7">
              <w:rPr>
                <w:rFonts w:asciiTheme="minorHAnsi" w:hAnsiTheme="minorHAnsi" w:cstheme="minorHAnsi"/>
              </w:rPr>
              <w:t>mediobasal</w:t>
            </w:r>
            <w:proofErr w:type="spellEnd"/>
            <w:r w:rsidRPr="007512B7">
              <w:rPr>
                <w:rFonts w:asciiTheme="minorHAnsi" w:hAnsiTheme="minorHAnsi" w:cstheme="minorHAnsi"/>
              </w:rPr>
              <w:t>-hypothalamus.</w:t>
            </w:r>
          </w:p>
        </w:tc>
      </w:tr>
      <w:tr w:rsidR="00CD51B9" w:rsidRPr="004F5A9D" w14:paraId="0E925E8B" w14:textId="77777777" w:rsidTr="007512B7">
        <w:tc>
          <w:tcPr>
            <w:tcW w:w="1990" w:type="dxa"/>
            <w:vMerge/>
          </w:tcPr>
          <w:p w14:paraId="626D400A" w14:textId="77777777" w:rsidR="00CD51B9" w:rsidRPr="007512B7" w:rsidRDefault="00CD51B9" w:rsidP="00E07077">
            <w:pPr>
              <w:pStyle w:val="Tabletextleft"/>
              <w:rPr>
                <w:rFonts w:asciiTheme="minorHAnsi" w:hAnsiTheme="minorHAnsi" w:cstheme="minorHAnsi"/>
              </w:rPr>
            </w:pPr>
          </w:p>
        </w:tc>
        <w:tc>
          <w:tcPr>
            <w:tcW w:w="1980" w:type="dxa"/>
          </w:tcPr>
          <w:p w14:paraId="143EA3AA"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Wistar rats</w:t>
            </w:r>
          </w:p>
        </w:tc>
        <w:tc>
          <w:tcPr>
            <w:tcW w:w="2114" w:type="dxa"/>
          </w:tcPr>
          <w:p w14:paraId="4219770A"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In vitro incubation of hypothalamus isolated from adult rats; 60 min; 0.263 </w:t>
            </w:r>
            <w:proofErr w:type="spellStart"/>
            <w:r w:rsidRPr="007512B7">
              <w:rPr>
                <w:rFonts w:asciiTheme="minorHAnsi" w:hAnsiTheme="minorHAnsi" w:cstheme="minorHAnsi"/>
              </w:rPr>
              <w:t>μM</w:t>
            </w:r>
            <w:proofErr w:type="spellEnd"/>
          </w:p>
        </w:tc>
        <w:tc>
          <w:tcPr>
            <w:tcW w:w="2976" w:type="dxa"/>
          </w:tcPr>
          <w:p w14:paraId="65F8A302"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Decreased hypothalamic release of GnRH. Increased GABA release and decreased Glu production in males. Decreased Asp and Glu production in females.</w:t>
            </w:r>
          </w:p>
        </w:tc>
      </w:tr>
      <w:tr w:rsidR="00CD51B9" w:rsidRPr="004F5A9D" w14:paraId="6E527606" w14:textId="77777777" w:rsidTr="007512B7">
        <w:tc>
          <w:tcPr>
            <w:tcW w:w="1990" w:type="dxa"/>
            <w:vMerge/>
          </w:tcPr>
          <w:p w14:paraId="2041B3AB" w14:textId="77777777" w:rsidR="00CD51B9" w:rsidRPr="007512B7" w:rsidRDefault="00CD51B9" w:rsidP="00E07077">
            <w:pPr>
              <w:pStyle w:val="Tabletextleft"/>
              <w:rPr>
                <w:rFonts w:asciiTheme="minorHAnsi" w:hAnsiTheme="minorHAnsi" w:cstheme="minorHAnsi"/>
              </w:rPr>
            </w:pPr>
          </w:p>
        </w:tc>
        <w:tc>
          <w:tcPr>
            <w:tcW w:w="1980" w:type="dxa"/>
          </w:tcPr>
          <w:p w14:paraId="1396714E"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Wistar rats</w:t>
            </w:r>
          </w:p>
        </w:tc>
        <w:tc>
          <w:tcPr>
            <w:tcW w:w="2114" w:type="dxa"/>
          </w:tcPr>
          <w:p w14:paraId="0D856A12"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in vitro incubation of hypothalamus isolated from immature rats; 60 min; 0.263μM</w:t>
            </w:r>
          </w:p>
        </w:tc>
        <w:tc>
          <w:tcPr>
            <w:tcW w:w="2976" w:type="dxa"/>
          </w:tcPr>
          <w:p w14:paraId="5242F8DF"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Decreased hypothalamic release of LHRH. Increased GABA release in males, decreased Asp and Glu levels in females.</w:t>
            </w:r>
          </w:p>
        </w:tc>
      </w:tr>
      <w:tr w:rsidR="00CD51B9" w:rsidRPr="00361DD3" w14:paraId="6D0EDDAF" w14:textId="77777777" w:rsidTr="007512B7">
        <w:tc>
          <w:tcPr>
            <w:tcW w:w="1990" w:type="dxa"/>
            <w:vMerge/>
          </w:tcPr>
          <w:p w14:paraId="6C86BD69" w14:textId="77777777" w:rsidR="00CD51B9" w:rsidRPr="007512B7" w:rsidRDefault="00CD51B9" w:rsidP="00E07077">
            <w:pPr>
              <w:pStyle w:val="Tabletextleft"/>
              <w:rPr>
                <w:rFonts w:asciiTheme="minorHAnsi" w:hAnsiTheme="minorHAnsi" w:cstheme="minorHAnsi"/>
              </w:rPr>
            </w:pPr>
          </w:p>
        </w:tc>
        <w:tc>
          <w:tcPr>
            <w:tcW w:w="1980" w:type="dxa"/>
          </w:tcPr>
          <w:p w14:paraId="081D6174"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SH-SY5Y neuroblastoma cell line</w:t>
            </w:r>
          </w:p>
        </w:tc>
        <w:tc>
          <w:tcPr>
            <w:tcW w:w="2114" w:type="dxa"/>
          </w:tcPr>
          <w:p w14:paraId="6A305FCD"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72 h; 10</w:t>
            </w:r>
            <w:r w:rsidRPr="007512B7">
              <w:rPr>
                <w:rFonts w:asciiTheme="minorHAnsi" w:hAnsiTheme="minorHAnsi" w:cstheme="minorHAnsi"/>
                <w:vertAlign w:val="superscript"/>
              </w:rPr>
              <w:t>−8</w:t>
            </w:r>
            <w:r w:rsidRPr="007512B7">
              <w:rPr>
                <w:rFonts w:asciiTheme="minorHAnsi" w:hAnsiTheme="minorHAnsi" w:cstheme="minorHAnsi"/>
              </w:rPr>
              <w:t>–10</w:t>
            </w:r>
            <w:r w:rsidRPr="007512B7">
              <w:rPr>
                <w:rFonts w:asciiTheme="minorHAnsi" w:hAnsiTheme="minorHAnsi" w:cstheme="minorHAnsi"/>
                <w:vertAlign w:val="superscript"/>
              </w:rPr>
              <w:t>−4</w:t>
            </w:r>
            <w:r w:rsidRPr="007512B7">
              <w:rPr>
                <w:rFonts w:asciiTheme="minorHAnsi" w:hAnsiTheme="minorHAnsi" w:cstheme="minorHAnsi"/>
              </w:rPr>
              <w:t>M</w:t>
            </w:r>
          </w:p>
        </w:tc>
        <w:tc>
          <w:tcPr>
            <w:tcW w:w="2976" w:type="dxa"/>
          </w:tcPr>
          <w:p w14:paraId="5CD8324F"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Decreased cell viability and increased caspase-3 activity.</w:t>
            </w:r>
          </w:p>
        </w:tc>
      </w:tr>
      <w:tr w:rsidR="00CD51B9" w:rsidRPr="00361DD3" w14:paraId="22B3462F" w14:textId="77777777" w:rsidTr="007512B7">
        <w:tc>
          <w:tcPr>
            <w:tcW w:w="1990" w:type="dxa"/>
            <w:vMerge/>
          </w:tcPr>
          <w:p w14:paraId="6E5B6C5F" w14:textId="77777777" w:rsidR="00CD51B9" w:rsidRPr="007512B7" w:rsidRDefault="00CD51B9" w:rsidP="00E07077">
            <w:pPr>
              <w:pStyle w:val="Tabletextleft"/>
              <w:rPr>
                <w:rFonts w:asciiTheme="minorHAnsi" w:hAnsiTheme="minorHAnsi" w:cstheme="minorHAnsi"/>
              </w:rPr>
            </w:pPr>
          </w:p>
        </w:tc>
        <w:tc>
          <w:tcPr>
            <w:tcW w:w="1980" w:type="dxa"/>
          </w:tcPr>
          <w:p w14:paraId="445964A2"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Rainbow trout</w:t>
            </w:r>
          </w:p>
          <w:p w14:paraId="1A3C566A" w14:textId="11890ABA" w:rsidR="00CD51B9" w:rsidRPr="007512B7" w:rsidRDefault="00CD51B9" w:rsidP="00BA4549">
            <w:pPr>
              <w:pStyle w:val="Tabletextleft"/>
              <w:rPr>
                <w:rFonts w:asciiTheme="minorHAnsi" w:hAnsiTheme="minorHAnsi" w:cstheme="minorHAnsi"/>
              </w:rPr>
            </w:pPr>
            <w:r w:rsidRPr="007512B7">
              <w:rPr>
                <w:rFonts w:asciiTheme="minorHAnsi" w:hAnsiTheme="minorHAnsi" w:cstheme="minorHAnsi"/>
              </w:rPr>
              <w:t>(</w:t>
            </w:r>
            <w:proofErr w:type="spellStart"/>
            <w:r w:rsidRPr="007512B7">
              <w:rPr>
                <w:rFonts w:asciiTheme="minorHAnsi" w:hAnsiTheme="minorHAnsi" w:cstheme="minorHAnsi"/>
              </w:rPr>
              <w:t>Cahova</w:t>
            </w:r>
            <w:proofErr w:type="spellEnd"/>
            <w:r w:rsidRPr="007512B7">
              <w:rPr>
                <w:rFonts w:asciiTheme="minorHAnsi" w:hAnsiTheme="minorHAnsi" w:cstheme="minorHAnsi"/>
              </w:rPr>
              <w:t xml:space="preserve"> </w:t>
            </w:r>
            <w:r w:rsidRPr="007512B7">
              <w:rPr>
                <w:rFonts w:asciiTheme="minorHAnsi" w:hAnsiTheme="minorHAnsi" w:cstheme="minorHAnsi"/>
                <w:i/>
                <w:iCs/>
              </w:rPr>
              <w:t>et al.</w:t>
            </w:r>
            <w:r w:rsidRPr="007512B7">
              <w:rPr>
                <w:rFonts w:asciiTheme="minorHAnsi" w:hAnsiTheme="minorHAnsi" w:cstheme="minorHAnsi"/>
              </w:rPr>
              <w:t xml:space="preserve"> 2023)</w:t>
            </w:r>
          </w:p>
        </w:tc>
        <w:tc>
          <w:tcPr>
            <w:tcW w:w="2114" w:type="dxa"/>
          </w:tcPr>
          <w:p w14:paraId="17CBE6DE"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Administered with food; 6 weeks; 6.9 – 395 </w:t>
            </w:r>
            <w:proofErr w:type="spellStart"/>
            <w:r w:rsidRPr="007512B7">
              <w:rPr>
                <w:rFonts w:asciiTheme="minorHAnsi" w:hAnsiTheme="minorHAnsi" w:cstheme="minorHAnsi"/>
              </w:rPr>
              <w:t>μg</w:t>
            </w:r>
            <w:proofErr w:type="spellEnd"/>
            <w:r w:rsidRPr="007512B7">
              <w:rPr>
                <w:rFonts w:asciiTheme="minorHAnsi" w:hAnsiTheme="minorHAnsi" w:cstheme="minorHAnsi"/>
              </w:rPr>
              <w:t>/kg/day</w:t>
            </w:r>
          </w:p>
        </w:tc>
        <w:tc>
          <w:tcPr>
            <w:tcW w:w="2976" w:type="dxa"/>
          </w:tcPr>
          <w:p w14:paraId="04649BA2" w14:textId="676A8A14"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Increased plasma thyroxine levels at 395/kg/day </w:t>
            </w:r>
            <w:r w:rsidRPr="007512B7">
              <w:rPr>
                <w:rFonts w:asciiTheme="minorHAnsi" w:hAnsiTheme="minorHAnsi" w:cstheme="minorHAnsi"/>
              </w:rPr>
              <w:lastRenderedPageBreak/>
              <w:t>(~325</w:t>
            </w:r>
            <w:r w:rsidR="00BA4549">
              <w:rPr>
                <w:rFonts w:asciiTheme="minorHAnsi" w:hAnsiTheme="minorHAnsi" w:cstheme="minorHAnsi"/>
              </w:rPr>
              <w:t> </w:t>
            </w:r>
            <w:r w:rsidRPr="007512B7">
              <w:rPr>
                <w:rFonts w:asciiTheme="minorHAnsi" w:hAnsiTheme="minorHAnsi" w:cstheme="minorHAnsi"/>
              </w:rPr>
              <w:t xml:space="preserve">ng/mL) </w:t>
            </w:r>
            <w:r w:rsidRPr="007512B7">
              <w:rPr>
                <w:rFonts w:asciiTheme="minorHAnsi" w:hAnsiTheme="minorHAnsi" w:cstheme="minorHAnsi"/>
                <w:i/>
                <w:iCs/>
              </w:rPr>
              <w:t>c.f.</w:t>
            </w:r>
            <w:r w:rsidRPr="007512B7">
              <w:rPr>
                <w:rFonts w:asciiTheme="minorHAnsi" w:hAnsiTheme="minorHAnsi" w:cstheme="minorHAnsi"/>
              </w:rPr>
              <w:t xml:space="preserve"> controls (~200 ng/mL)</w:t>
            </w:r>
          </w:p>
        </w:tc>
      </w:tr>
      <w:tr w:rsidR="00CD51B9" w:rsidRPr="00361DD3" w14:paraId="31A3EE9E" w14:textId="77777777" w:rsidTr="007512B7">
        <w:tc>
          <w:tcPr>
            <w:tcW w:w="1990" w:type="dxa"/>
            <w:vMerge/>
          </w:tcPr>
          <w:p w14:paraId="5298329E" w14:textId="77777777" w:rsidR="00CD51B9" w:rsidRPr="007512B7" w:rsidRDefault="00CD51B9" w:rsidP="00E07077">
            <w:pPr>
              <w:pStyle w:val="Tabletextleft"/>
              <w:rPr>
                <w:rFonts w:asciiTheme="minorHAnsi" w:hAnsiTheme="minorHAnsi" w:cstheme="minorHAnsi"/>
              </w:rPr>
            </w:pPr>
          </w:p>
        </w:tc>
        <w:tc>
          <w:tcPr>
            <w:tcW w:w="1980" w:type="dxa"/>
          </w:tcPr>
          <w:p w14:paraId="33DAC46C"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Wistar rats</w:t>
            </w:r>
          </w:p>
          <w:p w14:paraId="3550A2C7" w14:textId="7D401194" w:rsidR="00CD51B9" w:rsidRPr="007512B7" w:rsidRDefault="00CD51B9" w:rsidP="00BA4549">
            <w:pPr>
              <w:pStyle w:val="Tabletextleft"/>
              <w:rPr>
                <w:rFonts w:asciiTheme="minorHAnsi" w:hAnsiTheme="minorHAnsi" w:cstheme="minorHAnsi"/>
              </w:rPr>
            </w:pPr>
            <w:r w:rsidRPr="007512B7">
              <w:rPr>
                <w:rFonts w:asciiTheme="minorHAnsi" w:hAnsiTheme="minorHAnsi" w:cstheme="minorHAnsi"/>
              </w:rPr>
              <w:t xml:space="preserve">(Lorigo and </w:t>
            </w:r>
            <w:proofErr w:type="spellStart"/>
            <w:r w:rsidRPr="007512B7">
              <w:rPr>
                <w:rFonts w:asciiTheme="minorHAnsi" w:hAnsiTheme="minorHAnsi" w:cstheme="minorHAnsi"/>
              </w:rPr>
              <w:t>Cairrao</w:t>
            </w:r>
            <w:proofErr w:type="spellEnd"/>
            <w:r w:rsidRPr="007512B7">
              <w:rPr>
                <w:rFonts w:asciiTheme="minorHAnsi" w:hAnsiTheme="minorHAnsi" w:cstheme="minorHAnsi"/>
              </w:rPr>
              <w:t xml:space="preserve"> 2022)</w:t>
            </w:r>
          </w:p>
        </w:tc>
        <w:tc>
          <w:tcPr>
            <w:tcW w:w="2114" w:type="dxa"/>
          </w:tcPr>
          <w:p w14:paraId="71818DB2" w14:textId="77777777" w:rsidR="00CD51B9" w:rsidRPr="007512B7" w:rsidRDefault="00CD51B9" w:rsidP="00E07077">
            <w:pPr>
              <w:pStyle w:val="Tabletextleft"/>
              <w:rPr>
                <w:rFonts w:asciiTheme="minorHAnsi" w:hAnsiTheme="minorHAnsi" w:cstheme="minorHAnsi"/>
              </w:rPr>
            </w:pPr>
            <w:proofErr w:type="gramStart"/>
            <w:r w:rsidRPr="007512B7">
              <w:rPr>
                <w:rFonts w:asciiTheme="minorHAnsi" w:hAnsiTheme="minorHAnsi" w:cstheme="minorHAnsi"/>
                <w:i/>
                <w:iCs/>
              </w:rPr>
              <w:t>In vitro</w:t>
            </w:r>
            <w:r w:rsidRPr="007512B7">
              <w:rPr>
                <w:rFonts w:asciiTheme="minorHAnsi" w:hAnsiTheme="minorHAnsi" w:cstheme="minorHAnsi"/>
              </w:rPr>
              <w:t>;</w:t>
            </w:r>
            <w:proofErr w:type="gramEnd"/>
            <w:r w:rsidRPr="007512B7">
              <w:rPr>
                <w:rFonts w:asciiTheme="minorHAnsi" w:hAnsiTheme="minorHAnsi" w:cstheme="minorHAnsi"/>
              </w:rPr>
              <w:t xml:space="preserve"> isolated rat aortas</w:t>
            </w:r>
          </w:p>
          <w:p w14:paraId="1225EAF7"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0.001–50 </w:t>
            </w:r>
            <w:proofErr w:type="spellStart"/>
            <w:r w:rsidRPr="007512B7">
              <w:rPr>
                <w:rFonts w:asciiTheme="minorHAnsi" w:hAnsiTheme="minorHAnsi" w:cstheme="minorHAnsi"/>
              </w:rPr>
              <w:t>μmol</w:t>
            </w:r>
            <w:proofErr w:type="spellEnd"/>
            <w:r w:rsidRPr="007512B7">
              <w:rPr>
                <w:rFonts w:asciiTheme="minorHAnsi" w:hAnsiTheme="minorHAnsi" w:cstheme="minorHAnsi"/>
              </w:rPr>
              <w:t>/L</w:t>
            </w:r>
          </w:p>
        </w:tc>
        <w:tc>
          <w:tcPr>
            <w:tcW w:w="2976" w:type="dxa"/>
          </w:tcPr>
          <w:p w14:paraId="53B3BE9A"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Increased vasorelaxant effect by endothelium-dependent mechanisms</w:t>
            </w:r>
          </w:p>
        </w:tc>
      </w:tr>
      <w:tr w:rsidR="00CD51B9" w:rsidRPr="00361DD3" w14:paraId="09537507" w14:textId="77777777" w:rsidTr="007512B7">
        <w:tc>
          <w:tcPr>
            <w:tcW w:w="1990" w:type="dxa"/>
            <w:vMerge/>
          </w:tcPr>
          <w:p w14:paraId="7905E09D" w14:textId="77777777" w:rsidR="00CD51B9" w:rsidRPr="007512B7" w:rsidRDefault="00CD51B9" w:rsidP="00E07077">
            <w:pPr>
              <w:pStyle w:val="Tabletextleft"/>
              <w:rPr>
                <w:rFonts w:asciiTheme="minorHAnsi" w:hAnsiTheme="minorHAnsi" w:cstheme="minorHAnsi"/>
              </w:rPr>
            </w:pPr>
          </w:p>
        </w:tc>
        <w:tc>
          <w:tcPr>
            <w:tcW w:w="1980" w:type="dxa"/>
          </w:tcPr>
          <w:p w14:paraId="7186D03B"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Human umbilical arteries</w:t>
            </w:r>
          </w:p>
          <w:p w14:paraId="5BEF6889"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(Lorigo </w:t>
            </w:r>
            <w:r w:rsidRPr="007512B7">
              <w:rPr>
                <w:rFonts w:asciiTheme="minorHAnsi" w:hAnsiTheme="minorHAnsi" w:cstheme="minorHAnsi"/>
                <w:i/>
                <w:iCs/>
              </w:rPr>
              <w:t>et al.</w:t>
            </w:r>
            <w:r w:rsidRPr="007512B7">
              <w:rPr>
                <w:rFonts w:asciiTheme="minorHAnsi" w:hAnsiTheme="minorHAnsi" w:cstheme="minorHAnsi"/>
              </w:rPr>
              <w:t xml:space="preserve"> 2021, 2022)</w:t>
            </w:r>
          </w:p>
        </w:tc>
        <w:tc>
          <w:tcPr>
            <w:tcW w:w="2114" w:type="dxa"/>
          </w:tcPr>
          <w:p w14:paraId="0A8A286A"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i/>
                <w:iCs/>
              </w:rPr>
              <w:t xml:space="preserve">In vitro, </w:t>
            </w:r>
            <w:r w:rsidRPr="007512B7">
              <w:rPr>
                <w:rFonts w:asciiTheme="minorHAnsi" w:hAnsiTheme="minorHAnsi" w:cstheme="minorHAnsi"/>
              </w:rPr>
              <w:t xml:space="preserve">24h incubation; 1 -50 </w:t>
            </w:r>
            <w:proofErr w:type="spellStart"/>
            <w:r w:rsidRPr="007512B7">
              <w:rPr>
                <w:rFonts w:asciiTheme="minorHAnsi" w:hAnsiTheme="minorHAnsi" w:cstheme="minorHAnsi"/>
              </w:rPr>
              <w:t>μmol</w:t>
            </w:r>
            <w:proofErr w:type="spellEnd"/>
            <w:r w:rsidRPr="007512B7">
              <w:rPr>
                <w:rFonts w:asciiTheme="minorHAnsi" w:hAnsiTheme="minorHAnsi" w:cstheme="minorHAnsi"/>
              </w:rPr>
              <w:t>/L</w:t>
            </w:r>
          </w:p>
        </w:tc>
        <w:tc>
          <w:tcPr>
            <w:tcW w:w="2976" w:type="dxa"/>
          </w:tcPr>
          <w:p w14:paraId="713D1969"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Decreased vasorelaxation response by interference with NO/</w:t>
            </w:r>
            <w:proofErr w:type="spellStart"/>
            <w:r w:rsidRPr="007512B7">
              <w:rPr>
                <w:rFonts w:asciiTheme="minorHAnsi" w:hAnsiTheme="minorHAnsi" w:cstheme="minorHAnsi"/>
              </w:rPr>
              <w:t>sGC</w:t>
            </w:r>
            <w:proofErr w:type="spellEnd"/>
            <w:r w:rsidRPr="007512B7">
              <w:rPr>
                <w:rFonts w:asciiTheme="minorHAnsi" w:hAnsiTheme="minorHAnsi" w:cstheme="minorHAnsi"/>
              </w:rPr>
              <w:t>/cGMP/PKG pathway</w:t>
            </w:r>
          </w:p>
          <w:p w14:paraId="5004C61B"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Increased reactivity to the contractile agents – serotonin, histamine and </w:t>
            </w:r>
            <w:proofErr w:type="spellStart"/>
            <w:r w:rsidRPr="007512B7">
              <w:rPr>
                <w:rFonts w:asciiTheme="minorHAnsi" w:hAnsiTheme="minorHAnsi" w:cstheme="minorHAnsi"/>
              </w:rPr>
              <w:t>KCl</w:t>
            </w:r>
            <w:proofErr w:type="spellEnd"/>
            <w:r w:rsidRPr="007512B7">
              <w:rPr>
                <w:rFonts w:asciiTheme="minorHAnsi" w:hAnsiTheme="minorHAnsi" w:cstheme="minorHAnsi"/>
              </w:rPr>
              <w:t xml:space="preserve"> </w:t>
            </w:r>
          </w:p>
          <w:p w14:paraId="6230E87A"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In silico analysis suggests that octyl methoxycinnamate</w:t>
            </w:r>
            <w:r w:rsidRPr="007512B7" w:rsidDel="00852B36">
              <w:rPr>
                <w:rFonts w:asciiTheme="minorHAnsi" w:hAnsiTheme="minorHAnsi" w:cstheme="minorHAnsi"/>
              </w:rPr>
              <w:t xml:space="preserve"> </w:t>
            </w:r>
            <w:r w:rsidRPr="007512B7">
              <w:rPr>
                <w:rFonts w:asciiTheme="minorHAnsi" w:hAnsiTheme="minorHAnsi" w:cstheme="minorHAnsi"/>
              </w:rPr>
              <w:t>might compete with T3 for the binding centre of THRα.</w:t>
            </w:r>
          </w:p>
        </w:tc>
      </w:tr>
      <w:tr w:rsidR="00CD51B9" w:rsidRPr="00361DD3" w14:paraId="54553E65" w14:textId="77777777" w:rsidTr="007512B7">
        <w:tc>
          <w:tcPr>
            <w:tcW w:w="1990" w:type="dxa"/>
            <w:vMerge w:val="restart"/>
          </w:tcPr>
          <w:p w14:paraId="61BD45D0"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Benzophenone-3 or oxybenzone </w:t>
            </w:r>
          </w:p>
        </w:tc>
        <w:tc>
          <w:tcPr>
            <w:tcW w:w="1980" w:type="dxa"/>
          </w:tcPr>
          <w:p w14:paraId="352C2636"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Zebrafish </w:t>
            </w:r>
          </w:p>
        </w:tc>
        <w:tc>
          <w:tcPr>
            <w:tcW w:w="2114" w:type="dxa"/>
          </w:tcPr>
          <w:p w14:paraId="79C2C3CD"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Waterborne; 14 days for adult, 120 h for embryos; 10–600 </w:t>
            </w:r>
            <w:proofErr w:type="spellStart"/>
            <w:r w:rsidRPr="007512B7">
              <w:rPr>
                <w:rFonts w:asciiTheme="minorHAnsi" w:hAnsiTheme="minorHAnsi" w:cstheme="minorHAnsi"/>
              </w:rPr>
              <w:t>μg</w:t>
            </w:r>
            <w:proofErr w:type="spellEnd"/>
            <w:r w:rsidRPr="007512B7">
              <w:rPr>
                <w:rFonts w:asciiTheme="minorHAnsi" w:hAnsiTheme="minorHAnsi" w:cstheme="minorHAnsi"/>
              </w:rPr>
              <w:t>/L</w:t>
            </w:r>
          </w:p>
        </w:tc>
        <w:tc>
          <w:tcPr>
            <w:tcW w:w="2976" w:type="dxa"/>
          </w:tcPr>
          <w:p w14:paraId="3FDE75AD"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Anti-androgenic activity: decreased expression of </w:t>
            </w:r>
            <w:r w:rsidRPr="007512B7">
              <w:rPr>
                <w:rFonts w:asciiTheme="minorHAnsi" w:hAnsiTheme="minorHAnsi" w:cstheme="minorHAnsi"/>
                <w:i/>
                <w:iCs/>
              </w:rPr>
              <w:t>esr1</w:t>
            </w:r>
            <w:r w:rsidRPr="007512B7">
              <w:rPr>
                <w:rFonts w:asciiTheme="minorHAnsi" w:hAnsiTheme="minorHAnsi" w:cstheme="minorHAnsi"/>
              </w:rPr>
              <w:t xml:space="preserve">, </w:t>
            </w:r>
            <w:proofErr w:type="spellStart"/>
            <w:r w:rsidRPr="007512B7">
              <w:rPr>
                <w:rFonts w:asciiTheme="minorHAnsi" w:hAnsiTheme="minorHAnsi" w:cstheme="minorHAnsi"/>
                <w:i/>
                <w:iCs/>
              </w:rPr>
              <w:t>ar</w:t>
            </w:r>
            <w:proofErr w:type="spellEnd"/>
            <w:r w:rsidRPr="007512B7">
              <w:rPr>
                <w:rFonts w:asciiTheme="minorHAnsi" w:hAnsiTheme="minorHAnsi" w:cstheme="minorHAnsi"/>
              </w:rPr>
              <w:t xml:space="preserve"> and </w:t>
            </w:r>
            <w:r w:rsidRPr="007512B7">
              <w:rPr>
                <w:rFonts w:asciiTheme="minorHAnsi" w:hAnsiTheme="minorHAnsi" w:cstheme="minorHAnsi"/>
                <w:i/>
                <w:iCs/>
              </w:rPr>
              <w:t>cyp19b</w:t>
            </w:r>
            <w:r w:rsidRPr="007512B7">
              <w:rPr>
                <w:rFonts w:asciiTheme="minorHAnsi" w:hAnsiTheme="minorHAnsi" w:cstheme="minorHAnsi"/>
              </w:rPr>
              <w:t xml:space="preserve"> expression in the brain of males.</w:t>
            </w:r>
          </w:p>
        </w:tc>
      </w:tr>
      <w:tr w:rsidR="00CD51B9" w:rsidRPr="00361DD3" w14:paraId="42769C61" w14:textId="77777777" w:rsidTr="007512B7">
        <w:tc>
          <w:tcPr>
            <w:tcW w:w="1990" w:type="dxa"/>
            <w:vMerge/>
          </w:tcPr>
          <w:p w14:paraId="65478CA5" w14:textId="77777777" w:rsidR="00CD51B9" w:rsidRPr="007512B7" w:rsidRDefault="00CD51B9" w:rsidP="00E07077">
            <w:pPr>
              <w:pStyle w:val="Tabletextleft"/>
              <w:rPr>
                <w:rFonts w:asciiTheme="minorHAnsi" w:hAnsiTheme="minorHAnsi" w:cstheme="minorHAnsi"/>
              </w:rPr>
            </w:pPr>
          </w:p>
        </w:tc>
        <w:tc>
          <w:tcPr>
            <w:tcW w:w="1980" w:type="dxa"/>
          </w:tcPr>
          <w:p w14:paraId="04EB7B9F"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Zebrafish</w:t>
            </w:r>
          </w:p>
          <w:p w14:paraId="58F248E5"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(Babich </w:t>
            </w:r>
            <w:r w:rsidRPr="007512B7">
              <w:rPr>
                <w:rFonts w:asciiTheme="minorHAnsi" w:hAnsiTheme="minorHAnsi" w:cstheme="minorHAnsi"/>
                <w:i/>
                <w:iCs/>
              </w:rPr>
              <w:t>et al.</w:t>
            </w:r>
            <w:r w:rsidRPr="007512B7">
              <w:rPr>
                <w:rFonts w:asciiTheme="minorHAnsi" w:hAnsiTheme="minorHAnsi" w:cstheme="minorHAnsi"/>
              </w:rPr>
              <w:t xml:space="preserve"> 2020)</w:t>
            </w:r>
          </w:p>
        </w:tc>
        <w:tc>
          <w:tcPr>
            <w:tcW w:w="2114" w:type="dxa"/>
          </w:tcPr>
          <w:p w14:paraId="61E353A1"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Embryonic oxygen consumption </w:t>
            </w:r>
            <w:proofErr w:type="gramStart"/>
            <w:r w:rsidRPr="007512B7">
              <w:rPr>
                <w:rFonts w:asciiTheme="minorHAnsi" w:hAnsiTheme="minorHAnsi" w:cstheme="minorHAnsi"/>
              </w:rPr>
              <w:t>rate;</w:t>
            </w:r>
            <w:proofErr w:type="gramEnd"/>
            <w:r w:rsidRPr="007512B7">
              <w:rPr>
                <w:rFonts w:asciiTheme="minorHAnsi" w:hAnsiTheme="minorHAnsi" w:cstheme="minorHAnsi"/>
              </w:rPr>
              <w:t xml:space="preserve">  </w:t>
            </w:r>
          </w:p>
          <w:p w14:paraId="690C2A8B"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0.004 – 4 mg/L</w:t>
            </w:r>
          </w:p>
        </w:tc>
        <w:tc>
          <w:tcPr>
            <w:tcW w:w="2976" w:type="dxa"/>
          </w:tcPr>
          <w:p w14:paraId="12C8F549"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Negligible effect on mitochondrial respiration </w:t>
            </w:r>
          </w:p>
        </w:tc>
      </w:tr>
      <w:tr w:rsidR="00CD51B9" w:rsidRPr="00361DD3" w14:paraId="21CB760C" w14:textId="77777777" w:rsidTr="007512B7">
        <w:tc>
          <w:tcPr>
            <w:tcW w:w="1990" w:type="dxa"/>
            <w:vMerge/>
          </w:tcPr>
          <w:p w14:paraId="5B5A0B2E" w14:textId="77777777" w:rsidR="00CD51B9" w:rsidRPr="007512B7" w:rsidRDefault="00CD51B9" w:rsidP="00E07077">
            <w:pPr>
              <w:pStyle w:val="Tabletextleft"/>
              <w:rPr>
                <w:rFonts w:asciiTheme="minorHAnsi" w:hAnsiTheme="minorHAnsi" w:cstheme="minorHAnsi"/>
              </w:rPr>
            </w:pPr>
          </w:p>
        </w:tc>
        <w:tc>
          <w:tcPr>
            <w:tcW w:w="1980" w:type="dxa"/>
          </w:tcPr>
          <w:p w14:paraId="286BCAAA"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Zebrafish</w:t>
            </w:r>
          </w:p>
          <w:p w14:paraId="4A4AA543"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(Xu </w:t>
            </w:r>
            <w:r w:rsidRPr="007512B7">
              <w:rPr>
                <w:rFonts w:asciiTheme="minorHAnsi" w:hAnsiTheme="minorHAnsi" w:cstheme="minorHAnsi"/>
                <w:i/>
                <w:iCs/>
              </w:rPr>
              <w:t>et al.</w:t>
            </w:r>
            <w:r w:rsidRPr="007512B7">
              <w:rPr>
                <w:rFonts w:asciiTheme="minorHAnsi" w:hAnsiTheme="minorHAnsi" w:cstheme="minorHAnsi"/>
              </w:rPr>
              <w:t xml:space="preserve"> 2021)</w:t>
            </w:r>
          </w:p>
        </w:tc>
        <w:tc>
          <w:tcPr>
            <w:tcW w:w="2114" w:type="dxa"/>
          </w:tcPr>
          <w:p w14:paraId="2CB2DC73"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Waterborne; 0.056 -38 </w:t>
            </w:r>
            <w:proofErr w:type="spellStart"/>
            <w:r w:rsidRPr="007512B7">
              <w:rPr>
                <w:rFonts w:asciiTheme="minorHAnsi" w:hAnsiTheme="minorHAnsi" w:cstheme="minorHAnsi"/>
              </w:rPr>
              <w:t>μg</w:t>
            </w:r>
            <w:proofErr w:type="spellEnd"/>
            <w:r w:rsidRPr="007512B7">
              <w:rPr>
                <w:rFonts w:asciiTheme="minorHAnsi" w:hAnsiTheme="minorHAnsi" w:cstheme="minorHAnsi"/>
              </w:rPr>
              <w:t xml:space="preserve">/L 42 days post fertilization </w:t>
            </w:r>
          </w:p>
          <w:p w14:paraId="64BFEAD6" w14:textId="77777777" w:rsidR="00CD51B9" w:rsidRPr="007512B7" w:rsidRDefault="00CD51B9" w:rsidP="00E07077">
            <w:pPr>
              <w:pStyle w:val="Tabletextleft"/>
              <w:rPr>
                <w:rFonts w:asciiTheme="minorHAnsi" w:hAnsiTheme="minorHAnsi" w:cstheme="minorHAnsi"/>
              </w:rPr>
            </w:pPr>
          </w:p>
        </w:tc>
        <w:tc>
          <w:tcPr>
            <w:tcW w:w="2976" w:type="dxa"/>
          </w:tcPr>
          <w:p w14:paraId="31A10363"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Decreased female to male ratio from 2.3 </w:t>
            </w:r>
            <w:proofErr w:type="spellStart"/>
            <w:r w:rsidRPr="007512B7">
              <w:rPr>
                <w:rFonts w:asciiTheme="minorHAnsi" w:hAnsiTheme="minorHAnsi" w:cstheme="minorHAnsi"/>
              </w:rPr>
              <w:t>μg</w:t>
            </w:r>
            <w:proofErr w:type="spellEnd"/>
            <w:r w:rsidRPr="007512B7">
              <w:rPr>
                <w:rFonts w:asciiTheme="minorHAnsi" w:hAnsiTheme="minorHAnsi" w:cstheme="minorHAnsi"/>
              </w:rPr>
              <w:t xml:space="preserve">/L </w:t>
            </w:r>
          </w:p>
          <w:p w14:paraId="090BB92C"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Increased expression of estrogen receptors </w:t>
            </w:r>
            <w:r w:rsidRPr="007512B7">
              <w:rPr>
                <w:rFonts w:asciiTheme="minorHAnsi" w:hAnsiTheme="minorHAnsi" w:cstheme="minorHAnsi"/>
                <w:i/>
                <w:iCs/>
              </w:rPr>
              <w:t>esr2a</w:t>
            </w:r>
            <w:r w:rsidRPr="007512B7">
              <w:rPr>
                <w:rFonts w:asciiTheme="minorHAnsi" w:hAnsiTheme="minorHAnsi" w:cstheme="minorHAnsi"/>
              </w:rPr>
              <w:t xml:space="preserve"> and </w:t>
            </w:r>
            <w:r w:rsidRPr="007512B7">
              <w:rPr>
                <w:rFonts w:asciiTheme="minorHAnsi" w:hAnsiTheme="minorHAnsi" w:cstheme="minorHAnsi"/>
                <w:i/>
                <w:iCs/>
              </w:rPr>
              <w:t>vtg2 i</w:t>
            </w:r>
            <w:r w:rsidRPr="007512B7">
              <w:rPr>
                <w:rFonts w:asciiTheme="minorHAnsi" w:hAnsiTheme="minorHAnsi" w:cstheme="minorHAnsi"/>
              </w:rPr>
              <w:t xml:space="preserve">n the brain and hepatic </w:t>
            </w:r>
            <w:r w:rsidRPr="007512B7">
              <w:rPr>
                <w:rFonts w:asciiTheme="minorHAnsi" w:hAnsiTheme="minorHAnsi" w:cstheme="minorHAnsi"/>
                <w:i/>
                <w:iCs/>
              </w:rPr>
              <w:t>vtg2</w:t>
            </w:r>
            <w:r w:rsidRPr="007512B7">
              <w:rPr>
                <w:rFonts w:asciiTheme="minorHAnsi" w:hAnsiTheme="minorHAnsi" w:cstheme="minorHAnsi"/>
              </w:rPr>
              <w:t xml:space="preserve"> at HD</w:t>
            </w:r>
          </w:p>
        </w:tc>
      </w:tr>
      <w:tr w:rsidR="00CD51B9" w:rsidRPr="00361DD3" w14:paraId="421C1E4D" w14:textId="77777777" w:rsidTr="007512B7">
        <w:tc>
          <w:tcPr>
            <w:tcW w:w="1990" w:type="dxa"/>
            <w:vMerge/>
          </w:tcPr>
          <w:p w14:paraId="157C7285" w14:textId="77777777" w:rsidR="00CD51B9" w:rsidRPr="007512B7" w:rsidRDefault="00CD51B9" w:rsidP="00E07077">
            <w:pPr>
              <w:pStyle w:val="Tabletextleft"/>
              <w:rPr>
                <w:rFonts w:asciiTheme="minorHAnsi" w:hAnsiTheme="minorHAnsi" w:cstheme="minorHAnsi"/>
              </w:rPr>
            </w:pPr>
          </w:p>
        </w:tc>
        <w:tc>
          <w:tcPr>
            <w:tcW w:w="1980" w:type="dxa"/>
          </w:tcPr>
          <w:p w14:paraId="624208B8" w14:textId="77777777" w:rsidR="00CD51B9" w:rsidRPr="007512B7" w:rsidRDefault="00CD51B9" w:rsidP="00E07077">
            <w:pPr>
              <w:pStyle w:val="Tabletextleft"/>
              <w:ind w:left="0"/>
              <w:rPr>
                <w:rFonts w:asciiTheme="minorHAnsi" w:hAnsiTheme="minorHAnsi" w:cstheme="minorHAnsi"/>
              </w:rPr>
            </w:pPr>
            <w:r w:rsidRPr="007512B7">
              <w:rPr>
                <w:rFonts w:asciiTheme="minorHAnsi" w:hAnsiTheme="minorHAnsi" w:cstheme="minorHAnsi"/>
              </w:rPr>
              <w:t>Zebrafish</w:t>
            </w:r>
          </w:p>
          <w:p w14:paraId="1A5561B9" w14:textId="77777777" w:rsidR="00CD51B9" w:rsidRPr="007512B7" w:rsidRDefault="00CD51B9" w:rsidP="00E07077">
            <w:pPr>
              <w:pStyle w:val="Tabletextleft"/>
              <w:ind w:left="0"/>
              <w:rPr>
                <w:rFonts w:asciiTheme="minorHAnsi" w:hAnsiTheme="minorHAnsi" w:cstheme="minorHAnsi"/>
              </w:rPr>
            </w:pPr>
            <w:r w:rsidRPr="007512B7">
              <w:rPr>
                <w:rFonts w:asciiTheme="minorHAnsi" w:hAnsiTheme="minorHAnsi" w:cstheme="minorHAnsi"/>
              </w:rPr>
              <w:t xml:space="preserve">(Bai </w:t>
            </w:r>
            <w:r w:rsidRPr="007512B7">
              <w:rPr>
                <w:rFonts w:asciiTheme="minorHAnsi" w:hAnsiTheme="minorHAnsi" w:cstheme="minorHAnsi"/>
                <w:i/>
                <w:iCs/>
              </w:rPr>
              <w:t>et al.</w:t>
            </w:r>
            <w:r w:rsidRPr="007512B7">
              <w:rPr>
                <w:rFonts w:asciiTheme="minorHAnsi" w:hAnsiTheme="minorHAnsi" w:cstheme="minorHAnsi"/>
              </w:rPr>
              <w:t xml:space="preserve"> 2023)</w:t>
            </w:r>
          </w:p>
        </w:tc>
        <w:tc>
          <w:tcPr>
            <w:tcW w:w="2114" w:type="dxa"/>
          </w:tcPr>
          <w:p w14:paraId="5892B8BE"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Waterborne; 6 h post fertilisation to adulthood(~5months); 10 </w:t>
            </w:r>
            <w:proofErr w:type="spellStart"/>
            <w:r w:rsidRPr="007512B7">
              <w:rPr>
                <w:rFonts w:asciiTheme="minorHAnsi" w:hAnsiTheme="minorHAnsi" w:cstheme="minorHAnsi"/>
              </w:rPr>
              <w:t>μg</w:t>
            </w:r>
            <w:proofErr w:type="spellEnd"/>
            <w:r w:rsidRPr="007512B7">
              <w:rPr>
                <w:rFonts w:asciiTheme="minorHAnsi" w:hAnsiTheme="minorHAnsi" w:cstheme="minorHAnsi"/>
              </w:rPr>
              <w:t xml:space="preserve">/mL (0.04 </w:t>
            </w:r>
            <w:proofErr w:type="spellStart"/>
            <w:r w:rsidRPr="007512B7">
              <w:rPr>
                <w:rFonts w:asciiTheme="minorHAnsi" w:hAnsiTheme="minorHAnsi" w:cstheme="minorHAnsi"/>
              </w:rPr>
              <w:t>μM</w:t>
            </w:r>
            <w:proofErr w:type="spellEnd"/>
            <w:r w:rsidRPr="007512B7">
              <w:rPr>
                <w:rFonts w:asciiTheme="minorHAnsi" w:hAnsiTheme="minorHAnsi" w:cstheme="minorHAnsi"/>
              </w:rPr>
              <w:t xml:space="preserve">) </w:t>
            </w:r>
          </w:p>
        </w:tc>
        <w:tc>
          <w:tcPr>
            <w:tcW w:w="2976" w:type="dxa"/>
          </w:tcPr>
          <w:p w14:paraId="0FC63641"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Reduced social aggression, learning and memory in </w:t>
            </w:r>
            <w:r w:rsidRPr="007512B7">
              <w:rPr>
                <w:rFonts w:asciiTheme="minorHAnsi" w:eastAsia="Cambria" w:hAnsiTheme="minorHAnsi" w:cstheme="minorHAnsi"/>
                <w:kern w:val="0"/>
              </w:rPr>
              <w:t>♀</w:t>
            </w:r>
            <w:r w:rsidRPr="007512B7">
              <w:rPr>
                <w:rFonts w:asciiTheme="minorHAnsi" w:hAnsiTheme="minorHAnsi" w:cstheme="minorHAnsi"/>
              </w:rPr>
              <w:t xml:space="preserve">; cognition deficits in </w:t>
            </w:r>
            <w:r w:rsidRPr="007512B7">
              <w:rPr>
                <w:rFonts w:asciiTheme="minorHAnsi" w:eastAsia="Cambria" w:hAnsiTheme="minorHAnsi" w:cstheme="minorHAnsi"/>
                <w:kern w:val="0"/>
              </w:rPr>
              <w:t>♀</w:t>
            </w:r>
            <w:r w:rsidRPr="007512B7">
              <w:rPr>
                <w:rFonts w:asciiTheme="minorHAnsi" w:hAnsiTheme="minorHAnsi" w:cstheme="minorHAnsi"/>
              </w:rPr>
              <w:t xml:space="preserve"> correlated with neurotoxicity and increased brain cell apoptosis. Reduced social preference in </w:t>
            </w:r>
            <w:r w:rsidRPr="007512B7">
              <w:rPr>
                <w:rFonts w:asciiTheme="minorHAnsi" w:eastAsia="Cambria" w:hAnsiTheme="minorHAnsi" w:cstheme="minorHAnsi"/>
                <w:kern w:val="0"/>
              </w:rPr>
              <w:t>♂</w:t>
            </w:r>
            <w:r w:rsidRPr="007512B7">
              <w:rPr>
                <w:rFonts w:asciiTheme="minorHAnsi" w:hAnsiTheme="minorHAnsi" w:cstheme="minorHAnsi"/>
              </w:rPr>
              <w:t xml:space="preserve"> and </w:t>
            </w:r>
            <w:r w:rsidRPr="007512B7">
              <w:rPr>
                <w:rFonts w:asciiTheme="minorHAnsi" w:eastAsia="Cambria" w:hAnsiTheme="minorHAnsi" w:cstheme="minorHAnsi"/>
                <w:kern w:val="0"/>
              </w:rPr>
              <w:t>♀</w:t>
            </w:r>
            <w:r w:rsidRPr="007512B7">
              <w:rPr>
                <w:rFonts w:asciiTheme="minorHAnsi" w:hAnsiTheme="minorHAnsi" w:cstheme="minorHAnsi"/>
              </w:rPr>
              <w:t>.</w:t>
            </w:r>
          </w:p>
        </w:tc>
      </w:tr>
      <w:tr w:rsidR="00CD51B9" w:rsidRPr="00361DD3" w14:paraId="2E23DF4E" w14:textId="77777777" w:rsidTr="007512B7">
        <w:tc>
          <w:tcPr>
            <w:tcW w:w="1990" w:type="dxa"/>
            <w:vMerge/>
          </w:tcPr>
          <w:p w14:paraId="4BC33CC6" w14:textId="77777777" w:rsidR="00CD51B9" w:rsidRPr="007512B7" w:rsidRDefault="00CD51B9" w:rsidP="00E07077">
            <w:pPr>
              <w:pStyle w:val="Tabletextleft"/>
              <w:rPr>
                <w:rFonts w:asciiTheme="minorHAnsi" w:hAnsiTheme="minorHAnsi" w:cstheme="minorHAnsi"/>
              </w:rPr>
            </w:pPr>
          </w:p>
        </w:tc>
        <w:tc>
          <w:tcPr>
            <w:tcW w:w="1980" w:type="dxa"/>
          </w:tcPr>
          <w:p w14:paraId="1BFF58BD"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Sprague-Dawley rats</w:t>
            </w:r>
          </w:p>
        </w:tc>
        <w:tc>
          <w:tcPr>
            <w:tcW w:w="2114" w:type="dxa"/>
          </w:tcPr>
          <w:p w14:paraId="2DFC1836"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Dermal application; 30 days; 5 mg/kg/day</w:t>
            </w:r>
          </w:p>
        </w:tc>
        <w:tc>
          <w:tcPr>
            <w:tcW w:w="2976" w:type="dxa"/>
          </w:tcPr>
          <w:p w14:paraId="3B39A962"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No changes in behavioural tests (locomotor and motor co-ordination).</w:t>
            </w:r>
          </w:p>
        </w:tc>
      </w:tr>
      <w:tr w:rsidR="00CD51B9" w:rsidRPr="00361DD3" w14:paraId="2D668215" w14:textId="77777777" w:rsidTr="007512B7">
        <w:tc>
          <w:tcPr>
            <w:tcW w:w="1990" w:type="dxa"/>
            <w:vMerge/>
          </w:tcPr>
          <w:p w14:paraId="313A90D9" w14:textId="77777777" w:rsidR="00CD51B9" w:rsidRPr="007512B7" w:rsidRDefault="00CD51B9" w:rsidP="00E07077">
            <w:pPr>
              <w:pStyle w:val="Tabletextleft"/>
              <w:rPr>
                <w:rFonts w:asciiTheme="minorHAnsi" w:hAnsiTheme="minorHAnsi" w:cstheme="minorHAnsi"/>
              </w:rPr>
            </w:pPr>
          </w:p>
        </w:tc>
        <w:tc>
          <w:tcPr>
            <w:tcW w:w="1980" w:type="dxa"/>
          </w:tcPr>
          <w:p w14:paraId="0814E2DA" w14:textId="1DEF65AF" w:rsidR="00CD51B9" w:rsidRPr="007512B7" w:rsidRDefault="00CD51B9" w:rsidP="00BA4549">
            <w:pPr>
              <w:pStyle w:val="Tabletextleft"/>
              <w:rPr>
                <w:rFonts w:asciiTheme="minorHAnsi" w:hAnsiTheme="minorHAnsi" w:cstheme="minorHAnsi"/>
              </w:rPr>
            </w:pPr>
            <w:r w:rsidRPr="007512B7">
              <w:rPr>
                <w:rFonts w:asciiTheme="minorHAnsi" w:hAnsiTheme="minorHAnsi" w:cstheme="minorHAnsi"/>
              </w:rPr>
              <w:t>Rat primary cortical astrocytes and neurones</w:t>
            </w:r>
          </w:p>
        </w:tc>
        <w:tc>
          <w:tcPr>
            <w:tcW w:w="2114" w:type="dxa"/>
          </w:tcPr>
          <w:p w14:paraId="244F7F6B"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1–7 days; 1–10 </w:t>
            </w:r>
            <w:proofErr w:type="spellStart"/>
            <w:r w:rsidRPr="007512B7">
              <w:rPr>
                <w:rFonts w:asciiTheme="minorHAnsi" w:hAnsiTheme="minorHAnsi" w:cstheme="minorHAnsi"/>
              </w:rPr>
              <w:t>μg</w:t>
            </w:r>
            <w:proofErr w:type="spellEnd"/>
            <w:r w:rsidRPr="007512B7">
              <w:rPr>
                <w:rFonts w:asciiTheme="minorHAnsi" w:hAnsiTheme="minorHAnsi" w:cstheme="minorHAnsi"/>
              </w:rPr>
              <w:t>/mL</w:t>
            </w:r>
          </w:p>
        </w:tc>
        <w:tc>
          <w:tcPr>
            <w:tcW w:w="2976" w:type="dxa"/>
          </w:tcPr>
          <w:p w14:paraId="18D7E485"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Decreased cell viability of neurons but not of astrocytes.</w:t>
            </w:r>
          </w:p>
        </w:tc>
      </w:tr>
      <w:tr w:rsidR="00CD51B9" w:rsidRPr="00361DD3" w14:paraId="2A4E7246" w14:textId="77777777" w:rsidTr="007512B7">
        <w:tc>
          <w:tcPr>
            <w:tcW w:w="1990" w:type="dxa"/>
            <w:vMerge/>
          </w:tcPr>
          <w:p w14:paraId="50992935" w14:textId="77777777" w:rsidR="00CD51B9" w:rsidRPr="007512B7" w:rsidRDefault="00CD51B9" w:rsidP="00E07077">
            <w:pPr>
              <w:pStyle w:val="Tabletextleft"/>
              <w:rPr>
                <w:rFonts w:asciiTheme="minorHAnsi" w:hAnsiTheme="minorHAnsi" w:cstheme="minorHAnsi"/>
              </w:rPr>
            </w:pPr>
          </w:p>
        </w:tc>
        <w:tc>
          <w:tcPr>
            <w:tcW w:w="1980" w:type="dxa"/>
          </w:tcPr>
          <w:p w14:paraId="1ECEBE55" w14:textId="77777777" w:rsidR="00CD51B9" w:rsidRPr="007512B7" w:rsidRDefault="00CD51B9" w:rsidP="00E07077">
            <w:pPr>
              <w:pStyle w:val="Tabletextleft"/>
              <w:rPr>
                <w:rFonts w:asciiTheme="minorHAnsi" w:hAnsiTheme="minorHAnsi" w:cstheme="minorHAnsi"/>
              </w:rPr>
            </w:pPr>
            <w:proofErr w:type="spellStart"/>
            <w:r w:rsidRPr="007512B7">
              <w:rPr>
                <w:rFonts w:asciiTheme="minorHAnsi" w:hAnsiTheme="minorHAnsi" w:cstheme="minorHAnsi"/>
              </w:rPr>
              <w:t>Kumming</w:t>
            </w:r>
            <w:proofErr w:type="spellEnd"/>
            <w:r w:rsidRPr="007512B7">
              <w:rPr>
                <w:rFonts w:asciiTheme="minorHAnsi" w:hAnsiTheme="minorHAnsi" w:cstheme="minorHAnsi"/>
              </w:rPr>
              <w:t xml:space="preserve"> (KM) mice </w:t>
            </w:r>
          </w:p>
          <w:p w14:paraId="7C6881D1"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(Zhang </w:t>
            </w:r>
            <w:r w:rsidRPr="007512B7">
              <w:rPr>
                <w:rFonts w:asciiTheme="minorHAnsi" w:hAnsiTheme="minorHAnsi" w:cstheme="minorHAnsi"/>
                <w:i/>
                <w:iCs/>
              </w:rPr>
              <w:t>et al.</w:t>
            </w:r>
            <w:r w:rsidRPr="007512B7">
              <w:rPr>
                <w:rFonts w:asciiTheme="minorHAnsi" w:hAnsiTheme="minorHAnsi" w:cstheme="minorHAnsi"/>
              </w:rPr>
              <w:t xml:space="preserve"> 2021)</w:t>
            </w:r>
          </w:p>
        </w:tc>
        <w:tc>
          <w:tcPr>
            <w:tcW w:w="2114" w:type="dxa"/>
          </w:tcPr>
          <w:p w14:paraId="50491EF1" w14:textId="77777777" w:rsidR="00CD51B9" w:rsidRPr="007512B7" w:rsidRDefault="00CD51B9" w:rsidP="00E07077">
            <w:pPr>
              <w:pStyle w:val="Tabletextleft"/>
              <w:rPr>
                <w:rFonts w:asciiTheme="minorHAnsi" w:hAnsiTheme="minorHAnsi" w:cstheme="minorHAnsi"/>
              </w:rPr>
            </w:pPr>
            <w:proofErr w:type="gramStart"/>
            <w:r w:rsidRPr="007512B7">
              <w:rPr>
                <w:rFonts w:asciiTheme="minorHAnsi" w:hAnsiTheme="minorHAnsi" w:cstheme="minorHAnsi"/>
                <w:i/>
                <w:iCs/>
              </w:rPr>
              <w:t>In vitro</w:t>
            </w:r>
            <w:r w:rsidRPr="007512B7">
              <w:rPr>
                <w:rFonts w:asciiTheme="minorHAnsi" w:hAnsiTheme="minorHAnsi" w:cstheme="minorHAnsi"/>
              </w:rPr>
              <w:t>;</w:t>
            </w:r>
            <w:proofErr w:type="gramEnd"/>
            <w:r w:rsidRPr="007512B7">
              <w:rPr>
                <w:rFonts w:asciiTheme="minorHAnsi" w:hAnsiTheme="minorHAnsi" w:cstheme="minorHAnsi"/>
              </w:rPr>
              <w:t xml:space="preserve"> Sertoli cells; 24 h; 5-150 </w:t>
            </w:r>
            <w:proofErr w:type="spellStart"/>
            <w:r w:rsidRPr="007512B7">
              <w:rPr>
                <w:rFonts w:asciiTheme="minorHAnsi" w:hAnsiTheme="minorHAnsi" w:cstheme="minorHAnsi"/>
              </w:rPr>
              <w:t>μM</w:t>
            </w:r>
            <w:proofErr w:type="spellEnd"/>
            <w:r w:rsidRPr="007512B7">
              <w:rPr>
                <w:rFonts w:asciiTheme="minorHAnsi" w:hAnsiTheme="minorHAnsi" w:cstheme="minorHAnsi"/>
              </w:rPr>
              <w:t xml:space="preserve"> </w:t>
            </w:r>
          </w:p>
        </w:tc>
        <w:tc>
          <w:tcPr>
            <w:tcW w:w="2976" w:type="dxa"/>
          </w:tcPr>
          <w:p w14:paraId="2034F2AC"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Impaired cell viability and disturbed cell morphology from 100 </w:t>
            </w:r>
            <w:proofErr w:type="spellStart"/>
            <w:r w:rsidRPr="007512B7">
              <w:rPr>
                <w:rFonts w:asciiTheme="minorHAnsi" w:hAnsiTheme="minorHAnsi" w:cstheme="minorHAnsi"/>
              </w:rPr>
              <w:t>μM</w:t>
            </w:r>
            <w:proofErr w:type="spellEnd"/>
            <w:r w:rsidRPr="007512B7">
              <w:rPr>
                <w:rFonts w:asciiTheme="minorHAnsi" w:hAnsiTheme="minorHAnsi" w:cstheme="minorHAnsi"/>
              </w:rPr>
              <w:t xml:space="preserve"> and increased Bcl-2 levels.  Reduced expression of Rictor (component of mTORC2 complex) from 50 </w:t>
            </w:r>
            <w:proofErr w:type="spellStart"/>
            <w:r w:rsidRPr="007512B7">
              <w:rPr>
                <w:rFonts w:asciiTheme="minorHAnsi" w:hAnsiTheme="minorHAnsi" w:cstheme="minorHAnsi"/>
              </w:rPr>
              <w:t>μM</w:t>
            </w:r>
            <w:proofErr w:type="spellEnd"/>
            <w:r w:rsidRPr="007512B7">
              <w:rPr>
                <w:rFonts w:asciiTheme="minorHAnsi" w:hAnsiTheme="minorHAnsi" w:cstheme="minorHAnsi"/>
              </w:rPr>
              <w:t xml:space="preserve"> </w:t>
            </w:r>
          </w:p>
        </w:tc>
      </w:tr>
      <w:tr w:rsidR="00CD51B9" w:rsidRPr="00361DD3" w14:paraId="04D712E2" w14:textId="77777777" w:rsidTr="007512B7">
        <w:tc>
          <w:tcPr>
            <w:tcW w:w="1990" w:type="dxa"/>
            <w:vMerge/>
          </w:tcPr>
          <w:p w14:paraId="1E82AD57" w14:textId="77777777" w:rsidR="00CD51B9" w:rsidRPr="007512B7" w:rsidRDefault="00CD51B9" w:rsidP="00E07077">
            <w:pPr>
              <w:pStyle w:val="Tabletextleft"/>
              <w:rPr>
                <w:rFonts w:asciiTheme="minorHAnsi" w:hAnsiTheme="minorHAnsi" w:cstheme="minorHAnsi"/>
              </w:rPr>
            </w:pPr>
          </w:p>
        </w:tc>
        <w:tc>
          <w:tcPr>
            <w:tcW w:w="1980" w:type="dxa"/>
          </w:tcPr>
          <w:p w14:paraId="1640A824"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SH-SY5Y neuroblastoma cell line</w:t>
            </w:r>
          </w:p>
        </w:tc>
        <w:tc>
          <w:tcPr>
            <w:tcW w:w="2114" w:type="dxa"/>
          </w:tcPr>
          <w:p w14:paraId="497F3622"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72 h; 10</w:t>
            </w:r>
            <w:r w:rsidRPr="007512B7">
              <w:rPr>
                <w:rFonts w:asciiTheme="minorHAnsi" w:hAnsiTheme="minorHAnsi" w:cstheme="minorHAnsi"/>
                <w:vertAlign w:val="superscript"/>
              </w:rPr>
              <w:t>−8</w:t>
            </w:r>
            <w:r w:rsidRPr="007512B7">
              <w:rPr>
                <w:rFonts w:asciiTheme="minorHAnsi" w:hAnsiTheme="minorHAnsi" w:cstheme="minorHAnsi"/>
              </w:rPr>
              <w:t>–10</w:t>
            </w:r>
            <w:r w:rsidRPr="007512B7">
              <w:rPr>
                <w:rFonts w:asciiTheme="minorHAnsi" w:hAnsiTheme="minorHAnsi" w:cstheme="minorHAnsi"/>
                <w:vertAlign w:val="superscript"/>
              </w:rPr>
              <w:t>−4</w:t>
            </w:r>
            <w:r w:rsidRPr="007512B7">
              <w:rPr>
                <w:rFonts w:asciiTheme="minorHAnsi" w:hAnsiTheme="minorHAnsi" w:cstheme="minorHAnsi"/>
              </w:rPr>
              <w:t>M</w:t>
            </w:r>
          </w:p>
        </w:tc>
        <w:tc>
          <w:tcPr>
            <w:tcW w:w="2976" w:type="dxa"/>
          </w:tcPr>
          <w:p w14:paraId="304C9403"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Decreased cell viability and increased caspase-3 activity.</w:t>
            </w:r>
          </w:p>
        </w:tc>
      </w:tr>
      <w:tr w:rsidR="00CD51B9" w:rsidRPr="00361DD3" w14:paraId="130C34E9" w14:textId="77777777" w:rsidTr="007512B7">
        <w:trPr>
          <w:trHeight w:val="714"/>
        </w:trPr>
        <w:tc>
          <w:tcPr>
            <w:tcW w:w="1990" w:type="dxa"/>
            <w:vMerge w:val="restart"/>
          </w:tcPr>
          <w:p w14:paraId="49FC08C5" w14:textId="77777777" w:rsidR="00CD51B9" w:rsidRPr="007512B7" w:rsidRDefault="00CD51B9" w:rsidP="00E07077">
            <w:pPr>
              <w:pStyle w:val="Tabletextleft"/>
              <w:ind w:left="0"/>
              <w:jc w:val="center"/>
              <w:rPr>
                <w:rFonts w:asciiTheme="minorHAnsi" w:hAnsiTheme="minorHAnsi" w:cstheme="minorHAnsi"/>
              </w:rPr>
            </w:pPr>
            <w:r w:rsidRPr="007512B7">
              <w:rPr>
                <w:rFonts w:asciiTheme="minorHAnsi" w:hAnsiTheme="minorHAnsi" w:cstheme="minorHAnsi"/>
              </w:rPr>
              <w:t>Octocrylene</w:t>
            </w:r>
          </w:p>
        </w:tc>
        <w:tc>
          <w:tcPr>
            <w:tcW w:w="1980" w:type="dxa"/>
          </w:tcPr>
          <w:p w14:paraId="64E94EE5"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Zebrafish</w:t>
            </w:r>
          </w:p>
        </w:tc>
        <w:tc>
          <w:tcPr>
            <w:tcW w:w="2114" w:type="dxa"/>
          </w:tcPr>
          <w:p w14:paraId="6584A585"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Waterborne; 14 days; 22–383 </w:t>
            </w:r>
            <w:proofErr w:type="spellStart"/>
            <w:r w:rsidRPr="007512B7">
              <w:rPr>
                <w:rFonts w:asciiTheme="minorHAnsi" w:hAnsiTheme="minorHAnsi" w:cstheme="minorHAnsi"/>
              </w:rPr>
              <w:t>μg</w:t>
            </w:r>
            <w:proofErr w:type="spellEnd"/>
            <w:r w:rsidRPr="007512B7">
              <w:rPr>
                <w:rFonts w:asciiTheme="minorHAnsi" w:hAnsiTheme="minorHAnsi" w:cstheme="minorHAnsi"/>
              </w:rPr>
              <w:t>/L</w:t>
            </w:r>
          </w:p>
        </w:tc>
        <w:tc>
          <w:tcPr>
            <w:tcW w:w="2976" w:type="dxa"/>
          </w:tcPr>
          <w:p w14:paraId="2CCEC299"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Impaired expression of genes related with development and metabolism in the brain.</w:t>
            </w:r>
          </w:p>
        </w:tc>
      </w:tr>
      <w:tr w:rsidR="00CD51B9" w:rsidRPr="00361DD3" w14:paraId="4A340304" w14:textId="77777777" w:rsidTr="007512B7">
        <w:tc>
          <w:tcPr>
            <w:tcW w:w="1990" w:type="dxa"/>
            <w:vMerge/>
          </w:tcPr>
          <w:p w14:paraId="56569381" w14:textId="77777777" w:rsidR="00CD51B9" w:rsidRPr="007512B7" w:rsidRDefault="00CD51B9" w:rsidP="00E07077">
            <w:pPr>
              <w:pStyle w:val="Tabletextleft"/>
              <w:rPr>
                <w:rFonts w:asciiTheme="minorHAnsi" w:hAnsiTheme="minorHAnsi" w:cstheme="minorHAnsi"/>
              </w:rPr>
            </w:pPr>
          </w:p>
        </w:tc>
        <w:tc>
          <w:tcPr>
            <w:tcW w:w="1980" w:type="dxa"/>
          </w:tcPr>
          <w:p w14:paraId="526592EE"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Zebrafish</w:t>
            </w:r>
          </w:p>
          <w:p w14:paraId="1DC290DA"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(Meng </w:t>
            </w:r>
            <w:r w:rsidRPr="007512B7">
              <w:rPr>
                <w:rFonts w:asciiTheme="minorHAnsi" w:hAnsiTheme="minorHAnsi" w:cstheme="minorHAnsi"/>
                <w:i/>
                <w:iCs/>
              </w:rPr>
              <w:t>et al.</w:t>
            </w:r>
            <w:r w:rsidRPr="007512B7">
              <w:rPr>
                <w:rFonts w:asciiTheme="minorHAnsi" w:hAnsiTheme="minorHAnsi" w:cstheme="minorHAnsi"/>
              </w:rPr>
              <w:t xml:space="preserve"> 2021)</w:t>
            </w:r>
          </w:p>
        </w:tc>
        <w:tc>
          <w:tcPr>
            <w:tcW w:w="2114" w:type="dxa"/>
          </w:tcPr>
          <w:p w14:paraId="4C3BAD3F"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96 h incubation; hatching rates of zebrafish (50-250uM) </w:t>
            </w:r>
          </w:p>
          <w:p w14:paraId="2872309D" w14:textId="77777777" w:rsidR="00CD51B9" w:rsidRPr="007512B7" w:rsidRDefault="00CD51B9" w:rsidP="00E07077">
            <w:pPr>
              <w:pStyle w:val="Tabletextleft"/>
              <w:rPr>
                <w:rFonts w:asciiTheme="minorHAnsi" w:hAnsiTheme="minorHAnsi" w:cstheme="minorHAnsi"/>
                <w:i/>
                <w:iCs/>
              </w:rPr>
            </w:pPr>
            <w:r w:rsidRPr="007512B7">
              <w:rPr>
                <w:rFonts w:asciiTheme="minorHAnsi" w:hAnsiTheme="minorHAnsi" w:cstheme="minorHAnsi"/>
              </w:rPr>
              <w:t>96 h incubation; larvae death and zebra fish liver cell line (ZFL) – concentration range not reported.</w:t>
            </w:r>
          </w:p>
          <w:p w14:paraId="3FBFD200" w14:textId="77777777" w:rsidR="00CD51B9" w:rsidRPr="007512B7" w:rsidRDefault="00CD51B9" w:rsidP="00E07077">
            <w:pPr>
              <w:pStyle w:val="Tabletextleft"/>
              <w:rPr>
                <w:rFonts w:asciiTheme="minorHAnsi" w:hAnsiTheme="minorHAnsi" w:cstheme="minorHAnsi"/>
                <w:i/>
                <w:iCs/>
              </w:rPr>
            </w:pPr>
          </w:p>
        </w:tc>
        <w:tc>
          <w:tcPr>
            <w:tcW w:w="2976" w:type="dxa"/>
          </w:tcPr>
          <w:p w14:paraId="3CE8111C"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Impaired hatching from 200 </w:t>
            </w:r>
            <w:proofErr w:type="spellStart"/>
            <w:r w:rsidRPr="007512B7">
              <w:rPr>
                <w:rFonts w:asciiTheme="minorHAnsi" w:hAnsiTheme="minorHAnsi" w:cstheme="minorHAnsi"/>
              </w:rPr>
              <w:t>μM</w:t>
            </w:r>
            <w:proofErr w:type="spellEnd"/>
            <w:r w:rsidRPr="007512B7">
              <w:rPr>
                <w:rFonts w:asciiTheme="minorHAnsi" w:hAnsiTheme="minorHAnsi" w:cstheme="minorHAnsi"/>
              </w:rPr>
              <w:t xml:space="preserve"> and increased larvae death (LC</w:t>
            </w:r>
            <w:r w:rsidRPr="007512B7">
              <w:rPr>
                <w:rFonts w:asciiTheme="minorHAnsi" w:hAnsiTheme="minorHAnsi" w:cstheme="minorHAnsi"/>
                <w:vertAlign w:val="subscript"/>
              </w:rPr>
              <w:t xml:space="preserve">50 </w:t>
            </w:r>
            <w:r w:rsidRPr="007512B7">
              <w:rPr>
                <w:rFonts w:asciiTheme="minorHAnsi" w:hAnsiTheme="minorHAnsi" w:cstheme="minorHAnsi"/>
              </w:rPr>
              <w:t xml:space="preserve">= 251.8 </w:t>
            </w:r>
            <w:proofErr w:type="spellStart"/>
            <w:r w:rsidRPr="007512B7">
              <w:rPr>
                <w:rFonts w:asciiTheme="minorHAnsi" w:hAnsiTheme="minorHAnsi" w:cstheme="minorHAnsi"/>
              </w:rPr>
              <w:t>μ</w:t>
            </w:r>
            <w:proofErr w:type="gramStart"/>
            <w:r w:rsidRPr="007512B7">
              <w:rPr>
                <w:rFonts w:asciiTheme="minorHAnsi" w:hAnsiTheme="minorHAnsi" w:cstheme="minorHAnsi"/>
              </w:rPr>
              <w:t>M</w:t>
            </w:r>
            <w:proofErr w:type="spellEnd"/>
            <w:r w:rsidRPr="007512B7">
              <w:rPr>
                <w:rFonts w:asciiTheme="minorHAnsi" w:hAnsiTheme="minorHAnsi" w:cstheme="minorHAnsi"/>
              </w:rPr>
              <w:t xml:space="preserve"> )</w:t>
            </w:r>
            <w:proofErr w:type="gramEnd"/>
          </w:p>
          <w:p w14:paraId="2DE5211C"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Increased cytotoxicity (96 h LC</w:t>
            </w:r>
            <w:r w:rsidRPr="007512B7">
              <w:rPr>
                <w:rFonts w:asciiTheme="minorHAnsi" w:hAnsiTheme="minorHAnsi" w:cstheme="minorHAnsi"/>
                <w:vertAlign w:val="subscript"/>
              </w:rPr>
              <w:t>50</w:t>
            </w:r>
            <w:r w:rsidRPr="007512B7">
              <w:rPr>
                <w:rFonts w:asciiTheme="minorHAnsi" w:hAnsiTheme="minorHAnsi" w:cstheme="minorHAnsi"/>
              </w:rPr>
              <w:t xml:space="preserve"> = 5.5 </w:t>
            </w:r>
            <w:proofErr w:type="spellStart"/>
            <w:r w:rsidRPr="007512B7">
              <w:rPr>
                <w:rFonts w:asciiTheme="minorHAnsi" w:hAnsiTheme="minorHAnsi" w:cstheme="minorHAnsi"/>
              </w:rPr>
              <w:t>μM</w:t>
            </w:r>
            <w:proofErr w:type="spellEnd"/>
            <w:r w:rsidRPr="007512B7">
              <w:rPr>
                <w:rFonts w:asciiTheme="minorHAnsi" w:hAnsiTheme="minorHAnsi" w:cstheme="minorHAnsi"/>
              </w:rPr>
              <w:t xml:space="preserve">) and expression of </w:t>
            </w:r>
            <w:r w:rsidRPr="007512B7">
              <w:rPr>
                <w:rFonts w:asciiTheme="minorHAnsi" w:hAnsiTheme="minorHAnsi" w:cstheme="minorHAnsi"/>
                <w:i/>
                <w:iCs/>
              </w:rPr>
              <w:t xml:space="preserve">cyp1a, cyp3a65, </w:t>
            </w:r>
            <w:r w:rsidRPr="007512B7">
              <w:rPr>
                <w:rFonts w:asciiTheme="minorHAnsi" w:hAnsiTheme="minorHAnsi" w:cstheme="minorHAnsi"/>
              </w:rPr>
              <w:t>estrogen receptors (</w:t>
            </w:r>
            <w:r w:rsidRPr="007512B7">
              <w:rPr>
                <w:rFonts w:asciiTheme="minorHAnsi" w:hAnsiTheme="minorHAnsi" w:cstheme="minorHAnsi"/>
                <w:i/>
                <w:iCs/>
              </w:rPr>
              <w:t xml:space="preserve">erα, erβ1, </w:t>
            </w:r>
            <w:proofErr w:type="spellStart"/>
            <w:r w:rsidRPr="007512B7">
              <w:rPr>
                <w:rFonts w:asciiTheme="minorHAnsi" w:hAnsiTheme="minorHAnsi" w:cstheme="minorHAnsi"/>
                <w:i/>
                <w:iCs/>
              </w:rPr>
              <w:t>gper</w:t>
            </w:r>
            <w:proofErr w:type="spellEnd"/>
            <w:r w:rsidRPr="007512B7">
              <w:rPr>
                <w:rFonts w:asciiTheme="minorHAnsi" w:hAnsiTheme="minorHAnsi" w:cstheme="minorHAnsi"/>
                <w:i/>
                <w:iCs/>
              </w:rPr>
              <w:t>, vtg1</w:t>
            </w:r>
            <w:r w:rsidRPr="007512B7">
              <w:rPr>
                <w:rFonts w:asciiTheme="minorHAnsi" w:hAnsiTheme="minorHAnsi" w:cstheme="minorHAnsi"/>
              </w:rPr>
              <w:t>) and sex determination genes (</w:t>
            </w:r>
            <w:r w:rsidRPr="007512B7">
              <w:rPr>
                <w:rFonts w:asciiTheme="minorHAnsi" w:hAnsiTheme="minorHAnsi" w:cstheme="minorHAnsi"/>
                <w:i/>
                <w:iCs/>
              </w:rPr>
              <w:t>brca2, drtm1, cyp19a sox9a)</w:t>
            </w:r>
            <w:r w:rsidRPr="007512B7">
              <w:rPr>
                <w:rFonts w:asciiTheme="minorHAnsi" w:hAnsiTheme="minorHAnsi" w:cstheme="minorHAnsi"/>
              </w:rPr>
              <w:t xml:space="preserve"> in ZFL at 10% LC</w:t>
            </w:r>
            <w:r w:rsidRPr="007512B7">
              <w:rPr>
                <w:rFonts w:asciiTheme="minorHAnsi" w:hAnsiTheme="minorHAnsi" w:cstheme="minorHAnsi"/>
                <w:vertAlign w:val="subscript"/>
              </w:rPr>
              <w:t xml:space="preserve">50 </w:t>
            </w:r>
          </w:p>
        </w:tc>
      </w:tr>
      <w:tr w:rsidR="00CD51B9" w:rsidRPr="00361DD3" w14:paraId="4E502D21" w14:textId="77777777" w:rsidTr="007512B7">
        <w:tc>
          <w:tcPr>
            <w:tcW w:w="1990" w:type="dxa"/>
            <w:vMerge/>
          </w:tcPr>
          <w:p w14:paraId="4864941C" w14:textId="77777777" w:rsidR="00CD51B9" w:rsidRPr="007512B7" w:rsidRDefault="00CD51B9" w:rsidP="00E07077">
            <w:pPr>
              <w:pStyle w:val="Tabletextleft"/>
              <w:rPr>
                <w:rFonts w:asciiTheme="minorHAnsi" w:hAnsiTheme="minorHAnsi" w:cstheme="minorHAnsi"/>
              </w:rPr>
            </w:pPr>
          </w:p>
        </w:tc>
        <w:tc>
          <w:tcPr>
            <w:tcW w:w="1980" w:type="dxa"/>
          </w:tcPr>
          <w:p w14:paraId="5592BFFA"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ICR mice</w:t>
            </w:r>
          </w:p>
          <w:p w14:paraId="79DBB06F"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(Chang </w:t>
            </w:r>
            <w:r w:rsidRPr="007512B7">
              <w:rPr>
                <w:rFonts w:asciiTheme="minorHAnsi" w:hAnsiTheme="minorHAnsi" w:cstheme="minorHAnsi"/>
                <w:i/>
                <w:iCs/>
              </w:rPr>
              <w:t>et al.</w:t>
            </w:r>
            <w:r w:rsidRPr="007512B7">
              <w:rPr>
                <w:rFonts w:asciiTheme="minorHAnsi" w:hAnsiTheme="minorHAnsi" w:cstheme="minorHAnsi"/>
              </w:rPr>
              <w:t xml:space="preserve"> 2022)</w:t>
            </w:r>
          </w:p>
        </w:tc>
        <w:tc>
          <w:tcPr>
            <w:tcW w:w="2114" w:type="dxa"/>
          </w:tcPr>
          <w:p w14:paraId="7C0C91A0" w14:textId="77777777" w:rsidR="00CD51B9" w:rsidRPr="007512B7" w:rsidRDefault="00CD51B9" w:rsidP="00E07077">
            <w:pPr>
              <w:pStyle w:val="Tabletextleft"/>
              <w:rPr>
                <w:rFonts w:asciiTheme="minorHAnsi" w:hAnsiTheme="minorHAnsi" w:cstheme="minorHAnsi"/>
                <w:i/>
                <w:iCs/>
              </w:rPr>
            </w:pPr>
            <w:proofErr w:type="gramStart"/>
            <w:r w:rsidRPr="007512B7">
              <w:rPr>
                <w:rFonts w:asciiTheme="minorHAnsi" w:hAnsiTheme="minorHAnsi" w:cstheme="minorHAnsi"/>
                <w:i/>
                <w:iCs/>
              </w:rPr>
              <w:t>In vitro;</w:t>
            </w:r>
            <w:proofErr w:type="gramEnd"/>
            <w:r w:rsidRPr="007512B7">
              <w:rPr>
                <w:rFonts w:asciiTheme="minorHAnsi" w:hAnsiTheme="minorHAnsi" w:cstheme="minorHAnsi"/>
                <w:i/>
                <w:iCs/>
              </w:rPr>
              <w:t xml:space="preserve"> </w:t>
            </w:r>
            <w:r w:rsidRPr="007512B7">
              <w:rPr>
                <w:rFonts w:asciiTheme="minorHAnsi" w:hAnsiTheme="minorHAnsi" w:cstheme="minorHAnsi"/>
              </w:rPr>
              <w:t>oocytes incubated until maturation; 8-50</w:t>
            </w:r>
            <w:r w:rsidRPr="007512B7">
              <w:rPr>
                <w:rFonts w:asciiTheme="minorHAnsi" w:hAnsiTheme="minorHAnsi" w:cstheme="minorHAnsi"/>
                <w:i/>
                <w:iCs/>
              </w:rPr>
              <w:t xml:space="preserve"> </w:t>
            </w:r>
            <w:proofErr w:type="spellStart"/>
            <w:r w:rsidRPr="007512B7">
              <w:rPr>
                <w:rFonts w:asciiTheme="minorHAnsi" w:hAnsiTheme="minorHAnsi" w:cstheme="minorHAnsi"/>
              </w:rPr>
              <w:t>nM</w:t>
            </w:r>
            <w:proofErr w:type="spellEnd"/>
          </w:p>
        </w:tc>
        <w:tc>
          <w:tcPr>
            <w:tcW w:w="2976" w:type="dxa"/>
          </w:tcPr>
          <w:p w14:paraId="093B9858"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Disturbed meiotic maturation and reduced oocyte quality from </w:t>
            </w:r>
            <w:r w:rsidRPr="007512B7">
              <w:rPr>
                <w:rFonts w:asciiTheme="minorHAnsi" w:hAnsiTheme="minorHAnsi" w:cstheme="minorHAnsi"/>
              </w:rPr>
              <w:lastRenderedPageBreak/>
              <w:t xml:space="preserve">40 </w:t>
            </w:r>
            <w:proofErr w:type="spellStart"/>
            <w:r w:rsidRPr="007512B7">
              <w:rPr>
                <w:rFonts w:asciiTheme="minorHAnsi" w:hAnsiTheme="minorHAnsi" w:cstheme="minorHAnsi"/>
              </w:rPr>
              <w:t>nM</w:t>
            </w:r>
            <w:proofErr w:type="spellEnd"/>
            <w:r w:rsidRPr="007512B7">
              <w:rPr>
                <w:rFonts w:asciiTheme="minorHAnsi" w:hAnsiTheme="minorHAnsi" w:cstheme="minorHAnsi"/>
              </w:rPr>
              <w:t>, likely due to impaired mitochondrial function.</w:t>
            </w:r>
          </w:p>
        </w:tc>
      </w:tr>
      <w:tr w:rsidR="00CD51B9" w:rsidRPr="00361DD3" w14:paraId="330EDD21" w14:textId="77777777" w:rsidTr="007512B7">
        <w:tc>
          <w:tcPr>
            <w:tcW w:w="1990" w:type="dxa"/>
            <w:vMerge/>
          </w:tcPr>
          <w:p w14:paraId="74E01790" w14:textId="77777777" w:rsidR="00CD51B9" w:rsidRPr="007512B7" w:rsidRDefault="00CD51B9" w:rsidP="00E07077">
            <w:pPr>
              <w:pStyle w:val="Tabletextleft"/>
              <w:jc w:val="center"/>
              <w:rPr>
                <w:rFonts w:asciiTheme="minorHAnsi" w:hAnsiTheme="minorHAnsi" w:cstheme="minorHAnsi"/>
              </w:rPr>
            </w:pPr>
          </w:p>
        </w:tc>
        <w:tc>
          <w:tcPr>
            <w:tcW w:w="1980" w:type="dxa"/>
          </w:tcPr>
          <w:p w14:paraId="53F4E194"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Human bone marrow mesenchymal stem cells</w:t>
            </w:r>
          </w:p>
          <w:p w14:paraId="747EC4C0"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(Ko </w:t>
            </w:r>
            <w:r w:rsidRPr="007512B7">
              <w:rPr>
                <w:rFonts w:asciiTheme="minorHAnsi" w:hAnsiTheme="minorHAnsi" w:cstheme="minorHAnsi"/>
                <w:i/>
                <w:iCs/>
              </w:rPr>
              <w:t>et al.</w:t>
            </w:r>
            <w:r w:rsidRPr="007512B7">
              <w:rPr>
                <w:rFonts w:asciiTheme="minorHAnsi" w:hAnsiTheme="minorHAnsi" w:cstheme="minorHAnsi"/>
              </w:rPr>
              <w:t xml:space="preserve"> 2022)</w:t>
            </w:r>
          </w:p>
        </w:tc>
        <w:tc>
          <w:tcPr>
            <w:tcW w:w="2114" w:type="dxa"/>
          </w:tcPr>
          <w:p w14:paraId="3E4EFFB9" w14:textId="77777777" w:rsidR="00CD51B9" w:rsidRPr="007512B7" w:rsidRDefault="00CD51B9" w:rsidP="00E07077">
            <w:pPr>
              <w:pStyle w:val="Tabletextleft"/>
              <w:rPr>
                <w:rFonts w:asciiTheme="minorHAnsi" w:hAnsiTheme="minorHAnsi" w:cstheme="minorHAnsi"/>
              </w:rPr>
            </w:pPr>
            <w:proofErr w:type="gramStart"/>
            <w:r w:rsidRPr="007512B7">
              <w:rPr>
                <w:rFonts w:asciiTheme="minorHAnsi" w:hAnsiTheme="minorHAnsi" w:cstheme="minorHAnsi"/>
                <w:i/>
                <w:iCs/>
              </w:rPr>
              <w:t>In vitro</w:t>
            </w:r>
            <w:r w:rsidRPr="007512B7">
              <w:rPr>
                <w:rFonts w:asciiTheme="minorHAnsi" w:hAnsiTheme="minorHAnsi" w:cstheme="minorHAnsi"/>
              </w:rPr>
              <w:t>;</w:t>
            </w:r>
            <w:proofErr w:type="gramEnd"/>
            <w:r w:rsidRPr="007512B7">
              <w:rPr>
                <w:rFonts w:asciiTheme="minorHAnsi" w:hAnsiTheme="minorHAnsi" w:cstheme="minorHAnsi"/>
              </w:rPr>
              <w:t xml:space="preserve"> 72h; concentration range was not reported</w:t>
            </w:r>
          </w:p>
        </w:tc>
        <w:tc>
          <w:tcPr>
            <w:tcW w:w="2976" w:type="dxa"/>
          </w:tcPr>
          <w:p w14:paraId="77B52D5A" w14:textId="77777777"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 xml:space="preserve">Octocrylene directly binds to </w:t>
            </w:r>
            <w:proofErr w:type="spellStart"/>
            <w:r w:rsidRPr="007512B7">
              <w:rPr>
                <w:rFonts w:asciiTheme="minorHAnsi" w:hAnsiTheme="minorHAnsi" w:cstheme="minorHAnsi"/>
              </w:rPr>
              <w:t>PPARγ</w:t>
            </w:r>
            <w:proofErr w:type="spellEnd"/>
            <w:r w:rsidRPr="007512B7">
              <w:rPr>
                <w:rFonts w:asciiTheme="minorHAnsi" w:hAnsiTheme="minorHAnsi" w:cstheme="minorHAnsi"/>
              </w:rPr>
              <w:t xml:space="preserve"> with K</w:t>
            </w:r>
            <w:r w:rsidRPr="007512B7">
              <w:rPr>
                <w:rFonts w:asciiTheme="minorHAnsi" w:hAnsiTheme="minorHAnsi" w:cstheme="minorHAnsi"/>
                <w:vertAlign w:val="subscript"/>
              </w:rPr>
              <w:t>i</w:t>
            </w:r>
            <w:r w:rsidRPr="007512B7">
              <w:rPr>
                <w:rFonts w:asciiTheme="minorHAnsi" w:hAnsiTheme="minorHAnsi" w:cstheme="minorHAnsi"/>
              </w:rPr>
              <w:t xml:space="preserve"> = 37.8 </w:t>
            </w:r>
            <w:proofErr w:type="spellStart"/>
            <w:r w:rsidRPr="007512B7">
              <w:rPr>
                <w:rFonts w:asciiTheme="minorHAnsi" w:hAnsiTheme="minorHAnsi" w:cstheme="minorHAnsi"/>
              </w:rPr>
              <w:t>μM</w:t>
            </w:r>
            <w:proofErr w:type="spellEnd"/>
            <w:r w:rsidRPr="007512B7">
              <w:rPr>
                <w:rFonts w:asciiTheme="minorHAnsi" w:hAnsiTheme="minorHAnsi" w:cstheme="minorHAnsi"/>
              </w:rPr>
              <w:t xml:space="preserve"> and acts as a partial agonist </w:t>
            </w:r>
          </w:p>
          <w:p w14:paraId="7C99CB08" w14:textId="39816339" w:rsidR="00CD51B9" w:rsidRPr="007512B7" w:rsidRDefault="00CD51B9" w:rsidP="00E07077">
            <w:pPr>
              <w:pStyle w:val="Tabletextleft"/>
              <w:rPr>
                <w:rFonts w:asciiTheme="minorHAnsi" w:hAnsiTheme="minorHAnsi" w:cstheme="minorHAnsi"/>
              </w:rPr>
            </w:pPr>
            <w:r w:rsidRPr="007512B7">
              <w:rPr>
                <w:rFonts w:asciiTheme="minorHAnsi" w:hAnsiTheme="minorHAnsi" w:cstheme="minorHAnsi"/>
              </w:rPr>
              <w:t>Increased adipogenesis and secretion of adiponectin (</w:t>
            </w:r>
            <w:r w:rsidRPr="007512B7">
              <w:rPr>
                <w:rFonts w:asciiTheme="minorHAnsi" w:eastAsia="Cambria" w:hAnsiTheme="minorHAnsi" w:cstheme="minorHAnsi"/>
                <w:kern w:val="0"/>
              </w:rPr>
              <w:t>EC</w:t>
            </w:r>
            <w:r w:rsidRPr="007512B7">
              <w:rPr>
                <w:rFonts w:asciiTheme="minorHAnsi" w:eastAsia="Cambria" w:hAnsiTheme="minorHAnsi" w:cstheme="minorHAnsi"/>
                <w:kern w:val="0"/>
                <w:vertAlign w:val="subscript"/>
              </w:rPr>
              <w:t>50</w:t>
            </w:r>
            <w:r w:rsidRPr="007512B7">
              <w:rPr>
                <w:rFonts w:asciiTheme="minorHAnsi" w:hAnsiTheme="minorHAnsi" w:cstheme="minorHAnsi"/>
              </w:rPr>
              <w:t xml:space="preserve"> = 29.6 </w:t>
            </w:r>
            <w:proofErr w:type="spellStart"/>
            <w:r w:rsidRPr="007512B7">
              <w:rPr>
                <w:rFonts w:asciiTheme="minorHAnsi" w:hAnsiTheme="minorHAnsi" w:cstheme="minorHAnsi"/>
              </w:rPr>
              <w:t>μM</w:t>
            </w:r>
            <w:proofErr w:type="spellEnd"/>
            <w:r w:rsidRPr="007512B7">
              <w:rPr>
                <w:rFonts w:asciiTheme="minorHAnsi" w:hAnsiTheme="minorHAnsi" w:cstheme="minorHAnsi"/>
              </w:rPr>
              <w:t>).</w:t>
            </w:r>
          </w:p>
        </w:tc>
      </w:tr>
    </w:tbl>
    <w:p w14:paraId="5C461221" w14:textId="77777777" w:rsidR="00CD51B9" w:rsidRDefault="00CD51B9" w:rsidP="007512B7">
      <w:pPr>
        <w:pStyle w:val="Tabledescription"/>
      </w:pPr>
      <w:r w:rsidRPr="004F5A9D">
        <w:t xml:space="preserve">Abbreviations: </w:t>
      </w:r>
      <w:proofErr w:type="spellStart"/>
      <w:r w:rsidRPr="004F5A9D">
        <w:t>ar</w:t>
      </w:r>
      <w:proofErr w:type="spellEnd"/>
      <w:r w:rsidRPr="004F5A9D">
        <w:t>: androgen receptor; Asp: aspartate; cyp19b: cytochrome P450 aromatase b; esr1: estrogen receptor; GABA: gamma amino butyric acid; Glu:</w:t>
      </w:r>
      <w:r>
        <w:t xml:space="preserve"> </w:t>
      </w:r>
      <w:r w:rsidRPr="004F5A9D">
        <w:t xml:space="preserve">glutamate; GnRH: gonadotrophin-releasing hormone; HPT: </w:t>
      </w:r>
      <w:proofErr w:type="spellStart"/>
      <w:r w:rsidRPr="004F5A9D">
        <w:t>hypothalamo</w:t>
      </w:r>
      <w:proofErr w:type="spellEnd"/>
      <w:r w:rsidRPr="004F5A9D">
        <w:t>-pituitary-thyroid; pre-</w:t>
      </w:r>
      <w:proofErr w:type="spellStart"/>
      <w:r w:rsidRPr="004F5A9D">
        <w:t>proTRH</w:t>
      </w:r>
      <w:proofErr w:type="spellEnd"/>
      <w:r w:rsidRPr="004F5A9D">
        <w:t>: pre-pro-thyrotrophin-releasing hormone.</w:t>
      </w:r>
    </w:p>
    <w:p w14:paraId="0708DA7E" w14:textId="77777777" w:rsidR="009F2E28" w:rsidRPr="00A7593C" w:rsidRDefault="009F2E28" w:rsidP="009F2E28">
      <w:pPr>
        <w:pStyle w:val="Heading2"/>
      </w:pPr>
      <w:bookmarkStart w:id="95" w:name="_Toc190944921"/>
      <w:bookmarkStart w:id="96" w:name="_Toc199254958"/>
      <w:r>
        <w:t>Safety assessment of the selected ingredients</w:t>
      </w:r>
      <w:bookmarkEnd w:id="95"/>
      <w:bookmarkEnd w:id="96"/>
    </w:p>
    <w:p w14:paraId="79B2B616" w14:textId="77777777" w:rsidR="009F2E28" w:rsidRDefault="009F2E28" w:rsidP="009F2E28">
      <w:pPr>
        <w:pStyle w:val="Heading3"/>
      </w:pPr>
      <w:bookmarkStart w:id="97" w:name="_Toc190944922"/>
      <w:bookmarkStart w:id="98" w:name="_Toc199254959"/>
      <w:r w:rsidRPr="002528F7">
        <w:t xml:space="preserve">Butyl </w:t>
      </w:r>
      <w:proofErr w:type="spellStart"/>
      <w:r w:rsidRPr="002528F7">
        <w:t>methoxydibenzoylmethane</w:t>
      </w:r>
      <w:proofErr w:type="spellEnd"/>
      <w:r w:rsidRPr="002528F7">
        <w:t xml:space="preserve"> </w:t>
      </w:r>
      <w:r>
        <w:t>(Avobenzone) safety assessment</w:t>
      </w:r>
      <w:bookmarkEnd w:id="97"/>
      <w:bookmarkEnd w:id="98"/>
    </w:p>
    <w:p w14:paraId="58007189" w14:textId="77777777" w:rsidR="009F2E28" w:rsidRPr="0074486E" w:rsidRDefault="009F2E28" w:rsidP="007512B7">
      <w:r>
        <w:t xml:space="preserve">Currently </w:t>
      </w:r>
      <w:r w:rsidRPr="00B35001">
        <w:t xml:space="preserve">butyl </w:t>
      </w:r>
      <w:proofErr w:type="spellStart"/>
      <w:r w:rsidRPr="00B35001">
        <w:t>methoxydibenzoylmethane</w:t>
      </w:r>
      <w:proofErr w:type="spellEnd"/>
      <w:r>
        <w:t xml:space="preserve"> (avobenzone</w:t>
      </w:r>
      <w:r w:rsidRPr="004D2E44">
        <w:t>) is</w:t>
      </w:r>
      <w:r>
        <w:t xml:space="preserve"> </w:t>
      </w:r>
      <w:r w:rsidRPr="00915159">
        <w:t xml:space="preserve">approved in Australia for use as </w:t>
      </w:r>
      <w:r>
        <w:t xml:space="preserve">an </w:t>
      </w:r>
      <w:r w:rsidRPr="00915159">
        <w:t xml:space="preserve">active ingredient in sunscreens </w:t>
      </w:r>
      <w:r>
        <w:t xml:space="preserve">at 5% </w:t>
      </w:r>
      <w:r w:rsidRPr="00915159">
        <w:t>for dermal application</w:t>
      </w:r>
      <w:r>
        <w:t>,</w:t>
      </w:r>
      <w:r w:rsidRPr="00915159">
        <w:t xml:space="preserve"> not to be used in topical products for eyes</w:t>
      </w:r>
      <w:r>
        <w:t xml:space="preserve"> and </w:t>
      </w:r>
      <w:r w:rsidRPr="00915159">
        <w:t>with appropriate safety warnings in the labelling</w:t>
      </w:r>
      <w:r>
        <w:t>.</w:t>
      </w:r>
      <w:r w:rsidRPr="00915159">
        <w:t xml:space="preserve"> </w:t>
      </w:r>
      <w:r w:rsidRPr="0074486E">
        <w:t xml:space="preserve">This </w:t>
      </w:r>
      <w:r>
        <w:t>assessment</w:t>
      </w:r>
      <w:r w:rsidRPr="0074486E">
        <w:t xml:space="preserve"> is based on the international safety assessment reports (ECHA, 2021a; DEPA, 2015)</w:t>
      </w:r>
      <w:r>
        <w:t xml:space="preserve"> </w:t>
      </w:r>
      <w:r w:rsidRPr="0074486E">
        <w:t xml:space="preserve">and available peer reviewed publications investigating the safety and </w:t>
      </w:r>
      <w:proofErr w:type="spellStart"/>
      <w:r w:rsidRPr="0074486E">
        <w:t>toxicokinetics</w:t>
      </w:r>
      <w:proofErr w:type="spellEnd"/>
      <w:r w:rsidRPr="0074486E">
        <w:t xml:space="preserve"> of </w:t>
      </w:r>
      <w:r>
        <w:t>b</w:t>
      </w:r>
      <w:r w:rsidRPr="00FB4BE3">
        <w:t xml:space="preserve">utyl </w:t>
      </w:r>
      <w:proofErr w:type="spellStart"/>
      <w:r w:rsidRPr="00FB4BE3">
        <w:t>methoxydibenzoylmethane</w:t>
      </w:r>
      <w:proofErr w:type="spellEnd"/>
      <w:r w:rsidRPr="0074486E">
        <w:t>.</w:t>
      </w:r>
    </w:p>
    <w:p w14:paraId="2410853D" w14:textId="33C84957" w:rsidR="009F2E28" w:rsidRPr="0074486E" w:rsidRDefault="009F2E28" w:rsidP="007512B7">
      <w:r w:rsidRPr="0074486E">
        <w:t xml:space="preserve">The ECHA dossier suggested low percutaneous absorption of </w:t>
      </w:r>
      <w:r>
        <w:t>b</w:t>
      </w:r>
      <w:r w:rsidRPr="00FB4BE3">
        <w:t xml:space="preserve">utyl </w:t>
      </w:r>
      <w:proofErr w:type="spellStart"/>
      <w:r w:rsidRPr="00FB4BE3">
        <w:t>methoxydibenzoylmethane</w:t>
      </w:r>
      <w:proofErr w:type="spellEnd"/>
      <w:r w:rsidRPr="0074486E">
        <w:t xml:space="preserve">. Potential systemic availability of </w:t>
      </w:r>
      <w:r>
        <w:t>b</w:t>
      </w:r>
      <w:r w:rsidRPr="00FB4BE3">
        <w:t xml:space="preserve">utyl </w:t>
      </w:r>
      <w:proofErr w:type="spellStart"/>
      <w:r w:rsidRPr="00FB4BE3">
        <w:t>methoxydibenzoylmethane</w:t>
      </w:r>
      <w:proofErr w:type="spellEnd"/>
      <w:r w:rsidRPr="0074486E" w:rsidDel="002C3083">
        <w:t xml:space="preserve"> </w:t>
      </w:r>
      <w:r w:rsidRPr="0074486E">
        <w:t xml:space="preserve">or metabolites at a high oral dosage was suggested from the oral toxicity studies in rats with up to 3 months exposure. Low systemic exposure from dermal contact was also noted in the ECHA dossier and insignificant inhalation exposure was assumed due to the low vapour pressure. In a study with pigskin (2% and 7.5% </w:t>
      </w:r>
      <w:r>
        <w:t>b</w:t>
      </w:r>
      <w:r w:rsidRPr="00FB4BE3">
        <w:t xml:space="preserve">utyl </w:t>
      </w:r>
      <w:proofErr w:type="spellStart"/>
      <w:r w:rsidRPr="00FB4BE3">
        <w:t>methoxydibenzoylmethane</w:t>
      </w:r>
      <w:proofErr w:type="spellEnd"/>
      <w:r w:rsidRPr="0074486E" w:rsidDel="002C3083">
        <w:t xml:space="preserve"> </w:t>
      </w:r>
      <w:r w:rsidRPr="0074486E">
        <w:t xml:space="preserve">containing formulations), about 95 % of </w:t>
      </w:r>
      <w:r>
        <w:t>b</w:t>
      </w:r>
      <w:r w:rsidRPr="00FB4BE3">
        <w:t xml:space="preserve">utyl </w:t>
      </w:r>
      <w:proofErr w:type="spellStart"/>
      <w:r w:rsidRPr="00FB4BE3">
        <w:t>methoxydibenzoylmethane</w:t>
      </w:r>
      <w:proofErr w:type="spellEnd"/>
      <w:r w:rsidRPr="0074486E" w:rsidDel="002C3083">
        <w:t xml:space="preserve"> </w:t>
      </w:r>
      <w:r w:rsidRPr="0074486E">
        <w:t>remained on the skin surface, 1-2 % were in the stratum corneum, 1 - 3.4 % in the skin and only ≤0.5 % was found to pass the skin</w:t>
      </w:r>
      <w:r>
        <w:t xml:space="preserve"> (</w:t>
      </w:r>
      <w:r w:rsidRPr="0074486E">
        <w:t>ECHA 2021A</w:t>
      </w:r>
      <w:r>
        <w:t>).</w:t>
      </w:r>
      <w:r w:rsidRPr="0074486E">
        <w:t xml:space="preserve">  In an </w:t>
      </w:r>
      <w:r w:rsidRPr="0074486E">
        <w:rPr>
          <w:i/>
          <w:iCs/>
        </w:rPr>
        <w:t xml:space="preserve">in vitro </w:t>
      </w:r>
      <w:r w:rsidRPr="0074486E">
        <w:t xml:space="preserve">dermal absorption study with human skin (2% </w:t>
      </w:r>
      <w:r>
        <w:t>b</w:t>
      </w:r>
      <w:r w:rsidRPr="00FB4BE3">
        <w:t xml:space="preserve">utyl </w:t>
      </w:r>
      <w:proofErr w:type="spellStart"/>
      <w:r w:rsidRPr="00FB4BE3">
        <w:t>methoxydibenzoylmethane</w:t>
      </w:r>
      <w:proofErr w:type="spellEnd"/>
      <w:r w:rsidRPr="0074486E" w:rsidDel="002C3083">
        <w:t xml:space="preserve"> </w:t>
      </w:r>
      <w:r w:rsidRPr="0074486E">
        <w:t xml:space="preserve">in water-oil cream) dermal absorption increased with exposure time from 0.3% to </w:t>
      </w:r>
      <w:r>
        <w:t>7.3</w:t>
      </w:r>
      <w:r w:rsidRPr="0074486E">
        <w:t>% (t</w:t>
      </w:r>
      <w:r>
        <w:t>he latter</w:t>
      </w:r>
      <w:r w:rsidRPr="0074486E">
        <w:t xml:space="preserve"> value </w:t>
      </w:r>
      <w:r>
        <w:t>has been</w:t>
      </w:r>
      <w:r w:rsidRPr="0074486E">
        <w:t xml:space="preserve"> used in the MoS calculation, see below) after 18 hours</w:t>
      </w:r>
      <w:r>
        <w:t xml:space="preserve"> </w:t>
      </w:r>
      <w:r w:rsidRPr="008C5D86">
        <w:t>(DSM, 1982)</w:t>
      </w:r>
      <w:r w:rsidRPr="0074486E">
        <w:t xml:space="preserve">. In a recent study (Montenegro </w:t>
      </w:r>
      <w:r w:rsidRPr="0074486E">
        <w:rPr>
          <w:i/>
        </w:rPr>
        <w:t>et al.</w:t>
      </w:r>
      <w:r w:rsidRPr="0074486E">
        <w:t xml:space="preserve"> 2018) to investigate the effects of the vehicle and repeated applications of sunscreens on skin permeation, the skin permeation was demonstrated to be very poor after single or repeated applications leading to a MoS above the accepted safety limit (&gt;100).</w:t>
      </w:r>
    </w:p>
    <w:p w14:paraId="28D4414A" w14:textId="25B25AF6" w:rsidR="009F2E28" w:rsidRPr="00FD4191" w:rsidRDefault="009F2E28" w:rsidP="007512B7">
      <w:r w:rsidRPr="0074486E">
        <w:t xml:space="preserve">Nonetheless, recent randomised clinical trials indicate that </w:t>
      </w:r>
      <w:r>
        <w:t>b</w:t>
      </w:r>
      <w:r w:rsidRPr="00FB4BE3">
        <w:t xml:space="preserve">utyl </w:t>
      </w:r>
      <w:proofErr w:type="spellStart"/>
      <w:r w:rsidRPr="00FB4BE3">
        <w:t>methoxydibenzoylmethane</w:t>
      </w:r>
      <w:proofErr w:type="spellEnd"/>
      <w:r w:rsidRPr="0074486E" w:rsidDel="002C3083">
        <w:t xml:space="preserve"> </w:t>
      </w:r>
      <w:r w:rsidRPr="0074486E">
        <w:t xml:space="preserve">could be systemically absorbed (Matta </w:t>
      </w:r>
      <w:r w:rsidRPr="0074486E">
        <w:rPr>
          <w:i/>
        </w:rPr>
        <w:t>et al.,</w:t>
      </w:r>
      <w:r w:rsidRPr="0074486E">
        <w:t xml:space="preserve"> 2020; 2019).  The systemic exposure of </w:t>
      </w:r>
      <w:r>
        <w:t>b</w:t>
      </w:r>
      <w:r w:rsidRPr="00FB4BE3">
        <w:t xml:space="preserve">utyl </w:t>
      </w:r>
      <w:proofErr w:type="spellStart"/>
      <w:r w:rsidRPr="00FB4BE3">
        <w:t>methoxydibenzoylmethane</w:t>
      </w:r>
      <w:proofErr w:type="spellEnd"/>
      <w:r w:rsidRPr="0074486E" w:rsidDel="002C3083">
        <w:t xml:space="preserve"> </w:t>
      </w:r>
      <w:r w:rsidRPr="0074486E">
        <w:t xml:space="preserve">in all product types (spray, lotion, aerosol spray) exceeded 0.5 ng/mL on single application and remained above the threshold until 23 hours after application, and up to 7 days in more than 50% of participants. The long terminal half-life typically exceeded 48 </w:t>
      </w:r>
      <w:proofErr w:type="gramStart"/>
      <w:r w:rsidRPr="0074486E">
        <w:t>hours</w:t>
      </w:r>
      <w:proofErr w:type="gramEnd"/>
      <w:r w:rsidRPr="0074486E">
        <w:t xml:space="preserve"> and the ingredient remained detectable through </w:t>
      </w:r>
      <w:proofErr w:type="spellStart"/>
      <w:r w:rsidRPr="0074486E">
        <w:t>to day</w:t>
      </w:r>
      <w:proofErr w:type="spellEnd"/>
      <w:r w:rsidRPr="0074486E">
        <w:t xml:space="preserve"> 21, suggesting absorption through the skin is the rate-limiting step. However, further studies are required to determine other kinetic parameters e.g. elimination rate constants.</w:t>
      </w:r>
    </w:p>
    <w:p w14:paraId="71D97C56" w14:textId="4658465D" w:rsidR="009F2E28" w:rsidRDefault="009F2E28" w:rsidP="007512B7">
      <w:r w:rsidRPr="0074486E">
        <w:t xml:space="preserve">The available information reported for </w:t>
      </w:r>
      <w:r>
        <w:t>b</w:t>
      </w:r>
      <w:r w:rsidRPr="00FB4BE3">
        <w:t xml:space="preserve">utyl </w:t>
      </w:r>
      <w:proofErr w:type="spellStart"/>
      <w:r w:rsidRPr="00FB4BE3">
        <w:t>methoxydibenzoylmethane</w:t>
      </w:r>
      <w:proofErr w:type="spellEnd"/>
      <w:r w:rsidRPr="0074486E" w:rsidDel="002C3083">
        <w:t xml:space="preserve"> </w:t>
      </w:r>
      <w:r w:rsidRPr="0074486E">
        <w:t>indicate it has low acute toxicity (rats</w:t>
      </w:r>
      <w:proofErr w:type="gramStart"/>
      <w:r w:rsidRPr="0074486E">
        <w:t>)</w:t>
      </w:r>
      <w:proofErr w:type="gramEnd"/>
      <w:r w:rsidRPr="0074486E">
        <w:t xml:space="preserve"> and it is not an irritant to skin (very slight irritation at 10%) and eye (≤ 20%) in rabbits. No treatment-related effects were seen in guinea pig studies investigating irritation, sensitization, phototoxicity, and </w:t>
      </w:r>
      <w:proofErr w:type="spellStart"/>
      <w:r w:rsidRPr="0074486E">
        <w:t>photoallergenicity</w:t>
      </w:r>
      <w:proofErr w:type="spellEnd"/>
      <w:r w:rsidRPr="0074486E">
        <w:t xml:space="preserve"> potential. The ingredient was not found to be genotoxic, mutagenic, photo mutagenic or teratogenic in animals. Clinical data have shown the ingredient to be a rare allergen and/or </w:t>
      </w:r>
      <w:proofErr w:type="spellStart"/>
      <w:r w:rsidRPr="0074486E">
        <w:t>photoallergen</w:t>
      </w:r>
      <w:proofErr w:type="spellEnd"/>
      <w:r w:rsidRPr="0074486E">
        <w:t>.</w:t>
      </w:r>
    </w:p>
    <w:p w14:paraId="3F83E1E2" w14:textId="108FF155" w:rsidR="009F2E28" w:rsidRDefault="009F2E28" w:rsidP="007512B7">
      <w:r w:rsidRPr="0074486E">
        <w:t>Dose related local dermal effects like erythema and oedema were seen in a 28</w:t>
      </w:r>
      <w:r>
        <w:t>-</w:t>
      </w:r>
      <w:r w:rsidRPr="0074486E">
        <w:t>day dermal</w:t>
      </w:r>
      <w:r>
        <w:t>,</w:t>
      </w:r>
      <w:r w:rsidRPr="0074486E">
        <w:t xml:space="preserve"> repeat dose study in rabbits with no systemic effects</w:t>
      </w:r>
      <w:r>
        <w:t xml:space="preserve">. </w:t>
      </w:r>
      <w:r w:rsidRPr="0074486E">
        <w:t>In this study, the</w:t>
      </w:r>
      <w:r>
        <w:t xml:space="preserve"> putative </w:t>
      </w:r>
      <w:r w:rsidRPr="0074486E">
        <w:t xml:space="preserve">systemic NOAEL was </w:t>
      </w:r>
      <w:r w:rsidRPr="0074486E">
        <w:lastRenderedPageBreak/>
        <w:t xml:space="preserve">determined to be 360 mg/kg/day </w:t>
      </w:r>
      <w:proofErr w:type="spellStart"/>
      <w:r w:rsidRPr="0074486E">
        <w:t>bw</w:t>
      </w:r>
      <w:proofErr w:type="spellEnd"/>
      <w:r w:rsidRPr="0074486E">
        <w:t xml:space="preserve"> (18% </w:t>
      </w:r>
      <w:r>
        <w:t>b</w:t>
      </w:r>
      <w:r w:rsidRPr="00FB4BE3">
        <w:t xml:space="preserve">utyl </w:t>
      </w:r>
      <w:proofErr w:type="spellStart"/>
      <w:r w:rsidRPr="00FB4BE3">
        <w:t>methoxydibenzoylmethane</w:t>
      </w:r>
      <w:proofErr w:type="spellEnd"/>
      <w:r w:rsidRPr="0074486E">
        <w:t xml:space="preserve">) whereas the LOAEL (dermal) was 30 mg/kg/day </w:t>
      </w:r>
      <w:proofErr w:type="spellStart"/>
      <w:r w:rsidRPr="0074486E">
        <w:t>bw</w:t>
      </w:r>
      <w:proofErr w:type="spellEnd"/>
      <w:r w:rsidRPr="0074486E">
        <w:t xml:space="preserve"> (1.5% </w:t>
      </w:r>
      <w:r>
        <w:t>b</w:t>
      </w:r>
      <w:r w:rsidRPr="00FB4BE3">
        <w:t xml:space="preserve">utyl </w:t>
      </w:r>
      <w:proofErr w:type="spellStart"/>
      <w:r w:rsidRPr="00FB4BE3">
        <w:t>methoxydibenzoylmethane</w:t>
      </w:r>
      <w:proofErr w:type="spellEnd"/>
      <w:r w:rsidRPr="0074486E">
        <w:t xml:space="preserve">) based on topical local effects. </w:t>
      </w:r>
      <w:r>
        <w:t xml:space="preserve"> As no systemic effects were observed, it is likely that the animals did not receive a sufficient dose and therefore these NOAELs were not used in the calculation of the MoS (shown below)</w:t>
      </w:r>
      <w:r w:rsidRPr="0074486E">
        <w:t xml:space="preserve">. A NOAEL (oral) for maternal, developmental and embryotoxicity of 1,000 mg/kg </w:t>
      </w:r>
      <w:proofErr w:type="spellStart"/>
      <w:r w:rsidRPr="0074486E">
        <w:t>bw</w:t>
      </w:r>
      <w:proofErr w:type="spellEnd"/>
      <w:r w:rsidRPr="0074486E">
        <w:t>/day was determined in rats.</w:t>
      </w:r>
    </w:p>
    <w:p w14:paraId="417D71A5" w14:textId="77777777" w:rsidR="009F2E28" w:rsidRPr="00885B13" w:rsidRDefault="009F2E28" w:rsidP="007512B7">
      <w:r w:rsidRPr="00B53EAE">
        <w:t xml:space="preserve">Based on a 13-week oral repeated dose toxicity study in rats, the </w:t>
      </w:r>
      <w:r w:rsidRPr="00B35001">
        <w:rPr>
          <w:b/>
          <w:bCs/>
        </w:rPr>
        <w:t xml:space="preserve">NOAEL of </w:t>
      </w:r>
      <w:r w:rsidRPr="002C3083">
        <w:rPr>
          <w:b/>
          <w:bCs/>
        </w:rPr>
        <w:t xml:space="preserve">butyl </w:t>
      </w:r>
      <w:proofErr w:type="spellStart"/>
      <w:r w:rsidRPr="002C3083">
        <w:rPr>
          <w:b/>
          <w:bCs/>
        </w:rPr>
        <w:t>methoxydibenzoylmethane</w:t>
      </w:r>
      <w:proofErr w:type="spellEnd"/>
      <w:r w:rsidRPr="002C3083" w:rsidDel="002C3083">
        <w:rPr>
          <w:b/>
          <w:bCs/>
        </w:rPr>
        <w:t xml:space="preserve"> </w:t>
      </w:r>
      <w:proofErr w:type="gramStart"/>
      <w:r w:rsidRPr="00B35001">
        <w:rPr>
          <w:b/>
          <w:bCs/>
        </w:rPr>
        <w:t>was considered to be</w:t>
      </w:r>
      <w:proofErr w:type="gramEnd"/>
      <w:r w:rsidRPr="00B35001">
        <w:rPr>
          <w:b/>
          <w:bCs/>
        </w:rPr>
        <w:t xml:space="preserve"> 450 mg/kg </w:t>
      </w:r>
      <w:proofErr w:type="spellStart"/>
      <w:r w:rsidRPr="00B35001">
        <w:rPr>
          <w:b/>
          <w:bCs/>
        </w:rPr>
        <w:t>bw</w:t>
      </w:r>
      <w:proofErr w:type="spellEnd"/>
      <w:r w:rsidRPr="00B35001">
        <w:rPr>
          <w:b/>
          <w:bCs/>
        </w:rPr>
        <w:t xml:space="preserve">/day </w:t>
      </w:r>
      <w:r w:rsidRPr="00B53EAE">
        <w:t>and used for the MoS calculation given the longer duration of the study and a better reflection of systemic toxicity.</w:t>
      </w:r>
    </w:p>
    <w:p w14:paraId="047D98EB" w14:textId="77777777" w:rsidR="009F2E28" w:rsidRDefault="009F2E28" w:rsidP="009F2E28">
      <w:pPr>
        <w:pStyle w:val="Heading4"/>
      </w:pPr>
      <w:bookmarkStart w:id="99" w:name="_Toc190944923"/>
      <w:bookmarkStart w:id="100" w:name="_Toc199254960"/>
      <w:r w:rsidRPr="00B53EAE">
        <w:t xml:space="preserve">Exposure </w:t>
      </w:r>
      <w:proofErr w:type="gramStart"/>
      <w:r w:rsidRPr="00B53EAE">
        <w:t>estimate</w:t>
      </w:r>
      <w:proofErr w:type="gramEnd"/>
      <w:r w:rsidRPr="00B53EAE">
        <w:t xml:space="preserve"> and Margin of Safety</w:t>
      </w:r>
      <w:r>
        <w:t xml:space="preserve"> for Avobenzone</w:t>
      </w:r>
      <w:bookmarkEnd w:id="99"/>
      <w:bookmarkEnd w:id="100"/>
    </w:p>
    <w:p w14:paraId="3E820363" w14:textId="77777777" w:rsidR="009F2E28" w:rsidRDefault="009F2E28" w:rsidP="004D25DC">
      <w:pPr>
        <w:pStyle w:val="Tabletitle"/>
      </w:pPr>
      <w:r>
        <w:t>B</w:t>
      </w:r>
      <w:r w:rsidRPr="002C3083">
        <w:t xml:space="preserve">utyl </w:t>
      </w:r>
      <w:proofErr w:type="spellStart"/>
      <w:r w:rsidRPr="002C3083">
        <w:t>methoxydibenzoylmethane</w:t>
      </w:r>
      <w:proofErr w:type="spellEnd"/>
      <w:r w:rsidRPr="002C3083" w:rsidDel="002C3083">
        <w:t xml:space="preserve"> </w:t>
      </w:r>
      <w:r w:rsidRPr="00B53EAE">
        <w:t>–</w:t>
      </w:r>
      <w:r>
        <w:t xml:space="preserve"> standard</w:t>
      </w:r>
      <w:r w:rsidRPr="00B53EAE">
        <w:t xml:space="preserve"> parameters for the estimation of the systemic exposure dose</w:t>
      </w:r>
    </w:p>
    <w:tbl>
      <w:tblPr>
        <w:tblStyle w:val="TableTGAblue2023"/>
        <w:tblW w:w="9130" w:type="dxa"/>
        <w:tblLook w:val="04A0" w:firstRow="1" w:lastRow="0" w:firstColumn="1" w:lastColumn="0" w:noHBand="0" w:noVBand="1"/>
      </w:tblPr>
      <w:tblGrid>
        <w:gridCol w:w="6374"/>
        <w:gridCol w:w="2756"/>
      </w:tblGrid>
      <w:tr w:rsidR="009F2E28" w14:paraId="25BB3CFD" w14:textId="77777777" w:rsidTr="00E07077">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6374" w:type="dxa"/>
          </w:tcPr>
          <w:p w14:paraId="1CC8BA38" w14:textId="77777777" w:rsidR="009F2E28" w:rsidRPr="004D25DC" w:rsidRDefault="009F2E28" w:rsidP="00E07077">
            <w:pPr>
              <w:pStyle w:val="Standard"/>
              <w:spacing w:after="0"/>
              <w:rPr>
                <w:rFonts w:asciiTheme="minorHAnsi" w:hAnsiTheme="minorHAnsi" w:cstheme="minorHAnsi"/>
                <w:sz w:val="20"/>
                <w:szCs w:val="20"/>
              </w:rPr>
            </w:pPr>
            <w:r w:rsidRPr="004D25DC">
              <w:rPr>
                <w:rFonts w:asciiTheme="minorHAnsi" w:hAnsiTheme="minorHAnsi" w:cstheme="minorHAnsi"/>
                <w:sz w:val="20"/>
                <w:szCs w:val="20"/>
              </w:rPr>
              <w:t>Parameter</w:t>
            </w:r>
          </w:p>
        </w:tc>
        <w:tc>
          <w:tcPr>
            <w:tcW w:w="2756" w:type="dxa"/>
          </w:tcPr>
          <w:p w14:paraId="5B9CB43C" w14:textId="77777777" w:rsidR="009F2E28" w:rsidRPr="004D25DC" w:rsidRDefault="009F2E28" w:rsidP="00E07077">
            <w:pPr>
              <w:pStyle w:val="Standard"/>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5DC">
              <w:rPr>
                <w:rFonts w:asciiTheme="minorHAnsi" w:hAnsiTheme="minorHAnsi" w:cstheme="minorHAnsi"/>
                <w:sz w:val="20"/>
                <w:szCs w:val="20"/>
              </w:rPr>
              <w:t>Value</w:t>
            </w:r>
          </w:p>
        </w:tc>
      </w:tr>
      <w:tr w:rsidR="009F2E28" w:rsidRPr="00DF6853" w14:paraId="6023616F" w14:textId="77777777" w:rsidTr="00E07077">
        <w:trPr>
          <w:trHeight w:val="288"/>
        </w:trPr>
        <w:tc>
          <w:tcPr>
            <w:cnfStyle w:val="001000000000" w:firstRow="0" w:lastRow="0" w:firstColumn="1" w:lastColumn="0" w:oddVBand="0" w:evenVBand="0" w:oddHBand="0" w:evenHBand="0" w:firstRowFirstColumn="0" w:firstRowLastColumn="0" w:lastRowFirstColumn="0" w:lastRowLastColumn="0"/>
            <w:tcW w:w="6374" w:type="dxa"/>
          </w:tcPr>
          <w:p w14:paraId="1B1F6B90" w14:textId="77777777" w:rsidR="009F2E28" w:rsidRPr="004D25DC" w:rsidRDefault="009F2E28" w:rsidP="00E07077">
            <w:pPr>
              <w:pStyle w:val="Standard"/>
              <w:spacing w:before="120" w:after="120"/>
              <w:rPr>
                <w:rFonts w:asciiTheme="minorHAnsi" w:hAnsiTheme="minorHAnsi" w:cstheme="minorHAnsi"/>
                <w:b/>
                <w:bCs/>
                <w:sz w:val="20"/>
                <w:szCs w:val="20"/>
              </w:rPr>
            </w:pPr>
            <w:r w:rsidRPr="004D25DC">
              <w:rPr>
                <w:rFonts w:asciiTheme="minorHAnsi" w:hAnsiTheme="minorHAnsi" w:cstheme="minorHAnsi"/>
                <w:sz w:val="20"/>
                <w:szCs w:val="20"/>
              </w:rPr>
              <w:t>NOAEL</w:t>
            </w:r>
          </w:p>
        </w:tc>
        <w:tc>
          <w:tcPr>
            <w:tcW w:w="2756" w:type="dxa"/>
          </w:tcPr>
          <w:p w14:paraId="1F6E28E3" w14:textId="77777777" w:rsidR="009F2E28" w:rsidRPr="004D25DC" w:rsidRDefault="009F2E28" w:rsidP="00E07077">
            <w:pPr>
              <w:pStyle w:val="Standard"/>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5DC">
              <w:rPr>
                <w:rFonts w:asciiTheme="minorHAnsi" w:hAnsiTheme="minorHAnsi" w:cstheme="minorHAnsi"/>
                <w:sz w:val="20"/>
                <w:szCs w:val="20"/>
              </w:rPr>
              <w:t xml:space="preserve">450 mg/kg </w:t>
            </w:r>
            <w:proofErr w:type="spellStart"/>
            <w:r w:rsidRPr="004D25DC">
              <w:rPr>
                <w:rFonts w:asciiTheme="minorHAnsi" w:hAnsiTheme="minorHAnsi" w:cstheme="minorHAnsi"/>
                <w:sz w:val="20"/>
                <w:szCs w:val="20"/>
              </w:rPr>
              <w:t>bw</w:t>
            </w:r>
            <w:proofErr w:type="spellEnd"/>
            <w:r w:rsidRPr="004D25DC">
              <w:rPr>
                <w:rFonts w:asciiTheme="minorHAnsi" w:hAnsiTheme="minorHAnsi" w:cstheme="minorHAnsi"/>
                <w:sz w:val="20"/>
                <w:szCs w:val="20"/>
              </w:rPr>
              <w:t>/day</w:t>
            </w:r>
          </w:p>
        </w:tc>
      </w:tr>
      <w:tr w:rsidR="009F2E28" w:rsidRPr="00DF6853" w14:paraId="02B4CDF3" w14:textId="77777777" w:rsidTr="00E07077">
        <w:trPr>
          <w:trHeight w:val="450"/>
        </w:trPr>
        <w:tc>
          <w:tcPr>
            <w:cnfStyle w:val="001000000000" w:firstRow="0" w:lastRow="0" w:firstColumn="1" w:lastColumn="0" w:oddVBand="0" w:evenVBand="0" w:oddHBand="0" w:evenHBand="0" w:firstRowFirstColumn="0" w:firstRowLastColumn="0" w:lastRowFirstColumn="0" w:lastRowLastColumn="0"/>
            <w:tcW w:w="6374" w:type="dxa"/>
          </w:tcPr>
          <w:p w14:paraId="485DB86A" w14:textId="77777777" w:rsidR="009F2E28" w:rsidRPr="004D25DC" w:rsidRDefault="009F2E28" w:rsidP="00E07077">
            <w:pPr>
              <w:pStyle w:val="Standard"/>
              <w:spacing w:before="120" w:after="120"/>
              <w:rPr>
                <w:rFonts w:asciiTheme="minorHAnsi" w:hAnsiTheme="minorHAnsi" w:cstheme="minorHAnsi"/>
                <w:b/>
                <w:bCs/>
                <w:sz w:val="20"/>
                <w:szCs w:val="20"/>
              </w:rPr>
            </w:pPr>
            <w:r w:rsidRPr="004D25DC">
              <w:rPr>
                <w:rFonts w:asciiTheme="minorHAnsi" w:hAnsiTheme="minorHAnsi" w:cstheme="minorHAnsi"/>
                <w:sz w:val="20"/>
                <w:szCs w:val="20"/>
              </w:rPr>
              <w:t>Dermal absorption (</w:t>
            </w:r>
            <w:proofErr w:type="spellStart"/>
            <w:r w:rsidRPr="004D25DC">
              <w:rPr>
                <w:rFonts w:asciiTheme="minorHAnsi" w:hAnsiTheme="minorHAnsi" w:cstheme="minorHAnsi"/>
                <w:sz w:val="20"/>
                <w:szCs w:val="20"/>
              </w:rPr>
              <w:t>DAp</w:t>
            </w:r>
            <w:proofErr w:type="spellEnd"/>
            <w:r w:rsidRPr="004D25DC">
              <w:rPr>
                <w:rFonts w:asciiTheme="minorHAnsi" w:hAnsiTheme="minorHAnsi" w:cstheme="minorHAnsi"/>
                <w:sz w:val="20"/>
                <w:szCs w:val="20"/>
              </w:rPr>
              <w:t>)</w:t>
            </w:r>
          </w:p>
        </w:tc>
        <w:tc>
          <w:tcPr>
            <w:tcW w:w="2756" w:type="dxa"/>
          </w:tcPr>
          <w:p w14:paraId="4E789339" w14:textId="77777777" w:rsidR="009F2E28" w:rsidRPr="004D25DC" w:rsidRDefault="009F2E28" w:rsidP="00E07077">
            <w:pPr>
              <w:pStyle w:val="Standard"/>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5DC">
              <w:rPr>
                <w:rFonts w:asciiTheme="minorHAnsi" w:hAnsiTheme="minorHAnsi" w:cstheme="minorHAnsi"/>
                <w:sz w:val="20"/>
                <w:szCs w:val="20"/>
              </w:rPr>
              <w:t>7.3%</w:t>
            </w:r>
          </w:p>
        </w:tc>
      </w:tr>
      <w:tr w:rsidR="009F2E28" w:rsidRPr="00DF6853" w14:paraId="60A8B2D3" w14:textId="77777777" w:rsidTr="00E07077">
        <w:trPr>
          <w:trHeight w:val="704"/>
        </w:trPr>
        <w:tc>
          <w:tcPr>
            <w:cnfStyle w:val="001000000000" w:firstRow="0" w:lastRow="0" w:firstColumn="1" w:lastColumn="0" w:oddVBand="0" w:evenVBand="0" w:oddHBand="0" w:evenHBand="0" w:firstRowFirstColumn="0" w:firstRowLastColumn="0" w:lastRowFirstColumn="0" w:lastRowLastColumn="0"/>
            <w:tcW w:w="6374" w:type="dxa"/>
          </w:tcPr>
          <w:p w14:paraId="6D4D8764" w14:textId="77777777" w:rsidR="009F2E28" w:rsidRPr="004D25DC" w:rsidRDefault="009F2E28" w:rsidP="00E07077">
            <w:pPr>
              <w:pStyle w:val="Standard"/>
              <w:spacing w:before="120" w:after="120"/>
              <w:rPr>
                <w:rFonts w:asciiTheme="minorHAnsi" w:hAnsiTheme="minorHAnsi" w:cstheme="minorHAnsi"/>
                <w:b/>
                <w:bCs/>
                <w:sz w:val="20"/>
                <w:szCs w:val="20"/>
              </w:rPr>
            </w:pPr>
            <w:r w:rsidRPr="004D25DC">
              <w:rPr>
                <w:rFonts w:asciiTheme="minorHAnsi" w:hAnsiTheme="minorHAnsi" w:cstheme="minorHAnsi"/>
                <w:sz w:val="20"/>
                <w:szCs w:val="20"/>
              </w:rPr>
              <w:t>Highest concentration permitted to be used in Australian sunscreen products (C)</w:t>
            </w:r>
          </w:p>
        </w:tc>
        <w:tc>
          <w:tcPr>
            <w:tcW w:w="2756" w:type="dxa"/>
          </w:tcPr>
          <w:p w14:paraId="524FF64C" w14:textId="77777777" w:rsidR="009F2E28" w:rsidRPr="004D25DC" w:rsidRDefault="009F2E28" w:rsidP="00E07077">
            <w:pPr>
              <w:pStyle w:val="Standard"/>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5DC">
              <w:rPr>
                <w:rFonts w:asciiTheme="minorHAnsi" w:hAnsiTheme="minorHAnsi" w:cstheme="minorHAnsi"/>
                <w:sz w:val="20"/>
                <w:szCs w:val="20"/>
              </w:rPr>
              <w:t>5%</w:t>
            </w:r>
          </w:p>
        </w:tc>
      </w:tr>
    </w:tbl>
    <w:p w14:paraId="42E1341A" w14:textId="77777777" w:rsidR="009F2E28" w:rsidRDefault="009F2E28" w:rsidP="009F2E28">
      <w:pPr>
        <w:pStyle w:val="Standard"/>
        <w:rPr>
          <w:sz w:val="22"/>
          <w:szCs w:val="22"/>
        </w:rPr>
      </w:pPr>
    </w:p>
    <w:p w14:paraId="54988F0E" w14:textId="77777777" w:rsidR="009F2E28" w:rsidRPr="003E75D1" w:rsidRDefault="009F2E28" w:rsidP="009F2E28">
      <w:pPr>
        <w:pStyle w:val="Standard"/>
        <w:rPr>
          <w:rFonts w:asciiTheme="minorHAnsi" w:hAnsiTheme="minorHAnsi" w:cstheme="minorHAnsi"/>
          <w:b/>
          <w:bCs/>
          <w:sz w:val="20"/>
          <w:szCs w:val="20"/>
        </w:rPr>
      </w:pPr>
      <w:r w:rsidRPr="003E75D1">
        <w:rPr>
          <w:rFonts w:asciiTheme="minorHAnsi" w:hAnsiTheme="minorHAnsi" w:cstheme="minorHAnsi"/>
          <w:b/>
          <w:bCs/>
          <w:sz w:val="20"/>
          <w:szCs w:val="20"/>
        </w:rPr>
        <w:t xml:space="preserve">Estimated butyl </w:t>
      </w:r>
      <w:proofErr w:type="spellStart"/>
      <w:r w:rsidRPr="003E75D1">
        <w:rPr>
          <w:rFonts w:asciiTheme="minorHAnsi" w:hAnsiTheme="minorHAnsi" w:cstheme="minorHAnsi"/>
          <w:b/>
          <w:bCs/>
          <w:sz w:val="20"/>
          <w:szCs w:val="20"/>
        </w:rPr>
        <w:t>methoxydibenzoylmethane</w:t>
      </w:r>
      <w:proofErr w:type="spellEnd"/>
      <w:r w:rsidRPr="003E75D1" w:rsidDel="00615B66">
        <w:rPr>
          <w:rFonts w:asciiTheme="minorHAnsi" w:hAnsiTheme="minorHAnsi" w:cstheme="minorHAnsi"/>
          <w:b/>
          <w:bCs/>
          <w:sz w:val="20"/>
          <w:szCs w:val="20"/>
        </w:rPr>
        <w:t xml:space="preserve"> </w:t>
      </w:r>
      <w:r w:rsidRPr="003E75D1">
        <w:rPr>
          <w:rFonts w:asciiTheme="minorHAnsi" w:hAnsiTheme="minorHAnsi" w:cstheme="minorHAnsi"/>
          <w:b/>
          <w:bCs/>
          <w:sz w:val="20"/>
          <w:szCs w:val="20"/>
        </w:rPr>
        <w:t xml:space="preserve">SED and MoS using the Australian Sunscreen Exposure Model (ASEM) </w:t>
      </w:r>
    </w:p>
    <w:p w14:paraId="7BB4DC1B" w14:textId="77777777" w:rsidR="009F2E28" w:rsidRDefault="009F2E28" w:rsidP="009F2E28">
      <w:pPr>
        <w:pStyle w:val="Heading5sub"/>
      </w:pPr>
      <w:r>
        <w:t>ASEM method 1 (%) MoS calculation</w:t>
      </w:r>
    </w:p>
    <w:p w14:paraId="646CF7B6" w14:textId="77777777" w:rsidR="009F2E28" w:rsidRDefault="009F2E28" w:rsidP="009F2E28">
      <w:pPr>
        <w:spacing w:before="240"/>
        <w:rPr>
          <w:rFonts w:cs="Arial"/>
          <w:b/>
          <w:bCs/>
        </w:rPr>
      </w:pPr>
      <w:r w:rsidRPr="003645DF">
        <w:rPr>
          <w:rFonts w:cs="Arial"/>
          <w:noProof/>
        </w:rPr>
        <mc:AlternateContent>
          <mc:Choice Requires="wps">
            <w:drawing>
              <wp:inline distT="0" distB="0" distL="0" distR="0" wp14:anchorId="3D3881F2" wp14:editId="3BDDF7AE">
                <wp:extent cx="5735781" cy="1423686"/>
                <wp:effectExtent l="0" t="0" r="17780" b="24130"/>
                <wp:docPr id="18829268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781" cy="1423686"/>
                        </a:xfrm>
                        <a:prstGeom prst="rect">
                          <a:avLst/>
                        </a:prstGeom>
                        <a:solidFill>
                          <a:srgbClr val="FFFFFF"/>
                        </a:solidFill>
                        <a:ln w="9525">
                          <a:solidFill>
                            <a:schemeClr val="tx1"/>
                          </a:solidFill>
                          <a:miter lim="800000"/>
                          <a:headEnd/>
                          <a:tailEnd/>
                        </a:ln>
                      </wps:spPr>
                      <wps:txbx>
                        <w:txbxContent>
                          <w:p w14:paraId="1B1E1A66" w14:textId="77777777" w:rsidR="009F2E28" w:rsidRPr="00B232E4" w:rsidRDefault="009F2E28" w:rsidP="009F2E28">
                            <w:pPr>
                              <w:rPr>
                                <w:rFonts w:ascii="Times New Roman" w:eastAsiaTheme="minorEastAsia" w:hAnsi="Times New Roman" w:cs="Times New Roman"/>
                                <w:sz w:val="24"/>
                                <w:szCs w:val="24"/>
                              </w:rPr>
                            </w:pPr>
                            <m:oMathPara>
                              <m:oMathParaPr>
                                <m:jc m:val="center"/>
                              </m:oMathParaPr>
                              <m:oMath>
                                <m:r>
                                  <w:rPr>
                                    <w:rFonts w:ascii="Cambria Math" w:hAnsi="Cambria Math" w:cs="Cambria Math"/>
                                    <w:sz w:val="24"/>
                                    <w:szCs w:val="24"/>
                                  </w:rPr>
                                  <m:t>SED=</m:t>
                                </m:r>
                                <m:sSub>
                                  <m:sSubPr>
                                    <m:ctrlPr>
                                      <w:rPr>
                                        <w:rFonts w:ascii="Cambria Math" w:hAnsi="Cambria Math" w:cs="Cambria Math"/>
                                        <w:i/>
                                        <w:iCs/>
                                        <w:sz w:val="24"/>
                                        <w:szCs w:val="24"/>
                                      </w:rPr>
                                    </m:ctrlPr>
                                  </m:sSubPr>
                                  <m:e>
                                    <m:r>
                                      <w:rPr>
                                        <w:rFonts w:ascii="Cambria Math" w:hAnsi="Cambria Math" w:cs="Cambria Math"/>
                                        <w:sz w:val="24"/>
                                        <w:szCs w:val="24"/>
                                      </w:rPr>
                                      <m:t>ASEM</m:t>
                                    </m:r>
                                  </m:e>
                                  <m:sub>
                                    <m:d>
                                      <m:dPr>
                                        <m:ctrlPr>
                                          <w:rPr>
                                            <w:rFonts w:ascii="Cambria Math" w:hAnsi="Cambria Math" w:cs="Arial"/>
                                            <w:sz w:val="24"/>
                                            <w:szCs w:val="24"/>
                                          </w:rPr>
                                        </m:ctrlPr>
                                      </m:dPr>
                                      <m:e>
                                        <m:r>
                                          <m:rPr>
                                            <m:sty m:val="p"/>
                                          </m:rPr>
                                          <w:rPr>
                                            <w:rFonts w:ascii="Cambria Math" w:hAnsi="Cambria Math" w:cs="Arial"/>
                                            <w:sz w:val="24"/>
                                            <w:szCs w:val="24"/>
                                          </w:rPr>
                                          <m:t>method 1</m:t>
                                        </m:r>
                                      </m:e>
                                    </m:d>
                                    <m:r>
                                      <m:rPr>
                                        <m:sty m:val="p"/>
                                      </m:rPr>
                                      <w:rPr>
                                        <w:rFonts w:ascii="Cambria Math" w:hAnsi="Cambria Math" w:cs="Arial"/>
                                        <w:sz w:val="24"/>
                                        <w:szCs w:val="24"/>
                                      </w:rPr>
                                      <m:t xml:space="preserve"> </m:t>
                                    </m:r>
                                  </m:sub>
                                </m:sSub>
                                <m:r>
                                  <w:rPr>
                                    <w:rFonts w:ascii="Cambria Math" w:hAnsi="Cambria Math" w:cs="Cambria Math"/>
                                    <w:sz w:val="24"/>
                                    <w:szCs w:val="24"/>
                                  </w:rPr>
                                  <m:t>×</m:t>
                                </m:r>
                                <m:sSub>
                                  <m:sSubPr>
                                    <m:ctrlPr>
                                      <w:rPr>
                                        <w:rFonts w:ascii="Cambria Math" w:hAnsi="Cambria Math" w:cs="Cambria Math"/>
                                        <w:i/>
                                        <w:sz w:val="24"/>
                                        <w:szCs w:val="24"/>
                                      </w:rPr>
                                    </m:ctrlPr>
                                  </m:sSubPr>
                                  <m:e>
                                    <m:r>
                                      <w:rPr>
                                        <w:rFonts w:ascii="Cambria Math" w:hAnsi="Cambria Math" w:cs="Cambria Math"/>
                                        <w:sz w:val="24"/>
                                        <w:szCs w:val="24"/>
                                      </w:rPr>
                                      <m:t>DA</m:t>
                                    </m:r>
                                  </m:e>
                                  <m:sub>
                                    <m:r>
                                      <w:rPr>
                                        <w:rFonts w:ascii="Cambria Math" w:hAnsi="Cambria Math" w:cs="Cambria Math"/>
                                        <w:sz w:val="24"/>
                                        <w:szCs w:val="24"/>
                                      </w:rPr>
                                      <m:t>p</m:t>
                                    </m:r>
                                  </m:sub>
                                </m:sSub>
                                <m:r>
                                  <w:rPr>
                                    <w:rFonts w:ascii="Cambria Math" w:hAnsi="Cambria Math" w:cs="Cambria Math"/>
                                    <w:sz w:val="24"/>
                                    <w:szCs w:val="24"/>
                                  </w:rPr>
                                  <m:t xml:space="preserve">×C                </m:t>
                                </m:r>
                              </m:oMath>
                            </m:oMathPara>
                          </w:p>
                          <w:p w14:paraId="6CE771C0" w14:textId="77777777" w:rsidR="009F2E28" w:rsidRPr="005F0DB8" w:rsidRDefault="009F2E28" w:rsidP="009F2E28">
                            <w:pPr>
                              <w:rPr>
                                <w:rFonts w:ascii="Cambria Math" w:hAnsi="Cambria Math" w:cs="Cambria Math"/>
                                <w:b/>
                                <w:bCs/>
                                <w:sz w:val="24"/>
                                <w:szCs w:val="24"/>
                              </w:rPr>
                            </w:pPr>
                            <m:oMathPara>
                              <m:oMathParaPr>
                                <m:jc m:val="center"/>
                              </m:oMathParaPr>
                              <m:oMath>
                                <m:r>
                                  <w:rPr>
                                    <w:rFonts w:ascii="Cambria Math" w:hAnsi="Cambria Math" w:cs="Cambria Math"/>
                                    <w:sz w:val="24"/>
                                    <w:szCs w:val="24"/>
                                  </w:rPr>
                                  <m:t>=673 mg/kg bw/day ×7.3 %×5%</m:t>
                                </m:r>
                                <m:r>
                                  <w:rPr>
                                    <w:rFonts w:ascii="Cambria Math" w:eastAsiaTheme="minorEastAsia" w:hAnsi="Cambria Math" w:cs="Arial"/>
                                    <w:sz w:val="24"/>
                                    <w:szCs w:val="24"/>
                                  </w:rPr>
                                  <m:t>=2.456 mg/kg bw/day</m:t>
                                </m:r>
                              </m:oMath>
                            </m:oMathPara>
                          </w:p>
                          <w:p w14:paraId="0603C385" w14:textId="77777777" w:rsidR="009F2E28" w:rsidRPr="005F0DB8" w:rsidRDefault="009F2E28" w:rsidP="009F2E28">
                            <w:pPr>
                              <w:spacing w:before="120" w:line="240" w:lineRule="atLeast"/>
                              <w:rPr>
                                <w:sz w:val="24"/>
                                <w:szCs w:val="24"/>
                              </w:rPr>
                            </w:pPr>
                            <m:oMathPara>
                              <m:oMathParaPr>
                                <m:jc m:val="center"/>
                              </m:oMathParaPr>
                              <m:oMath>
                                <m:r>
                                  <m:rPr>
                                    <m:sty m:val="p"/>
                                  </m:rPr>
                                  <w:rPr>
                                    <w:rFonts w:ascii="Cambria Math" w:hAnsi="Cambria Math"/>
                                    <w:sz w:val="24"/>
                                    <w:szCs w:val="24"/>
                                  </w:rPr>
                                  <w:br/>
                                </m:r>
                              </m:oMath>
                              <m:oMath>
                                <m:r>
                                  <w:rPr>
                                    <w:rFonts w:ascii="Cambria Math" w:hAnsi="Cambria Math"/>
                                    <w:sz w:val="24"/>
                                    <w:szCs w:val="24"/>
                                  </w:rPr>
                                  <m:t xml:space="preserve">MoS= </m:t>
                                </m:r>
                                <m:f>
                                  <m:fPr>
                                    <m:ctrlPr>
                                      <w:rPr>
                                        <w:rFonts w:ascii="Cambria Math" w:hAnsi="Cambria Math"/>
                                        <w:i/>
                                        <w:sz w:val="24"/>
                                        <w:szCs w:val="24"/>
                                      </w:rPr>
                                    </m:ctrlPr>
                                  </m:fPr>
                                  <m:num>
                                    <m:r>
                                      <w:rPr>
                                        <w:rFonts w:ascii="Cambria Math" w:hAnsi="Cambria Math"/>
                                        <w:sz w:val="24"/>
                                        <w:szCs w:val="24"/>
                                      </w:rPr>
                                      <m:t>NOAEL (mg/kg bw/day)</m:t>
                                    </m:r>
                                  </m:num>
                                  <m:den>
                                    <m:r>
                                      <w:rPr>
                                        <w:rFonts w:ascii="Cambria Math" w:hAnsi="Cambria Math"/>
                                        <w:sz w:val="24"/>
                                        <w:szCs w:val="24"/>
                                      </w:rPr>
                                      <m:t>SED (mg/kg bw/day)</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 xml:space="preserve">450 mg/kg bw/d </m:t>
                                    </m:r>
                                  </m:num>
                                  <m:den>
                                    <m:r>
                                      <w:rPr>
                                        <w:rFonts w:ascii="Cambria Math" w:hAnsi="Cambria Math"/>
                                        <w:sz w:val="24"/>
                                        <w:szCs w:val="24"/>
                                      </w:rPr>
                                      <m:t>2.456 mg/kg bw/d</m:t>
                                    </m:r>
                                  </m:den>
                                </m:f>
                                <m:r>
                                  <w:rPr>
                                    <w:rFonts w:ascii="Cambria Math" w:hAnsi="Cambria Math"/>
                                    <w:sz w:val="24"/>
                                    <w:szCs w:val="24"/>
                                  </w:rPr>
                                  <m:t>=</m:t>
                                </m:r>
                                <m:r>
                                  <m:rPr>
                                    <m:sty m:val="bi"/>
                                  </m:rPr>
                                  <w:rPr>
                                    <w:rFonts w:ascii="Cambria Math" w:hAnsi="Cambria Math"/>
                                    <w:sz w:val="24"/>
                                    <w:szCs w:val="24"/>
                                  </w:rPr>
                                  <m:t>183</m:t>
                                </m:r>
                              </m:oMath>
                            </m:oMathPara>
                          </w:p>
                          <w:p w14:paraId="59708707" w14:textId="77777777" w:rsidR="009F2E28" w:rsidRPr="005F0DB8" w:rsidRDefault="009F2E28" w:rsidP="009F2E28">
                            <w:proofErr w:type="spellStart"/>
                            <w:r w:rsidRPr="005F0DB8">
                              <w:rPr>
                                <w:rFonts w:ascii="Cambria Math" w:eastAsiaTheme="minorEastAsia" w:hAnsi="Cambria Math"/>
                                <w:sz w:val="18"/>
                                <w:szCs w:val="18"/>
                              </w:rPr>
                              <w:t>DA</w:t>
                            </w:r>
                            <w:r w:rsidRPr="005F0DB8">
                              <w:rPr>
                                <w:rFonts w:ascii="Cambria Math" w:eastAsiaTheme="minorEastAsia" w:hAnsi="Cambria Math"/>
                                <w:sz w:val="18"/>
                                <w:szCs w:val="18"/>
                                <w:vertAlign w:val="subscript"/>
                              </w:rPr>
                              <w:t>p</w:t>
                            </w:r>
                            <w:proofErr w:type="spellEnd"/>
                            <w:r w:rsidRPr="005F0DB8">
                              <w:rPr>
                                <w:rFonts w:ascii="Cambria Math" w:eastAsiaTheme="minorEastAsia" w:hAnsi="Cambria Math"/>
                                <w:sz w:val="18"/>
                                <w:szCs w:val="18"/>
                              </w:rPr>
                              <w:t>: Dermal Absorption,</w:t>
                            </w:r>
                            <w:r w:rsidRPr="005F0DB8">
                              <w:rPr>
                                <w:rFonts w:ascii="Cambria Math" w:hAnsi="Cambria Math"/>
                                <w:sz w:val="18"/>
                                <w:szCs w:val="18"/>
                              </w:rPr>
                              <w:t xml:space="preserve"> C: Concentration</w:t>
                            </w:r>
                          </w:p>
                        </w:txbxContent>
                      </wps:txbx>
                      <wps:bodyPr rot="0" vert="horz" wrap="square" lIns="91440" tIns="45720" rIns="91440" bIns="45720" anchor="t" anchorCtr="0">
                        <a:noAutofit/>
                      </wps:bodyPr>
                    </wps:wsp>
                  </a:graphicData>
                </a:graphic>
              </wp:inline>
            </w:drawing>
          </mc:Choice>
          <mc:Fallback>
            <w:pict>
              <v:shapetype w14:anchorId="3D3881F2" id="_x0000_t202" coordsize="21600,21600" o:spt="202" path="m,l,21600r21600,l21600,xe">
                <v:stroke joinstyle="miter"/>
                <v:path gradientshapeok="t" o:connecttype="rect"/>
              </v:shapetype>
              <v:shape id="Text Box 2" o:spid="_x0000_s1026" type="#_x0000_t202" style="width:451.65pt;height:1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ur3GAIAAB8EAAAOAAAAZHJzL2Uyb0RvYy54bWysU21v2yAQ/j5p/wHxfXGcJmlqxam6dJkm&#10;dS9Stx+AMY7RgGNAYme/fgd207T7No0PiOPgubvnnlvf9lqRo3BegilpPplSIgyHWpp9SX98371b&#10;UeIDMzVTYERJT8LT283bN+vOFmIGLahaOIIgxhedLWkbgi2yzPNWaOYnYIVBZwNOs4Cm22e1Yx2i&#10;a5XNptNl1oGrrQMuvMfb+8FJNwm/aQQPX5vGi0BUSTG3kHaX9iru2WbNir1jtpV8TIP9QxaaSYNB&#10;z1D3LDBycPIvKC25Aw9NmHDQGTSN5CLVgNXk01fVPLbMilQLkuPtmSb//2D5l+Oj/eZI6N9Djw1M&#10;RXj7APynJwa2LTN7ceccdK1gNQbOI2VZZ30xfo1U+8JHkKr7DDU2mR0CJKC+cTqygnUSRMcGnM6k&#10;iz4QjpeL66vF9SqnhKMvn8+ulqtlisGKp+/W+fBRgCbxUFKHXU3w7PjgQ0yHFU9PYjQPStY7qVQy&#10;3L7aKkeODBWwS2tEf/FMGdKV9GYxWwwMvICIYhRnkNAPHLwKpGVAJSupS7qaxjVoK9L2wdRJZ4FJ&#10;NZwxY2VGHiN1A4mhr3p8GPmsoD4how4GxeKE4aEF95uSDtVaUv/rwJygRH0y2JWbfD6P8k7GfHE9&#10;Q8NdeqpLDzMcoUoaKBmO25BGIvJl4A6718jE63MmY66owkT3ODFR5pd2evU815s/AAAA//8DAFBL&#10;AwQUAAYACAAAACEA4L/1nNsAAAAFAQAADwAAAGRycy9kb3ducmV2LnhtbEyPQUvDQBCF74L/YRnB&#10;m92YSqkxmyKV1JOFpoJ4m2bHJJidDdltG/+9oxe9DDze471v8tXkenWiMXSeDdzOElDEtbcdNwZe&#10;9+XNElSIyBZ7z2TgiwKsisuLHDPrz7yjUxUbJSUcMjTQxjhkWoe6JYdh5gdi8T786DCKHBttRzxL&#10;uet1miQL7bBjWWhxoHVL9Wd1dAaeN/VTFXTAcrN7Gd7Xb7a0W2vM9dX0+AAq0hT/wvCDL+hQCNPB&#10;H9kG1RuQR+LvFe8+mc9BHQyk6V0Kusj1f/riGwAA//8DAFBLAQItABQABgAIAAAAIQC2gziS/gAA&#10;AOEBAAATAAAAAAAAAAAAAAAAAAAAAABbQ29udGVudF9UeXBlc10ueG1sUEsBAi0AFAAGAAgAAAAh&#10;ADj9If/WAAAAlAEAAAsAAAAAAAAAAAAAAAAALwEAAF9yZWxzLy5yZWxzUEsBAi0AFAAGAAgAAAAh&#10;AMfy6vcYAgAAHwQAAA4AAAAAAAAAAAAAAAAALgIAAGRycy9lMm9Eb2MueG1sUEsBAi0AFAAGAAgA&#10;AAAhAOC/9ZzbAAAABQEAAA8AAAAAAAAAAAAAAAAAcgQAAGRycy9kb3ducmV2LnhtbFBLBQYAAAAA&#10;BAAEAPMAAAB6BQAAAAA=&#10;" strokecolor="#002c47 [3213]">
                <v:textbox>
                  <w:txbxContent>
                    <w:p w14:paraId="1B1E1A66" w14:textId="77777777" w:rsidR="009F2E28" w:rsidRPr="00B232E4" w:rsidRDefault="009F2E28" w:rsidP="009F2E28">
                      <w:pPr>
                        <w:rPr>
                          <w:rFonts w:ascii="Times New Roman" w:eastAsiaTheme="minorEastAsia" w:hAnsi="Times New Roman" w:cs="Times New Roman"/>
                          <w:sz w:val="24"/>
                          <w:szCs w:val="24"/>
                        </w:rPr>
                      </w:pPr>
                      <m:oMathPara>
                        <m:oMathParaPr>
                          <m:jc m:val="center"/>
                        </m:oMathParaPr>
                        <m:oMath>
                          <m:r>
                            <w:rPr>
                              <w:rFonts w:ascii="Cambria Math" w:hAnsi="Cambria Math" w:cs="Cambria Math"/>
                              <w:sz w:val="24"/>
                              <w:szCs w:val="24"/>
                            </w:rPr>
                            <m:t>SED=</m:t>
                          </m:r>
                          <m:sSub>
                            <m:sSubPr>
                              <m:ctrlPr>
                                <w:rPr>
                                  <w:rFonts w:ascii="Cambria Math" w:hAnsi="Cambria Math" w:cs="Cambria Math"/>
                                  <w:i/>
                                  <w:iCs/>
                                  <w:sz w:val="24"/>
                                  <w:szCs w:val="24"/>
                                </w:rPr>
                              </m:ctrlPr>
                            </m:sSubPr>
                            <m:e>
                              <m:r>
                                <w:rPr>
                                  <w:rFonts w:ascii="Cambria Math" w:hAnsi="Cambria Math" w:cs="Cambria Math"/>
                                  <w:sz w:val="24"/>
                                  <w:szCs w:val="24"/>
                                </w:rPr>
                                <m:t>ASEM</m:t>
                              </m:r>
                            </m:e>
                            <m:sub>
                              <m:d>
                                <m:dPr>
                                  <m:ctrlPr>
                                    <w:rPr>
                                      <w:rFonts w:ascii="Cambria Math" w:hAnsi="Cambria Math" w:cs="Arial"/>
                                      <w:sz w:val="24"/>
                                      <w:szCs w:val="24"/>
                                    </w:rPr>
                                  </m:ctrlPr>
                                </m:dPr>
                                <m:e>
                                  <m:r>
                                    <m:rPr>
                                      <m:sty m:val="p"/>
                                    </m:rPr>
                                    <w:rPr>
                                      <w:rFonts w:ascii="Cambria Math" w:hAnsi="Cambria Math" w:cs="Arial"/>
                                      <w:sz w:val="24"/>
                                      <w:szCs w:val="24"/>
                                    </w:rPr>
                                    <m:t>method 1</m:t>
                                  </m:r>
                                </m:e>
                              </m:d>
                              <m:r>
                                <m:rPr>
                                  <m:sty m:val="p"/>
                                </m:rPr>
                                <w:rPr>
                                  <w:rFonts w:ascii="Cambria Math" w:hAnsi="Cambria Math" w:cs="Arial"/>
                                  <w:sz w:val="24"/>
                                  <w:szCs w:val="24"/>
                                </w:rPr>
                                <m:t xml:space="preserve"> </m:t>
                              </m:r>
                            </m:sub>
                          </m:sSub>
                          <m:r>
                            <w:rPr>
                              <w:rFonts w:ascii="Cambria Math" w:hAnsi="Cambria Math" w:cs="Cambria Math"/>
                              <w:sz w:val="24"/>
                              <w:szCs w:val="24"/>
                            </w:rPr>
                            <m:t>×</m:t>
                          </m:r>
                          <m:sSub>
                            <m:sSubPr>
                              <m:ctrlPr>
                                <w:rPr>
                                  <w:rFonts w:ascii="Cambria Math" w:hAnsi="Cambria Math" w:cs="Cambria Math"/>
                                  <w:i/>
                                  <w:sz w:val="24"/>
                                  <w:szCs w:val="24"/>
                                </w:rPr>
                              </m:ctrlPr>
                            </m:sSubPr>
                            <m:e>
                              <m:r>
                                <w:rPr>
                                  <w:rFonts w:ascii="Cambria Math" w:hAnsi="Cambria Math" w:cs="Cambria Math"/>
                                  <w:sz w:val="24"/>
                                  <w:szCs w:val="24"/>
                                </w:rPr>
                                <m:t>DA</m:t>
                              </m:r>
                            </m:e>
                            <m:sub>
                              <m:r>
                                <w:rPr>
                                  <w:rFonts w:ascii="Cambria Math" w:hAnsi="Cambria Math" w:cs="Cambria Math"/>
                                  <w:sz w:val="24"/>
                                  <w:szCs w:val="24"/>
                                </w:rPr>
                                <m:t>p</m:t>
                              </m:r>
                            </m:sub>
                          </m:sSub>
                          <m:r>
                            <w:rPr>
                              <w:rFonts w:ascii="Cambria Math" w:hAnsi="Cambria Math" w:cs="Cambria Math"/>
                              <w:sz w:val="24"/>
                              <w:szCs w:val="24"/>
                            </w:rPr>
                            <m:t xml:space="preserve">×C                </m:t>
                          </m:r>
                        </m:oMath>
                      </m:oMathPara>
                    </w:p>
                    <w:p w14:paraId="6CE771C0" w14:textId="77777777" w:rsidR="009F2E28" w:rsidRPr="005F0DB8" w:rsidRDefault="009F2E28" w:rsidP="009F2E28">
                      <w:pPr>
                        <w:rPr>
                          <w:rFonts w:ascii="Cambria Math" w:hAnsi="Cambria Math" w:cs="Cambria Math"/>
                          <w:b/>
                          <w:bCs/>
                          <w:sz w:val="24"/>
                          <w:szCs w:val="24"/>
                        </w:rPr>
                      </w:pPr>
                      <m:oMathPara>
                        <m:oMathParaPr>
                          <m:jc m:val="center"/>
                        </m:oMathParaPr>
                        <m:oMath>
                          <m:r>
                            <w:rPr>
                              <w:rFonts w:ascii="Cambria Math" w:hAnsi="Cambria Math" w:cs="Cambria Math"/>
                              <w:sz w:val="24"/>
                              <w:szCs w:val="24"/>
                            </w:rPr>
                            <m:t>=673 mg/kg bw/day ×7.3 %×5%</m:t>
                          </m:r>
                          <m:r>
                            <w:rPr>
                              <w:rFonts w:ascii="Cambria Math" w:eastAsiaTheme="minorEastAsia" w:hAnsi="Cambria Math" w:cs="Arial"/>
                              <w:sz w:val="24"/>
                              <w:szCs w:val="24"/>
                            </w:rPr>
                            <m:t>=2.456 mg/kg bw/day</m:t>
                          </m:r>
                        </m:oMath>
                      </m:oMathPara>
                    </w:p>
                    <w:p w14:paraId="0603C385" w14:textId="77777777" w:rsidR="009F2E28" w:rsidRPr="005F0DB8" w:rsidRDefault="009F2E28" w:rsidP="009F2E28">
                      <w:pPr>
                        <w:spacing w:before="120" w:line="240" w:lineRule="atLeast"/>
                        <w:rPr>
                          <w:sz w:val="24"/>
                          <w:szCs w:val="24"/>
                        </w:rPr>
                      </w:pPr>
                      <m:oMathPara>
                        <m:oMathParaPr>
                          <m:jc m:val="center"/>
                        </m:oMathParaPr>
                        <m:oMath>
                          <m:r>
                            <m:rPr>
                              <m:sty m:val="p"/>
                            </m:rPr>
                            <w:rPr>
                              <w:rFonts w:ascii="Cambria Math" w:hAnsi="Cambria Math"/>
                              <w:sz w:val="24"/>
                              <w:szCs w:val="24"/>
                            </w:rPr>
                            <w:br/>
                          </m:r>
                        </m:oMath>
                        <m:oMath>
                          <m:r>
                            <w:rPr>
                              <w:rFonts w:ascii="Cambria Math" w:hAnsi="Cambria Math"/>
                              <w:sz w:val="24"/>
                              <w:szCs w:val="24"/>
                            </w:rPr>
                            <m:t xml:space="preserve">MoS= </m:t>
                          </m:r>
                          <m:f>
                            <m:fPr>
                              <m:ctrlPr>
                                <w:rPr>
                                  <w:rFonts w:ascii="Cambria Math" w:hAnsi="Cambria Math"/>
                                  <w:i/>
                                  <w:sz w:val="24"/>
                                  <w:szCs w:val="24"/>
                                </w:rPr>
                              </m:ctrlPr>
                            </m:fPr>
                            <m:num>
                              <m:r>
                                <w:rPr>
                                  <w:rFonts w:ascii="Cambria Math" w:hAnsi="Cambria Math"/>
                                  <w:sz w:val="24"/>
                                  <w:szCs w:val="24"/>
                                </w:rPr>
                                <m:t>NOAEL (mg/kg bw/day)</m:t>
                              </m:r>
                            </m:num>
                            <m:den>
                              <m:r>
                                <w:rPr>
                                  <w:rFonts w:ascii="Cambria Math" w:hAnsi="Cambria Math"/>
                                  <w:sz w:val="24"/>
                                  <w:szCs w:val="24"/>
                                </w:rPr>
                                <m:t>SED (mg/kg bw/day)</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 xml:space="preserve">450 mg/kg bw/d </m:t>
                              </m:r>
                            </m:num>
                            <m:den>
                              <m:r>
                                <w:rPr>
                                  <w:rFonts w:ascii="Cambria Math" w:hAnsi="Cambria Math"/>
                                  <w:sz w:val="24"/>
                                  <w:szCs w:val="24"/>
                                </w:rPr>
                                <m:t>2.456 mg/kg bw/d</m:t>
                              </m:r>
                            </m:den>
                          </m:f>
                          <m:r>
                            <w:rPr>
                              <w:rFonts w:ascii="Cambria Math" w:hAnsi="Cambria Math"/>
                              <w:sz w:val="24"/>
                              <w:szCs w:val="24"/>
                            </w:rPr>
                            <m:t>=</m:t>
                          </m:r>
                          <m:r>
                            <m:rPr>
                              <m:sty m:val="bi"/>
                            </m:rPr>
                            <w:rPr>
                              <w:rFonts w:ascii="Cambria Math" w:hAnsi="Cambria Math"/>
                              <w:sz w:val="24"/>
                              <w:szCs w:val="24"/>
                            </w:rPr>
                            <m:t>183</m:t>
                          </m:r>
                        </m:oMath>
                      </m:oMathPara>
                    </w:p>
                    <w:p w14:paraId="59708707" w14:textId="77777777" w:rsidR="009F2E28" w:rsidRPr="005F0DB8" w:rsidRDefault="009F2E28" w:rsidP="009F2E28">
                      <w:proofErr w:type="spellStart"/>
                      <w:r w:rsidRPr="005F0DB8">
                        <w:rPr>
                          <w:rFonts w:ascii="Cambria Math" w:eastAsiaTheme="minorEastAsia" w:hAnsi="Cambria Math"/>
                          <w:sz w:val="18"/>
                          <w:szCs w:val="18"/>
                        </w:rPr>
                        <w:t>DA</w:t>
                      </w:r>
                      <w:r w:rsidRPr="005F0DB8">
                        <w:rPr>
                          <w:rFonts w:ascii="Cambria Math" w:eastAsiaTheme="minorEastAsia" w:hAnsi="Cambria Math"/>
                          <w:sz w:val="18"/>
                          <w:szCs w:val="18"/>
                          <w:vertAlign w:val="subscript"/>
                        </w:rPr>
                        <w:t>p</w:t>
                      </w:r>
                      <w:proofErr w:type="spellEnd"/>
                      <w:r w:rsidRPr="005F0DB8">
                        <w:rPr>
                          <w:rFonts w:ascii="Cambria Math" w:eastAsiaTheme="minorEastAsia" w:hAnsi="Cambria Math"/>
                          <w:sz w:val="18"/>
                          <w:szCs w:val="18"/>
                        </w:rPr>
                        <w:t>: Dermal Absorption,</w:t>
                      </w:r>
                      <w:r w:rsidRPr="005F0DB8">
                        <w:rPr>
                          <w:rFonts w:ascii="Cambria Math" w:hAnsi="Cambria Math"/>
                          <w:sz w:val="18"/>
                          <w:szCs w:val="18"/>
                        </w:rPr>
                        <w:t xml:space="preserve"> C: Concentration</w:t>
                      </w:r>
                    </w:p>
                  </w:txbxContent>
                </v:textbox>
                <w10:anchorlock/>
              </v:shape>
            </w:pict>
          </mc:Fallback>
        </mc:AlternateContent>
      </w:r>
    </w:p>
    <w:p w14:paraId="4367DD5B" w14:textId="77777777" w:rsidR="009F2E28" w:rsidRDefault="009F2E28" w:rsidP="009F2E28">
      <w:pPr>
        <w:pStyle w:val="Heading4"/>
      </w:pPr>
      <w:bookmarkStart w:id="101" w:name="_Toc190944924"/>
      <w:bookmarkStart w:id="102" w:name="_Toc199254961"/>
      <w:r>
        <w:t>Recommendation</w:t>
      </w:r>
      <w:bookmarkEnd w:id="101"/>
      <w:bookmarkEnd w:id="102"/>
    </w:p>
    <w:p w14:paraId="02A3B68B" w14:textId="77777777" w:rsidR="009F2E28" w:rsidRPr="00241EBC" w:rsidRDefault="009F2E28" w:rsidP="003E75D1">
      <w:pPr>
        <w:rPr>
          <w:rFonts w:eastAsia="Times New Roman" w:cs="Times New Roman"/>
          <w:b/>
          <w:bCs/>
          <w:color w:val="001871"/>
        </w:rPr>
      </w:pPr>
      <w:r w:rsidRPr="00241EBC">
        <w:t xml:space="preserve">A MoS </w:t>
      </w:r>
      <w:r>
        <w:t xml:space="preserve">greater than </w:t>
      </w:r>
      <w:r w:rsidRPr="00241EBC">
        <w:t xml:space="preserve">100 was calculated using the ASEM. As a result, </w:t>
      </w:r>
      <w:r>
        <w:t>b</w:t>
      </w:r>
      <w:r w:rsidRPr="00FB4BE3">
        <w:t xml:space="preserve">utyl </w:t>
      </w:r>
      <w:proofErr w:type="spellStart"/>
      <w:r w:rsidRPr="00FB4BE3">
        <w:t>methoxydibenzoylmethane</w:t>
      </w:r>
      <w:proofErr w:type="spellEnd"/>
      <w:r w:rsidRPr="00241EBC" w:rsidDel="00615B66">
        <w:t xml:space="preserve"> </w:t>
      </w:r>
      <w:r w:rsidRPr="00241EBC">
        <w:t>is deemed to present a low</w:t>
      </w:r>
      <w:r>
        <w:t xml:space="preserve"> </w:t>
      </w:r>
      <w:r w:rsidRPr="00241EBC">
        <w:t xml:space="preserve">risk to human health and safety when used at the highest maximum permitted concentration of 5% in therapeutic sunscreens. No changes are recommended to the current permitted use. </w:t>
      </w:r>
      <w:r w:rsidRPr="00241EBC">
        <w:br w:type="page"/>
      </w:r>
    </w:p>
    <w:p w14:paraId="5D9E94BD" w14:textId="77777777" w:rsidR="009F2E28" w:rsidRDefault="009F2E28" w:rsidP="009F2E28">
      <w:pPr>
        <w:pStyle w:val="Heading3"/>
      </w:pPr>
      <w:bookmarkStart w:id="103" w:name="_Toc190944925"/>
      <w:bookmarkStart w:id="104" w:name="_Toc199254962"/>
      <w:proofErr w:type="spellStart"/>
      <w:r>
        <w:lastRenderedPageBreak/>
        <w:t>Ethylhexyl</w:t>
      </w:r>
      <w:proofErr w:type="spellEnd"/>
      <w:r>
        <w:t xml:space="preserve"> </w:t>
      </w:r>
      <w:proofErr w:type="spellStart"/>
      <w:r>
        <w:t>triazone</w:t>
      </w:r>
      <w:proofErr w:type="spellEnd"/>
      <w:r>
        <w:t xml:space="preserve"> safety assessment</w:t>
      </w:r>
      <w:bookmarkEnd w:id="103"/>
      <w:bookmarkEnd w:id="104"/>
    </w:p>
    <w:p w14:paraId="27BCF0E1" w14:textId="77777777" w:rsidR="009F2E28" w:rsidRPr="00EC5E95" w:rsidRDefault="009F2E28" w:rsidP="003E75D1">
      <w:r w:rsidRPr="00EC5E95">
        <w:t xml:space="preserve">The </w:t>
      </w:r>
      <w:r>
        <w:t>assessment</w:t>
      </w:r>
      <w:r w:rsidRPr="00EC5E95">
        <w:t xml:space="preserve"> is primarily based on the REACH dossier (ECHA, 2021b) and published peer reviewed articles.</w:t>
      </w:r>
    </w:p>
    <w:p w14:paraId="1671A688" w14:textId="7D2A0358" w:rsidR="009F2E28" w:rsidRDefault="009F2E28" w:rsidP="003E75D1">
      <w:pPr>
        <w:rPr>
          <w:color w:val="00B050"/>
        </w:rPr>
      </w:pPr>
      <w:r w:rsidRPr="00EC5E95">
        <w:t xml:space="preserve">The ECHA registration dossier indicated the dermal uptake of </w:t>
      </w:r>
      <w:proofErr w:type="spellStart"/>
      <w:r w:rsidRPr="00EC5E95">
        <w:t>ethylhexyl</w:t>
      </w:r>
      <w:proofErr w:type="spellEnd"/>
      <w:r w:rsidRPr="00EC5E95">
        <w:t xml:space="preserve"> </w:t>
      </w:r>
      <w:proofErr w:type="spellStart"/>
      <w:r w:rsidRPr="00EC5E95">
        <w:t>triazone</w:t>
      </w:r>
      <w:proofErr w:type="spellEnd"/>
      <w:r w:rsidRPr="00EC5E95">
        <w:t xml:space="preserve"> was negligible or low (maximum uptake of 1.3%). Recent </w:t>
      </w:r>
      <w:r w:rsidRPr="00EC5E95">
        <w:rPr>
          <w:i/>
        </w:rPr>
        <w:t>in vitro</w:t>
      </w:r>
      <w:r w:rsidRPr="00EC5E95">
        <w:t xml:space="preserve"> experiments with a static skin diffusion cell design under real life conditions indicated that</w:t>
      </w:r>
      <w:r w:rsidRPr="00EC5E95">
        <w:rPr>
          <w:rFonts w:cs="AdvOT863180fb"/>
        </w:rPr>
        <w:t xml:space="preserve"> 18.3 </w:t>
      </w:r>
      <w:r w:rsidRPr="00EC5E95">
        <w:rPr>
          <w:rFonts w:cs="AdvOTb0c9bf5d"/>
        </w:rPr>
        <w:t xml:space="preserve">± </w:t>
      </w:r>
      <w:r w:rsidRPr="00EC5E95">
        <w:rPr>
          <w:rFonts w:cs="AdvOT863180fb"/>
        </w:rPr>
        <w:t xml:space="preserve">2.5 </w:t>
      </w:r>
      <w:proofErr w:type="spellStart"/>
      <w:r w:rsidRPr="00EC5E95">
        <w:rPr>
          <w:rFonts w:cs="AdvOT863180fb"/>
        </w:rPr>
        <w:t>μg</w:t>
      </w:r>
      <w:proofErr w:type="spellEnd"/>
      <w:r w:rsidRPr="00EC5E95">
        <w:rPr>
          <w:rFonts w:cs="AdvOT863180fb"/>
        </w:rPr>
        <w:t>/cm</w:t>
      </w:r>
      <w:r w:rsidRPr="00EC5E95">
        <w:rPr>
          <w:rFonts w:cs="AdvOT863180fb"/>
          <w:vertAlign w:val="superscript"/>
        </w:rPr>
        <w:t>2</w:t>
      </w:r>
      <w:r w:rsidRPr="00EC5E95">
        <w:rPr>
          <w:rFonts w:cs="AdvOT863180fb"/>
        </w:rPr>
        <w:t xml:space="preserve"> of </w:t>
      </w:r>
      <w:proofErr w:type="spellStart"/>
      <w:r w:rsidRPr="00EC5E95">
        <w:rPr>
          <w:rFonts w:cs="AdvOT863180fb"/>
        </w:rPr>
        <w:t>ethylhexyl</w:t>
      </w:r>
      <w:proofErr w:type="spellEnd"/>
      <w:r w:rsidRPr="00EC5E95">
        <w:rPr>
          <w:rFonts w:cs="AdvOT863180fb"/>
        </w:rPr>
        <w:t xml:space="preserve"> </w:t>
      </w:r>
      <w:proofErr w:type="spellStart"/>
      <w:r w:rsidRPr="00EC5E95">
        <w:rPr>
          <w:rFonts w:cs="AdvOT863180fb"/>
        </w:rPr>
        <w:t>triazone</w:t>
      </w:r>
      <w:proofErr w:type="spellEnd"/>
      <w:r w:rsidRPr="00EC5E95">
        <w:rPr>
          <w:rFonts w:cs="AdvOT863180fb"/>
        </w:rPr>
        <w:t xml:space="preserve"> was found in the stratum corneum, whereas no </w:t>
      </w:r>
      <w:proofErr w:type="spellStart"/>
      <w:r w:rsidRPr="00EC5E95">
        <w:rPr>
          <w:rFonts w:cs="AdvOT863180fb"/>
        </w:rPr>
        <w:t>e</w:t>
      </w:r>
      <w:r w:rsidRPr="00EC5E95">
        <w:t>thylhexyl</w:t>
      </w:r>
      <w:proofErr w:type="spellEnd"/>
      <w:r w:rsidRPr="00EC5E95">
        <w:t xml:space="preserve"> </w:t>
      </w:r>
      <w:proofErr w:type="spellStart"/>
      <w:r w:rsidRPr="00EC5E95">
        <w:t>triazone</w:t>
      </w:r>
      <w:proofErr w:type="spellEnd"/>
      <w:r w:rsidRPr="00EC5E95">
        <w:t xml:space="preserve"> was determined in the receptor fluid following the application of a sunscreen with 5% </w:t>
      </w:r>
      <w:proofErr w:type="spellStart"/>
      <w:r w:rsidRPr="00EC5E95">
        <w:t>ethylhexyl</w:t>
      </w:r>
      <w:proofErr w:type="spellEnd"/>
      <w:r w:rsidRPr="00EC5E95">
        <w:t xml:space="preserve"> </w:t>
      </w:r>
      <w:proofErr w:type="spellStart"/>
      <w:r w:rsidRPr="00EC5E95">
        <w:t>triazone</w:t>
      </w:r>
      <w:proofErr w:type="spellEnd"/>
      <w:r w:rsidRPr="00EC5E95">
        <w:t xml:space="preserve"> on the intact human skin at the dose of 1mg/cm</w:t>
      </w:r>
      <w:r w:rsidRPr="00EC5E95">
        <w:rPr>
          <w:vertAlign w:val="superscript"/>
        </w:rPr>
        <w:t>2</w:t>
      </w:r>
      <w:r w:rsidRPr="00EC5E95">
        <w:t xml:space="preserve"> for 6 h (</w:t>
      </w:r>
      <w:proofErr w:type="spellStart"/>
      <w:r w:rsidRPr="00EC5E95">
        <w:t>Hojerová</w:t>
      </w:r>
      <w:proofErr w:type="spellEnd"/>
      <w:r w:rsidRPr="00EC5E95">
        <w:t> </w:t>
      </w:r>
      <w:r w:rsidRPr="00EC5E95">
        <w:rPr>
          <w:i/>
        </w:rPr>
        <w:t>et al.</w:t>
      </w:r>
      <w:r w:rsidRPr="00EC5E95">
        <w:t xml:space="preserve"> 2017). The study authors concluded, that approximately 0.54 mg/cm</w:t>
      </w:r>
      <w:r w:rsidRPr="00EC5E95">
        <w:rPr>
          <w:vertAlign w:val="superscript"/>
        </w:rPr>
        <w:t>2</w:t>
      </w:r>
      <w:r w:rsidRPr="00EC5E95">
        <w:t xml:space="preserve"> of </w:t>
      </w:r>
      <w:proofErr w:type="spellStart"/>
      <w:r w:rsidRPr="00EC5E95">
        <w:t>ethylhexyl</w:t>
      </w:r>
      <w:proofErr w:type="spellEnd"/>
      <w:r w:rsidRPr="00EC5E95">
        <w:t xml:space="preserve"> </w:t>
      </w:r>
      <w:proofErr w:type="spellStart"/>
      <w:r w:rsidRPr="00EC5E95">
        <w:t>triazone</w:t>
      </w:r>
      <w:proofErr w:type="spellEnd"/>
      <w:r w:rsidRPr="00EC5E95">
        <w:t xml:space="preserve"> (i.e., ~1.08% of the amount of ingredient applied) permeated the excised human epidermis into the receptor fluid. Higher </w:t>
      </w:r>
      <w:proofErr w:type="spellStart"/>
      <w:r w:rsidRPr="00EC5E95">
        <w:t>ethylhexyl</w:t>
      </w:r>
      <w:proofErr w:type="spellEnd"/>
      <w:r w:rsidRPr="00EC5E95">
        <w:t xml:space="preserve"> </w:t>
      </w:r>
      <w:proofErr w:type="spellStart"/>
      <w:r w:rsidRPr="00EC5E95">
        <w:t>triazone</w:t>
      </w:r>
      <w:proofErr w:type="spellEnd"/>
      <w:r w:rsidRPr="00EC5E95">
        <w:t xml:space="preserve"> absorption was noted on shaved skin.</w:t>
      </w:r>
      <w:r w:rsidRPr="009621CA">
        <w:t xml:space="preserve"> </w:t>
      </w:r>
      <w:r w:rsidRPr="00B232E4">
        <w:t xml:space="preserve">Preferential distribution of </w:t>
      </w:r>
      <w:proofErr w:type="spellStart"/>
      <w:r w:rsidRPr="00B232E4">
        <w:t>ethylhexyl</w:t>
      </w:r>
      <w:proofErr w:type="spellEnd"/>
      <w:r w:rsidRPr="00B232E4">
        <w:t xml:space="preserve"> </w:t>
      </w:r>
      <w:proofErr w:type="spellStart"/>
      <w:r w:rsidRPr="00B232E4">
        <w:t>triazone</w:t>
      </w:r>
      <w:proofErr w:type="spellEnd"/>
      <w:r w:rsidRPr="00B232E4">
        <w:t xml:space="preserve"> into upper layers of stratum corneum was also noted by Sauce </w:t>
      </w:r>
      <w:r w:rsidRPr="00B232E4">
        <w:rPr>
          <w:i/>
          <w:iCs/>
        </w:rPr>
        <w:t>et al.</w:t>
      </w:r>
      <w:r w:rsidRPr="00B232E4">
        <w:t xml:space="preserve"> (2020).</w:t>
      </w:r>
    </w:p>
    <w:p w14:paraId="210E6B20" w14:textId="5FBEBFB9" w:rsidR="009F2E28" w:rsidRPr="00EC5E95" w:rsidRDefault="009F2E28" w:rsidP="003E75D1">
      <w:r w:rsidRPr="00EC5E95">
        <w:t xml:space="preserve">Undiluted </w:t>
      </w:r>
      <w:bookmarkStart w:id="105" w:name="_Hlk157434482"/>
      <w:proofErr w:type="spellStart"/>
      <w:r w:rsidRPr="00EC5E95">
        <w:t>ethylhexyl</w:t>
      </w:r>
      <w:proofErr w:type="spellEnd"/>
      <w:r w:rsidRPr="00EC5E95">
        <w:t xml:space="preserve"> </w:t>
      </w:r>
      <w:proofErr w:type="spellStart"/>
      <w:r w:rsidRPr="00EC5E95">
        <w:t>triazone</w:t>
      </w:r>
      <w:proofErr w:type="spellEnd"/>
      <w:r w:rsidRPr="00EC5E95">
        <w:t xml:space="preserve"> </w:t>
      </w:r>
      <w:bookmarkEnd w:id="105"/>
      <w:r w:rsidRPr="00EC5E95">
        <w:t xml:space="preserve">is not expected to be a skin or eye irritant. There are no data for respiratory irritation. It was not found to be sensitising in guinea pigs. </w:t>
      </w:r>
      <w:r w:rsidRPr="00CD7683">
        <w:t>The NOAELs were determined 1000 mg/kg/day and ≤ 1275 mg/kg/day in two 90-day oral repeat dose studies in rats, respectively.</w:t>
      </w:r>
      <w:r w:rsidRPr="006674C5">
        <w:t xml:space="preserve"> </w:t>
      </w:r>
      <w:proofErr w:type="spellStart"/>
      <w:r w:rsidRPr="00EC5E95">
        <w:t>Ethylhexyl</w:t>
      </w:r>
      <w:proofErr w:type="spellEnd"/>
      <w:r w:rsidRPr="00EC5E95">
        <w:t xml:space="preserve"> </w:t>
      </w:r>
      <w:proofErr w:type="spellStart"/>
      <w:r w:rsidRPr="00EC5E95">
        <w:t>triazone</w:t>
      </w:r>
      <w:proofErr w:type="spellEnd"/>
      <w:r w:rsidRPr="00EC5E95">
        <w:t xml:space="preserve"> was not found to be genotoxic in </w:t>
      </w:r>
      <w:r w:rsidRPr="00EC5E95">
        <w:rPr>
          <w:i/>
        </w:rPr>
        <w:t>in vivo</w:t>
      </w:r>
      <w:r w:rsidRPr="00EC5E95">
        <w:t xml:space="preserve"> and </w:t>
      </w:r>
      <w:r w:rsidRPr="00EC5E95">
        <w:rPr>
          <w:i/>
        </w:rPr>
        <w:t xml:space="preserve">in vitro </w:t>
      </w:r>
      <w:r w:rsidRPr="00EC5E95">
        <w:rPr>
          <w:iCs/>
        </w:rPr>
        <w:t>studies.</w:t>
      </w:r>
      <w:r w:rsidRPr="00EC5E95">
        <w:t xml:space="preserve"> No carcinogenicity data were available, and no adverse effects were reported in a pre-natal developmental study (</w:t>
      </w:r>
      <w:r w:rsidRPr="00B232E4">
        <w:rPr>
          <w:b/>
          <w:bCs/>
        </w:rPr>
        <w:t xml:space="preserve">maternal and developmental NOAEL 1000 mg/kg/day </w:t>
      </w:r>
      <w:proofErr w:type="spellStart"/>
      <w:r w:rsidRPr="00B232E4">
        <w:rPr>
          <w:b/>
          <w:bCs/>
        </w:rPr>
        <w:t>bw</w:t>
      </w:r>
      <w:proofErr w:type="spellEnd"/>
      <w:r w:rsidRPr="00EC5E95">
        <w:t>).</w:t>
      </w:r>
    </w:p>
    <w:p w14:paraId="41307B8C" w14:textId="33CE1657" w:rsidR="009F2E28" w:rsidRPr="00EC5E95" w:rsidRDefault="009F2E28" w:rsidP="003E75D1">
      <w:pPr>
        <w:rPr>
          <w:iCs/>
        </w:rPr>
      </w:pPr>
      <w:r w:rsidRPr="00EC5E95">
        <w:rPr>
          <w:iCs/>
        </w:rPr>
        <w:t xml:space="preserve">Because </w:t>
      </w:r>
      <w:r>
        <w:rPr>
          <w:iCs/>
        </w:rPr>
        <w:t>a</w:t>
      </w:r>
      <w:r w:rsidRPr="00EC5E95">
        <w:rPr>
          <w:iCs/>
        </w:rPr>
        <w:t xml:space="preserve"> dermal repeated-dose toxicity study for </w:t>
      </w:r>
      <w:proofErr w:type="spellStart"/>
      <w:r w:rsidRPr="00EC5E95">
        <w:t>ethylhexyl</w:t>
      </w:r>
      <w:proofErr w:type="spellEnd"/>
      <w:r w:rsidRPr="00EC5E95">
        <w:t xml:space="preserve"> </w:t>
      </w:r>
      <w:proofErr w:type="spellStart"/>
      <w:r w:rsidRPr="00EC5E95">
        <w:t>triazone</w:t>
      </w:r>
      <w:proofErr w:type="spellEnd"/>
      <w:r w:rsidRPr="00EC5E95">
        <w:rPr>
          <w:iCs/>
        </w:rPr>
        <w:t xml:space="preserve"> was </w:t>
      </w:r>
      <w:r>
        <w:rPr>
          <w:iCs/>
        </w:rPr>
        <w:t>un</w:t>
      </w:r>
      <w:r w:rsidRPr="00EC5E95">
        <w:rPr>
          <w:iCs/>
        </w:rPr>
        <w:t xml:space="preserve">available from the literature, and </w:t>
      </w:r>
      <w:r>
        <w:rPr>
          <w:iCs/>
        </w:rPr>
        <w:t>concordant</w:t>
      </w:r>
      <w:r w:rsidRPr="00EC5E95">
        <w:rPr>
          <w:iCs/>
        </w:rPr>
        <w:t xml:space="preserve"> with the guidance provided in SCCS (2016), the NOAEL value (1000 mg/kg </w:t>
      </w:r>
      <w:proofErr w:type="spellStart"/>
      <w:r w:rsidRPr="00EC5E95">
        <w:rPr>
          <w:iCs/>
        </w:rPr>
        <w:t>bw</w:t>
      </w:r>
      <w:proofErr w:type="spellEnd"/>
      <w:r w:rsidRPr="00EC5E95">
        <w:rPr>
          <w:iCs/>
        </w:rPr>
        <w:t>/day) from oral repeated dose toxicity studies in rats was used in the MoS determination.</w:t>
      </w:r>
    </w:p>
    <w:p w14:paraId="7C008A4A" w14:textId="043BE44C" w:rsidR="009F2E28" w:rsidRDefault="009F2E28" w:rsidP="003E75D1">
      <w:r w:rsidRPr="00EC5E95">
        <w:rPr>
          <w:iCs/>
        </w:rPr>
        <w:t xml:space="preserve">Public exposure to </w:t>
      </w:r>
      <w:proofErr w:type="spellStart"/>
      <w:r w:rsidRPr="00EC5E95">
        <w:rPr>
          <w:iCs/>
        </w:rPr>
        <w:t>ethylhexyl</w:t>
      </w:r>
      <w:proofErr w:type="spellEnd"/>
      <w:r w:rsidRPr="00EC5E95">
        <w:rPr>
          <w:iCs/>
        </w:rPr>
        <w:t xml:space="preserve"> </w:t>
      </w:r>
      <w:proofErr w:type="spellStart"/>
      <w:r w:rsidRPr="00EC5E95">
        <w:rPr>
          <w:iCs/>
        </w:rPr>
        <w:t>triazone</w:t>
      </w:r>
      <w:proofErr w:type="spellEnd"/>
      <w:r w:rsidRPr="00EC5E95">
        <w:rPr>
          <w:iCs/>
        </w:rPr>
        <w:t xml:space="preserve"> is expected to be widespread and frequent through a daily use of listed medicines containing the ingredient at concentrations up to 5% (approved on TGA permitted list).</w:t>
      </w:r>
      <w:r w:rsidRPr="00EC5E95">
        <w:rPr>
          <w:rStyle w:val="FootnoteReference"/>
          <w:iCs/>
          <w:sz w:val="22"/>
          <w:szCs w:val="22"/>
        </w:rPr>
        <w:footnoteReference w:id="14"/>
      </w:r>
      <w:r w:rsidRPr="00EC5E95">
        <w:rPr>
          <w:iCs/>
        </w:rPr>
        <w:t xml:space="preserve">  </w:t>
      </w:r>
      <w:r w:rsidRPr="00B232E4">
        <w:rPr>
          <w:iCs/>
        </w:rPr>
        <w:t xml:space="preserve">In the absence of an appropriate dermal absorption value for </w:t>
      </w:r>
      <w:proofErr w:type="spellStart"/>
      <w:r w:rsidRPr="00B232E4">
        <w:rPr>
          <w:iCs/>
        </w:rPr>
        <w:t>ethylhexyl</w:t>
      </w:r>
      <w:proofErr w:type="spellEnd"/>
      <w:r w:rsidRPr="00B232E4">
        <w:rPr>
          <w:iCs/>
        </w:rPr>
        <w:t xml:space="preserve"> </w:t>
      </w:r>
      <w:proofErr w:type="spellStart"/>
      <w:r w:rsidRPr="00B232E4">
        <w:rPr>
          <w:iCs/>
        </w:rPr>
        <w:t>triazone</w:t>
      </w:r>
      <w:proofErr w:type="spellEnd"/>
      <w:r w:rsidRPr="00B232E4">
        <w:rPr>
          <w:iCs/>
        </w:rPr>
        <w:t>,</w:t>
      </w:r>
      <w:r w:rsidRPr="00EC5E95">
        <w:rPr>
          <w:iCs/>
        </w:rPr>
        <w:t xml:space="preserve"> a 10% dermal absorption was assumed for SED calculation considering </w:t>
      </w:r>
      <w:r>
        <w:rPr>
          <w:iCs/>
        </w:rPr>
        <w:t>the</w:t>
      </w:r>
    </w:p>
    <w:p w14:paraId="08F5CC0F" w14:textId="77777777" w:rsidR="00B62C8A" w:rsidRDefault="00B62C8A" w:rsidP="00B62C8A">
      <w:pPr>
        <w:pStyle w:val="Heading4"/>
      </w:pPr>
      <w:bookmarkStart w:id="106" w:name="_Toc190944926"/>
      <w:bookmarkStart w:id="107" w:name="_Toc199254963"/>
      <w:r w:rsidRPr="00B53EAE">
        <w:t xml:space="preserve">Exposure </w:t>
      </w:r>
      <w:proofErr w:type="gramStart"/>
      <w:r w:rsidRPr="00B53EAE">
        <w:t>estimate</w:t>
      </w:r>
      <w:proofErr w:type="gramEnd"/>
      <w:r w:rsidRPr="00B53EAE">
        <w:t xml:space="preserve"> and Margin of Safety</w:t>
      </w:r>
      <w:r>
        <w:t xml:space="preserve"> for </w:t>
      </w:r>
      <w:proofErr w:type="spellStart"/>
      <w:r>
        <w:t>Ethylhexyl</w:t>
      </w:r>
      <w:proofErr w:type="spellEnd"/>
      <w:r>
        <w:t xml:space="preserve"> </w:t>
      </w:r>
      <w:proofErr w:type="spellStart"/>
      <w:r>
        <w:t>triazone</w:t>
      </w:r>
      <w:bookmarkEnd w:id="106"/>
      <w:bookmarkEnd w:id="107"/>
      <w:proofErr w:type="spellEnd"/>
    </w:p>
    <w:p w14:paraId="5B2F16C3" w14:textId="77777777" w:rsidR="00B62C8A" w:rsidRDefault="00B62C8A" w:rsidP="003E75D1">
      <w:pPr>
        <w:pStyle w:val="Tabletitle"/>
      </w:pPr>
      <w:proofErr w:type="spellStart"/>
      <w:r>
        <w:t>E</w:t>
      </w:r>
      <w:r w:rsidRPr="00671A48">
        <w:t>thylhexyl</w:t>
      </w:r>
      <w:proofErr w:type="spellEnd"/>
      <w:r w:rsidRPr="00671A48">
        <w:t xml:space="preserve"> </w:t>
      </w:r>
      <w:proofErr w:type="spellStart"/>
      <w:r w:rsidRPr="00671A48">
        <w:t>triazone</w:t>
      </w:r>
      <w:proofErr w:type="spellEnd"/>
      <w:r w:rsidRPr="00AE0E35">
        <w:t xml:space="preserve"> –</w:t>
      </w:r>
      <w:r>
        <w:t xml:space="preserve"> standard</w:t>
      </w:r>
      <w:r w:rsidRPr="00AE0E35">
        <w:t xml:space="preserve"> parameters for the estimation of the systemic exposure dose</w:t>
      </w:r>
    </w:p>
    <w:tbl>
      <w:tblPr>
        <w:tblStyle w:val="TableTGAblue2023"/>
        <w:tblW w:w="9129" w:type="dxa"/>
        <w:tblLook w:val="04A0" w:firstRow="1" w:lastRow="0" w:firstColumn="1" w:lastColumn="0" w:noHBand="0" w:noVBand="1"/>
      </w:tblPr>
      <w:tblGrid>
        <w:gridCol w:w="6374"/>
        <w:gridCol w:w="2755"/>
      </w:tblGrid>
      <w:tr w:rsidR="00B62C8A" w14:paraId="095C56D3" w14:textId="77777777" w:rsidTr="00E07077">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6374" w:type="dxa"/>
          </w:tcPr>
          <w:p w14:paraId="38891540" w14:textId="77777777" w:rsidR="00B62C8A" w:rsidRPr="003E75D1" w:rsidRDefault="00B62C8A" w:rsidP="00E07077">
            <w:pPr>
              <w:pStyle w:val="Standard"/>
              <w:rPr>
                <w:rFonts w:ascii="Arial" w:hAnsi="Arial" w:cs="Arial"/>
                <w:sz w:val="20"/>
                <w:szCs w:val="20"/>
              </w:rPr>
            </w:pPr>
            <w:r w:rsidRPr="003E75D1">
              <w:rPr>
                <w:rFonts w:ascii="Arial" w:hAnsi="Arial" w:cs="Arial"/>
                <w:sz w:val="20"/>
                <w:szCs w:val="20"/>
              </w:rPr>
              <w:t>Parameter</w:t>
            </w:r>
          </w:p>
        </w:tc>
        <w:tc>
          <w:tcPr>
            <w:tcW w:w="2755" w:type="dxa"/>
          </w:tcPr>
          <w:p w14:paraId="7E010CFE" w14:textId="77777777" w:rsidR="00B62C8A" w:rsidRPr="003E75D1" w:rsidRDefault="00B62C8A" w:rsidP="00E07077">
            <w:pPr>
              <w:pStyle w:val="Standard"/>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E75D1">
              <w:rPr>
                <w:rFonts w:ascii="Arial" w:hAnsi="Arial" w:cs="Arial"/>
                <w:sz w:val="20"/>
                <w:szCs w:val="20"/>
              </w:rPr>
              <w:t>Value</w:t>
            </w:r>
          </w:p>
        </w:tc>
      </w:tr>
      <w:tr w:rsidR="00B62C8A" w14:paraId="7DAEF329" w14:textId="77777777" w:rsidTr="00E07077">
        <w:trPr>
          <w:trHeight w:val="563"/>
        </w:trPr>
        <w:tc>
          <w:tcPr>
            <w:cnfStyle w:val="001000000000" w:firstRow="0" w:lastRow="0" w:firstColumn="1" w:lastColumn="0" w:oddVBand="0" w:evenVBand="0" w:oddHBand="0" w:evenHBand="0" w:firstRowFirstColumn="0" w:firstRowLastColumn="0" w:lastRowFirstColumn="0" w:lastRowLastColumn="0"/>
            <w:tcW w:w="6374" w:type="dxa"/>
          </w:tcPr>
          <w:p w14:paraId="367B9B85" w14:textId="77777777" w:rsidR="00B62C8A" w:rsidRPr="003E75D1" w:rsidRDefault="00B62C8A" w:rsidP="00E07077">
            <w:pPr>
              <w:pStyle w:val="Standard"/>
              <w:spacing w:before="120" w:after="120"/>
              <w:rPr>
                <w:rFonts w:ascii="Arial" w:hAnsi="Arial" w:cs="Arial"/>
                <w:b/>
                <w:bCs/>
                <w:sz w:val="20"/>
                <w:szCs w:val="20"/>
              </w:rPr>
            </w:pPr>
            <w:r w:rsidRPr="003E75D1">
              <w:rPr>
                <w:rFonts w:ascii="Arial" w:hAnsi="Arial" w:cs="Arial"/>
                <w:sz w:val="20"/>
                <w:szCs w:val="20"/>
              </w:rPr>
              <w:t>NOAEL</w:t>
            </w:r>
          </w:p>
        </w:tc>
        <w:tc>
          <w:tcPr>
            <w:tcW w:w="2755" w:type="dxa"/>
          </w:tcPr>
          <w:p w14:paraId="3F0A0001" w14:textId="77777777" w:rsidR="00B62C8A" w:rsidRPr="003E75D1" w:rsidRDefault="00B62C8A" w:rsidP="00E07077">
            <w:pPr>
              <w:pStyle w:val="Standard"/>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75D1">
              <w:rPr>
                <w:rFonts w:ascii="Arial" w:hAnsi="Arial" w:cs="Arial"/>
                <w:sz w:val="20"/>
                <w:szCs w:val="20"/>
              </w:rPr>
              <w:t xml:space="preserve">1000 mg/kg </w:t>
            </w:r>
            <w:proofErr w:type="spellStart"/>
            <w:r w:rsidRPr="003E75D1">
              <w:rPr>
                <w:rFonts w:ascii="Arial" w:hAnsi="Arial" w:cs="Arial"/>
                <w:sz w:val="20"/>
                <w:szCs w:val="20"/>
              </w:rPr>
              <w:t>bw</w:t>
            </w:r>
            <w:proofErr w:type="spellEnd"/>
            <w:r w:rsidRPr="003E75D1">
              <w:rPr>
                <w:rFonts w:ascii="Arial" w:hAnsi="Arial" w:cs="Arial"/>
                <w:sz w:val="20"/>
                <w:szCs w:val="20"/>
              </w:rPr>
              <w:t>/day</w:t>
            </w:r>
          </w:p>
        </w:tc>
      </w:tr>
      <w:tr w:rsidR="00B62C8A" w14:paraId="5FBE5955" w14:textId="77777777" w:rsidTr="00E07077">
        <w:trPr>
          <w:trHeight w:val="547"/>
        </w:trPr>
        <w:tc>
          <w:tcPr>
            <w:cnfStyle w:val="001000000000" w:firstRow="0" w:lastRow="0" w:firstColumn="1" w:lastColumn="0" w:oddVBand="0" w:evenVBand="0" w:oddHBand="0" w:evenHBand="0" w:firstRowFirstColumn="0" w:firstRowLastColumn="0" w:lastRowFirstColumn="0" w:lastRowLastColumn="0"/>
            <w:tcW w:w="6374" w:type="dxa"/>
          </w:tcPr>
          <w:p w14:paraId="3BB37311" w14:textId="77777777" w:rsidR="00B62C8A" w:rsidRPr="003E75D1" w:rsidRDefault="00B62C8A" w:rsidP="00E07077">
            <w:pPr>
              <w:pStyle w:val="Standard"/>
              <w:spacing w:before="120" w:after="120"/>
              <w:rPr>
                <w:rFonts w:ascii="Arial" w:hAnsi="Arial" w:cs="Arial"/>
                <w:b/>
                <w:bCs/>
                <w:sz w:val="20"/>
                <w:szCs w:val="20"/>
              </w:rPr>
            </w:pPr>
            <w:r w:rsidRPr="003E75D1">
              <w:rPr>
                <w:rFonts w:ascii="Arial" w:hAnsi="Arial" w:cs="Arial"/>
                <w:sz w:val="20"/>
                <w:szCs w:val="20"/>
              </w:rPr>
              <w:t>Dermal absorption (</w:t>
            </w:r>
            <w:proofErr w:type="spellStart"/>
            <w:r w:rsidRPr="003E75D1">
              <w:rPr>
                <w:rFonts w:ascii="Arial" w:hAnsi="Arial" w:cs="Arial"/>
                <w:sz w:val="20"/>
                <w:szCs w:val="20"/>
              </w:rPr>
              <w:t>DAp</w:t>
            </w:r>
            <w:proofErr w:type="spellEnd"/>
            <w:r w:rsidRPr="003E75D1">
              <w:rPr>
                <w:rFonts w:ascii="Arial" w:hAnsi="Arial" w:cs="Arial"/>
                <w:sz w:val="20"/>
                <w:szCs w:val="20"/>
              </w:rPr>
              <w:t>)</w:t>
            </w:r>
          </w:p>
        </w:tc>
        <w:tc>
          <w:tcPr>
            <w:tcW w:w="2755" w:type="dxa"/>
          </w:tcPr>
          <w:p w14:paraId="6E5220B9" w14:textId="77777777" w:rsidR="00B62C8A" w:rsidRPr="003E75D1" w:rsidRDefault="00B62C8A" w:rsidP="00E07077">
            <w:pPr>
              <w:pStyle w:val="Standard"/>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75D1">
              <w:rPr>
                <w:rFonts w:ascii="Arial" w:hAnsi="Arial" w:cs="Arial"/>
                <w:sz w:val="20"/>
                <w:szCs w:val="20"/>
              </w:rPr>
              <w:t>10%</w:t>
            </w:r>
          </w:p>
        </w:tc>
      </w:tr>
      <w:tr w:rsidR="00B62C8A" w14:paraId="618A863A" w14:textId="77777777" w:rsidTr="00E07077">
        <w:trPr>
          <w:trHeight w:val="726"/>
        </w:trPr>
        <w:tc>
          <w:tcPr>
            <w:cnfStyle w:val="001000000000" w:firstRow="0" w:lastRow="0" w:firstColumn="1" w:lastColumn="0" w:oddVBand="0" w:evenVBand="0" w:oddHBand="0" w:evenHBand="0" w:firstRowFirstColumn="0" w:firstRowLastColumn="0" w:lastRowFirstColumn="0" w:lastRowLastColumn="0"/>
            <w:tcW w:w="6374" w:type="dxa"/>
          </w:tcPr>
          <w:p w14:paraId="24760319" w14:textId="77777777" w:rsidR="00B62C8A" w:rsidRPr="003E75D1" w:rsidRDefault="00B62C8A" w:rsidP="00E07077">
            <w:pPr>
              <w:pStyle w:val="Standard"/>
              <w:spacing w:before="120" w:after="120"/>
              <w:rPr>
                <w:rFonts w:ascii="Arial" w:hAnsi="Arial" w:cs="Arial"/>
                <w:b/>
                <w:bCs/>
                <w:sz w:val="20"/>
                <w:szCs w:val="20"/>
              </w:rPr>
            </w:pPr>
            <w:r w:rsidRPr="003E75D1">
              <w:rPr>
                <w:rFonts w:ascii="Arial" w:hAnsi="Arial" w:cs="Arial"/>
                <w:sz w:val="20"/>
                <w:szCs w:val="20"/>
              </w:rPr>
              <w:t>Highest concentration permitted to be used in Australian sunscreen products (C)</w:t>
            </w:r>
          </w:p>
        </w:tc>
        <w:tc>
          <w:tcPr>
            <w:tcW w:w="2755" w:type="dxa"/>
          </w:tcPr>
          <w:p w14:paraId="5E619B2A" w14:textId="77777777" w:rsidR="00B62C8A" w:rsidRPr="003E75D1" w:rsidRDefault="00B62C8A" w:rsidP="00E07077">
            <w:pPr>
              <w:pStyle w:val="Standard"/>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75D1">
              <w:rPr>
                <w:rFonts w:ascii="Arial" w:hAnsi="Arial" w:cs="Arial"/>
                <w:sz w:val="20"/>
                <w:szCs w:val="20"/>
              </w:rPr>
              <w:t>5%</w:t>
            </w:r>
          </w:p>
        </w:tc>
      </w:tr>
    </w:tbl>
    <w:p w14:paraId="1A4C5576" w14:textId="77777777" w:rsidR="00B62C8A" w:rsidRDefault="00B62C8A" w:rsidP="00B62C8A">
      <w:pPr>
        <w:pStyle w:val="Standard"/>
        <w:rPr>
          <w:b/>
          <w:bCs/>
          <w:sz w:val="22"/>
          <w:szCs w:val="22"/>
        </w:rPr>
      </w:pPr>
    </w:p>
    <w:p w14:paraId="7D77430A" w14:textId="77777777" w:rsidR="00B62C8A" w:rsidRPr="003E75D1" w:rsidRDefault="00B62C8A" w:rsidP="00B62C8A">
      <w:pPr>
        <w:pStyle w:val="Standard"/>
        <w:rPr>
          <w:rFonts w:asciiTheme="minorHAnsi" w:hAnsiTheme="minorHAnsi" w:cstheme="minorHAnsi"/>
          <w:b/>
          <w:bCs/>
          <w:sz w:val="20"/>
          <w:szCs w:val="20"/>
        </w:rPr>
      </w:pPr>
      <w:r w:rsidRPr="003E75D1">
        <w:rPr>
          <w:rFonts w:asciiTheme="minorHAnsi" w:hAnsiTheme="minorHAnsi" w:cstheme="minorHAnsi"/>
          <w:b/>
          <w:bCs/>
          <w:sz w:val="20"/>
          <w:szCs w:val="20"/>
        </w:rPr>
        <w:t xml:space="preserve">Estimated </w:t>
      </w:r>
      <w:proofErr w:type="spellStart"/>
      <w:r w:rsidRPr="003E75D1">
        <w:rPr>
          <w:rFonts w:asciiTheme="minorHAnsi" w:hAnsiTheme="minorHAnsi" w:cstheme="minorHAnsi"/>
          <w:b/>
          <w:bCs/>
          <w:sz w:val="20"/>
          <w:szCs w:val="20"/>
        </w:rPr>
        <w:t>ethylhexyl</w:t>
      </w:r>
      <w:proofErr w:type="spellEnd"/>
      <w:r w:rsidRPr="003E75D1">
        <w:rPr>
          <w:rFonts w:asciiTheme="minorHAnsi" w:hAnsiTheme="minorHAnsi" w:cstheme="minorHAnsi"/>
          <w:b/>
          <w:bCs/>
          <w:sz w:val="20"/>
          <w:szCs w:val="20"/>
        </w:rPr>
        <w:t xml:space="preserve"> </w:t>
      </w:r>
      <w:proofErr w:type="spellStart"/>
      <w:r w:rsidRPr="003E75D1">
        <w:rPr>
          <w:rFonts w:asciiTheme="minorHAnsi" w:hAnsiTheme="minorHAnsi" w:cstheme="minorHAnsi"/>
          <w:b/>
          <w:bCs/>
          <w:sz w:val="20"/>
          <w:szCs w:val="20"/>
        </w:rPr>
        <w:t>triazone</w:t>
      </w:r>
      <w:proofErr w:type="spellEnd"/>
      <w:r w:rsidRPr="003E75D1">
        <w:rPr>
          <w:rFonts w:asciiTheme="minorHAnsi" w:hAnsiTheme="minorHAnsi" w:cstheme="minorHAnsi"/>
          <w:b/>
          <w:bCs/>
          <w:sz w:val="20"/>
          <w:szCs w:val="20"/>
        </w:rPr>
        <w:t xml:space="preserve"> SED and MoS using the Australian Sunscreen Exposure Model (ASEM)</w:t>
      </w:r>
    </w:p>
    <w:p w14:paraId="6353D928" w14:textId="77777777" w:rsidR="00B62C8A" w:rsidRDefault="00B62C8A" w:rsidP="00B62C8A">
      <w:pPr>
        <w:pStyle w:val="Heading5sub"/>
      </w:pPr>
      <w:r>
        <w:lastRenderedPageBreak/>
        <w:t>ASEM method 1 (%) MoS calculation</w:t>
      </w:r>
    </w:p>
    <w:p w14:paraId="22BEBD8F" w14:textId="77777777" w:rsidR="00B62C8A" w:rsidRDefault="00B62C8A" w:rsidP="00B62C8A">
      <w:pPr>
        <w:spacing w:before="240"/>
        <w:rPr>
          <w:rFonts w:cs="Arial"/>
          <w:b/>
          <w:bCs/>
        </w:rPr>
      </w:pPr>
      <w:r w:rsidRPr="003645DF">
        <w:rPr>
          <w:rFonts w:cs="Arial"/>
          <w:noProof/>
        </w:rPr>
        <mc:AlternateContent>
          <mc:Choice Requires="wps">
            <w:drawing>
              <wp:inline distT="0" distB="0" distL="0" distR="0" wp14:anchorId="68090627" wp14:editId="3D3DE52D">
                <wp:extent cx="5735781" cy="1423686"/>
                <wp:effectExtent l="0" t="0" r="17780" b="24130"/>
                <wp:docPr id="1249990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781" cy="1423686"/>
                        </a:xfrm>
                        <a:prstGeom prst="rect">
                          <a:avLst/>
                        </a:prstGeom>
                        <a:solidFill>
                          <a:srgbClr val="FFFFFF"/>
                        </a:solidFill>
                        <a:ln w="9525">
                          <a:solidFill>
                            <a:schemeClr val="tx1"/>
                          </a:solidFill>
                          <a:miter lim="800000"/>
                          <a:headEnd/>
                          <a:tailEnd/>
                        </a:ln>
                      </wps:spPr>
                      <wps:txbx>
                        <w:txbxContent>
                          <w:p w14:paraId="605DE0A6" w14:textId="77777777" w:rsidR="00B62C8A" w:rsidRPr="00B232E4" w:rsidRDefault="00B62C8A" w:rsidP="00B62C8A">
                            <w:pPr>
                              <w:rPr>
                                <w:rFonts w:ascii="Times New Roman" w:eastAsiaTheme="minorEastAsia" w:hAnsi="Times New Roman" w:cs="Times New Roman"/>
                                <w:sz w:val="24"/>
                                <w:szCs w:val="24"/>
                              </w:rPr>
                            </w:pPr>
                            <m:oMathPara>
                              <m:oMathParaPr>
                                <m:jc m:val="center"/>
                              </m:oMathParaPr>
                              <m:oMath>
                                <m:r>
                                  <w:rPr>
                                    <w:rFonts w:ascii="Cambria Math" w:hAnsi="Cambria Math" w:cs="Cambria Math"/>
                                    <w:sz w:val="24"/>
                                    <w:szCs w:val="24"/>
                                  </w:rPr>
                                  <m:t>SED=</m:t>
                                </m:r>
                                <m:sSub>
                                  <m:sSubPr>
                                    <m:ctrlPr>
                                      <w:rPr>
                                        <w:rFonts w:ascii="Cambria Math" w:hAnsi="Cambria Math" w:cs="Cambria Math"/>
                                        <w:i/>
                                        <w:iCs/>
                                        <w:sz w:val="24"/>
                                        <w:szCs w:val="24"/>
                                      </w:rPr>
                                    </m:ctrlPr>
                                  </m:sSubPr>
                                  <m:e>
                                    <m:r>
                                      <w:rPr>
                                        <w:rFonts w:ascii="Cambria Math" w:hAnsi="Cambria Math" w:cs="Cambria Math"/>
                                        <w:sz w:val="24"/>
                                        <w:szCs w:val="24"/>
                                      </w:rPr>
                                      <m:t>ASEM</m:t>
                                    </m:r>
                                  </m:e>
                                  <m:sub>
                                    <m:d>
                                      <m:dPr>
                                        <m:ctrlPr>
                                          <w:rPr>
                                            <w:rFonts w:ascii="Cambria Math" w:hAnsi="Cambria Math" w:cs="Arial"/>
                                            <w:sz w:val="24"/>
                                            <w:szCs w:val="24"/>
                                          </w:rPr>
                                        </m:ctrlPr>
                                      </m:dPr>
                                      <m:e>
                                        <m:r>
                                          <m:rPr>
                                            <m:sty m:val="p"/>
                                          </m:rPr>
                                          <w:rPr>
                                            <w:rFonts w:ascii="Cambria Math" w:hAnsi="Cambria Math" w:cs="Arial"/>
                                            <w:sz w:val="24"/>
                                            <w:szCs w:val="24"/>
                                          </w:rPr>
                                          <m:t>method1</m:t>
                                        </m:r>
                                      </m:e>
                                    </m:d>
                                  </m:sub>
                                </m:sSub>
                                <m:r>
                                  <w:rPr>
                                    <w:rFonts w:ascii="Cambria Math" w:hAnsi="Cambria Math" w:cs="Cambria Math"/>
                                    <w:sz w:val="24"/>
                                    <w:szCs w:val="24"/>
                                  </w:rPr>
                                  <m:t>×</m:t>
                                </m:r>
                                <m:sSub>
                                  <m:sSubPr>
                                    <m:ctrlPr>
                                      <w:rPr>
                                        <w:rFonts w:ascii="Cambria Math" w:hAnsi="Cambria Math" w:cs="Cambria Math"/>
                                        <w:i/>
                                        <w:sz w:val="24"/>
                                        <w:szCs w:val="24"/>
                                      </w:rPr>
                                    </m:ctrlPr>
                                  </m:sSubPr>
                                  <m:e>
                                    <m:r>
                                      <w:rPr>
                                        <w:rFonts w:ascii="Cambria Math" w:hAnsi="Cambria Math" w:cs="Cambria Math"/>
                                        <w:sz w:val="24"/>
                                        <w:szCs w:val="24"/>
                                      </w:rPr>
                                      <m:t>DA</m:t>
                                    </m:r>
                                  </m:e>
                                  <m:sub>
                                    <m:r>
                                      <w:rPr>
                                        <w:rFonts w:ascii="Cambria Math" w:hAnsi="Cambria Math" w:cs="Cambria Math"/>
                                        <w:sz w:val="24"/>
                                        <w:szCs w:val="24"/>
                                      </w:rPr>
                                      <m:t>p</m:t>
                                    </m:r>
                                  </m:sub>
                                </m:sSub>
                                <m:r>
                                  <w:rPr>
                                    <w:rFonts w:ascii="Cambria Math" w:hAnsi="Cambria Math" w:cs="Cambria Math"/>
                                    <w:sz w:val="24"/>
                                    <w:szCs w:val="24"/>
                                  </w:rPr>
                                  <m:t xml:space="preserve">×C                </m:t>
                                </m:r>
                              </m:oMath>
                            </m:oMathPara>
                          </w:p>
                          <w:p w14:paraId="0C802310" w14:textId="77777777" w:rsidR="00B62C8A" w:rsidRPr="00B232E4" w:rsidRDefault="00B62C8A" w:rsidP="00B62C8A">
                            <w:pPr>
                              <w:rPr>
                                <w:rFonts w:ascii="Cambria Math" w:hAnsi="Cambria Math" w:cs="Cambria Math"/>
                                <w:b/>
                                <w:bCs/>
                                <w:sz w:val="24"/>
                                <w:szCs w:val="24"/>
                              </w:rPr>
                            </w:pPr>
                            <m:oMathPara>
                              <m:oMathParaPr>
                                <m:jc m:val="center"/>
                              </m:oMathParaPr>
                              <m:oMath>
                                <m:r>
                                  <w:rPr>
                                    <w:rFonts w:ascii="Cambria Math" w:hAnsi="Cambria Math" w:cs="Cambria Math"/>
                                    <w:sz w:val="24"/>
                                    <w:szCs w:val="24"/>
                                  </w:rPr>
                                  <m:t>=673 mg/kg bw/day ×10 %×5%</m:t>
                                </m:r>
                                <m:r>
                                  <w:rPr>
                                    <w:rFonts w:ascii="Cambria Math" w:eastAsiaTheme="minorEastAsia" w:hAnsi="Cambria Math" w:cs="Arial"/>
                                    <w:sz w:val="24"/>
                                    <w:szCs w:val="24"/>
                                  </w:rPr>
                                  <m:t>=3.365 mg/kg bw/day</m:t>
                                </m:r>
                              </m:oMath>
                            </m:oMathPara>
                          </w:p>
                          <w:p w14:paraId="2ACDDFBA" w14:textId="77777777" w:rsidR="00B62C8A" w:rsidRPr="00B232E4" w:rsidRDefault="00B62C8A" w:rsidP="00B62C8A">
                            <w:pPr>
                              <w:spacing w:before="120" w:line="240" w:lineRule="atLeast"/>
                              <w:rPr>
                                <w:sz w:val="24"/>
                                <w:szCs w:val="24"/>
                              </w:rPr>
                            </w:pPr>
                            <m:oMathPara>
                              <m:oMathParaPr>
                                <m:jc m:val="center"/>
                              </m:oMathParaPr>
                              <m:oMath>
                                <m:r>
                                  <m:rPr>
                                    <m:sty m:val="p"/>
                                  </m:rPr>
                                  <w:rPr>
                                    <w:rFonts w:ascii="Cambria Math" w:hAnsi="Cambria Math"/>
                                    <w:sz w:val="24"/>
                                    <w:szCs w:val="24"/>
                                  </w:rPr>
                                  <w:br/>
                                </m:r>
                              </m:oMath>
                              <m:oMath>
                                <m:r>
                                  <w:rPr>
                                    <w:rFonts w:ascii="Cambria Math" w:hAnsi="Cambria Math"/>
                                    <w:sz w:val="24"/>
                                    <w:szCs w:val="24"/>
                                  </w:rPr>
                                  <m:t xml:space="preserve">MoS= </m:t>
                                </m:r>
                                <m:f>
                                  <m:fPr>
                                    <m:ctrlPr>
                                      <w:rPr>
                                        <w:rFonts w:ascii="Cambria Math" w:hAnsi="Cambria Math"/>
                                        <w:i/>
                                        <w:sz w:val="24"/>
                                        <w:szCs w:val="24"/>
                                      </w:rPr>
                                    </m:ctrlPr>
                                  </m:fPr>
                                  <m:num>
                                    <m:r>
                                      <w:rPr>
                                        <w:rFonts w:ascii="Cambria Math" w:hAnsi="Cambria Math"/>
                                        <w:sz w:val="24"/>
                                        <w:szCs w:val="24"/>
                                      </w:rPr>
                                      <m:t>NOAEL (mg/kg bw/day)</m:t>
                                    </m:r>
                                  </m:num>
                                  <m:den>
                                    <m:r>
                                      <w:rPr>
                                        <w:rFonts w:ascii="Cambria Math" w:hAnsi="Cambria Math"/>
                                        <w:sz w:val="24"/>
                                        <w:szCs w:val="24"/>
                                      </w:rPr>
                                      <m:t>SED (mg/kg bw/day)</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 xml:space="preserve">1000 mg/kg bw/d </m:t>
                                    </m:r>
                                  </m:num>
                                  <m:den>
                                    <m:r>
                                      <w:rPr>
                                        <w:rFonts w:ascii="Cambria Math" w:hAnsi="Cambria Math"/>
                                        <w:sz w:val="24"/>
                                        <w:szCs w:val="24"/>
                                      </w:rPr>
                                      <m:t>3.365 mg/kg bw/d</m:t>
                                    </m:r>
                                  </m:den>
                                </m:f>
                                <m:r>
                                  <w:rPr>
                                    <w:rFonts w:ascii="Cambria Math" w:hAnsi="Cambria Math"/>
                                    <w:sz w:val="24"/>
                                    <w:szCs w:val="24"/>
                                  </w:rPr>
                                  <m:t>=</m:t>
                                </m:r>
                                <m:r>
                                  <m:rPr>
                                    <m:sty m:val="bi"/>
                                  </m:rPr>
                                  <w:rPr>
                                    <w:rFonts w:ascii="Cambria Math" w:hAnsi="Cambria Math"/>
                                    <w:sz w:val="24"/>
                                    <w:szCs w:val="24"/>
                                  </w:rPr>
                                  <m:t>297</m:t>
                                </m:r>
                              </m:oMath>
                            </m:oMathPara>
                          </w:p>
                          <w:p w14:paraId="370C9DEA" w14:textId="77777777" w:rsidR="00B62C8A" w:rsidRPr="00FE038B" w:rsidRDefault="00B62C8A" w:rsidP="00B62C8A">
                            <w:proofErr w:type="spellStart"/>
                            <w:r w:rsidRPr="00FE038B">
                              <w:rPr>
                                <w:rFonts w:ascii="Cambria Math" w:eastAsiaTheme="minorEastAsia" w:hAnsi="Cambria Math"/>
                                <w:sz w:val="18"/>
                                <w:szCs w:val="18"/>
                              </w:rPr>
                              <w:t>DA</w:t>
                            </w:r>
                            <w:r w:rsidRPr="00FE038B">
                              <w:rPr>
                                <w:rFonts w:ascii="Cambria Math" w:eastAsiaTheme="minorEastAsia" w:hAnsi="Cambria Math"/>
                                <w:sz w:val="18"/>
                                <w:szCs w:val="18"/>
                                <w:vertAlign w:val="subscript"/>
                              </w:rPr>
                              <w:t>p</w:t>
                            </w:r>
                            <w:proofErr w:type="spellEnd"/>
                            <w:r w:rsidRPr="00FE038B">
                              <w:rPr>
                                <w:rFonts w:ascii="Cambria Math" w:eastAsiaTheme="minorEastAsia" w:hAnsi="Cambria Math"/>
                                <w:sz w:val="18"/>
                                <w:szCs w:val="18"/>
                              </w:rPr>
                              <w:t>: Dermal Absorption,</w:t>
                            </w:r>
                            <w:r w:rsidRPr="00FE038B">
                              <w:rPr>
                                <w:rFonts w:ascii="Cambria Math" w:hAnsi="Cambria Math"/>
                                <w:sz w:val="18"/>
                                <w:szCs w:val="18"/>
                              </w:rPr>
                              <w:t xml:space="preserve"> C: Concentration</w:t>
                            </w:r>
                          </w:p>
                        </w:txbxContent>
                      </wps:txbx>
                      <wps:bodyPr rot="0" vert="horz" wrap="square" lIns="91440" tIns="45720" rIns="91440" bIns="45720" anchor="t" anchorCtr="0">
                        <a:noAutofit/>
                      </wps:bodyPr>
                    </wps:wsp>
                  </a:graphicData>
                </a:graphic>
              </wp:inline>
            </w:drawing>
          </mc:Choice>
          <mc:Fallback>
            <w:pict>
              <v:shape w14:anchorId="68090627" id="_x0000_s1027" type="#_x0000_t202" style="width:451.65pt;height:1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N1GgIAACYEAAAOAAAAZHJzL2Uyb0RvYy54bWysU21v2yAQ/j5p/wHxfXGcJmlqxam6dJkm&#10;dS9Stx+AMY7RgGNAYme/fgd207T7No0PiOPgubvnnlvf9lqRo3BegilpPplSIgyHWpp9SX98371b&#10;UeIDMzVTYERJT8LT283bN+vOFmIGLahaOIIgxhedLWkbgi2yzPNWaOYnYIVBZwNOs4Cm22e1Yx2i&#10;a5XNptNl1oGrrQMuvMfb+8FJNwm/aQQPX5vGi0BUSTG3kHaX9iru2WbNir1jtpV8TIP9QxaaSYNB&#10;z1D3LDBycPIvKC25Aw9NmHDQGTSN5CLVgNXk01fVPLbMilQLkuPtmSb//2D5l+Oj/eZI6N9Djw1M&#10;RXj7APynJwa2LTN7ceccdK1gNQbOI2VZZ30xfo1U+8JHkKr7DDU2mR0CJKC+cTqygnUSRMcGnM6k&#10;iz4QjpeL66vF9SqnhKMvn8+ulqtlisGKp+/W+fBRgCbxUFKHXU3w7PjgQ0yHFU9PYjQPStY7qVQy&#10;3L7aKkeODBWwS2tEf/FMGdKV9GYxWwwMvICIYhRnkNAPHLwKpGVAJSupS7qaxjVoK9L2wdRJZ4FJ&#10;NZwxY2VGHiN1A4mhr3oi65HkSGsF9QmJdTAIFwcNDy2435R0KNqS+l8H5gQl6pPB5tzk83lUeTLm&#10;i+sZGu7SU116mOEIVdJAyXDchjQZkTYDd9jERiZ6nzMZU0YxJtbHwYlqv7TTq+fx3vwBAAD//wMA&#10;UEsDBBQABgAIAAAAIQDgv/Wc2wAAAAUBAAAPAAAAZHJzL2Rvd25yZXYueG1sTI9BS8NAEIXvgv9h&#10;GcGb3ZhKqTGbIpXUk4WmgnibZsckmJ0N2W0b/72jF70MPN7jvW/y1eR6daIxdJ4N3M4SUMS1tx03&#10;Bl735c0SVIjIFnvPZOCLAqyKy4scM+vPvKNTFRslJRwyNNDGOGRah7olh2HmB2LxPvzoMIocG21H&#10;PEu563WaJAvtsGNZaHGgdUv1Z3V0Bp439VMVdMBys3sZ3tdvtrRba8z11fT4ACrSFP/C8IMv6FAI&#10;08Ef2QbVG5BH4u8V7z6Zz0EdDKTpXQq6yPV/+uIbAAD//wMAUEsBAi0AFAAGAAgAAAAhALaDOJL+&#10;AAAA4QEAABMAAAAAAAAAAAAAAAAAAAAAAFtDb250ZW50X1R5cGVzXS54bWxQSwECLQAUAAYACAAA&#10;ACEAOP0h/9YAAACUAQAACwAAAAAAAAAAAAAAAAAvAQAAX3JlbHMvLnJlbHNQSwECLQAUAAYACAAA&#10;ACEAW3ojdRoCAAAmBAAADgAAAAAAAAAAAAAAAAAuAgAAZHJzL2Uyb0RvYy54bWxQSwECLQAUAAYA&#10;CAAAACEA4L/1nNsAAAAFAQAADwAAAAAAAAAAAAAAAAB0BAAAZHJzL2Rvd25yZXYueG1sUEsFBgAA&#10;AAAEAAQA8wAAAHwFAAAAAA==&#10;" strokecolor="#002c47 [3213]">
                <v:textbox>
                  <w:txbxContent>
                    <w:p w14:paraId="605DE0A6" w14:textId="77777777" w:rsidR="00B62C8A" w:rsidRPr="00B232E4" w:rsidRDefault="00B62C8A" w:rsidP="00B62C8A">
                      <w:pPr>
                        <w:rPr>
                          <w:rFonts w:ascii="Times New Roman" w:eastAsiaTheme="minorEastAsia" w:hAnsi="Times New Roman" w:cs="Times New Roman"/>
                          <w:sz w:val="24"/>
                          <w:szCs w:val="24"/>
                        </w:rPr>
                      </w:pPr>
                      <m:oMathPara>
                        <m:oMathParaPr>
                          <m:jc m:val="center"/>
                        </m:oMathParaPr>
                        <m:oMath>
                          <m:r>
                            <w:rPr>
                              <w:rFonts w:ascii="Cambria Math" w:hAnsi="Cambria Math" w:cs="Cambria Math"/>
                              <w:sz w:val="24"/>
                              <w:szCs w:val="24"/>
                            </w:rPr>
                            <m:t>SED=</m:t>
                          </m:r>
                          <m:sSub>
                            <m:sSubPr>
                              <m:ctrlPr>
                                <w:rPr>
                                  <w:rFonts w:ascii="Cambria Math" w:hAnsi="Cambria Math" w:cs="Cambria Math"/>
                                  <w:i/>
                                  <w:iCs/>
                                  <w:sz w:val="24"/>
                                  <w:szCs w:val="24"/>
                                </w:rPr>
                              </m:ctrlPr>
                            </m:sSubPr>
                            <m:e>
                              <m:r>
                                <w:rPr>
                                  <w:rFonts w:ascii="Cambria Math" w:hAnsi="Cambria Math" w:cs="Cambria Math"/>
                                  <w:sz w:val="24"/>
                                  <w:szCs w:val="24"/>
                                </w:rPr>
                                <m:t>ASEM</m:t>
                              </m:r>
                            </m:e>
                            <m:sub>
                              <m:d>
                                <m:dPr>
                                  <m:ctrlPr>
                                    <w:rPr>
                                      <w:rFonts w:ascii="Cambria Math" w:hAnsi="Cambria Math" w:cs="Arial"/>
                                      <w:sz w:val="24"/>
                                      <w:szCs w:val="24"/>
                                    </w:rPr>
                                  </m:ctrlPr>
                                </m:dPr>
                                <m:e>
                                  <m:r>
                                    <m:rPr>
                                      <m:sty m:val="p"/>
                                    </m:rPr>
                                    <w:rPr>
                                      <w:rFonts w:ascii="Cambria Math" w:hAnsi="Cambria Math" w:cs="Arial"/>
                                      <w:sz w:val="24"/>
                                      <w:szCs w:val="24"/>
                                    </w:rPr>
                                    <m:t>method1</m:t>
                                  </m:r>
                                </m:e>
                              </m:d>
                            </m:sub>
                          </m:sSub>
                          <m:r>
                            <w:rPr>
                              <w:rFonts w:ascii="Cambria Math" w:hAnsi="Cambria Math" w:cs="Cambria Math"/>
                              <w:sz w:val="24"/>
                              <w:szCs w:val="24"/>
                            </w:rPr>
                            <m:t>×</m:t>
                          </m:r>
                          <m:sSub>
                            <m:sSubPr>
                              <m:ctrlPr>
                                <w:rPr>
                                  <w:rFonts w:ascii="Cambria Math" w:hAnsi="Cambria Math" w:cs="Cambria Math"/>
                                  <w:i/>
                                  <w:sz w:val="24"/>
                                  <w:szCs w:val="24"/>
                                </w:rPr>
                              </m:ctrlPr>
                            </m:sSubPr>
                            <m:e>
                              <m:r>
                                <w:rPr>
                                  <w:rFonts w:ascii="Cambria Math" w:hAnsi="Cambria Math" w:cs="Cambria Math"/>
                                  <w:sz w:val="24"/>
                                  <w:szCs w:val="24"/>
                                </w:rPr>
                                <m:t>DA</m:t>
                              </m:r>
                            </m:e>
                            <m:sub>
                              <m:r>
                                <w:rPr>
                                  <w:rFonts w:ascii="Cambria Math" w:hAnsi="Cambria Math" w:cs="Cambria Math"/>
                                  <w:sz w:val="24"/>
                                  <w:szCs w:val="24"/>
                                </w:rPr>
                                <m:t>p</m:t>
                              </m:r>
                            </m:sub>
                          </m:sSub>
                          <m:r>
                            <w:rPr>
                              <w:rFonts w:ascii="Cambria Math" w:hAnsi="Cambria Math" w:cs="Cambria Math"/>
                              <w:sz w:val="24"/>
                              <w:szCs w:val="24"/>
                            </w:rPr>
                            <m:t xml:space="preserve">×C                </m:t>
                          </m:r>
                        </m:oMath>
                      </m:oMathPara>
                    </w:p>
                    <w:p w14:paraId="0C802310" w14:textId="77777777" w:rsidR="00B62C8A" w:rsidRPr="00B232E4" w:rsidRDefault="00B62C8A" w:rsidP="00B62C8A">
                      <w:pPr>
                        <w:rPr>
                          <w:rFonts w:ascii="Cambria Math" w:hAnsi="Cambria Math" w:cs="Cambria Math"/>
                          <w:b/>
                          <w:bCs/>
                          <w:sz w:val="24"/>
                          <w:szCs w:val="24"/>
                        </w:rPr>
                      </w:pPr>
                      <m:oMathPara>
                        <m:oMathParaPr>
                          <m:jc m:val="center"/>
                        </m:oMathParaPr>
                        <m:oMath>
                          <m:r>
                            <w:rPr>
                              <w:rFonts w:ascii="Cambria Math" w:hAnsi="Cambria Math" w:cs="Cambria Math"/>
                              <w:sz w:val="24"/>
                              <w:szCs w:val="24"/>
                            </w:rPr>
                            <m:t>=673 mg/kg bw/day ×10 %×5%</m:t>
                          </m:r>
                          <m:r>
                            <w:rPr>
                              <w:rFonts w:ascii="Cambria Math" w:eastAsiaTheme="minorEastAsia" w:hAnsi="Cambria Math" w:cs="Arial"/>
                              <w:sz w:val="24"/>
                              <w:szCs w:val="24"/>
                            </w:rPr>
                            <m:t>=3.365 mg/kg bw/day</m:t>
                          </m:r>
                        </m:oMath>
                      </m:oMathPara>
                    </w:p>
                    <w:p w14:paraId="2ACDDFBA" w14:textId="77777777" w:rsidR="00B62C8A" w:rsidRPr="00B232E4" w:rsidRDefault="00B62C8A" w:rsidP="00B62C8A">
                      <w:pPr>
                        <w:spacing w:before="120" w:line="240" w:lineRule="atLeast"/>
                        <w:rPr>
                          <w:sz w:val="24"/>
                          <w:szCs w:val="24"/>
                        </w:rPr>
                      </w:pPr>
                      <m:oMathPara>
                        <m:oMathParaPr>
                          <m:jc m:val="center"/>
                        </m:oMathParaPr>
                        <m:oMath>
                          <m:r>
                            <m:rPr>
                              <m:sty m:val="p"/>
                            </m:rPr>
                            <w:rPr>
                              <w:rFonts w:ascii="Cambria Math" w:hAnsi="Cambria Math"/>
                              <w:sz w:val="24"/>
                              <w:szCs w:val="24"/>
                            </w:rPr>
                            <w:br/>
                          </m:r>
                        </m:oMath>
                        <m:oMath>
                          <m:r>
                            <w:rPr>
                              <w:rFonts w:ascii="Cambria Math" w:hAnsi="Cambria Math"/>
                              <w:sz w:val="24"/>
                              <w:szCs w:val="24"/>
                            </w:rPr>
                            <m:t xml:space="preserve">MoS= </m:t>
                          </m:r>
                          <m:f>
                            <m:fPr>
                              <m:ctrlPr>
                                <w:rPr>
                                  <w:rFonts w:ascii="Cambria Math" w:hAnsi="Cambria Math"/>
                                  <w:i/>
                                  <w:sz w:val="24"/>
                                  <w:szCs w:val="24"/>
                                </w:rPr>
                              </m:ctrlPr>
                            </m:fPr>
                            <m:num>
                              <m:r>
                                <w:rPr>
                                  <w:rFonts w:ascii="Cambria Math" w:hAnsi="Cambria Math"/>
                                  <w:sz w:val="24"/>
                                  <w:szCs w:val="24"/>
                                </w:rPr>
                                <m:t>NOAEL (mg/kg bw/day)</m:t>
                              </m:r>
                            </m:num>
                            <m:den>
                              <m:r>
                                <w:rPr>
                                  <w:rFonts w:ascii="Cambria Math" w:hAnsi="Cambria Math"/>
                                  <w:sz w:val="24"/>
                                  <w:szCs w:val="24"/>
                                </w:rPr>
                                <m:t>SED (mg/kg bw/day)</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 xml:space="preserve">1000 mg/kg bw/d </m:t>
                              </m:r>
                            </m:num>
                            <m:den>
                              <m:r>
                                <w:rPr>
                                  <w:rFonts w:ascii="Cambria Math" w:hAnsi="Cambria Math"/>
                                  <w:sz w:val="24"/>
                                  <w:szCs w:val="24"/>
                                </w:rPr>
                                <m:t>3.365 mg/kg bw/d</m:t>
                              </m:r>
                            </m:den>
                          </m:f>
                          <m:r>
                            <w:rPr>
                              <w:rFonts w:ascii="Cambria Math" w:hAnsi="Cambria Math"/>
                              <w:sz w:val="24"/>
                              <w:szCs w:val="24"/>
                            </w:rPr>
                            <m:t>=</m:t>
                          </m:r>
                          <m:r>
                            <m:rPr>
                              <m:sty m:val="bi"/>
                            </m:rPr>
                            <w:rPr>
                              <w:rFonts w:ascii="Cambria Math" w:hAnsi="Cambria Math"/>
                              <w:sz w:val="24"/>
                              <w:szCs w:val="24"/>
                            </w:rPr>
                            <m:t>297</m:t>
                          </m:r>
                        </m:oMath>
                      </m:oMathPara>
                    </w:p>
                    <w:p w14:paraId="370C9DEA" w14:textId="77777777" w:rsidR="00B62C8A" w:rsidRPr="00FE038B" w:rsidRDefault="00B62C8A" w:rsidP="00B62C8A">
                      <w:proofErr w:type="spellStart"/>
                      <w:r w:rsidRPr="00FE038B">
                        <w:rPr>
                          <w:rFonts w:ascii="Cambria Math" w:eastAsiaTheme="minorEastAsia" w:hAnsi="Cambria Math"/>
                          <w:sz w:val="18"/>
                          <w:szCs w:val="18"/>
                        </w:rPr>
                        <w:t>DA</w:t>
                      </w:r>
                      <w:r w:rsidRPr="00FE038B">
                        <w:rPr>
                          <w:rFonts w:ascii="Cambria Math" w:eastAsiaTheme="minorEastAsia" w:hAnsi="Cambria Math"/>
                          <w:sz w:val="18"/>
                          <w:szCs w:val="18"/>
                          <w:vertAlign w:val="subscript"/>
                        </w:rPr>
                        <w:t>p</w:t>
                      </w:r>
                      <w:proofErr w:type="spellEnd"/>
                      <w:r w:rsidRPr="00FE038B">
                        <w:rPr>
                          <w:rFonts w:ascii="Cambria Math" w:eastAsiaTheme="minorEastAsia" w:hAnsi="Cambria Math"/>
                          <w:sz w:val="18"/>
                          <w:szCs w:val="18"/>
                        </w:rPr>
                        <w:t>: Dermal Absorption,</w:t>
                      </w:r>
                      <w:r w:rsidRPr="00FE038B">
                        <w:rPr>
                          <w:rFonts w:ascii="Cambria Math" w:hAnsi="Cambria Math"/>
                          <w:sz w:val="18"/>
                          <w:szCs w:val="18"/>
                        </w:rPr>
                        <w:t xml:space="preserve"> C: Concentration</w:t>
                      </w:r>
                    </w:p>
                  </w:txbxContent>
                </v:textbox>
                <w10:anchorlock/>
              </v:shape>
            </w:pict>
          </mc:Fallback>
        </mc:AlternateContent>
      </w:r>
    </w:p>
    <w:p w14:paraId="0A7ACB41" w14:textId="77777777" w:rsidR="00B62C8A" w:rsidRDefault="00B62C8A" w:rsidP="00B62C8A">
      <w:pPr>
        <w:pStyle w:val="Heading4"/>
      </w:pPr>
      <w:bookmarkStart w:id="108" w:name="_Toc190944927"/>
      <w:bookmarkStart w:id="109" w:name="_Toc199254964"/>
      <w:r>
        <w:t>Recommendation</w:t>
      </w:r>
      <w:bookmarkEnd w:id="108"/>
      <w:bookmarkEnd w:id="109"/>
    </w:p>
    <w:p w14:paraId="1D098241" w14:textId="780E029B" w:rsidR="00B62C8A" w:rsidRDefault="00B62C8A" w:rsidP="00B62C8A">
      <w:pPr>
        <w:rPr>
          <w:rFonts w:eastAsia="Times New Roman" w:cs="Times New Roman"/>
          <w:b/>
          <w:bCs/>
          <w:color w:val="001871"/>
          <w:sz w:val="32"/>
          <w:szCs w:val="32"/>
        </w:rPr>
      </w:pPr>
      <w:r w:rsidRPr="00241EBC">
        <w:t xml:space="preserve">A MoS </w:t>
      </w:r>
      <w:r>
        <w:t xml:space="preserve">greater than </w:t>
      </w:r>
      <w:r w:rsidRPr="00241EBC">
        <w:t xml:space="preserve">100 was calculated using the ASEM. As a result, </w:t>
      </w:r>
      <w:proofErr w:type="spellStart"/>
      <w:r>
        <w:t>ethylhexyl</w:t>
      </w:r>
      <w:proofErr w:type="spellEnd"/>
      <w:r>
        <w:t xml:space="preserve"> </w:t>
      </w:r>
      <w:proofErr w:type="spellStart"/>
      <w:r>
        <w:t>triazone</w:t>
      </w:r>
      <w:proofErr w:type="spellEnd"/>
      <w:r w:rsidRPr="00241EBC">
        <w:t xml:space="preserve"> is deemed to present a low</w:t>
      </w:r>
      <w:r>
        <w:t xml:space="preserve"> </w:t>
      </w:r>
      <w:r w:rsidRPr="00241EBC">
        <w:t>risk to human health and safety when used at the highest maximum permitted concentration of 5% in therapeutic sunscreens. No changes are recommended to the current permitted use.</w:t>
      </w:r>
    </w:p>
    <w:p w14:paraId="10D6C9F6" w14:textId="77777777" w:rsidR="00B62C8A" w:rsidRDefault="00B62C8A" w:rsidP="00B62C8A">
      <w:pPr>
        <w:pStyle w:val="Heading3"/>
      </w:pPr>
      <w:bookmarkStart w:id="110" w:name="_Toc190944928"/>
      <w:bookmarkStart w:id="111" w:name="_Toc199254965"/>
      <w:proofErr w:type="spellStart"/>
      <w:r>
        <w:t>Homosalate</w:t>
      </w:r>
      <w:proofErr w:type="spellEnd"/>
      <w:r>
        <w:t xml:space="preserve"> safety assessment</w:t>
      </w:r>
      <w:bookmarkEnd w:id="110"/>
      <w:bookmarkEnd w:id="111"/>
    </w:p>
    <w:p w14:paraId="1B0EADBF" w14:textId="77777777" w:rsidR="00B62C8A" w:rsidRPr="0074486E" w:rsidRDefault="00B62C8A" w:rsidP="003E75D1">
      <w:pPr>
        <w:rPr>
          <w:vertAlign w:val="superscript"/>
          <w:lang w:eastAsia="en-AU"/>
        </w:rPr>
      </w:pPr>
      <w:r w:rsidRPr="00115DBD">
        <w:rPr>
          <w:lang w:eastAsia="en-AU"/>
        </w:rPr>
        <w:t>This assessment is based on the published literature, ECHA dossier and SCCS opinions (ECHA, 2021c; SCCS, 202</w:t>
      </w:r>
      <w:r w:rsidRPr="00644C80">
        <w:rPr>
          <w:lang w:eastAsia="en-AU"/>
        </w:rPr>
        <w:t>1b,</w:t>
      </w:r>
      <w:r>
        <w:rPr>
          <w:lang w:eastAsia="en-AU"/>
        </w:rPr>
        <w:t xml:space="preserve"> </w:t>
      </w:r>
      <w:r w:rsidRPr="00644C80">
        <w:rPr>
          <w:lang w:eastAsia="en-AU"/>
        </w:rPr>
        <w:t>c</w:t>
      </w:r>
      <w:r w:rsidRPr="00115DBD">
        <w:rPr>
          <w:lang w:eastAsia="en-AU"/>
        </w:rPr>
        <w:t>).</w:t>
      </w:r>
      <w:r w:rsidRPr="00115DBD">
        <w:rPr>
          <w:vertAlign w:val="superscript"/>
          <w:lang w:eastAsia="en-AU"/>
        </w:rPr>
        <w:t xml:space="preserve">  </w:t>
      </w:r>
      <w:r w:rsidRPr="00115DBD">
        <w:rPr>
          <w:lang w:eastAsia="en-AU"/>
        </w:rPr>
        <w:t xml:space="preserve">The SCCS first published their opinion on </w:t>
      </w:r>
      <w:proofErr w:type="spellStart"/>
      <w:r w:rsidRPr="00115DBD">
        <w:rPr>
          <w:lang w:eastAsia="en-AU"/>
        </w:rPr>
        <w:t>homosalate</w:t>
      </w:r>
      <w:proofErr w:type="spellEnd"/>
      <w:r w:rsidRPr="00115DBD">
        <w:rPr>
          <w:lang w:eastAsia="en-AU"/>
        </w:rPr>
        <w:t xml:space="preserve"> in 2007 (SCCS, 2007), and recently extended their preliminary opinion (SCCS, 2021</w:t>
      </w:r>
      <w:r w:rsidRPr="00644C80">
        <w:rPr>
          <w:lang w:eastAsia="en-AU"/>
        </w:rPr>
        <w:t>b</w:t>
      </w:r>
      <w:r w:rsidRPr="00115DBD">
        <w:rPr>
          <w:lang w:eastAsia="en-AU"/>
        </w:rPr>
        <w:t xml:space="preserve">) based on new information of </w:t>
      </w:r>
      <w:proofErr w:type="spellStart"/>
      <w:r w:rsidRPr="00115DBD">
        <w:rPr>
          <w:lang w:eastAsia="en-AU"/>
        </w:rPr>
        <w:t>homosalate</w:t>
      </w:r>
      <w:proofErr w:type="spellEnd"/>
      <w:r w:rsidRPr="00115DBD">
        <w:rPr>
          <w:lang w:eastAsia="en-AU"/>
        </w:rPr>
        <w:t xml:space="preserve"> in late 2021 (SCCS, 2021</w:t>
      </w:r>
      <w:r w:rsidRPr="00644C80">
        <w:rPr>
          <w:lang w:eastAsia="en-AU"/>
        </w:rPr>
        <w:t>c</w:t>
      </w:r>
      <w:r w:rsidRPr="00115DBD">
        <w:rPr>
          <w:lang w:eastAsia="en-AU"/>
        </w:rPr>
        <w:t>).</w:t>
      </w:r>
    </w:p>
    <w:p w14:paraId="46CE9E97" w14:textId="77777777" w:rsidR="00B62C8A" w:rsidRPr="0074486E" w:rsidRDefault="00B62C8A" w:rsidP="003E75D1">
      <w:pPr>
        <w:rPr>
          <w:lang w:eastAsia="en-AU"/>
        </w:rPr>
      </w:pPr>
      <w:r>
        <w:rPr>
          <w:lang w:eastAsia="en-AU"/>
        </w:rPr>
        <w:t>Animal studies</w:t>
      </w:r>
      <w:r w:rsidRPr="0074486E">
        <w:rPr>
          <w:lang w:eastAsia="en-AU"/>
        </w:rPr>
        <w:t xml:space="preserve"> and </w:t>
      </w:r>
      <w:r>
        <w:rPr>
          <w:lang w:eastAsia="en-AU"/>
        </w:rPr>
        <w:t xml:space="preserve">studies with </w:t>
      </w:r>
      <w:r w:rsidRPr="0074486E">
        <w:rPr>
          <w:lang w:eastAsia="en-AU"/>
        </w:rPr>
        <w:t xml:space="preserve">human skin showed that </w:t>
      </w:r>
      <w:proofErr w:type="spellStart"/>
      <w:r w:rsidRPr="0074486E">
        <w:rPr>
          <w:lang w:eastAsia="en-AU"/>
        </w:rPr>
        <w:t>homosalate</w:t>
      </w:r>
      <w:proofErr w:type="spellEnd"/>
      <w:r w:rsidRPr="0074486E">
        <w:rPr>
          <w:lang w:eastAsia="en-AU"/>
        </w:rPr>
        <w:t xml:space="preserve"> could penetrate the skin. Evidence from </w:t>
      </w:r>
      <w:r w:rsidRPr="0074486E">
        <w:rPr>
          <w:i/>
          <w:lang w:eastAsia="en-AU"/>
        </w:rPr>
        <w:t>in vitro</w:t>
      </w:r>
      <w:r w:rsidRPr="0074486E">
        <w:rPr>
          <w:lang w:eastAsia="en-AU"/>
        </w:rPr>
        <w:t xml:space="preserve"> experiments indicates that about 1.1% of the applied dose was absorbed in human skin (range: 0.9-2.0%)</w:t>
      </w:r>
      <w:r>
        <w:rPr>
          <w:lang w:eastAsia="en-AU"/>
        </w:rPr>
        <w:t xml:space="preserve"> </w:t>
      </w:r>
      <w:r w:rsidRPr="0074486E">
        <w:rPr>
          <w:lang w:eastAsia="en-AU"/>
        </w:rPr>
        <w:t>(</w:t>
      </w:r>
      <w:r w:rsidRPr="0074486E">
        <w:rPr>
          <w:rFonts w:cstheme="minorHAnsi"/>
        </w:rPr>
        <w:t>CTFA, 2005</w:t>
      </w:r>
      <w:r w:rsidRPr="0074486E">
        <w:rPr>
          <w:lang w:eastAsia="en-AU"/>
        </w:rPr>
        <w:t>). The maximal absorption value observed in the donor with highest absorption values (</w:t>
      </w:r>
      <w:r>
        <w:rPr>
          <w:lang w:eastAsia="en-AU"/>
        </w:rPr>
        <w:t xml:space="preserve">5.3 </w:t>
      </w:r>
      <w:r w:rsidRPr="0074486E">
        <w:rPr>
          <w:lang w:eastAsia="en-AU"/>
        </w:rPr>
        <w:t>%) was taken for MoS calculation.</w:t>
      </w:r>
      <w:r>
        <w:rPr>
          <w:rStyle w:val="FootnoteReference"/>
          <w:sz w:val="22"/>
          <w:szCs w:val="22"/>
          <w:lang w:eastAsia="en-AU"/>
        </w:rPr>
        <w:footnoteReference w:id="15"/>
      </w:r>
    </w:p>
    <w:p w14:paraId="7FA6D97F" w14:textId="4C86F14A" w:rsidR="00B62C8A" w:rsidRPr="0074486E" w:rsidRDefault="00B62C8A" w:rsidP="003E75D1">
      <w:pPr>
        <w:rPr>
          <w:lang w:eastAsia="en-AU"/>
        </w:rPr>
      </w:pPr>
      <w:r w:rsidRPr="0074486E">
        <w:rPr>
          <w:lang w:eastAsia="en-AU"/>
        </w:rPr>
        <w:t xml:space="preserve">Maximum plasma concentrations of </w:t>
      </w:r>
      <w:proofErr w:type="spellStart"/>
      <w:r w:rsidRPr="0074486E">
        <w:rPr>
          <w:lang w:eastAsia="en-AU"/>
        </w:rPr>
        <w:t>homosalate</w:t>
      </w:r>
      <w:proofErr w:type="spellEnd"/>
      <w:r w:rsidRPr="0074486E">
        <w:rPr>
          <w:lang w:eastAsia="en-AU"/>
        </w:rPr>
        <w:t xml:space="preserve"> after topical application varied between 13.9 and 23.1 ng/ml and t</w:t>
      </w:r>
      <w:r w:rsidRPr="0074486E">
        <w:rPr>
          <w:vertAlign w:val="subscript"/>
          <w:lang w:eastAsia="en-AU"/>
        </w:rPr>
        <w:t>½</w:t>
      </w:r>
      <w:r w:rsidRPr="0074486E">
        <w:rPr>
          <w:lang w:eastAsia="en-AU"/>
        </w:rPr>
        <w:t xml:space="preserve"> between 46.9 and 78.4 h in clinical trials.</w:t>
      </w:r>
    </w:p>
    <w:p w14:paraId="3EF2EAC0" w14:textId="6FE37CD2" w:rsidR="00B62C8A" w:rsidRPr="0074486E" w:rsidRDefault="00B62C8A" w:rsidP="003E75D1">
      <w:pPr>
        <w:rPr>
          <w:lang w:eastAsia="en-AU"/>
        </w:rPr>
      </w:pPr>
      <w:bookmarkStart w:id="112" w:name="_Hlk157437355"/>
      <w:proofErr w:type="spellStart"/>
      <w:r>
        <w:t>Homosalate</w:t>
      </w:r>
      <w:bookmarkEnd w:id="112"/>
      <w:proofErr w:type="spellEnd"/>
      <w:r>
        <w:t xml:space="preserve"> was found to be systemically absorbed in r</w:t>
      </w:r>
      <w:r w:rsidRPr="0074486E">
        <w:t xml:space="preserve">ecent randomised clinical trials (Matta </w:t>
      </w:r>
      <w:r w:rsidRPr="00F63584">
        <w:rPr>
          <w:i/>
          <w:iCs/>
        </w:rPr>
        <w:t>et al.,</w:t>
      </w:r>
      <w:r w:rsidRPr="0074486E">
        <w:t xml:space="preserve"> 2020, 2021).  The systemic exposure of </w:t>
      </w:r>
      <w:proofErr w:type="spellStart"/>
      <w:r w:rsidRPr="0074486E">
        <w:t>homosalate</w:t>
      </w:r>
      <w:proofErr w:type="spellEnd"/>
      <w:r w:rsidRPr="0074486E">
        <w:t xml:space="preserve"> in sunscreens (spray) exceeded 0.5 ng/mL on single application</w:t>
      </w:r>
      <w:r>
        <w:t xml:space="preserve"> and repeated applications</w:t>
      </w:r>
      <w:r w:rsidRPr="0074486E">
        <w:t xml:space="preserve"> </w:t>
      </w:r>
      <w:r>
        <w:t>(in &gt;</w:t>
      </w:r>
      <w:r w:rsidRPr="0074486E">
        <w:t xml:space="preserve"> 50% of participants up to 21 days</w:t>
      </w:r>
      <w:r>
        <w:t>). T</w:t>
      </w:r>
      <w:r w:rsidRPr="0074486E">
        <w:t xml:space="preserve">he continued presence of </w:t>
      </w:r>
      <w:proofErr w:type="spellStart"/>
      <w:r>
        <w:t>homosalate</w:t>
      </w:r>
      <w:proofErr w:type="spellEnd"/>
      <w:r>
        <w:t xml:space="preserve"> at skin up to 21 days and long </w:t>
      </w:r>
      <w:r w:rsidRPr="0074486E">
        <w:t xml:space="preserve">terminal half-life </w:t>
      </w:r>
      <w:r>
        <w:t>(&gt;</w:t>
      </w:r>
      <w:r w:rsidRPr="0074486E">
        <w:t xml:space="preserve"> 48 hours</w:t>
      </w:r>
      <w:r>
        <w:t xml:space="preserve">) suggest skin absorption of </w:t>
      </w:r>
      <w:proofErr w:type="spellStart"/>
      <w:r>
        <w:t>homosalate</w:t>
      </w:r>
      <w:proofErr w:type="spellEnd"/>
      <w:r>
        <w:t xml:space="preserve"> </w:t>
      </w:r>
      <w:r w:rsidRPr="0074486E">
        <w:t xml:space="preserve">(Matta </w:t>
      </w:r>
      <w:r w:rsidRPr="00F63584">
        <w:rPr>
          <w:i/>
          <w:iCs/>
        </w:rPr>
        <w:t xml:space="preserve">et al., </w:t>
      </w:r>
      <w:r w:rsidRPr="0074486E">
        <w:t xml:space="preserve">2020). Intravenous studies would be required to determine elimination rate constants. </w:t>
      </w:r>
      <w:proofErr w:type="spellStart"/>
      <w:r w:rsidRPr="0074486E">
        <w:rPr>
          <w:lang w:eastAsia="en-AU"/>
        </w:rPr>
        <w:t>Homosalate</w:t>
      </w:r>
      <w:proofErr w:type="spellEnd"/>
      <w:r w:rsidRPr="0074486E">
        <w:rPr>
          <w:lang w:eastAsia="en-AU"/>
        </w:rPr>
        <w:t xml:space="preserve"> was also detected in human milk samples after topical application in human volunteers (</w:t>
      </w:r>
      <w:r w:rsidRPr="0074486E">
        <w:t xml:space="preserve">Schlumpf </w:t>
      </w:r>
      <w:r w:rsidRPr="0074486E">
        <w:rPr>
          <w:i/>
        </w:rPr>
        <w:t>et al.</w:t>
      </w:r>
      <w:r w:rsidRPr="0074486E">
        <w:t xml:space="preserve"> 2010</w:t>
      </w:r>
      <w:r w:rsidRPr="0074486E">
        <w:rPr>
          <w:lang w:eastAsia="en-AU"/>
        </w:rPr>
        <w:t>).</w:t>
      </w:r>
      <w:r>
        <w:rPr>
          <w:lang w:eastAsia="en-AU"/>
        </w:rPr>
        <w:t xml:space="preserve"> Given </w:t>
      </w:r>
      <w:proofErr w:type="spellStart"/>
      <w:r>
        <w:rPr>
          <w:lang w:eastAsia="en-AU"/>
        </w:rPr>
        <w:t>homosalate</w:t>
      </w:r>
      <w:proofErr w:type="spellEnd"/>
      <w:r>
        <w:rPr>
          <w:lang w:eastAsia="en-AU"/>
        </w:rPr>
        <w:t xml:space="preserve"> systemic exposure was noted in clinical trials, the clinical relevance of the presence of </w:t>
      </w:r>
      <w:proofErr w:type="spellStart"/>
      <w:r>
        <w:rPr>
          <w:lang w:eastAsia="en-AU"/>
        </w:rPr>
        <w:t>homosalate</w:t>
      </w:r>
      <w:proofErr w:type="spellEnd"/>
      <w:r>
        <w:rPr>
          <w:lang w:eastAsia="en-AU"/>
        </w:rPr>
        <w:t xml:space="preserve"> in human milk after topical application raises safety concerns around the use of products containing </w:t>
      </w:r>
      <w:proofErr w:type="spellStart"/>
      <w:r>
        <w:rPr>
          <w:lang w:eastAsia="en-AU"/>
        </w:rPr>
        <w:t>homosalate</w:t>
      </w:r>
      <w:proofErr w:type="spellEnd"/>
      <w:r>
        <w:rPr>
          <w:lang w:eastAsia="en-AU"/>
        </w:rPr>
        <w:t xml:space="preserve"> warranting further investigation.</w:t>
      </w:r>
    </w:p>
    <w:p w14:paraId="0824AD48" w14:textId="6C39531E" w:rsidR="00B62C8A" w:rsidRPr="0074486E" w:rsidRDefault="00B62C8A" w:rsidP="003E75D1">
      <w:pPr>
        <w:rPr>
          <w:lang w:eastAsia="en-AU"/>
        </w:rPr>
      </w:pPr>
      <w:r w:rsidRPr="00F63584">
        <w:rPr>
          <w:i/>
          <w:iCs/>
          <w:lang w:eastAsia="en-AU"/>
        </w:rPr>
        <w:t>In vitro</w:t>
      </w:r>
      <w:r w:rsidRPr="00F63584">
        <w:rPr>
          <w:lang w:eastAsia="en-AU"/>
        </w:rPr>
        <w:t xml:space="preserve">, </w:t>
      </w:r>
      <w:proofErr w:type="spellStart"/>
      <w:r w:rsidRPr="00F63584">
        <w:rPr>
          <w:lang w:eastAsia="en-AU"/>
        </w:rPr>
        <w:t>homosalate</w:t>
      </w:r>
      <w:proofErr w:type="spellEnd"/>
      <w:r w:rsidRPr="00F63584">
        <w:rPr>
          <w:lang w:eastAsia="en-AU"/>
        </w:rPr>
        <w:t xml:space="preserve"> was hydrolysed into salicylic acid and 3,3,5-trimethylcyclohexano</w:t>
      </w:r>
      <w:r w:rsidR="00C960B9">
        <w:rPr>
          <w:lang w:eastAsia="en-AU"/>
        </w:rPr>
        <w:t>l</w:t>
      </w:r>
      <w:r>
        <w:rPr>
          <w:lang w:eastAsia="en-AU"/>
        </w:rPr>
        <w:t xml:space="preserve"> associated with </w:t>
      </w:r>
      <w:r w:rsidRPr="0074486E">
        <w:rPr>
          <w:lang w:eastAsia="en-AU"/>
        </w:rPr>
        <w:t xml:space="preserve">conjugation and hydroxylation of intact </w:t>
      </w:r>
      <w:proofErr w:type="spellStart"/>
      <w:r w:rsidRPr="0074486E">
        <w:rPr>
          <w:lang w:eastAsia="en-AU"/>
        </w:rPr>
        <w:t>homosalate</w:t>
      </w:r>
      <w:proofErr w:type="spellEnd"/>
      <w:r w:rsidRPr="0074486E">
        <w:rPr>
          <w:lang w:eastAsia="en-AU"/>
        </w:rPr>
        <w:t>.</w:t>
      </w:r>
    </w:p>
    <w:p w14:paraId="02185B5B" w14:textId="0538756F" w:rsidR="00B62C8A" w:rsidRPr="0074486E" w:rsidRDefault="00B62C8A" w:rsidP="003E75D1">
      <w:r w:rsidRPr="0074486E">
        <w:t xml:space="preserve">Based on </w:t>
      </w:r>
      <w:r>
        <w:t xml:space="preserve">publicly </w:t>
      </w:r>
      <w:r w:rsidRPr="0074486E">
        <w:t xml:space="preserve">available safety information from animal studies, </w:t>
      </w:r>
      <w:proofErr w:type="spellStart"/>
      <w:r w:rsidRPr="0074486E">
        <w:t>homosalate</w:t>
      </w:r>
      <w:proofErr w:type="spellEnd"/>
      <w:r w:rsidRPr="0074486E">
        <w:t xml:space="preserve"> was found to be of low acute oral and dermal toxicity, not a skin or eye irritant (at 10%) and with no sensitising potential. Undiluted </w:t>
      </w:r>
      <w:proofErr w:type="spellStart"/>
      <w:r w:rsidRPr="0074486E">
        <w:t>homosalate</w:t>
      </w:r>
      <w:proofErr w:type="spellEnd"/>
      <w:r w:rsidRPr="0074486E">
        <w:t xml:space="preserve"> was also found to be a non-irritant in a human epidermis skin test with no sensitising potential at 15% in a human repeat patch test.</w:t>
      </w:r>
    </w:p>
    <w:p w14:paraId="7B756E5F" w14:textId="79461D15" w:rsidR="00B62C8A" w:rsidRPr="0074486E" w:rsidRDefault="00B62C8A" w:rsidP="003E75D1">
      <w:r w:rsidRPr="0074486E">
        <w:t xml:space="preserve">A general toxicity NOAEL of 300 mg/kg </w:t>
      </w:r>
      <w:proofErr w:type="spellStart"/>
      <w:r w:rsidRPr="0074486E">
        <w:t>bw</w:t>
      </w:r>
      <w:proofErr w:type="spellEnd"/>
      <w:r w:rsidRPr="0074486E">
        <w:t xml:space="preserve">/day was established in a combined repeat dose and reproductive/developmental screening study in rats based on mortality in female rats at the highest </w:t>
      </w:r>
      <w:r w:rsidRPr="0074486E">
        <w:lastRenderedPageBreak/>
        <w:t xml:space="preserve">dose. However, treatment-related effects were observed in kidneys, liver, thyroid and thymus in male rats at 60 mg/kg </w:t>
      </w:r>
      <w:proofErr w:type="spellStart"/>
      <w:r w:rsidRPr="0074486E">
        <w:t>bw</w:t>
      </w:r>
      <w:proofErr w:type="spellEnd"/>
      <w:r w:rsidRPr="0074486E">
        <w:t xml:space="preserve">/day. Therefore, the SCCS concluded that this dose should be considered LOAEL. The SCCS also states that technical errors might have contributed to the effects observed, influencing the reliability of the study. A NOAEL of &gt; 300 mg/kg </w:t>
      </w:r>
      <w:proofErr w:type="spellStart"/>
      <w:r w:rsidRPr="0074486E">
        <w:t>bw</w:t>
      </w:r>
      <w:proofErr w:type="spellEnd"/>
      <w:r w:rsidRPr="0074486E">
        <w:t xml:space="preserve">/day in males and &gt;1000 mg/kg </w:t>
      </w:r>
      <w:proofErr w:type="spellStart"/>
      <w:r w:rsidRPr="0074486E">
        <w:t>bw</w:t>
      </w:r>
      <w:proofErr w:type="spellEnd"/>
      <w:r w:rsidRPr="0074486E">
        <w:t xml:space="preserve">/day in females was established in a two-week study in rats. Both these studies indicate that the treatment-related effects were more adverse in </w:t>
      </w:r>
      <w:r>
        <w:t>males</w:t>
      </w:r>
      <w:r w:rsidRPr="0074486E">
        <w:t xml:space="preserve">. </w:t>
      </w:r>
      <w:r>
        <w:t>The human relevance of this species-specific effect is uncertain.</w:t>
      </w:r>
    </w:p>
    <w:p w14:paraId="63183B2E" w14:textId="11D6B2CE" w:rsidR="00B62C8A" w:rsidRDefault="00B62C8A" w:rsidP="003E75D1">
      <w:r w:rsidRPr="0074486E">
        <w:t>While tw</w:t>
      </w:r>
      <w:r>
        <w:t>o</w:t>
      </w:r>
      <w:r w:rsidRPr="0074486E">
        <w:t xml:space="preserve"> studies indicated that there was a genotoxic potential for </w:t>
      </w:r>
      <w:proofErr w:type="spellStart"/>
      <w:r w:rsidRPr="0074486E">
        <w:t>homosalate</w:t>
      </w:r>
      <w:proofErr w:type="spellEnd"/>
      <w:r w:rsidRPr="0074486E">
        <w:t xml:space="preserve">, the studies were found inadequate due to methodological errors (Yazar </w:t>
      </w:r>
      <w:r w:rsidRPr="0074486E">
        <w:rPr>
          <w:i/>
        </w:rPr>
        <w:t>et al.</w:t>
      </w:r>
      <w:r w:rsidRPr="0074486E">
        <w:t xml:space="preserve"> 2018; 2019). No carcinogenicity data were available. A combined repeated dose and reproductive/developmental screening study in rats by gavage up to 750 mg/kg </w:t>
      </w:r>
      <w:proofErr w:type="spellStart"/>
      <w:r w:rsidRPr="0074486E">
        <w:t>bw</w:t>
      </w:r>
      <w:proofErr w:type="spellEnd"/>
      <w:r w:rsidRPr="0074486E">
        <w:t xml:space="preserve">/day </w:t>
      </w:r>
      <w:r>
        <w:t xml:space="preserve">has been </w:t>
      </w:r>
      <w:r w:rsidRPr="0074486E">
        <w:t>reported (</w:t>
      </w:r>
      <w:r w:rsidRPr="0043146D">
        <w:t>SCCS, 202</w:t>
      </w:r>
      <w:r w:rsidRPr="00644C80">
        <w:t>1b</w:t>
      </w:r>
      <w:r w:rsidRPr="0043146D">
        <w:t>;</w:t>
      </w:r>
      <w:r w:rsidRPr="0074486E">
        <w:t xml:space="preserve"> ECHA, 2018). The SCCS noted that the occurrence of constant lighting (illumination) during the conduct of the study significantly affected the reliability of this study, especially for developmental/reproductive effects. In addition, the low number of pregnancies per group questions the validity of the data on the development of offspring in this study.</w:t>
      </w:r>
    </w:p>
    <w:p w14:paraId="33A3509E" w14:textId="74964C32" w:rsidR="00B62C8A" w:rsidRPr="0074486E" w:rsidRDefault="00B62C8A" w:rsidP="003E75D1">
      <w:proofErr w:type="spellStart"/>
      <w:r w:rsidRPr="00A62041">
        <w:t>Homosalate</w:t>
      </w:r>
      <w:proofErr w:type="spellEnd"/>
      <w:r w:rsidRPr="00A62041">
        <w:t xml:space="preserve"> was found to adversely affect the survival, proliferation, and invasiveness of human trophoblast cells </w:t>
      </w:r>
      <w:r w:rsidRPr="00A62041">
        <w:rPr>
          <w:i/>
          <w:iCs/>
        </w:rPr>
        <w:t>in vitro</w:t>
      </w:r>
      <w:r w:rsidRPr="00A62041">
        <w:t xml:space="preserve"> which are highly associated with the development of human placenta during early pregnancy (Yang </w:t>
      </w:r>
      <w:r w:rsidRPr="00A62041">
        <w:rPr>
          <w:i/>
        </w:rPr>
        <w:t>et al.</w:t>
      </w:r>
      <w:r w:rsidRPr="00A62041">
        <w:t xml:space="preserve"> 2018). The relevance of these findings in this cell line to human pregnancies is also uncertain.</w:t>
      </w:r>
    </w:p>
    <w:p w14:paraId="1B588F5F" w14:textId="77777777" w:rsidR="00B62C8A" w:rsidRPr="00F834F4" w:rsidRDefault="00B62C8A" w:rsidP="003E75D1">
      <w:r w:rsidRPr="00F834F4">
        <w:t xml:space="preserve">Therefore, further studies (e.g. a sub-chronic toxicity study, a prenatal developmental toxicity study, an extended one-generation reproductive toxicity study, and the identification of degradation products) would be required to fully allay concerns related to </w:t>
      </w:r>
      <w:proofErr w:type="spellStart"/>
      <w:r w:rsidRPr="00F834F4">
        <w:t>homosalate</w:t>
      </w:r>
      <w:proofErr w:type="spellEnd"/>
      <w:r w:rsidRPr="00F834F4">
        <w:t xml:space="preserve"> exposure and reproductive and developmental concerns.</w:t>
      </w:r>
    </w:p>
    <w:p w14:paraId="2F80FE6A" w14:textId="752FE34E" w:rsidR="00B62C8A" w:rsidRPr="00BA4549" w:rsidRDefault="00B62C8A" w:rsidP="003E75D1">
      <w:pPr>
        <w:rPr>
          <w:rFonts w:asciiTheme="minorHAnsi" w:eastAsia="Times New Roman" w:hAnsiTheme="minorHAnsi" w:cstheme="minorHAnsi"/>
          <w:snapToGrid w:val="0"/>
          <w:kern w:val="16"/>
          <w:lang w:eastAsia="en-AU"/>
        </w:rPr>
      </w:pPr>
      <w:r w:rsidRPr="00BA4549">
        <w:rPr>
          <w:rFonts w:asciiTheme="minorHAnsi" w:eastAsia="Times New Roman" w:hAnsiTheme="minorHAnsi" w:cstheme="minorHAnsi"/>
          <w:snapToGrid w:val="0"/>
          <w:kern w:val="16"/>
          <w:lang w:eastAsia="en-AU"/>
        </w:rPr>
        <w:t xml:space="preserve">The SED for </w:t>
      </w:r>
      <w:proofErr w:type="spellStart"/>
      <w:r w:rsidRPr="00BA4549">
        <w:rPr>
          <w:rFonts w:asciiTheme="minorHAnsi" w:eastAsia="Times New Roman" w:hAnsiTheme="minorHAnsi" w:cstheme="minorHAnsi"/>
          <w:snapToGrid w:val="0"/>
          <w:kern w:val="16"/>
          <w:lang w:eastAsia="en-AU"/>
        </w:rPr>
        <w:t>homosalate</w:t>
      </w:r>
      <w:proofErr w:type="spellEnd"/>
      <w:r w:rsidRPr="00BA4549">
        <w:rPr>
          <w:rFonts w:asciiTheme="minorHAnsi" w:eastAsia="Times New Roman" w:hAnsiTheme="minorHAnsi" w:cstheme="minorHAnsi"/>
          <w:snapToGrid w:val="0"/>
          <w:kern w:val="16"/>
          <w:lang w:eastAsia="en-AU"/>
        </w:rPr>
        <w:t xml:space="preserve"> when used as a UV filter in cosmetic products, was calculated using a dermal absorption value of 5.3% derived from an </w:t>
      </w:r>
      <w:r w:rsidRPr="00BA4549">
        <w:rPr>
          <w:rFonts w:asciiTheme="minorHAnsi" w:eastAsia="Times New Roman" w:hAnsiTheme="minorHAnsi" w:cstheme="minorHAnsi"/>
          <w:i/>
          <w:snapToGrid w:val="0"/>
          <w:kern w:val="16"/>
          <w:lang w:eastAsia="en-AU"/>
        </w:rPr>
        <w:t>in vitro</w:t>
      </w:r>
      <w:r w:rsidRPr="00BA4549">
        <w:rPr>
          <w:rFonts w:asciiTheme="minorHAnsi" w:eastAsia="Times New Roman" w:hAnsiTheme="minorHAnsi" w:cstheme="minorHAnsi"/>
          <w:snapToGrid w:val="0"/>
          <w:kern w:val="16"/>
          <w:lang w:eastAsia="en-AU"/>
        </w:rPr>
        <w:t xml:space="preserve"> dermal penetration study using viable human skin and a standard sunscreen formulation containing 10% </w:t>
      </w:r>
      <w:proofErr w:type="spellStart"/>
      <w:r w:rsidRPr="00BA4549">
        <w:rPr>
          <w:rFonts w:asciiTheme="minorHAnsi" w:eastAsia="Times New Roman" w:hAnsiTheme="minorHAnsi" w:cstheme="minorHAnsi"/>
          <w:snapToGrid w:val="0"/>
          <w:kern w:val="16"/>
          <w:lang w:eastAsia="en-AU"/>
        </w:rPr>
        <w:t>homosalate</w:t>
      </w:r>
      <w:proofErr w:type="spellEnd"/>
      <w:r w:rsidRPr="00BA4549">
        <w:rPr>
          <w:rFonts w:asciiTheme="minorHAnsi" w:eastAsia="Times New Roman" w:hAnsiTheme="minorHAnsi" w:cstheme="minorHAnsi"/>
          <w:snapToGrid w:val="0"/>
          <w:kern w:val="16"/>
          <w:lang w:eastAsia="en-AU"/>
        </w:rPr>
        <w:t>.</w:t>
      </w:r>
    </w:p>
    <w:p w14:paraId="02ACE641" w14:textId="77777777" w:rsidR="00B62C8A" w:rsidRPr="0043146D" w:rsidRDefault="00B62C8A" w:rsidP="003E75D1">
      <w:pPr>
        <w:rPr>
          <w:snapToGrid w:val="0"/>
          <w:lang w:eastAsia="en-AU"/>
        </w:rPr>
      </w:pPr>
      <w:r w:rsidRPr="0043146D">
        <w:rPr>
          <w:snapToGrid w:val="0"/>
          <w:lang w:eastAsia="en-AU"/>
        </w:rPr>
        <w:t>The SCCS (2021</w:t>
      </w:r>
      <w:r w:rsidRPr="00644C80">
        <w:rPr>
          <w:snapToGrid w:val="0"/>
          <w:lang w:eastAsia="en-AU"/>
        </w:rPr>
        <w:t>b</w:t>
      </w:r>
      <w:r w:rsidRPr="0043146D">
        <w:rPr>
          <w:snapToGrid w:val="0"/>
          <w:lang w:eastAsia="en-AU"/>
        </w:rPr>
        <w:t>) report noted the following when calculating the margin of safety:</w:t>
      </w:r>
    </w:p>
    <w:p w14:paraId="3E09F280" w14:textId="77777777" w:rsidR="00B62C8A" w:rsidRPr="003E75D1" w:rsidRDefault="00B62C8A" w:rsidP="00B62C8A">
      <w:pPr>
        <w:spacing w:after="220" w:line="252" w:lineRule="auto"/>
        <w:ind w:left="720"/>
        <w:rPr>
          <w:rFonts w:eastAsia="Times New Roman" w:cs="Arial"/>
          <w:i/>
          <w:iCs/>
          <w:snapToGrid w:val="0"/>
          <w:kern w:val="16"/>
          <w:lang w:eastAsia="en-AU"/>
        </w:rPr>
      </w:pPr>
      <w:r w:rsidRPr="003E75D1">
        <w:rPr>
          <w:rFonts w:eastAsia="Times New Roman" w:cs="Arial"/>
          <w:i/>
          <w:iCs/>
          <w:snapToGrid w:val="0"/>
          <w:kern w:val="16"/>
          <w:lang w:eastAsia="en-AU"/>
        </w:rPr>
        <w:t xml:space="preserve">“As point of departure for risk assessment, a LOAEL of 60 mg/kg </w:t>
      </w:r>
      <w:proofErr w:type="spellStart"/>
      <w:r w:rsidRPr="003E75D1">
        <w:rPr>
          <w:rFonts w:eastAsia="Times New Roman" w:cs="Arial"/>
          <w:i/>
          <w:iCs/>
          <w:snapToGrid w:val="0"/>
          <w:kern w:val="16"/>
          <w:lang w:eastAsia="en-AU"/>
        </w:rPr>
        <w:t>bw</w:t>
      </w:r>
      <w:proofErr w:type="spellEnd"/>
      <w:r w:rsidRPr="003E75D1">
        <w:rPr>
          <w:rFonts w:eastAsia="Times New Roman" w:cs="Arial"/>
          <w:i/>
          <w:iCs/>
          <w:snapToGrid w:val="0"/>
          <w:kern w:val="16"/>
          <w:lang w:eastAsia="en-AU"/>
        </w:rPr>
        <w:t>/day was used, based on a combined repeated dose toxicity study with the Reproduction/Developmental Toxicity Screening Test</w:t>
      </w:r>
      <w:r w:rsidRPr="003E75D1">
        <w:rPr>
          <w:rFonts w:cs="Arial"/>
        </w:rPr>
        <w:t xml:space="preserve"> </w:t>
      </w:r>
      <w:r w:rsidRPr="003E75D1">
        <w:rPr>
          <w:rFonts w:eastAsia="Times New Roman" w:cs="Arial"/>
          <w:i/>
          <w:iCs/>
          <w:snapToGrid w:val="0"/>
          <w:kern w:val="16"/>
          <w:lang w:eastAsia="en-AU"/>
        </w:rPr>
        <w:t xml:space="preserve">(OECD Guideline 422) …  Since the point of departure was based on a LOAEL, an additional uncertainty factor of 3 was added to account for LOAEL-NOAEL extrapolation. Furthermore, due to lack of information on oral bioavailability, 50% of the administered dose was used as the default oral absorption value, resulting in </w:t>
      </w:r>
      <w:r w:rsidRPr="003E75D1">
        <w:rPr>
          <w:rFonts w:eastAsia="Times New Roman" w:cs="Arial"/>
          <w:b/>
          <w:bCs/>
          <w:i/>
          <w:iCs/>
          <w:snapToGrid w:val="0"/>
          <w:kern w:val="16"/>
          <w:lang w:eastAsia="en-AU"/>
        </w:rPr>
        <w:t xml:space="preserve">an adjusted NOAEL of 10 mg/kg </w:t>
      </w:r>
      <w:proofErr w:type="spellStart"/>
      <w:r w:rsidRPr="003E75D1">
        <w:rPr>
          <w:rFonts w:eastAsia="Times New Roman" w:cs="Arial"/>
          <w:b/>
          <w:bCs/>
          <w:i/>
          <w:iCs/>
          <w:snapToGrid w:val="0"/>
          <w:kern w:val="16"/>
          <w:lang w:eastAsia="en-AU"/>
        </w:rPr>
        <w:t>bw</w:t>
      </w:r>
      <w:proofErr w:type="spellEnd"/>
      <w:r w:rsidRPr="003E75D1">
        <w:rPr>
          <w:rFonts w:eastAsia="Times New Roman" w:cs="Arial"/>
          <w:b/>
          <w:bCs/>
          <w:i/>
          <w:iCs/>
          <w:snapToGrid w:val="0"/>
          <w:kern w:val="16"/>
          <w:lang w:eastAsia="en-AU"/>
        </w:rPr>
        <w:t>/day.</w:t>
      </w:r>
      <w:r w:rsidRPr="003E75D1">
        <w:rPr>
          <w:rFonts w:eastAsia="Times New Roman" w:cs="Arial"/>
          <w:i/>
          <w:iCs/>
          <w:snapToGrid w:val="0"/>
          <w:kern w:val="16"/>
          <w:lang w:eastAsia="en-AU"/>
        </w:rPr>
        <w:t>”</w:t>
      </w:r>
    </w:p>
    <w:p w14:paraId="1EA8FCC2" w14:textId="77777777" w:rsidR="00B62C8A" w:rsidRPr="00644C80" w:rsidRDefault="00B62C8A" w:rsidP="003E75D1">
      <w:pPr>
        <w:rPr>
          <w:snapToGrid w:val="0"/>
          <w:lang w:eastAsia="en-AU"/>
        </w:rPr>
      </w:pPr>
      <w:r w:rsidRPr="00644C80">
        <w:rPr>
          <w:snapToGrid w:val="0"/>
          <w:lang w:eastAsia="en-AU"/>
        </w:rPr>
        <w:t xml:space="preserve"> The SCCS (2021b) also noted that:</w:t>
      </w:r>
    </w:p>
    <w:p w14:paraId="53F56A4E" w14:textId="77777777" w:rsidR="00B62C8A" w:rsidRPr="003E75D1" w:rsidRDefault="00B62C8A" w:rsidP="00B62C8A">
      <w:pPr>
        <w:spacing w:after="0" w:line="252" w:lineRule="auto"/>
        <w:ind w:left="720"/>
        <w:jc w:val="both"/>
        <w:rPr>
          <w:rFonts w:asciiTheme="minorHAnsi" w:eastAsia="Times New Roman" w:hAnsiTheme="minorHAnsi" w:cstheme="minorHAnsi"/>
          <w:i/>
          <w:snapToGrid w:val="0"/>
          <w:kern w:val="16"/>
          <w:lang w:eastAsia="en-AU"/>
        </w:rPr>
      </w:pPr>
      <w:r w:rsidRPr="003E75D1">
        <w:rPr>
          <w:rFonts w:asciiTheme="minorHAnsi" w:eastAsia="Times New Roman" w:hAnsiTheme="minorHAnsi" w:cstheme="minorHAnsi"/>
          <w:i/>
          <w:snapToGrid w:val="0"/>
          <w:kern w:val="16"/>
          <w:lang w:eastAsia="en-AU"/>
        </w:rPr>
        <w:t xml:space="preserve">“On the basis of safety assessment of </w:t>
      </w:r>
      <w:proofErr w:type="spellStart"/>
      <w:r w:rsidRPr="003E75D1">
        <w:rPr>
          <w:rFonts w:asciiTheme="minorHAnsi" w:eastAsia="Times New Roman" w:hAnsiTheme="minorHAnsi" w:cstheme="minorHAnsi"/>
          <w:i/>
          <w:snapToGrid w:val="0"/>
          <w:kern w:val="16"/>
          <w:lang w:eastAsia="en-AU"/>
        </w:rPr>
        <w:t>homosalate</w:t>
      </w:r>
      <w:proofErr w:type="spellEnd"/>
      <w:r w:rsidRPr="003E75D1">
        <w:rPr>
          <w:rFonts w:asciiTheme="minorHAnsi" w:eastAsia="Times New Roman" w:hAnsiTheme="minorHAnsi" w:cstheme="minorHAnsi"/>
          <w:i/>
          <w:snapToGrid w:val="0"/>
          <w:kern w:val="16"/>
          <w:lang w:eastAsia="en-AU"/>
        </w:rPr>
        <w:t xml:space="preserve">, and considering the concerns related to potential endocrine disrupting properties, the SCCS has concluded that </w:t>
      </w:r>
      <w:proofErr w:type="spellStart"/>
      <w:r w:rsidRPr="003E75D1">
        <w:rPr>
          <w:rFonts w:asciiTheme="minorHAnsi" w:eastAsia="Times New Roman" w:hAnsiTheme="minorHAnsi" w:cstheme="minorHAnsi"/>
          <w:i/>
          <w:snapToGrid w:val="0"/>
          <w:kern w:val="16"/>
          <w:lang w:eastAsia="en-AU"/>
        </w:rPr>
        <w:t>homosalate</w:t>
      </w:r>
      <w:proofErr w:type="spellEnd"/>
      <w:r w:rsidRPr="003E75D1">
        <w:rPr>
          <w:rFonts w:asciiTheme="minorHAnsi" w:eastAsia="Times New Roman" w:hAnsiTheme="minorHAnsi" w:cstheme="minorHAnsi"/>
          <w:i/>
          <w:snapToGrid w:val="0"/>
          <w:kern w:val="16"/>
          <w:lang w:eastAsia="en-AU"/>
        </w:rPr>
        <w:t xml:space="preserve"> is not safe when used as a UV-filter in cosmetic products at concentrations of up to 10%.” </w:t>
      </w:r>
    </w:p>
    <w:p w14:paraId="08FC0549" w14:textId="77777777" w:rsidR="00B62C8A" w:rsidRPr="003E75D1" w:rsidRDefault="00B62C8A" w:rsidP="00B62C8A">
      <w:pPr>
        <w:spacing w:after="0" w:line="252" w:lineRule="auto"/>
        <w:ind w:left="720"/>
        <w:jc w:val="both"/>
        <w:rPr>
          <w:rFonts w:asciiTheme="minorHAnsi" w:eastAsia="Times New Roman" w:hAnsiTheme="minorHAnsi" w:cstheme="minorHAnsi"/>
          <w:i/>
          <w:snapToGrid w:val="0"/>
          <w:kern w:val="16"/>
          <w:lang w:eastAsia="en-AU"/>
        </w:rPr>
      </w:pPr>
    </w:p>
    <w:p w14:paraId="476377EB" w14:textId="77777777" w:rsidR="00B62C8A" w:rsidRPr="003E75D1" w:rsidRDefault="00B62C8A" w:rsidP="00B62C8A">
      <w:pPr>
        <w:spacing w:after="0" w:line="252" w:lineRule="auto"/>
        <w:ind w:left="720"/>
        <w:jc w:val="both"/>
        <w:rPr>
          <w:rFonts w:asciiTheme="minorHAnsi" w:eastAsia="Times New Roman" w:hAnsiTheme="minorHAnsi" w:cstheme="minorHAnsi"/>
          <w:i/>
          <w:snapToGrid w:val="0"/>
          <w:kern w:val="16"/>
          <w:lang w:eastAsia="en-AU"/>
        </w:rPr>
      </w:pPr>
      <w:r w:rsidRPr="003E75D1">
        <w:rPr>
          <w:rFonts w:asciiTheme="minorHAnsi" w:eastAsia="Times New Roman" w:hAnsiTheme="minorHAnsi" w:cstheme="minorHAnsi"/>
          <w:i/>
          <w:snapToGrid w:val="0"/>
          <w:kern w:val="16"/>
          <w:lang w:eastAsia="en-AU"/>
        </w:rPr>
        <w:t xml:space="preserve">“In the SCCS’s opinion, the use of </w:t>
      </w:r>
      <w:proofErr w:type="spellStart"/>
      <w:r w:rsidRPr="003E75D1">
        <w:rPr>
          <w:rFonts w:asciiTheme="minorHAnsi" w:eastAsia="Times New Roman" w:hAnsiTheme="minorHAnsi" w:cstheme="minorHAnsi"/>
          <w:i/>
          <w:snapToGrid w:val="0"/>
          <w:kern w:val="16"/>
          <w:lang w:eastAsia="en-AU"/>
        </w:rPr>
        <w:t>homosalate</w:t>
      </w:r>
      <w:proofErr w:type="spellEnd"/>
      <w:r w:rsidRPr="003E75D1">
        <w:rPr>
          <w:rFonts w:asciiTheme="minorHAnsi" w:eastAsia="Times New Roman" w:hAnsiTheme="minorHAnsi" w:cstheme="minorHAnsi"/>
          <w:i/>
          <w:snapToGrid w:val="0"/>
          <w:kern w:val="16"/>
          <w:lang w:eastAsia="en-AU"/>
        </w:rPr>
        <w:t xml:space="preserve"> as a UV filter in cosmetic products is safe for the consumer up to a maximum concentration of 0.5% </w:t>
      </w:r>
      <w:proofErr w:type="spellStart"/>
      <w:r w:rsidRPr="003E75D1">
        <w:rPr>
          <w:rFonts w:asciiTheme="minorHAnsi" w:eastAsia="Times New Roman" w:hAnsiTheme="minorHAnsi" w:cstheme="minorHAnsi"/>
          <w:i/>
          <w:snapToGrid w:val="0"/>
          <w:kern w:val="16"/>
          <w:lang w:eastAsia="en-AU"/>
        </w:rPr>
        <w:t>homosalate</w:t>
      </w:r>
      <w:proofErr w:type="spellEnd"/>
      <w:r w:rsidRPr="003E75D1">
        <w:rPr>
          <w:rFonts w:asciiTheme="minorHAnsi" w:eastAsia="Times New Roman" w:hAnsiTheme="minorHAnsi" w:cstheme="minorHAnsi"/>
          <w:i/>
          <w:snapToGrid w:val="0"/>
          <w:kern w:val="16"/>
          <w:lang w:eastAsia="en-AU"/>
        </w:rPr>
        <w:t xml:space="preserve"> in the final product.”</w:t>
      </w:r>
    </w:p>
    <w:p w14:paraId="4DFC4744" w14:textId="77777777" w:rsidR="00B62C8A" w:rsidRPr="003E75D1" w:rsidRDefault="00B62C8A" w:rsidP="00B62C8A">
      <w:pPr>
        <w:spacing w:after="0" w:line="252" w:lineRule="auto"/>
        <w:ind w:left="720"/>
        <w:jc w:val="both"/>
        <w:rPr>
          <w:rFonts w:asciiTheme="minorHAnsi" w:eastAsia="Times New Roman" w:hAnsiTheme="minorHAnsi" w:cstheme="minorHAnsi"/>
          <w:i/>
          <w:snapToGrid w:val="0"/>
          <w:kern w:val="16"/>
          <w:lang w:eastAsia="en-AU"/>
        </w:rPr>
      </w:pPr>
    </w:p>
    <w:p w14:paraId="6246CDD3" w14:textId="77777777" w:rsidR="00B62C8A" w:rsidRPr="003E75D1" w:rsidRDefault="00B62C8A" w:rsidP="00B62C8A">
      <w:pPr>
        <w:spacing w:after="220" w:line="252" w:lineRule="auto"/>
        <w:ind w:left="720"/>
        <w:jc w:val="both"/>
        <w:rPr>
          <w:rFonts w:asciiTheme="minorHAnsi" w:eastAsia="Times New Roman" w:hAnsiTheme="minorHAnsi" w:cstheme="minorHAnsi"/>
          <w:iCs/>
          <w:snapToGrid w:val="0"/>
          <w:kern w:val="16"/>
          <w:lang w:eastAsia="en-AU"/>
        </w:rPr>
      </w:pPr>
      <w:r w:rsidRPr="003E75D1">
        <w:rPr>
          <w:rFonts w:asciiTheme="minorHAnsi" w:eastAsia="Times New Roman" w:hAnsiTheme="minorHAnsi" w:cstheme="minorHAnsi"/>
          <w:i/>
          <w:snapToGrid w:val="0"/>
          <w:kern w:val="16"/>
          <w:lang w:eastAsia="en-AU"/>
        </w:rPr>
        <w:t xml:space="preserve">“It needs to be noted that the SCCS has regarded the currently available evidence for endocrine disrupting properties of </w:t>
      </w:r>
      <w:proofErr w:type="spellStart"/>
      <w:r w:rsidRPr="003E75D1">
        <w:rPr>
          <w:rFonts w:asciiTheme="minorHAnsi" w:eastAsia="Times New Roman" w:hAnsiTheme="minorHAnsi" w:cstheme="minorHAnsi"/>
          <w:i/>
          <w:snapToGrid w:val="0"/>
          <w:kern w:val="16"/>
          <w:lang w:eastAsia="en-AU"/>
        </w:rPr>
        <w:t>homosalate</w:t>
      </w:r>
      <w:proofErr w:type="spellEnd"/>
      <w:r w:rsidRPr="003E75D1">
        <w:rPr>
          <w:rFonts w:asciiTheme="minorHAnsi" w:eastAsia="Times New Roman" w:hAnsiTheme="minorHAnsi" w:cstheme="minorHAnsi"/>
          <w:i/>
          <w:snapToGrid w:val="0"/>
          <w:kern w:val="16"/>
          <w:lang w:eastAsia="en-AU"/>
        </w:rPr>
        <w:t xml:space="preserve"> as inconclusive, and at best equivocal. This applies to </w:t>
      </w:r>
      <w:proofErr w:type="gramStart"/>
      <w:r w:rsidRPr="003E75D1">
        <w:rPr>
          <w:rFonts w:asciiTheme="minorHAnsi" w:eastAsia="Times New Roman" w:hAnsiTheme="minorHAnsi" w:cstheme="minorHAnsi"/>
          <w:i/>
          <w:snapToGrid w:val="0"/>
          <w:kern w:val="16"/>
          <w:lang w:eastAsia="en-AU"/>
        </w:rPr>
        <w:t>all of</w:t>
      </w:r>
      <w:proofErr w:type="gramEnd"/>
      <w:r w:rsidRPr="003E75D1">
        <w:rPr>
          <w:rFonts w:asciiTheme="minorHAnsi" w:eastAsia="Times New Roman" w:hAnsiTheme="minorHAnsi" w:cstheme="minorHAnsi"/>
          <w:i/>
          <w:snapToGrid w:val="0"/>
          <w:kern w:val="16"/>
          <w:lang w:eastAsia="en-AU"/>
        </w:rPr>
        <w:t xml:space="preserve"> the available data derived from in silico modelling, in vitro tests and in vivo studies, when considered individually or taken together. The SCCS considers that, whilst there are indications from some studies to suggest that </w:t>
      </w:r>
      <w:proofErr w:type="spellStart"/>
      <w:r w:rsidRPr="003E75D1">
        <w:rPr>
          <w:rFonts w:asciiTheme="minorHAnsi" w:eastAsia="Times New Roman" w:hAnsiTheme="minorHAnsi" w:cstheme="minorHAnsi"/>
          <w:i/>
          <w:snapToGrid w:val="0"/>
          <w:kern w:val="16"/>
          <w:lang w:eastAsia="en-AU"/>
        </w:rPr>
        <w:t>homosalate</w:t>
      </w:r>
      <w:proofErr w:type="spellEnd"/>
      <w:r w:rsidRPr="003E75D1">
        <w:rPr>
          <w:rFonts w:asciiTheme="minorHAnsi" w:eastAsia="Times New Roman" w:hAnsiTheme="minorHAnsi" w:cstheme="minorHAnsi"/>
          <w:i/>
          <w:snapToGrid w:val="0"/>
          <w:kern w:val="16"/>
          <w:lang w:eastAsia="en-AU"/>
        </w:rPr>
        <w:t xml:space="preserve"> may have endocrine effects, the evidence is not conclusive enough at present to enable deriving a specific endocrine-related </w:t>
      </w:r>
      <w:r w:rsidRPr="003E75D1">
        <w:rPr>
          <w:rFonts w:asciiTheme="minorHAnsi" w:eastAsia="Times New Roman" w:hAnsiTheme="minorHAnsi" w:cstheme="minorHAnsi"/>
          <w:iCs/>
          <w:snapToGrid w:val="0"/>
          <w:kern w:val="16"/>
          <w:lang w:eastAsia="en-AU"/>
        </w:rPr>
        <w:t>toxicological point of departure for use in safety assessment.”</w:t>
      </w:r>
    </w:p>
    <w:p w14:paraId="53BDB518" w14:textId="77777777" w:rsidR="00BA4549" w:rsidRDefault="00BA4549">
      <w:pPr>
        <w:rPr>
          <w:snapToGrid w:val="0"/>
          <w:lang w:eastAsia="en-AU"/>
        </w:rPr>
      </w:pPr>
      <w:r>
        <w:rPr>
          <w:snapToGrid w:val="0"/>
          <w:lang w:eastAsia="en-AU"/>
        </w:rPr>
        <w:br w:type="page"/>
      </w:r>
    </w:p>
    <w:p w14:paraId="5152F47D" w14:textId="49300F09" w:rsidR="00B62C8A" w:rsidRPr="00644C80" w:rsidRDefault="00B62C8A" w:rsidP="003E75D1">
      <w:pPr>
        <w:rPr>
          <w:snapToGrid w:val="0"/>
          <w:lang w:eastAsia="en-AU"/>
        </w:rPr>
      </w:pPr>
      <w:r w:rsidRPr="00644C80">
        <w:rPr>
          <w:snapToGrid w:val="0"/>
          <w:lang w:eastAsia="en-AU"/>
        </w:rPr>
        <w:lastRenderedPageBreak/>
        <w:t>The SCCS (2021c) report subsequently noted that:</w:t>
      </w:r>
    </w:p>
    <w:p w14:paraId="767A3B45" w14:textId="77777777" w:rsidR="00B62C8A" w:rsidRPr="003E75D1" w:rsidRDefault="00B62C8A" w:rsidP="00B62C8A">
      <w:pPr>
        <w:spacing w:after="220" w:line="252" w:lineRule="auto"/>
        <w:ind w:left="720"/>
        <w:jc w:val="both"/>
        <w:rPr>
          <w:rFonts w:eastAsia="Times New Roman" w:cs="Arial"/>
          <w:i/>
          <w:snapToGrid w:val="0"/>
          <w:kern w:val="16"/>
          <w:lang w:eastAsia="en-AU"/>
        </w:rPr>
      </w:pPr>
      <w:r w:rsidRPr="003E75D1">
        <w:rPr>
          <w:rFonts w:eastAsia="Times New Roman" w:cs="Arial"/>
          <w:i/>
          <w:snapToGrid w:val="0"/>
          <w:kern w:val="16"/>
          <w:lang w:eastAsia="en-AU"/>
        </w:rPr>
        <w:t xml:space="preserve">“On the basis of safety assessment, and considering the concerns related to potential endocrine disrupting properties of </w:t>
      </w:r>
      <w:proofErr w:type="spellStart"/>
      <w:r w:rsidRPr="003E75D1">
        <w:rPr>
          <w:rFonts w:eastAsia="Times New Roman" w:cs="Arial"/>
          <w:i/>
          <w:snapToGrid w:val="0"/>
          <w:kern w:val="16"/>
          <w:lang w:eastAsia="en-AU"/>
        </w:rPr>
        <w:t>Homosalate</w:t>
      </w:r>
      <w:proofErr w:type="spellEnd"/>
      <w:r w:rsidRPr="003E75D1">
        <w:rPr>
          <w:rFonts w:eastAsia="Times New Roman" w:cs="Arial"/>
          <w:i/>
          <w:snapToGrid w:val="0"/>
          <w:kern w:val="16"/>
          <w:lang w:eastAsia="en-AU"/>
        </w:rPr>
        <w:t xml:space="preserve">, the SCCS is of the opinion that </w:t>
      </w:r>
      <w:proofErr w:type="spellStart"/>
      <w:r w:rsidRPr="003E75D1">
        <w:rPr>
          <w:rFonts w:eastAsia="Times New Roman" w:cs="Arial"/>
          <w:i/>
          <w:snapToGrid w:val="0"/>
          <w:kern w:val="16"/>
          <w:lang w:eastAsia="en-AU"/>
        </w:rPr>
        <w:t>Homosalate</w:t>
      </w:r>
      <w:proofErr w:type="spellEnd"/>
      <w:r w:rsidRPr="003E75D1">
        <w:rPr>
          <w:rFonts w:eastAsia="Times New Roman" w:cs="Arial"/>
          <w:i/>
          <w:snapToGrid w:val="0"/>
          <w:kern w:val="16"/>
          <w:lang w:eastAsia="en-AU"/>
        </w:rPr>
        <w:t xml:space="preserve"> is safe as a UV-filter at concentrations up to 7.34% in face cream and pump spray.”</w:t>
      </w:r>
    </w:p>
    <w:p w14:paraId="4A40BA6E" w14:textId="77777777" w:rsidR="00B62C8A" w:rsidRPr="00644C80" w:rsidRDefault="00B62C8A" w:rsidP="003E75D1">
      <w:pPr>
        <w:rPr>
          <w:snapToGrid w:val="0"/>
          <w:lang w:eastAsia="en-AU"/>
        </w:rPr>
      </w:pPr>
      <w:r w:rsidRPr="00644C80">
        <w:rPr>
          <w:snapToGrid w:val="0"/>
          <w:lang w:eastAsia="en-AU"/>
        </w:rPr>
        <w:t>The SCCS (2021c) also noted that:</w:t>
      </w:r>
    </w:p>
    <w:p w14:paraId="6C15E72C" w14:textId="19AD8AFF" w:rsidR="003E75D1" w:rsidRDefault="00B62C8A" w:rsidP="000874CD">
      <w:pPr>
        <w:spacing w:after="220" w:line="252" w:lineRule="auto"/>
        <w:ind w:left="720"/>
        <w:jc w:val="both"/>
      </w:pPr>
      <w:r w:rsidRPr="003E75D1">
        <w:rPr>
          <w:rFonts w:eastAsia="Times New Roman" w:cs="Arial"/>
          <w:i/>
          <w:snapToGrid w:val="0"/>
          <w:kern w:val="16"/>
          <w:lang w:eastAsia="en-AU"/>
        </w:rPr>
        <w:t xml:space="preserve">“The available data on </w:t>
      </w:r>
      <w:proofErr w:type="spellStart"/>
      <w:r w:rsidRPr="003E75D1">
        <w:rPr>
          <w:rFonts w:eastAsia="Times New Roman" w:cs="Arial"/>
          <w:i/>
          <w:snapToGrid w:val="0"/>
          <w:kern w:val="16"/>
          <w:lang w:eastAsia="en-AU"/>
        </w:rPr>
        <w:t>Homosalate</w:t>
      </w:r>
      <w:proofErr w:type="spellEnd"/>
      <w:r w:rsidRPr="003E75D1">
        <w:rPr>
          <w:rFonts w:eastAsia="Times New Roman" w:cs="Arial"/>
          <w:i/>
          <w:snapToGrid w:val="0"/>
          <w:kern w:val="16"/>
          <w:lang w:eastAsia="en-AU"/>
        </w:rPr>
        <w:t xml:space="preserve"> provide some indications for potential endocrine effects. However, the current level of evidence is not sufficient to regard it as an endocrine disrupting substance, or to derive a toxicological point of departure based on endocrine disrupting properties for use in human health risk assessment.”</w:t>
      </w:r>
      <w:bookmarkStart w:id="113" w:name="_Toc190944929"/>
    </w:p>
    <w:p w14:paraId="7062ECCC" w14:textId="6D763D2D" w:rsidR="00B62C8A" w:rsidRDefault="00B62C8A" w:rsidP="00B62C8A">
      <w:pPr>
        <w:pStyle w:val="Heading4"/>
      </w:pPr>
      <w:bookmarkStart w:id="114" w:name="_Toc199254966"/>
      <w:r w:rsidRPr="00B53EAE">
        <w:t xml:space="preserve">Exposure </w:t>
      </w:r>
      <w:proofErr w:type="gramStart"/>
      <w:r w:rsidRPr="00B53EAE">
        <w:t>estimate</w:t>
      </w:r>
      <w:proofErr w:type="gramEnd"/>
      <w:r w:rsidRPr="00B53EAE">
        <w:t xml:space="preserve"> and Margin of Safety</w:t>
      </w:r>
      <w:r>
        <w:t xml:space="preserve"> for </w:t>
      </w:r>
      <w:proofErr w:type="spellStart"/>
      <w:r>
        <w:t>Homosalate</w:t>
      </w:r>
      <w:bookmarkEnd w:id="113"/>
      <w:bookmarkEnd w:id="114"/>
      <w:proofErr w:type="spellEnd"/>
    </w:p>
    <w:p w14:paraId="1E2353EF" w14:textId="77777777" w:rsidR="00B62C8A" w:rsidRDefault="00B62C8A" w:rsidP="003E75D1">
      <w:pPr>
        <w:pStyle w:val="Tabletitle"/>
      </w:pPr>
      <w:proofErr w:type="spellStart"/>
      <w:r w:rsidRPr="00FC138F">
        <w:t>Homosalate</w:t>
      </w:r>
      <w:proofErr w:type="spellEnd"/>
      <w:r w:rsidRPr="00FC138F">
        <w:t xml:space="preserve"> </w:t>
      </w:r>
      <w:r w:rsidRPr="00AE0E35">
        <w:t>–</w:t>
      </w:r>
      <w:r>
        <w:t xml:space="preserve"> standard</w:t>
      </w:r>
      <w:r w:rsidRPr="00AE0E35">
        <w:t xml:space="preserve"> parameters for the estimation of the systemic exposure dose</w:t>
      </w:r>
    </w:p>
    <w:tbl>
      <w:tblPr>
        <w:tblStyle w:val="TableTGAblue2023"/>
        <w:tblW w:w="9067" w:type="dxa"/>
        <w:tblLook w:val="04A0" w:firstRow="1" w:lastRow="0" w:firstColumn="1" w:lastColumn="0" w:noHBand="0" w:noVBand="1"/>
      </w:tblPr>
      <w:tblGrid>
        <w:gridCol w:w="6374"/>
        <w:gridCol w:w="2693"/>
      </w:tblGrid>
      <w:tr w:rsidR="00B62C8A" w14:paraId="21E49627" w14:textId="77777777" w:rsidTr="00E07077">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6374" w:type="dxa"/>
          </w:tcPr>
          <w:p w14:paraId="4C57BB2F" w14:textId="77777777" w:rsidR="00B62C8A" w:rsidRPr="003E75D1" w:rsidRDefault="00B62C8A" w:rsidP="00E07077">
            <w:pPr>
              <w:pStyle w:val="Standard"/>
              <w:spacing w:after="0"/>
              <w:rPr>
                <w:rFonts w:ascii="Arial" w:hAnsi="Arial" w:cs="Arial"/>
                <w:sz w:val="20"/>
                <w:szCs w:val="20"/>
              </w:rPr>
            </w:pPr>
            <w:r w:rsidRPr="003E75D1">
              <w:rPr>
                <w:rFonts w:ascii="Arial" w:hAnsi="Arial" w:cs="Arial"/>
                <w:sz w:val="20"/>
                <w:szCs w:val="20"/>
              </w:rPr>
              <w:t>Parameter</w:t>
            </w:r>
          </w:p>
        </w:tc>
        <w:tc>
          <w:tcPr>
            <w:tcW w:w="2693" w:type="dxa"/>
          </w:tcPr>
          <w:p w14:paraId="5CB4DF3A" w14:textId="77777777" w:rsidR="00B62C8A" w:rsidRPr="003E75D1" w:rsidRDefault="00B62C8A" w:rsidP="00E07077">
            <w:pPr>
              <w:pStyle w:val="Standard"/>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E75D1">
              <w:rPr>
                <w:rFonts w:ascii="Arial" w:hAnsi="Arial" w:cs="Arial"/>
                <w:sz w:val="20"/>
                <w:szCs w:val="20"/>
              </w:rPr>
              <w:t>Value</w:t>
            </w:r>
          </w:p>
        </w:tc>
      </w:tr>
      <w:tr w:rsidR="00B62C8A" w:rsidRPr="00DF6853" w14:paraId="5C577F74" w14:textId="77777777" w:rsidTr="00E07077">
        <w:trPr>
          <w:trHeight w:val="304"/>
        </w:trPr>
        <w:tc>
          <w:tcPr>
            <w:cnfStyle w:val="001000000000" w:firstRow="0" w:lastRow="0" w:firstColumn="1" w:lastColumn="0" w:oddVBand="0" w:evenVBand="0" w:oddHBand="0" w:evenHBand="0" w:firstRowFirstColumn="0" w:firstRowLastColumn="0" w:lastRowFirstColumn="0" w:lastRowLastColumn="0"/>
            <w:tcW w:w="6374" w:type="dxa"/>
          </w:tcPr>
          <w:p w14:paraId="59612717" w14:textId="77777777" w:rsidR="00B62C8A" w:rsidRPr="003E75D1" w:rsidRDefault="00B62C8A" w:rsidP="00E07077">
            <w:pPr>
              <w:pStyle w:val="Standard"/>
              <w:spacing w:before="120" w:after="120"/>
              <w:rPr>
                <w:rFonts w:ascii="Arial" w:hAnsi="Arial" w:cs="Arial"/>
                <w:b/>
                <w:bCs/>
                <w:sz w:val="20"/>
                <w:szCs w:val="20"/>
              </w:rPr>
            </w:pPr>
            <w:r w:rsidRPr="003E75D1">
              <w:rPr>
                <w:rFonts w:ascii="Arial" w:hAnsi="Arial" w:cs="Arial"/>
                <w:sz w:val="20"/>
                <w:szCs w:val="20"/>
              </w:rPr>
              <w:t>NOAEL (adjusted for LOAEL &amp; bioavailability)</w:t>
            </w:r>
          </w:p>
        </w:tc>
        <w:tc>
          <w:tcPr>
            <w:tcW w:w="2693" w:type="dxa"/>
          </w:tcPr>
          <w:p w14:paraId="7F257DC9" w14:textId="77777777" w:rsidR="00B62C8A" w:rsidRPr="003E75D1" w:rsidRDefault="00B62C8A" w:rsidP="00E07077">
            <w:pPr>
              <w:pStyle w:val="Standard"/>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75D1">
              <w:rPr>
                <w:rFonts w:ascii="Arial" w:hAnsi="Arial" w:cs="Arial"/>
                <w:sz w:val="20"/>
                <w:szCs w:val="20"/>
              </w:rPr>
              <w:t xml:space="preserve">10 mg/kg </w:t>
            </w:r>
            <w:proofErr w:type="spellStart"/>
            <w:r w:rsidRPr="003E75D1">
              <w:rPr>
                <w:rFonts w:ascii="Arial" w:hAnsi="Arial" w:cs="Arial"/>
                <w:sz w:val="20"/>
                <w:szCs w:val="20"/>
              </w:rPr>
              <w:t>bw</w:t>
            </w:r>
            <w:proofErr w:type="spellEnd"/>
            <w:r w:rsidRPr="003E75D1">
              <w:rPr>
                <w:rFonts w:ascii="Arial" w:hAnsi="Arial" w:cs="Arial"/>
                <w:sz w:val="20"/>
                <w:szCs w:val="20"/>
              </w:rPr>
              <w:t>/day</w:t>
            </w:r>
          </w:p>
        </w:tc>
      </w:tr>
      <w:tr w:rsidR="00B62C8A" w:rsidRPr="00DF6853" w14:paraId="53F698C5" w14:textId="77777777" w:rsidTr="00E07077">
        <w:trPr>
          <w:trHeight w:val="560"/>
        </w:trPr>
        <w:tc>
          <w:tcPr>
            <w:cnfStyle w:val="001000000000" w:firstRow="0" w:lastRow="0" w:firstColumn="1" w:lastColumn="0" w:oddVBand="0" w:evenVBand="0" w:oddHBand="0" w:evenHBand="0" w:firstRowFirstColumn="0" w:firstRowLastColumn="0" w:lastRowFirstColumn="0" w:lastRowLastColumn="0"/>
            <w:tcW w:w="6374" w:type="dxa"/>
          </w:tcPr>
          <w:p w14:paraId="23C173A9" w14:textId="77777777" w:rsidR="00B62C8A" w:rsidRPr="003E75D1" w:rsidRDefault="00B62C8A" w:rsidP="00E07077">
            <w:pPr>
              <w:pStyle w:val="Standard"/>
              <w:spacing w:before="120" w:after="120"/>
              <w:rPr>
                <w:rFonts w:ascii="Arial" w:hAnsi="Arial" w:cs="Arial"/>
                <w:b/>
                <w:bCs/>
                <w:sz w:val="20"/>
                <w:szCs w:val="20"/>
              </w:rPr>
            </w:pPr>
            <w:r w:rsidRPr="003E75D1">
              <w:rPr>
                <w:rFonts w:ascii="Arial" w:hAnsi="Arial" w:cs="Arial"/>
                <w:sz w:val="20"/>
                <w:szCs w:val="20"/>
              </w:rPr>
              <w:t>Dermal absorption (</w:t>
            </w:r>
            <w:proofErr w:type="spellStart"/>
            <w:r w:rsidRPr="003E75D1">
              <w:rPr>
                <w:rFonts w:ascii="Arial" w:hAnsi="Arial" w:cs="Arial"/>
                <w:sz w:val="20"/>
                <w:szCs w:val="20"/>
              </w:rPr>
              <w:t>DAp</w:t>
            </w:r>
            <w:proofErr w:type="spellEnd"/>
            <w:r w:rsidRPr="003E75D1">
              <w:rPr>
                <w:rFonts w:ascii="Arial" w:hAnsi="Arial" w:cs="Arial"/>
                <w:sz w:val="20"/>
                <w:szCs w:val="20"/>
              </w:rPr>
              <w:t>)</w:t>
            </w:r>
          </w:p>
        </w:tc>
        <w:tc>
          <w:tcPr>
            <w:tcW w:w="2693" w:type="dxa"/>
          </w:tcPr>
          <w:p w14:paraId="4F7EF129" w14:textId="77777777" w:rsidR="00B62C8A" w:rsidRPr="003E75D1" w:rsidRDefault="00B62C8A" w:rsidP="00E07077">
            <w:pPr>
              <w:pStyle w:val="Standard"/>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75D1">
              <w:rPr>
                <w:rFonts w:ascii="Arial" w:hAnsi="Arial" w:cs="Arial"/>
                <w:sz w:val="20"/>
                <w:szCs w:val="20"/>
              </w:rPr>
              <w:t>5.3%</w:t>
            </w:r>
          </w:p>
        </w:tc>
      </w:tr>
      <w:tr w:rsidR="00B62C8A" w:rsidRPr="00DF6853" w14:paraId="50FB598D" w14:textId="77777777" w:rsidTr="00E07077">
        <w:trPr>
          <w:trHeight w:val="762"/>
        </w:trPr>
        <w:tc>
          <w:tcPr>
            <w:cnfStyle w:val="001000000000" w:firstRow="0" w:lastRow="0" w:firstColumn="1" w:lastColumn="0" w:oddVBand="0" w:evenVBand="0" w:oddHBand="0" w:evenHBand="0" w:firstRowFirstColumn="0" w:firstRowLastColumn="0" w:lastRowFirstColumn="0" w:lastRowLastColumn="0"/>
            <w:tcW w:w="6374" w:type="dxa"/>
          </w:tcPr>
          <w:p w14:paraId="364FA678" w14:textId="77777777" w:rsidR="00B62C8A" w:rsidRPr="003E75D1" w:rsidRDefault="00B62C8A" w:rsidP="00E07077">
            <w:pPr>
              <w:pStyle w:val="Standard"/>
              <w:spacing w:before="120" w:after="120"/>
              <w:rPr>
                <w:rFonts w:ascii="Arial" w:hAnsi="Arial" w:cs="Arial"/>
                <w:b/>
                <w:bCs/>
                <w:sz w:val="20"/>
                <w:szCs w:val="20"/>
              </w:rPr>
            </w:pPr>
            <w:r w:rsidRPr="003E75D1">
              <w:rPr>
                <w:rFonts w:ascii="Arial" w:hAnsi="Arial" w:cs="Arial"/>
                <w:sz w:val="20"/>
                <w:szCs w:val="20"/>
              </w:rPr>
              <w:t>Highest concentration permitted to be used in Australian sunscreen products (C)</w:t>
            </w:r>
          </w:p>
        </w:tc>
        <w:tc>
          <w:tcPr>
            <w:tcW w:w="2693" w:type="dxa"/>
          </w:tcPr>
          <w:p w14:paraId="28B20876" w14:textId="77777777" w:rsidR="00B62C8A" w:rsidRPr="003E75D1" w:rsidRDefault="00B62C8A" w:rsidP="00E07077">
            <w:pPr>
              <w:pStyle w:val="Standard"/>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75D1">
              <w:rPr>
                <w:rFonts w:ascii="Arial" w:hAnsi="Arial" w:cs="Arial"/>
                <w:sz w:val="20"/>
                <w:szCs w:val="20"/>
              </w:rPr>
              <w:t>15%</w:t>
            </w:r>
          </w:p>
        </w:tc>
      </w:tr>
    </w:tbl>
    <w:p w14:paraId="55A76963" w14:textId="77777777" w:rsidR="00B62C8A" w:rsidRPr="00006478" w:rsidRDefault="00B62C8A" w:rsidP="00B62C8A">
      <w:pPr>
        <w:pStyle w:val="WhiteSpace"/>
        <w:rPr>
          <w:sz w:val="22"/>
          <w:szCs w:val="22"/>
        </w:rPr>
      </w:pPr>
    </w:p>
    <w:p w14:paraId="4136087B" w14:textId="77777777" w:rsidR="00B62C8A" w:rsidRPr="003E75D1" w:rsidRDefault="00B62C8A" w:rsidP="00B62C8A">
      <w:pPr>
        <w:pStyle w:val="Standard"/>
        <w:rPr>
          <w:rFonts w:ascii="Arial" w:hAnsi="Arial" w:cs="Arial"/>
          <w:b/>
          <w:bCs/>
          <w:sz w:val="20"/>
          <w:szCs w:val="20"/>
        </w:rPr>
      </w:pPr>
      <w:r w:rsidRPr="003E75D1">
        <w:rPr>
          <w:rFonts w:ascii="Arial" w:hAnsi="Arial" w:cs="Arial"/>
          <w:b/>
          <w:bCs/>
          <w:sz w:val="20"/>
          <w:szCs w:val="20"/>
        </w:rPr>
        <w:t xml:space="preserve">Estimated </w:t>
      </w:r>
      <w:proofErr w:type="spellStart"/>
      <w:r w:rsidRPr="003E75D1">
        <w:rPr>
          <w:rFonts w:ascii="Arial" w:hAnsi="Arial" w:cs="Arial"/>
          <w:b/>
          <w:bCs/>
          <w:sz w:val="20"/>
          <w:szCs w:val="20"/>
        </w:rPr>
        <w:t>homosalate</w:t>
      </w:r>
      <w:proofErr w:type="spellEnd"/>
      <w:r w:rsidRPr="003E75D1">
        <w:rPr>
          <w:rFonts w:ascii="Arial" w:hAnsi="Arial" w:cs="Arial"/>
          <w:b/>
          <w:bCs/>
          <w:sz w:val="20"/>
          <w:szCs w:val="20"/>
        </w:rPr>
        <w:t xml:space="preserve"> SED and MoS using the Australian Sunscreen Exposure Model (ASEM) </w:t>
      </w:r>
    </w:p>
    <w:p w14:paraId="50F03072" w14:textId="77777777" w:rsidR="00B62C8A" w:rsidRDefault="00B62C8A" w:rsidP="00B62C8A">
      <w:pPr>
        <w:pStyle w:val="Heading5sub"/>
      </w:pPr>
      <w:r>
        <w:t>ASEM method 1 (%) MoS calculation</w:t>
      </w:r>
    </w:p>
    <w:p w14:paraId="297F767C" w14:textId="77777777" w:rsidR="00B62C8A" w:rsidRDefault="00B62C8A" w:rsidP="00B62C8A">
      <w:pPr>
        <w:spacing w:before="240"/>
        <w:rPr>
          <w:rFonts w:cs="Arial"/>
          <w:b/>
          <w:bCs/>
        </w:rPr>
      </w:pPr>
      <w:r w:rsidRPr="003645DF">
        <w:rPr>
          <w:rFonts w:cs="Arial"/>
          <w:noProof/>
        </w:rPr>
        <mc:AlternateContent>
          <mc:Choice Requires="wps">
            <w:drawing>
              <wp:inline distT="0" distB="0" distL="0" distR="0" wp14:anchorId="0A8DD57A" wp14:editId="7E4372E5">
                <wp:extent cx="5901180" cy="1423686"/>
                <wp:effectExtent l="0" t="0" r="23495" b="24130"/>
                <wp:docPr id="578357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180" cy="1423686"/>
                        </a:xfrm>
                        <a:prstGeom prst="rect">
                          <a:avLst/>
                        </a:prstGeom>
                        <a:solidFill>
                          <a:srgbClr val="FFFFFF"/>
                        </a:solidFill>
                        <a:ln w="9525">
                          <a:solidFill>
                            <a:schemeClr val="tx1"/>
                          </a:solidFill>
                          <a:miter lim="800000"/>
                          <a:headEnd/>
                          <a:tailEnd/>
                        </a:ln>
                      </wps:spPr>
                      <wps:txbx>
                        <w:txbxContent>
                          <w:p w14:paraId="4352A6D1" w14:textId="77777777" w:rsidR="00B62C8A" w:rsidRPr="00573F08" w:rsidRDefault="00B62C8A" w:rsidP="00B62C8A">
                            <w:pPr>
                              <w:rPr>
                                <w:rFonts w:ascii="Times New Roman" w:eastAsiaTheme="minorEastAsia" w:hAnsi="Times New Roman" w:cs="Times New Roman"/>
                                <w:sz w:val="24"/>
                                <w:szCs w:val="24"/>
                              </w:rPr>
                            </w:pPr>
                            <m:oMathPara>
                              <m:oMathParaPr>
                                <m:jc m:val="center"/>
                              </m:oMathParaPr>
                              <m:oMath>
                                <m:r>
                                  <w:rPr>
                                    <w:rFonts w:ascii="Cambria Math" w:hAnsi="Cambria Math" w:cs="Cambria Math"/>
                                    <w:sz w:val="24"/>
                                    <w:szCs w:val="24"/>
                                  </w:rPr>
                                  <m:t>SED=</m:t>
                                </m:r>
                                <m:sSub>
                                  <m:sSubPr>
                                    <m:ctrlPr>
                                      <w:rPr>
                                        <w:rFonts w:ascii="Cambria Math" w:hAnsi="Cambria Math" w:cs="Cambria Math"/>
                                        <w:i/>
                                        <w:iCs/>
                                        <w:sz w:val="24"/>
                                        <w:szCs w:val="24"/>
                                      </w:rPr>
                                    </m:ctrlPr>
                                  </m:sSubPr>
                                  <m:e>
                                    <m:r>
                                      <w:rPr>
                                        <w:rFonts w:ascii="Cambria Math" w:hAnsi="Cambria Math" w:cs="Cambria Math"/>
                                        <w:sz w:val="24"/>
                                        <w:szCs w:val="24"/>
                                      </w:rPr>
                                      <m:t>ASEM</m:t>
                                    </m:r>
                                  </m:e>
                                  <m:sub>
                                    <m:d>
                                      <m:dPr>
                                        <m:ctrlPr>
                                          <w:rPr>
                                            <w:rFonts w:ascii="Cambria Math" w:hAnsi="Cambria Math" w:cs="Arial"/>
                                            <w:sz w:val="24"/>
                                            <w:szCs w:val="24"/>
                                          </w:rPr>
                                        </m:ctrlPr>
                                      </m:dPr>
                                      <m:e>
                                        <m:r>
                                          <m:rPr>
                                            <m:sty m:val="p"/>
                                          </m:rPr>
                                          <w:rPr>
                                            <w:rFonts w:ascii="Cambria Math" w:hAnsi="Cambria Math" w:cs="Arial"/>
                                            <w:sz w:val="24"/>
                                            <w:szCs w:val="24"/>
                                          </w:rPr>
                                          <m:t>method 1</m:t>
                                        </m:r>
                                      </m:e>
                                    </m:d>
                                    <m:r>
                                      <m:rPr>
                                        <m:sty m:val="p"/>
                                      </m:rPr>
                                      <w:rPr>
                                        <w:rFonts w:ascii="Cambria Math" w:hAnsi="Cambria Math" w:cs="Arial"/>
                                        <w:sz w:val="24"/>
                                        <w:szCs w:val="24"/>
                                      </w:rPr>
                                      <m:t xml:space="preserve"> </m:t>
                                    </m:r>
                                  </m:sub>
                                </m:sSub>
                                <m:r>
                                  <w:rPr>
                                    <w:rFonts w:ascii="Cambria Math" w:hAnsi="Cambria Math" w:cs="Cambria Math"/>
                                    <w:sz w:val="24"/>
                                    <w:szCs w:val="24"/>
                                  </w:rPr>
                                  <m:t>×</m:t>
                                </m:r>
                                <m:sSub>
                                  <m:sSubPr>
                                    <m:ctrlPr>
                                      <w:rPr>
                                        <w:rFonts w:ascii="Cambria Math" w:hAnsi="Cambria Math" w:cs="Cambria Math"/>
                                        <w:i/>
                                        <w:sz w:val="24"/>
                                        <w:szCs w:val="24"/>
                                      </w:rPr>
                                    </m:ctrlPr>
                                  </m:sSubPr>
                                  <m:e>
                                    <m:r>
                                      <w:rPr>
                                        <w:rFonts w:ascii="Cambria Math" w:hAnsi="Cambria Math" w:cs="Cambria Math"/>
                                        <w:sz w:val="24"/>
                                        <w:szCs w:val="24"/>
                                      </w:rPr>
                                      <m:t>DA</m:t>
                                    </m:r>
                                  </m:e>
                                  <m:sub>
                                    <m:r>
                                      <w:rPr>
                                        <w:rFonts w:ascii="Cambria Math" w:hAnsi="Cambria Math" w:cs="Cambria Math"/>
                                        <w:sz w:val="24"/>
                                        <w:szCs w:val="24"/>
                                      </w:rPr>
                                      <m:t>p</m:t>
                                    </m:r>
                                  </m:sub>
                                </m:sSub>
                                <m:r>
                                  <w:rPr>
                                    <w:rFonts w:ascii="Cambria Math" w:hAnsi="Cambria Math" w:cs="Cambria Math"/>
                                    <w:sz w:val="24"/>
                                    <w:szCs w:val="24"/>
                                  </w:rPr>
                                  <m:t xml:space="preserve">×C                </m:t>
                                </m:r>
                              </m:oMath>
                            </m:oMathPara>
                          </w:p>
                          <w:p w14:paraId="54D66F46" w14:textId="77777777" w:rsidR="00B62C8A" w:rsidRPr="00573F08" w:rsidRDefault="00B62C8A" w:rsidP="00B62C8A">
                            <w:pPr>
                              <w:rPr>
                                <w:rFonts w:ascii="Cambria Math" w:hAnsi="Cambria Math" w:cs="Cambria Math"/>
                                <w:b/>
                                <w:bCs/>
                                <w:sz w:val="24"/>
                                <w:szCs w:val="24"/>
                              </w:rPr>
                            </w:pPr>
                            <m:oMathPara>
                              <m:oMathParaPr>
                                <m:jc m:val="center"/>
                              </m:oMathParaPr>
                              <m:oMath>
                                <m:r>
                                  <w:rPr>
                                    <w:rFonts w:ascii="Cambria Math" w:hAnsi="Cambria Math" w:cs="Cambria Math"/>
                                    <w:sz w:val="24"/>
                                    <w:szCs w:val="24"/>
                                  </w:rPr>
                                  <m:t>=673 mg/kg bw/day ×5.3 %×15 %</m:t>
                                </m:r>
                                <m:r>
                                  <w:rPr>
                                    <w:rFonts w:ascii="Cambria Math" w:eastAsiaTheme="minorEastAsia" w:hAnsi="Cambria Math" w:cs="Arial"/>
                                    <w:sz w:val="24"/>
                                    <w:szCs w:val="24"/>
                                  </w:rPr>
                                  <m:t xml:space="preserve">=5.35 mg/kg bw/day </m:t>
                                </m:r>
                              </m:oMath>
                            </m:oMathPara>
                          </w:p>
                          <w:p w14:paraId="4177B7FB" w14:textId="77777777" w:rsidR="00B62C8A" w:rsidRPr="009F576C" w:rsidRDefault="00B62C8A" w:rsidP="00B62C8A">
                            <w:pPr>
                              <w:spacing w:before="120" w:line="240" w:lineRule="atLeast"/>
                              <w:rPr>
                                <w:color w:val="FF0000"/>
                                <w:sz w:val="24"/>
                                <w:szCs w:val="24"/>
                              </w:rPr>
                            </w:pPr>
                            <m:oMathPara>
                              <m:oMathParaPr>
                                <m:jc m:val="center"/>
                              </m:oMathParaPr>
                              <m:oMath>
                                <m:r>
                                  <m:rPr>
                                    <m:sty m:val="p"/>
                                  </m:rPr>
                                  <w:rPr>
                                    <w:rFonts w:ascii="Cambria Math" w:hAnsi="Cambria Math"/>
                                    <w:sz w:val="24"/>
                                    <w:szCs w:val="24"/>
                                  </w:rPr>
                                  <w:br/>
                                </m:r>
                              </m:oMath>
                              <m:oMath>
                                <m:r>
                                  <w:rPr>
                                    <w:rFonts w:ascii="Cambria Math" w:hAnsi="Cambria Math"/>
                                    <w:sz w:val="24"/>
                                    <w:szCs w:val="24"/>
                                  </w:rPr>
                                  <m:t xml:space="preserve">MoS= </m:t>
                                </m:r>
                                <m:f>
                                  <m:fPr>
                                    <m:ctrlPr>
                                      <w:rPr>
                                        <w:rFonts w:ascii="Cambria Math" w:hAnsi="Cambria Math"/>
                                        <w:i/>
                                        <w:sz w:val="24"/>
                                        <w:szCs w:val="24"/>
                                      </w:rPr>
                                    </m:ctrlPr>
                                  </m:fPr>
                                  <m:num>
                                    <m:r>
                                      <w:rPr>
                                        <w:rFonts w:ascii="Cambria Math" w:hAnsi="Cambria Math"/>
                                        <w:sz w:val="24"/>
                                        <w:szCs w:val="24"/>
                                      </w:rPr>
                                      <m:t>NOAEL (mg/kg bw/day)</m:t>
                                    </m:r>
                                  </m:num>
                                  <m:den>
                                    <m:r>
                                      <w:rPr>
                                        <w:rFonts w:ascii="Cambria Math" w:hAnsi="Cambria Math"/>
                                        <w:sz w:val="24"/>
                                        <w:szCs w:val="24"/>
                                      </w:rPr>
                                      <m:t>SED (mg/kg bw/day)</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 xml:space="preserve">10.0 mg/kg bw/d </m:t>
                                    </m:r>
                                  </m:num>
                                  <m:den>
                                    <m:r>
                                      <w:rPr>
                                        <w:rFonts w:ascii="Cambria Math" w:hAnsi="Cambria Math"/>
                                        <w:sz w:val="24"/>
                                        <w:szCs w:val="24"/>
                                      </w:rPr>
                                      <m:t>5.35 mg/kg bw/d</m:t>
                                    </m:r>
                                  </m:den>
                                </m:f>
                                <m:r>
                                  <w:rPr>
                                    <w:rFonts w:ascii="Cambria Math" w:hAnsi="Cambria Math"/>
                                    <w:sz w:val="24"/>
                                    <w:szCs w:val="24"/>
                                  </w:rPr>
                                  <m:t>=</m:t>
                                </m:r>
                                <m:r>
                                  <m:rPr>
                                    <m:sty m:val="bi"/>
                                  </m:rPr>
                                  <w:rPr>
                                    <w:rFonts w:ascii="Cambria Math" w:hAnsi="Cambria Math"/>
                                    <w:sz w:val="24"/>
                                    <w:szCs w:val="24"/>
                                  </w:rPr>
                                  <m:t>1.9</m:t>
                                </m:r>
                              </m:oMath>
                            </m:oMathPara>
                          </w:p>
                          <w:p w14:paraId="28D9F313" w14:textId="77777777" w:rsidR="00B62C8A" w:rsidRPr="0011722F" w:rsidRDefault="00B62C8A" w:rsidP="00B62C8A">
                            <w:proofErr w:type="spellStart"/>
                            <w:r w:rsidRPr="00677D7A">
                              <w:rPr>
                                <w:rFonts w:ascii="Cambria Math" w:eastAsiaTheme="minorEastAsia" w:hAnsi="Cambria Math"/>
                                <w:sz w:val="18"/>
                                <w:szCs w:val="18"/>
                              </w:rPr>
                              <w:t>DA</w:t>
                            </w:r>
                            <w:r>
                              <w:rPr>
                                <w:rFonts w:ascii="Cambria Math" w:eastAsiaTheme="minorEastAsia" w:hAnsi="Cambria Math"/>
                                <w:sz w:val="18"/>
                                <w:szCs w:val="18"/>
                                <w:vertAlign w:val="subscript"/>
                              </w:rPr>
                              <w:t>p</w:t>
                            </w:r>
                            <w:proofErr w:type="spellEnd"/>
                            <w:r w:rsidRPr="00677D7A">
                              <w:rPr>
                                <w:rFonts w:ascii="Cambria Math" w:eastAsiaTheme="minorEastAsia" w:hAnsi="Cambria Math"/>
                                <w:sz w:val="18"/>
                                <w:szCs w:val="18"/>
                              </w:rPr>
                              <w:t>: Dermal Absorption,</w:t>
                            </w:r>
                            <w:r w:rsidRPr="00E24A6F">
                              <w:rPr>
                                <w:rFonts w:ascii="Cambria Math" w:hAnsi="Cambria Math"/>
                                <w:sz w:val="18"/>
                                <w:szCs w:val="18"/>
                              </w:rPr>
                              <w:t xml:space="preserve"> </w:t>
                            </w:r>
                            <w:r w:rsidRPr="00677D7A">
                              <w:rPr>
                                <w:rFonts w:ascii="Cambria Math" w:hAnsi="Cambria Math"/>
                                <w:sz w:val="18"/>
                                <w:szCs w:val="18"/>
                              </w:rPr>
                              <w:t>C: Concentration</w:t>
                            </w:r>
                          </w:p>
                        </w:txbxContent>
                      </wps:txbx>
                      <wps:bodyPr rot="0" vert="horz" wrap="square" lIns="91440" tIns="45720" rIns="91440" bIns="45720" anchor="t" anchorCtr="0">
                        <a:noAutofit/>
                      </wps:bodyPr>
                    </wps:wsp>
                  </a:graphicData>
                </a:graphic>
              </wp:inline>
            </w:drawing>
          </mc:Choice>
          <mc:Fallback>
            <w:pict>
              <v:shape w14:anchorId="0A8DD57A" id="_x0000_s1028" type="#_x0000_t202" style="width:464.65pt;height:1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HPjGgIAACYEAAAOAAAAZHJzL2Uyb0RvYy54bWysU9uO2yAQfa/Uf0C8N740SRMrzmqbbapK&#10;24u07QdgjGNUzFAgsdOv74C92ez2rSoPiGHgzMyZM5uboVPkJKyToEuazVJKhOZQS30o6Y/v+zcr&#10;SpxnumYKtCjpWTh6s339atObQuTQgqqFJQiiXdGbkrbemyJJHG9Fx9wMjNDobMB2zKNpD0ltWY/o&#10;nUryNF0mPdjaWODCOby9G510G/GbRnD/tWmc8ESVFHPzcbdxr8KebDesOFhmWsmnNNg/ZNExqTHo&#10;BeqOeUaOVv4F1UluwUHjZxy6BJpGchFrwGqy9EU1Dy0zItaC5Dhzocn9P1j+5fRgvlnih/cwYANj&#10;Ec7cA//piIZdy/RB3FoLfStYjYGzQFnSG1dMXwPVrnABpOo/Q41NZkcPEWhobBdYwToJomMDzhfS&#10;xeAJx8vFOs2yFbo4+rJ5/na5WsYYrHj8bqzzHwV0JBxKarGrEZ6d7p0P6bDi8UmI5kDJei+VioY9&#10;VDtlyYmhAvZxTejPnilN+pKuF/liZOAZRBCjuID4YeTgRaBOelSykl1JV2lYo7YCbR90HXXmmVTj&#10;GTNWeuIxUDeS6IdqILIuaR7+BlorqM9IrIVRuDhoeGjB/qakR9GW1P06MisoUZ80NmedzedB5dGY&#10;L97laNhrT3XtYZojVEk9JeNx5+NkBNo03GITGxnpfcpkShnFGFmfBieo/dqOr57Ge/sHAAD//wMA&#10;UEsDBBQABgAIAAAAIQAaDueM2wAAAAUBAAAPAAAAZHJzL2Rvd25yZXYueG1sTI9BS8NAEIXvgv9h&#10;GcGb3biK2JhNkUrqSaFREG/T7JgEs7Mhu23jv3f0opeBx3u8902xmv2gDjTFPrCFy0UGirgJrufW&#10;wutLdXELKiZkh0NgsvBFEVbl6UmBuQtH3tKhTq2SEo45WuhSGnOtY9ORx7gII7F4H2HymEROrXYT&#10;HqXcD9pk2Y322LMsdDjSuqPms957C4+b5qGOOmK12T6N7+s3V7lnZ+352Xx/ByrRnP7C8IMv6FAK&#10;0y7s2UU1WJBH0u8Vb2mWV6B2Foy5NqDLQv+nL78BAAD//wMAUEsBAi0AFAAGAAgAAAAhALaDOJL+&#10;AAAA4QEAABMAAAAAAAAAAAAAAAAAAAAAAFtDb250ZW50X1R5cGVzXS54bWxQSwECLQAUAAYACAAA&#10;ACEAOP0h/9YAAACUAQAACwAAAAAAAAAAAAAAAAAvAQAAX3JlbHMvLnJlbHNQSwECLQAUAAYACAAA&#10;ACEAY9Rz4xoCAAAmBAAADgAAAAAAAAAAAAAAAAAuAgAAZHJzL2Uyb0RvYy54bWxQSwECLQAUAAYA&#10;CAAAACEAGg7njNsAAAAFAQAADwAAAAAAAAAAAAAAAAB0BAAAZHJzL2Rvd25yZXYueG1sUEsFBgAA&#10;AAAEAAQA8wAAAHwFAAAAAA==&#10;" strokecolor="#002c47 [3213]">
                <v:textbox>
                  <w:txbxContent>
                    <w:p w14:paraId="4352A6D1" w14:textId="77777777" w:rsidR="00B62C8A" w:rsidRPr="00573F08" w:rsidRDefault="00B62C8A" w:rsidP="00B62C8A">
                      <w:pPr>
                        <w:rPr>
                          <w:rFonts w:ascii="Times New Roman" w:eastAsiaTheme="minorEastAsia" w:hAnsi="Times New Roman" w:cs="Times New Roman"/>
                          <w:sz w:val="24"/>
                          <w:szCs w:val="24"/>
                        </w:rPr>
                      </w:pPr>
                      <m:oMathPara>
                        <m:oMathParaPr>
                          <m:jc m:val="center"/>
                        </m:oMathParaPr>
                        <m:oMath>
                          <m:r>
                            <w:rPr>
                              <w:rFonts w:ascii="Cambria Math" w:hAnsi="Cambria Math" w:cs="Cambria Math"/>
                              <w:sz w:val="24"/>
                              <w:szCs w:val="24"/>
                            </w:rPr>
                            <m:t>SED=</m:t>
                          </m:r>
                          <m:sSub>
                            <m:sSubPr>
                              <m:ctrlPr>
                                <w:rPr>
                                  <w:rFonts w:ascii="Cambria Math" w:hAnsi="Cambria Math" w:cs="Cambria Math"/>
                                  <w:i/>
                                  <w:iCs/>
                                  <w:sz w:val="24"/>
                                  <w:szCs w:val="24"/>
                                </w:rPr>
                              </m:ctrlPr>
                            </m:sSubPr>
                            <m:e>
                              <m:r>
                                <w:rPr>
                                  <w:rFonts w:ascii="Cambria Math" w:hAnsi="Cambria Math" w:cs="Cambria Math"/>
                                  <w:sz w:val="24"/>
                                  <w:szCs w:val="24"/>
                                </w:rPr>
                                <m:t>ASEM</m:t>
                              </m:r>
                            </m:e>
                            <m:sub>
                              <m:d>
                                <m:dPr>
                                  <m:ctrlPr>
                                    <w:rPr>
                                      <w:rFonts w:ascii="Cambria Math" w:hAnsi="Cambria Math" w:cs="Arial"/>
                                      <w:sz w:val="24"/>
                                      <w:szCs w:val="24"/>
                                    </w:rPr>
                                  </m:ctrlPr>
                                </m:dPr>
                                <m:e>
                                  <m:r>
                                    <m:rPr>
                                      <m:sty m:val="p"/>
                                    </m:rPr>
                                    <w:rPr>
                                      <w:rFonts w:ascii="Cambria Math" w:hAnsi="Cambria Math" w:cs="Arial"/>
                                      <w:sz w:val="24"/>
                                      <w:szCs w:val="24"/>
                                    </w:rPr>
                                    <m:t>method 1</m:t>
                                  </m:r>
                                </m:e>
                              </m:d>
                              <m:r>
                                <m:rPr>
                                  <m:sty m:val="p"/>
                                </m:rPr>
                                <w:rPr>
                                  <w:rFonts w:ascii="Cambria Math" w:hAnsi="Cambria Math" w:cs="Arial"/>
                                  <w:sz w:val="24"/>
                                  <w:szCs w:val="24"/>
                                </w:rPr>
                                <m:t xml:space="preserve"> </m:t>
                              </m:r>
                            </m:sub>
                          </m:sSub>
                          <m:r>
                            <w:rPr>
                              <w:rFonts w:ascii="Cambria Math" w:hAnsi="Cambria Math" w:cs="Cambria Math"/>
                              <w:sz w:val="24"/>
                              <w:szCs w:val="24"/>
                            </w:rPr>
                            <m:t>×</m:t>
                          </m:r>
                          <m:sSub>
                            <m:sSubPr>
                              <m:ctrlPr>
                                <w:rPr>
                                  <w:rFonts w:ascii="Cambria Math" w:hAnsi="Cambria Math" w:cs="Cambria Math"/>
                                  <w:i/>
                                  <w:sz w:val="24"/>
                                  <w:szCs w:val="24"/>
                                </w:rPr>
                              </m:ctrlPr>
                            </m:sSubPr>
                            <m:e>
                              <m:r>
                                <w:rPr>
                                  <w:rFonts w:ascii="Cambria Math" w:hAnsi="Cambria Math" w:cs="Cambria Math"/>
                                  <w:sz w:val="24"/>
                                  <w:szCs w:val="24"/>
                                </w:rPr>
                                <m:t>DA</m:t>
                              </m:r>
                            </m:e>
                            <m:sub>
                              <m:r>
                                <w:rPr>
                                  <w:rFonts w:ascii="Cambria Math" w:hAnsi="Cambria Math" w:cs="Cambria Math"/>
                                  <w:sz w:val="24"/>
                                  <w:szCs w:val="24"/>
                                </w:rPr>
                                <m:t>p</m:t>
                              </m:r>
                            </m:sub>
                          </m:sSub>
                          <m:r>
                            <w:rPr>
                              <w:rFonts w:ascii="Cambria Math" w:hAnsi="Cambria Math" w:cs="Cambria Math"/>
                              <w:sz w:val="24"/>
                              <w:szCs w:val="24"/>
                            </w:rPr>
                            <m:t xml:space="preserve">×C                </m:t>
                          </m:r>
                        </m:oMath>
                      </m:oMathPara>
                    </w:p>
                    <w:p w14:paraId="54D66F46" w14:textId="77777777" w:rsidR="00B62C8A" w:rsidRPr="00573F08" w:rsidRDefault="00B62C8A" w:rsidP="00B62C8A">
                      <w:pPr>
                        <w:rPr>
                          <w:rFonts w:ascii="Cambria Math" w:hAnsi="Cambria Math" w:cs="Cambria Math"/>
                          <w:b/>
                          <w:bCs/>
                          <w:sz w:val="24"/>
                          <w:szCs w:val="24"/>
                        </w:rPr>
                      </w:pPr>
                      <m:oMathPara>
                        <m:oMathParaPr>
                          <m:jc m:val="center"/>
                        </m:oMathParaPr>
                        <m:oMath>
                          <m:r>
                            <w:rPr>
                              <w:rFonts w:ascii="Cambria Math" w:hAnsi="Cambria Math" w:cs="Cambria Math"/>
                              <w:sz w:val="24"/>
                              <w:szCs w:val="24"/>
                            </w:rPr>
                            <m:t>=673 mg/kg bw/day ×5.3 %×15 %</m:t>
                          </m:r>
                          <m:r>
                            <w:rPr>
                              <w:rFonts w:ascii="Cambria Math" w:eastAsiaTheme="minorEastAsia" w:hAnsi="Cambria Math" w:cs="Arial"/>
                              <w:sz w:val="24"/>
                              <w:szCs w:val="24"/>
                            </w:rPr>
                            <m:t xml:space="preserve">=5.35 mg/kg bw/day </m:t>
                          </m:r>
                        </m:oMath>
                      </m:oMathPara>
                    </w:p>
                    <w:p w14:paraId="4177B7FB" w14:textId="77777777" w:rsidR="00B62C8A" w:rsidRPr="009F576C" w:rsidRDefault="00B62C8A" w:rsidP="00B62C8A">
                      <w:pPr>
                        <w:spacing w:before="120" w:line="240" w:lineRule="atLeast"/>
                        <w:rPr>
                          <w:color w:val="FF0000"/>
                          <w:sz w:val="24"/>
                          <w:szCs w:val="24"/>
                        </w:rPr>
                      </w:pPr>
                      <m:oMathPara>
                        <m:oMathParaPr>
                          <m:jc m:val="center"/>
                        </m:oMathParaPr>
                        <m:oMath>
                          <m:r>
                            <m:rPr>
                              <m:sty m:val="p"/>
                            </m:rPr>
                            <w:rPr>
                              <w:rFonts w:ascii="Cambria Math" w:hAnsi="Cambria Math"/>
                              <w:sz w:val="24"/>
                              <w:szCs w:val="24"/>
                            </w:rPr>
                            <w:br/>
                          </m:r>
                        </m:oMath>
                        <m:oMath>
                          <m:r>
                            <w:rPr>
                              <w:rFonts w:ascii="Cambria Math" w:hAnsi="Cambria Math"/>
                              <w:sz w:val="24"/>
                              <w:szCs w:val="24"/>
                            </w:rPr>
                            <m:t xml:space="preserve">MoS= </m:t>
                          </m:r>
                          <m:f>
                            <m:fPr>
                              <m:ctrlPr>
                                <w:rPr>
                                  <w:rFonts w:ascii="Cambria Math" w:hAnsi="Cambria Math"/>
                                  <w:i/>
                                  <w:sz w:val="24"/>
                                  <w:szCs w:val="24"/>
                                </w:rPr>
                              </m:ctrlPr>
                            </m:fPr>
                            <m:num>
                              <m:r>
                                <w:rPr>
                                  <w:rFonts w:ascii="Cambria Math" w:hAnsi="Cambria Math"/>
                                  <w:sz w:val="24"/>
                                  <w:szCs w:val="24"/>
                                </w:rPr>
                                <m:t>NOAEL (mg/kg bw/day)</m:t>
                              </m:r>
                            </m:num>
                            <m:den>
                              <m:r>
                                <w:rPr>
                                  <w:rFonts w:ascii="Cambria Math" w:hAnsi="Cambria Math"/>
                                  <w:sz w:val="24"/>
                                  <w:szCs w:val="24"/>
                                </w:rPr>
                                <m:t>SED (mg/kg bw/day)</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 xml:space="preserve">10.0 mg/kg bw/d </m:t>
                              </m:r>
                            </m:num>
                            <m:den>
                              <m:r>
                                <w:rPr>
                                  <w:rFonts w:ascii="Cambria Math" w:hAnsi="Cambria Math"/>
                                  <w:sz w:val="24"/>
                                  <w:szCs w:val="24"/>
                                </w:rPr>
                                <m:t>5.35 mg/kg bw/d</m:t>
                              </m:r>
                            </m:den>
                          </m:f>
                          <m:r>
                            <w:rPr>
                              <w:rFonts w:ascii="Cambria Math" w:hAnsi="Cambria Math"/>
                              <w:sz w:val="24"/>
                              <w:szCs w:val="24"/>
                            </w:rPr>
                            <m:t>=</m:t>
                          </m:r>
                          <m:r>
                            <m:rPr>
                              <m:sty m:val="bi"/>
                            </m:rPr>
                            <w:rPr>
                              <w:rFonts w:ascii="Cambria Math" w:hAnsi="Cambria Math"/>
                              <w:sz w:val="24"/>
                              <w:szCs w:val="24"/>
                            </w:rPr>
                            <m:t>1.9</m:t>
                          </m:r>
                        </m:oMath>
                      </m:oMathPara>
                    </w:p>
                    <w:p w14:paraId="28D9F313" w14:textId="77777777" w:rsidR="00B62C8A" w:rsidRPr="0011722F" w:rsidRDefault="00B62C8A" w:rsidP="00B62C8A">
                      <w:proofErr w:type="spellStart"/>
                      <w:r w:rsidRPr="00677D7A">
                        <w:rPr>
                          <w:rFonts w:ascii="Cambria Math" w:eastAsiaTheme="minorEastAsia" w:hAnsi="Cambria Math"/>
                          <w:sz w:val="18"/>
                          <w:szCs w:val="18"/>
                        </w:rPr>
                        <w:t>DA</w:t>
                      </w:r>
                      <w:r>
                        <w:rPr>
                          <w:rFonts w:ascii="Cambria Math" w:eastAsiaTheme="minorEastAsia" w:hAnsi="Cambria Math"/>
                          <w:sz w:val="18"/>
                          <w:szCs w:val="18"/>
                          <w:vertAlign w:val="subscript"/>
                        </w:rPr>
                        <w:t>p</w:t>
                      </w:r>
                      <w:proofErr w:type="spellEnd"/>
                      <w:r w:rsidRPr="00677D7A">
                        <w:rPr>
                          <w:rFonts w:ascii="Cambria Math" w:eastAsiaTheme="minorEastAsia" w:hAnsi="Cambria Math"/>
                          <w:sz w:val="18"/>
                          <w:szCs w:val="18"/>
                        </w:rPr>
                        <w:t>: Dermal Absorption,</w:t>
                      </w:r>
                      <w:r w:rsidRPr="00E24A6F">
                        <w:rPr>
                          <w:rFonts w:ascii="Cambria Math" w:hAnsi="Cambria Math"/>
                          <w:sz w:val="18"/>
                          <w:szCs w:val="18"/>
                        </w:rPr>
                        <w:t xml:space="preserve"> </w:t>
                      </w:r>
                      <w:r w:rsidRPr="00677D7A">
                        <w:rPr>
                          <w:rFonts w:ascii="Cambria Math" w:hAnsi="Cambria Math"/>
                          <w:sz w:val="18"/>
                          <w:szCs w:val="18"/>
                        </w:rPr>
                        <w:t>C: Concentration</w:t>
                      </w:r>
                    </w:p>
                  </w:txbxContent>
                </v:textbox>
                <w10:anchorlock/>
              </v:shape>
            </w:pict>
          </mc:Fallback>
        </mc:AlternateContent>
      </w:r>
    </w:p>
    <w:p w14:paraId="19F12A32" w14:textId="77777777" w:rsidR="00B62C8A" w:rsidRPr="00A76B44" w:rsidRDefault="00B62C8A" w:rsidP="00B62C8A">
      <w:pPr>
        <w:rPr>
          <w:sz w:val="18"/>
          <w:szCs w:val="18"/>
        </w:rPr>
      </w:pPr>
      <w:r w:rsidRPr="00A76B44">
        <w:rPr>
          <w:sz w:val="18"/>
          <w:szCs w:val="18"/>
        </w:rPr>
        <w:t>See ASEM Method 1 for parameters.</w:t>
      </w:r>
    </w:p>
    <w:p w14:paraId="58673D55" w14:textId="4890CBF7" w:rsidR="00D74AF2" w:rsidRPr="000874CD" w:rsidRDefault="00D74AF2" w:rsidP="00D74AF2">
      <w:r>
        <w:t>Therefore,</w:t>
      </w:r>
      <w:r w:rsidR="0074252A">
        <w:t xml:space="preserve"> </w:t>
      </w:r>
      <w:r w:rsidR="00C47348">
        <w:t>f</w:t>
      </w:r>
      <w:r>
        <w:t xml:space="preserve">or a general sunscreen product, the acceptable concentration of </w:t>
      </w:r>
      <w:proofErr w:type="spellStart"/>
      <w:r>
        <w:t>Homosa</w:t>
      </w:r>
      <w:r w:rsidR="00C47348">
        <w:t>l</w:t>
      </w:r>
      <w:r>
        <w:t>a</w:t>
      </w:r>
      <w:r w:rsidR="00C47348">
        <w:t>t</w:t>
      </w:r>
      <w:r>
        <w:t>e</w:t>
      </w:r>
      <w:proofErr w:type="spellEnd"/>
      <w:r>
        <w:t xml:space="preserve"> would be 0.28%, based on the MoS calculation below</w:t>
      </w:r>
      <w:r w:rsidR="00C47348">
        <w:t>.</w:t>
      </w:r>
    </w:p>
    <w:p w14:paraId="65486D93" w14:textId="7B6CDE24" w:rsidR="00D74AF2" w:rsidRPr="00C47348" w:rsidRDefault="00D74AF2" w:rsidP="000874CD">
      <w:pPr>
        <w:pStyle w:val="Standard"/>
        <w:rPr>
          <w:rFonts w:cs="Arial"/>
          <w:b/>
          <w:bCs/>
        </w:rPr>
      </w:pPr>
      <w:proofErr w:type="spellStart"/>
      <w:r w:rsidRPr="000874CD">
        <w:rPr>
          <w:rFonts w:ascii="Arial" w:hAnsi="Arial" w:cs="Arial"/>
          <w:b/>
          <w:bCs/>
          <w:sz w:val="20"/>
          <w:szCs w:val="20"/>
        </w:rPr>
        <w:t>Homosalate</w:t>
      </w:r>
      <w:proofErr w:type="spellEnd"/>
      <w:r w:rsidRPr="000874CD">
        <w:rPr>
          <w:rFonts w:ascii="Arial" w:hAnsi="Arial" w:cs="Arial"/>
          <w:b/>
          <w:bCs/>
          <w:sz w:val="20"/>
          <w:szCs w:val="20"/>
        </w:rPr>
        <w:t xml:space="preserve"> concentration for an acceptable SED and MoS using the ASEM method 1 (%)</w:t>
      </w:r>
    </w:p>
    <w:p w14:paraId="4398EBE0" w14:textId="4029E82C" w:rsidR="00D74AF2" w:rsidRPr="000874CD" w:rsidRDefault="00D74AF2" w:rsidP="00B62C8A">
      <w:pPr>
        <w:rPr>
          <w:b/>
          <w:bCs/>
        </w:rPr>
      </w:pPr>
      <w:r w:rsidRPr="00D74AF2">
        <w:rPr>
          <w:noProof/>
        </w:rPr>
        <w:drawing>
          <wp:inline distT="0" distB="0" distL="0" distR="0" wp14:anchorId="41FC88DD" wp14:editId="5E703010">
            <wp:extent cx="5731510" cy="1395730"/>
            <wp:effectExtent l="0" t="0" r="2540" b="13970"/>
            <wp:docPr id="517131734" name="Picture 2" descr="SED=〖ASEM〗_((method 1)  )×〖DA〗_p×C                &#10;=673 mg/kg bw/day ×5.3 %×0.28 %=0.1 mg/kg bw/day &#10;&#10;MoS=  (NOAEL (mg/kg bw/day))/(SED (mg/kg bw/day))=(10.0 mg/kg bw/d )/(0.1 mg/kg bw/d)=100&#10;DAp: Dermal Absorption, C: Concentr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D=〖ASEM〗_((method 1)  )×〖DA〗_p×C                &#10;=673 mg/kg bw/day ×5.3 %×0.28 %=0.1 mg/kg bw/day &#10;&#10;MoS=  (NOAEL (mg/kg bw/day))/(SED (mg/kg bw/day))=(10.0 mg/kg bw/d )/(0.1 mg/kg bw/d)=100&#10;DAp: Dermal Absorption, C: Concentration&#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731510" cy="1395730"/>
                    </a:xfrm>
                    <a:prstGeom prst="rect">
                      <a:avLst/>
                    </a:prstGeom>
                    <a:noFill/>
                    <a:ln>
                      <a:noFill/>
                    </a:ln>
                  </pic:spPr>
                </pic:pic>
              </a:graphicData>
            </a:graphic>
          </wp:inline>
        </w:drawing>
      </w:r>
      <w:r>
        <w:t xml:space="preserve"> </w:t>
      </w:r>
    </w:p>
    <w:p w14:paraId="0EA60603" w14:textId="77777777" w:rsidR="005C143B" w:rsidRDefault="005C143B" w:rsidP="005C143B">
      <w:pPr>
        <w:pStyle w:val="Heading4"/>
      </w:pPr>
      <w:bookmarkStart w:id="115" w:name="_Toc190944930"/>
      <w:bookmarkStart w:id="116" w:name="_Toc199254967"/>
      <w:r>
        <w:lastRenderedPageBreak/>
        <w:t xml:space="preserve">Further consideration for </w:t>
      </w:r>
      <w:proofErr w:type="spellStart"/>
      <w:r>
        <w:t>homosalate</w:t>
      </w:r>
      <w:bookmarkEnd w:id="115"/>
      <w:bookmarkEnd w:id="116"/>
      <w:proofErr w:type="spellEnd"/>
    </w:p>
    <w:p w14:paraId="12415F35" w14:textId="49A12C3E" w:rsidR="005C143B" w:rsidRDefault="005C143B" w:rsidP="003E75D1">
      <w:r>
        <w:t xml:space="preserve">If the use of a sunscreen product containing </w:t>
      </w:r>
      <w:proofErr w:type="spellStart"/>
      <w:r>
        <w:t>homosalate</w:t>
      </w:r>
      <w:proofErr w:type="spellEnd"/>
      <w:r>
        <w:t xml:space="preserve"> is applied to specific parts of the body e.g. face, the MoS may increase. However, as shown in the two tables below for application of a </w:t>
      </w:r>
      <w:proofErr w:type="spellStart"/>
      <w:r>
        <w:t>homosalate</w:t>
      </w:r>
      <w:proofErr w:type="spellEnd"/>
      <w:r>
        <w:t>-containing sunscreen product</w:t>
      </w:r>
      <w:r w:rsidR="007E7843">
        <w:t>, either</w:t>
      </w:r>
      <w:r w:rsidR="006D240D">
        <w:t xml:space="preserve"> by the </w:t>
      </w:r>
      <w:r w:rsidR="007E7843">
        <w:t>whole family or adults only,</w:t>
      </w:r>
      <w:r>
        <w:t xml:space="preserve"> twice a day for 240 days per year and 365 days per year, respectively, the various estimates are still less than satisfactory, i.e. a MoS less than 100.</w:t>
      </w:r>
    </w:p>
    <w:p w14:paraId="74758112" w14:textId="47851B03" w:rsidR="00DE487B" w:rsidRDefault="0044561C" w:rsidP="003E75D1">
      <w:r>
        <w:t xml:space="preserve">The </w:t>
      </w:r>
      <w:r w:rsidR="008B3742">
        <w:t xml:space="preserve">whole family calculation </w:t>
      </w:r>
      <w:r w:rsidR="001C68FD">
        <w:t xml:space="preserve">works with the assumption that if the specific application scenario is acceptable for toddlers </w:t>
      </w:r>
      <w:r w:rsidR="00CF2AFE">
        <w:t>(</w:t>
      </w:r>
      <w:r w:rsidR="001C68FD">
        <w:t xml:space="preserve">1-2 </w:t>
      </w:r>
      <w:proofErr w:type="spellStart"/>
      <w:r w:rsidR="001C68FD">
        <w:t>y</w:t>
      </w:r>
      <w:r w:rsidR="00600EEB">
        <w:t>.o</w:t>
      </w:r>
      <w:proofErr w:type="spellEnd"/>
      <w:r w:rsidR="00CF2AFE">
        <w:t>)</w:t>
      </w:r>
      <w:r w:rsidR="00600EEB">
        <w:t>, it is acceptable for the whole family.</w:t>
      </w:r>
    </w:p>
    <w:p w14:paraId="70EE3DFB" w14:textId="77777777" w:rsidR="005C143B" w:rsidRPr="00B232E4" w:rsidRDefault="005C143B" w:rsidP="003E75D1">
      <w:pPr>
        <w:pStyle w:val="Tabletitle"/>
      </w:pPr>
      <w:r w:rsidRPr="00B232E4">
        <w:t xml:space="preserve">Annual use considered </w:t>
      </w:r>
      <w:r>
        <w:t>for</w:t>
      </w:r>
      <w:r w:rsidRPr="00B232E4">
        <w:t xml:space="preserve"> 240 days/years based upon Scenario 1 of the ASEM.</w:t>
      </w:r>
    </w:p>
    <w:tbl>
      <w:tblPr>
        <w:tblStyle w:val="TableTGAblue2023"/>
        <w:tblW w:w="9469" w:type="dxa"/>
        <w:jc w:val="center"/>
        <w:tblLook w:val="04A0" w:firstRow="1" w:lastRow="0" w:firstColumn="1" w:lastColumn="0" w:noHBand="0" w:noVBand="1"/>
      </w:tblPr>
      <w:tblGrid>
        <w:gridCol w:w="1752"/>
        <w:gridCol w:w="1274"/>
        <w:gridCol w:w="1104"/>
        <w:gridCol w:w="1979"/>
        <w:gridCol w:w="1566"/>
        <w:gridCol w:w="1017"/>
        <w:gridCol w:w="777"/>
      </w:tblGrid>
      <w:tr w:rsidR="007A6B5C" w:rsidRPr="008C032D" w14:paraId="70DB72E4" w14:textId="77777777" w:rsidTr="000874CD">
        <w:trPr>
          <w:cnfStyle w:val="100000000000" w:firstRow="1" w:lastRow="0" w:firstColumn="0" w:lastColumn="0" w:oddVBand="0" w:evenVBand="0" w:oddHBand="0" w:evenHBand="0" w:firstRowFirstColumn="0" w:firstRowLastColumn="0" w:lastRowFirstColumn="0" w:lastRowLastColumn="0"/>
          <w:trHeight w:val="1155"/>
          <w:jc w:val="center"/>
        </w:trPr>
        <w:tc>
          <w:tcPr>
            <w:cnfStyle w:val="001000000000" w:firstRow="0" w:lastRow="0" w:firstColumn="1" w:lastColumn="0" w:oddVBand="0" w:evenVBand="0" w:oddHBand="0" w:evenHBand="0" w:firstRowFirstColumn="0" w:firstRowLastColumn="0" w:lastRowFirstColumn="0" w:lastRowLastColumn="0"/>
            <w:tcW w:w="1697" w:type="dxa"/>
            <w:hideMark/>
          </w:tcPr>
          <w:p w14:paraId="0F5CA74E" w14:textId="75ED9513" w:rsidR="005C143B" w:rsidRPr="003E75D1" w:rsidRDefault="005C143B" w:rsidP="00A455DF">
            <w:pPr>
              <w:spacing w:after="0" w:line="240" w:lineRule="auto"/>
              <w:jc w:val="center"/>
              <w:rPr>
                <w:rFonts w:eastAsia="Times New Roman" w:cs="Arial"/>
                <w:b w:val="0"/>
                <w:bCs/>
                <w:sz w:val="20"/>
                <w:szCs w:val="20"/>
              </w:rPr>
            </w:pPr>
            <w:r w:rsidRPr="003E75D1">
              <w:rPr>
                <w:rFonts w:eastAsia="Times New Roman" w:cs="Arial"/>
                <w:bCs/>
                <w:sz w:val="20"/>
                <w:szCs w:val="20"/>
              </w:rPr>
              <w:t>Scenario*</w:t>
            </w:r>
          </w:p>
        </w:tc>
        <w:tc>
          <w:tcPr>
            <w:tcW w:w="1234" w:type="dxa"/>
            <w:hideMark/>
          </w:tcPr>
          <w:p w14:paraId="708B066B" w14:textId="77777777" w:rsidR="005C143B" w:rsidRPr="003E75D1" w:rsidRDefault="005C143B" w:rsidP="00E070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sz w:val="20"/>
                <w:szCs w:val="20"/>
              </w:rPr>
            </w:pPr>
            <w:r w:rsidRPr="003E75D1">
              <w:rPr>
                <w:rFonts w:eastAsia="Times New Roman" w:cs="Arial"/>
                <w:bCs/>
                <w:sz w:val="20"/>
                <w:szCs w:val="20"/>
              </w:rPr>
              <w:t>Skin Surface Area (cm</w:t>
            </w:r>
            <w:r w:rsidRPr="003E75D1">
              <w:rPr>
                <w:rFonts w:eastAsia="Times New Roman" w:cs="Arial"/>
                <w:bCs/>
                <w:sz w:val="20"/>
                <w:szCs w:val="20"/>
                <w:vertAlign w:val="superscript"/>
              </w:rPr>
              <w:t>2</w:t>
            </w:r>
            <w:r w:rsidRPr="003E75D1">
              <w:rPr>
                <w:rFonts w:eastAsia="Times New Roman" w:cs="Arial"/>
                <w:bCs/>
                <w:sz w:val="20"/>
                <w:szCs w:val="20"/>
              </w:rPr>
              <w:t>)</w:t>
            </w:r>
          </w:p>
        </w:tc>
        <w:tc>
          <w:tcPr>
            <w:tcW w:w="1069" w:type="dxa"/>
            <w:hideMark/>
          </w:tcPr>
          <w:p w14:paraId="208221B9" w14:textId="77777777" w:rsidR="005C143B" w:rsidRPr="003E75D1" w:rsidRDefault="005C143B" w:rsidP="00E070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sz w:val="20"/>
                <w:szCs w:val="20"/>
              </w:rPr>
            </w:pPr>
            <w:r w:rsidRPr="003E75D1">
              <w:rPr>
                <w:rFonts w:eastAsia="Times New Roman" w:cs="Arial"/>
                <w:bCs/>
                <w:sz w:val="20"/>
                <w:szCs w:val="20"/>
              </w:rPr>
              <w:t xml:space="preserve">Body </w:t>
            </w:r>
            <w:proofErr w:type="gramStart"/>
            <w:r w:rsidRPr="003E75D1">
              <w:rPr>
                <w:rFonts w:eastAsia="Times New Roman" w:cs="Arial"/>
                <w:bCs/>
                <w:sz w:val="20"/>
                <w:szCs w:val="20"/>
              </w:rPr>
              <w:t xml:space="preserve">weight </w:t>
            </w:r>
            <w:r w:rsidRPr="003E75D1">
              <w:rPr>
                <w:rFonts w:eastAsia="Times New Roman" w:cs="Arial"/>
                <w:sz w:val="20"/>
                <w:szCs w:val="20"/>
              </w:rPr>
              <w:t xml:space="preserve"> </w:t>
            </w:r>
            <w:r w:rsidRPr="003E75D1">
              <w:rPr>
                <w:rFonts w:eastAsia="Times New Roman" w:cs="Arial"/>
                <w:bCs/>
                <w:sz w:val="20"/>
                <w:szCs w:val="20"/>
              </w:rPr>
              <w:t>(</w:t>
            </w:r>
            <w:proofErr w:type="gramEnd"/>
            <w:r w:rsidRPr="003E75D1">
              <w:rPr>
                <w:rFonts w:eastAsia="Times New Roman" w:cs="Arial"/>
                <w:bCs/>
                <w:sz w:val="20"/>
                <w:szCs w:val="20"/>
              </w:rPr>
              <w:t>kg)</w:t>
            </w:r>
          </w:p>
        </w:tc>
        <w:tc>
          <w:tcPr>
            <w:tcW w:w="1916" w:type="dxa"/>
            <w:hideMark/>
          </w:tcPr>
          <w:p w14:paraId="3B546A95" w14:textId="77777777" w:rsidR="005C143B" w:rsidRPr="003E75D1" w:rsidRDefault="005C143B" w:rsidP="00E070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sz w:val="20"/>
                <w:szCs w:val="20"/>
              </w:rPr>
            </w:pPr>
            <w:r w:rsidRPr="003E75D1">
              <w:rPr>
                <w:rFonts w:eastAsia="Times New Roman" w:cs="Arial"/>
                <w:bCs/>
                <w:sz w:val="20"/>
                <w:szCs w:val="20"/>
              </w:rPr>
              <w:t>Reapplications (no. per day)</w:t>
            </w:r>
          </w:p>
        </w:tc>
        <w:tc>
          <w:tcPr>
            <w:tcW w:w="1516" w:type="dxa"/>
            <w:hideMark/>
          </w:tcPr>
          <w:p w14:paraId="3089AEB2" w14:textId="77777777" w:rsidR="005C143B" w:rsidRPr="003E75D1" w:rsidRDefault="005C143B" w:rsidP="00E070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sz w:val="20"/>
                <w:szCs w:val="20"/>
              </w:rPr>
            </w:pPr>
            <w:r w:rsidRPr="003E75D1">
              <w:rPr>
                <w:rFonts w:eastAsia="Times New Roman" w:cs="Arial"/>
                <w:bCs/>
                <w:sz w:val="20"/>
                <w:szCs w:val="20"/>
              </w:rPr>
              <w:t>Annual use (days/year)</w:t>
            </w:r>
          </w:p>
          <w:p w14:paraId="2CFFB0F7" w14:textId="77777777" w:rsidR="005C143B" w:rsidRPr="003E75D1" w:rsidRDefault="005C143B" w:rsidP="00E07077">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 w:val="0"/>
                <w:bCs/>
                <w:sz w:val="20"/>
                <w:szCs w:val="20"/>
              </w:rPr>
            </w:pPr>
          </w:p>
        </w:tc>
        <w:tc>
          <w:tcPr>
            <w:tcW w:w="0" w:type="dxa"/>
            <w:hideMark/>
          </w:tcPr>
          <w:p w14:paraId="6834C673" w14:textId="77777777" w:rsidR="005C143B" w:rsidRPr="003E75D1" w:rsidRDefault="005C143B" w:rsidP="00E070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sz w:val="20"/>
                <w:szCs w:val="20"/>
              </w:rPr>
            </w:pPr>
            <w:r w:rsidRPr="003E75D1">
              <w:rPr>
                <w:rFonts w:eastAsia="Times New Roman" w:cs="Arial"/>
                <w:bCs/>
                <w:sz w:val="20"/>
                <w:szCs w:val="20"/>
              </w:rPr>
              <w:t xml:space="preserve">SED (mg/kg </w:t>
            </w:r>
            <w:proofErr w:type="spellStart"/>
            <w:r w:rsidRPr="003E75D1">
              <w:rPr>
                <w:rFonts w:eastAsia="Times New Roman" w:cs="Arial"/>
                <w:bCs/>
                <w:sz w:val="20"/>
                <w:szCs w:val="20"/>
              </w:rPr>
              <w:t>bw</w:t>
            </w:r>
            <w:proofErr w:type="spellEnd"/>
            <w:r w:rsidRPr="003E75D1">
              <w:rPr>
                <w:rFonts w:eastAsia="Times New Roman" w:cs="Arial"/>
                <w:bCs/>
                <w:sz w:val="20"/>
                <w:szCs w:val="20"/>
              </w:rPr>
              <w:t>/d)</w:t>
            </w:r>
          </w:p>
        </w:tc>
        <w:tc>
          <w:tcPr>
            <w:tcW w:w="0" w:type="dxa"/>
            <w:hideMark/>
          </w:tcPr>
          <w:p w14:paraId="4BAE17FF" w14:textId="77777777" w:rsidR="005C143B" w:rsidRPr="003E75D1" w:rsidRDefault="005C143B" w:rsidP="00E070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sz w:val="20"/>
                <w:szCs w:val="20"/>
              </w:rPr>
            </w:pPr>
            <w:r w:rsidRPr="003E75D1">
              <w:rPr>
                <w:rFonts w:eastAsia="Times New Roman" w:cs="Arial"/>
                <w:bCs/>
                <w:sz w:val="20"/>
                <w:szCs w:val="20"/>
              </w:rPr>
              <w:t>MoS</w:t>
            </w:r>
          </w:p>
        </w:tc>
      </w:tr>
      <w:tr w:rsidR="007A6B5C" w:rsidRPr="006C6D5C" w14:paraId="5DF2DB9C" w14:textId="77777777" w:rsidTr="000874CD">
        <w:trPr>
          <w:trHeight w:val="600"/>
          <w:jc w:val="center"/>
        </w:trPr>
        <w:tc>
          <w:tcPr>
            <w:cnfStyle w:val="001000000000" w:firstRow="0" w:lastRow="0" w:firstColumn="1" w:lastColumn="0" w:oddVBand="0" w:evenVBand="0" w:oddHBand="0" w:evenHBand="0" w:firstRowFirstColumn="0" w:firstRowLastColumn="0" w:lastRowFirstColumn="0" w:lastRowLastColumn="0"/>
            <w:tcW w:w="1697" w:type="dxa"/>
            <w:vAlign w:val="center"/>
          </w:tcPr>
          <w:p w14:paraId="1DDFFF3D" w14:textId="367CEBA5" w:rsidR="000C062A" w:rsidRPr="003E75D1" w:rsidRDefault="007A6B5C" w:rsidP="000C062A">
            <w:pPr>
              <w:spacing w:before="120" w:after="120" w:line="240" w:lineRule="auto"/>
              <w:jc w:val="center"/>
              <w:rPr>
                <w:rFonts w:eastAsia="Times New Roman" w:cs="Arial"/>
                <w:sz w:val="20"/>
                <w:szCs w:val="20"/>
                <w:u w:val="single"/>
              </w:rPr>
            </w:pPr>
            <w:r>
              <w:rPr>
                <w:rFonts w:cs="Arial"/>
                <w:sz w:val="20"/>
                <w:szCs w:val="20"/>
              </w:rPr>
              <w:t xml:space="preserve">Face </w:t>
            </w:r>
            <w:r w:rsidR="00AD1194">
              <w:rPr>
                <w:rFonts w:cs="Arial"/>
                <w:sz w:val="20"/>
                <w:szCs w:val="20"/>
              </w:rPr>
              <w:t>only</w:t>
            </w:r>
            <w:r>
              <w:rPr>
                <w:rFonts w:cs="Arial"/>
                <w:sz w:val="20"/>
                <w:szCs w:val="20"/>
              </w:rPr>
              <w:t xml:space="preserve"> (Toddlers)</w:t>
            </w:r>
          </w:p>
        </w:tc>
        <w:tc>
          <w:tcPr>
            <w:tcW w:w="1234" w:type="dxa"/>
            <w:vAlign w:val="center"/>
          </w:tcPr>
          <w:p w14:paraId="354F7F48" w14:textId="7168E896" w:rsidR="000C062A" w:rsidRPr="003E75D1" w:rsidRDefault="0090252A" w:rsidP="000C062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u w:val="single"/>
              </w:rPr>
            </w:pPr>
            <w:r>
              <w:rPr>
                <w:rFonts w:cs="Arial"/>
                <w:sz w:val="20"/>
                <w:szCs w:val="20"/>
              </w:rPr>
              <w:t>500</w:t>
            </w:r>
          </w:p>
        </w:tc>
        <w:tc>
          <w:tcPr>
            <w:tcW w:w="1069" w:type="dxa"/>
            <w:vAlign w:val="center"/>
          </w:tcPr>
          <w:p w14:paraId="45D2C8DE" w14:textId="60AFC5EA" w:rsidR="000C062A" w:rsidRPr="003E75D1" w:rsidRDefault="00C10AB0" w:rsidP="000C062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Pr>
                <w:rFonts w:eastAsia="Times New Roman" w:cs="Arial"/>
                <w:sz w:val="20"/>
                <w:szCs w:val="20"/>
              </w:rPr>
              <w:t>13</w:t>
            </w:r>
          </w:p>
        </w:tc>
        <w:tc>
          <w:tcPr>
            <w:tcW w:w="1916" w:type="dxa"/>
            <w:vAlign w:val="center"/>
          </w:tcPr>
          <w:p w14:paraId="4270D313" w14:textId="524892ED" w:rsidR="000C062A" w:rsidRPr="003E75D1" w:rsidRDefault="00C10AB0" w:rsidP="000C062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Pr>
                <w:rFonts w:eastAsia="Times New Roman" w:cs="Arial"/>
                <w:sz w:val="20"/>
                <w:szCs w:val="20"/>
              </w:rPr>
              <w:t>2</w:t>
            </w:r>
          </w:p>
        </w:tc>
        <w:tc>
          <w:tcPr>
            <w:tcW w:w="1516" w:type="dxa"/>
            <w:vAlign w:val="center"/>
          </w:tcPr>
          <w:p w14:paraId="7D5E655A" w14:textId="45395DAC" w:rsidR="000C062A" w:rsidRPr="003E75D1" w:rsidRDefault="00C10AB0" w:rsidP="000C062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Pr>
                <w:rFonts w:eastAsia="Times New Roman" w:cs="Arial"/>
                <w:sz w:val="20"/>
                <w:szCs w:val="20"/>
              </w:rPr>
              <w:t>240</w:t>
            </w:r>
          </w:p>
        </w:tc>
        <w:tc>
          <w:tcPr>
            <w:tcW w:w="0" w:type="dxa"/>
            <w:noWrap/>
            <w:vAlign w:val="center"/>
          </w:tcPr>
          <w:p w14:paraId="29632BA7" w14:textId="44CB6594" w:rsidR="000C062A" w:rsidRPr="000874CD" w:rsidRDefault="00D6215A" w:rsidP="000C062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FD4B8C">
              <w:rPr>
                <w:rFonts w:cs="Arial"/>
                <w:sz w:val="20"/>
                <w:szCs w:val="20"/>
              </w:rPr>
              <w:t>0.8</w:t>
            </w:r>
          </w:p>
        </w:tc>
        <w:tc>
          <w:tcPr>
            <w:tcW w:w="0" w:type="dxa"/>
            <w:noWrap/>
            <w:vAlign w:val="center"/>
          </w:tcPr>
          <w:p w14:paraId="5C8E662E" w14:textId="4A04AD4A" w:rsidR="000C062A" w:rsidRPr="003E75D1" w:rsidRDefault="002116D4" w:rsidP="000C062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highlight w:val="cyan"/>
              </w:rPr>
            </w:pPr>
            <w:r>
              <w:rPr>
                <w:rFonts w:cs="Arial"/>
                <w:sz w:val="20"/>
                <w:szCs w:val="20"/>
              </w:rPr>
              <w:t>12</w:t>
            </w:r>
          </w:p>
        </w:tc>
      </w:tr>
      <w:tr w:rsidR="007A6B5C" w:rsidRPr="006C6D5C" w14:paraId="3149CE77" w14:textId="77777777" w:rsidTr="000874CD">
        <w:trPr>
          <w:trHeight w:val="315"/>
          <w:jc w:val="center"/>
        </w:trPr>
        <w:tc>
          <w:tcPr>
            <w:cnfStyle w:val="001000000000" w:firstRow="0" w:lastRow="0" w:firstColumn="1" w:lastColumn="0" w:oddVBand="0" w:evenVBand="0" w:oddHBand="0" w:evenHBand="0" w:firstRowFirstColumn="0" w:firstRowLastColumn="0" w:lastRowFirstColumn="0" w:lastRowLastColumn="0"/>
            <w:tcW w:w="1697" w:type="dxa"/>
            <w:vAlign w:val="center"/>
          </w:tcPr>
          <w:p w14:paraId="48DFD4E6" w14:textId="3078D783" w:rsidR="000C062A" w:rsidRPr="003E75D1" w:rsidRDefault="00AD1194" w:rsidP="000C062A">
            <w:pPr>
              <w:spacing w:before="120" w:after="120" w:line="240" w:lineRule="auto"/>
              <w:jc w:val="center"/>
              <w:rPr>
                <w:rFonts w:eastAsia="Times New Roman" w:cs="Arial"/>
                <w:sz w:val="20"/>
                <w:szCs w:val="20"/>
                <w:u w:val="single"/>
              </w:rPr>
            </w:pPr>
            <w:r>
              <w:rPr>
                <w:rFonts w:cs="Arial"/>
                <w:sz w:val="20"/>
                <w:szCs w:val="20"/>
              </w:rPr>
              <w:t>Face</w:t>
            </w:r>
            <w:r w:rsidR="007A6B5C">
              <w:rPr>
                <w:rFonts w:cs="Arial"/>
                <w:sz w:val="20"/>
                <w:szCs w:val="20"/>
              </w:rPr>
              <w:t xml:space="preserve"> +</w:t>
            </w:r>
            <w:r>
              <w:rPr>
                <w:rFonts w:cs="Arial"/>
                <w:sz w:val="20"/>
                <w:szCs w:val="20"/>
              </w:rPr>
              <w:t xml:space="preserve"> </w:t>
            </w:r>
            <w:r w:rsidR="007A6B5C">
              <w:rPr>
                <w:rFonts w:cs="Arial"/>
                <w:sz w:val="20"/>
                <w:szCs w:val="20"/>
              </w:rPr>
              <w:t>Hands (Toddlers)</w:t>
            </w:r>
          </w:p>
        </w:tc>
        <w:tc>
          <w:tcPr>
            <w:tcW w:w="1234" w:type="dxa"/>
            <w:vAlign w:val="center"/>
          </w:tcPr>
          <w:p w14:paraId="4DF7649B" w14:textId="26F07816" w:rsidR="000C062A" w:rsidRPr="003E75D1" w:rsidRDefault="0090252A" w:rsidP="000C062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u w:val="single"/>
              </w:rPr>
            </w:pPr>
            <w:r>
              <w:rPr>
                <w:rFonts w:cs="Arial"/>
                <w:sz w:val="20"/>
                <w:szCs w:val="20"/>
              </w:rPr>
              <w:t>900</w:t>
            </w:r>
          </w:p>
        </w:tc>
        <w:tc>
          <w:tcPr>
            <w:tcW w:w="1069" w:type="dxa"/>
            <w:vAlign w:val="center"/>
          </w:tcPr>
          <w:p w14:paraId="26DB5B1D" w14:textId="723BA002" w:rsidR="000C062A" w:rsidRPr="003E75D1" w:rsidRDefault="00C10AB0" w:rsidP="000C062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Pr>
                <w:rFonts w:eastAsia="Times New Roman" w:cs="Arial"/>
                <w:sz w:val="20"/>
                <w:szCs w:val="20"/>
              </w:rPr>
              <w:t>13</w:t>
            </w:r>
          </w:p>
        </w:tc>
        <w:tc>
          <w:tcPr>
            <w:tcW w:w="1916" w:type="dxa"/>
            <w:vAlign w:val="center"/>
          </w:tcPr>
          <w:p w14:paraId="484321FB" w14:textId="74765985" w:rsidR="000C062A" w:rsidRPr="003E75D1" w:rsidRDefault="00C10AB0" w:rsidP="000C062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Pr>
                <w:rFonts w:eastAsia="Times New Roman" w:cs="Arial"/>
                <w:sz w:val="20"/>
                <w:szCs w:val="20"/>
              </w:rPr>
              <w:t>2</w:t>
            </w:r>
          </w:p>
        </w:tc>
        <w:tc>
          <w:tcPr>
            <w:tcW w:w="1516" w:type="dxa"/>
            <w:vAlign w:val="center"/>
          </w:tcPr>
          <w:p w14:paraId="527B67BC" w14:textId="7B5539A0" w:rsidR="000C062A" w:rsidRPr="003E75D1" w:rsidRDefault="00C10AB0" w:rsidP="000C062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Pr>
                <w:rFonts w:eastAsia="Times New Roman" w:cs="Arial"/>
                <w:sz w:val="20"/>
                <w:szCs w:val="20"/>
              </w:rPr>
              <w:t>240</w:t>
            </w:r>
          </w:p>
        </w:tc>
        <w:tc>
          <w:tcPr>
            <w:tcW w:w="0" w:type="dxa"/>
            <w:noWrap/>
            <w:vAlign w:val="center"/>
          </w:tcPr>
          <w:p w14:paraId="6347710F" w14:textId="0F90A823" w:rsidR="000C062A" w:rsidRPr="000874CD" w:rsidRDefault="00D6215A" w:rsidP="000C062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FD4B8C">
              <w:rPr>
                <w:rFonts w:cs="Arial"/>
                <w:sz w:val="20"/>
                <w:szCs w:val="20"/>
              </w:rPr>
              <w:t>1.45</w:t>
            </w:r>
          </w:p>
        </w:tc>
        <w:tc>
          <w:tcPr>
            <w:tcW w:w="0" w:type="dxa"/>
            <w:noWrap/>
            <w:vAlign w:val="center"/>
          </w:tcPr>
          <w:p w14:paraId="46C93D84" w14:textId="3B8F07AE" w:rsidR="000C062A" w:rsidRPr="003E75D1" w:rsidRDefault="002116D4" w:rsidP="000C062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highlight w:val="cyan"/>
              </w:rPr>
            </w:pPr>
            <w:r>
              <w:rPr>
                <w:rFonts w:cs="Arial"/>
                <w:sz w:val="20"/>
                <w:szCs w:val="20"/>
              </w:rPr>
              <w:t>7</w:t>
            </w:r>
          </w:p>
        </w:tc>
      </w:tr>
      <w:tr w:rsidR="007A6B5C" w:rsidRPr="006C6D5C" w14:paraId="018FB258" w14:textId="77777777" w:rsidTr="000874CD">
        <w:trPr>
          <w:trHeight w:val="315"/>
          <w:jc w:val="center"/>
        </w:trPr>
        <w:tc>
          <w:tcPr>
            <w:cnfStyle w:val="001000000000" w:firstRow="0" w:lastRow="0" w:firstColumn="1" w:lastColumn="0" w:oddVBand="0" w:evenVBand="0" w:oddHBand="0" w:evenHBand="0" w:firstRowFirstColumn="0" w:firstRowLastColumn="0" w:lastRowFirstColumn="0" w:lastRowLastColumn="0"/>
            <w:tcW w:w="1697" w:type="dxa"/>
            <w:vAlign w:val="center"/>
          </w:tcPr>
          <w:p w14:paraId="64C3858D" w14:textId="79266431" w:rsidR="000C062A" w:rsidRPr="003E75D1" w:rsidRDefault="000C062A" w:rsidP="000C062A">
            <w:pPr>
              <w:spacing w:before="120" w:after="120" w:line="240" w:lineRule="auto"/>
              <w:jc w:val="center"/>
              <w:rPr>
                <w:rFonts w:eastAsia="Times New Roman" w:cs="Arial"/>
                <w:sz w:val="20"/>
                <w:szCs w:val="20"/>
                <w:u w:val="single"/>
              </w:rPr>
            </w:pPr>
            <w:r w:rsidRPr="003E75D1">
              <w:rPr>
                <w:rFonts w:cs="Arial"/>
                <w:sz w:val="20"/>
                <w:szCs w:val="20"/>
              </w:rPr>
              <w:t>Adult Face only</w:t>
            </w:r>
          </w:p>
        </w:tc>
        <w:tc>
          <w:tcPr>
            <w:tcW w:w="1234" w:type="dxa"/>
            <w:vAlign w:val="center"/>
          </w:tcPr>
          <w:p w14:paraId="3BE74BFD" w14:textId="50DE9EAA" w:rsidR="000C062A" w:rsidRPr="003E75D1" w:rsidRDefault="000C062A" w:rsidP="000C062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u w:val="single"/>
              </w:rPr>
            </w:pPr>
            <w:r w:rsidRPr="003E75D1">
              <w:rPr>
                <w:rFonts w:cs="Arial"/>
                <w:sz w:val="20"/>
                <w:szCs w:val="20"/>
              </w:rPr>
              <w:t>675</w:t>
            </w:r>
          </w:p>
        </w:tc>
        <w:tc>
          <w:tcPr>
            <w:tcW w:w="1069" w:type="dxa"/>
            <w:vAlign w:val="center"/>
          </w:tcPr>
          <w:p w14:paraId="335AFF14" w14:textId="0779CB22" w:rsidR="000C062A" w:rsidRPr="003E75D1" w:rsidRDefault="000C062A" w:rsidP="000C062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3E75D1">
              <w:rPr>
                <w:rFonts w:eastAsia="Times New Roman" w:cs="Arial"/>
                <w:sz w:val="20"/>
                <w:szCs w:val="20"/>
              </w:rPr>
              <w:t>107</w:t>
            </w:r>
          </w:p>
        </w:tc>
        <w:tc>
          <w:tcPr>
            <w:tcW w:w="1916" w:type="dxa"/>
            <w:vAlign w:val="center"/>
          </w:tcPr>
          <w:p w14:paraId="44F877C2" w14:textId="667295FD" w:rsidR="000C062A" w:rsidRPr="003E75D1" w:rsidRDefault="000C062A" w:rsidP="000C062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3E75D1">
              <w:rPr>
                <w:rFonts w:eastAsia="Times New Roman" w:cs="Arial"/>
                <w:sz w:val="20"/>
                <w:szCs w:val="20"/>
              </w:rPr>
              <w:t>2</w:t>
            </w:r>
          </w:p>
        </w:tc>
        <w:tc>
          <w:tcPr>
            <w:tcW w:w="1516" w:type="dxa"/>
            <w:vAlign w:val="center"/>
          </w:tcPr>
          <w:p w14:paraId="0B1730FC" w14:textId="54F1056B" w:rsidR="000C062A" w:rsidRPr="003E75D1" w:rsidRDefault="000C062A" w:rsidP="000C062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3E75D1">
              <w:rPr>
                <w:rFonts w:eastAsia="Times New Roman" w:cs="Arial"/>
                <w:sz w:val="20"/>
                <w:szCs w:val="20"/>
              </w:rPr>
              <w:t>240</w:t>
            </w:r>
          </w:p>
        </w:tc>
        <w:tc>
          <w:tcPr>
            <w:tcW w:w="0" w:type="dxa"/>
            <w:noWrap/>
            <w:vAlign w:val="center"/>
          </w:tcPr>
          <w:p w14:paraId="13BEEF6B" w14:textId="3D69B309" w:rsidR="000C062A" w:rsidRPr="00FD4B8C" w:rsidRDefault="000C062A" w:rsidP="000C062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FD4B8C">
              <w:rPr>
                <w:rFonts w:cs="Arial"/>
                <w:sz w:val="20"/>
                <w:szCs w:val="20"/>
              </w:rPr>
              <w:t>0.</w:t>
            </w:r>
            <w:r w:rsidR="00A30E7A" w:rsidRPr="00FD4B8C">
              <w:rPr>
                <w:rFonts w:cs="Arial"/>
                <w:sz w:val="20"/>
                <w:szCs w:val="20"/>
              </w:rPr>
              <w:t>1</w:t>
            </w:r>
            <w:r w:rsidR="00304466" w:rsidRPr="00FD4B8C">
              <w:rPr>
                <w:rFonts w:cs="Arial"/>
                <w:sz w:val="20"/>
                <w:szCs w:val="20"/>
              </w:rPr>
              <w:t>3</w:t>
            </w:r>
          </w:p>
        </w:tc>
        <w:tc>
          <w:tcPr>
            <w:tcW w:w="0" w:type="dxa"/>
            <w:noWrap/>
            <w:vAlign w:val="center"/>
          </w:tcPr>
          <w:p w14:paraId="1EF3945F" w14:textId="1B063FF5" w:rsidR="000C062A" w:rsidRPr="003E75D1" w:rsidRDefault="000C062A" w:rsidP="000C062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3E75D1">
              <w:rPr>
                <w:rFonts w:cs="Arial"/>
                <w:sz w:val="20"/>
                <w:szCs w:val="20"/>
              </w:rPr>
              <w:t>76</w:t>
            </w:r>
          </w:p>
        </w:tc>
      </w:tr>
      <w:tr w:rsidR="007A6B5C" w:rsidRPr="006C6D5C" w14:paraId="520C95F1" w14:textId="77777777" w:rsidTr="000874CD">
        <w:trPr>
          <w:trHeight w:val="315"/>
          <w:jc w:val="center"/>
        </w:trPr>
        <w:tc>
          <w:tcPr>
            <w:cnfStyle w:val="001000000000" w:firstRow="0" w:lastRow="0" w:firstColumn="1" w:lastColumn="0" w:oddVBand="0" w:evenVBand="0" w:oddHBand="0" w:evenHBand="0" w:firstRowFirstColumn="0" w:firstRowLastColumn="0" w:lastRowFirstColumn="0" w:lastRowLastColumn="0"/>
            <w:tcW w:w="1697" w:type="dxa"/>
            <w:vAlign w:val="center"/>
          </w:tcPr>
          <w:p w14:paraId="5DFFFD4E" w14:textId="58DB8990" w:rsidR="000C062A" w:rsidRPr="003E75D1" w:rsidRDefault="000C062A" w:rsidP="000C062A">
            <w:pPr>
              <w:spacing w:before="120" w:line="240" w:lineRule="auto"/>
              <w:jc w:val="center"/>
              <w:rPr>
                <w:rFonts w:cs="Arial"/>
              </w:rPr>
            </w:pPr>
            <w:r w:rsidRPr="003E75D1">
              <w:rPr>
                <w:rFonts w:cs="Arial"/>
                <w:sz w:val="20"/>
                <w:szCs w:val="20"/>
              </w:rPr>
              <w:t>Adult Face + Hands</w:t>
            </w:r>
          </w:p>
        </w:tc>
        <w:tc>
          <w:tcPr>
            <w:tcW w:w="1234" w:type="dxa"/>
            <w:vAlign w:val="center"/>
          </w:tcPr>
          <w:p w14:paraId="40A5725A" w14:textId="79393339" w:rsidR="000C062A" w:rsidRPr="003E75D1" w:rsidRDefault="000C062A" w:rsidP="000C062A">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3E75D1">
              <w:rPr>
                <w:rFonts w:cs="Arial"/>
                <w:sz w:val="20"/>
                <w:szCs w:val="20"/>
              </w:rPr>
              <w:t>1875</w:t>
            </w:r>
          </w:p>
        </w:tc>
        <w:tc>
          <w:tcPr>
            <w:tcW w:w="1069" w:type="dxa"/>
            <w:vAlign w:val="center"/>
          </w:tcPr>
          <w:p w14:paraId="2620B872" w14:textId="226F10B6" w:rsidR="000C062A" w:rsidRPr="003E75D1" w:rsidRDefault="000C062A" w:rsidP="000C062A">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3E75D1">
              <w:rPr>
                <w:rFonts w:eastAsia="Times New Roman" w:cs="Arial"/>
                <w:sz w:val="20"/>
                <w:szCs w:val="20"/>
              </w:rPr>
              <w:t>107</w:t>
            </w:r>
          </w:p>
        </w:tc>
        <w:tc>
          <w:tcPr>
            <w:tcW w:w="1916" w:type="dxa"/>
            <w:vAlign w:val="center"/>
          </w:tcPr>
          <w:p w14:paraId="5050A768" w14:textId="19E0EB77" w:rsidR="000C062A" w:rsidRPr="003E75D1" w:rsidRDefault="000C062A" w:rsidP="000C062A">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3E75D1">
              <w:rPr>
                <w:rFonts w:eastAsia="Times New Roman" w:cs="Arial"/>
                <w:sz w:val="20"/>
                <w:szCs w:val="20"/>
              </w:rPr>
              <w:t>2</w:t>
            </w:r>
          </w:p>
        </w:tc>
        <w:tc>
          <w:tcPr>
            <w:tcW w:w="1516" w:type="dxa"/>
            <w:vAlign w:val="center"/>
          </w:tcPr>
          <w:p w14:paraId="41333140" w14:textId="64B5E36F" w:rsidR="000C062A" w:rsidRPr="003E75D1" w:rsidRDefault="000C062A" w:rsidP="000C062A">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3E75D1">
              <w:rPr>
                <w:rFonts w:eastAsia="Times New Roman" w:cs="Arial"/>
                <w:sz w:val="20"/>
                <w:szCs w:val="20"/>
              </w:rPr>
              <w:t>240</w:t>
            </w:r>
          </w:p>
        </w:tc>
        <w:tc>
          <w:tcPr>
            <w:tcW w:w="0" w:type="dxa"/>
            <w:noWrap/>
            <w:vAlign w:val="center"/>
          </w:tcPr>
          <w:p w14:paraId="63F53060" w14:textId="3407F369" w:rsidR="000C062A" w:rsidRPr="00FD4B8C" w:rsidRDefault="000C062A" w:rsidP="000C062A">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FD4B8C">
              <w:rPr>
                <w:rFonts w:cs="Arial"/>
                <w:sz w:val="20"/>
                <w:szCs w:val="20"/>
              </w:rPr>
              <w:t>0.</w:t>
            </w:r>
            <w:r w:rsidR="00A30E7A" w:rsidRPr="00FD4B8C">
              <w:rPr>
                <w:rFonts w:cs="Arial"/>
                <w:sz w:val="20"/>
                <w:szCs w:val="20"/>
              </w:rPr>
              <w:t>37</w:t>
            </w:r>
          </w:p>
        </w:tc>
        <w:tc>
          <w:tcPr>
            <w:tcW w:w="0" w:type="dxa"/>
            <w:noWrap/>
            <w:vAlign w:val="center"/>
          </w:tcPr>
          <w:p w14:paraId="504DC1B1" w14:textId="10158739" w:rsidR="000C062A" w:rsidRPr="003E75D1" w:rsidRDefault="000C062A" w:rsidP="000C062A">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3E75D1">
              <w:rPr>
                <w:rFonts w:cs="Arial"/>
                <w:sz w:val="20"/>
                <w:szCs w:val="20"/>
              </w:rPr>
              <w:t>27</w:t>
            </w:r>
          </w:p>
        </w:tc>
      </w:tr>
    </w:tbl>
    <w:p w14:paraId="00B9856E" w14:textId="61AE198C" w:rsidR="005C143B" w:rsidRDefault="005C143B" w:rsidP="003E75D1">
      <w:pPr>
        <w:pStyle w:val="Tabledescription"/>
      </w:pPr>
      <w:r w:rsidRPr="00B232E4">
        <w:t>*95</w:t>
      </w:r>
      <w:r w:rsidRPr="00B232E4">
        <w:rPr>
          <w:vertAlign w:val="superscript"/>
        </w:rPr>
        <w:t>th</w:t>
      </w:r>
      <w:r w:rsidRPr="00B232E4">
        <w:t xml:space="preserve"> percentile for SSA body parts and total body weight (</w:t>
      </w:r>
      <w:r w:rsidR="00A44FA7">
        <w:t xml:space="preserve">For Adult: </w:t>
      </w:r>
      <w:r w:rsidRPr="00B232E4">
        <w:t>average of male and female adult values combined)</w:t>
      </w:r>
      <w:r>
        <w:t>.</w:t>
      </w:r>
    </w:p>
    <w:p w14:paraId="68408DEC" w14:textId="77777777" w:rsidR="005C143B" w:rsidRPr="00B232E4" w:rsidRDefault="005C143B" w:rsidP="005C143B">
      <w:pPr>
        <w:rPr>
          <w:sz w:val="18"/>
          <w:szCs w:val="18"/>
        </w:rPr>
      </w:pPr>
    </w:p>
    <w:p w14:paraId="0F918E95" w14:textId="77777777" w:rsidR="005C143B" w:rsidRPr="00B232E4" w:rsidRDefault="005C143B" w:rsidP="003E75D1">
      <w:pPr>
        <w:pStyle w:val="Tabletitle"/>
      </w:pPr>
      <w:r w:rsidRPr="00B232E4">
        <w:t>Annual use considered</w:t>
      </w:r>
      <w:r>
        <w:t xml:space="preserve"> for</w:t>
      </w:r>
      <w:r w:rsidRPr="00B232E4">
        <w:t xml:space="preserve"> </w:t>
      </w:r>
      <w:r>
        <w:t>365</w:t>
      </w:r>
      <w:r w:rsidRPr="00B232E4">
        <w:t xml:space="preserve"> days/years </w:t>
      </w:r>
      <w:r>
        <w:t xml:space="preserve">if sunscreen product containing </w:t>
      </w:r>
      <w:proofErr w:type="spellStart"/>
      <w:r>
        <w:t>homosalate</w:t>
      </w:r>
      <w:proofErr w:type="spellEnd"/>
      <w:r>
        <w:t xml:space="preserve"> is used every day.</w:t>
      </w:r>
    </w:p>
    <w:tbl>
      <w:tblPr>
        <w:tblStyle w:val="TableTGAblue2023"/>
        <w:tblW w:w="9469" w:type="dxa"/>
        <w:jc w:val="center"/>
        <w:tblLook w:val="04A0" w:firstRow="1" w:lastRow="0" w:firstColumn="1" w:lastColumn="0" w:noHBand="0" w:noVBand="1"/>
      </w:tblPr>
      <w:tblGrid>
        <w:gridCol w:w="1754"/>
        <w:gridCol w:w="1260"/>
        <w:gridCol w:w="1085"/>
        <w:gridCol w:w="1967"/>
        <w:gridCol w:w="1608"/>
        <w:gridCol w:w="1018"/>
        <w:gridCol w:w="777"/>
      </w:tblGrid>
      <w:tr w:rsidR="005C143B" w:rsidRPr="008C032D" w14:paraId="50AED7D2" w14:textId="77777777" w:rsidTr="000874CD">
        <w:trPr>
          <w:cnfStyle w:val="100000000000" w:firstRow="1" w:lastRow="0" w:firstColumn="0" w:lastColumn="0" w:oddVBand="0" w:evenVBand="0" w:oddHBand="0" w:evenHBand="0" w:firstRowFirstColumn="0" w:firstRowLastColumn="0" w:lastRowFirstColumn="0" w:lastRowLastColumn="0"/>
          <w:trHeight w:val="1155"/>
          <w:jc w:val="center"/>
        </w:trPr>
        <w:tc>
          <w:tcPr>
            <w:cnfStyle w:val="001000000000" w:firstRow="0" w:lastRow="0" w:firstColumn="1" w:lastColumn="0" w:oddVBand="0" w:evenVBand="0" w:oddHBand="0" w:evenHBand="0" w:firstRowFirstColumn="0" w:firstRowLastColumn="0" w:lastRowFirstColumn="0" w:lastRowLastColumn="0"/>
            <w:tcW w:w="1698" w:type="dxa"/>
            <w:hideMark/>
          </w:tcPr>
          <w:p w14:paraId="4D871824" w14:textId="59D04BC1" w:rsidR="005C143B" w:rsidRPr="003E75D1" w:rsidRDefault="005C143B" w:rsidP="00AF0A79">
            <w:pPr>
              <w:spacing w:after="0" w:line="240" w:lineRule="auto"/>
              <w:jc w:val="center"/>
              <w:rPr>
                <w:rFonts w:asciiTheme="minorHAnsi" w:eastAsia="Times New Roman" w:hAnsiTheme="minorHAnsi" w:cstheme="minorHAnsi"/>
                <w:b w:val="0"/>
                <w:bCs/>
                <w:sz w:val="20"/>
                <w:szCs w:val="20"/>
              </w:rPr>
            </w:pPr>
            <w:r w:rsidRPr="003E75D1">
              <w:rPr>
                <w:rFonts w:asciiTheme="minorHAnsi" w:eastAsia="Times New Roman" w:hAnsiTheme="minorHAnsi" w:cstheme="minorHAnsi"/>
                <w:bCs/>
                <w:sz w:val="20"/>
                <w:szCs w:val="20"/>
              </w:rPr>
              <w:t>Scenario*</w:t>
            </w:r>
          </w:p>
        </w:tc>
        <w:tc>
          <w:tcPr>
            <w:tcW w:w="1219" w:type="dxa"/>
            <w:hideMark/>
          </w:tcPr>
          <w:p w14:paraId="52B5F831" w14:textId="77777777" w:rsidR="005C143B" w:rsidRPr="003E75D1" w:rsidRDefault="005C143B" w:rsidP="00E070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sz w:val="20"/>
                <w:szCs w:val="20"/>
              </w:rPr>
            </w:pPr>
            <w:r w:rsidRPr="003E75D1">
              <w:rPr>
                <w:rFonts w:asciiTheme="minorHAnsi" w:eastAsia="Times New Roman" w:hAnsiTheme="minorHAnsi" w:cstheme="minorHAnsi"/>
                <w:bCs/>
                <w:sz w:val="20"/>
                <w:szCs w:val="20"/>
              </w:rPr>
              <w:t>Skin Surface Area (cm</w:t>
            </w:r>
            <w:r w:rsidRPr="003E75D1">
              <w:rPr>
                <w:rFonts w:asciiTheme="minorHAnsi" w:eastAsia="Times New Roman" w:hAnsiTheme="minorHAnsi" w:cstheme="minorHAnsi"/>
                <w:bCs/>
                <w:sz w:val="20"/>
                <w:szCs w:val="20"/>
                <w:vertAlign w:val="superscript"/>
              </w:rPr>
              <w:t>2</w:t>
            </w:r>
            <w:r w:rsidRPr="003E75D1">
              <w:rPr>
                <w:rFonts w:asciiTheme="minorHAnsi" w:eastAsia="Times New Roman" w:hAnsiTheme="minorHAnsi" w:cstheme="minorHAnsi"/>
                <w:bCs/>
                <w:sz w:val="20"/>
                <w:szCs w:val="20"/>
              </w:rPr>
              <w:t>)</w:t>
            </w:r>
          </w:p>
        </w:tc>
        <w:tc>
          <w:tcPr>
            <w:tcW w:w="1050" w:type="dxa"/>
            <w:hideMark/>
          </w:tcPr>
          <w:p w14:paraId="29FF44D9" w14:textId="77777777" w:rsidR="005C143B" w:rsidRPr="003E75D1" w:rsidRDefault="005C143B" w:rsidP="00E070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sz w:val="20"/>
                <w:szCs w:val="20"/>
              </w:rPr>
            </w:pPr>
            <w:r w:rsidRPr="003E75D1">
              <w:rPr>
                <w:rFonts w:asciiTheme="minorHAnsi" w:eastAsia="Times New Roman" w:hAnsiTheme="minorHAnsi" w:cstheme="minorHAnsi"/>
                <w:bCs/>
                <w:sz w:val="20"/>
                <w:szCs w:val="20"/>
              </w:rPr>
              <w:t xml:space="preserve">Body </w:t>
            </w:r>
            <w:proofErr w:type="gramStart"/>
            <w:r w:rsidRPr="003E75D1">
              <w:rPr>
                <w:rFonts w:asciiTheme="minorHAnsi" w:eastAsia="Times New Roman" w:hAnsiTheme="minorHAnsi" w:cstheme="minorHAnsi"/>
                <w:bCs/>
                <w:sz w:val="20"/>
                <w:szCs w:val="20"/>
              </w:rPr>
              <w:t xml:space="preserve">weight </w:t>
            </w:r>
            <w:r w:rsidRPr="003E75D1">
              <w:rPr>
                <w:rFonts w:asciiTheme="minorHAnsi" w:eastAsia="Times New Roman" w:hAnsiTheme="minorHAnsi" w:cstheme="minorHAnsi"/>
                <w:sz w:val="20"/>
                <w:szCs w:val="20"/>
              </w:rPr>
              <w:t xml:space="preserve"> </w:t>
            </w:r>
            <w:r w:rsidRPr="003E75D1">
              <w:rPr>
                <w:rFonts w:asciiTheme="minorHAnsi" w:eastAsia="Times New Roman" w:hAnsiTheme="minorHAnsi" w:cstheme="minorHAnsi"/>
                <w:bCs/>
                <w:sz w:val="20"/>
                <w:szCs w:val="20"/>
              </w:rPr>
              <w:t>(</w:t>
            </w:r>
            <w:proofErr w:type="gramEnd"/>
            <w:r w:rsidRPr="003E75D1">
              <w:rPr>
                <w:rFonts w:asciiTheme="minorHAnsi" w:eastAsia="Times New Roman" w:hAnsiTheme="minorHAnsi" w:cstheme="minorHAnsi"/>
                <w:bCs/>
                <w:sz w:val="20"/>
                <w:szCs w:val="20"/>
              </w:rPr>
              <w:t>kg)</w:t>
            </w:r>
          </w:p>
        </w:tc>
        <w:tc>
          <w:tcPr>
            <w:tcW w:w="1904" w:type="dxa"/>
            <w:hideMark/>
          </w:tcPr>
          <w:p w14:paraId="4100F287" w14:textId="77777777" w:rsidR="005C143B" w:rsidRPr="003E75D1" w:rsidRDefault="005C143B" w:rsidP="00E070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sz w:val="20"/>
                <w:szCs w:val="20"/>
              </w:rPr>
            </w:pPr>
            <w:r w:rsidRPr="003E75D1">
              <w:rPr>
                <w:rFonts w:asciiTheme="minorHAnsi" w:eastAsia="Times New Roman" w:hAnsiTheme="minorHAnsi" w:cstheme="minorHAnsi"/>
                <w:bCs/>
                <w:sz w:val="20"/>
                <w:szCs w:val="20"/>
              </w:rPr>
              <w:t>Reapplications (no. per day)</w:t>
            </w:r>
          </w:p>
        </w:tc>
        <w:tc>
          <w:tcPr>
            <w:tcW w:w="1556" w:type="dxa"/>
            <w:hideMark/>
          </w:tcPr>
          <w:p w14:paraId="5C64F9A3" w14:textId="77777777" w:rsidR="005C143B" w:rsidRPr="003E75D1" w:rsidRDefault="005C143B" w:rsidP="00E070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sz w:val="20"/>
                <w:szCs w:val="20"/>
              </w:rPr>
            </w:pPr>
            <w:r w:rsidRPr="003E75D1">
              <w:rPr>
                <w:rFonts w:asciiTheme="minorHAnsi" w:eastAsia="Times New Roman" w:hAnsiTheme="minorHAnsi" w:cstheme="minorHAnsi"/>
                <w:bCs/>
                <w:sz w:val="20"/>
                <w:szCs w:val="20"/>
              </w:rPr>
              <w:t>Annual use (days/year)</w:t>
            </w:r>
          </w:p>
        </w:tc>
        <w:tc>
          <w:tcPr>
            <w:tcW w:w="0" w:type="dxa"/>
            <w:hideMark/>
          </w:tcPr>
          <w:p w14:paraId="28C9BED4" w14:textId="77777777" w:rsidR="005C143B" w:rsidRPr="003E75D1" w:rsidRDefault="005C143B" w:rsidP="00E070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sz w:val="20"/>
                <w:szCs w:val="20"/>
              </w:rPr>
            </w:pPr>
            <w:r w:rsidRPr="003E75D1">
              <w:rPr>
                <w:rFonts w:asciiTheme="minorHAnsi" w:eastAsia="Times New Roman" w:hAnsiTheme="minorHAnsi" w:cstheme="minorHAnsi"/>
                <w:bCs/>
                <w:sz w:val="20"/>
                <w:szCs w:val="20"/>
              </w:rPr>
              <w:t xml:space="preserve">SED (mg/kg </w:t>
            </w:r>
            <w:proofErr w:type="spellStart"/>
            <w:r w:rsidRPr="003E75D1">
              <w:rPr>
                <w:rFonts w:asciiTheme="minorHAnsi" w:eastAsia="Times New Roman" w:hAnsiTheme="minorHAnsi" w:cstheme="minorHAnsi"/>
                <w:bCs/>
                <w:sz w:val="20"/>
                <w:szCs w:val="20"/>
              </w:rPr>
              <w:t>bw</w:t>
            </w:r>
            <w:proofErr w:type="spellEnd"/>
            <w:r w:rsidRPr="003E75D1">
              <w:rPr>
                <w:rFonts w:asciiTheme="minorHAnsi" w:eastAsia="Times New Roman" w:hAnsiTheme="minorHAnsi" w:cstheme="minorHAnsi"/>
                <w:bCs/>
                <w:sz w:val="20"/>
                <w:szCs w:val="20"/>
              </w:rPr>
              <w:t>/d)</w:t>
            </w:r>
          </w:p>
        </w:tc>
        <w:tc>
          <w:tcPr>
            <w:tcW w:w="0" w:type="dxa"/>
            <w:hideMark/>
          </w:tcPr>
          <w:p w14:paraId="5EAA91F9" w14:textId="77777777" w:rsidR="005C143B" w:rsidRPr="003E75D1" w:rsidRDefault="005C143B" w:rsidP="00E070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sz w:val="20"/>
                <w:szCs w:val="20"/>
              </w:rPr>
            </w:pPr>
            <w:r w:rsidRPr="003E75D1">
              <w:rPr>
                <w:rFonts w:asciiTheme="minorHAnsi" w:eastAsia="Times New Roman" w:hAnsiTheme="minorHAnsi" w:cstheme="minorHAnsi"/>
                <w:bCs/>
                <w:sz w:val="20"/>
                <w:szCs w:val="20"/>
              </w:rPr>
              <w:t>MoS</w:t>
            </w:r>
          </w:p>
        </w:tc>
      </w:tr>
      <w:tr w:rsidR="006A6D6E" w:rsidRPr="006C6D5C" w14:paraId="1DF04AD6" w14:textId="77777777" w:rsidTr="000874CD">
        <w:trPr>
          <w:trHeight w:val="600"/>
          <w:jc w:val="center"/>
        </w:trPr>
        <w:tc>
          <w:tcPr>
            <w:cnfStyle w:val="001000000000" w:firstRow="0" w:lastRow="0" w:firstColumn="1" w:lastColumn="0" w:oddVBand="0" w:evenVBand="0" w:oddHBand="0" w:evenHBand="0" w:firstRowFirstColumn="0" w:firstRowLastColumn="0" w:lastRowFirstColumn="0" w:lastRowLastColumn="0"/>
            <w:tcW w:w="1698" w:type="dxa"/>
            <w:vAlign w:val="center"/>
          </w:tcPr>
          <w:p w14:paraId="03992C1E" w14:textId="26F71C55" w:rsidR="006A6D6E" w:rsidRPr="003E75D1" w:rsidRDefault="006A6D6E" w:rsidP="006A6D6E">
            <w:pPr>
              <w:spacing w:before="120" w:after="120" w:line="240" w:lineRule="auto"/>
              <w:jc w:val="center"/>
              <w:rPr>
                <w:rFonts w:asciiTheme="minorHAnsi" w:eastAsia="Times New Roman" w:hAnsiTheme="minorHAnsi" w:cstheme="minorHAnsi"/>
                <w:sz w:val="20"/>
                <w:szCs w:val="20"/>
                <w:u w:val="single"/>
              </w:rPr>
            </w:pPr>
            <w:r>
              <w:rPr>
                <w:rFonts w:cs="Arial"/>
                <w:sz w:val="20"/>
                <w:szCs w:val="20"/>
              </w:rPr>
              <w:t>Face only (Toddlers)</w:t>
            </w:r>
          </w:p>
        </w:tc>
        <w:tc>
          <w:tcPr>
            <w:tcW w:w="1219" w:type="dxa"/>
            <w:vAlign w:val="center"/>
          </w:tcPr>
          <w:p w14:paraId="263E2C0E" w14:textId="7106ADF6" w:rsidR="006A6D6E" w:rsidRPr="003E75D1" w:rsidRDefault="006A6D6E" w:rsidP="006A6D6E">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u w:val="single"/>
              </w:rPr>
            </w:pPr>
            <w:r>
              <w:rPr>
                <w:rFonts w:cs="Arial"/>
                <w:sz w:val="20"/>
                <w:szCs w:val="20"/>
              </w:rPr>
              <w:t>500</w:t>
            </w:r>
          </w:p>
        </w:tc>
        <w:tc>
          <w:tcPr>
            <w:tcW w:w="1050" w:type="dxa"/>
            <w:vAlign w:val="center"/>
          </w:tcPr>
          <w:p w14:paraId="3A2CCE8E" w14:textId="284CA257" w:rsidR="006A6D6E" w:rsidRPr="003E75D1" w:rsidRDefault="006A6D6E" w:rsidP="006A6D6E">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eastAsia="Times New Roman" w:cs="Arial"/>
                <w:sz w:val="20"/>
                <w:szCs w:val="20"/>
              </w:rPr>
              <w:t>13</w:t>
            </w:r>
          </w:p>
        </w:tc>
        <w:tc>
          <w:tcPr>
            <w:tcW w:w="1904" w:type="dxa"/>
            <w:vAlign w:val="center"/>
          </w:tcPr>
          <w:p w14:paraId="63FD03A3" w14:textId="1EFCB3B5" w:rsidR="006A6D6E" w:rsidRPr="003E75D1" w:rsidRDefault="006A6D6E" w:rsidP="006A6D6E">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eastAsia="Times New Roman" w:cs="Arial"/>
                <w:sz w:val="20"/>
                <w:szCs w:val="20"/>
              </w:rPr>
              <w:t>2</w:t>
            </w:r>
          </w:p>
        </w:tc>
        <w:tc>
          <w:tcPr>
            <w:tcW w:w="1556" w:type="dxa"/>
            <w:vAlign w:val="center"/>
          </w:tcPr>
          <w:p w14:paraId="7C816D30" w14:textId="5F86E0E6" w:rsidR="006A6D6E" w:rsidRPr="003E75D1" w:rsidRDefault="00543D8B" w:rsidP="006A6D6E">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eastAsia="Times New Roman" w:cs="Arial"/>
                <w:sz w:val="20"/>
                <w:szCs w:val="20"/>
              </w:rPr>
              <w:t>365</w:t>
            </w:r>
          </w:p>
        </w:tc>
        <w:tc>
          <w:tcPr>
            <w:tcW w:w="0" w:type="dxa"/>
            <w:noWrap/>
            <w:vAlign w:val="center"/>
          </w:tcPr>
          <w:p w14:paraId="0C46B6A3" w14:textId="546EAF98" w:rsidR="006A6D6E" w:rsidRPr="000874CD" w:rsidRDefault="00543D8B" w:rsidP="006A6D6E">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FD4B8C">
              <w:rPr>
                <w:rFonts w:cs="Arial"/>
                <w:sz w:val="20"/>
                <w:szCs w:val="20"/>
              </w:rPr>
              <w:t>1.22</w:t>
            </w:r>
          </w:p>
        </w:tc>
        <w:tc>
          <w:tcPr>
            <w:tcW w:w="0" w:type="dxa"/>
            <w:noWrap/>
            <w:vAlign w:val="center"/>
          </w:tcPr>
          <w:p w14:paraId="0FD949C9" w14:textId="35534478" w:rsidR="006A6D6E" w:rsidRPr="003E75D1" w:rsidRDefault="00543D8B" w:rsidP="006A6D6E">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highlight w:val="cyan"/>
              </w:rPr>
            </w:pPr>
            <w:r>
              <w:rPr>
                <w:rFonts w:cs="Arial"/>
                <w:sz w:val="20"/>
                <w:szCs w:val="20"/>
              </w:rPr>
              <w:t>8</w:t>
            </w:r>
          </w:p>
        </w:tc>
      </w:tr>
      <w:tr w:rsidR="006A6D6E" w:rsidRPr="006C6D5C" w14:paraId="3F7D2D34" w14:textId="77777777" w:rsidTr="000874CD">
        <w:trPr>
          <w:trHeight w:val="600"/>
          <w:jc w:val="center"/>
        </w:trPr>
        <w:tc>
          <w:tcPr>
            <w:cnfStyle w:val="001000000000" w:firstRow="0" w:lastRow="0" w:firstColumn="1" w:lastColumn="0" w:oddVBand="0" w:evenVBand="0" w:oddHBand="0" w:evenHBand="0" w:firstRowFirstColumn="0" w:firstRowLastColumn="0" w:lastRowFirstColumn="0" w:lastRowLastColumn="0"/>
            <w:tcW w:w="1698" w:type="dxa"/>
            <w:vAlign w:val="center"/>
          </w:tcPr>
          <w:p w14:paraId="6D443BAD" w14:textId="12C1507F" w:rsidR="006A6D6E" w:rsidRPr="003E75D1" w:rsidDel="00410404" w:rsidRDefault="006A6D6E" w:rsidP="006A6D6E">
            <w:pPr>
              <w:spacing w:before="120" w:line="240" w:lineRule="auto"/>
              <w:jc w:val="center"/>
              <w:rPr>
                <w:rFonts w:asciiTheme="minorHAnsi" w:hAnsiTheme="minorHAnsi" w:cstheme="minorHAnsi"/>
              </w:rPr>
            </w:pPr>
            <w:r>
              <w:rPr>
                <w:rFonts w:cs="Arial"/>
                <w:sz w:val="20"/>
                <w:szCs w:val="20"/>
              </w:rPr>
              <w:t>Face + Hands (Toddlers)</w:t>
            </w:r>
          </w:p>
        </w:tc>
        <w:tc>
          <w:tcPr>
            <w:tcW w:w="1219" w:type="dxa"/>
            <w:vAlign w:val="center"/>
          </w:tcPr>
          <w:p w14:paraId="6DB23C34" w14:textId="1930C441" w:rsidR="006A6D6E" w:rsidRPr="003E75D1" w:rsidDel="00410404" w:rsidRDefault="006A6D6E" w:rsidP="006A6D6E">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sz w:val="20"/>
                <w:szCs w:val="20"/>
              </w:rPr>
              <w:t>900</w:t>
            </w:r>
          </w:p>
        </w:tc>
        <w:tc>
          <w:tcPr>
            <w:tcW w:w="1050" w:type="dxa"/>
            <w:vAlign w:val="center"/>
          </w:tcPr>
          <w:p w14:paraId="69BC8781" w14:textId="7EE5B44C" w:rsidR="006A6D6E" w:rsidRPr="003E75D1" w:rsidDel="00410404" w:rsidRDefault="006A6D6E" w:rsidP="006A6D6E">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eastAsia="Times New Roman" w:cs="Arial"/>
                <w:sz w:val="20"/>
                <w:szCs w:val="20"/>
              </w:rPr>
              <w:t>13</w:t>
            </w:r>
          </w:p>
        </w:tc>
        <w:tc>
          <w:tcPr>
            <w:tcW w:w="1904" w:type="dxa"/>
            <w:vAlign w:val="center"/>
          </w:tcPr>
          <w:p w14:paraId="00A7605F" w14:textId="4D42BAC6" w:rsidR="006A6D6E" w:rsidRPr="003E75D1" w:rsidDel="00410404" w:rsidRDefault="006A6D6E" w:rsidP="006A6D6E">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eastAsia="Times New Roman" w:cs="Arial"/>
                <w:sz w:val="20"/>
                <w:szCs w:val="20"/>
              </w:rPr>
              <w:t>2</w:t>
            </w:r>
          </w:p>
        </w:tc>
        <w:tc>
          <w:tcPr>
            <w:tcW w:w="1556" w:type="dxa"/>
            <w:vAlign w:val="center"/>
          </w:tcPr>
          <w:p w14:paraId="3028BD55" w14:textId="5967D00C" w:rsidR="006A6D6E" w:rsidRPr="003E75D1" w:rsidDel="00410404" w:rsidRDefault="00543D8B" w:rsidP="006A6D6E">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eastAsia="Times New Roman" w:cs="Arial"/>
                <w:sz w:val="20"/>
                <w:szCs w:val="20"/>
              </w:rPr>
              <w:t>365</w:t>
            </w:r>
          </w:p>
        </w:tc>
        <w:tc>
          <w:tcPr>
            <w:tcW w:w="0" w:type="dxa"/>
            <w:noWrap/>
            <w:vAlign w:val="center"/>
          </w:tcPr>
          <w:p w14:paraId="25F42ECA" w14:textId="37BD3264" w:rsidR="006A6D6E" w:rsidRPr="00FD4B8C" w:rsidDel="00410404" w:rsidRDefault="00543D8B" w:rsidP="006A6D6E">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4B8C">
              <w:rPr>
                <w:rFonts w:cs="Arial"/>
                <w:sz w:val="20"/>
                <w:szCs w:val="20"/>
              </w:rPr>
              <w:t>2.2</w:t>
            </w:r>
          </w:p>
        </w:tc>
        <w:tc>
          <w:tcPr>
            <w:tcW w:w="0" w:type="dxa"/>
            <w:noWrap/>
            <w:vAlign w:val="center"/>
          </w:tcPr>
          <w:p w14:paraId="23B3B03F" w14:textId="5F7B3CED" w:rsidR="006A6D6E" w:rsidRPr="003E75D1" w:rsidDel="00410404" w:rsidRDefault="00543D8B" w:rsidP="006A6D6E">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sz w:val="20"/>
                <w:szCs w:val="20"/>
              </w:rPr>
              <w:t>5</w:t>
            </w:r>
          </w:p>
        </w:tc>
      </w:tr>
      <w:tr w:rsidR="005C143B" w:rsidRPr="006C6D5C" w14:paraId="5DEB3408" w14:textId="77777777" w:rsidTr="000874CD">
        <w:trPr>
          <w:trHeight w:val="315"/>
          <w:jc w:val="center"/>
        </w:trPr>
        <w:tc>
          <w:tcPr>
            <w:cnfStyle w:val="001000000000" w:firstRow="0" w:lastRow="0" w:firstColumn="1" w:lastColumn="0" w:oddVBand="0" w:evenVBand="0" w:oddHBand="0" w:evenHBand="0" w:firstRowFirstColumn="0" w:firstRowLastColumn="0" w:lastRowFirstColumn="0" w:lastRowLastColumn="0"/>
            <w:tcW w:w="1698" w:type="dxa"/>
            <w:vAlign w:val="center"/>
          </w:tcPr>
          <w:p w14:paraId="020B95C4" w14:textId="77777777" w:rsidR="005C143B" w:rsidRPr="003E75D1" w:rsidRDefault="005C143B" w:rsidP="00E07077">
            <w:pPr>
              <w:spacing w:before="120" w:after="120" w:line="240" w:lineRule="auto"/>
              <w:jc w:val="center"/>
              <w:rPr>
                <w:rFonts w:asciiTheme="minorHAnsi" w:eastAsia="Times New Roman" w:hAnsiTheme="minorHAnsi" w:cstheme="minorHAnsi"/>
                <w:sz w:val="20"/>
                <w:szCs w:val="20"/>
                <w:u w:val="single"/>
              </w:rPr>
            </w:pPr>
            <w:r w:rsidRPr="003E75D1">
              <w:rPr>
                <w:rFonts w:asciiTheme="minorHAnsi" w:hAnsiTheme="minorHAnsi" w:cstheme="minorHAnsi"/>
                <w:sz w:val="20"/>
                <w:szCs w:val="20"/>
              </w:rPr>
              <w:t>Adult Face only</w:t>
            </w:r>
          </w:p>
        </w:tc>
        <w:tc>
          <w:tcPr>
            <w:tcW w:w="1219" w:type="dxa"/>
            <w:vAlign w:val="center"/>
          </w:tcPr>
          <w:p w14:paraId="117D3089" w14:textId="77777777" w:rsidR="005C143B" w:rsidRPr="003E75D1" w:rsidRDefault="005C143B" w:rsidP="00E07077">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u w:val="single"/>
              </w:rPr>
            </w:pPr>
            <w:r w:rsidRPr="003E75D1">
              <w:rPr>
                <w:rFonts w:asciiTheme="minorHAnsi" w:hAnsiTheme="minorHAnsi" w:cstheme="minorHAnsi"/>
                <w:sz w:val="20"/>
                <w:szCs w:val="20"/>
              </w:rPr>
              <w:t>675</w:t>
            </w:r>
          </w:p>
        </w:tc>
        <w:tc>
          <w:tcPr>
            <w:tcW w:w="1050" w:type="dxa"/>
            <w:vAlign w:val="center"/>
          </w:tcPr>
          <w:p w14:paraId="0ABBB152" w14:textId="77777777" w:rsidR="005C143B" w:rsidRPr="003E75D1" w:rsidRDefault="005C143B" w:rsidP="00E07077">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3E75D1">
              <w:rPr>
                <w:rFonts w:asciiTheme="minorHAnsi" w:eastAsia="Times New Roman" w:hAnsiTheme="minorHAnsi" w:cstheme="minorHAnsi"/>
                <w:sz w:val="20"/>
                <w:szCs w:val="20"/>
              </w:rPr>
              <w:t>107</w:t>
            </w:r>
          </w:p>
        </w:tc>
        <w:tc>
          <w:tcPr>
            <w:tcW w:w="1904" w:type="dxa"/>
            <w:vAlign w:val="center"/>
          </w:tcPr>
          <w:p w14:paraId="5D8E4E16" w14:textId="77777777" w:rsidR="005C143B" w:rsidRPr="003E75D1" w:rsidRDefault="005C143B" w:rsidP="00E07077">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3E75D1">
              <w:rPr>
                <w:rFonts w:asciiTheme="minorHAnsi" w:eastAsia="Times New Roman" w:hAnsiTheme="minorHAnsi" w:cstheme="minorHAnsi"/>
                <w:sz w:val="20"/>
                <w:szCs w:val="20"/>
              </w:rPr>
              <w:t>2</w:t>
            </w:r>
          </w:p>
        </w:tc>
        <w:tc>
          <w:tcPr>
            <w:tcW w:w="1556" w:type="dxa"/>
            <w:vAlign w:val="center"/>
          </w:tcPr>
          <w:p w14:paraId="37567DC8" w14:textId="77777777" w:rsidR="005C143B" w:rsidRPr="003E75D1" w:rsidRDefault="005C143B" w:rsidP="00E07077">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3E75D1">
              <w:rPr>
                <w:rFonts w:asciiTheme="minorHAnsi" w:eastAsia="Times New Roman" w:hAnsiTheme="minorHAnsi" w:cstheme="minorHAnsi"/>
                <w:sz w:val="20"/>
                <w:szCs w:val="20"/>
              </w:rPr>
              <w:t>365</w:t>
            </w:r>
          </w:p>
        </w:tc>
        <w:tc>
          <w:tcPr>
            <w:tcW w:w="0" w:type="dxa"/>
            <w:noWrap/>
            <w:vAlign w:val="center"/>
          </w:tcPr>
          <w:p w14:paraId="0C2428B1" w14:textId="567678CC" w:rsidR="005C143B" w:rsidRPr="00FD4B8C" w:rsidRDefault="005C143B" w:rsidP="00E07077">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FD4B8C">
              <w:rPr>
                <w:rFonts w:asciiTheme="minorHAnsi" w:hAnsiTheme="minorHAnsi" w:cstheme="minorHAnsi"/>
                <w:sz w:val="20"/>
                <w:szCs w:val="20"/>
              </w:rPr>
              <w:t>0.</w:t>
            </w:r>
            <w:r w:rsidR="00A82693" w:rsidRPr="00FD4B8C">
              <w:rPr>
                <w:rFonts w:asciiTheme="minorHAnsi" w:hAnsiTheme="minorHAnsi" w:cstheme="minorHAnsi"/>
                <w:sz w:val="20"/>
                <w:szCs w:val="20"/>
              </w:rPr>
              <w:t>2</w:t>
            </w:r>
          </w:p>
        </w:tc>
        <w:tc>
          <w:tcPr>
            <w:tcW w:w="0" w:type="dxa"/>
            <w:noWrap/>
            <w:vAlign w:val="center"/>
          </w:tcPr>
          <w:p w14:paraId="6239C945" w14:textId="77777777" w:rsidR="005C143B" w:rsidRPr="003E75D1" w:rsidRDefault="005C143B" w:rsidP="00E07077">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3E75D1">
              <w:rPr>
                <w:rFonts w:asciiTheme="minorHAnsi" w:hAnsiTheme="minorHAnsi" w:cstheme="minorHAnsi"/>
                <w:sz w:val="20"/>
                <w:szCs w:val="20"/>
              </w:rPr>
              <w:t>50</w:t>
            </w:r>
          </w:p>
        </w:tc>
      </w:tr>
      <w:tr w:rsidR="005C143B" w:rsidRPr="006C6D5C" w14:paraId="6908FA62" w14:textId="77777777" w:rsidTr="000874CD">
        <w:trPr>
          <w:trHeight w:val="315"/>
          <w:jc w:val="center"/>
        </w:trPr>
        <w:tc>
          <w:tcPr>
            <w:cnfStyle w:val="001000000000" w:firstRow="0" w:lastRow="0" w:firstColumn="1" w:lastColumn="0" w:oddVBand="0" w:evenVBand="0" w:oddHBand="0" w:evenHBand="0" w:firstRowFirstColumn="0" w:firstRowLastColumn="0" w:lastRowFirstColumn="0" w:lastRowLastColumn="0"/>
            <w:tcW w:w="1698" w:type="dxa"/>
            <w:vAlign w:val="center"/>
          </w:tcPr>
          <w:p w14:paraId="2337FA30" w14:textId="77777777" w:rsidR="005C143B" w:rsidRPr="003E75D1" w:rsidRDefault="005C143B" w:rsidP="00E07077">
            <w:pPr>
              <w:spacing w:before="120" w:after="120" w:line="240" w:lineRule="auto"/>
              <w:jc w:val="center"/>
              <w:rPr>
                <w:rFonts w:asciiTheme="minorHAnsi" w:eastAsia="Times New Roman" w:hAnsiTheme="minorHAnsi" w:cstheme="minorHAnsi"/>
                <w:sz w:val="20"/>
                <w:szCs w:val="20"/>
                <w:u w:val="single"/>
              </w:rPr>
            </w:pPr>
            <w:r w:rsidRPr="003E75D1">
              <w:rPr>
                <w:rFonts w:asciiTheme="minorHAnsi" w:hAnsiTheme="minorHAnsi" w:cstheme="minorHAnsi"/>
                <w:sz w:val="20"/>
                <w:szCs w:val="20"/>
              </w:rPr>
              <w:t>Adult Face + Hands</w:t>
            </w:r>
          </w:p>
        </w:tc>
        <w:tc>
          <w:tcPr>
            <w:tcW w:w="1219" w:type="dxa"/>
            <w:vAlign w:val="center"/>
          </w:tcPr>
          <w:p w14:paraId="3585D0C4" w14:textId="77777777" w:rsidR="005C143B" w:rsidRPr="003E75D1" w:rsidRDefault="005C143B" w:rsidP="00E07077">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u w:val="single"/>
              </w:rPr>
            </w:pPr>
            <w:r w:rsidRPr="003E75D1">
              <w:rPr>
                <w:rFonts w:asciiTheme="minorHAnsi" w:hAnsiTheme="minorHAnsi" w:cstheme="minorHAnsi"/>
                <w:sz w:val="20"/>
                <w:szCs w:val="20"/>
              </w:rPr>
              <w:t>1875</w:t>
            </w:r>
          </w:p>
        </w:tc>
        <w:tc>
          <w:tcPr>
            <w:tcW w:w="1050" w:type="dxa"/>
            <w:vAlign w:val="center"/>
          </w:tcPr>
          <w:p w14:paraId="69A6B40F" w14:textId="77777777" w:rsidR="005C143B" w:rsidRPr="003E75D1" w:rsidRDefault="005C143B" w:rsidP="00E07077">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3E75D1">
              <w:rPr>
                <w:rFonts w:asciiTheme="minorHAnsi" w:eastAsia="Times New Roman" w:hAnsiTheme="minorHAnsi" w:cstheme="minorHAnsi"/>
                <w:sz w:val="20"/>
                <w:szCs w:val="20"/>
              </w:rPr>
              <w:t>107</w:t>
            </w:r>
          </w:p>
        </w:tc>
        <w:tc>
          <w:tcPr>
            <w:tcW w:w="1904" w:type="dxa"/>
            <w:vAlign w:val="center"/>
          </w:tcPr>
          <w:p w14:paraId="3B56A0E1" w14:textId="77777777" w:rsidR="005C143B" w:rsidRPr="003E75D1" w:rsidRDefault="005C143B" w:rsidP="00E07077">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3E75D1">
              <w:rPr>
                <w:rFonts w:asciiTheme="minorHAnsi" w:eastAsia="Times New Roman" w:hAnsiTheme="minorHAnsi" w:cstheme="minorHAnsi"/>
                <w:sz w:val="20"/>
                <w:szCs w:val="20"/>
              </w:rPr>
              <w:t>2</w:t>
            </w:r>
          </w:p>
        </w:tc>
        <w:tc>
          <w:tcPr>
            <w:tcW w:w="1556" w:type="dxa"/>
            <w:vAlign w:val="center"/>
          </w:tcPr>
          <w:p w14:paraId="0566B421" w14:textId="77777777" w:rsidR="005C143B" w:rsidRPr="003E75D1" w:rsidRDefault="005C143B" w:rsidP="00E07077">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3E75D1">
              <w:rPr>
                <w:rFonts w:asciiTheme="minorHAnsi" w:eastAsia="Times New Roman" w:hAnsiTheme="minorHAnsi" w:cstheme="minorHAnsi"/>
                <w:sz w:val="20"/>
                <w:szCs w:val="20"/>
              </w:rPr>
              <w:t>365</w:t>
            </w:r>
          </w:p>
        </w:tc>
        <w:tc>
          <w:tcPr>
            <w:tcW w:w="0" w:type="dxa"/>
            <w:noWrap/>
            <w:vAlign w:val="center"/>
          </w:tcPr>
          <w:p w14:paraId="5019080A" w14:textId="1A0515B6" w:rsidR="005C143B" w:rsidRPr="00FD4B8C" w:rsidRDefault="005C143B" w:rsidP="00E07077">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FD4B8C">
              <w:rPr>
                <w:rFonts w:asciiTheme="minorHAnsi" w:hAnsiTheme="minorHAnsi" w:cstheme="minorHAnsi"/>
                <w:sz w:val="20"/>
                <w:szCs w:val="20"/>
              </w:rPr>
              <w:t>0.</w:t>
            </w:r>
            <w:r w:rsidR="00A82693" w:rsidRPr="00FD4B8C">
              <w:rPr>
                <w:rFonts w:asciiTheme="minorHAnsi" w:hAnsiTheme="minorHAnsi" w:cstheme="minorHAnsi"/>
                <w:sz w:val="20"/>
                <w:szCs w:val="20"/>
              </w:rPr>
              <w:t>56</w:t>
            </w:r>
          </w:p>
        </w:tc>
        <w:tc>
          <w:tcPr>
            <w:tcW w:w="0" w:type="dxa"/>
            <w:noWrap/>
            <w:vAlign w:val="center"/>
          </w:tcPr>
          <w:p w14:paraId="6B564E5B" w14:textId="77777777" w:rsidR="005C143B" w:rsidRPr="003E75D1" w:rsidRDefault="005C143B" w:rsidP="00E07077">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3E75D1">
              <w:rPr>
                <w:rFonts w:asciiTheme="minorHAnsi" w:hAnsiTheme="minorHAnsi" w:cstheme="minorHAnsi"/>
                <w:sz w:val="20"/>
                <w:szCs w:val="20"/>
              </w:rPr>
              <w:t>18</w:t>
            </w:r>
          </w:p>
        </w:tc>
      </w:tr>
    </w:tbl>
    <w:p w14:paraId="187A6F39" w14:textId="5E2C3FF3" w:rsidR="005C143B" w:rsidRDefault="005C143B" w:rsidP="003E75D1">
      <w:pPr>
        <w:pStyle w:val="Tabledescription"/>
      </w:pPr>
      <w:r w:rsidRPr="00F6314C">
        <w:t>*95</w:t>
      </w:r>
      <w:r w:rsidRPr="00F6314C">
        <w:rPr>
          <w:vertAlign w:val="superscript"/>
        </w:rPr>
        <w:t>th</w:t>
      </w:r>
      <w:r w:rsidRPr="00F6314C">
        <w:t xml:space="preserve"> percentile for SSA body parts and total body weight (</w:t>
      </w:r>
      <w:r w:rsidR="00A90622">
        <w:t xml:space="preserve">For Adult: </w:t>
      </w:r>
      <w:r w:rsidRPr="00F6314C">
        <w:t>average of male and female adult values combined)</w:t>
      </w:r>
      <w:r>
        <w:t>.</w:t>
      </w:r>
    </w:p>
    <w:p w14:paraId="0A54F8BC" w14:textId="684EA9EA" w:rsidR="005C143B" w:rsidRDefault="005C143B" w:rsidP="003E75D1">
      <w:r w:rsidRPr="00B40A33">
        <w:t xml:space="preserve">For these </w:t>
      </w:r>
      <w:proofErr w:type="spellStart"/>
      <w:r w:rsidRPr="00B40A33">
        <w:t>homosalate</w:t>
      </w:r>
      <w:proofErr w:type="spellEnd"/>
      <w:r w:rsidRPr="00B40A33">
        <w:t>-containing sunscreen products to reach a satisfactory MoS</w:t>
      </w:r>
      <w:r>
        <w:t xml:space="preserve"> (≥100)</w:t>
      </w:r>
      <w:r w:rsidRPr="00B40A33">
        <w:t xml:space="preserve"> based on specific part of the body</w:t>
      </w:r>
      <w:r w:rsidR="00A26A03">
        <w:t xml:space="preserve"> and </w:t>
      </w:r>
      <w:r w:rsidR="00F74684">
        <w:t xml:space="preserve">for </w:t>
      </w:r>
      <w:r w:rsidR="00A26A03">
        <w:t>use by whole family vs adult only</w:t>
      </w:r>
      <w:r w:rsidRPr="00B40A33">
        <w:t xml:space="preserve">, the concentration of </w:t>
      </w:r>
      <w:proofErr w:type="spellStart"/>
      <w:r w:rsidRPr="00B40A33">
        <w:t>homosalate</w:t>
      </w:r>
      <w:proofErr w:type="spellEnd"/>
      <w:r w:rsidRPr="00B40A33">
        <w:t xml:space="preserve"> would need to be reduced as shown in the table below for different periods of use (240 &amp; 365 days/year).</w:t>
      </w:r>
    </w:p>
    <w:p w14:paraId="78D70256" w14:textId="77777777" w:rsidR="005C143B" w:rsidRPr="00B232E4" w:rsidRDefault="005C143B" w:rsidP="003E75D1">
      <w:pPr>
        <w:pStyle w:val="Tabletitle"/>
      </w:pPr>
      <w:r w:rsidRPr="00B232E4">
        <w:lastRenderedPageBreak/>
        <w:t xml:space="preserve">The concentration of </w:t>
      </w:r>
      <w:proofErr w:type="spellStart"/>
      <w:r w:rsidRPr="00B232E4">
        <w:t>homosalate</w:t>
      </w:r>
      <w:proofErr w:type="spellEnd"/>
      <w:r>
        <w:t xml:space="preserve"> that is </w:t>
      </w:r>
      <w:proofErr w:type="gramStart"/>
      <w:r>
        <w:t>low-risk</w:t>
      </w:r>
      <w:proofErr w:type="gramEnd"/>
      <w:r w:rsidRPr="00B232E4">
        <w:t xml:space="preserve"> in sunscreen product</w:t>
      </w:r>
      <w:r>
        <w:t>s,</w:t>
      </w:r>
      <w:r w:rsidRPr="00B232E4">
        <w:t xml:space="preserve"> if </w:t>
      </w:r>
      <w:r>
        <w:t xml:space="preserve">applied to </w:t>
      </w:r>
      <w:r w:rsidRPr="00B232E4">
        <w:t>specific areas of the body</w:t>
      </w:r>
      <w:r>
        <w:t>.</w:t>
      </w:r>
    </w:p>
    <w:tbl>
      <w:tblPr>
        <w:tblStyle w:val="TableTGAblue2023"/>
        <w:tblW w:w="9011" w:type="dxa"/>
        <w:tblLook w:val="04A0" w:firstRow="1" w:lastRow="0" w:firstColumn="1" w:lastColumn="0" w:noHBand="0" w:noVBand="1"/>
      </w:tblPr>
      <w:tblGrid>
        <w:gridCol w:w="2497"/>
        <w:gridCol w:w="3257"/>
        <w:gridCol w:w="3257"/>
      </w:tblGrid>
      <w:tr w:rsidR="005C143B" w:rsidRPr="008C032D" w14:paraId="363EC6DD" w14:textId="77777777" w:rsidTr="00E07077">
        <w:trPr>
          <w:cnfStyle w:val="100000000000" w:firstRow="1" w:lastRow="0" w:firstColumn="0" w:lastColumn="0" w:oddVBand="0" w:evenVBand="0" w:oddHBand="0" w:evenHBand="0" w:firstRowFirstColumn="0" w:firstRowLastColumn="0" w:lastRowFirstColumn="0" w:lastRowLastColumn="0"/>
          <w:trHeight w:val="1141"/>
        </w:trPr>
        <w:tc>
          <w:tcPr>
            <w:cnfStyle w:val="001000000000" w:firstRow="0" w:lastRow="0" w:firstColumn="1" w:lastColumn="0" w:oddVBand="0" w:evenVBand="0" w:oddHBand="0" w:evenHBand="0" w:firstRowFirstColumn="0" w:firstRowLastColumn="0" w:lastRowFirstColumn="0" w:lastRowLastColumn="0"/>
            <w:tcW w:w="2497" w:type="dxa"/>
            <w:hideMark/>
          </w:tcPr>
          <w:p w14:paraId="630C97FE" w14:textId="501E944C" w:rsidR="005C143B" w:rsidRPr="003E75D1" w:rsidRDefault="005C143B" w:rsidP="00AF0A79">
            <w:pPr>
              <w:spacing w:after="0" w:line="240" w:lineRule="auto"/>
              <w:jc w:val="center"/>
              <w:rPr>
                <w:rFonts w:eastAsia="Times New Roman" w:cs="Arial"/>
                <w:b w:val="0"/>
                <w:bCs/>
                <w:sz w:val="20"/>
                <w:szCs w:val="20"/>
              </w:rPr>
            </w:pPr>
            <w:r w:rsidRPr="003E75D1">
              <w:rPr>
                <w:rFonts w:eastAsia="Times New Roman" w:cs="Arial"/>
                <w:bCs/>
                <w:sz w:val="20"/>
                <w:szCs w:val="20"/>
              </w:rPr>
              <w:t>Scenario*</w:t>
            </w:r>
          </w:p>
        </w:tc>
        <w:tc>
          <w:tcPr>
            <w:tcW w:w="3257" w:type="dxa"/>
            <w:hideMark/>
          </w:tcPr>
          <w:p w14:paraId="752FCF00" w14:textId="77777777" w:rsidR="005C143B" w:rsidRPr="003E75D1" w:rsidRDefault="005C143B" w:rsidP="00E070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sz w:val="20"/>
                <w:szCs w:val="20"/>
              </w:rPr>
            </w:pPr>
            <w:r w:rsidRPr="003E75D1">
              <w:rPr>
                <w:rFonts w:eastAsia="Times New Roman" w:cs="Arial"/>
                <w:bCs/>
                <w:sz w:val="20"/>
                <w:szCs w:val="20"/>
              </w:rPr>
              <w:t>Concentration (%)</w:t>
            </w:r>
          </w:p>
          <w:p w14:paraId="46252A23" w14:textId="77777777" w:rsidR="005C143B" w:rsidRPr="003E75D1" w:rsidRDefault="005C143B" w:rsidP="00E070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sz w:val="20"/>
                <w:szCs w:val="20"/>
              </w:rPr>
            </w:pPr>
            <w:r w:rsidRPr="003E75D1">
              <w:rPr>
                <w:rFonts w:eastAsia="Times New Roman" w:cs="Arial"/>
                <w:bCs/>
                <w:sz w:val="20"/>
                <w:szCs w:val="20"/>
              </w:rPr>
              <w:t>240 d/yr</w:t>
            </w:r>
          </w:p>
        </w:tc>
        <w:tc>
          <w:tcPr>
            <w:tcW w:w="3257" w:type="dxa"/>
          </w:tcPr>
          <w:p w14:paraId="1ACE535D" w14:textId="77777777" w:rsidR="005C143B" w:rsidRPr="003E75D1" w:rsidRDefault="005C143B" w:rsidP="00E070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sz w:val="20"/>
                <w:szCs w:val="20"/>
              </w:rPr>
            </w:pPr>
            <w:r w:rsidRPr="003E75D1">
              <w:rPr>
                <w:rFonts w:eastAsia="Times New Roman" w:cs="Arial"/>
                <w:bCs/>
                <w:sz w:val="20"/>
                <w:szCs w:val="20"/>
              </w:rPr>
              <w:t>Concentration (%)</w:t>
            </w:r>
          </w:p>
          <w:p w14:paraId="7860D7AC" w14:textId="77777777" w:rsidR="005C143B" w:rsidRPr="003E75D1" w:rsidRDefault="005C143B" w:rsidP="00E070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Cs/>
                <w:sz w:val="20"/>
                <w:szCs w:val="20"/>
              </w:rPr>
            </w:pPr>
            <w:r w:rsidRPr="003E75D1">
              <w:rPr>
                <w:rFonts w:eastAsia="Times New Roman" w:cs="Arial"/>
                <w:bCs/>
                <w:sz w:val="20"/>
                <w:szCs w:val="20"/>
              </w:rPr>
              <w:t>365 d/yr</w:t>
            </w:r>
          </w:p>
        </w:tc>
      </w:tr>
      <w:tr w:rsidR="003439CF" w:rsidRPr="00A504E0" w14:paraId="236CD515" w14:textId="77777777" w:rsidTr="000874CD">
        <w:trPr>
          <w:trHeight w:val="301"/>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263287"/>
            </w:tcBorders>
            <w:vAlign w:val="center"/>
          </w:tcPr>
          <w:p w14:paraId="20924BAE" w14:textId="402C15C1" w:rsidR="003439CF" w:rsidRPr="000874CD" w:rsidRDefault="003439CF" w:rsidP="003439CF">
            <w:pPr>
              <w:spacing w:after="0" w:line="240" w:lineRule="auto"/>
              <w:jc w:val="center"/>
              <w:rPr>
                <w:rFonts w:cs="Arial"/>
                <w:sz w:val="20"/>
                <w:szCs w:val="20"/>
              </w:rPr>
            </w:pPr>
            <w:r>
              <w:rPr>
                <w:rFonts w:cs="Arial"/>
                <w:sz w:val="20"/>
                <w:szCs w:val="20"/>
              </w:rPr>
              <w:t>Toddler</w:t>
            </w:r>
            <w:r w:rsidRPr="003E75D1">
              <w:rPr>
                <w:rFonts w:cs="Arial"/>
                <w:sz w:val="20"/>
                <w:szCs w:val="20"/>
              </w:rPr>
              <w:t xml:space="preserve"> Face only</w:t>
            </w:r>
          </w:p>
        </w:tc>
        <w:tc>
          <w:tcPr>
            <w:tcW w:w="0" w:type="dxa"/>
            <w:tcBorders>
              <w:bottom w:val="single" w:sz="4" w:space="0" w:color="263287"/>
            </w:tcBorders>
            <w:vAlign w:val="center"/>
          </w:tcPr>
          <w:p w14:paraId="276E07F0" w14:textId="764B6766" w:rsidR="003439CF" w:rsidRPr="000874CD" w:rsidRDefault="00FE771A" w:rsidP="003439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1.87</w:t>
            </w:r>
          </w:p>
        </w:tc>
        <w:tc>
          <w:tcPr>
            <w:tcW w:w="0" w:type="dxa"/>
            <w:tcBorders>
              <w:bottom w:val="single" w:sz="4" w:space="0" w:color="263287"/>
            </w:tcBorders>
            <w:vAlign w:val="center"/>
          </w:tcPr>
          <w:p w14:paraId="433355BC" w14:textId="45CAAF89" w:rsidR="003439CF" w:rsidRPr="003E75D1" w:rsidRDefault="00FE771A" w:rsidP="003439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1.23</w:t>
            </w:r>
          </w:p>
        </w:tc>
      </w:tr>
      <w:tr w:rsidR="003439CF" w:rsidRPr="00A504E0" w14:paraId="186E1A8D" w14:textId="77777777" w:rsidTr="000874CD">
        <w:trPr>
          <w:trHeight w:val="301"/>
        </w:trPr>
        <w:tc>
          <w:tcPr>
            <w:cnfStyle w:val="001000000000" w:firstRow="0" w:lastRow="0" w:firstColumn="1" w:lastColumn="0" w:oddVBand="0" w:evenVBand="0" w:oddHBand="0" w:evenHBand="0" w:firstRowFirstColumn="0" w:firstRowLastColumn="0" w:lastRowFirstColumn="0" w:lastRowLastColumn="0"/>
            <w:tcW w:w="0" w:type="dxa"/>
            <w:tcBorders>
              <w:bottom w:val="double" w:sz="4" w:space="0" w:color="263287"/>
            </w:tcBorders>
            <w:vAlign w:val="center"/>
          </w:tcPr>
          <w:p w14:paraId="4EC0BF04" w14:textId="617898E8" w:rsidR="003439CF" w:rsidRPr="000874CD" w:rsidDel="003439CF" w:rsidRDefault="003439CF" w:rsidP="003439CF">
            <w:pPr>
              <w:spacing w:after="0" w:line="240" w:lineRule="auto"/>
              <w:jc w:val="center"/>
              <w:rPr>
                <w:rFonts w:cs="Arial"/>
                <w:sz w:val="20"/>
                <w:szCs w:val="20"/>
              </w:rPr>
            </w:pPr>
            <w:r>
              <w:rPr>
                <w:rFonts w:cs="Arial"/>
                <w:sz w:val="20"/>
                <w:szCs w:val="20"/>
              </w:rPr>
              <w:t>Toddler</w:t>
            </w:r>
            <w:r w:rsidRPr="003E75D1">
              <w:rPr>
                <w:rFonts w:cs="Arial"/>
                <w:sz w:val="20"/>
                <w:szCs w:val="20"/>
              </w:rPr>
              <w:t xml:space="preserve"> Face + Hands</w:t>
            </w:r>
          </w:p>
        </w:tc>
        <w:tc>
          <w:tcPr>
            <w:tcW w:w="0" w:type="dxa"/>
            <w:tcBorders>
              <w:bottom w:val="double" w:sz="4" w:space="0" w:color="263287"/>
            </w:tcBorders>
            <w:vAlign w:val="center"/>
          </w:tcPr>
          <w:p w14:paraId="536CE19C" w14:textId="1C84F859" w:rsidR="003439CF" w:rsidRPr="000874CD" w:rsidDel="003439CF" w:rsidRDefault="00FE771A" w:rsidP="003439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47348">
              <w:rPr>
                <w:rFonts w:cs="Arial"/>
              </w:rPr>
              <w:t>1.04</w:t>
            </w:r>
          </w:p>
        </w:tc>
        <w:tc>
          <w:tcPr>
            <w:tcW w:w="0" w:type="dxa"/>
            <w:tcBorders>
              <w:bottom w:val="double" w:sz="4" w:space="0" w:color="263287"/>
            </w:tcBorders>
            <w:vAlign w:val="center"/>
          </w:tcPr>
          <w:p w14:paraId="1317F065" w14:textId="5FE208BE" w:rsidR="003439CF" w:rsidRPr="000874CD" w:rsidDel="003439CF" w:rsidRDefault="00FE771A" w:rsidP="003439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0.68</w:t>
            </w:r>
          </w:p>
        </w:tc>
      </w:tr>
      <w:tr w:rsidR="005C143B" w:rsidRPr="00A504E0" w14:paraId="41445429" w14:textId="77777777" w:rsidTr="00E07077">
        <w:trPr>
          <w:trHeight w:val="311"/>
        </w:trPr>
        <w:tc>
          <w:tcPr>
            <w:cnfStyle w:val="001000000000" w:firstRow="0" w:lastRow="0" w:firstColumn="1" w:lastColumn="0" w:oddVBand="0" w:evenVBand="0" w:oddHBand="0" w:evenHBand="0" w:firstRowFirstColumn="0" w:firstRowLastColumn="0" w:lastRowFirstColumn="0" w:lastRowLastColumn="0"/>
            <w:tcW w:w="2497" w:type="dxa"/>
            <w:vAlign w:val="center"/>
          </w:tcPr>
          <w:p w14:paraId="7770A7F4" w14:textId="77777777" w:rsidR="005C143B" w:rsidRPr="000874CD" w:rsidRDefault="005C143B" w:rsidP="00E07077">
            <w:pPr>
              <w:spacing w:after="0" w:line="240" w:lineRule="auto"/>
              <w:jc w:val="center"/>
              <w:rPr>
                <w:rFonts w:cs="Arial"/>
                <w:sz w:val="20"/>
                <w:szCs w:val="20"/>
              </w:rPr>
            </w:pPr>
            <w:r w:rsidRPr="003E75D1">
              <w:rPr>
                <w:rFonts w:cs="Arial"/>
                <w:sz w:val="20"/>
                <w:szCs w:val="20"/>
              </w:rPr>
              <w:t>Adult Face only</w:t>
            </w:r>
          </w:p>
        </w:tc>
        <w:tc>
          <w:tcPr>
            <w:tcW w:w="3257" w:type="dxa"/>
            <w:vAlign w:val="center"/>
          </w:tcPr>
          <w:p w14:paraId="37E82571" w14:textId="77777777" w:rsidR="005C143B" w:rsidRPr="000874CD" w:rsidRDefault="005C143B" w:rsidP="00E070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3E75D1">
              <w:rPr>
                <w:rFonts w:cs="Arial"/>
                <w:sz w:val="20"/>
                <w:szCs w:val="20"/>
              </w:rPr>
              <w:t>11.4</w:t>
            </w:r>
          </w:p>
        </w:tc>
        <w:tc>
          <w:tcPr>
            <w:tcW w:w="3257" w:type="dxa"/>
            <w:vAlign w:val="center"/>
          </w:tcPr>
          <w:p w14:paraId="5FF125CF" w14:textId="77777777" w:rsidR="005C143B" w:rsidRPr="003E75D1" w:rsidRDefault="005C143B" w:rsidP="00E070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3E75D1">
              <w:rPr>
                <w:rFonts w:cs="Arial"/>
                <w:sz w:val="20"/>
                <w:szCs w:val="20"/>
              </w:rPr>
              <w:t>7.5</w:t>
            </w:r>
          </w:p>
        </w:tc>
      </w:tr>
      <w:tr w:rsidR="005C143B" w:rsidRPr="00A504E0" w14:paraId="481BF228" w14:textId="77777777" w:rsidTr="00E07077">
        <w:trPr>
          <w:trHeight w:val="69"/>
        </w:trPr>
        <w:tc>
          <w:tcPr>
            <w:cnfStyle w:val="001000000000" w:firstRow="0" w:lastRow="0" w:firstColumn="1" w:lastColumn="0" w:oddVBand="0" w:evenVBand="0" w:oddHBand="0" w:evenHBand="0" w:firstRowFirstColumn="0" w:firstRowLastColumn="0" w:lastRowFirstColumn="0" w:lastRowLastColumn="0"/>
            <w:tcW w:w="2497" w:type="dxa"/>
            <w:vAlign w:val="center"/>
          </w:tcPr>
          <w:p w14:paraId="755D7A30" w14:textId="77777777" w:rsidR="005C143B" w:rsidRPr="000874CD" w:rsidRDefault="005C143B" w:rsidP="00E07077">
            <w:pPr>
              <w:spacing w:after="0" w:line="240" w:lineRule="auto"/>
              <w:jc w:val="center"/>
              <w:rPr>
                <w:rFonts w:cs="Arial"/>
                <w:sz w:val="20"/>
                <w:szCs w:val="20"/>
              </w:rPr>
            </w:pPr>
            <w:r w:rsidRPr="003E75D1">
              <w:rPr>
                <w:rFonts w:cs="Arial"/>
                <w:sz w:val="20"/>
                <w:szCs w:val="20"/>
              </w:rPr>
              <w:t>Adult Face + Hands</w:t>
            </w:r>
          </w:p>
        </w:tc>
        <w:tc>
          <w:tcPr>
            <w:tcW w:w="3257" w:type="dxa"/>
            <w:vAlign w:val="center"/>
          </w:tcPr>
          <w:p w14:paraId="1E2586B7" w14:textId="77777777" w:rsidR="005C143B" w:rsidRPr="000874CD" w:rsidRDefault="005C143B" w:rsidP="00E070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3E75D1">
              <w:rPr>
                <w:rFonts w:cs="Arial"/>
                <w:sz w:val="20"/>
                <w:szCs w:val="20"/>
              </w:rPr>
              <w:t>4.1</w:t>
            </w:r>
          </w:p>
        </w:tc>
        <w:tc>
          <w:tcPr>
            <w:tcW w:w="3257" w:type="dxa"/>
            <w:vAlign w:val="center"/>
          </w:tcPr>
          <w:p w14:paraId="20ADD6F3" w14:textId="77777777" w:rsidR="005C143B" w:rsidRPr="003E75D1" w:rsidRDefault="005C143B" w:rsidP="00E070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3E75D1">
              <w:rPr>
                <w:rFonts w:cs="Arial"/>
                <w:sz w:val="20"/>
                <w:szCs w:val="20"/>
              </w:rPr>
              <w:t>2.7</w:t>
            </w:r>
          </w:p>
        </w:tc>
      </w:tr>
    </w:tbl>
    <w:p w14:paraId="7325C61D" w14:textId="1184FF24" w:rsidR="005C143B" w:rsidRPr="00B5622E" w:rsidRDefault="005C143B" w:rsidP="003E75D1">
      <w:pPr>
        <w:pStyle w:val="Tabledescription"/>
      </w:pPr>
      <w:r w:rsidRPr="00F6314C">
        <w:t>*95</w:t>
      </w:r>
      <w:r w:rsidRPr="00F6314C">
        <w:rPr>
          <w:vertAlign w:val="superscript"/>
        </w:rPr>
        <w:t>th</w:t>
      </w:r>
      <w:r w:rsidRPr="00F6314C">
        <w:t xml:space="preserve"> percentile for SSA body parts and total body weight (</w:t>
      </w:r>
      <w:r w:rsidR="00A90622">
        <w:t xml:space="preserve">For Adult: </w:t>
      </w:r>
      <w:r w:rsidRPr="00F6314C">
        <w:t>average of male and female adult values combined)</w:t>
      </w:r>
      <w:r>
        <w:t>.</w:t>
      </w:r>
    </w:p>
    <w:p w14:paraId="0B2E41B9" w14:textId="77777777" w:rsidR="005C143B" w:rsidRDefault="005C143B" w:rsidP="005C143B">
      <w:pPr>
        <w:pStyle w:val="Heading4"/>
      </w:pPr>
      <w:bookmarkStart w:id="117" w:name="_Toc190944931"/>
      <w:bookmarkStart w:id="118" w:name="_Toc199254968"/>
      <w:r>
        <w:t>Recommendation</w:t>
      </w:r>
      <w:bookmarkEnd w:id="117"/>
      <w:bookmarkEnd w:id="118"/>
    </w:p>
    <w:p w14:paraId="089BFB00" w14:textId="3B455EFE" w:rsidR="005C143B" w:rsidRPr="00B40A33" w:rsidRDefault="005C143B" w:rsidP="003E75D1">
      <w:r w:rsidRPr="00B40A33">
        <w:t xml:space="preserve">A MoS less than 100 was calculated using the ASEM. As a result, </w:t>
      </w:r>
      <w:proofErr w:type="spellStart"/>
      <w:r w:rsidRPr="00B40A33">
        <w:t>homosalate</w:t>
      </w:r>
      <w:proofErr w:type="spellEnd"/>
      <w:r w:rsidRPr="00B40A33">
        <w:t xml:space="preserve"> is not deemed to present a low</w:t>
      </w:r>
      <w:r>
        <w:t xml:space="preserve"> </w:t>
      </w:r>
      <w:r w:rsidRPr="00B40A33">
        <w:t>risk to human health and safety when used at the highest maximum permitted concentration of 15% in therapeutic sunscreens.</w:t>
      </w:r>
    </w:p>
    <w:p w14:paraId="62F8E998" w14:textId="0BBD01CD" w:rsidR="005C143B" w:rsidRDefault="005C143B" w:rsidP="003E75D1">
      <w:r w:rsidRPr="00B40A33">
        <w:t xml:space="preserve">To mitigate the risk from chronic exposure to </w:t>
      </w:r>
      <w:proofErr w:type="spellStart"/>
      <w:r w:rsidRPr="00B40A33">
        <w:t>homosalate</w:t>
      </w:r>
      <w:proofErr w:type="spellEnd"/>
      <w:r w:rsidRPr="00B40A33">
        <w:t xml:space="preserve"> in therapeutic sunscreens, it is recommended that </w:t>
      </w:r>
      <w:proofErr w:type="spellStart"/>
      <w:r w:rsidRPr="00B40A33">
        <w:t>homosalate</w:t>
      </w:r>
      <w:proofErr w:type="spellEnd"/>
      <w:r w:rsidRPr="00B40A33">
        <w:t xml:space="preserve"> is listed in the Poisons Standard. To manage the potential risks associated with </w:t>
      </w:r>
      <w:proofErr w:type="spellStart"/>
      <w:r w:rsidRPr="00B40A33">
        <w:t>homosalate</w:t>
      </w:r>
      <w:proofErr w:type="spellEnd"/>
      <w:r w:rsidRPr="00B40A33">
        <w:t xml:space="preserve"> it is recommended that the entry restrict the use of </w:t>
      </w:r>
      <w:proofErr w:type="spellStart"/>
      <w:r w:rsidRPr="00B40A33">
        <w:t>homosalate</w:t>
      </w:r>
      <w:proofErr w:type="spellEnd"/>
      <w:r w:rsidRPr="00B40A33">
        <w:t xml:space="preserve"> in therapeutic sunscreens, </w:t>
      </w:r>
      <w:proofErr w:type="gramStart"/>
      <w:r w:rsidRPr="00B40A33">
        <w:t>giving consideration to</w:t>
      </w:r>
      <w:proofErr w:type="gramEnd"/>
      <w:r w:rsidRPr="00B40A33">
        <w:t xml:space="preserve"> the following:</w:t>
      </w:r>
    </w:p>
    <w:p w14:paraId="3744AAA1" w14:textId="2FD15FBB" w:rsidR="002F3DB1" w:rsidRPr="00B40A33" w:rsidRDefault="002F3DB1" w:rsidP="003E75D1">
      <w:r>
        <w:t>OPTION 1</w:t>
      </w:r>
    </w:p>
    <w:p w14:paraId="1069FA59" w14:textId="265B856F" w:rsidR="002F3DB1" w:rsidRDefault="004F6EA0" w:rsidP="00C47348">
      <w:pPr>
        <w:pStyle w:val="ListParagraph"/>
      </w:pPr>
      <w:proofErr w:type="spellStart"/>
      <w:r>
        <w:t>H</w:t>
      </w:r>
      <w:r w:rsidRPr="003E75D1">
        <w:t>omosalate</w:t>
      </w:r>
      <w:proofErr w:type="spellEnd"/>
      <w:r w:rsidRPr="003E75D1">
        <w:t xml:space="preserve"> can be deemed low-risk and appropriate for use in </w:t>
      </w:r>
      <w:r>
        <w:t xml:space="preserve">general </w:t>
      </w:r>
      <w:r w:rsidRPr="003E75D1">
        <w:t>therapeutic sunscreens for daily use</w:t>
      </w:r>
      <w:r w:rsidR="00991FE3">
        <w:t xml:space="preserve"> </w:t>
      </w:r>
      <w:r w:rsidR="00D77F25">
        <w:t>at a concentration up to 0.28%.</w:t>
      </w:r>
    </w:p>
    <w:p w14:paraId="201BA53D" w14:textId="77777777" w:rsidR="00D77F25" w:rsidRDefault="00D77F25" w:rsidP="00D77F25"/>
    <w:p w14:paraId="52545F72" w14:textId="264AD6B5" w:rsidR="00D77F25" w:rsidRDefault="00D77F25" w:rsidP="000874CD">
      <w:r>
        <w:t>OPTION 2</w:t>
      </w:r>
    </w:p>
    <w:p w14:paraId="022647B6" w14:textId="6A94941D" w:rsidR="005C143B" w:rsidRDefault="00765FFB" w:rsidP="00C47348">
      <w:pPr>
        <w:pStyle w:val="ListParagraph"/>
      </w:pPr>
      <w:r>
        <w:t>Specific use</w:t>
      </w:r>
      <w:r w:rsidR="005C143B" w:rsidRPr="003E75D1">
        <w:t xml:space="preserve"> sunscreens are likely to be used differently by consumers, such as daily application year-round, compared with the use pattern for general sunscreens which are applied to larger parts of the body. Calculations for 240 days/year (based on ASEM scenario 1 for indoor workers) and 365 days/year exposure assumptions have been provided above.</w:t>
      </w:r>
    </w:p>
    <w:p w14:paraId="6E4AB3A9" w14:textId="25BBC502" w:rsidR="002F3410" w:rsidRPr="003E75D1" w:rsidRDefault="004E2FB1" w:rsidP="000874CD">
      <w:pPr>
        <w:ind w:left="357"/>
      </w:pPr>
      <w:r>
        <w:rPr>
          <w:noProof/>
        </w:rPr>
        <mc:AlternateContent>
          <mc:Choice Requires="wps">
            <w:drawing>
              <wp:anchor distT="0" distB="0" distL="114300" distR="114300" simplePos="0" relativeHeight="251661312" behindDoc="0" locked="0" layoutInCell="1" allowOverlap="1" wp14:anchorId="6145DC34" wp14:editId="12EA2773">
                <wp:simplePos x="0" y="0"/>
                <wp:positionH relativeFrom="column">
                  <wp:posOffset>-171450</wp:posOffset>
                </wp:positionH>
                <wp:positionV relativeFrom="paragraph">
                  <wp:posOffset>116841</wp:posOffset>
                </wp:positionV>
                <wp:extent cx="5995035" cy="2743200"/>
                <wp:effectExtent l="0" t="0" r="24765" b="19050"/>
                <wp:wrapNone/>
                <wp:docPr id="419679938" name="Rectangle: Rounded Corners 4"/>
                <wp:cNvGraphicFramePr/>
                <a:graphic xmlns:a="http://schemas.openxmlformats.org/drawingml/2006/main">
                  <a:graphicData uri="http://schemas.microsoft.com/office/word/2010/wordprocessingShape">
                    <wps:wsp>
                      <wps:cNvSpPr/>
                      <wps:spPr>
                        <a:xfrm>
                          <a:off x="0" y="0"/>
                          <a:ext cx="5995035" cy="2743200"/>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1F44AA" id="Rectangle: Rounded Corners 4" o:spid="_x0000_s1026" style="position:absolute;margin-left:-13.5pt;margin-top:9.2pt;width:472.05pt;height:3in;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LSHiAIAAG8FAAAOAAAAZHJzL2Uyb0RvYy54bWysVEtv2zAMvg/YfxB0X+2kybYEdYqgRYYB&#10;RVu0HXpWZCk2IIsapbz260fJjwRdscOwHBTJJD+SHx9X14fGsJ1CX4Mt+Ogi50xZCWVtNwX/8bL6&#10;9JUzH4QthQGrCn5Unl8vPn642ru5GkMFplTICMT6+d4VvArBzbPMy0o1wl+AU5aEGrARgZ64yUoU&#10;e0JvTDbO88/ZHrB0CFJ5T19vWyFfJHytlQwPWnsVmCk4xRbSielcxzNbXIn5BoWratmFIf4hikbU&#10;lpwOULciCLbF+g+oppYIHnS4kNBkoHUtVcqBshnlb7J5roRTKRcix7uBJv//YOX97tk9ItGwd37u&#10;6RqzOGhs4j/Fxw6JrONAljoEJunjdDab5pdTziTJxl8ml1SOSGd2MnfowzcFDYuXgiNsbflEJUlM&#10;id2dD61+rxddWljVxqSyGMv21FOzfJonCw+mLqM06nncrG8Msp2gyq5WOf0672dqFIuxFNIpt3QL&#10;R6MihrFPSrO6pGzGrYfYdmqAFVIqG0atqBKlar2NpmfOeouUeAKMyJqiHLA7gF6zBemxWwY6/Wiq&#10;UtcOxl3qfzMeLJJnsGEwbmoL+F5mhrLqPLf6PUktNZGlNZTHR2QI7cx4J1c1lfFO+PAokIaExokG&#10;PzzQoQ1QpaC7cVYB/nrve9Sn3iUpZ3sauoL7n1uBijPz3VJXz0aTSZzS9JhMv4zpgeeS9bnEbpsb&#10;oOqPaMU4ma5RP5j+qhGaV9oPy+iVRMJK8l1wGbB/3IR2GdCGkWq5TGo0mU6EO/vsZASPrMYOfTm8&#10;CnRdLwcag3voB1TM33RzqxstLSy3AXSdWv3Ea8c3TXVqnG4DxbVx/k5apz25+A0AAP//AwBQSwME&#10;FAAGAAgAAAAhAPzvwFXdAAAACgEAAA8AAABkcnMvZG93bnJldi54bWxMj8FugzAQRO+V+g/WVuot&#10;MSBSAsFEUSTOVWk+wMELJsU2wU5C/77bU3sczWjmTblfzMjuOPvBWQHxOgKGtnVqsL2A02e92gLz&#10;QVolR2dRwDd62FfPT6UslHvYD7w3oWdUYn0hBegQpoJz32o00q/dhJa8zs1GBpJzz9UsH1RuRp5E&#10;0Rs3crC0oOWER43tV3MzAuruvc50Li9L0zVJfjhe53ZzFeL1ZTnsgAVcwl8YfvEJHSpiOrubVZ6N&#10;AlZJRl8CGdsUGAXyOIuBnQWkmygFXpX8/4XqBwAA//8DAFBLAQItABQABgAIAAAAIQC2gziS/gAA&#10;AOEBAAATAAAAAAAAAAAAAAAAAAAAAABbQ29udGVudF9UeXBlc10ueG1sUEsBAi0AFAAGAAgAAAAh&#10;ADj9If/WAAAAlAEAAAsAAAAAAAAAAAAAAAAALwEAAF9yZWxzLy5yZWxzUEsBAi0AFAAGAAgAAAAh&#10;ALkMtIeIAgAAbwUAAA4AAAAAAAAAAAAAAAAALgIAAGRycy9lMm9Eb2MueG1sUEsBAi0AFAAGAAgA&#10;AAAhAPzvwFXdAAAACgEAAA8AAAAAAAAAAAAAAAAA4gQAAGRycy9kb3ducmV2LnhtbFBLBQYAAAAA&#10;BAAEAPMAAADsBQAAAAA=&#10;" filled="f" strokecolor="red" strokeweight="1.5pt">
                <v:stroke joinstyle="miter"/>
              </v:roundrect>
            </w:pict>
          </mc:Fallback>
        </mc:AlternateContent>
      </w:r>
    </w:p>
    <w:p w14:paraId="1199BC47" w14:textId="61030668" w:rsidR="005C143B" w:rsidRPr="003E75D1" w:rsidRDefault="0009777A" w:rsidP="00C47348">
      <w:pPr>
        <w:pStyle w:val="ListParagraph"/>
      </w:pPr>
      <w:bookmarkStart w:id="119" w:name="_Hlk178085566"/>
      <w:proofErr w:type="spellStart"/>
      <w:r>
        <w:t>H</w:t>
      </w:r>
      <w:r w:rsidR="005C143B" w:rsidRPr="003E75D1">
        <w:t>omosalate</w:t>
      </w:r>
      <w:proofErr w:type="spellEnd"/>
      <w:r w:rsidR="005C143B" w:rsidRPr="003E75D1">
        <w:t xml:space="preserve"> can be deemed low-risk and appropriate for use in </w:t>
      </w:r>
      <w:r w:rsidR="001E64B3">
        <w:t xml:space="preserve">specific </w:t>
      </w:r>
      <w:r w:rsidR="005C143B" w:rsidRPr="003E75D1">
        <w:t>therapeutic sunscreens for daily use when:</w:t>
      </w:r>
    </w:p>
    <w:p w14:paraId="51D8BB3F" w14:textId="0686B24E" w:rsidR="005C143B" w:rsidRPr="00BA4549" w:rsidRDefault="005C143B" w:rsidP="003E75D1">
      <w:pPr>
        <w:pStyle w:val="ListBullet2"/>
        <w:rPr>
          <w:color w:val="auto"/>
        </w:rPr>
      </w:pPr>
      <w:r w:rsidRPr="00BA4549">
        <w:rPr>
          <w:color w:val="auto"/>
        </w:rPr>
        <w:t xml:space="preserve">Used by adults </w:t>
      </w:r>
      <w:proofErr w:type="gramStart"/>
      <w:r w:rsidRPr="00BA4549">
        <w:rPr>
          <w:color w:val="auto"/>
        </w:rPr>
        <w:t>only</w:t>
      </w:r>
      <w:r w:rsidR="008E558D">
        <w:rPr>
          <w:color w:val="auto"/>
        </w:rPr>
        <w:t>;</w:t>
      </w:r>
      <w:proofErr w:type="gramEnd"/>
    </w:p>
    <w:p w14:paraId="02944D5C" w14:textId="0B541C0B" w:rsidR="005C143B" w:rsidRPr="00BA4549" w:rsidRDefault="005C143B" w:rsidP="003E75D1">
      <w:pPr>
        <w:pStyle w:val="ListBullet2"/>
        <w:rPr>
          <w:color w:val="auto"/>
        </w:rPr>
      </w:pPr>
      <w:r w:rsidRPr="00BA4549">
        <w:rPr>
          <w:color w:val="auto"/>
        </w:rPr>
        <w:t xml:space="preserve">Limited to </w:t>
      </w:r>
      <w:r w:rsidR="0009777A">
        <w:rPr>
          <w:color w:val="auto"/>
        </w:rPr>
        <w:t>face</w:t>
      </w:r>
      <w:r w:rsidRPr="00BA4549">
        <w:rPr>
          <w:color w:val="auto"/>
        </w:rPr>
        <w:t xml:space="preserve">-only or </w:t>
      </w:r>
      <w:r w:rsidR="0009777A">
        <w:rPr>
          <w:color w:val="auto"/>
        </w:rPr>
        <w:t>face</w:t>
      </w:r>
      <w:r w:rsidRPr="00BA4549">
        <w:rPr>
          <w:color w:val="auto"/>
        </w:rPr>
        <w:t xml:space="preserve"> and hand application, not to the whole body</w:t>
      </w:r>
      <w:r w:rsidR="008E558D">
        <w:rPr>
          <w:color w:val="auto"/>
        </w:rPr>
        <w:t>; and</w:t>
      </w:r>
    </w:p>
    <w:p w14:paraId="0E68845D" w14:textId="34C479DC" w:rsidR="005C143B" w:rsidRDefault="005C143B" w:rsidP="003E75D1">
      <w:pPr>
        <w:pStyle w:val="ListBullet2"/>
        <w:rPr>
          <w:color w:val="auto"/>
        </w:rPr>
      </w:pPr>
      <w:r w:rsidRPr="00BA4549">
        <w:rPr>
          <w:color w:val="auto"/>
        </w:rPr>
        <w:t xml:space="preserve">At a reduced maximum concentration (between </w:t>
      </w:r>
      <w:r w:rsidR="008E558D">
        <w:rPr>
          <w:color w:val="auto"/>
        </w:rPr>
        <w:t xml:space="preserve">2.7% and </w:t>
      </w:r>
      <w:r w:rsidRPr="00BA4549">
        <w:rPr>
          <w:color w:val="auto"/>
        </w:rPr>
        <w:t>11.4% of the product), depending on the types of products that are currently marketed and their directions for use.</w:t>
      </w:r>
    </w:p>
    <w:p w14:paraId="7EA7A07D" w14:textId="177E1F1B" w:rsidR="002F3410" w:rsidRPr="000874CD" w:rsidRDefault="002F3410" w:rsidP="000874CD">
      <w:pPr>
        <w:pStyle w:val="ListBullet2"/>
        <w:numPr>
          <w:ilvl w:val="0"/>
          <w:numId w:val="0"/>
        </w:numPr>
        <w:ind w:left="720"/>
        <w:jc w:val="center"/>
        <w:rPr>
          <w:b/>
          <w:bCs/>
          <w:color w:val="auto"/>
        </w:rPr>
      </w:pPr>
      <w:r w:rsidRPr="000874CD">
        <w:rPr>
          <w:b/>
          <w:bCs/>
          <w:color w:val="auto"/>
        </w:rPr>
        <w:t>OR</w:t>
      </w:r>
    </w:p>
    <w:p w14:paraId="5CA78213" w14:textId="0BE932FE" w:rsidR="002F3410" w:rsidRPr="003E75D1" w:rsidRDefault="00681713" w:rsidP="00C47348">
      <w:pPr>
        <w:pStyle w:val="ListParagraph"/>
      </w:pPr>
      <w:proofErr w:type="spellStart"/>
      <w:r>
        <w:t>H</w:t>
      </w:r>
      <w:r w:rsidR="002F3410" w:rsidRPr="003E75D1">
        <w:t>omosalate</w:t>
      </w:r>
      <w:proofErr w:type="spellEnd"/>
      <w:r w:rsidR="002F3410" w:rsidRPr="003E75D1">
        <w:t xml:space="preserve"> can be deemed low-risk and appropriate for use in </w:t>
      </w:r>
      <w:r w:rsidR="001E64B3">
        <w:t xml:space="preserve">general </w:t>
      </w:r>
      <w:r w:rsidR="002F3410" w:rsidRPr="003E75D1">
        <w:t>therapeutic sunscreens for daily use</w:t>
      </w:r>
      <w:r w:rsidR="002F3410">
        <w:t xml:space="preserve"> </w:t>
      </w:r>
      <w:r w:rsidR="00C47348">
        <w:t xml:space="preserve">by the whole family </w:t>
      </w:r>
      <w:r w:rsidR="002F3410" w:rsidRPr="003E75D1">
        <w:t>when:</w:t>
      </w:r>
    </w:p>
    <w:p w14:paraId="2FA7E597" w14:textId="06BC4F09" w:rsidR="002F3410" w:rsidRPr="00BA4549" w:rsidRDefault="002F3410" w:rsidP="002F3410">
      <w:pPr>
        <w:pStyle w:val="ListBullet2"/>
        <w:rPr>
          <w:color w:val="auto"/>
        </w:rPr>
      </w:pPr>
      <w:r w:rsidRPr="00BA4549">
        <w:rPr>
          <w:color w:val="auto"/>
        </w:rPr>
        <w:t xml:space="preserve">Limited to </w:t>
      </w:r>
      <w:r w:rsidR="0009777A">
        <w:rPr>
          <w:color w:val="auto"/>
        </w:rPr>
        <w:t>face</w:t>
      </w:r>
      <w:r w:rsidRPr="00BA4549">
        <w:rPr>
          <w:color w:val="auto"/>
        </w:rPr>
        <w:t xml:space="preserve">-only or </w:t>
      </w:r>
      <w:r w:rsidR="0009777A">
        <w:rPr>
          <w:color w:val="auto"/>
        </w:rPr>
        <w:t>face</w:t>
      </w:r>
      <w:r w:rsidRPr="00BA4549">
        <w:rPr>
          <w:color w:val="auto"/>
        </w:rPr>
        <w:t xml:space="preserve"> and hand application, not to the whole body</w:t>
      </w:r>
      <w:r w:rsidR="008E558D">
        <w:rPr>
          <w:color w:val="auto"/>
        </w:rPr>
        <w:t>; and</w:t>
      </w:r>
    </w:p>
    <w:p w14:paraId="2C8B5F97" w14:textId="0130B350" w:rsidR="002F3410" w:rsidRPr="002F3410" w:rsidRDefault="002F3410" w:rsidP="002F3410">
      <w:pPr>
        <w:pStyle w:val="ListBullet2"/>
        <w:rPr>
          <w:color w:val="auto"/>
        </w:rPr>
      </w:pPr>
      <w:r w:rsidRPr="00BA4549">
        <w:rPr>
          <w:color w:val="auto"/>
        </w:rPr>
        <w:t xml:space="preserve">At a reduced maximum concentration (between </w:t>
      </w:r>
      <w:r w:rsidR="003C4CB8">
        <w:rPr>
          <w:color w:val="auto"/>
        </w:rPr>
        <w:t>0.6</w:t>
      </w:r>
      <w:r w:rsidR="00765FFB">
        <w:rPr>
          <w:color w:val="auto"/>
        </w:rPr>
        <w:t>8</w:t>
      </w:r>
      <w:r w:rsidRPr="00BA4549">
        <w:rPr>
          <w:color w:val="auto"/>
        </w:rPr>
        <w:t xml:space="preserve">% and </w:t>
      </w:r>
      <w:r w:rsidR="003C4CB8">
        <w:rPr>
          <w:color w:val="auto"/>
        </w:rPr>
        <w:t>1.87</w:t>
      </w:r>
      <w:r w:rsidRPr="00BA4549">
        <w:rPr>
          <w:color w:val="auto"/>
        </w:rPr>
        <w:t>% of the product), depending on the types of products that are currently marketed and their directions for use.</w:t>
      </w:r>
    </w:p>
    <w:bookmarkEnd w:id="119"/>
    <w:p w14:paraId="5A09DD74" w14:textId="0B8372FE" w:rsidR="00681713" w:rsidRDefault="005C143B" w:rsidP="00B231EF">
      <w:proofErr w:type="spellStart"/>
      <w:r w:rsidRPr="003E75D1">
        <w:lastRenderedPageBreak/>
        <w:t>Homosalate</w:t>
      </w:r>
      <w:proofErr w:type="spellEnd"/>
      <w:r w:rsidRPr="003E75D1">
        <w:t xml:space="preserve"> can be a common ingredient in other products such as cosmetic sunscreens. Consideration should be given to potential exposure of </w:t>
      </w:r>
      <w:proofErr w:type="spellStart"/>
      <w:r w:rsidRPr="003E75D1">
        <w:t>homosalate</w:t>
      </w:r>
      <w:proofErr w:type="spellEnd"/>
      <w:r w:rsidRPr="003E75D1">
        <w:t xml:space="preserve"> from other sources.</w:t>
      </w:r>
      <w:r w:rsidR="00B231EF">
        <w:t xml:space="preserve"> </w:t>
      </w:r>
      <w:r w:rsidRPr="003E75D1">
        <w:t>Use of specific warning statements or directions for use, and/or product packaging limitations to ensure appropriate use.</w:t>
      </w:r>
    </w:p>
    <w:p w14:paraId="58AFFDE3" w14:textId="0E7C8513" w:rsidR="001974CD" w:rsidRDefault="005C143B" w:rsidP="00B231EF">
      <w:r>
        <w:t>It is important to note that t</w:t>
      </w:r>
      <w:r w:rsidRPr="00B40A33">
        <w:t xml:space="preserve">herapeutic sunscreens listed on the ARTG contain different concentrations of </w:t>
      </w:r>
      <w:proofErr w:type="spellStart"/>
      <w:r w:rsidRPr="00B40A33">
        <w:t>homosalate</w:t>
      </w:r>
      <w:proofErr w:type="spellEnd"/>
      <w:r w:rsidRPr="00B40A33">
        <w:t>, ranging from as low as 3% with claimed SPF rating of 50+.</w:t>
      </w:r>
    </w:p>
    <w:p w14:paraId="45DD6A99" w14:textId="77777777" w:rsidR="001974CD" w:rsidRDefault="001974CD" w:rsidP="001974CD">
      <w:pPr>
        <w:pStyle w:val="Heading3"/>
      </w:pPr>
      <w:bookmarkStart w:id="120" w:name="_Toc190944932"/>
      <w:bookmarkStart w:id="121" w:name="_Toc199254969"/>
      <w:r>
        <w:t>Octocrylene safety assessment</w:t>
      </w:r>
      <w:bookmarkEnd w:id="120"/>
      <w:bookmarkEnd w:id="121"/>
    </w:p>
    <w:p w14:paraId="5A4F4752" w14:textId="4C9CC45A" w:rsidR="001974CD" w:rsidRPr="0074486E" w:rsidRDefault="001974CD" w:rsidP="0092658F">
      <w:r w:rsidRPr="0074486E">
        <w:t xml:space="preserve">This </w:t>
      </w:r>
      <w:r>
        <w:t>assessment</w:t>
      </w:r>
      <w:r w:rsidRPr="0074486E">
        <w:t xml:space="preserve"> </w:t>
      </w:r>
      <w:r>
        <w:t xml:space="preserve">is based on the </w:t>
      </w:r>
      <w:r w:rsidRPr="0074486E">
        <w:t xml:space="preserve">safety data </w:t>
      </w:r>
      <w:r>
        <w:t xml:space="preserve">on octocrylene </w:t>
      </w:r>
      <w:r w:rsidRPr="0074486E">
        <w:t>from the ECHA website</w:t>
      </w:r>
      <w:r>
        <w:t xml:space="preserve"> </w:t>
      </w:r>
      <w:r w:rsidRPr="0074486E">
        <w:t xml:space="preserve">(ECHA, 2020), as well as those reported in the SCCS opinions (SCCS, 2021a) and scientific articles from peer-reviewed journals. In a recently published SCCS opinion on the safety of octocrylene (SCCS, 2021a), the SCCS considered that octocrylene was safe at concentrations of up to 10% when used individually or together as a UV-filter in cosmetic products, i.e. in sunscreen cream/lotion, sunscreen pump spray, face cream, hand cream and lipstick (SCCS, 2021a).  However, a lower concentration of octocrylene (9%) </w:t>
      </w:r>
      <w:r>
        <w:t>wa</w:t>
      </w:r>
      <w:r w:rsidRPr="0074486E">
        <w:t>s considered safe in sunscreen propellant spray when the sunscreen propellent spray is used along with face cream, hand cream, and lipstick (containing 10% octocrylene).</w:t>
      </w:r>
    </w:p>
    <w:p w14:paraId="2E700987" w14:textId="7DD2E955" w:rsidR="001974CD" w:rsidRPr="0074486E" w:rsidRDefault="001974CD" w:rsidP="0092658F">
      <w:r w:rsidRPr="0074486E">
        <w:t>Extensive studies were available investigating octocrylene pharmacokinetics, and these have been summarised in</w:t>
      </w:r>
      <w:r>
        <w:t xml:space="preserve"> the preceding section.</w:t>
      </w:r>
    </w:p>
    <w:p w14:paraId="1B2A59BC" w14:textId="1F4E6023" w:rsidR="001974CD" w:rsidRPr="0074486E" w:rsidRDefault="001974CD" w:rsidP="0092658F">
      <w:bookmarkStart w:id="122" w:name="_Hlk157437252"/>
      <w:r w:rsidRPr="0074486E">
        <w:t>Octocrylene</w:t>
      </w:r>
      <w:bookmarkEnd w:id="122"/>
      <w:r w:rsidRPr="0074486E">
        <w:t xml:space="preserve"> is a lipophilic substance, and it is reported to be metabolised to a variety of metabolites where CDAA is the main metabolite. Information was lacking on whether the most significant toxic agent was octocrylene or its metabolites. Considering the relatively long half-life of both octocrylene and CDAA in plasma and the low elimination rate of CDAA in urine, an accumulation of octocrylene and CDAA in the human body following repeated dermal applications would be expected.</w:t>
      </w:r>
    </w:p>
    <w:p w14:paraId="42C14508" w14:textId="1CCAD4BE" w:rsidR="001974CD" w:rsidRPr="0074486E" w:rsidRDefault="001974CD" w:rsidP="0092658F">
      <w:pPr>
        <w:rPr>
          <w:lang w:eastAsia="en-AU"/>
        </w:rPr>
      </w:pPr>
      <w:r w:rsidRPr="0074486E">
        <w:rPr>
          <w:lang w:eastAsia="en-AU"/>
        </w:rPr>
        <w:t xml:space="preserve">The higher maximum observed concentration of CDAA (1351.7 ng/mL) </w:t>
      </w:r>
      <w:r w:rsidRPr="0074486E">
        <w:rPr>
          <w:i/>
          <w:iCs/>
          <w:lang w:eastAsia="en-AU"/>
        </w:rPr>
        <w:t>vs</w:t>
      </w:r>
      <w:r w:rsidRPr="0074486E">
        <w:rPr>
          <w:lang w:eastAsia="en-AU"/>
        </w:rPr>
        <w:t xml:space="preserve"> octocrylene (25.0 ng/mL) also suggested that measuring only unmetabolized octocrylene might underestimate total systemic absorption and thereby influencing the safety assessment of octocrylene. In addition, it was noted that higher absolute concentrations of octocrylene were observed from exposure to “real-life” conditions compared to “indoor maximal use conditions”, indicating peak plasma concentrations may be even higher in real-world usage conditions.</w:t>
      </w:r>
    </w:p>
    <w:p w14:paraId="0B82258B" w14:textId="2C502F14" w:rsidR="001974CD" w:rsidRPr="0074486E" w:rsidRDefault="001974CD" w:rsidP="0092658F">
      <w:r>
        <w:t>Systemic absorption of octocrylene was demonstrated in r</w:t>
      </w:r>
      <w:r w:rsidRPr="0074486E">
        <w:t>ecent randomised clinical trials following dermal application. The plasma concentration of octocrylene from sunscreens exceeded 0.5 ng/mL on single application</w:t>
      </w:r>
      <w:r>
        <w:t xml:space="preserve"> (</w:t>
      </w:r>
      <w:r w:rsidRPr="0074486E">
        <w:t>until 23 hours after application</w:t>
      </w:r>
      <w:r>
        <w:t>) whereas t</w:t>
      </w:r>
      <w:r w:rsidRPr="0074486E">
        <w:t>he systemic exposure to octocrylene remained above the threshold of 0.5 ng/mL in plasma in more than 50% of participants for up to 10 days. The continued presence of octocrylene in skin at days 10</w:t>
      </w:r>
      <w:r>
        <w:t xml:space="preserve"> and </w:t>
      </w:r>
      <w:r w:rsidRPr="0074486E">
        <w:t xml:space="preserve">its long terminal half-life </w:t>
      </w:r>
      <w:r>
        <w:t>suggested</w:t>
      </w:r>
      <w:r w:rsidRPr="0074486E">
        <w:t xml:space="preserve"> absorption through skin was the rate-limiting step. Intravenous studies with octocrylene would be required to determine elimination rate constants</w:t>
      </w:r>
      <w:r>
        <w:t xml:space="preserve"> to the parent</w:t>
      </w:r>
      <w:r w:rsidRPr="0074486E">
        <w:t>.</w:t>
      </w:r>
    </w:p>
    <w:p w14:paraId="1AE6EC9C" w14:textId="1B2AD2A2" w:rsidR="001974CD" w:rsidRPr="0074486E" w:rsidRDefault="001974CD" w:rsidP="0092658F">
      <w:r w:rsidRPr="0074486E">
        <w:t xml:space="preserve">The SCCS determined that the SEDs for dermal exposures to octocrylene from sunscreen cream/lotion were 0.566 mg/kg </w:t>
      </w:r>
      <w:proofErr w:type="spellStart"/>
      <w:r w:rsidRPr="0074486E">
        <w:t>bw</w:t>
      </w:r>
      <w:proofErr w:type="spellEnd"/>
      <w:r w:rsidRPr="0074486E">
        <w:t>/day</w:t>
      </w:r>
      <w:r>
        <w:t xml:space="preserve"> (SCCS, 2021d)</w:t>
      </w:r>
      <w:r w:rsidRPr="0074486E">
        <w:t xml:space="preserve">. SEDs for inhalation exposures to sunscreen sprays were 0.176 and 0.002 mg/kg </w:t>
      </w:r>
      <w:proofErr w:type="spellStart"/>
      <w:r w:rsidRPr="0074486E">
        <w:t>bw</w:t>
      </w:r>
      <w:proofErr w:type="spellEnd"/>
      <w:r w:rsidRPr="0074486E">
        <w:t>/day for propellant and pump spray, respectively (</w:t>
      </w:r>
      <w:r>
        <w:t>SCCS, 2021d</w:t>
      </w:r>
      <w:r w:rsidRPr="0074486E">
        <w:t>).</w:t>
      </w:r>
    </w:p>
    <w:p w14:paraId="280FEF78" w14:textId="54DF4573" w:rsidR="001974CD" w:rsidRPr="0074486E" w:rsidRDefault="001974CD" w:rsidP="0092658F">
      <w:r>
        <w:t>As tabulated in the preceding section, o</w:t>
      </w:r>
      <w:r w:rsidRPr="0074486E">
        <w:t xml:space="preserve">ctocrylene </w:t>
      </w:r>
      <w:r>
        <w:t xml:space="preserve">was found to be </w:t>
      </w:r>
      <w:r w:rsidRPr="0074486E">
        <w:t>of low acute toxicity. Octocrylene was not an eye or skin irritant</w:t>
      </w:r>
      <w:r>
        <w:t xml:space="preserve"> based on available data</w:t>
      </w:r>
      <w:r w:rsidRPr="0074486E">
        <w:t xml:space="preserve">. </w:t>
      </w:r>
      <w:r>
        <w:t xml:space="preserve">It was found to not sensitising </w:t>
      </w:r>
      <w:r w:rsidRPr="002B0892">
        <w:t xml:space="preserve">in a </w:t>
      </w:r>
      <w:r w:rsidRPr="00AB353D">
        <w:t>Guinea Pig Maximization Test (GPMT).</w:t>
      </w:r>
      <w:r w:rsidRPr="002B0892">
        <w:t xml:space="preserve"> O</w:t>
      </w:r>
      <w:r w:rsidRPr="00AE3E4E">
        <w:t>ctocrylene was found to be a moderate skin sensitise</w:t>
      </w:r>
      <w:r w:rsidRPr="0074486E">
        <w:t xml:space="preserve">r and a skin photosensitiser [local lymph </w:t>
      </w:r>
      <w:proofErr w:type="spellStart"/>
      <w:r w:rsidRPr="0074486E">
        <w:t>nose</w:t>
      </w:r>
      <w:proofErr w:type="spellEnd"/>
      <w:r w:rsidRPr="0074486E">
        <w:t xml:space="preserve"> assay (LLNA) with 1- 30% octocrylene, EC3: 7.7%</w:t>
      </w:r>
      <w:r w:rsidRPr="0074486E">
        <w:rPr>
          <w:b/>
        </w:rPr>
        <w:t xml:space="preserve"> </w:t>
      </w:r>
      <w:r w:rsidRPr="0074486E">
        <w:t>and human patch studies with 10% octocrylene]. However, the LLNA study was not considered properly conducted</w:t>
      </w:r>
      <w:r>
        <w:t>.</w:t>
      </w:r>
      <w:r w:rsidRPr="0074486E">
        <w:t xml:space="preserve"> </w:t>
      </w:r>
      <w:r>
        <w:t>None the less</w:t>
      </w:r>
      <w:r w:rsidRPr="0074486E">
        <w:t xml:space="preserve">, octocrylene was considered a skin sensitiser at 10%. </w:t>
      </w:r>
      <w:r>
        <w:t>T</w:t>
      </w:r>
      <w:r w:rsidRPr="0074486E">
        <w:t xml:space="preserve">he occurrence of photoallergy to octocrylene was suspected to be related to a previous photoallergy to topical ketoprofen. Photoallergic contact dermatitis to octocrylene has been found to be much more frequent in adults than in children whereas contact allergy cases to octocrylene have been reported more in children compared to adults. This is likely due to the immaturity of the skin epidermal barrier and the </w:t>
      </w:r>
      <w:r w:rsidRPr="0074486E">
        <w:lastRenderedPageBreak/>
        <w:t>prevalence of atopic dermatitis in young children as the study authors suggested (</w:t>
      </w:r>
      <w:proofErr w:type="spellStart"/>
      <w:r w:rsidRPr="0074486E">
        <w:t>Gilaberte</w:t>
      </w:r>
      <w:proofErr w:type="spellEnd"/>
      <w:r w:rsidRPr="0074486E">
        <w:t xml:space="preserve"> &amp; Carrascosa, 2014).</w:t>
      </w:r>
    </w:p>
    <w:p w14:paraId="06629D6C" w14:textId="14783A40" w:rsidR="001974CD" w:rsidRPr="00EC5E95" w:rsidRDefault="001974CD" w:rsidP="0092658F">
      <w:r w:rsidRPr="00EC5E95">
        <w:t xml:space="preserve">No systemic effects were reported in rabbits after dermal exposure to octocrylene at 534 mg/kg </w:t>
      </w:r>
      <w:proofErr w:type="spellStart"/>
      <w:r w:rsidRPr="00EC5E95">
        <w:t>bw</w:t>
      </w:r>
      <w:proofErr w:type="spellEnd"/>
      <w:r w:rsidRPr="00EC5E95">
        <w:t xml:space="preserve">/day. After oral exposure, effects on liver and thyroid were reported in a study in rats (males) at 340 and 1085 mg/ kg </w:t>
      </w:r>
      <w:proofErr w:type="spellStart"/>
      <w:r w:rsidRPr="00EC5E95">
        <w:t>bw</w:t>
      </w:r>
      <w:proofErr w:type="spellEnd"/>
      <w:r w:rsidRPr="00EC5E95">
        <w:t xml:space="preserve">/day. These effects on liver and thyroid were investigated in an additional mechanistic study which showed that effects on thyroid were indirect and probably due to hepatic enzyme induction potential of octocrylene. Recently reported repeat dose toxicity studies with octocrylene (SCCS, 2021a; ECHA, 2020) do not alter the previously established NOAEL of 175 mg/kg </w:t>
      </w:r>
      <w:proofErr w:type="spellStart"/>
      <w:r w:rsidRPr="00EC5E95">
        <w:t>bw</w:t>
      </w:r>
      <w:proofErr w:type="spellEnd"/>
      <w:r w:rsidRPr="00EC5E95">
        <w:t>/day, noted in a previous SCCS report for octocrylene.</w:t>
      </w:r>
    </w:p>
    <w:p w14:paraId="103DEF03" w14:textId="635F6B2F" w:rsidR="001974CD" w:rsidRDefault="001974CD" w:rsidP="0092658F">
      <w:r w:rsidRPr="00EC5E95">
        <w:t>Octocrylene is not expected to be genotoxic based on available genotoxicity data. No carcinogenicity data were available.</w:t>
      </w:r>
    </w:p>
    <w:p w14:paraId="3306F11A" w14:textId="5E9FE448" w:rsidR="001974CD" w:rsidRPr="00AC6DB1" w:rsidRDefault="001974CD" w:rsidP="0092658F">
      <w:r w:rsidRPr="00AC6DB1">
        <w:t xml:space="preserve">Benzophenone, an important </w:t>
      </w:r>
      <w:r>
        <w:t xml:space="preserve">impurity and </w:t>
      </w:r>
      <w:r w:rsidRPr="00AC6DB1">
        <w:t xml:space="preserve">degradant of octocrylene, </w:t>
      </w:r>
      <w:proofErr w:type="gramStart"/>
      <w:r w:rsidRPr="00AC6DB1">
        <w:t>is considered to be</w:t>
      </w:r>
      <w:proofErr w:type="gramEnd"/>
      <w:r w:rsidRPr="00AC6DB1">
        <w:t xml:space="preserve"> genotoxic, carcinogenic and shown to disrupt endocrine signalling. It has been found to accumulate in 16 commercially available products containing octocrylene subjected to </w:t>
      </w:r>
      <w:proofErr w:type="gramStart"/>
      <w:r w:rsidRPr="00AC6DB1">
        <w:t>6 week</w:t>
      </w:r>
      <w:proofErr w:type="gramEnd"/>
      <w:r w:rsidRPr="00AC6DB1">
        <w:t xml:space="preserve"> accelerated stability aging protocol (Downs </w:t>
      </w:r>
      <w:r w:rsidRPr="00AC6DB1">
        <w:rPr>
          <w:i/>
          <w:iCs/>
        </w:rPr>
        <w:t>et al</w:t>
      </w:r>
      <w:r w:rsidRPr="00AC6DB1">
        <w:t>. 2022). The mean content of benzophenone increased from baseline by 14.5% to 199.4% and ranged from 5.0 to 461.4 ppm. Benzophenone is both a manufacturing impurity and a degradant of octocrylene.</w:t>
      </w:r>
    </w:p>
    <w:p w14:paraId="2C5C2FF7" w14:textId="370581D0" w:rsidR="001974CD" w:rsidRDefault="001974CD" w:rsidP="0092658F">
      <w:r w:rsidRPr="00EC5E95">
        <w:t xml:space="preserve">Based on the effects on </w:t>
      </w:r>
      <w:r>
        <w:t xml:space="preserve">rat </w:t>
      </w:r>
      <w:r w:rsidRPr="00EC5E95">
        <w:t xml:space="preserve">parental and pup body weights, a lower number of implantation sites and lower number of pups in the </w:t>
      </w:r>
      <w:r w:rsidRPr="00EC5E95">
        <w:rPr>
          <w:kern w:val="2"/>
        </w:rPr>
        <w:t xml:space="preserve">extended one generation reproductive toxicity study </w:t>
      </w:r>
      <w:r w:rsidRPr="00EC5E95">
        <w:rPr>
          <w:bCs/>
          <w:kern w:val="2"/>
        </w:rPr>
        <w:t>(EOGRTS)</w:t>
      </w:r>
      <w:r w:rsidRPr="00EC5E95">
        <w:t>, a NOAEL was established at 153/163 mg/kg/day</w:t>
      </w:r>
      <w:r>
        <w:t xml:space="preserve"> for males and females, respectively,</w:t>
      </w:r>
      <w:r w:rsidRPr="00EC5E95">
        <w:t xml:space="preserve"> for parental systemic toxicity, fertility/reproduction performance, and general and sexual development. No neuro</w:t>
      </w:r>
      <w:r>
        <w:t>-</w:t>
      </w:r>
      <w:r w:rsidRPr="00EC5E95">
        <w:t>developmental effects were observed at the highest dose level tested (534/550 mg/kg/day</w:t>
      </w:r>
      <w:r>
        <w:t>, male/female</w:t>
      </w:r>
      <w:r w:rsidRPr="00EC5E95">
        <w:t>).</w:t>
      </w:r>
    </w:p>
    <w:p w14:paraId="67A8CF13" w14:textId="6951D25D" w:rsidR="001974CD" w:rsidRPr="00EC5E95" w:rsidRDefault="001974CD" w:rsidP="0092658F">
      <w:r w:rsidRPr="00EC5E95">
        <w:t xml:space="preserve">A monitoring study revealed that during the periods of pregnancy and lactation, &gt; 78% of the women used some cosmetic product containing UV filters and UV filters were detected in 82.5% of human milk samples (Schlumpf </w:t>
      </w:r>
      <w:r w:rsidRPr="00EC5E95">
        <w:rPr>
          <w:i/>
        </w:rPr>
        <w:t>et al.</w:t>
      </w:r>
      <w:r w:rsidRPr="00EC5E95">
        <w:t xml:space="preserve"> 2010, 2008). Octocrylene (OC) was one of the most frequently used UV filters and most frequently detected in milk samples (i.e. </w:t>
      </w:r>
      <w:r>
        <w:t>30.18</w:t>
      </w:r>
      <w:r w:rsidRPr="00EC5E95">
        <w:t xml:space="preserve"> ± 22.15 ng/g of lipids) (Schlumpf </w:t>
      </w:r>
      <w:r w:rsidRPr="00EC5E95">
        <w:rPr>
          <w:i/>
        </w:rPr>
        <w:t>et al.</w:t>
      </w:r>
      <w:r w:rsidRPr="00EC5E95">
        <w:t xml:space="preserve"> 2010, 2008). Use of UV filters and concentration in human milk were significantly correlated. The results indicate transdermal passage of UV filters and potential placental transfer of octocrylene.</w:t>
      </w:r>
    </w:p>
    <w:p w14:paraId="521CFC85" w14:textId="58433178" w:rsidR="001974CD" w:rsidRPr="00BA4549" w:rsidRDefault="001974CD" w:rsidP="0092658F">
      <w:pPr>
        <w:rPr>
          <w:rFonts w:asciiTheme="minorHAnsi" w:hAnsiTheme="minorHAnsi" w:cstheme="minorHAnsi"/>
          <w:b/>
          <w:i/>
          <w:iCs/>
        </w:rPr>
      </w:pPr>
      <w:r w:rsidRPr="00BA4549">
        <w:rPr>
          <w:rStyle w:val="StandardChar"/>
          <w:rFonts w:asciiTheme="minorHAnsi" w:eastAsiaTheme="minorHAnsi" w:hAnsiTheme="minorHAnsi" w:cstheme="minorHAnsi"/>
          <w:sz w:val="20"/>
          <w:szCs w:val="20"/>
        </w:rPr>
        <w:t xml:space="preserve">Public exposure to octocrylene would be expected to be widespread and frequent through a daily use of sunscreen products containing ingredient typically at concentrations up to 10 </w:t>
      </w:r>
      <w:r w:rsidRPr="00BA4549">
        <w:rPr>
          <w:rFonts w:asciiTheme="minorHAnsi" w:hAnsiTheme="minorHAnsi" w:cstheme="minorHAnsi"/>
          <w:bCs/>
        </w:rPr>
        <w:t>%</w:t>
      </w:r>
      <w:r w:rsidRPr="00BA4549">
        <w:rPr>
          <w:rFonts w:asciiTheme="minorHAnsi" w:hAnsiTheme="minorHAnsi" w:cstheme="minorHAnsi"/>
          <w:b/>
        </w:rPr>
        <w:t>.</w:t>
      </w:r>
    </w:p>
    <w:p w14:paraId="327365F4" w14:textId="7FF44CF5" w:rsidR="001974CD" w:rsidRDefault="001974CD" w:rsidP="001974CD">
      <w:pPr>
        <w:rPr>
          <w:rFonts w:eastAsia="Cambria" w:cs="Times New Roman"/>
          <w:b/>
          <w:bCs/>
          <w:color w:val="001871"/>
          <w:sz w:val="26"/>
          <w:szCs w:val="26"/>
          <w:shd w:val="clear" w:color="auto" w:fill="FFFFFF"/>
        </w:rPr>
      </w:pPr>
      <w:r w:rsidRPr="00CD7683">
        <w:t xml:space="preserve">Given </w:t>
      </w:r>
      <w:r>
        <w:t xml:space="preserve">that the </w:t>
      </w:r>
      <w:r w:rsidRPr="005D25EC">
        <w:t xml:space="preserve">dermal absorption value of 0.97 </w:t>
      </w:r>
      <w:proofErr w:type="spellStart"/>
      <w:r w:rsidRPr="005D25EC">
        <w:t>μg</w:t>
      </w:r>
      <w:proofErr w:type="spellEnd"/>
      <w:r w:rsidRPr="005D25EC">
        <w:t>/cm</w:t>
      </w:r>
      <w:r w:rsidRPr="005D25EC">
        <w:rPr>
          <w:vertAlign w:val="superscript"/>
        </w:rPr>
        <w:t xml:space="preserve">2 </w:t>
      </w:r>
      <w:r w:rsidRPr="00CD7683">
        <w:t>was available from experimental data for octocrylene, o</w:t>
      </w:r>
      <w:r w:rsidRPr="005D25EC">
        <w:t>ption 2 was</w:t>
      </w:r>
      <w:r>
        <w:t xml:space="preserve"> used </w:t>
      </w:r>
      <w:r w:rsidRPr="00EC5E95">
        <w:t>for</w:t>
      </w:r>
      <w:r w:rsidRPr="005D25EC">
        <w:t xml:space="preserve"> </w:t>
      </w:r>
      <w:r w:rsidRPr="00EC5E95">
        <w:t xml:space="preserve">systemic exposure dose (SED) calculation </w:t>
      </w:r>
      <w:r>
        <w:t>to estimate the MoS by the SCCS. The S</w:t>
      </w:r>
      <w:r w:rsidRPr="00EC5E95">
        <w:t xml:space="preserve">ED was determined to be 0.339 mg/kg </w:t>
      </w:r>
      <w:proofErr w:type="spellStart"/>
      <w:r w:rsidRPr="00EC5E95">
        <w:t>bw</w:t>
      </w:r>
      <w:proofErr w:type="spellEnd"/>
      <w:r w:rsidRPr="00EC5E95">
        <w:t xml:space="preserve">/day for octocrylene in sunscreen (for a 60 kg </w:t>
      </w:r>
      <w:proofErr w:type="spellStart"/>
      <w:r w:rsidRPr="00EC5E95">
        <w:t>bw</w:t>
      </w:r>
      <w:proofErr w:type="spellEnd"/>
      <w:r w:rsidRPr="00EC5E95">
        <w:t xml:space="preserve"> person) in the SCCS opinion (SCCS 2021a) (</w:t>
      </w:r>
      <w:r w:rsidRPr="00157F64">
        <w:rPr>
          <w:b/>
          <w:bCs/>
        </w:rPr>
        <w:t xml:space="preserve">dermal absorption value of 0.97 </w:t>
      </w:r>
      <w:proofErr w:type="spellStart"/>
      <w:r w:rsidRPr="00157F64">
        <w:rPr>
          <w:b/>
          <w:bCs/>
        </w:rPr>
        <w:t>μg</w:t>
      </w:r>
      <w:proofErr w:type="spellEnd"/>
      <w:r w:rsidRPr="00157F64">
        <w:rPr>
          <w:b/>
          <w:bCs/>
        </w:rPr>
        <w:t>/cm</w:t>
      </w:r>
      <w:r w:rsidRPr="00157F64">
        <w:rPr>
          <w:b/>
          <w:bCs/>
          <w:vertAlign w:val="superscript"/>
        </w:rPr>
        <w:t>2</w:t>
      </w:r>
      <w:r w:rsidRPr="00EC5E95">
        <w:rPr>
          <w:vertAlign w:val="superscript"/>
        </w:rPr>
        <w:t xml:space="preserve"> </w:t>
      </w:r>
      <w:r w:rsidRPr="00EC5E95">
        <w:t xml:space="preserve">from Fabian &amp; Landsiedel, 2020; octocrylene concentration of 10%). The </w:t>
      </w:r>
      <w:r w:rsidRPr="00157F64">
        <w:t xml:space="preserve">NOAEL of 153 mg/kg </w:t>
      </w:r>
      <w:proofErr w:type="spellStart"/>
      <w:r w:rsidRPr="00157F64">
        <w:t>bw</w:t>
      </w:r>
      <w:proofErr w:type="spellEnd"/>
      <w:r w:rsidRPr="00157F64">
        <w:t>/day</w:t>
      </w:r>
      <w:r w:rsidRPr="00EC5E95">
        <w:t xml:space="preserve"> based on the </w:t>
      </w:r>
      <w:r w:rsidRPr="00EC5E95">
        <w:rPr>
          <w:bCs/>
          <w:kern w:val="2"/>
        </w:rPr>
        <w:t>EOGRTS</w:t>
      </w:r>
      <w:r w:rsidRPr="00EC5E95">
        <w:t xml:space="preserve"> is used for the calculation of </w:t>
      </w:r>
      <w:proofErr w:type="spellStart"/>
      <w:r w:rsidRPr="00EC5E95">
        <w:t>M</w:t>
      </w:r>
      <w:r>
        <w:t>o</w:t>
      </w:r>
      <w:r w:rsidRPr="00EC5E95">
        <w:t>S.</w:t>
      </w:r>
      <w:proofErr w:type="spellEnd"/>
      <w:r w:rsidRPr="00EC5E95">
        <w:t xml:space="preserve"> </w:t>
      </w:r>
      <w:r w:rsidRPr="00B232E4">
        <w:t xml:space="preserve">Based on an oral bioavailability of 50% (Bury </w:t>
      </w:r>
      <w:r w:rsidRPr="00B232E4">
        <w:rPr>
          <w:i/>
          <w:iCs/>
        </w:rPr>
        <w:t>et al.</w:t>
      </w:r>
      <w:r w:rsidRPr="00B232E4">
        <w:t>, 2019),</w:t>
      </w:r>
      <w:r w:rsidRPr="00A647EB">
        <w:t xml:space="preserve"> </w:t>
      </w:r>
      <w:r w:rsidRPr="00157F64">
        <w:rPr>
          <w:b/>
          <w:bCs/>
        </w:rPr>
        <w:t xml:space="preserve">an adjusted NOAEL of 76.5 mg/kg </w:t>
      </w:r>
      <w:proofErr w:type="spellStart"/>
      <w:r w:rsidRPr="00157F64">
        <w:rPr>
          <w:b/>
          <w:bCs/>
        </w:rPr>
        <w:t>bw</w:t>
      </w:r>
      <w:proofErr w:type="spellEnd"/>
      <w:r w:rsidRPr="00157F64">
        <w:rPr>
          <w:b/>
          <w:bCs/>
        </w:rPr>
        <w:t>/day</w:t>
      </w:r>
      <w:r w:rsidRPr="00B232E4">
        <w:t xml:space="preserve"> was determined.</w:t>
      </w:r>
    </w:p>
    <w:p w14:paraId="101B10FE" w14:textId="77777777" w:rsidR="001974CD" w:rsidRDefault="001974CD" w:rsidP="001974CD">
      <w:pPr>
        <w:pStyle w:val="Heading4"/>
      </w:pPr>
      <w:bookmarkStart w:id="123" w:name="_Toc190944933"/>
      <w:bookmarkStart w:id="124" w:name="_Toc199254970"/>
      <w:r w:rsidRPr="00B53EAE">
        <w:t xml:space="preserve">Exposure </w:t>
      </w:r>
      <w:proofErr w:type="gramStart"/>
      <w:r w:rsidRPr="00B53EAE">
        <w:t>estimate</w:t>
      </w:r>
      <w:proofErr w:type="gramEnd"/>
      <w:r w:rsidRPr="00B53EAE">
        <w:t xml:space="preserve"> and Margin of Safety</w:t>
      </w:r>
      <w:r>
        <w:t xml:space="preserve"> for Octocrylene</w:t>
      </w:r>
      <w:bookmarkEnd w:id="123"/>
      <w:bookmarkEnd w:id="124"/>
    </w:p>
    <w:p w14:paraId="17AA06C2" w14:textId="77777777" w:rsidR="001974CD" w:rsidRDefault="001974CD" w:rsidP="0092658F">
      <w:pPr>
        <w:pStyle w:val="Tabletitle"/>
      </w:pPr>
      <w:r w:rsidRPr="00E00AC0">
        <w:t xml:space="preserve">Octocrylene </w:t>
      </w:r>
      <w:r w:rsidRPr="00AE0E35">
        <w:t>–</w:t>
      </w:r>
      <w:r>
        <w:t xml:space="preserve"> standard</w:t>
      </w:r>
      <w:r w:rsidRPr="00AE0E35">
        <w:t xml:space="preserve"> parameters for the estimation of the systemic exposure dose</w:t>
      </w:r>
    </w:p>
    <w:tbl>
      <w:tblPr>
        <w:tblStyle w:val="TableTGAblue2023"/>
        <w:tblW w:w="9113" w:type="dxa"/>
        <w:tblLook w:val="04A0" w:firstRow="1" w:lastRow="0" w:firstColumn="1" w:lastColumn="0" w:noHBand="0" w:noVBand="1"/>
      </w:tblPr>
      <w:tblGrid>
        <w:gridCol w:w="6374"/>
        <w:gridCol w:w="2739"/>
      </w:tblGrid>
      <w:tr w:rsidR="001974CD" w:rsidRPr="0092658F" w14:paraId="6D968CDD" w14:textId="77777777" w:rsidTr="00E07077">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374" w:type="dxa"/>
          </w:tcPr>
          <w:p w14:paraId="70D200B0" w14:textId="77777777" w:rsidR="001974CD" w:rsidRPr="0092658F" w:rsidRDefault="001974CD" w:rsidP="00E07077">
            <w:pPr>
              <w:pStyle w:val="Standard"/>
              <w:spacing w:after="0"/>
              <w:rPr>
                <w:rFonts w:asciiTheme="minorHAnsi" w:hAnsiTheme="minorHAnsi" w:cstheme="minorHAnsi"/>
                <w:sz w:val="20"/>
                <w:szCs w:val="20"/>
              </w:rPr>
            </w:pPr>
            <w:r w:rsidRPr="0092658F">
              <w:rPr>
                <w:rFonts w:asciiTheme="minorHAnsi" w:hAnsiTheme="minorHAnsi" w:cstheme="minorHAnsi"/>
                <w:sz w:val="20"/>
                <w:szCs w:val="20"/>
              </w:rPr>
              <w:t>Parameter</w:t>
            </w:r>
          </w:p>
        </w:tc>
        <w:tc>
          <w:tcPr>
            <w:tcW w:w="2739" w:type="dxa"/>
          </w:tcPr>
          <w:p w14:paraId="43715354" w14:textId="77777777" w:rsidR="001974CD" w:rsidRPr="0092658F" w:rsidRDefault="001974CD" w:rsidP="00E07077">
            <w:pPr>
              <w:pStyle w:val="Standard"/>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2658F">
              <w:rPr>
                <w:rFonts w:asciiTheme="minorHAnsi" w:hAnsiTheme="minorHAnsi" w:cstheme="minorHAnsi"/>
                <w:sz w:val="20"/>
                <w:szCs w:val="20"/>
              </w:rPr>
              <w:t>Value</w:t>
            </w:r>
          </w:p>
        </w:tc>
      </w:tr>
      <w:tr w:rsidR="001974CD" w:rsidRPr="0092658F" w14:paraId="56A82BBB" w14:textId="77777777" w:rsidTr="00E07077">
        <w:trPr>
          <w:trHeight w:val="325"/>
        </w:trPr>
        <w:tc>
          <w:tcPr>
            <w:cnfStyle w:val="001000000000" w:firstRow="0" w:lastRow="0" w:firstColumn="1" w:lastColumn="0" w:oddVBand="0" w:evenVBand="0" w:oddHBand="0" w:evenHBand="0" w:firstRowFirstColumn="0" w:firstRowLastColumn="0" w:lastRowFirstColumn="0" w:lastRowLastColumn="0"/>
            <w:tcW w:w="6374" w:type="dxa"/>
          </w:tcPr>
          <w:p w14:paraId="43A6E1D6" w14:textId="77777777" w:rsidR="001974CD" w:rsidRPr="0092658F" w:rsidRDefault="001974CD" w:rsidP="00E07077">
            <w:pPr>
              <w:pStyle w:val="Standard"/>
              <w:spacing w:before="120" w:after="120"/>
              <w:rPr>
                <w:rFonts w:asciiTheme="minorHAnsi" w:hAnsiTheme="minorHAnsi" w:cstheme="minorHAnsi"/>
                <w:b/>
                <w:bCs/>
                <w:sz w:val="20"/>
                <w:szCs w:val="20"/>
              </w:rPr>
            </w:pPr>
            <w:r w:rsidRPr="0092658F">
              <w:rPr>
                <w:rFonts w:asciiTheme="minorHAnsi" w:hAnsiTheme="minorHAnsi" w:cstheme="minorHAnsi"/>
                <w:sz w:val="20"/>
                <w:szCs w:val="20"/>
              </w:rPr>
              <w:t>NOAEL (adjusted for oral bioavailability)</w:t>
            </w:r>
          </w:p>
        </w:tc>
        <w:tc>
          <w:tcPr>
            <w:tcW w:w="2739" w:type="dxa"/>
          </w:tcPr>
          <w:p w14:paraId="7432A9C7" w14:textId="77777777" w:rsidR="001974CD" w:rsidRPr="0092658F" w:rsidRDefault="001974CD" w:rsidP="00E07077">
            <w:pPr>
              <w:pStyle w:val="Standard"/>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2658F">
              <w:rPr>
                <w:rFonts w:asciiTheme="minorHAnsi" w:hAnsiTheme="minorHAnsi" w:cstheme="minorHAnsi"/>
                <w:color w:val="auto"/>
                <w:sz w:val="20"/>
                <w:szCs w:val="20"/>
              </w:rPr>
              <w:t xml:space="preserve">76.5 mg/kg </w:t>
            </w:r>
            <w:proofErr w:type="spellStart"/>
            <w:r w:rsidRPr="0092658F">
              <w:rPr>
                <w:rFonts w:asciiTheme="minorHAnsi" w:hAnsiTheme="minorHAnsi" w:cstheme="minorHAnsi"/>
                <w:color w:val="auto"/>
                <w:sz w:val="20"/>
                <w:szCs w:val="20"/>
              </w:rPr>
              <w:t>bw</w:t>
            </w:r>
            <w:proofErr w:type="spellEnd"/>
            <w:r w:rsidRPr="0092658F">
              <w:rPr>
                <w:rFonts w:asciiTheme="minorHAnsi" w:hAnsiTheme="minorHAnsi" w:cstheme="minorHAnsi"/>
                <w:color w:val="auto"/>
                <w:sz w:val="20"/>
                <w:szCs w:val="20"/>
              </w:rPr>
              <w:t>/day</w:t>
            </w:r>
          </w:p>
        </w:tc>
      </w:tr>
      <w:tr w:rsidR="001974CD" w:rsidRPr="0092658F" w14:paraId="7B3E2D06" w14:textId="77777777" w:rsidTr="00E07077">
        <w:trPr>
          <w:trHeight w:val="508"/>
        </w:trPr>
        <w:tc>
          <w:tcPr>
            <w:cnfStyle w:val="001000000000" w:firstRow="0" w:lastRow="0" w:firstColumn="1" w:lastColumn="0" w:oddVBand="0" w:evenVBand="0" w:oddHBand="0" w:evenHBand="0" w:firstRowFirstColumn="0" w:firstRowLastColumn="0" w:lastRowFirstColumn="0" w:lastRowLastColumn="0"/>
            <w:tcW w:w="6374" w:type="dxa"/>
          </w:tcPr>
          <w:p w14:paraId="0CA28944" w14:textId="77777777" w:rsidR="001974CD" w:rsidRPr="0092658F" w:rsidRDefault="001974CD" w:rsidP="00E07077">
            <w:pPr>
              <w:pStyle w:val="Standard"/>
              <w:spacing w:before="120" w:after="120"/>
              <w:rPr>
                <w:rFonts w:asciiTheme="minorHAnsi" w:hAnsiTheme="minorHAnsi" w:cstheme="minorHAnsi"/>
                <w:b/>
                <w:bCs/>
                <w:sz w:val="20"/>
                <w:szCs w:val="20"/>
              </w:rPr>
            </w:pPr>
            <w:r w:rsidRPr="0092658F">
              <w:rPr>
                <w:rFonts w:asciiTheme="minorHAnsi" w:hAnsiTheme="minorHAnsi" w:cstheme="minorHAnsi"/>
                <w:sz w:val="20"/>
                <w:szCs w:val="20"/>
              </w:rPr>
              <w:t>Dermal absorption (</w:t>
            </w:r>
            <w:proofErr w:type="spellStart"/>
            <w:r w:rsidRPr="0092658F">
              <w:rPr>
                <w:rFonts w:asciiTheme="minorHAnsi" w:hAnsiTheme="minorHAnsi" w:cstheme="minorHAnsi"/>
                <w:sz w:val="20"/>
                <w:szCs w:val="20"/>
              </w:rPr>
              <w:t>DAp</w:t>
            </w:r>
            <w:proofErr w:type="spellEnd"/>
            <w:r w:rsidRPr="0092658F">
              <w:rPr>
                <w:rFonts w:asciiTheme="minorHAnsi" w:hAnsiTheme="minorHAnsi" w:cstheme="minorHAnsi"/>
                <w:sz w:val="20"/>
                <w:szCs w:val="20"/>
              </w:rPr>
              <w:t>)</w:t>
            </w:r>
          </w:p>
        </w:tc>
        <w:tc>
          <w:tcPr>
            <w:tcW w:w="2739" w:type="dxa"/>
          </w:tcPr>
          <w:p w14:paraId="5278B17F" w14:textId="77777777" w:rsidR="001974CD" w:rsidRPr="0092658F" w:rsidRDefault="001974CD" w:rsidP="00E07077">
            <w:pPr>
              <w:pStyle w:val="Standard"/>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2658F">
              <w:rPr>
                <w:rFonts w:asciiTheme="minorHAnsi" w:hAnsiTheme="minorHAnsi" w:cstheme="minorHAnsi"/>
                <w:color w:val="auto"/>
                <w:sz w:val="20"/>
                <w:szCs w:val="20"/>
              </w:rPr>
              <w:t>0.97 µg/cm</w:t>
            </w:r>
            <w:r w:rsidRPr="0092658F">
              <w:rPr>
                <w:rFonts w:asciiTheme="minorHAnsi" w:hAnsiTheme="minorHAnsi" w:cstheme="minorHAnsi"/>
                <w:color w:val="auto"/>
                <w:sz w:val="20"/>
                <w:szCs w:val="20"/>
                <w:vertAlign w:val="superscript"/>
              </w:rPr>
              <w:t>2</w:t>
            </w:r>
          </w:p>
        </w:tc>
      </w:tr>
      <w:tr w:rsidR="001974CD" w:rsidRPr="0092658F" w14:paraId="6D655135" w14:textId="77777777" w:rsidTr="00E07077">
        <w:trPr>
          <w:trHeight w:val="832"/>
        </w:trPr>
        <w:tc>
          <w:tcPr>
            <w:cnfStyle w:val="001000000000" w:firstRow="0" w:lastRow="0" w:firstColumn="1" w:lastColumn="0" w:oddVBand="0" w:evenVBand="0" w:oddHBand="0" w:evenHBand="0" w:firstRowFirstColumn="0" w:firstRowLastColumn="0" w:lastRowFirstColumn="0" w:lastRowLastColumn="0"/>
            <w:tcW w:w="6374" w:type="dxa"/>
          </w:tcPr>
          <w:p w14:paraId="1B5241DB" w14:textId="77777777" w:rsidR="001974CD" w:rsidRPr="0092658F" w:rsidRDefault="001974CD" w:rsidP="00E07077">
            <w:pPr>
              <w:pStyle w:val="Standard"/>
              <w:spacing w:before="120" w:after="120"/>
              <w:rPr>
                <w:rFonts w:asciiTheme="minorHAnsi" w:hAnsiTheme="minorHAnsi" w:cstheme="minorHAnsi"/>
                <w:b/>
                <w:bCs/>
                <w:sz w:val="20"/>
                <w:szCs w:val="20"/>
              </w:rPr>
            </w:pPr>
            <w:r w:rsidRPr="0092658F">
              <w:rPr>
                <w:rFonts w:asciiTheme="minorHAnsi" w:hAnsiTheme="minorHAnsi" w:cstheme="minorHAnsi"/>
                <w:sz w:val="20"/>
                <w:szCs w:val="20"/>
              </w:rPr>
              <w:t>Highest concentration permitted to be used in Australian sunscreen products (C)</w:t>
            </w:r>
          </w:p>
        </w:tc>
        <w:tc>
          <w:tcPr>
            <w:tcW w:w="2739" w:type="dxa"/>
          </w:tcPr>
          <w:p w14:paraId="3DB54002" w14:textId="77777777" w:rsidR="001974CD" w:rsidRPr="0092658F" w:rsidRDefault="001974CD" w:rsidP="00E07077">
            <w:pPr>
              <w:pStyle w:val="Standard"/>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2658F">
              <w:rPr>
                <w:rFonts w:asciiTheme="minorHAnsi" w:hAnsiTheme="minorHAnsi" w:cstheme="minorHAnsi"/>
                <w:color w:val="auto"/>
                <w:sz w:val="20"/>
                <w:szCs w:val="20"/>
              </w:rPr>
              <w:t>10 %</w:t>
            </w:r>
          </w:p>
        </w:tc>
      </w:tr>
    </w:tbl>
    <w:p w14:paraId="62E95F34" w14:textId="77777777" w:rsidR="001974CD" w:rsidRPr="0092658F" w:rsidRDefault="001974CD" w:rsidP="001974CD">
      <w:pPr>
        <w:pStyle w:val="Standard"/>
        <w:rPr>
          <w:rFonts w:asciiTheme="minorHAnsi" w:hAnsiTheme="minorHAnsi" w:cstheme="minorHAnsi"/>
          <w:b/>
          <w:bCs/>
          <w:sz w:val="20"/>
          <w:szCs w:val="20"/>
        </w:rPr>
      </w:pPr>
    </w:p>
    <w:p w14:paraId="2DF63EF5" w14:textId="77777777" w:rsidR="001974CD" w:rsidRPr="0092658F" w:rsidRDefault="001974CD" w:rsidP="001974CD">
      <w:pPr>
        <w:pStyle w:val="Standard"/>
        <w:rPr>
          <w:rFonts w:asciiTheme="minorHAnsi" w:hAnsiTheme="minorHAnsi" w:cstheme="minorHAnsi"/>
          <w:b/>
          <w:bCs/>
          <w:sz w:val="20"/>
          <w:szCs w:val="20"/>
        </w:rPr>
      </w:pPr>
      <w:r w:rsidRPr="0092658F">
        <w:rPr>
          <w:rFonts w:asciiTheme="minorHAnsi" w:hAnsiTheme="minorHAnsi" w:cstheme="minorHAnsi"/>
          <w:b/>
          <w:bCs/>
          <w:sz w:val="20"/>
          <w:szCs w:val="20"/>
        </w:rPr>
        <w:t xml:space="preserve">Estimated octocrylene SED and MoS using the Australian Sunscreen Exposure Model (ASEM) </w:t>
      </w:r>
    </w:p>
    <w:p w14:paraId="5ADA1A83" w14:textId="77777777" w:rsidR="001974CD" w:rsidRDefault="001974CD" w:rsidP="001974CD">
      <w:pPr>
        <w:pStyle w:val="Heading5sub"/>
      </w:pPr>
      <w:bookmarkStart w:id="125" w:name="_Toc170477251"/>
      <w:r>
        <w:t>ASEM method 2 (</w:t>
      </w:r>
      <w:r>
        <w:rPr>
          <w:rFonts w:cs="Arial"/>
        </w:rPr>
        <w:t>µ</w:t>
      </w:r>
      <w:r w:rsidRPr="00913E17">
        <w:t>g/cm²</w:t>
      </w:r>
      <w:r>
        <w:t>) MoS calculation</w:t>
      </w:r>
      <w:bookmarkEnd w:id="125"/>
    </w:p>
    <w:p w14:paraId="7C3807CD" w14:textId="77777777" w:rsidR="001974CD" w:rsidRPr="008B7E4C" w:rsidRDefault="001974CD" w:rsidP="001974CD">
      <w:pPr>
        <w:spacing w:before="240"/>
        <w:rPr>
          <w:rFonts w:cs="Arial"/>
          <w:b/>
          <w:bCs/>
        </w:rPr>
      </w:pPr>
      <w:r w:rsidRPr="003645DF">
        <w:rPr>
          <w:rFonts w:cs="Arial"/>
          <w:noProof/>
        </w:rPr>
        <mc:AlternateContent>
          <mc:Choice Requires="wps">
            <w:drawing>
              <wp:inline distT="0" distB="0" distL="0" distR="0" wp14:anchorId="5760D5DD" wp14:editId="38F95D2C">
                <wp:extent cx="5759450" cy="1684117"/>
                <wp:effectExtent l="0" t="0" r="12700"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684117"/>
                        </a:xfrm>
                        <a:prstGeom prst="rect">
                          <a:avLst/>
                        </a:prstGeom>
                        <a:solidFill>
                          <a:srgbClr val="FFFFFF"/>
                        </a:solidFill>
                        <a:ln w="9525">
                          <a:solidFill>
                            <a:schemeClr val="tx1"/>
                          </a:solidFill>
                          <a:miter lim="800000"/>
                          <a:headEnd/>
                          <a:tailEnd/>
                        </a:ln>
                      </wps:spPr>
                      <wps:txbx>
                        <w:txbxContent>
                          <w:p w14:paraId="72ABE473" w14:textId="77777777" w:rsidR="001974CD" w:rsidRPr="00E24A6F" w:rsidRDefault="001974CD" w:rsidP="001974CD">
                            <w:pPr>
                              <w:rPr>
                                <w:rFonts w:ascii="Cambria Math" w:eastAsiaTheme="minorEastAsia" w:hAnsi="Cambria Math" w:cs="Cambria Math"/>
                                <w:sz w:val="24"/>
                                <w:szCs w:val="24"/>
                              </w:rPr>
                            </w:pPr>
                            <m:oMathPara>
                              <m:oMathParaPr>
                                <m:jc m:val="center"/>
                              </m:oMathParaPr>
                              <m:oMath>
                                <m:r>
                                  <w:rPr>
                                    <w:rFonts w:ascii="Cambria Math" w:hAnsi="Cambria Math" w:cs="Cambria Math"/>
                                    <w:sz w:val="24"/>
                                    <w:szCs w:val="24"/>
                                  </w:rPr>
                                  <m:t>SED=</m:t>
                                </m:r>
                                <m:sSub>
                                  <m:sSubPr>
                                    <m:ctrlPr>
                                      <w:rPr>
                                        <w:rFonts w:ascii="Cambria Math" w:hAnsi="Cambria Math" w:cs="Cambria Math"/>
                                        <w:i/>
                                        <w:iCs/>
                                        <w:sz w:val="24"/>
                                        <w:szCs w:val="24"/>
                                      </w:rPr>
                                    </m:ctrlPr>
                                  </m:sSubPr>
                                  <m:e>
                                    <m:r>
                                      <w:rPr>
                                        <w:rFonts w:ascii="Cambria Math" w:hAnsi="Cambria Math" w:cs="Cambria Math"/>
                                        <w:sz w:val="24"/>
                                        <w:szCs w:val="24"/>
                                      </w:rPr>
                                      <m:t>ASEM</m:t>
                                    </m:r>
                                  </m:e>
                                  <m:sub>
                                    <m:r>
                                      <m:rPr>
                                        <m:sty m:val="p"/>
                                      </m:rPr>
                                      <w:rPr>
                                        <w:rFonts w:ascii="Cambria Math" w:hAnsi="Cambria Math" w:cs="Arial"/>
                                        <w:sz w:val="24"/>
                                        <w:szCs w:val="24"/>
                                      </w:rPr>
                                      <m:t xml:space="preserve">(method 2) </m:t>
                                    </m:r>
                                  </m:sub>
                                </m:sSub>
                                <m:r>
                                  <w:rPr>
                                    <w:rFonts w:ascii="Cambria Math" w:hAnsi="Cambria Math" w:cs="Cambria Math"/>
                                    <w:sz w:val="24"/>
                                    <w:szCs w:val="24"/>
                                  </w:rPr>
                                  <m:t>×</m:t>
                                </m:r>
                                <m:sSub>
                                  <m:sSubPr>
                                    <m:ctrlPr>
                                      <w:rPr>
                                        <w:rFonts w:ascii="Cambria Math" w:hAnsi="Cambria Math" w:cs="Cambria Math"/>
                                        <w:i/>
                                        <w:sz w:val="24"/>
                                        <w:szCs w:val="24"/>
                                      </w:rPr>
                                    </m:ctrlPr>
                                  </m:sSubPr>
                                  <m:e>
                                    <m:r>
                                      <w:rPr>
                                        <w:rFonts w:ascii="Cambria Math" w:hAnsi="Cambria Math" w:cs="Cambria Math"/>
                                        <w:sz w:val="24"/>
                                        <w:szCs w:val="24"/>
                                      </w:rPr>
                                      <m:t>DA</m:t>
                                    </m:r>
                                  </m:e>
                                  <m:sub>
                                    <m:r>
                                      <w:rPr>
                                        <w:rFonts w:ascii="Cambria Math" w:hAnsi="Cambria Math" w:cs="Cambria Math"/>
                                        <w:sz w:val="24"/>
                                        <w:szCs w:val="24"/>
                                      </w:rPr>
                                      <m:t>a</m:t>
                                    </m:r>
                                  </m:sub>
                                </m:sSub>
                                <m:r>
                                  <w:rPr>
                                    <w:rFonts w:ascii="Cambria Math" w:hAnsi="Cambria Math" w:cs="Cambria Math"/>
                                    <w:sz w:val="24"/>
                                    <w:szCs w:val="24"/>
                                  </w:rPr>
                                  <m:t xml:space="preserve">      </m:t>
                                </m:r>
                              </m:oMath>
                            </m:oMathPara>
                          </w:p>
                          <w:p w14:paraId="4767FAB3" w14:textId="77777777" w:rsidR="001974CD" w:rsidRPr="00CF1F5D" w:rsidRDefault="001974CD" w:rsidP="001974CD">
                            <w:pPr>
                              <w:rPr>
                                <w:rFonts w:ascii="Cambria Math" w:hAnsi="Cambria Math" w:cs="Cambria Math"/>
                                <w:b/>
                                <w:bCs/>
                                <w:sz w:val="24"/>
                                <w:szCs w:val="24"/>
                              </w:rPr>
                            </w:pPr>
                            <m:oMathPara>
                              <m:oMathParaPr>
                                <m:jc m:val="center"/>
                              </m:oMathParaPr>
                              <m:oMath>
                                <m:r>
                                  <w:rPr>
                                    <w:rFonts w:ascii="Cambria Math" w:hAnsi="Cambria Math" w:cs="Cambria Math"/>
                                    <w:sz w:val="24"/>
                                    <w:szCs w:val="24"/>
                                  </w:rPr>
                                  <m:t xml:space="preserve">=336 </m:t>
                                </m:r>
                                <m:sSup>
                                  <m:sSupPr>
                                    <m:ctrlPr>
                                      <w:rPr>
                                        <w:rFonts w:ascii="Cambria Math" w:hAnsi="Cambria Math" w:cs="Cambria Math"/>
                                        <w:i/>
                                        <w:sz w:val="24"/>
                                        <w:szCs w:val="24"/>
                                      </w:rPr>
                                    </m:ctrlPr>
                                  </m:sSupPr>
                                  <m:e>
                                    <m:r>
                                      <w:rPr>
                                        <w:rFonts w:ascii="Cambria Math" w:hAnsi="Cambria Math" w:cs="Cambria Math"/>
                                        <w:sz w:val="24"/>
                                        <w:szCs w:val="24"/>
                                      </w:rPr>
                                      <m:t>cm</m:t>
                                    </m:r>
                                  </m:e>
                                  <m:sup>
                                    <m:r>
                                      <w:rPr>
                                        <w:rFonts w:ascii="Cambria Math" w:hAnsi="Cambria Math" w:cs="Cambria Math"/>
                                        <w:sz w:val="24"/>
                                        <w:szCs w:val="24"/>
                                      </w:rPr>
                                      <m:t>2</m:t>
                                    </m:r>
                                  </m:sup>
                                </m:sSup>
                                <m:r>
                                  <w:rPr>
                                    <w:rFonts w:ascii="Cambria Math" w:hAnsi="Cambria Math" w:cs="Cambria Math"/>
                                    <w:sz w:val="24"/>
                                    <w:szCs w:val="24"/>
                                  </w:rPr>
                                  <m:t>/kg bw/day ×0.97 µg/</m:t>
                                </m:r>
                                <m:sSup>
                                  <m:sSupPr>
                                    <m:ctrlPr>
                                      <w:rPr>
                                        <w:rFonts w:ascii="Cambria Math" w:hAnsi="Cambria Math" w:cs="Cambria Math"/>
                                        <w:i/>
                                        <w:sz w:val="24"/>
                                        <w:szCs w:val="24"/>
                                      </w:rPr>
                                    </m:ctrlPr>
                                  </m:sSupPr>
                                  <m:e>
                                    <m:r>
                                      <w:rPr>
                                        <w:rFonts w:ascii="Cambria Math" w:hAnsi="Cambria Math" w:cs="Cambria Math"/>
                                        <w:sz w:val="24"/>
                                        <w:szCs w:val="24"/>
                                      </w:rPr>
                                      <m:t>cm</m:t>
                                    </m:r>
                                  </m:e>
                                  <m:sup>
                                    <m:r>
                                      <w:rPr>
                                        <w:rFonts w:ascii="Cambria Math" w:hAnsi="Cambria Math" w:cs="Cambria Math"/>
                                        <w:sz w:val="24"/>
                                        <w:szCs w:val="24"/>
                                      </w:rPr>
                                      <m:t>2</m:t>
                                    </m:r>
                                  </m:sup>
                                </m:sSup>
                                <m:r>
                                  <w:rPr>
                                    <w:rFonts w:ascii="Cambria Math" w:hAnsi="Cambria Math" w:cs="Cambria Math"/>
                                    <w:sz w:val="24"/>
                                    <w:szCs w:val="24"/>
                                  </w:rPr>
                                  <m:t xml:space="preserve"> </m:t>
                                </m:r>
                              </m:oMath>
                            </m:oMathPara>
                          </w:p>
                          <w:p w14:paraId="7B0986A8" w14:textId="77777777" w:rsidR="001974CD" w:rsidRPr="00CF1F5D" w:rsidRDefault="001974CD" w:rsidP="001974CD">
                            <w:pPr>
                              <w:spacing w:before="120" w:line="240" w:lineRule="atLeast"/>
                              <w:rPr>
                                <w:rFonts w:eastAsiaTheme="minorEastAsia" w:cs="Arial"/>
                                <w:i/>
                                <w:sz w:val="24"/>
                                <w:szCs w:val="24"/>
                              </w:rPr>
                            </w:pPr>
                            <m:oMathPara>
                              <m:oMath>
                                <m:r>
                                  <w:rPr>
                                    <w:rFonts w:ascii="Cambria Math" w:eastAsiaTheme="minorEastAsia" w:hAnsi="Cambria Math" w:cs="Arial"/>
                                    <w:sz w:val="24"/>
                                    <w:szCs w:val="24"/>
                                  </w:rPr>
                                  <m:t>=326 µg/kg bw/day=0.326 mg/kg bw/day</m:t>
                                </m:r>
                                <m:r>
                                  <m:rPr>
                                    <m:sty m:val="p"/>
                                  </m:rPr>
                                  <w:rPr>
                                    <w:rFonts w:eastAsiaTheme="minorEastAsia" w:cs="Arial"/>
                                    <w:sz w:val="24"/>
                                    <w:szCs w:val="24"/>
                                  </w:rPr>
                                  <w:br/>
                                </m:r>
                              </m:oMath>
                            </m:oMathPara>
                          </w:p>
                          <w:p w14:paraId="377FCEDF" w14:textId="77777777" w:rsidR="001974CD" w:rsidRPr="00E24A6F" w:rsidRDefault="001974CD" w:rsidP="001974CD">
                            <w:pPr>
                              <w:spacing w:before="120" w:line="240" w:lineRule="atLeast"/>
                              <w:rPr>
                                <w:rFonts w:eastAsiaTheme="minorEastAsia"/>
                                <w:b/>
                                <w:sz w:val="24"/>
                                <w:szCs w:val="24"/>
                              </w:rPr>
                            </w:pPr>
                            <m:oMathPara>
                              <m:oMathParaPr>
                                <m:jc m:val="center"/>
                              </m:oMathParaPr>
                              <m:oMath>
                                <m:r>
                                  <w:rPr>
                                    <w:rFonts w:ascii="Cambria Math" w:hAnsi="Cambria Math"/>
                                    <w:sz w:val="24"/>
                                    <w:szCs w:val="24"/>
                                  </w:rPr>
                                  <m:t xml:space="preserve">MoS= </m:t>
                                </m:r>
                                <m:f>
                                  <m:fPr>
                                    <m:ctrlPr>
                                      <w:rPr>
                                        <w:rFonts w:ascii="Cambria Math" w:hAnsi="Cambria Math"/>
                                        <w:i/>
                                        <w:sz w:val="24"/>
                                        <w:szCs w:val="24"/>
                                      </w:rPr>
                                    </m:ctrlPr>
                                  </m:fPr>
                                  <m:num>
                                    <m:r>
                                      <w:rPr>
                                        <w:rFonts w:ascii="Cambria Math" w:hAnsi="Cambria Math"/>
                                        <w:sz w:val="24"/>
                                        <w:szCs w:val="24"/>
                                      </w:rPr>
                                      <m:t>NOAEL (mg/kg bw/day)</m:t>
                                    </m:r>
                                  </m:num>
                                  <m:den>
                                    <m:r>
                                      <w:rPr>
                                        <w:rFonts w:ascii="Cambria Math" w:hAnsi="Cambria Math"/>
                                        <w:sz w:val="24"/>
                                        <w:szCs w:val="24"/>
                                      </w:rPr>
                                      <m:t>SED (mg/kg bw/day)</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 xml:space="preserve">76.5 mg/kg bw/d </m:t>
                                    </m:r>
                                  </m:num>
                                  <m:den>
                                    <m:r>
                                      <w:rPr>
                                        <w:rFonts w:ascii="Cambria Math" w:hAnsi="Cambria Math"/>
                                        <w:sz w:val="24"/>
                                        <w:szCs w:val="24"/>
                                      </w:rPr>
                                      <m:t>0.326 mg/kg bw/d</m:t>
                                    </m:r>
                                  </m:den>
                                </m:f>
                                <m:r>
                                  <w:rPr>
                                    <w:rFonts w:ascii="Cambria Math" w:hAnsi="Cambria Math"/>
                                    <w:sz w:val="24"/>
                                    <w:szCs w:val="24"/>
                                  </w:rPr>
                                  <m:t>=</m:t>
                                </m:r>
                                <m:r>
                                  <m:rPr>
                                    <m:sty m:val="bi"/>
                                  </m:rPr>
                                  <w:rPr>
                                    <w:rFonts w:ascii="Cambria Math" w:hAnsi="Cambria Math"/>
                                    <w:sz w:val="24"/>
                                    <w:szCs w:val="24"/>
                                  </w:rPr>
                                  <m:t>235</m:t>
                                </m:r>
                              </m:oMath>
                            </m:oMathPara>
                          </w:p>
                          <w:p w14:paraId="3D3013F5" w14:textId="77777777" w:rsidR="001974CD" w:rsidRPr="0011722F" w:rsidRDefault="001974CD" w:rsidP="001974CD">
                            <w:proofErr w:type="spellStart"/>
                            <w:r w:rsidRPr="00677D7A">
                              <w:rPr>
                                <w:rFonts w:ascii="Cambria Math" w:eastAsiaTheme="minorEastAsia" w:hAnsi="Cambria Math"/>
                                <w:sz w:val="18"/>
                                <w:szCs w:val="18"/>
                              </w:rPr>
                              <w:t>DA</w:t>
                            </w:r>
                            <w:r w:rsidRPr="00677D7A">
                              <w:rPr>
                                <w:rFonts w:ascii="Cambria Math" w:eastAsiaTheme="minorEastAsia" w:hAnsi="Cambria Math"/>
                                <w:sz w:val="18"/>
                                <w:szCs w:val="18"/>
                                <w:vertAlign w:val="subscript"/>
                              </w:rPr>
                              <w:t>a</w:t>
                            </w:r>
                            <w:proofErr w:type="spellEnd"/>
                            <w:r w:rsidRPr="00677D7A">
                              <w:rPr>
                                <w:rFonts w:ascii="Cambria Math" w:eastAsiaTheme="minorEastAsia" w:hAnsi="Cambria Math"/>
                                <w:sz w:val="18"/>
                                <w:szCs w:val="18"/>
                              </w:rPr>
                              <w:t>: Dermal Absorption</w:t>
                            </w:r>
                          </w:p>
                          <w:p w14:paraId="787A7AC3" w14:textId="77777777" w:rsidR="001974CD" w:rsidRPr="00CF1F5D" w:rsidRDefault="001974CD" w:rsidP="001974CD">
                            <w:pPr>
                              <w:spacing w:before="120" w:line="240" w:lineRule="atLeast"/>
                              <w:rPr>
                                <w:sz w:val="24"/>
                                <w:szCs w:val="24"/>
                              </w:rPr>
                            </w:pPr>
                          </w:p>
                          <w:p w14:paraId="0DC4861A" w14:textId="77777777" w:rsidR="001974CD" w:rsidRPr="00096176" w:rsidRDefault="001974CD" w:rsidP="001974CD"/>
                        </w:txbxContent>
                      </wps:txbx>
                      <wps:bodyPr rot="0" vert="horz" wrap="square" lIns="91440" tIns="45720" rIns="91440" bIns="45720" anchor="t" anchorCtr="0">
                        <a:noAutofit/>
                      </wps:bodyPr>
                    </wps:wsp>
                  </a:graphicData>
                </a:graphic>
              </wp:inline>
            </w:drawing>
          </mc:Choice>
          <mc:Fallback>
            <w:pict>
              <v:shape w14:anchorId="5760D5DD" id="_x0000_s1029" type="#_x0000_t202" style="width:453.5pt;height:13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rAwGwIAACYEAAAOAAAAZHJzL2Uyb0RvYy54bWysU9tu2zAMfR+wfxD0vjjO4iYx4hRdugwD&#10;ugvQ7gNkWY6FyaImKbGzry8lu2navg3TgyCK0iF5eLi+7ltFjsI6Cbqg6WRKidAcKqn3Bf31sPuw&#10;pMR5piumQIuCnoSj15v379adycUMGlCVsARBtMs7U9DGe5MnieONaJmbgBEanTXYlnk07T6pLOsQ&#10;vVXJbDq9SjqwlbHAhXN4ezs46Sbi17Xg/kddO+GJKijm5uNu416GPdmsWb63zDSSj2mwf8iiZVJj&#10;0DPULfOMHKx8A9VKbsFB7Scc2gTqWnIRa8Bq0umrau4bZkSsBclx5kyT+3+w/Pvx3vy0xPefoMcG&#10;xiKcuQP+2xEN24bpvbixFrpGsAoDp4GypDMuH78Gql3uAkjZfYMKm8wOHiJQX9s2sIJ1EkTHBpzO&#10;pIveE46X2SJbzTN0cfSlV8t5mi5iDJY/fTfW+S8CWhIOBbXY1QjPjnfOh3RY/vQkRHOgZLWTSkXD&#10;7sutsuTIUAG7uEb0F8+UJl1BV9ksGxh4ARHEKM4gvh84eBWolR6VrGRb0OU0rEFbgbbPuoo680yq&#10;4YwZKz3yGKgbSPR92RNZFfRj+BtoLaE6IbEWBuHioOGhAfuXkg5FW1D358CsoER91dicVTqfB5VH&#10;Y54tZmjYS0956WGaI1RBPSXDcevjZATaNNxgE2sZ6X3OZEwZxRhZHwcnqP3Sjq+ex3vzCAAA//8D&#10;AFBLAwQUAAYACAAAACEA6+XbvtsAAAAFAQAADwAAAGRycy9kb3ducmV2LnhtbEyPQUvDQBCF70L/&#10;wzIFb3ZjwFpjNkUqqSeFpoJ4m2bHJJidDdltG/+9oxe9PHi84b1v8vXkenWiMXSeDVwvElDEtbcd&#10;NwZe9+XVClSIyBZ7z2TgiwKsi9lFjpn1Z97RqYqNkhIOGRpoYxwyrUPdksOw8AOxZB9+dBjFjo22&#10;I56l3PU6TZKldtixLLQ40Kal+rM6OgNP2/qxCjpgud09D++bN1vaF2vM5Xx6uAcVaYp/x/CDL+hQ&#10;CNPBH9kG1RuQR+KvSnaX3Io9GEiXNynoItf/6YtvAAAA//8DAFBLAQItABQABgAIAAAAIQC2gziS&#10;/gAAAOEBAAATAAAAAAAAAAAAAAAAAAAAAABbQ29udGVudF9UeXBlc10ueG1sUEsBAi0AFAAGAAgA&#10;AAAhADj9If/WAAAAlAEAAAsAAAAAAAAAAAAAAAAALwEAAF9yZWxzLy5yZWxzUEsBAi0AFAAGAAgA&#10;AAAhAAN2sDAbAgAAJgQAAA4AAAAAAAAAAAAAAAAALgIAAGRycy9lMm9Eb2MueG1sUEsBAi0AFAAG&#10;AAgAAAAhAOvl277bAAAABQEAAA8AAAAAAAAAAAAAAAAAdQQAAGRycy9kb3ducmV2LnhtbFBLBQYA&#10;AAAABAAEAPMAAAB9BQAAAAA=&#10;" strokecolor="#002c47 [3213]">
                <v:textbox>
                  <w:txbxContent>
                    <w:p w14:paraId="72ABE473" w14:textId="77777777" w:rsidR="001974CD" w:rsidRPr="00E24A6F" w:rsidRDefault="001974CD" w:rsidP="001974CD">
                      <w:pPr>
                        <w:rPr>
                          <w:rFonts w:ascii="Cambria Math" w:eastAsiaTheme="minorEastAsia" w:hAnsi="Cambria Math" w:cs="Cambria Math"/>
                          <w:sz w:val="24"/>
                          <w:szCs w:val="24"/>
                        </w:rPr>
                      </w:pPr>
                      <m:oMathPara>
                        <m:oMathParaPr>
                          <m:jc m:val="center"/>
                        </m:oMathParaPr>
                        <m:oMath>
                          <m:r>
                            <w:rPr>
                              <w:rFonts w:ascii="Cambria Math" w:hAnsi="Cambria Math" w:cs="Cambria Math"/>
                              <w:sz w:val="24"/>
                              <w:szCs w:val="24"/>
                            </w:rPr>
                            <m:t>SED=</m:t>
                          </m:r>
                          <m:sSub>
                            <m:sSubPr>
                              <m:ctrlPr>
                                <w:rPr>
                                  <w:rFonts w:ascii="Cambria Math" w:hAnsi="Cambria Math" w:cs="Cambria Math"/>
                                  <w:i/>
                                  <w:iCs/>
                                  <w:sz w:val="24"/>
                                  <w:szCs w:val="24"/>
                                </w:rPr>
                              </m:ctrlPr>
                            </m:sSubPr>
                            <m:e>
                              <m:r>
                                <w:rPr>
                                  <w:rFonts w:ascii="Cambria Math" w:hAnsi="Cambria Math" w:cs="Cambria Math"/>
                                  <w:sz w:val="24"/>
                                  <w:szCs w:val="24"/>
                                </w:rPr>
                                <m:t>ASEM</m:t>
                              </m:r>
                            </m:e>
                            <m:sub>
                              <m:r>
                                <m:rPr>
                                  <m:sty m:val="p"/>
                                </m:rPr>
                                <w:rPr>
                                  <w:rFonts w:ascii="Cambria Math" w:hAnsi="Cambria Math" w:cs="Arial"/>
                                  <w:sz w:val="24"/>
                                  <w:szCs w:val="24"/>
                                </w:rPr>
                                <m:t xml:space="preserve">(method 2) </m:t>
                              </m:r>
                            </m:sub>
                          </m:sSub>
                          <m:r>
                            <w:rPr>
                              <w:rFonts w:ascii="Cambria Math" w:hAnsi="Cambria Math" w:cs="Cambria Math"/>
                              <w:sz w:val="24"/>
                              <w:szCs w:val="24"/>
                            </w:rPr>
                            <m:t>×</m:t>
                          </m:r>
                          <m:sSub>
                            <m:sSubPr>
                              <m:ctrlPr>
                                <w:rPr>
                                  <w:rFonts w:ascii="Cambria Math" w:hAnsi="Cambria Math" w:cs="Cambria Math"/>
                                  <w:i/>
                                  <w:sz w:val="24"/>
                                  <w:szCs w:val="24"/>
                                </w:rPr>
                              </m:ctrlPr>
                            </m:sSubPr>
                            <m:e>
                              <m:r>
                                <w:rPr>
                                  <w:rFonts w:ascii="Cambria Math" w:hAnsi="Cambria Math" w:cs="Cambria Math"/>
                                  <w:sz w:val="24"/>
                                  <w:szCs w:val="24"/>
                                </w:rPr>
                                <m:t>DA</m:t>
                              </m:r>
                            </m:e>
                            <m:sub>
                              <m:r>
                                <w:rPr>
                                  <w:rFonts w:ascii="Cambria Math" w:hAnsi="Cambria Math" w:cs="Cambria Math"/>
                                  <w:sz w:val="24"/>
                                  <w:szCs w:val="24"/>
                                </w:rPr>
                                <m:t>a</m:t>
                              </m:r>
                            </m:sub>
                          </m:sSub>
                          <m:r>
                            <w:rPr>
                              <w:rFonts w:ascii="Cambria Math" w:hAnsi="Cambria Math" w:cs="Cambria Math"/>
                              <w:sz w:val="24"/>
                              <w:szCs w:val="24"/>
                            </w:rPr>
                            <m:t xml:space="preserve">      </m:t>
                          </m:r>
                        </m:oMath>
                      </m:oMathPara>
                    </w:p>
                    <w:p w14:paraId="4767FAB3" w14:textId="77777777" w:rsidR="001974CD" w:rsidRPr="00CF1F5D" w:rsidRDefault="001974CD" w:rsidP="001974CD">
                      <w:pPr>
                        <w:rPr>
                          <w:rFonts w:ascii="Cambria Math" w:hAnsi="Cambria Math" w:cs="Cambria Math"/>
                          <w:b/>
                          <w:bCs/>
                          <w:sz w:val="24"/>
                          <w:szCs w:val="24"/>
                        </w:rPr>
                      </w:pPr>
                      <m:oMathPara>
                        <m:oMathParaPr>
                          <m:jc m:val="center"/>
                        </m:oMathParaPr>
                        <m:oMath>
                          <m:r>
                            <w:rPr>
                              <w:rFonts w:ascii="Cambria Math" w:hAnsi="Cambria Math" w:cs="Cambria Math"/>
                              <w:sz w:val="24"/>
                              <w:szCs w:val="24"/>
                            </w:rPr>
                            <m:t xml:space="preserve">=336 </m:t>
                          </m:r>
                          <m:sSup>
                            <m:sSupPr>
                              <m:ctrlPr>
                                <w:rPr>
                                  <w:rFonts w:ascii="Cambria Math" w:hAnsi="Cambria Math" w:cs="Cambria Math"/>
                                  <w:i/>
                                  <w:sz w:val="24"/>
                                  <w:szCs w:val="24"/>
                                </w:rPr>
                              </m:ctrlPr>
                            </m:sSupPr>
                            <m:e>
                              <m:r>
                                <w:rPr>
                                  <w:rFonts w:ascii="Cambria Math" w:hAnsi="Cambria Math" w:cs="Cambria Math"/>
                                  <w:sz w:val="24"/>
                                  <w:szCs w:val="24"/>
                                </w:rPr>
                                <m:t>cm</m:t>
                              </m:r>
                            </m:e>
                            <m:sup>
                              <m:r>
                                <w:rPr>
                                  <w:rFonts w:ascii="Cambria Math" w:hAnsi="Cambria Math" w:cs="Cambria Math"/>
                                  <w:sz w:val="24"/>
                                  <w:szCs w:val="24"/>
                                </w:rPr>
                                <m:t>2</m:t>
                              </m:r>
                            </m:sup>
                          </m:sSup>
                          <m:r>
                            <w:rPr>
                              <w:rFonts w:ascii="Cambria Math" w:hAnsi="Cambria Math" w:cs="Cambria Math"/>
                              <w:sz w:val="24"/>
                              <w:szCs w:val="24"/>
                            </w:rPr>
                            <m:t>/kg bw/day ×0.97 µg/</m:t>
                          </m:r>
                          <m:sSup>
                            <m:sSupPr>
                              <m:ctrlPr>
                                <w:rPr>
                                  <w:rFonts w:ascii="Cambria Math" w:hAnsi="Cambria Math" w:cs="Cambria Math"/>
                                  <w:i/>
                                  <w:sz w:val="24"/>
                                  <w:szCs w:val="24"/>
                                </w:rPr>
                              </m:ctrlPr>
                            </m:sSupPr>
                            <m:e>
                              <m:r>
                                <w:rPr>
                                  <w:rFonts w:ascii="Cambria Math" w:hAnsi="Cambria Math" w:cs="Cambria Math"/>
                                  <w:sz w:val="24"/>
                                  <w:szCs w:val="24"/>
                                </w:rPr>
                                <m:t>cm</m:t>
                              </m:r>
                            </m:e>
                            <m:sup>
                              <m:r>
                                <w:rPr>
                                  <w:rFonts w:ascii="Cambria Math" w:hAnsi="Cambria Math" w:cs="Cambria Math"/>
                                  <w:sz w:val="24"/>
                                  <w:szCs w:val="24"/>
                                </w:rPr>
                                <m:t>2</m:t>
                              </m:r>
                            </m:sup>
                          </m:sSup>
                          <m:r>
                            <w:rPr>
                              <w:rFonts w:ascii="Cambria Math" w:hAnsi="Cambria Math" w:cs="Cambria Math"/>
                              <w:sz w:val="24"/>
                              <w:szCs w:val="24"/>
                            </w:rPr>
                            <m:t xml:space="preserve"> </m:t>
                          </m:r>
                        </m:oMath>
                      </m:oMathPara>
                    </w:p>
                    <w:p w14:paraId="7B0986A8" w14:textId="77777777" w:rsidR="001974CD" w:rsidRPr="00CF1F5D" w:rsidRDefault="001974CD" w:rsidP="001974CD">
                      <w:pPr>
                        <w:spacing w:before="120" w:line="240" w:lineRule="atLeast"/>
                        <w:rPr>
                          <w:rFonts w:eastAsiaTheme="minorEastAsia" w:cs="Arial"/>
                          <w:i/>
                          <w:sz w:val="24"/>
                          <w:szCs w:val="24"/>
                        </w:rPr>
                      </w:pPr>
                      <m:oMathPara>
                        <m:oMath>
                          <m:r>
                            <w:rPr>
                              <w:rFonts w:ascii="Cambria Math" w:eastAsiaTheme="minorEastAsia" w:hAnsi="Cambria Math" w:cs="Arial"/>
                              <w:sz w:val="24"/>
                              <w:szCs w:val="24"/>
                            </w:rPr>
                            <m:t>=326 µg/kg bw/day=0.326 mg/kg bw/day</m:t>
                          </m:r>
                          <m:r>
                            <m:rPr>
                              <m:sty m:val="p"/>
                            </m:rPr>
                            <w:rPr>
                              <w:rFonts w:eastAsiaTheme="minorEastAsia" w:cs="Arial"/>
                              <w:sz w:val="24"/>
                              <w:szCs w:val="24"/>
                            </w:rPr>
                            <w:br/>
                          </m:r>
                        </m:oMath>
                      </m:oMathPara>
                    </w:p>
                    <w:p w14:paraId="377FCEDF" w14:textId="77777777" w:rsidR="001974CD" w:rsidRPr="00E24A6F" w:rsidRDefault="001974CD" w:rsidP="001974CD">
                      <w:pPr>
                        <w:spacing w:before="120" w:line="240" w:lineRule="atLeast"/>
                        <w:rPr>
                          <w:rFonts w:eastAsiaTheme="minorEastAsia"/>
                          <w:b/>
                          <w:sz w:val="24"/>
                          <w:szCs w:val="24"/>
                        </w:rPr>
                      </w:pPr>
                      <m:oMathPara>
                        <m:oMathParaPr>
                          <m:jc m:val="center"/>
                        </m:oMathParaPr>
                        <m:oMath>
                          <m:r>
                            <w:rPr>
                              <w:rFonts w:ascii="Cambria Math" w:hAnsi="Cambria Math"/>
                              <w:sz w:val="24"/>
                              <w:szCs w:val="24"/>
                            </w:rPr>
                            <m:t xml:space="preserve">MoS= </m:t>
                          </m:r>
                          <m:f>
                            <m:fPr>
                              <m:ctrlPr>
                                <w:rPr>
                                  <w:rFonts w:ascii="Cambria Math" w:hAnsi="Cambria Math"/>
                                  <w:i/>
                                  <w:sz w:val="24"/>
                                  <w:szCs w:val="24"/>
                                </w:rPr>
                              </m:ctrlPr>
                            </m:fPr>
                            <m:num>
                              <m:r>
                                <w:rPr>
                                  <w:rFonts w:ascii="Cambria Math" w:hAnsi="Cambria Math"/>
                                  <w:sz w:val="24"/>
                                  <w:szCs w:val="24"/>
                                </w:rPr>
                                <m:t>NOAEL (mg/kg bw/day)</m:t>
                              </m:r>
                            </m:num>
                            <m:den>
                              <m:r>
                                <w:rPr>
                                  <w:rFonts w:ascii="Cambria Math" w:hAnsi="Cambria Math"/>
                                  <w:sz w:val="24"/>
                                  <w:szCs w:val="24"/>
                                </w:rPr>
                                <m:t>SED (mg/kg bw/day)</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 xml:space="preserve">76.5 mg/kg bw/d </m:t>
                              </m:r>
                            </m:num>
                            <m:den>
                              <m:r>
                                <w:rPr>
                                  <w:rFonts w:ascii="Cambria Math" w:hAnsi="Cambria Math"/>
                                  <w:sz w:val="24"/>
                                  <w:szCs w:val="24"/>
                                </w:rPr>
                                <m:t>0.326 mg/kg bw/d</m:t>
                              </m:r>
                            </m:den>
                          </m:f>
                          <m:r>
                            <w:rPr>
                              <w:rFonts w:ascii="Cambria Math" w:hAnsi="Cambria Math"/>
                              <w:sz w:val="24"/>
                              <w:szCs w:val="24"/>
                            </w:rPr>
                            <m:t>=</m:t>
                          </m:r>
                          <m:r>
                            <m:rPr>
                              <m:sty m:val="bi"/>
                            </m:rPr>
                            <w:rPr>
                              <w:rFonts w:ascii="Cambria Math" w:hAnsi="Cambria Math"/>
                              <w:sz w:val="24"/>
                              <w:szCs w:val="24"/>
                            </w:rPr>
                            <m:t>235</m:t>
                          </m:r>
                        </m:oMath>
                      </m:oMathPara>
                    </w:p>
                    <w:p w14:paraId="3D3013F5" w14:textId="77777777" w:rsidR="001974CD" w:rsidRPr="0011722F" w:rsidRDefault="001974CD" w:rsidP="001974CD">
                      <w:proofErr w:type="spellStart"/>
                      <w:r w:rsidRPr="00677D7A">
                        <w:rPr>
                          <w:rFonts w:ascii="Cambria Math" w:eastAsiaTheme="minorEastAsia" w:hAnsi="Cambria Math"/>
                          <w:sz w:val="18"/>
                          <w:szCs w:val="18"/>
                        </w:rPr>
                        <w:t>DA</w:t>
                      </w:r>
                      <w:r w:rsidRPr="00677D7A">
                        <w:rPr>
                          <w:rFonts w:ascii="Cambria Math" w:eastAsiaTheme="minorEastAsia" w:hAnsi="Cambria Math"/>
                          <w:sz w:val="18"/>
                          <w:szCs w:val="18"/>
                          <w:vertAlign w:val="subscript"/>
                        </w:rPr>
                        <w:t>a</w:t>
                      </w:r>
                      <w:proofErr w:type="spellEnd"/>
                      <w:r w:rsidRPr="00677D7A">
                        <w:rPr>
                          <w:rFonts w:ascii="Cambria Math" w:eastAsiaTheme="minorEastAsia" w:hAnsi="Cambria Math"/>
                          <w:sz w:val="18"/>
                          <w:szCs w:val="18"/>
                        </w:rPr>
                        <w:t>: Dermal Absorption</w:t>
                      </w:r>
                    </w:p>
                    <w:p w14:paraId="787A7AC3" w14:textId="77777777" w:rsidR="001974CD" w:rsidRPr="00CF1F5D" w:rsidRDefault="001974CD" w:rsidP="001974CD">
                      <w:pPr>
                        <w:spacing w:before="120" w:line="240" w:lineRule="atLeast"/>
                        <w:rPr>
                          <w:sz w:val="24"/>
                          <w:szCs w:val="24"/>
                        </w:rPr>
                      </w:pPr>
                    </w:p>
                    <w:p w14:paraId="0DC4861A" w14:textId="77777777" w:rsidR="001974CD" w:rsidRPr="00096176" w:rsidRDefault="001974CD" w:rsidP="001974CD"/>
                  </w:txbxContent>
                </v:textbox>
                <w10:anchorlock/>
              </v:shape>
            </w:pict>
          </mc:Fallback>
        </mc:AlternateContent>
      </w:r>
    </w:p>
    <w:p w14:paraId="0C90391D" w14:textId="77777777" w:rsidR="001974CD" w:rsidRDefault="001974CD" w:rsidP="001974CD">
      <w:pPr>
        <w:pStyle w:val="Heading4"/>
      </w:pPr>
      <w:bookmarkStart w:id="126" w:name="_Toc190944934"/>
      <w:bookmarkStart w:id="127" w:name="_Toc199254971"/>
      <w:r>
        <w:t>Recommendation</w:t>
      </w:r>
      <w:bookmarkEnd w:id="126"/>
      <w:bookmarkEnd w:id="127"/>
    </w:p>
    <w:p w14:paraId="3CFCA330" w14:textId="5A395826" w:rsidR="00E667CE" w:rsidRDefault="001974CD" w:rsidP="0092658F">
      <w:r w:rsidRPr="007D666A">
        <w:t xml:space="preserve">A MoS greater than 100 was calculated using the ASEM. As a result, </w:t>
      </w:r>
      <w:r>
        <w:t>octocrylene</w:t>
      </w:r>
      <w:r w:rsidRPr="007D666A">
        <w:t xml:space="preserve"> is deemed to present a low</w:t>
      </w:r>
      <w:r>
        <w:t xml:space="preserve"> </w:t>
      </w:r>
      <w:r w:rsidRPr="007D666A">
        <w:t xml:space="preserve">risk to human health and safety when used at the highest maximum permitted concentration of </w:t>
      </w:r>
      <w:r>
        <w:t>10</w:t>
      </w:r>
      <w:r w:rsidRPr="007D666A">
        <w:t>% in therapeutic sunscreens. No changes are recommended to the current permitted use.</w:t>
      </w:r>
    </w:p>
    <w:p w14:paraId="3B7D1011" w14:textId="77777777" w:rsidR="00E667CE" w:rsidRDefault="00E667CE" w:rsidP="00E667CE">
      <w:pPr>
        <w:pStyle w:val="Heading3"/>
      </w:pPr>
      <w:bookmarkStart w:id="128" w:name="_Toc190944935"/>
      <w:bookmarkStart w:id="129" w:name="_Toc199254972"/>
      <w:r>
        <w:t>Octyl methoxycinnamate (</w:t>
      </w:r>
      <w:proofErr w:type="spellStart"/>
      <w:r>
        <w:t>Octinoxate</w:t>
      </w:r>
      <w:proofErr w:type="spellEnd"/>
      <w:r>
        <w:t>) safety assessment</w:t>
      </w:r>
      <w:bookmarkEnd w:id="128"/>
      <w:bookmarkEnd w:id="129"/>
    </w:p>
    <w:p w14:paraId="47DE253B" w14:textId="77777777" w:rsidR="00E667CE" w:rsidRPr="00B232E4" w:rsidRDefault="00E667CE" w:rsidP="0092658F">
      <w:pPr>
        <w:rPr>
          <w:snapToGrid w:val="0"/>
          <w:lang w:eastAsia="en-AU"/>
        </w:rPr>
      </w:pPr>
      <w:r w:rsidRPr="00B232E4">
        <w:rPr>
          <w:snapToGrid w:val="0"/>
          <w:lang w:eastAsia="en-AU"/>
        </w:rPr>
        <w:t xml:space="preserve">This </w:t>
      </w:r>
      <w:r>
        <w:rPr>
          <w:snapToGrid w:val="0"/>
          <w:lang w:eastAsia="en-AU"/>
        </w:rPr>
        <w:t xml:space="preserve">assessment </w:t>
      </w:r>
      <w:r w:rsidRPr="00B232E4">
        <w:rPr>
          <w:snapToGrid w:val="0"/>
          <w:lang w:eastAsia="en-AU"/>
        </w:rPr>
        <w:t>was based on the safety data from the ECHA website, the SCCS opinion (SCC, 2000), NICNAS Human Health Tier II Assessment Report, and scientific articles from peer-reviewed journals (NICNAS 2017, currently known as AICIS; ECHA 2021e).</w:t>
      </w:r>
    </w:p>
    <w:p w14:paraId="30472618" w14:textId="77777777" w:rsidR="00E667CE" w:rsidRPr="00EC5E95" w:rsidRDefault="00E667CE" w:rsidP="0092658F">
      <w:pPr>
        <w:rPr>
          <w:szCs w:val="22"/>
          <w:lang w:eastAsia="en-AU"/>
        </w:rPr>
      </w:pPr>
      <w:r w:rsidRPr="00EC5E95">
        <w:rPr>
          <w:szCs w:val="22"/>
        </w:rPr>
        <w:t>Available</w:t>
      </w:r>
      <w:r w:rsidRPr="00EC5E95">
        <w:rPr>
          <w:i/>
          <w:iCs/>
          <w:szCs w:val="22"/>
        </w:rPr>
        <w:t xml:space="preserve"> in vitro</w:t>
      </w:r>
      <w:r w:rsidRPr="00EC5E95">
        <w:rPr>
          <w:szCs w:val="22"/>
        </w:rPr>
        <w:t xml:space="preserve"> and </w:t>
      </w:r>
      <w:r w:rsidRPr="00EC5E95">
        <w:rPr>
          <w:i/>
          <w:iCs/>
          <w:szCs w:val="22"/>
        </w:rPr>
        <w:t>in vivo</w:t>
      </w:r>
      <w:r w:rsidRPr="00EC5E95">
        <w:rPr>
          <w:szCs w:val="22"/>
        </w:rPr>
        <w:t xml:space="preserve"> studies indicate </w:t>
      </w:r>
      <w:r w:rsidRPr="00FB4BE3">
        <w:t>octyl methoxycinnamate</w:t>
      </w:r>
      <w:r w:rsidRPr="00EC5E95" w:rsidDel="00852B36">
        <w:rPr>
          <w:szCs w:val="22"/>
        </w:rPr>
        <w:t xml:space="preserve"> </w:t>
      </w:r>
      <w:r w:rsidRPr="00EC5E95">
        <w:rPr>
          <w:szCs w:val="22"/>
        </w:rPr>
        <w:t xml:space="preserve">can poorly penetrate the skin. Systemic absorption of </w:t>
      </w:r>
      <w:r w:rsidRPr="00FB4BE3">
        <w:t>octyl methoxycinnamate</w:t>
      </w:r>
      <w:r w:rsidRPr="00EC5E95" w:rsidDel="00852B36">
        <w:rPr>
          <w:szCs w:val="22"/>
        </w:rPr>
        <w:t xml:space="preserve"> </w:t>
      </w:r>
      <w:r w:rsidRPr="00EC5E95">
        <w:rPr>
          <w:szCs w:val="22"/>
        </w:rPr>
        <w:t xml:space="preserve">was also demonstrated in recent randomised clinical trials (Matta </w:t>
      </w:r>
      <w:r w:rsidRPr="00EC5E95">
        <w:rPr>
          <w:i/>
          <w:iCs/>
          <w:szCs w:val="22"/>
        </w:rPr>
        <w:t>et al.,</w:t>
      </w:r>
      <w:r w:rsidRPr="00EC5E95">
        <w:rPr>
          <w:szCs w:val="22"/>
        </w:rPr>
        <w:t xml:space="preserve"> 2020). However, elimination rate constant was not determined due to the absence of intravenous studies. </w:t>
      </w:r>
    </w:p>
    <w:p w14:paraId="348D4282" w14:textId="77777777" w:rsidR="00E667CE" w:rsidRPr="00EC5E95" w:rsidRDefault="00E667CE" w:rsidP="0092658F">
      <w:pPr>
        <w:rPr>
          <w:szCs w:val="22"/>
        </w:rPr>
      </w:pPr>
      <w:r w:rsidRPr="00EC5E95">
        <w:rPr>
          <w:szCs w:val="22"/>
        </w:rPr>
        <w:t>O</w:t>
      </w:r>
      <w:r w:rsidRPr="00FB4BE3">
        <w:t>ctyl methoxycinnamate</w:t>
      </w:r>
      <w:r w:rsidRPr="00EC5E95" w:rsidDel="00852B36">
        <w:rPr>
          <w:szCs w:val="22"/>
        </w:rPr>
        <w:t xml:space="preserve"> </w:t>
      </w:r>
      <w:r w:rsidRPr="00EC5E95">
        <w:rPr>
          <w:szCs w:val="22"/>
        </w:rPr>
        <w:t>was found to be of low and moderate acute oral toxicity in mice and rats, respectively. Based on the limited data available, the chemical is not considered to be a skin irritant or an eye irritant. The chemical is not considered to be a skin sensitiser in humans. There is potential for photosensitivity following UV exposure, but the results are inconclusive.</w:t>
      </w:r>
    </w:p>
    <w:p w14:paraId="2A3D3C43" w14:textId="77777777" w:rsidR="00E667CE" w:rsidRPr="005E23DB" w:rsidRDefault="00E667CE" w:rsidP="0092658F">
      <w:r w:rsidRPr="00EC5E95">
        <w:rPr>
          <w:szCs w:val="22"/>
        </w:rPr>
        <w:t>No systemic effects were reported in a 13-week dermal repeat dose study in rats</w:t>
      </w:r>
      <w:r w:rsidRPr="0074486E">
        <w:rPr>
          <w:szCs w:val="22"/>
        </w:rPr>
        <w:t xml:space="preserve"> administered up to 534 mg/kg/day. The NOAEL was determined 450 mg/kg/day in a 13-week oral repeat dose study. </w:t>
      </w:r>
      <w:r w:rsidRPr="005E23DB">
        <w:t xml:space="preserve">Based on the available studies, the chemical </w:t>
      </w:r>
      <w:r>
        <w:t>was</w:t>
      </w:r>
      <w:r w:rsidRPr="005E23DB">
        <w:t xml:space="preserve"> not considered to cause serious damage to health from repeated dermal exposure.</w:t>
      </w:r>
    </w:p>
    <w:p w14:paraId="0A3D9150" w14:textId="3AEF5AE9" w:rsidR="00E667CE" w:rsidRPr="0074486E" w:rsidRDefault="00E667CE" w:rsidP="0092658F">
      <w:pPr>
        <w:rPr>
          <w:szCs w:val="22"/>
        </w:rPr>
      </w:pPr>
      <w:bookmarkStart w:id="130" w:name="_Hlk157437165"/>
      <w:r>
        <w:rPr>
          <w:szCs w:val="22"/>
        </w:rPr>
        <w:t>O</w:t>
      </w:r>
      <w:r w:rsidRPr="00FB4BE3">
        <w:t>ctyl methoxycinnamate</w:t>
      </w:r>
      <w:r w:rsidRPr="0074486E" w:rsidDel="00044E77">
        <w:rPr>
          <w:szCs w:val="22"/>
        </w:rPr>
        <w:t xml:space="preserve"> </w:t>
      </w:r>
      <w:bookmarkEnd w:id="130"/>
      <w:r w:rsidRPr="0074486E">
        <w:rPr>
          <w:szCs w:val="22"/>
        </w:rPr>
        <w:t xml:space="preserve">is not expected to have genotoxic potential, however, </w:t>
      </w:r>
      <w:r>
        <w:rPr>
          <w:szCs w:val="22"/>
        </w:rPr>
        <w:t xml:space="preserve">the lack of studies with </w:t>
      </w:r>
      <w:r w:rsidRPr="0074486E">
        <w:rPr>
          <w:szCs w:val="22"/>
        </w:rPr>
        <w:t xml:space="preserve">isomers </w:t>
      </w:r>
      <w:r w:rsidRPr="0074486E">
        <w:rPr>
          <w:i/>
          <w:szCs w:val="22"/>
        </w:rPr>
        <w:t>cis</w:t>
      </w:r>
      <w:r w:rsidRPr="0074486E">
        <w:rPr>
          <w:szCs w:val="22"/>
        </w:rPr>
        <w:t xml:space="preserve"> and </w:t>
      </w:r>
      <w:r w:rsidRPr="0074486E">
        <w:rPr>
          <w:i/>
          <w:szCs w:val="22"/>
        </w:rPr>
        <w:t xml:space="preserve">trans </w:t>
      </w:r>
      <w:r>
        <w:rPr>
          <w:szCs w:val="22"/>
        </w:rPr>
        <w:t>was noted</w:t>
      </w:r>
      <w:r w:rsidRPr="0074486E">
        <w:rPr>
          <w:szCs w:val="22"/>
        </w:rPr>
        <w:t>.</w:t>
      </w:r>
    </w:p>
    <w:p w14:paraId="76FC5BA9" w14:textId="77777777" w:rsidR="00E667CE" w:rsidRPr="005E23DB" w:rsidRDefault="00E667CE" w:rsidP="0092658F">
      <w:r w:rsidRPr="005E23DB">
        <w:t xml:space="preserve">No carcinogenicity </w:t>
      </w:r>
      <w:r>
        <w:t>study was conducted as per ICH guidelines</w:t>
      </w:r>
      <w:r w:rsidRPr="005E23DB">
        <w:t xml:space="preserve">. The chemical has not been shown to be a tumour initiator in </w:t>
      </w:r>
      <w:proofErr w:type="spellStart"/>
      <w:r w:rsidRPr="005E23DB">
        <w:t>photocarcinogenesis</w:t>
      </w:r>
      <w:proofErr w:type="spellEnd"/>
      <w:r w:rsidRPr="005E23DB">
        <w:t xml:space="preserve"> studies in mice. No genotoxic potential was observed. Quantitative Structure-Activity Relationship (QSAR) modelling gave an alert for potential non-genotoxic carcinogenicity, but no details are available (OECD QSAR Toolbox ver.3.2).</w:t>
      </w:r>
    </w:p>
    <w:p w14:paraId="4A556C0A" w14:textId="77777777" w:rsidR="00E667CE" w:rsidRPr="0074486E" w:rsidRDefault="00E667CE" w:rsidP="0092658F">
      <w:pPr>
        <w:rPr>
          <w:szCs w:val="22"/>
        </w:rPr>
      </w:pPr>
      <w:r w:rsidRPr="0074486E">
        <w:rPr>
          <w:szCs w:val="22"/>
        </w:rPr>
        <w:t>The SCC and NICNAS report</w:t>
      </w:r>
      <w:r w:rsidRPr="0074486E">
        <w:rPr>
          <w:szCs w:val="22"/>
          <w:vertAlign w:val="superscript"/>
        </w:rPr>
        <w:t xml:space="preserve"> </w:t>
      </w:r>
      <w:r w:rsidRPr="0074486E">
        <w:rPr>
          <w:szCs w:val="22"/>
        </w:rPr>
        <w:t>stated that</w:t>
      </w:r>
      <w:r w:rsidRPr="0074486E">
        <w:rPr>
          <w:szCs w:val="22"/>
          <w:vertAlign w:val="superscript"/>
        </w:rPr>
        <w:t xml:space="preserve"> “</w:t>
      </w:r>
      <w:r w:rsidRPr="0074486E">
        <w:rPr>
          <w:i/>
          <w:szCs w:val="22"/>
        </w:rPr>
        <w:t xml:space="preserve">based on the available data, the chemical is not considered to be reproductively or developmentally toxic at doses relevant to human exposure”. </w:t>
      </w:r>
      <w:r w:rsidRPr="00B232E4">
        <w:rPr>
          <w:b/>
          <w:bCs/>
          <w:szCs w:val="22"/>
        </w:rPr>
        <w:t xml:space="preserve">A NOAEL of 450 mg/kg </w:t>
      </w:r>
      <w:proofErr w:type="spellStart"/>
      <w:r w:rsidRPr="00B232E4">
        <w:rPr>
          <w:b/>
          <w:bCs/>
          <w:szCs w:val="22"/>
        </w:rPr>
        <w:t>bw</w:t>
      </w:r>
      <w:proofErr w:type="spellEnd"/>
      <w:r w:rsidRPr="00B232E4">
        <w:rPr>
          <w:b/>
          <w:bCs/>
          <w:szCs w:val="22"/>
        </w:rPr>
        <w:t>/day</w:t>
      </w:r>
      <w:r w:rsidRPr="0074486E">
        <w:rPr>
          <w:szCs w:val="22"/>
        </w:rPr>
        <w:t xml:space="preserve"> was established for fertility and reproduction parameters, and for systemic parental and developmental toxicity (Schneider </w:t>
      </w:r>
      <w:r w:rsidRPr="0074486E">
        <w:rPr>
          <w:i/>
          <w:szCs w:val="22"/>
        </w:rPr>
        <w:t>et al.</w:t>
      </w:r>
      <w:r w:rsidRPr="0074486E">
        <w:rPr>
          <w:szCs w:val="22"/>
        </w:rPr>
        <w:t xml:space="preserve"> 2005).</w:t>
      </w:r>
    </w:p>
    <w:p w14:paraId="4A1E8909" w14:textId="0B7F6687" w:rsidR="00E667CE" w:rsidRPr="0074486E" w:rsidRDefault="00E667CE" w:rsidP="0092658F">
      <w:pPr>
        <w:rPr>
          <w:szCs w:val="22"/>
        </w:rPr>
      </w:pPr>
      <w:r w:rsidRPr="0074486E">
        <w:rPr>
          <w:szCs w:val="22"/>
        </w:rPr>
        <w:lastRenderedPageBreak/>
        <w:t>A study</w:t>
      </w:r>
      <w:r>
        <w:rPr>
          <w:szCs w:val="22"/>
        </w:rPr>
        <w:t xml:space="preserve"> (</w:t>
      </w:r>
      <w:proofErr w:type="spellStart"/>
      <w:r w:rsidRPr="0074486E">
        <w:rPr>
          <w:szCs w:val="22"/>
        </w:rPr>
        <w:t>Axelstad</w:t>
      </w:r>
      <w:proofErr w:type="spellEnd"/>
      <w:r w:rsidRPr="0074486E">
        <w:rPr>
          <w:szCs w:val="22"/>
        </w:rPr>
        <w:t xml:space="preserve"> </w:t>
      </w:r>
      <w:r w:rsidRPr="0074486E">
        <w:rPr>
          <w:i/>
          <w:szCs w:val="22"/>
        </w:rPr>
        <w:t>et al.</w:t>
      </w:r>
      <w:r w:rsidRPr="0074486E">
        <w:rPr>
          <w:szCs w:val="22"/>
        </w:rPr>
        <w:t xml:space="preserve"> 2011</w:t>
      </w:r>
      <w:r>
        <w:rPr>
          <w:szCs w:val="22"/>
        </w:rPr>
        <w:t>)</w:t>
      </w:r>
      <w:r w:rsidRPr="0074486E">
        <w:rPr>
          <w:szCs w:val="22"/>
        </w:rPr>
        <w:t xml:space="preserve"> to investigate the </w:t>
      </w:r>
      <w:r>
        <w:rPr>
          <w:szCs w:val="22"/>
        </w:rPr>
        <w:t xml:space="preserve">effect of </w:t>
      </w:r>
      <w:r w:rsidRPr="00FB4BE3">
        <w:t>octyl methoxycinnamate</w:t>
      </w:r>
      <w:r w:rsidDel="00F121D1">
        <w:rPr>
          <w:szCs w:val="22"/>
        </w:rPr>
        <w:t xml:space="preserve"> </w:t>
      </w:r>
      <w:r>
        <w:rPr>
          <w:szCs w:val="22"/>
        </w:rPr>
        <w:t>treatment (500-1000 mg/kg/day, oral) on</w:t>
      </w:r>
      <w:r w:rsidRPr="0074486E">
        <w:rPr>
          <w:szCs w:val="22"/>
        </w:rPr>
        <w:t xml:space="preserve"> the endocrinological and neurological development of rat offspring </w:t>
      </w:r>
      <w:r>
        <w:rPr>
          <w:szCs w:val="22"/>
        </w:rPr>
        <w:t>indicated d</w:t>
      </w:r>
      <w:r w:rsidRPr="0098638B">
        <w:rPr>
          <w:szCs w:val="22"/>
        </w:rPr>
        <w:t xml:space="preserve">ecreased motor activity in female offspring </w:t>
      </w:r>
      <w:r>
        <w:rPr>
          <w:szCs w:val="22"/>
        </w:rPr>
        <w:t xml:space="preserve">and </w:t>
      </w:r>
      <w:r w:rsidRPr="0098638B">
        <w:rPr>
          <w:szCs w:val="22"/>
        </w:rPr>
        <w:t>increased spatial learning in male offspring</w:t>
      </w:r>
      <w:r>
        <w:rPr>
          <w:szCs w:val="22"/>
        </w:rPr>
        <w:t xml:space="preserve"> </w:t>
      </w:r>
      <w:r w:rsidRPr="0074486E">
        <w:rPr>
          <w:szCs w:val="22"/>
          <w:lang w:val="en"/>
        </w:rPr>
        <w:t>(</w:t>
      </w:r>
      <w:r w:rsidRPr="0074486E">
        <w:rPr>
          <w:szCs w:val="22"/>
        </w:rPr>
        <w:t>transient effects on thyroid axis, and in oestrogen level were also observed)</w:t>
      </w:r>
      <w:r w:rsidRPr="0074486E">
        <w:rPr>
          <w:szCs w:val="22"/>
          <w:lang w:val="en"/>
        </w:rPr>
        <w:t xml:space="preserve">. </w:t>
      </w:r>
      <w:r>
        <w:rPr>
          <w:szCs w:val="22"/>
          <w:lang w:val="en"/>
        </w:rPr>
        <w:t xml:space="preserve">The effects were observed at a much higher doses compared to clinical doses </w:t>
      </w:r>
      <w:r w:rsidRPr="0074486E">
        <w:rPr>
          <w:szCs w:val="22"/>
          <w:lang w:val="en"/>
        </w:rPr>
        <w:t>(</w:t>
      </w:r>
      <w:proofErr w:type="spellStart"/>
      <w:r w:rsidRPr="0074486E">
        <w:rPr>
          <w:szCs w:val="22"/>
        </w:rPr>
        <w:t>Axelstad</w:t>
      </w:r>
      <w:proofErr w:type="spellEnd"/>
      <w:r w:rsidRPr="0074486E">
        <w:rPr>
          <w:szCs w:val="22"/>
        </w:rPr>
        <w:t xml:space="preserve"> </w:t>
      </w:r>
      <w:r w:rsidRPr="0074486E">
        <w:rPr>
          <w:i/>
          <w:szCs w:val="22"/>
        </w:rPr>
        <w:t>et al.</w:t>
      </w:r>
      <w:r w:rsidRPr="0074486E">
        <w:rPr>
          <w:szCs w:val="22"/>
        </w:rPr>
        <w:t xml:space="preserve"> 2011</w:t>
      </w:r>
      <w:r w:rsidRPr="0074486E">
        <w:rPr>
          <w:szCs w:val="22"/>
          <w:lang w:val="en"/>
        </w:rPr>
        <w:t>).</w:t>
      </w:r>
    </w:p>
    <w:p w14:paraId="107BEA1A" w14:textId="77777777" w:rsidR="00E667CE" w:rsidRPr="00B232E4" w:rsidRDefault="00E667CE" w:rsidP="0092658F">
      <w:pPr>
        <w:rPr>
          <w:b/>
          <w:bCs/>
          <w:snapToGrid w:val="0"/>
          <w:lang w:eastAsia="en-AU"/>
        </w:rPr>
      </w:pPr>
      <w:r w:rsidRPr="00B232E4">
        <w:rPr>
          <w:snapToGrid w:val="0"/>
          <w:lang w:eastAsia="en-AU"/>
        </w:rPr>
        <w:t xml:space="preserve">The value of 1.77 </w:t>
      </w:r>
      <w:proofErr w:type="spellStart"/>
      <w:r w:rsidRPr="00B232E4">
        <w:rPr>
          <w:snapToGrid w:val="0"/>
          <w:lang w:eastAsia="en-AU"/>
        </w:rPr>
        <w:t>μg</w:t>
      </w:r>
      <w:proofErr w:type="spellEnd"/>
      <w:r w:rsidRPr="00B232E4">
        <w:rPr>
          <w:snapToGrid w:val="0"/>
          <w:lang w:eastAsia="en-AU"/>
        </w:rPr>
        <w:t>/cm</w:t>
      </w:r>
      <w:r w:rsidRPr="00B232E4">
        <w:rPr>
          <w:snapToGrid w:val="0"/>
          <w:vertAlign w:val="superscript"/>
          <w:lang w:eastAsia="en-AU"/>
        </w:rPr>
        <w:t>2</w:t>
      </w:r>
      <w:r w:rsidRPr="00B232E4">
        <w:rPr>
          <w:snapToGrid w:val="0"/>
          <w:lang w:eastAsia="en-AU"/>
        </w:rPr>
        <w:t xml:space="preserve"> following 6-h pig-ear skin exposure + 18-h free permeation after an application of oil-in-water emulsion sunscreen dose (0.5 mg/cm</w:t>
      </w:r>
      <w:r w:rsidRPr="00B232E4">
        <w:rPr>
          <w:snapToGrid w:val="0"/>
          <w:vertAlign w:val="superscript"/>
          <w:lang w:eastAsia="en-AU"/>
        </w:rPr>
        <w:t>2</w:t>
      </w:r>
      <w:r w:rsidRPr="00B232E4">
        <w:rPr>
          <w:snapToGrid w:val="0"/>
          <w:lang w:eastAsia="en-AU"/>
        </w:rPr>
        <w:t xml:space="preserve">) containing 10% </w:t>
      </w:r>
      <w:r w:rsidRPr="00FB4BE3">
        <w:t>octyl methoxycinnamate</w:t>
      </w:r>
      <w:r w:rsidRPr="00B232E4" w:rsidDel="00F121D1">
        <w:rPr>
          <w:snapToGrid w:val="0"/>
          <w:lang w:eastAsia="en-AU"/>
        </w:rPr>
        <w:t xml:space="preserve"> </w:t>
      </w:r>
      <w:r w:rsidRPr="00B232E4">
        <w:rPr>
          <w:snapToGrid w:val="0"/>
          <w:lang w:eastAsia="en-AU"/>
        </w:rPr>
        <w:t>was used in the SED calculation using as per the SCCS opinion (</w:t>
      </w:r>
      <w:r w:rsidRPr="00B232E4">
        <w:t xml:space="preserve">Klimova </w:t>
      </w:r>
      <w:r w:rsidRPr="00B232E4">
        <w:rPr>
          <w:i/>
        </w:rPr>
        <w:t>et al.</w:t>
      </w:r>
      <w:r w:rsidRPr="00B232E4">
        <w:t xml:space="preserve"> 2015</w:t>
      </w:r>
      <w:r w:rsidRPr="00B232E4">
        <w:rPr>
          <w:snapToGrid w:val="0"/>
          <w:lang w:eastAsia="en-AU"/>
        </w:rPr>
        <w:t>).</w:t>
      </w:r>
    </w:p>
    <w:p w14:paraId="68CBAD4D" w14:textId="26B21535" w:rsidR="00E667CE" w:rsidRDefault="00E667CE" w:rsidP="00E667CE">
      <w:pPr>
        <w:rPr>
          <w:rFonts w:eastAsia="Cambria" w:cs="Times New Roman"/>
          <w:b/>
          <w:bCs/>
          <w:color w:val="001871"/>
          <w:sz w:val="26"/>
          <w:szCs w:val="26"/>
          <w:shd w:val="clear" w:color="auto" w:fill="FFFFFF"/>
        </w:rPr>
      </w:pPr>
    </w:p>
    <w:p w14:paraId="68C45E61" w14:textId="77777777" w:rsidR="00E667CE" w:rsidRDefault="00E667CE" w:rsidP="00E667CE">
      <w:pPr>
        <w:pStyle w:val="Heading4"/>
        <w:rPr>
          <w:rFonts w:eastAsia="Times New Roman"/>
          <w:snapToGrid w:val="0"/>
          <w:kern w:val="16"/>
          <w:sz w:val="22"/>
          <w:lang w:eastAsia="en-AU"/>
        </w:rPr>
      </w:pPr>
      <w:bookmarkStart w:id="131" w:name="_Toc190944936"/>
      <w:bookmarkStart w:id="132" w:name="_Toc199254973"/>
      <w:r w:rsidRPr="00B53EAE">
        <w:t xml:space="preserve">Exposure </w:t>
      </w:r>
      <w:proofErr w:type="gramStart"/>
      <w:r w:rsidRPr="00B53EAE">
        <w:t>estimate</w:t>
      </w:r>
      <w:proofErr w:type="gramEnd"/>
      <w:r w:rsidRPr="00B53EAE">
        <w:t xml:space="preserve"> and Margin of Safety</w:t>
      </w:r>
      <w:r>
        <w:t xml:space="preserve"> for </w:t>
      </w:r>
      <w:r w:rsidRPr="00F121D1">
        <w:t>octyl methoxycinnamate</w:t>
      </w:r>
      <w:bookmarkEnd w:id="131"/>
      <w:bookmarkEnd w:id="132"/>
      <w:r w:rsidRPr="00F121D1" w:rsidDel="00F121D1">
        <w:t xml:space="preserve"> </w:t>
      </w:r>
    </w:p>
    <w:p w14:paraId="50658F4C" w14:textId="77777777" w:rsidR="00E667CE" w:rsidRDefault="00E667CE" w:rsidP="0092658F">
      <w:pPr>
        <w:pStyle w:val="Tabletitle"/>
      </w:pPr>
      <w:r>
        <w:t>O</w:t>
      </w:r>
      <w:r w:rsidRPr="00F121D1">
        <w:t>ctyl methoxycinnamate</w:t>
      </w:r>
      <w:r w:rsidRPr="00F121D1" w:rsidDel="00F121D1">
        <w:t xml:space="preserve"> </w:t>
      </w:r>
      <w:r w:rsidRPr="00AE0E35">
        <w:t>–</w:t>
      </w:r>
      <w:r>
        <w:t xml:space="preserve"> standard</w:t>
      </w:r>
      <w:r w:rsidRPr="00AE0E35">
        <w:t xml:space="preserve"> parameters for the estimation of the systemic exposure dose</w:t>
      </w:r>
    </w:p>
    <w:tbl>
      <w:tblPr>
        <w:tblStyle w:val="TableTGAblue2023"/>
        <w:tblW w:w="9145" w:type="dxa"/>
        <w:tblLook w:val="04A0" w:firstRow="1" w:lastRow="0" w:firstColumn="1" w:lastColumn="0" w:noHBand="0" w:noVBand="1"/>
      </w:tblPr>
      <w:tblGrid>
        <w:gridCol w:w="6374"/>
        <w:gridCol w:w="2771"/>
      </w:tblGrid>
      <w:tr w:rsidR="00E667CE" w:rsidRPr="0092658F" w14:paraId="387A89D2" w14:textId="77777777" w:rsidTr="00E07077">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374" w:type="dxa"/>
          </w:tcPr>
          <w:p w14:paraId="63372B34" w14:textId="77777777" w:rsidR="00E667CE" w:rsidRPr="0092658F" w:rsidRDefault="00E667CE" w:rsidP="00E07077">
            <w:pPr>
              <w:pStyle w:val="Standard"/>
              <w:spacing w:after="0"/>
              <w:rPr>
                <w:rFonts w:ascii="Arial" w:hAnsi="Arial" w:cs="Arial"/>
                <w:sz w:val="20"/>
                <w:szCs w:val="20"/>
              </w:rPr>
            </w:pPr>
            <w:r w:rsidRPr="0092658F">
              <w:rPr>
                <w:rFonts w:ascii="Arial" w:hAnsi="Arial" w:cs="Arial"/>
                <w:sz w:val="20"/>
                <w:szCs w:val="20"/>
              </w:rPr>
              <w:t>Parameter</w:t>
            </w:r>
          </w:p>
        </w:tc>
        <w:tc>
          <w:tcPr>
            <w:tcW w:w="2771" w:type="dxa"/>
          </w:tcPr>
          <w:p w14:paraId="56814680" w14:textId="77777777" w:rsidR="00E667CE" w:rsidRPr="0092658F" w:rsidRDefault="00E667CE" w:rsidP="00E07077">
            <w:pPr>
              <w:pStyle w:val="Standard"/>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2658F">
              <w:rPr>
                <w:rFonts w:ascii="Arial" w:hAnsi="Arial" w:cs="Arial"/>
                <w:sz w:val="20"/>
                <w:szCs w:val="20"/>
              </w:rPr>
              <w:t>Value</w:t>
            </w:r>
          </w:p>
        </w:tc>
      </w:tr>
      <w:tr w:rsidR="00E667CE" w:rsidRPr="0092658F" w14:paraId="143BF806" w14:textId="77777777" w:rsidTr="00E07077">
        <w:trPr>
          <w:trHeight w:val="315"/>
        </w:trPr>
        <w:tc>
          <w:tcPr>
            <w:cnfStyle w:val="001000000000" w:firstRow="0" w:lastRow="0" w:firstColumn="1" w:lastColumn="0" w:oddVBand="0" w:evenVBand="0" w:oddHBand="0" w:evenHBand="0" w:firstRowFirstColumn="0" w:firstRowLastColumn="0" w:lastRowFirstColumn="0" w:lastRowLastColumn="0"/>
            <w:tcW w:w="6374" w:type="dxa"/>
          </w:tcPr>
          <w:p w14:paraId="500617A7" w14:textId="77777777" w:rsidR="00E667CE" w:rsidRPr="0092658F" w:rsidRDefault="00E667CE" w:rsidP="00E07077">
            <w:pPr>
              <w:pStyle w:val="Standard"/>
              <w:spacing w:before="120" w:after="120"/>
              <w:rPr>
                <w:rFonts w:ascii="Arial" w:hAnsi="Arial" w:cs="Arial"/>
                <w:b/>
                <w:bCs/>
                <w:sz w:val="20"/>
                <w:szCs w:val="20"/>
              </w:rPr>
            </w:pPr>
            <w:r w:rsidRPr="0092658F">
              <w:rPr>
                <w:rFonts w:ascii="Arial" w:hAnsi="Arial" w:cs="Arial"/>
                <w:sz w:val="20"/>
                <w:szCs w:val="20"/>
              </w:rPr>
              <w:t>NOAEL</w:t>
            </w:r>
          </w:p>
        </w:tc>
        <w:tc>
          <w:tcPr>
            <w:tcW w:w="2771" w:type="dxa"/>
          </w:tcPr>
          <w:p w14:paraId="14C63DC2" w14:textId="77777777" w:rsidR="00E667CE" w:rsidRPr="0092658F" w:rsidRDefault="00E667CE" w:rsidP="00E07077">
            <w:pPr>
              <w:pStyle w:val="Standard"/>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2658F">
              <w:rPr>
                <w:rFonts w:ascii="Arial" w:hAnsi="Arial" w:cs="Arial"/>
                <w:color w:val="auto"/>
                <w:sz w:val="20"/>
                <w:szCs w:val="20"/>
              </w:rPr>
              <w:t xml:space="preserve">450 mg/kg </w:t>
            </w:r>
            <w:proofErr w:type="spellStart"/>
            <w:r w:rsidRPr="0092658F">
              <w:rPr>
                <w:rFonts w:ascii="Arial" w:hAnsi="Arial" w:cs="Arial"/>
                <w:color w:val="auto"/>
                <w:sz w:val="20"/>
                <w:szCs w:val="20"/>
              </w:rPr>
              <w:t>bw</w:t>
            </w:r>
            <w:proofErr w:type="spellEnd"/>
            <w:r w:rsidRPr="0092658F">
              <w:rPr>
                <w:rFonts w:ascii="Arial" w:hAnsi="Arial" w:cs="Arial"/>
                <w:color w:val="auto"/>
                <w:sz w:val="20"/>
                <w:szCs w:val="20"/>
              </w:rPr>
              <w:t>/day</w:t>
            </w:r>
          </w:p>
        </w:tc>
      </w:tr>
      <w:tr w:rsidR="00E667CE" w:rsidRPr="0092658F" w14:paraId="00356EE8" w14:textId="77777777" w:rsidTr="00E07077">
        <w:trPr>
          <w:trHeight w:val="492"/>
        </w:trPr>
        <w:tc>
          <w:tcPr>
            <w:cnfStyle w:val="001000000000" w:firstRow="0" w:lastRow="0" w:firstColumn="1" w:lastColumn="0" w:oddVBand="0" w:evenVBand="0" w:oddHBand="0" w:evenHBand="0" w:firstRowFirstColumn="0" w:firstRowLastColumn="0" w:lastRowFirstColumn="0" w:lastRowLastColumn="0"/>
            <w:tcW w:w="6374" w:type="dxa"/>
          </w:tcPr>
          <w:p w14:paraId="5BA6A8AA" w14:textId="77777777" w:rsidR="00E667CE" w:rsidRPr="0092658F" w:rsidRDefault="00E667CE" w:rsidP="00E07077">
            <w:pPr>
              <w:pStyle w:val="Standard"/>
              <w:spacing w:before="120" w:after="120"/>
              <w:rPr>
                <w:rFonts w:ascii="Arial" w:hAnsi="Arial" w:cs="Arial"/>
                <w:b/>
                <w:bCs/>
                <w:sz w:val="20"/>
                <w:szCs w:val="20"/>
              </w:rPr>
            </w:pPr>
            <w:r w:rsidRPr="0092658F">
              <w:rPr>
                <w:rFonts w:ascii="Arial" w:hAnsi="Arial" w:cs="Arial"/>
                <w:sz w:val="20"/>
                <w:szCs w:val="20"/>
              </w:rPr>
              <w:t>Dermal absorption (</w:t>
            </w:r>
            <w:proofErr w:type="spellStart"/>
            <w:r w:rsidRPr="0092658F">
              <w:rPr>
                <w:rFonts w:ascii="Arial" w:hAnsi="Arial" w:cs="Arial"/>
                <w:sz w:val="20"/>
                <w:szCs w:val="20"/>
              </w:rPr>
              <w:t>DAp</w:t>
            </w:r>
            <w:proofErr w:type="spellEnd"/>
            <w:r w:rsidRPr="0092658F">
              <w:rPr>
                <w:rFonts w:ascii="Arial" w:hAnsi="Arial" w:cs="Arial"/>
                <w:sz w:val="20"/>
                <w:szCs w:val="20"/>
              </w:rPr>
              <w:t>)</w:t>
            </w:r>
          </w:p>
        </w:tc>
        <w:tc>
          <w:tcPr>
            <w:tcW w:w="2771" w:type="dxa"/>
          </w:tcPr>
          <w:p w14:paraId="23A15B39" w14:textId="77777777" w:rsidR="00E667CE" w:rsidRPr="0092658F" w:rsidRDefault="00E667CE" w:rsidP="00E07077">
            <w:pPr>
              <w:pStyle w:val="Standard"/>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2658F">
              <w:rPr>
                <w:rFonts w:ascii="Arial" w:hAnsi="Arial" w:cs="Arial"/>
                <w:color w:val="auto"/>
                <w:sz w:val="20"/>
                <w:szCs w:val="20"/>
              </w:rPr>
              <w:t>1.77 µg/cm</w:t>
            </w:r>
            <w:r w:rsidRPr="0092658F">
              <w:rPr>
                <w:rFonts w:ascii="Arial" w:hAnsi="Arial" w:cs="Arial"/>
                <w:color w:val="auto"/>
                <w:sz w:val="20"/>
                <w:szCs w:val="20"/>
                <w:vertAlign w:val="superscript"/>
              </w:rPr>
              <w:t>2</w:t>
            </w:r>
          </w:p>
        </w:tc>
      </w:tr>
      <w:tr w:rsidR="00E667CE" w:rsidRPr="0092658F" w14:paraId="19667F27" w14:textId="77777777" w:rsidTr="00E07077">
        <w:trPr>
          <w:trHeight w:val="874"/>
        </w:trPr>
        <w:tc>
          <w:tcPr>
            <w:cnfStyle w:val="001000000000" w:firstRow="0" w:lastRow="0" w:firstColumn="1" w:lastColumn="0" w:oddVBand="0" w:evenVBand="0" w:oddHBand="0" w:evenHBand="0" w:firstRowFirstColumn="0" w:firstRowLastColumn="0" w:lastRowFirstColumn="0" w:lastRowLastColumn="0"/>
            <w:tcW w:w="6374" w:type="dxa"/>
          </w:tcPr>
          <w:p w14:paraId="1CEC5B8D" w14:textId="77777777" w:rsidR="00E667CE" w:rsidRPr="0092658F" w:rsidRDefault="00E667CE" w:rsidP="00E07077">
            <w:pPr>
              <w:pStyle w:val="Standard"/>
              <w:spacing w:before="120" w:after="120"/>
              <w:rPr>
                <w:rFonts w:ascii="Arial" w:hAnsi="Arial" w:cs="Arial"/>
                <w:b/>
                <w:bCs/>
                <w:sz w:val="20"/>
                <w:szCs w:val="20"/>
              </w:rPr>
            </w:pPr>
            <w:r w:rsidRPr="0092658F">
              <w:rPr>
                <w:rFonts w:ascii="Arial" w:hAnsi="Arial" w:cs="Arial"/>
                <w:sz w:val="20"/>
                <w:szCs w:val="20"/>
              </w:rPr>
              <w:t>Highest concentration permitted to be used in Australian sunscreen products (C)</w:t>
            </w:r>
          </w:p>
        </w:tc>
        <w:tc>
          <w:tcPr>
            <w:tcW w:w="2771" w:type="dxa"/>
          </w:tcPr>
          <w:p w14:paraId="3280FC94" w14:textId="77777777" w:rsidR="00E667CE" w:rsidRPr="0092658F" w:rsidRDefault="00E667CE" w:rsidP="00E07077">
            <w:pPr>
              <w:pStyle w:val="Standard"/>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2658F">
              <w:rPr>
                <w:rFonts w:ascii="Arial" w:hAnsi="Arial" w:cs="Arial"/>
                <w:color w:val="auto"/>
                <w:sz w:val="20"/>
                <w:szCs w:val="20"/>
              </w:rPr>
              <w:t>10 %</w:t>
            </w:r>
          </w:p>
        </w:tc>
      </w:tr>
    </w:tbl>
    <w:p w14:paraId="0C28B64A" w14:textId="77777777" w:rsidR="00E667CE" w:rsidRPr="0092658F" w:rsidRDefault="00E667CE" w:rsidP="00E667CE">
      <w:pPr>
        <w:pStyle w:val="Standard"/>
        <w:rPr>
          <w:rFonts w:ascii="Arial" w:hAnsi="Arial" w:cs="Arial"/>
          <w:b/>
          <w:bCs/>
          <w:sz w:val="20"/>
          <w:szCs w:val="20"/>
        </w:rPr>
      </w:pPr>
    </w:p>
    <w:p w14:paraId="10E5F46D" w14:textId="77777777" w:rsidR="00E667CE" w:rsidRPr="0092658F" w:rsidRDefault="00E667CE" w:rsidP="00E667CE">
      <w:pPr>
        <w:pStyle w:val="Standard"/>
        <w:rPr>
          <w:rFonts w:ascii="Arial" w:hAnsi="Arial" w:cs="Arial"/>
          <w:b/>
          <w:bCs/>
          <w:sz w:val="20"/>
          <w:szCs w:val="20"/>
        </w:rPr>
      </w:pPr>
      <w:r w:rsidRPr="0092658F">
        <w:rPr>
          <w:rFonts w:ascii="Arial" w:hAnsi="Arial" w:cs="Arial"/>
          <w:b/>
          <w:bCs/>
          <w:sz w:val="20"/>
          <w:szCs w:val="20"/>
        </w:rPr>
        <w:t>Estimated octyl methoxycinnamate</w:t>
      </w:r>
      <w:r w:rsidRPr="0092658F" w:rsidDel="00F121D1">
        <w:rPr>
          <w:rFonts w:ascii="Arial" w:hAnsi="Arial" w:cs="Arial"/>
          <w:b/>
          <w:bCs/>
          <w:sz w:val="20"/>
          <w:szCs w:val="20"/>
        </w:rPr>
        <w:t xml:space="preserve"> </w:t>
      </w:r>
      <w:r w:rsidRPr="0092658F">
        <w:rPr>
          <w:rFonts w:ascii="Arial" w:hAnsi="Arial" w:cs="Arial"/>
          <w:b/>
          <w:bCs/>
          <w:sz w:val="20"/>
          <w:szCs w:val="20"/>
        </w:rPr>
        <w:t xml:space="preserve">SED and MoS using the Australian Sunscreen Exposure Model (ASEM) </w:t>
      </w:r>
    </w:p>
    <w:p w14:paraId="60DEAE45" w14:textId="77777777" w:rsidR="00E667CE" w:rsidRDefault="00E667CE" w:rsidP="00E667CE">
      <w:pPr>
        <w:pStyle w:val="Heading5sub"/>
      </w:pPr>
      <w:r>
        <w:t>ASEM method 2 (</w:t>
      </w:r>
      <w:proofErr w:type="spellStart"/>
      <w:r w:rsidRPr="00913E17">
        <w:t>μg</w:t>
      </w:r>
      <w:proofErr w:type="spellEnd"/>
      <w:r w:rsidRPr="00913E17">
        <w:t>/cm²</w:t>
      </w:r>
      <w:r>
        <w:t>) MoS calculation</w:t>
      </w:r>
    </w:p>
    <w:p w14:paraId="59D08181" w14:textId="77777777" w:rsidR="00E667CE" w:rsidRPr="008B7E4C" w:rsidRDefault="00E667CE" w:rsidP="00E667CE">
      <w:pPr>
        <w:spacing w:before="240"/>
        <w:rPr>
          <w:rFonts w:cs="Arial"/>
          <w:b/>
          <w:bCs/>
        </w:rPr>
      </w:pPr>
      <w:r w:rsidRPr="003645DF">
        <w:rPr>
          <w:rFonts w:cs="Arial"/>
          <w:noProof/>
        </w:rPr>
        <mc:AlternateContent>
          <mc:Choice Requires="wps">
            <w:drawing>
              <wp:inline distT="0" distB="0" distL="0" distR="0" wp14:anchorId="3CE2208B" wp14:editId="4A07553A">
                <wp:extent cx="5759450" cy="1684117"/>
                <wp:effectExtent l="0" t="0" r="12700" b="11430"/>
                <wp:docPr id="1367466052" name="Text Box 1367466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684117"/>
                        </a:xfrm>
                        <a:prstGeom prst="rect">
                          <a:avLst/>
                        </a:prstGeom>
                        <a:solidFill>
                          <a:srgbClr val="FFFFFF"/>
                        </a:solidFill>
                        <a:ln w="9525">
                          <a:solidFill>
                            <a:schemeClr val="tx1"/>
                          </a:solidFill>
                          <a:miter lim="800000"/>
                          <a:headEnd/>
                          <a:tailEnd/>
                        </a:ln>
                      </wps:spPr>
                      <wps:txbx>
                        <w:txbxContent>
                          <w:p w14:paraId="430D2B0D" w14:textId="77777777" w:rsidR="00E667CE" w:rsidRPr="00B232E4" w:rsidRDefault="00E667CE" w:rsidP="00E667CE">
                            <w:pPr>
                              <w:rPr>
                                <w:rFonts w:ascii="Cambria Math" w:eastAsiaTheme="minorEastAsia" w:hAnsi="Cambria Math" w:cs="Cambria Math"/>
                                <w:sz w:val="24"/>
                                <w:szCs w:val="24"/>
                              </w:rPr>
                            </w:pPr>
                            <m:oMathPara>
                              <m:oMathParaPr>
                                <m:jc m:val="center"/>
                              </m:oMathParaPr>
                              <m:oMath>
                                <m:r>
                                  <w:rPr>
                                    <w:rFonts w:ascii="Cambria Math" w:hAnsi="Cambria Math" w:cs="Cambria Math"/>
                                    <w:sz w:val="24"/>
                                    <w:szCs w:val="24"/>
                                  </w:rPr>
                                  <m:t>SED=</m:t>
                                </m:r>
                                <m:sSub>
                                  <m:sSubPr>
                                    <m:ctrlPr>
                                      <w:rPr>
                                        <w:rFonts w:ascii="Cambria Math" w:hAnsi="Cambria Math" w:cs="Cambria Math"/>
                                        <w:i/>
                                        <w:iCs/>
                                        <w:sz w:val="24"/>
                                        <w:szCs w:val="24"/>
                                      </w:rPr>
                                    </m:ctrlPr>
                                  </m:sSubPr>
                                  <m:e>
                                    <m:r>
                                      <w:rPr>
                                        <w:rFonts w:ascii="Cambria Math" w:hAnsi="Cambria Math" w:cs="Cambria Math"/>
                                        <w:sz w:val="24"/>
                                        <w:szCs w:val="24"/>
                                      </w:rPr>
                                      <m:t>ASEM</m:t>
                                    </m:r>
                                  </m:e>
                                  <m:sub>
                                    <m:r>
                                      <m:rPr>
                                        <m:sty m:val="p"/>
                                      </m:rPr>
                                      <w:rPr>
                                        <w:rFonts w:ascii="Cambria Math" w:hAnsi="Cambria Math" w:cs="Arial"/>
                                        <w:sz w:val="24"/>
                                        <w:szCs w:val="24"/>
                                      </w:rPr>
                                      <m:t xml:space="preserve">(method 2) </m:t>
                                    </m:r>
                                  </m:sub>
                                </m:sSub>
                                <m:r>
                                  <w:rPr>
                                    <w:rFonts w:ascii="Cambria Math" w:hAnsi="Cambria Math" w:cs="Cambria Math"/>
                                    <w:sz w:val="24"/>
                                    <w:szCs w:val="24"/>
                                  </w:rPr>
                                  <m:t>×</m:t>
                                </m:r>
                                <m:sSub>
                                  <m:sSubPr>
                                    <m:ctrlPr>
                                      <w:rPr>
                                        <w:rFonts w:ascii="Cambria Math" w:hAnsi="Cambria Math" w:cs="Cambria Math"/>
                                        <w:i/>
                                        <w:sz w:val="24"/>
                                        <w:szCs w:val="24"/>
                                      </w:rPr>
                                    </m:ctrlPr>
                                  </m:sSubPr>
                                  <m:e>
                                    <m:r>
                                      <w:rPr>
                                        <w:rFonts w:ascii="Cambria Math" w:hAnsi="Cambria Math" w:cs="Cambria Math"/>
                                        <w:sz w:val="24"/>
                                        <w:szCs w:val="24"/>
                                      </w:rPr>
                                      <m:t>DA</m:t>
                                    </m:r>
                                  </m:e>
                                  <m:sub>
                                    <m:r>
                                      <w:rPr>
                                        <w:rFonts w:ascii="Cambria Math" w:hAnsi="Cambria Math" w:cs="Cambria Math"/>
                                        <w:sz w:val="24"/>
                                        <w:szCs w:val="24"/>
                                      </w:rPr>
                                      <m:t>a</m:t>
                                    </m:r>
                                  </m:sub>
                                </m:sSub>
                                <m:r>
                                  <w:rPr>
                                    <w:rFonts w:ascii="Cambria Math" w:hAnsi="Cambria Math" w:cs="Cambria Math"/>
                                    <w:sz w:val="24"/>
                                    <w:szCs w:val="24"/>
                                  </w:rPr>
                                  <m:t xml:space="preserve">      </m:t>
                                </m:r>
                              </m:oMath>
                            </m:oMathPara>
                          </w:p>
                          <w:p w14:paraId="6B39578E" w14:textId="77777777" w:rsidR="00E667CE" w:rsidRPr="00B232E4" w:rsidRDefault="00E667CE" w:rsidP="00E667CE">
                            <w:pPr>
                              <w:rPr>
                                <w:rFonts w:ascii="Cambria Math" w:hAnsi="Cambria Math" w:cs="Cambria Math"/>
                                <w:b/>
                                <w:bCs/>
                                <w:sz w:val="24"/>
                                <w:szCs w:val="24"/>
                              </w:rPr>
                            </w:pPr>
                            <m:oMathPara>
                              <m:oMathParaPr>
                                <m:jc m:val="center"/>
                              </m:oMathParaPr>
                              <m:oMath>
                                <m:r>
                                  <w:rPr>
                                    <w:rFonts w:ascii="Cambria Math" w:hAnsi="Cambria Math" w:cs="Cambria Math"/>
                                    <w:sz w:val="24"/>
                                    <w:szCs w:val="24"/>
                                  </w:rPr>
                                  <m:t xml:space="preserve">=336 </m:t>
                                </m:r>
                                <m:sSup>
                                  <m:sSupPr>
                                    <m:ctrlPr>
                                      <w:rPr>
                                        <w:rFonts w:ascii="Cambria Math" w:hAnsi="Cambria Math" w:cs="Cambria Math"/>
                                        <w:i/>
                                        <w:sz w:val="24"/>
                                        <w:szCs w:val="24"/>
                                      </w:rPr>
                                    </m:ctrlPr>
                                  </m:sSupPr>
                                  <m:e>
                                    <m:r>
                                      <w:rPr>
                                        <w:rFonts w:ascii="Cambria Math" w:hAnsi="Cambria Math" w:cs="Cambria Math"/>
                                        <w:sz w:val="24"/>
                                        <w:szCs w:val="24"/>
                                      </w:rPr>
                                      <m:t>cm</m:t>
                                    </m:r>
                                  </m:e>
                                  <m:sup>
                                    <m:r>
                                      <w:rPr>
                                        <w:rFonts w:ascii="Cambria Math" w:hAnsi="Cambria Math" w:cs="Cambria Math"/>
                                        <w:sz w:val="24"/>
                                        <w:szCs w:val="24"/>
                                      </w:rPr>
                                      <m:t>2</m:t>
                                    </m:r>
                                  </m:sup>
                                </m:sSup>
                                <m:r>
                                  <w:rPr>
                                    <w:rFonts w:ascii="Cambria Math" w:hAnsi="Cambria Math" w:cs="Cambria Math"/>
                                    <w:sz w:val="24"/>
                                    <w:szCs w:val="24"/>
                                  </w:rPr>
                                  <m:t>/kg bw/day ×1.77 µg/</m:t>
                                </m:r>
                                <m:sSup>
                                  <m:sSupPr>
                                    <m:ctrlPr>
                                      <w:rPr>
                                        <w:rFonts w:ascii="Cambria Math" w:hAnsi="Cambria Math" w:cs="Cambria Math"/>
                                        <w:i/>
                                        <w:sz w:val="24"/>
                                        <w:szCs w:val="24"/>
                                      </w:rPr>
                                    </m:ctrlPr>
                                  </m:sSupPr>
                                  <m:e>
                                    <m:r>
                                      <w:rPr>
                                        <w:rFonts w:ascii="Cambria Math" w:hAnsi="Cambria Math" w:cs="Cambria Math"/>
                                        <w:sz w:val="24"/>
                                        <w:szCs w:val="24"/>
                                      </w:rPr>
                                      <m:t>cm</m:t>
                                    </m:r>
                                  </m:e>
                                  <m:sup>
                                    <m:r>
                                      <w:rPr>
                                        <w:rFonts w:ascii="Cambria Math" w:hAnsi="Cambria Math" w:cs="Cambria Math"/>
                                        <w:sz w:val="24"/>
                                        <w:szCs w:val="24"/>
                                      </w:rPr>
                                      <m:t>2</m:t>
                                    </m:r>
                                  </m:sup>
                                </m:sSup>
                                <m:r>
                                  <w:rPr>
                                    <w:rFonts w:ascii="Cambria Math" w:hAnsi="Cambria Math" w:cs="Cambria Math"/>
                                    <w:sz w:val="24"/>
                                    <w:szCs w:val="24"/>
                                  </w:rPr>
                                  <m:t xml:space="preserve"> </m:t>
                                </m:r>
                              </m:oMath>
                            </m:oMathPara>
                          </w:p>
                          <w:p w14:paraId="11E0C784" w14:textId="77777777" w:rsidR="00E667CE" w:rsidRPr="00B232E4" w:rsidRDefault="00E667CE" w:rsidP="00E667CE">
                            <w:pPr>
                              <w:spacing w:before="120" w:line="240" w:lineRule="atLeast"/>
                              <w:rPr>
                                <w:rFonts w:eastAsiaTheme="minorEastAsia" w:cs="Arial"/>
                                <w:i/>
                                <w:sz w:val="24"/>
                                <w:szCs w:val="24"/>
                              </w:rPr>
                            </w:pPr>
                            <m:oMathPara>
                              <m:oMath>
                                <m:r>
                                  <w:rPr>
                                    <w:rFonts w:ascii="Cambria Math" w:eastAsiaTheme="minorEastAsia" w:hAnsi="Cambria Math" w:cs="Arial"/>
                                    <w:sz w:val="24"/>
                                    <w:szCs w:val="24"/>
                                  </w:rPr>
                                  <m:t>=595 µg/kg bw/day=0.595 mg/kg bw/day</m:t>
                                </m:r>
                                <m:r>
                                  <m:rPr>
                                    <m:sty m:val="p"/>
                                  </m:rPr>
                                  <w:rPr>
                                    <w:rFonts w:eastAsiaTheme="minorEastAsia" w:cs="Arial"/>
                                    <w:sz w:val="24"/>
                                    <w:szCs w:val="24"/>
                                  </w:rPr>
                                  <w:br/>
                                </m:r>
                              </m:oMath>
                            </m:oMathPara>
                          </w:p>
                          <w:p w14:paraId="7752E033" w14:textId="77777777" w:rsidR="00E667CE" w:rsidRPr="00B232E4" w:rsidRDefault="00E667CE" w:rsidP="00E667CE">
                            <w:pPr>
                              <w:spacing w:before="120" w:line="240" w:lineRule="atLeast"/>
                              <w:rPr>
                                <w:rFonts w:eastAsiaTheme="minorEastAsia"/>
                                <w:b/>
                                <w:color w:val="00B0F0"/>
                                <w:sz w:val="24"/>
                                <w:szCs w:val="24"/>
                              </w:rPr>
                            </w:pPr>
                            <m:oMathPara>
                              <m:oMathParaPr>
                                <m:jc m:val="center"/>
                              </m:oMathParaPr>
                              <m:oMath>
                                <m:r>
                                  <w:rPr>
                                    <w:rFonts w:ascii="Cambria Math" w:hAnsi="Cambria Math"/>
                                    <w:sz w:val="24"/>
                                    <w:szCs w:val="24"/>
                                  </w:rPr>
                                  <m:t xml:space="preserve">MoS= </m:t>
                                </m:r>
                                <m:f>
                                  <m:fPr>
                                    <m:ctrlPr>
                                      <w:rPr>
                                        <w:rFonts w:ascii="Cambria Math" w:hAnsi="Cambria Math"/>
                                        <w:i/>
                                        <w:sz w:val="24"/>
                                        <w:szCs w:val="24"/>
                                      </w:rPr>
                                    </m:ctrlPr>
                                  </m:fPr>
                                  <m:num>
                                    <m:r>
                                      <w:rPr>
                                        <w:rFonts w:ascii="Cambria Math" w:hAnsi="Cambria Math"/>
                                        <w:sz w:val="24"/>
                                        <w:szCs w:val="24"/>
                                      </w:rPr>
                                      <m:t>NOAEL (mg/kg bw/day)</m:t>
                                    </m:r>
                                  </m:num>
                                  <m:den>
                                    <m:r>
                                      <w:rPr>
                                        <w:rFonts w:ascii="Cambria Math" w:hAnsi="Cambria Math"/>
                                        <w:sz w:val="24"/>
                                        <w:szCs w:val="24"/>
                                      </w:rPr>
                                      <m:t>SED (mg/kg bw/day)</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 xml:space="preserve">450 mg/kg bw/d </m:t>
                                    </m:r>
                                  </m:num>
                                  <m:den>
                                    <m:r>
                                      <w:rPr>
                                        <w:rFonts w:ascii="Cambria Math" w:hAnsi="Cambria Math"/>
                                        <w:sz w:val="24"/>
                                        <w:szCs w:val="24"/>
                                      </w:rPr>
                                      <m:t>0.595 mg/kg bw/d</m:t>
                                    </m:r>
                                  </m:den>
                                </m:f>
                                <m:r>
                                  <w:rPr>
                                    <w:rFonts w:ascii="Cambria Math" w:hAnsi="Cambria Math"/>
                                    <w:sz w:val="24"/>
                                    <w:szCs w:val="24"/>
                                  </w:rPr>
                                  <m:t>=</m:t>
                                </m:r>
                                <m:r>
                                  <m:rPr>
                                    <m:sty m:val="bi"/>
                                  </m:rPr>
                                  <w:rPr>
                                    <w:rFonts w:ascii="Cambria Math" w:hAnsi="Cambria Math"/>
                                    <w:sz w:val="24"/>
                                    <w:szCs w:val="24"/>
                                  </w:rPr>
                                  <m:t>756</m:t>
                                </m:r>
                              </m:oMath>
                            </m:oMathPara>
                          </w:p>
                          <w:p w14:paraId="41700F25" w14:textId="77777777" w:rsidR="00E667CE" w:rsidRPr="00B232E4" w:rsidRDefault="00E667CE" w:rsidP="00E667CE">
                            <w:proofErr w:type="spellStart"/>
                            <w:r w:rsidRPr="00B232E4">
                              <w:rPr>
                                <w:rFonts w:ascii="Cambria Math" w:eastAsiaTheme="minorEastAsia" w:hAnsi="Cambria Math"/>
                                <w:sz w:val="18"/>
                                <w:szCs w:val="18"/>
                              </w:rPr>
                              <w:t>DA</w:t>
                            </w:r>
                            <w:r w:rsidRPr="00B232E4">
                              <w:rPr>
                                <w:rFonts w:ascii="Cambria Math" w:eastAsiaTheme="minorEastAsia" w:hAnsi="Cambria Math"/>
                                <w:sz w:val="18"/>
                                <w:szCs w:val="18"/>
                                <w:vertAlign w:val="subscript"/>
                              </w:rPr>
                              <w:t>a</w:t>
                            </w:r>
                            <w:proofErr w:type="spellEnd"/>
                            <w:r w:rsidRPr="00B232E4">
                              <w:rPr>
                                <w:rFonts w:ascii="Cambria Math" w:eastAsiaTheme="minorEastAsia" w:hAnsi="Cambria Math"/>
                                <w:sz w:val="18"/>
                                <w:szCs w:val="18"/>
                              </w:rPr>
                              <w:t>: Dermal Absorption</w:t>
                            </w:r>
                          </w:p>
                          <w:p w14:paraId="0301D9C8" w14:textId="77777777" w:rsidR="00E667CE" w:rsidRPr="00CF1F5D" w:rsidRDefault="00E667CE" w:rsidP="00E667CE">
                            <w:pPr>
                              <w:spacing w:before="120" w:line="240" w:lineRule="atLeast"/>
                              <w:rPr>
                                <w:sz w:val="24"/>
                                <w:szCs w:val="24"/>
                              </w:rPr>
                            </w:pPr>
                          </w:p>
                          <w:p w14:paraId="790C913D" w14:textId="77777777" w:rsidR="00E667CE" w:rsidRPr="00096176" w:rsidRDefault="00E667CE" w:rsidP="00E667CE"/>
                        </w:txbxContent>
                      </wps:txbx>
                      <wps:bodyPr rot="0" vert="horz" wrap="square" lIns="91440" tIns="45720" rIns="91440" bIns="45720" anchor="t" anchorCtr="0">
                        <a:noAutofit/>
                      </wps:bodyPr>
                    </wps:wsp>
                  </a:graphicData>
                </a:graphic>
              </wp:inline>
            </w:drawing>
          </mc:Choice>
          <mc:Fallback>
            <w:pict>
              <v:shape w14:anchorId="3CE2208B" id="Text Box 1367466052" o:spid="_x0000_s1030" type="#_x0000_t202" style="width:453.5pt;height:13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qeGwIAACYEAAAOAAAAZHJzL2Uyb0RvYy54bWysU9uO2yAQfa/Uf0C8N44je5NYcVbbbFNV&#10;2l6kbT8AYxyjYoYCiZ1+fQfszWa3b1V5QAwDZ2bOnNncDp0iJ2GdBF3SdDanRGgOtdSHkv74vn+3&#10;osR5pmumQIuSnoWjt9u3bza9KcQCWlC1sARBtCt6U9LWe1MkieOt6JibgREanQ3Yjnk07SGpLesR&#10;vVPJYj6/SXqwtbHAhXN4ez866TbiN43g/mvTOOGJKinm5uNu416FPdluWHGwzLSST2mwf8iiY1Jj&#10;0AvUPfOMHK38C6qT3IKDxs84dAk0jeQi1oDVpPNX1Ty2zIhYC5LjzIUm9/9g+ZfTo/lmiR/ew4AN&#10;jEU48wD8pyMadi3TB3FnLfStYDUGTgNlSW9cMX0NVLvCBZCq/ww1NpkdPUSgobFdYAXrJIiODThf&#10;SBeDJxwv82W+znJ0cfSlN6ssTZcxBiuevhvr/EcBHQmHklrsaoRnpwfnQzqseHoSojlQst5LpaJh&#10;D9VOWXJiqIB9XBP6i2dKk76k63yRjwy8gAhiFBcQP4wcvArUSY9KVrIr6Woe1qitQNsHXUedeSbV&#10;eMaMlZ54DNSNJPqhGoisS5qFv4HWCuozEmthFC4OGh5asL8p6VG0JXW/jswKStQnjc1Zp1kWVB6N&#10;LF8u0LDXnurawzRHqJJ6SsbjzsfJCLRpuMMmNjLS+5zJlDKKMbI+DU5Q+7UdXz2P9/YPAAAA//8D&#10;AFBLAwQUAAYACAAAACEA6+XbvtsAAAAFAQAADwAAAGRycy9kb3ducmV2LnhtbEyPQUvDQBCF70L/&#10;wzIFb3ZjwFpjNkUqqSeFpoJ4m2bHJJidDdltG/+9oxe9PHi84b1v8vXkenWiMXSeDVwvElDEtbcd&#10;NwZe9+XVClSIyBZ7z2TgiwKsi9lFjpn1Z97RqYqNkhIOGRpoYxwyrUPdksOw8AOxZB9+dBjFjo22&#10;I56l3PU6TZKldtixLLQ40Kal+rM6OgNP2/qxCjpgud09D++bN1vaF2vM5Xx6uAcVaYp/x/CDL+hQ&#10;CNPBH9kG1RuQR+KvSnaX3Io9GEiXNynoItf/6YtvAAAA//8DAFBLAQItABQABgAIAAAAIQC2gziS&#10;/gAAAOEBAAATAAAAAAAAAAAAAAAAAAAAAABbQ29udGVudF9UeXBlc10ueG1sUEsBAi0AFAAGAAgA&#10;AAAhADj9If/WAAAAlAEAAAsAAAAAAAAAAAAAAAAALwEAAF9yZWxzLy5yZWxzUEsBAi0AFAAGAAgA&#10;AAAhAP57Kp4bAgAAJgQAAA4AAAAAAAAAAAAAAAAALgIAAGRycy9lMm9Eb2MueG1sUEsBAi0AFAAG&#10;AAgAAAAhAOvl277bAAAABQEAAA8AAAAAAAAAAAAAAAAAdQQAAGRycy9kb3ducmV2LnhtbFBLBQYA&#10;AAAABAAEAPMAAAB9BQAAAAA=&#10;" strokecolor="#002c47 [3213]">
                <v:textbox>
                  <w:txbxContent>
                    <w:p w14:paraId="430D2B0D" w14:textId="77777777" w:rsidR="00E667CE" w:rsidRPr="00B232E4" w:rsidRDefault="00E667CE" w:rsidP="00E667CE">
                      <w:pPr>
                        <w:rPr>
                          <w:rFonts w:ascii="Cambria Math" w:eastAsiaTheme="minorEastAsia" w:hAnsi="Cambria Math" w:cs="Cambria Math"/>
                          <w:sz w:val="24"/>
                          <w:szCs w:val="24"/>
                        </w:rPr>
                      </w:pPr>
                      <m:oMathPara>
                        <m:oMathParaPr>
                          <m:jc m:val="center"/>
                        </m:oMathParaPr>
                        <m:oMath>
                          <m:r>
                            <w:rPr>
                              <w:rFonts w:ascii="Cambria Math" w:hAnsi="Cambria Math" w:cs="Cambria Math"/>
                              <w:sz w:val="24"/>
                              <w:szCs w:val="24"/>
                            </w:rPr>
                            <m:t>SED=</m:t>
                          </m:r>
                          <m:sSub>
                            <m:sSubPr>
                              <m:ctrlPr>
                                <w:rPr>
                                  <w:rFonts w:ascii="Cambria Math" w:hAnsi="Cambria Math" w:cs="Cambria Math"/>
                                  <w:i/>
                                  <w:iCs/>
                                  <w:sz w:val="24"/>
                                  <w:szCs w:val="24"/>
                                </w:rPr>
                              </m:ctrlPr>
                            </m:sSubPr>
                            <m:e>
                              <m:r>
                                <w:rPr>
                                  <w:rFonts w:ascii="Cambria Math" w:hAnsi="Cambria Math" w:cs="Cambria Math"/>
                                  <w:sz w:val="24"/>
                                  <w:szCs w:val="24"/>
                                </w:rPr>
                                <m:t>ASEM</m:t>
                              </m:r>
                            </m:e>
                            <m:sub>
                              <m:r>
                                <m:rPr>
                                  <m:sty m:val="p"/>
                                </m:rPr>
                                <w:rPr>
                                  <w:rFonts w:ascii="Cambria Math" w:hAnsi="Cambria Math" w:cs="Arial"/>
                                  <w:sz w:val="24"/>
                                  <w:szCs w:val="24"/>
                                </w:rPr>
                                <m:t xml:space="preserve">(method 2) </m:t>
                              </m:r>
                            </m:sub>
                          </m:sSub>
                          <m:r>
                            <w:rPr>
                              <w:rFonts w:ascii="Cambria Math" w:hAnsi="Cambria Math" w:cs="Cambria Math"/>
                              <w:sz w:val="24"/>
                              <w:szCs w:val="24"/>
                            </w:rPr>
                            <m:t>×</m:t>
                          </m:r>
                          <m:sSub>
                            <m:sSubPr>
                              <m:ctrlPr>
                                <w:rPr>
                                  <w:rFonts w:ascii="Cambria Math" w:hAnsi="Cambria Math" w:cs="Cambria Math"/>
                                  <w:i/>
                                  <w:sz w:val="24"/>
                                  <w:szCs w:val="24"/>
                                </w:rPr>
                              </m:ctrlPr>
                            </m:sSubPr>
                            <m:e>
                              <m:r>
                                <w:rPr>
                                  <w:rFonts w:ascii="Cambria Math" w:hAnsi="Cambria Math" w:cs="Cambria Math"/>
                                  <w:sz w:val="24"/>
                                  <w:szCs w:val="24"/>
                                </w:rPr>
                                <m:t>DA</m:t>
                              </m:r>
                            </m:e>
                            <m:sub>
                              <m:r>
                                <w:rPr>
                                  <w:rFonts w:ascii="Cambria Math" w:hAnsi="Cambria Math" w:cs="Cambria Math"/>
                                  <w:sz w:val="24"/>
                                  <w:szCs w:val="24"/>
                                </w:rPr>
                                <m:t>a</m:t>
                              </m:r>
                            </m:sub>
                          </m:sSub>
                          <m:r>
                            <w:rPr>
                              <w:rFonts w:ascii="Cambria Math" w:hAnsi="Cambria Math" w:cs="Cambria Math"/>
                              <w:sz w:val="24"/>
                              <w:szCs w:val="24"/>
                            </w:rPr>
                            <m:t xml:space="preserve">      </m:t>
                          </m:r>
                        </m:oMath>
                      </m:oMathPara>
                    </w:p>
                    <w:p w14:paraId="6B39578E" w14:textId="77777777" w:rsidR="00E667CE" w:rsidRPr="00B232E4" w:rsidRDefault="00E667CE" w:rsidP="00E667CE">
                      <w:pPr>
                        <w:rPr>
                          <w:rFonts w:ascii="Cambria Math" w:hAnsi="Cambria Math" w:cs="Cambria Math"/>
                          <w:b/>
                          <w:bCs/>
                          <w:sz w:val="24"/>
                          <w:szCs w:val="24"/>
                        </w:rPr>
                      </w:pPr>
                      <m:oMathPara>
                        <m:oMathParaPr>
                          <m:jc m:val="center"/>
                        </m:oMathParaPr>
                        <m:oMath>
                          <m:r>
                            <w:rPr>
                              <w:rFonts w:ascii="Cambria Math" w:hAnsi="Cambria Math" w:cs="Cambria Math"/>
                              <w:sz w:val="24"/>
                              <w:szCs w:val="24"/>
                            </w:rPr>
                            <m:t xml:space="preserve">=336 </m:t>
                          </m:r>
                          <m:sSup>
                            <m:sSupPr>
                              <m:ctrlPr>
                                <w:rPr>
                                  <w:rFonts w:ascii="Cambria Math" w:hAnsi="Cambria Math" w:cs="Cambria Math"/>
                                  <w:i/>
                                  <w:sz w:val="24"/>
                                  <w:szCs w:val="24"/>
                                </w:rPr>
                              </m:ctrlPr>
                            </m:sSupPr>
                            <m:e>
                              <m:r>
                                <w:rPr>
                                  <w:rFonts w:ascii="Cambria Math" w:hAnsi="Cambria Math" w:cs="Cambria Math"/>
                                  <w:sz w:val="24"/>
                                  <w:szCs w:val="24"/>
                                </w:rPr>
                                <m:t>cm</m:t>
                              </m:r>
                            </m:e>
                            <m:sup>
                              <m:r>
                                <w:rPr>
                                  <w:rFonts w:ascii="Cambria Math" w:hAnsi="Cambria Math" w:cs="Cambria Math"/>
                                  <w:sz w:val="24"/>
                                  <w:szCs w:val="24"/>
                                </w:rPr>
                                <m:t>2</m:t>
                              </m:r>
                            </m:sup>
                          </m:sSup>
                          <m:r>
                            <w:rPr>
                              <w:rFonts w:ascii="Cambria Math" w:hAnsi="Cambria Math" w:cs="Cambria Math"/>
                              <w:sz w:val="24"/>
                              <w:szCs w:val="24"/>
                            </w:rPr>
                            <m:t>/kg bw/day ×1.77 µg/</m:t>
                          </m:r>
                          <m:sSup>
                            <m:sSupPr>
                              <m:ctrlPr>
                                <w:rPr>
                                  <w:rFonts w:ascii="Cambria Math" w:hAnsi="Cambria Math" w:cs="Cambria Math"/>
                                  <w:i/>
                                  <w:sz w:val="24"/>
                                  <w:szCs w:val="24"/>
                                </w:rPr>
                              </m:ctrlPr>
                            </m:sSupPr>
                            <m:e>
                              <m:r>
                                <w:rPr>
                                  <w:rFonts w:ascii="Cambria Math" w:hAnsi="Cambria Math" w:cs="Cambria Math"/>
                                  <w:sz w:val="24"/>
                                  <w:szCs w:val="24"/>
                                </w:rPr>
                                <m:t>cm</m:t>
                              </m:r>
                            </m:e>
                            <m:sup>
                              <m:r>
                                <w:rPr>
                                  <w:rFonts w:ascii="Cambria Math" w:hAnsi="Cambria Math" w:cs="Cambria Math"/>
                                  <w:sz w:val="24"/>
                                  <w:szCs w:val="24"/>
                                </w:rPr>
                                <m:t>2</m:t>
                              </m:r>
                            </m:sup>
                          </m:sSup>
                          <m:r>
                            <w:rPr>
                              <w:rFonts w:ascii="Cambria Math" w:hAnsi="Cambria Math" w:cs="Cambria Math"/>
                              <w:sz w:val="24"/>
                              <w:szCs w:val="24"/>
                            </w:rPr>
                            <m:t xml:space="preserve"> </m:t>
                          </m:r>
                        </m:oMath>
                      </m:oMathPara>
                    </w:p>
                    <w:p w14:paraId="11E0C784" w14:textId="77777777" w:rsidR="00E667CE" w:rsidRPr="00B232E4" w:rsidRDefault="00E667CE" w:rsidP="00E667CE">
                      <w:pPr>
                        <w:spacing w:before="120" w:line="240" w:lineRule="atLeast"/>
                        <w:rPr>
                          <w:rFonts w:eastAsiaTheme="minorEastAsia" w:cs="Arial"/>
                          <w:i/>
                          <w:sz w:val="24"/>
                          <w:szCs w:val="24"/>
                        </w:rPr>
                      </w:pPr>
                      <m:oMathPara>
                        <m:oMath>
                          <m:r>
                            <w:rPr>
                              <w:rFonts w:ascii="Cambria Math" w:eastAsiaTheme="minorEastAsia" w:hAnsi="Cambria Math" w:cs="Arial"/>
                              <w:sz w:val="24"/>
                              <w:szCs w:val="24"/>
                            </w:rPr>
                            <m:t>=595 µg/kg bw/day=0.595 mg/kg bw/day</m:t>
                          </m:r>
                          <m:r>
                            <m:rPr>
                              <m:sty m:val="p"/>
                            </m:rPr>
                            <w:rPr>
                              <w:rFonts w:eastAsiaTheme="minorEastAsia" w:cs="Arial"/>
                              <w:sz w:val="24"/>
                              <w:szCs w:val="24"/>
                            </w:rPr>
                            <w:br/>
                          </m:r>
                        </m:oMath>
                      </m:oMathPara>
                    </w:p>
                    <w:p w14:paraId="7752E033" w14:textId="77777777" w:rsidR="00E667CE" w:rsidRPr="00B232E4" w:rsidRDefault="00E667CE" w:rsidP="00E667CE">
                      <w:pPr>
                        <w:spacing w:before="120" w:line="240" w:lineRule="atLeast"/>
                        <w:rPr>
                          <w:rFonts w:eastAsiaTheme="minorEastAsia"/>
                          <w:b/>
                          <w:color w:val="00B0F0"/>
                          <w:sz w:val="24"/>
                          <w:szCs w:val="24"/>
                        </w:rPr>
                      </w:pPr>
                      <m:oMathPara>
                        <m:oMathParaPr>
                          <m:jc m:val="center"/>
                        </m:oMathParaPr>
                        <m:oMath>
                          <m:r>
                            <w:rPr>
                              <w:rFonts w:ascii="Cambria Math" w:hAnsi="Cambria Math"/>
                              <w:sz w:val="24"/>
                              <w:szCs w:val="24"/>
                            </w:rPr>
                            <m:t xml:space="preserve">MoS= </m:t>
                          </m:r>
                          <m:f>
                            <m:fPr>
                              <m:ctrlPr>
                                <w:rPr>
                                  <w:rFonts w:ascii="Cambria Math" w:hAnsi="Cambria Math"/>
                                  <w:i/>
                                  <w:sz w:val="24"/>
                                  <w:szCs w:val="24"/>
                                </w:rPr>
                              </m:ctrlPr>
                            </m:fPr>
                            <m:num>
                              <m:r>
                                <w:rPr>
                                  <w:rFonts w:ascii="Cambria Math" w:hAnsi="Cambria Math"/>
                                  <w:sz w:val="24"/>
                                  <w:szCs w:val="24"/>
                                </w:rPr>
                                <m:t>NOAEL (mg/kg bw/day)</m:t>
                              </m:r>
                            </m:num>
                            <m:den>
                              <m:r>
                                <w:rPr>
                                  <w:rFonts w:ascii="Cambria Math" w:hAnsi="Cambria Math"/>
                                  <w:sz w:val="24"/>
                                  <w:szCs w:val="24"/>
                                </w:rPr>
                                <m:t>SED (mg/kg bw/day)</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 xml:space="preserve">450 mg/kg bw/d </m:t>
                              </m:r>
                            </m:num>
                            <m:den>
                              <m:r>
                                <w:rPr>
                                  <w:rFonts w:ascii="Cambria Math" w:hAnsi="Cambria Math"/>
                                  <w:sz w:val="24"/>
                                  <w:szCs w:val="24"/>
                                </w:rPr>
                                <m:t>0.595 mg/kg bw/d</m:t>
                              </m:r>
                            </m:den>
                          </m:f>
                          <m:r>
                            <w:rPr>
                              <w:rFonts w:ascii="Cambria Math" w:hAnsi="Cambria Math"/>
                              <w:sz w:val="24"/>
                              <w:szCs w:val="24"/>
                            </w:rPr>
                            <m:t>=</m:t>
                          </m:r>
                          <m:r>
                            <m:rPr>
                              <m:sty m:val="bi"/>
                            </m:rPr>
                            <w:rPr>
                              <w:rFonts w:ascii="Cambria Math" w:hAnsi="Cambria Math"/>
                              <w:sz w:val="24"/>
                              <w:szCs w:val="24"/>
                            </w:rPr>
                            <m:t>756</m:t>
                          </m:r>
                        </m:oMath>
                      </m:oMathPara>
                    </w:p>
                    <w:p w14:paraId="41700F25" w14:textId="77777777" w:rsidR="00E667CE" w:rsidRPr="00B232E4" w:rsidRDefault="00E667CE" w:rsidP="00E667CE">
                      <w:proofErr w:type="spellStart"/>
                      <w:r w:rsidRPr="00B232E4">
                        <w:rPr>
                          <w:rFonts w:ascii="Cambria Math" w:eastAsiaTheme="minorEastAsia" w:hAnsi="Cambria Math"/>
                          <w:sz w:val="18"/>
                          <w:szCs w:val="18"/>
                        </w:rPr>
                        <w:t>DA</w:t>
                      </w:r>
                      <w:r w:rsidRPr="00B232E4">
                        <w:rPr>
                          <w:rFonts w:ascii="Cambria Math" w:eastAsiaTheme="minorEastAsia" w:hAnsi="Cambria Math"/>
                          <w:sz w:val="18"/>
                          <w:szCs w:val="18"/>
                          <w:vertAlign w:val="subscript"/>
                        </w:rPr>
                        <w:t>a</w:t>
                      </w:r>
                      <w:proofErr w:type="spellEnd"/>
                      <w:r w:rsidRPr="00B232E4">
                        <w:rPr>
                          <w:rFonts w:ascii="Cambria Math" w:eastAsiaTheme="minorEastAsia" w:hAnsi="Cambria Math"/>
                          <w:sz w:val="18"/>
                          <w:szCs w:val="18"/>
                        </w:rPr>
                        <w:t>: Dermal Absorption</w:t>
                      </w:r>
                    </w:p>
                    <w:p w14:paraId="0301D9C8" w14:textId="77777777" w:rsidR="00E667CE" w:rsidRPr="00CF1F5D" w:rsidRDefault="00E667CE" w:rsidP="00E667CE">
                      <w:pPr>
                        <w:spacing w:before="120" w:line="240" w:lineRule="atLeast"/>
                        <w:rPr>
                          <w:sz w:val="24"/>
                          <w:szCs w:val="24"/>
                        </w:rPr>
                      </w:pPr>
                    </w:p>
                    <w:p w14:paraId="790C913D" w14:textId="77777777" w:rsidR="00E667CE" w:rsidRPr="00096176" w:rsidRDefault="00E667CE" w:rsidP="00E667CE"/>
                  </w:txbxContent>
                </v:textbox>
                <w10:anchorlock/>
              </v:shape>
            </w:pict>
          </mc:Fallback>
        </mc:AlternateContent>
      </w:r>
    </w:p>
    <w:p w14:paraId="2F05160B" w14:textId="77777777" w:rsidR="00E667CE" w:rsidRDefault="00E667CE" w:rsidP="00E667CE">
      <w:pPr>
        <w:pStyle w:val="Heading4"/>
      </w:pPr>
      <w:bookmarkStart w:id="133" w:name="_Toc190944937"/>
      <w:bookmarkStart w:id="134" w:name="_Toc199254974"/>
      <w:r>
        <w:t>Recommendation</w:t>
      </w:r>
      <w:bookmarkEnd w:id="133"/>
      <w:bookmarkEnd w:id="134"/>
    </w:p>
    <w:p w14:paraId="2BAFB61D" w14:textId="318D0044" w:rsidR="00E667CE" w:rsidRDefault="00E667CE" w:rsidP="00E667CE">
      <w:pPr>
        <w:rPr>
          <w:rFonts w:eastAsia="Times New Roman" w:cs="Times New Roman"/>
          <w:b/>
          <w:bCs/>
          <w:color w:val="001871"/>
          <w:sz w:val="32"/>
          <w:szCs w:val="32"/>
        </w:rPr>
      </w:pPr>
      <w:r w:rsidRPr="00802124">
        <w:t xml:space="preserve">A MoS greater than 100 was calculated using the ASEM. As a result, </w:t>
      </w:r>
      <w:r>
        <w:t>o</w:t>
      </w:r>
      <w:r w:rsidRPr="00802124">
        <w:t>ctyl methoxycinnamate</w:t>
      </w:r>
      <w:r w:rsidRPr="00802124" w:rsidDel="00163C1E">
        <w:t xml:space="preserve"> </w:t>
      </w:r>
      <w:r w:rsidRPr="00802124">
        <w:t xml:space="preserve">  is deemed to present a low risk to human health and safety when used at the highest maximum permitted concentration of 10% in therapeutic sunscreens. No changes are recommended to the current permitted use.</w:t>
      </w:r>
    </w:p>
    <w:p w14:paraId="0EEA522D" w14:textId="77777777" w:rsidR="00E667CE" w:rsidRDefault="00E667CE" w:rsidP="00E667CE">
      <w:pPr>
        <w:pStyle w:val="Heading3"/>
      </w:pPr>
      <w:bookmarkStart w:id="135" w:name="_Toc190944938"/>
      <w:bookmarkStart w:id="136" w:name="_Toc199254975"/>
      <w:r>
        <w:lastRenderedPageBreak/>
        <w:t>Oxybenzone safety assessment</w:t>
      </w:r>
      <w:bookmarkEnd w:id="135"/>
      <w:bookmarkEnd w:id="136"/>
    </w:p>
    <w:p w14:paraId="4E5F4171" w14:textId="77777777" w:rsidR="00E667CE" w:rsidRPr="0061413B" w:rsidRDefault="00E667CE" w:rsidP="0092658F">
      <w:r w:rsidRPr="0061413B">
        <w:t xml:space="preserve">This </w:t>
      </w:r>
      <w:r>
        <w:t>assessment</w:t>
      </w:r>
      <w:r w:rsidRPr="0061413B">
        <w:t xml:space="preserve"> was based on peer-reviewed publications and the SCCS opinion on </w:t>
      </w:r>
      <w:r w:rsidRPr="003F05CE">
        <w:t>benzophenone-3</w:t>
      </w:r>
      <w:r w:rsidRPr="0061413B">
        <w:t xml:space="preserve"> (2021c; SCCP, 2006a; SCCP, 2008).</w:t>
      </w:r>
    </w:p>
    <w:p w14:paraId="375E75A0" w14:textId="09500587" w:rsidR="00E667CE" w:rsidRPr="0061413B" w:rsidRDefault="00E667CE" w:rsidP="0092658F">
      <w:bookmarkStart w:id="137" w:name="_Hlk157437008"/>
      <w:r w:rsidRPr="0061413B">
        <w:t>Oxybenzone</w:t>
      </w:r>
      <w:bookmarkEnd w:id="137"/>
      <w:r w:rsidRPr="0061413B">
        <w:t xml:space="preserve"> was shown to be rapidly absorbed after oral, intravenous, or topical skin administration and widely distributed in animals, 2,4-diOH BP (BP-1) was the major metabolite of oxybenzone in rats and humans. Oxybenzone was primarily excreted though urine.</w:t>
      </w:r>
    </w:p>
    <w:p w14:paraId="3DD35258" w14:textId="5DF0B0D5" w:rsidR="00E667CE" w:rsidRPr="0061413B" w:rsidRDefault="00E667CE" w:rsidP="0092658F">
      <w:proofErr w:type="gramStart"/>
      <w:r w:rsidRPr="0061413B">
        <w:t>A number of</w:t>
      </w:r>
      <w:proofErr w:type="gramEnd"/>
      <w:r w:rsidRPr="0061413B">
        <w:t xml:space="preserve"> </w:t>
      </w:r>
      <w:r w:rsidRPr="0061413B">
        <w:rPr>
          <w:i/>
        </w:rPr>
        <w:t>in vitro</w:t>
      </w:r>
      <w:r w:rsidRPr="0061413B">
        <w:t xml:space="preserve"> and </w:t>
      </w:r>
      <w:r w:rsidRPr="0061413B">
        <w:rPr>
          <w:i/>
        </w:rPr>
        <w:t>in vivo</w:t>
      </w:r>
      <w:r w:rsidRPr="0061413B">
        <w:t xml:space="preserve"> dermal absorption studies have been evaluated by the SCCS. A dermal absorption value of 9.9% was used to calculate the MoS for oxybenzone. This value was calculated from a dermal absorption value of 3.1% obtained following application of a 6% formulation of oxybenzone to pig ear skin in </w:t>
      </w:r>
      <w:r w:rsidRPr="0061413B">
        <w:rPr>
          <w:i/>
          <w:iCs/>
        </w:rPr>
        <w:t>vitro</w:t>
      </w:r>
      <w:r w:rsidRPr="0061413B">
        <w:t xml:space="preserve"> and applying a safety factor of 2 standard deviations to account for limitations in the data set (3.1% + 2 SD [2 x 3.4%] = 9.9</w:t>
      </w:r>
      <w:r>
        <w:t>%</w:t>
      </w:r>
      <w:r w:rsidRPr="0061413B">
        <w:t xml:space="preserve">) </w:t>
      </w:r>
      <w:r w:rsidRPr="000C3D30">
        <w:t>(SCCS 2021c</w:t>
      </w:r>
      <w:r w:rsidRPr="003417BB">
        <w:t>).</w:t>
      </w:r>
    </w:p>
    <w:p w14:paraId="6F0ABDED" w14:textId="75BCBC55" w:rsidR="00E667CE" w:rsidRPr="00BE0D25" w:rsidRDefault="00E667CE" w:rsidP="0092658F">
      <w:r w:rsidRPr="0061413B">
        <w:t xml:space="preserve">Clinical trials indicated that oxybenzone could be systemically absorbed. The plasma concentration of oxybenzone in sunscreens (spray) exceeded 0.5 ng/mL on single application and remained above this threshold until 23 hours after application. The systemic exposure of oxybenzone remained above 0.5 ng/mL in more than 50% of participants for up to 21 days. </w:t>
      </w:r>
      <w:r w:rsidRPr="003417BB">
        <w:t>The authors concluded that the continued</w:t>
      </w:r>
      <w:r w:rsidRPr="004263BB">
        <w:t xml:space="preserve"> presence of sunscreen active ingredients in skin</w:t>
      </w:r>
      <w:r w:rsidRPr="00BE0D25">
        <w:t xml:space="preserve"> at days 21 and the long terminal half-life (&gt; 48 hours) suggest absorption through skin is the rate-limiting step; hence, intravenous studies are required to determine their elimination rate constants.</w:t>
      </w:r>
    </w:p>
    <w:p w14:paraId="0A2523A3" w14:textId="64920ABA" w:rsidR="00E667CE" w:rsidRPr="00BE0D25" w:rsidRDefault="00E667CE" w:rsidP="0092658F">
      <w:r w:rsidRPr="00BE0D25">
        <w:t xml:space="preserve">Oxybenzone was found to be of low acute oral and dermal toxicity and did not cause skin or eye irritation (rabbits) or skin sensitisation (guinea pigs and mice). However, oxybenzone was shown to cause </w:t>
      </w:r>
      <w:proofErr w:type="spellStart"/>
      <w:r w:rsidRPr="00BE0D25">
        <w:t>photoallergenic</w:t>
      </w:r>
      <w:proofErr w:type="spellEnd"/>
      <w:r w:rsidRPr="00BE0D25">
        <w:t xml:space="preserve"> reactions</w:t>
      </w:r>
      <w:r>
        <w:t xml:space="preserve"> -</w:t>
      </w:r>
      <w:r w:rsidRPr="00BE0D25">
        <w:t xml:space="preserve"> being </w:t>
      </w:r>
      <w:r>
        <w:t xml:space="preserve">the </w:t>
      </w:r>
      <w:r w:rsidRPr="00BE0D25">
        <w:t>second most frequent photo contact allergen among the UV filters (European photo patch test task force) (</w:t>
      </w:r>
      <w:proofErr w:type="spellStart"/>
      <w:r w:rsidRPr="00BE0D25">
        <w:t>Subiabre</w:t>
      </w:r>
      <w:proofErr w:type="spellEnd"/>
      <w:r w:rsidRPr="00BE0D25">
        <w:t xml:space="preserve">-Ferrer </w:t>
      </w:r>
      <w:r w:rsidRPr="00BE0D25">
        <w:rPr>
          <w:i/>
          <w:iCs/>
        </w:rPr>
        <w:t>et al.</w:t>
      </w:r>
      <w:r w:rsidRPr="00BE0D25">
        <w:t xml:space="preserve"> 2019).</w:t>
      </w:r>
    </w:p>
    <w:p w14:paraId="4DD4E57A" w14:textId="51B27988" w:rsidR="00E667CE" w:rsidRDefault="00E667CE" w:rsidP="0092658F">
      <w:r w:rsidRPr="00BE0D25">
        <w:t xml:space="preserve">Repeat-dose studies with oxybenzone were conducted in mice and rats following oral and dermal administration. After repeated oral administration of oxybenzone in rats and mice, decreased bodyweight </w:t>
      </w:r>
      <w:proofErr w:type="gramStart"/>
      <w:r w:rsidRPr="00BE0D25">
        <w:t>gain</w:t>
      </w:r>
      <w:proofErr w:type="gramEnd"/>
      <w:r w:rsidRPr="00BE0D25">
        <w:t xml:space="preserve"> and reduced food consumption were observed. Effects on the kidney (decreased weight and renal tubule histopathology) and the liver (increased weight and adaptive changes in histopathology) with associated changes in clinical chemistry parameters were also observed. There were no treatment-related findings following dermal administration except for increases in liver weight with no associated histopathology or clinical pathology. The NOAEL (oral) was established at 6250 ppm (429/393 mg/kg </w:t>
      </w:r>
      <w:proofErr w:type="spellStart"/>
      <w:r w:rsidRPr="00BE0D25">
        <w:t>bw</w:t>
      </w:r>
      <w:proofErr w:type="spellEnd"/>
      <w:r w:rsidRPr="00BE0D25">
        <w:t xml:space="preserve">/day in males/females) in rats and 6250 ppm (1068/1425 mg/kg </w:t>
      </w:r>
      <w:proofErr w:type="spellStart"/>
      <w:r w:rsidRPr="00BE0D25">
        <w:t>bw</w:t>
      </w:r>
      <w:proofErr w:type="spellEnd"/>
      <w:r w:rsidRPr="00BE0D25">
        <w:t xml:space="preserve">/day in males/females) in mice. The NOAEL for repeat-dose dermal toxicity was established at 200 mg/kg </w:t>
      </w:r>
      <w:proofErr w:type="spellStart"/>
      <w:r w:rsidRPr="00BE0D25">
        <w:t>bw</w:t>
      </w:r>
      <w:proofErr w:type="spellEnd"/>
      <w:r w:rsidRPr="00BE0D25">
        <w:t xml:space="preserve">/day in rats and 364 mg/kg </w:t>
      </w:r>
      <w:proofErr w:type="spellStart"/>
      <w:r w:rsidRPr="00BE0D25">
        <w:t>bw</w:t>
      </w:r>
      <w:proofErr w:type="spellEnd"/>
      <w:r w:rsidRPr="00BE0D25">
        <w:t>/day in mice.</w:t>
      </w:r>
    </w:p>
    <w:p w14:paraId="7B745B2C" w14:textId="77777777" w:rsidR="00E667CE" w:rsidRPr="00BE0D25" w:rsidRDefault="00E667CE" w:rsidP="0092658F">
      <w:r w:rsidRPr="00BE0D25">
        <w:t xml:space="preserve">In reproductive and developmental toxicity studies in rats, decreased normalised anogenital distance was observed in male pups of treated dams, at PND 23. Impairment of spermatocyte development in testes of male offspring and delayed follicular development in females was also observed indicating a potential endocrine disrupting effect. A </w:t>
      </w:r>
      <w:r w:rsidRPr="00B232E4">
        <w:rPr>
          <w:b/>
          <w:bCs/>
        </w:rPr>
        <w:t xml:space="preserve">NOAEL for these effects was established at 67.9 mg/kg </w:t>
      </w:r>
      <w:proofErr w:type="spellStart"/>
      <w:r w:rsidRPr="00B232E4">
        <w:rPr>
          <w:b/>
          <w:bCs/>
        </w:rPr>
        <w:t>bw</w:t>
      </w:r>
      <w:proofErr w:type="spellEnd"/>
      <w:r w:rsidRPr="00B232E4">
        <w:rPr>
          <w:b/>
          <w:bCs/>
        </w:rPr>
        <w:t>/day</w:t>
      </w:r>
      <w:r w:rsidRPr="00BE0D25">
        <w:t xml:space="preserve"> (Nakamura </w:t>
      </w:r>
      <w:r w:rsidRPr="00BE0D25">
        <w:rPr>
          <w:i/>
          <w:iCs/>
        </w:rPr>
        <w:t>et al.,</w:t>
      </w:r>
      <w:r w:rsidRPr="00BE0D25">
        <w:t xml:space="preserve"> 2015).</w:t>
      </w:r>
    </w:p>
    <w:p w14:paraId="39DAAFBB" w14:textId="46ED28D4" w:rsidR="00E667CE" w:rsidRPr="0061413B" w:rsidRDefault="00E667CE" w:rsidP="0092658F">
      <w:r w:rsidRPr="0061413B">
        <w:t>The findings from the genotoxicity studies with oxybenzone were found to be equivocal. Two-year carcinogenicity studies with oxybenzone were performed in mice and rats. An increased incidence of brain and spinal cord malignant meningiomas in males and thyroid C-cell adenomas and uterine stromal polyps in females were observed in rats, with no dose-response relationship. These findings in rats were also considered to be equivocal evidence of carcinogenicity. There was no direct evidence of carcinogenic activity in male or female mice other than lesions in bone marrow, spleen, kidney and liver.</w:t>
      </w:r>
    </w:p>
    <w:p w14:paraId="15945F72" w14:textId="77777777" w:rsidR="00E667CE" w:rsidRPr="000874CD" w:rsidRDefault="00E667CE" w:rsidP="0092658F">
      <w:r w:rsidRPr="000874CD">
        <w:t xml:space="preserve">The SCCS (2021c) determined a </w:t>
      </w:r>
      <w:r w:rsidRPr="000874CD">
        <w:rPr>
          <w:b/>
          <w:bCs/>
        </w:rPr>
        <w:t>dermal absorption of 9.9%</w:t>
      </w:r>
      <w:r w:rsidRPr="000874CD">
        <w:t xml:space="preserve"> [mean (3.1%) + 2 SD (2*3.4%)] for the use of oxybenzone as a UV filter, at an oxybenzone concentration 6% for the calculation of SED and the MoS for sunscreen products.</w:t>
      </w:r>
    </w:p>
    <w:p w14:paraId="18C25F6D" w14:textId="77777777" w:rsidR="00813CCF" w:rsidRDefault="00813CCF" w:rsidP="00813CCF">
      <w:pPr>
        <w:pStyle w:val="Heading4"/>
        <w:rPr>
          <w:rFonts w:eastAsia="Times New Roman"/>
          <w:snapToGrid w:val="0"/>
          <w:kern w:val="16"/>
          <w:sz w:val="22"/>
          <w:lang w:eastAsia="en-AU"/>
        </w:rPr>
      </w:pPr>
      <w:bookmarkStart w:id="138" w:name="_Toc190944939"/>
      <w:bookmarkStart w:id="139" w:name="_Toc199254976"/>
      <w:r w:rsidRPr="00B53EAE">
        <w:lastRenderedPageBreak/>
        <w:t xml:space="preserve">Exposure </w:t>
      </w:r>
      <w:proofErr w:type="gramStart"/>
      <w:r w:rsidRPr="00B53EAE">
        <w:t>estimate</w:t>
      </w:r>
      <w:proofErr w:type="gramEnd"/>
      <w:r w:rsidRPr="00B53EAE">
        <w:t xml:space="preserve"> and Margin of Safety</w:t>
      </w:r>
      <w:r>
        <w:t xml:space="preserve"> for Oxybenzone</w:t>
      </w:r>
      <w:bookmarkEnd w:id="138"/>
      <w:bookmarkEnd w:id="139"/>
    </w:p>
    <w:p w14:paraId="19719B62" w14:textId="77777777" w:rsidR="00813CCF" w:rsidRDefault="00813CCF" w:rsidP="0092658F">
      <w:pPr>
        <w:pStyle w:val="Tabletitle"/>
      </w:pPr>
      <w:r w:rsidRPr="00FB1A20">
        <w:t xml:space="preserve">Oxybenzone </w:t>
      </w:r>
      <w:r w:rsidRPr="00AE0E35">
        <w:t>–</w:t>
      </w:r>
      <w:r>
        <w:t xml:space="preserve"> standard</w:t>
      </w:r>
      <w:r w:rsidRPr="00AE0E35">
        <w:t xml:space="preserve"> parameters for the estimation of the systemic exposure dose</w:t>
      </w:r>
    </w:p>
    <w:tbl>
      <w:tblPr>
        <w:tblStyle w:val="TableTGAblue2023"/>
        <w:tblW w:w="0" w:type="auto"/>
        <w:tblLook w:val="04A0" w:firstRow="1" w:lastRow="0" w:firstColumn="1" w:lastColumn="0" w:noHBand="0" w:noVBand="1"/>
      </w:tblPr>
      <w:tblGrid>
        <w:gridCol w:w="6367"/>
        <w:gridCol w:w="2649"/>
      </w:tblGrid>
      <w:tr w:rsidR="00813CCF" w:rsidRPr="0092658F" w14:paraId="471E4C74" w14:textId="77777777" w:rsidTr="00E07077">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6374" w:type="dxa"/>
          </w:tcPr>
          <w:p w14:paraId="3662B646" w14:textId="77777777" w:rsidR="00813CCF" w:rsidRPr="0092658F" w:rsidRDefault="00813CCF" w:rsidP="00E07077">
            <w:pPr>
              <w:pStyle w:val="Standard"/>
              <w:spacing w:after="0"/>
              <w:rPr>
                <w:rFonts w:asciiTheme="minorHAnsi" w:hAnsiTheme="minorHAnsi" w:cstheme="minorHAnsi"/>
                <w:sz w:val="20"/>
                <w:szCs w:val="20"/>
              </w:rPr>
            </w:pPr>
            <w:r w:rsidRPr="0092658F">
              <w:rPr>
                <w:rFonts w:asciiTheme="minorHAnsi" w:hAnsiTheme="minorHAnsi" w:cstheme="minorHAnsi"/>
                <w:sz w:val="20"/>
                <w:szCs w:val="20"/>
              </w:rPr>
              <w:t>Parameter</w:t>
            </w:r>
          </w:p>
        </w:tc>
        <w:tc>
          <w:tcPr>
            <w:tcW w:w="2652" w:type="dxa"/>
          </w:tcPr>
          <w:p w14:paraId="03F773B3" w14:textId="77777777" w:rsidR="00813CCF" w:rsidRPr="0092658F" w:rsidRDefault="00813CCF" w:rsidP="00E07077">
            <w:pPr>
              <w:pStyle w:val="Standard"/>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2658F">
              <w:rPr>
                <w:rFonts w:asciiTheme="minorHAnsi" w:hAnsiTheme="minorHAnsi" w:cstheme="minorHAnsi"/>
                <w:sz w:val="20"/>
                <w:szCs w:val="20"/>
              </w:rPr>
              <w:t>Value</w:t>
            </w:r>
          </w:p>
        </w:tc>
      </w:tr>
      <w:tr w:rsidR="00813CCF" w:rsidRPr="0092658F" w14:paraId="2578245C" w14:textId="77777777" w:rsidTr="00E07077">
        <w:trPr>
          <w:trHeight w:val="336"/>
        </w:trPr>
        <w:tc>
          <w:tcPr>
            <w:cnfStyle w:val="001000000000" w:firstRow="0" w:lastRow="0" w:firstColumn="1" w:lastColumn="0" w:oddVBand="0" w:evenVBand="0" w:oddHBand="0" w:evenHBand="0" w:firstRowFirstColumn="0" w:firstRowLastColumn="0" w:lastRowFirstColumn="0" w:lastRowLastColumn="0"/>
            <w:tcW w:w="6374" w:type="dxa"/>
          </w:tcPr>
          <w:p w14:paraId="7067E158" w14:textId="77777777" w:rsidR="00813CCF" w:rsidRPr="0092658F" w:rsidRDefault="00813CCF" w:rsidP="00E07077">
            <w:pPr>
              <w:pStyle w:val="Standard"/>
              <w:spacing w:before="120" w:after="120"/>
              <w:rPr>
                <w:rFonts w:asciiTheme="minorHAnsi" w:hAnsiTheme="minorHAnsi" w:cstheme="minorHAnsi"/>
                <w:b/>
                <w:bCs/>
                <w:sz w:val="20"/>
                <w:szCs w:val="20"/>
              </w:rPr>
            </w:pPr>
            <w:r w:rsidRPr="0092658F">
              <w:rPr>
                <w:rFonts w:asciiTheme="minorHAnsi" w:hAnsiTheme="minorHAnsi" w:cstheme="minorHAnsi"/>
                <w:sz w:val="20"/>
                <w:szCs w:val="20"/>
              </w:rPr>
              <w:t>NOAEL</w:t>
            </w:r>
          </w:p>
        </w:tc>
        <w:tc>
          <w:tcPr>
            <w:tcW w:w="2652" w:type="dxa"/>
          </w:tcPr>
          <w:p w14:paraId="5C3CD9B0" w14:textId="77777777" w:rsidR="00813CCF" w:rsidRPr="0092658F" w:rsidRDefault="00813CCF" w:rsidP="00E07077">
            <w:pPr>
              <w:pStyle w:val="Standard"/>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2658F">
              <w:rPr>
                <w:rFonts w:asciiTheme="minorHAnsi" w:hAnsiTheme="minorHAnsi" w:cstheme="minorHAnsi"/>
                <w:sz w:val="20"/>
                <w:szCs w:val="20"/>
              </w:rPr>
              <w:t xml:space="preserve">67.9 mg/kg </w:t>
            </w:r>
            <w:proofErr w:type="spellStart"/>
            <w:r w:rsidRPr="0092658F">
              <w:rPr>
                <w:rFonts w:asciiTheme="minorHAnsi" w:hAnsiTheme="minorHAnsi" w:cstheme="minorHAnsi"/>
                <w:sz w:val="20"/>
                <w:szCs w:val="20"/>
              </w:rPr>
              <w:t>bw</w:t>
            </w:r>
            <w:proofErr w:type="spellEnd"/>
            <w:r w:rsidRPr="0092658F">
              <w:rPr>
                <w:rFonts w:asciiTheme="minorHAnsi" w:hAnsiTheme="minorHAnsi" w:cstheme="minorHAnsi"/>
                <w:sz w:val="20"/>
                <w:szCs w:val="20"/>
              </w:rPr>
              <w:t>/day</w:t>
            </w:r>
          </w:p>
        </w:tc>
      </w:tr>
      <w:tr w:rsidR="00813CCF" w:rsidRPr="0092658F" w14:paraId="14F037E3" w14:textId="77777777" w:rsidTr="00E07077">
        <w:trPr>
          <w:trHeight w:val="525"/>
        </w:trPr>
        <w:tc>
          <w:tcPr>
            <w:cnfStyle w:val="001000000000" w:firstRow="0" w:lastRow="0" w:firstColumn="1" w:lastColumn="0" w:oddVBand="0" w:evenVBand="0" w:oddHBand="0" w:evenHBand="0" w:firstRowFirstColumn="0" w:firstRowLastColumn="0" w:lastRowFirstColumn="0" w:lastRowLastColumn="0"/>
            <w:tcW w:w="6374" w:type="dxa"/>
          </w:tcPr>
          <w:p w14:paraId="0D1794B9" w14:textId="77777777" w:rsidR="00813CCF" w:rsidRPr="0092658F" w:rsidRDefault="00813CCF" w:rsidP="00E07077">
            <w:pPr>
              <w:pStyle w:val="Standard"/>
              <w:spacing w:before="120" w:after="120"/>
              <w:rPr>
                <w:rFonts w:asciiTheme="minorHAnsi" w:hAnsiTheme="minorHAnsi" w:cstheme="minorHAnsi"/>
                <w:b/>
                <w:bCs/>
                <w:sz w:val="20"/>
                <w:szCs w:val="20"/>
              </w:rPr>
            </w:pPr>
            <w:r w:rsidRPr="0092658F">
              <w:rPr>
                <w:rFonts w:asciiTheme="minorHAnsi" w:hAnsiTheme="minorHAnsi" w:cstheme="minorHAnsi"/>
                <w:sz w:val="20"/>
                <w:szCs w:val="20"/>
              </w:rPr>
              <w:t>Dermal absorption (</w:t>
            </w:r>
            <w:proofErr w:type="spellStart"/>
            <w:r w:rsidRPr="0092658F">
              <w:rPr>
                <w:rFonts w:asciiTheme="minorHAnsi" w:hAnsiTheme="minorHAnsi" w:cstheme="minorHAnsi"/>
                <w:sz w:val="20"/>
                <w:szCs w:val="20"/>
              </w:rPr>
              <w:t>DAp</w:t>
            </w:r>
            <w:proofErr w:type="spellEnd"/>
            <w:r w:rsidRPr="0092658F">
              <w:rPr>
                <w:rFonts w:asciiTheme="minorHAnsi" w:hAnsiTheme="minorHAnsi" w:cstheme="minorHAnsi"/>
                <w:sz w:val="20"/>
                <w:szCs w:val="20"/>
              </w:rPr>
              <w:t>)</w:t>
            </w:r>
          </w:p>
        </w:tc>
        <w:tc>
          <w:tcPr>
            <w:tcW w:w="2652" w:type="dxa"/>
          </w:tcPr>
          <w:p w14:paraId="5CB132A1" w14:textId="77777777" w:rsidR="00813CCF" w:rsidRPr="0092658F" w:rsidRDefault="00813CCF" w:rsidP="00E07077">
            <w:pPr>
              <w:pStyle w:val="Standard"/>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2658F">
              <w:rPr>
                <w:rFonts w:asciiTheme="minorHAnsi" w:hAnsiTheme="minorHAnsi" w:cstheme="minorHAnsi"/>
                <w:sz w:val="20"/>
                <w:szCs w:val="20"/>
              </w:rPr>
              <w:t>9.9 %</w:t>
            </w:r>
          </w:p>
        </w:tc>
      </w:tr>
      <w:tr w:rsidR="00813CCF" w:rsidRPr="0092658F" w14:paraId="1949562A" w14:textId="77777777" w:rsidTr="00E07077">
        <w:trPr>
          <w:trHeight w:val="525"/>
        </w:trPr>
        <w:tc>
          <w:tcPr>
            <w:cnfStyle w:val="001000000000" w:firstRow="0" w:lastRow="0" w:firstColumn="1" w:lastColumn="0" w:oddVBand="0" w:evenVBand="0" w:oddHBand="0" w:evenHBand="0" w:firstRowFirstColumn="0" w:firstRowLastColumn="0" w:lastRowFirstColumn="0" w:lastRowLastColumn="0"/>
            <w:tcW w:w="6374" w:type="dxa"/>
          </w:tcPr>
          <w:p w14:paraId="5E9CBA6F" w14:textId="77777777" w:rsidR="00813CCF" w:rsidRPr="0092658F" w:rsidRDefault="00813CCF" w:rsidP="00E07077">
            <w:pPr>
              <w:pStyle w:val="Standard"/>
              <w:spacing w:before="120" w:after="120"/>
              <w:rPr>
                <w:rFonts w:asciiTheme="minorHAnsi" w:hAnsiTheme="minorHAnsi" w:cstheme="minorHAnsi"/>
                <w:sz w:val="20"/>
                <w:szCs w:val="20"/>
              </w:rPr>
            </w:pPr>
            <w:r w:rsidRPr="0092658F">
              <w:rPr>
                <w:rFonts w:asciiTheme="minorHAnsi" w:hAnsiTheme="minorHAnsi" w:cstheme="minorHAnsi"/>
                <w:sz w:val="20"/>
                <w:szCs w:val="20"/>
              </w:rPr>
              <w:t>Highest concentration permitted to be used in Australian sunscreen products (C)</w:t>
            </w:r>
          </w:p>
        </w:tc>
        <w:tc>
          <w:tcPr>
            <w:tcW w:w="2652" w:type="dxa"/>
          </w:tcPr>
          <w:p w14:paraId="3DA90C4A" w14:textId="77777777" w:rsidR="00813CCF" w:rsidRPr="0092658F" w:rsidRDefault="00813CCF" w:rsidP="00E07077">
            <w:pPr>
              <w:pStyle w:val="Standard"/>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2658F">
              <w:rPr>
                <w:rFonts w:asciiTheme="minorHAnsi" w:hAnsiTheme="minorHAnsi" w:cstheme="minorHAnsi"/>
                <w:sz w:val="20"/>
                <w:szCs w:val="20"/>
              </w:rPr>
              <w:t>10 %</w:t>
            </w:r>
          </w:p>
        </w:tc>
      </w:tr>
    </w:tbl>
    <w:p w14:paraId="2D7B5696" w14:textId="77777777" w:rsidR="00813CCF" w:rsidRPr="0092658F" w:rsidRDefault="00813CCF" w:rsidP="00813CCF">
      <w:pPr>
        <w:pStyle w:val="Standard"/>
        <w:rPr>
          <w:rFonts w:asciiTheme="minorHAnsi" w:hAnsiTheme="minorHAnsi" w:cstheme="minorHAnsi"/>
          <w:b/>
          <w:bCs/>
          <w:sz w:val="20"/>
          <w:szCs w:val="20"/>
        </w:rPr>
      </w:pPr>
    </w:p>
    <w:p w14:paraId="3B5DAFF4" w14:textId="77777777" w:rsidR="00C960B9" w:rsidRDefault="00C960B9">
      <w:pPr>
        <w:rPr>
          <w:rFonts w:asciiTheme="minorHAnsi" w:eastAsia="Times New Roman" w:hAnsiTheme="minorHAnsi" w:cstheme="minorHAnsi"/>
          <w:b/>
          <w:bCs/>
          <w:snapToGrid w:val="0"/>
          <w:kern w:val="16"/>
        </w:rPr>
      </w:pPr>
      <w:r>
        <w:rPr>
          <w:rFonts w:asciiTheme="minorHAnsi" w:hAnsiTheme="minorHAnsi" w:cstheme="minorHAnsi"/>
          <w:b/>
          <w:bCs/>
        </w:rPr>
        <w:br w:type="page"/>
      </w:r>
    </w:p>
    <w:p w14:paraId="6FB57D59" w14:textId="7B3F02DC" w:rsidR="00813CCF" w:rsidRPr="0092658F" w:rsidRDefault="00813CCF" w:rsidP="00813CCF">
      <w:pPr>
        <w:pStyle w:val="Standard"/>
        <w:rPr>
          <w:rFonts w:asciiTheme="minorHAnsi" w:hAnsiTheme="minorHAnsi" w:cstheme="minorHAnsi"/>
          <w:b/>
          <w:bCs/>
          <w:sz w:val="20"/>
          <w:szCs w:val="20"/>
        </w:rPr>
      </w:pPr>
      <w:r w:rsidRPr="0092658F">
        <w:rPr>
          <w:rFonts w:asciiTheme="minorHAnsi" w:hAnsiTheme="minorHAnsi" w:cstheme="minorHAnsi"/>
          <w:b/>
          <w:bCs/>
          <w:sz w:val="20"/>
          <w:szCs w:val="20"/>
        </w:rPr>
        <w:lastRenderedPageBreak/>
        <w:t xml:space="preserve">Estimated oxybenzone SED and MoS using the Australian Sunscreen Exposure Model (ASEM) </w:t>
      </w:r>
    </w:p>
    <w:p w14:paraId="2096BCC4" w14:textId="77777777" w:rsidR="00813CCF" w:rsidRDefault="00813CCF" w:rsidP="00813CCF">
      <w:pPr>
        <w:pStyle w:val="Heading5sub"/>
      </w:pPr>
      <w:r>
        <w:t>ASEM method 1 (%) MoS calculation</w:t>
      </w:r>
    </w:p>
    <w:p w14:paraId="51D46160" w14:textId="77777777" w:rsidR="00813CCF" w:rsidRDefault="00813CCF" w:rsidP="00813CCF">
      <w:pPr>
        <w:spacing w:before="240"/>
        <w:rPr>
          <w:rFonts w:cs="Arial"/>
          <w:b/>
          <w:bCs/>
        </w:rPr>
      </w:pPr>
      <w:r w:rsidRPr="003645DF">
        <w:rPr>
          <w:rFonts w:cs="Arial"/>
          <w:noProof/>
        </w:rPr>
        <mc:AlternateContent>
          <mc:Choice Requires="wps">
            <w:drawing>
              <wp:inline distT="0" distB="0" distL="0" distR="0" wp14:anchorId="6D0F5E53" wp14:editId="01A2995B">
                <wp:extent cx="5735781" cy="1423686"/>
                <wp:effectExtent l="0" t="0" r="17780" b="24130"/>
                <wp:docPr id="1808449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781" cy="1423686"/>
                        </a:xfrm>
                        <a:prstGeom prst="rect">
                          <a:avLst/>
                        </a:prstGeom>
                        <a:solidFill>
                          <a:srgbClr val="FFFFFF"/>
                        </a:solidFill>
                        <a:ln w="9525">
                          <a:solidFill>
                            <a:schemeClr val="tx1"/>
                          </a:solidFill>
                          <a:miter lim="800000"/>
                          <a:headEnd/>
                          <a:tailEnd/>
                        </a:ln>
                      </wps:spPr>
                      <wps:txbx>
                        <w:txbxContent>
                          <w:p w14:paraId="14A057FC" w14:textId="77777777" w:rsidR="00813CCF" w:rsidRPr="00B232E4" w:rsidRDefault="00813CCF" w:rsidP="00813CCF">
                            <w:pPr>
                              <w:rPr>
                                <w:rFonts w:ascii="Times New Roman" w:eastAsiaTheme="minorEastAsia" w:hAnsi="Times New Roman" w:cs="Times New Roman"/>
                                <w:sz w:val="24"/>
                                <w:szCs w:val="24"/>
                              </w:rPr>
                            </w:pPr>
                            <m:oMathPara>
                              <m:oMathParaPr>
                                <m:jc m:val="center"/>
                              </m:oMathParaPr>
                              <m:oMath>
                                <m:r>
                                  <w:rPr>
                                    <w:rFonts w:ascii="Cambria Math" w:hAnsi="Cambria Math" w:cs="Cambria Math"/>
                                    <w:sz w:val="24"/>
                                    <w:szCs w:val="24"/>
                                  </w:rPr>
                                  <m:t>SED=</m:t>
                                </m:r>
                                <m:sSub>
                                  <m:sSubPr>
                                    <m:ctrlPr>
                                      <w:rPr>
                                        <w:rFonts w:ascii="Cambria Math" w:hAnsi="Cambria Math" w:cs="Cambria Math"/>
                                        <w:i/>
                                        <w:iCs/>
                                        <w:sz w:val="24"/>
                                        <w:szCs w:val="24"/>
                                      </w:rPr>
                                    </m:ctrlPr>
                                  </m:sSubPr>
                                  <m:e>
                                    <m:r>
                                      <w:rPr>
                                        <w:rFonts w:ascii="Cambria Math" w:hAnsi="Cambria Math" w:cs="Cambria Math"/>
                                        <w:sz w:val="24"/>
                                        <w:szCs w:val="24"/>
                                      </w:rPr>
                                      <m:t>ASEM</m:t>
                                    </m:r>
                                  </m:e>
                                  <m:sub>
                                    <m:d>
                                      <m:dPr>
                                        <m:ctrlPr>
                                          <w:rPr>
                                            <w:rFonts w:ascii="Cambria Math" w:hAnsi="Cambria Math" w:cs="Arial"/>
                                            <w:sz w:val="24"/>
                                            <w:szCs w:val="24"/>
                                          </w:rPr>
                                        </m:ctrlPr>
                                      </m:dPr>
                                      <m:e>
                                        <m:r>
                                          <m:rPr>
                                            <m:sty m:val="p"/>
                                          </m:rPr>
                                          <w:rPr>
                                            <w:rFonts w:ascii="Cambria Math" w:hAnsi="Cambria Math" w:cs="Arial"/>
                                            <w:sz w:val="24"/>
                                            <w:szCs w:val="24"/>
                                          </w:rPr>
                                          <m:t>method 1</m:t>
                                        </m:r>
                                      </m:e>
                                    </m:d>
                                    <m:r>
                                      <m:rPr>
                                        <m:sty m:val="p"/>
                                      </m:rPr>
                                      <w:rPr>
                                        <w:rFonts w:ascii="Cambria Math" w:hAnsi="Cambria Math" w:cs="Arial"/>
                                        <w:sz w:val="24"/>
                                        <w:szCs w:val="24"/>
                                      </w:rPr>
                                      <m:t xml:space="preserve"> </m:t>
                                    </m:r>
                                  </m:sub>
                                </m:sSub>
                                <m:r>
                                  <w:rPr>
                                    <w:rFonts w:ascii="Cambria Math" w:hAnsi="Cambria Math" w:cs="Cambria Math"/>
                                    <w:sz w:val="24"/>
                                    <w:szCs w:val="24"/>
                                  </w:rPr>
                                  <m:t>×</m:t>
                                </m:r>
                                <m:sSub>
                                  <m:sSubPr>
                                    <m:ctrlPr>
                                      <w:rPr>
                                        <w:rFonts w:ascii="Cambria Math" w:hAnsi="Cambria Math" w:cs="Cambria Math"/>
                                        <w:i/>
                                        <w:sz w:val="24"/>
                                        <w:szCs w:val="24"/>
                                      </w:rPr>
                                    </m:ctrlPr>
                                  </m:sSubPr>
                                  <m:e>
                                    <m:r>
                                      <w:rPr>
                                        <w:rFonts w:ascii="Cambria Math" w:hAnsi="Cambria Math" w:cs="Cambria Math"/>
                                        <w:sz w:val="24"/>
                                        <w:szCs w:val="24"/>
                                      </w:rPr>
                                      <m:t>DA</m:t>
                                    </m:r>
                                  </m:e>
                                  <m:sub>
                                    <m:r>
                                      <w:rPr>
                                        <w:rFonts w:ascii="Cambria Math" w:hAnsi="Cambria Math" w:cs="Cambria Math"/>
                                        <w:sz w:val="24"/>
                                        <w:szCs w:val="24"/>
                                      </w:rPr>
                                      <m:t>p</m:t>
                                    </m:r>
                                  </m:sub>
                                </m:sSub>
                                <m:r>
                                  <w:rPr>
                                    <w:rFonts w:ascii="Cambria Math" w:hAnsi="Cambria Math" w:cs="Cambria Math"/>
                                    <w:sz w:val="24"/>
                                    <w:szCs w:val="24"/>
                                  </w:rPr>
                                  <m:t xml:space="preserve">×C                </m:t>
                                </m:r>
                              </m:oMath>
                            </m:oMathPara>
                          </w:p>
                          <w:p w14:paraId="665C0C53" w14:textId="77777777" w:rsidR="00813CCF" w:rsidRPr="00B232E4" w:rsidRDefault="00813CCF" w:rsidP="00813CCF">
                            <w:pPr>
                              <w:rPr>
                                <w:rFonts w:ascii="Cambria Math" w:hAnsi="Cambria Math" w:cs="Cambria Math"/>
                                <w:b/>
                                <w:bCs/>
                                <w:sz w:val="24"/>
                                <w:szCs w:val="24"/>
                              </w:rPr>
                            </w:pPr>
                            <m:oMathPara>
                              <m:oMathParaPr>
                                <m:jc m:val="center"/>
                              </m:oMathParaPr>
                              <m:oMath>
                                <m:r>
                                  <w:rPr>
                                    <w:rFonts w:ascii="Cambria Math" w:hAnsi="Cambria Math" w:cs="Cambria Math"/>
                                    <w:sz w:val="24"/>
                                    <w:szCs w:val="24"/>
                                  </w:rPr>
                                  <m:t>=673 mg/kg bw/day ×9.9 %×10 %</m:t>
                                </m:r>
                                <m:r>
                                  <w:rPr>
                                    <w:rFonts w:ascii="Cambria Math" w:eastAsiaTheme="minorEastAsia" w:hAnsi="Cambria Math" w:cs="Arial"/>
                                    <w:sz w:val="24"/>
                                    <w:szCs w:val="24"/>
                                  </w:rPr>
                                  <m:t>=6.66 mg/kg bw/day</m:t>
                                </m:r>
                              </m:oMath>
                            </m:oMathPara>
                          </w:p>
                          <w:p w14:paraId="7451CBAD" w14:textId="77777777" w:rsidR="00813CCF" w:rsidRPr="00B232E4" w:rsidRDefault="00813CCF" w:rsidP="00813CCF">
                            <w:pPr>
                              <w:spacing w:before="120" w:line="240" w:lineRule="atLeast"/>
                              <w:rPr>
                                <w:sz w:val="24"/>
                                <w:szCs w:val="24"/>
                              </w:rPr>
                            </w:pPr>
                            <m:oMathPara>
                              <m:oMathParaPr>
                                <m:jc m:val="center"/>
                              </m:oMathParaPr>
                              <m:oMath>
                                <m:r>
                                  <m:rPr>
                                    <m:sty m:val="p"/>
                                  </m:rPr>
                                  <w:rPr>
                                    <w:rFonts w:ascii="Cambria Math" w:hAnsi="Cambria Math"/>
                                    <w:sz w:val="24"/>
                                    <w:szCs w:val="24"/>
                                  </w:rPr>
                                  <w:br/>
                                </m:r>
                              </m:oMath>
                              <m:oMath>
                                <m:r>
                                  <w:rPr>
                                    <w:rFonts w:ascii="Cambria Math" w:hAnsi="Cambria Math"/>
                                    <w:sz w:val="24"/>
                                    <w:szCs w:val="24"/>
                                  </w:rPr>
                                  <m:t xml:space="preserve">MoS= </m:t>
                                </m:r>
                                <m:f>
                                  <m:fPr>
                                    <m:ctrlPr>
                                      <w:rPr>
                                        <w:rFonts w:ascii="Cambria Math" w:hAnsi="Cambria Math"/>
                                        <w:i/>
                                        <w:sz w:val="24"/>
                                        <w:szCs w:val="24"/>
                                      </w:rPr>
                                    </m:ctrlPr>
                                  </m:fPr>
                                  <m:num>
                                    <m:r>
                                      <w:rPr>
                                        <w:rFonts w:ascii="Cambria Math" w:hAnsi="Cambria Math"/>
                                        <w:sz w:val="24"/>
                                        <w:szCs w:val="24"/>
                                      </w:rPr>
                                      <m:t>NOAEL (mg/kg bw/day)</m:t>
                                    </m:r>
                                  </m:num>
                                  <m:den>
                                    <m:r>
                                      <w:rPr>
                                        <w:rFonts w:ascii="Cambria Math" w:hAnsi="Cambria Math"/>
                                        <w:sz w:val="24"/>
                                        <w:szCs w:val="24"/>
                                      </w:rPr>
                                      <m:t>SED (mg/kg bw/day)</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 xml:space="preserve">67.9 mg/kg bw/d </m:t>
                                    </m:r>
                                  </m:num>
                                  <m:den>
                                    <m:r>
                                      <w:rPr>
                                        <w:rFonts w:ascii="Cambria Math" w:hAnsi="Cambria Math"/>
                                        <w:sz w:val="24"/>
                                        <w:szCs w:val="24"/>
                                      </w:rPr>
                                      <m:t>6.66 mg/kg bw/d</m:t>
                                    </m:r>
                                  </m:den>
                                </m:f>
                                <m:r>
                                  <w:rPr>
                                    <w:rFonts w:ascii="Cambria Math" w:hAnsi="Cambria Math"/>
                                    <w:sz w:val="24"/>
                                    <w:szCs w:val="24"/>
                                  </w:rPr>
                                  <m:t>=</m:t>
                                </m:r>
                                <m:r>
                                  <m:rPr>
                                    <m:sty m:val="bi"/>
                                  </m:rPr>
                                  <w:rPr>
                                    <w:rFonts w:ascii="Cambria Math" w:hAnsi="Cambria Math"/>
                                    <w:sz w:val="24"/>
                                    <w:szCs w:val="24"/>
                                  </w:rPr>
                                  <m:t>10</m:t>
                                </m:r>
                              </m:oMath>
                            </m:oMathPara>
                          </w:p>
                          <w:p w14:paraId="00FFB1E6" w14:textId="77777777" w:rsidR="00813CCF" w:rsidRPr="0011722F" w:rsidRDefault="00813CCF" w:rsidP="00813CCF">
                            <w:proofErr w:type="spellStart"/>
                            <w:r w:rsidRPr="00677D7A">
                              <w:rPr>
                                <w:rFonts w:ascii="Cambria Math" w:eastAsiaTheme="minorEastAsia" w:hAnsi="Cambria Math"/>
                                <w:sz w:val="18"/>
                                <w:szCs w:val="18"/>
                              </w:rPr>
                              <w:t>DA</w:t>
                            </w:r>
                            <w:r>
                              <w:rPr>
                                <w:rFonts w:ascii="Cambria Math" w:eastAsiaTheme="minorEastAsia" w:hAnsi="Cambria Math"/>
                                <w:sz w:val="18"/>
                                <w:szCs w:val="18"/>
                                <w:vertAlign w:val="subscript"/>
                              </w:rPr>
                              <w:t>p</w:t>
                            </w:r>
                            <w:proofErr w:type="spellEnd"/>
                            <w:r w:rsidRPr="00677D7A">
                              <w:rPr>
                                <w:rFonts w:ascii="Cambria Math" w:eastAsiaTheme="minorEastAsia" w:hAnsi="Cambria Math"/>
                                <w:sz w:val="18"/>
                                <w:szCs w:val="18"/>
                              </w:rPr>
                              <w:t>: Dermal Absorption,</w:t>
                            </w:r>
                            <w:r w:rsidRPr="00E24A6F">
                              <w:rPr>
                                <w:rFonts w:ascii="Cambria Math" w:hAnsi="Cambria Math"/>
                                <w:sz w:val="18"/>
                                <w:szCs w:val="18"/>
                              </w:rPr>
                              <w:t xml:space="preserve"> </w:t>
                            </w:r>
                            <w:r w:rsidRPr="00677D7A">
                              <w:rPr>
                                <w:rFonts w:ascii="Cambria Math" w:hAnsi="Cambria Math"/>
                                <w:sz w:val="18"/>
                                <w:szCs w:val="18"/>
                              </w:rPr>
                              <w:t>C: Concentration</w:t>
                            </w:r>
                          </w:p>
                        </w:txbxContent>
                      </wps:txbx>
                      <wps:bodyPr rot="0" vert="horz" wrap="square" lIns="91440" tIns="45720" rIns="91440" bIns="45720" anchor="t" anchorCtr="0">
                        <a:noAutofit/>
                      </wps:bodyPr>
                    </wps:wsp>
                  </a:graphicData>
                </a:graphic>
              </wp:inline>
            </w:drawing>
          </mc:Choice>
          <mc:Fallback>
            <w:pict>
              <v:shape w14:anchorId="6D0F5E53" id="_x0000_s1031" type="#_x0000_t202" style="width:451.65pt;height:1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saHAIAACYEAAAOAAAAZHJzL2Uyb0RvYy54bWysU21v2yAQ/j5p/wHxfXGcJmlqxam6dJkm&#10;dS9Stx+AMY7RgGNAYme/fgd207T7No0PiOPgubvnnlvf9lqRo3BegilpPplSIgyHWpp9SX98371b&#10;UeIDMzVTYERJT8LT283bN+vOFmIGLahaOIIgxhedLWkbgi2yzPNWaOYnYIVBZwNOs4Cm22e1Yx2i&#10;a5XNptNl1oGrrQMuvMfb+8FJNwm/aQQPX5vGi0BUSTG3kHaX9iru2WbNir1jtpV8TIP9QxaaSYNB&#10;z1D3LDBycPIvKC25Aw9NmHDQGTSN5CLVgNXk01fVPLbMilQLkuPtmSb//2D5l+Oj/eZI6N9Djw1M&#10;RXj7APynJwa2LTN7ceccdK1gNQbOI2VZZ30xfo1U+8JHkKr7DDU2mR0CJKC+cTqygnUSRMcGnM6k&#10;iz4QjpeL66vF9SqnhKMvn8+ulqtlisGKp+/W+fBRgCbxUFKHXU3w7PjgQ0yHFU9PYjQPStY7qVQy&#10;3L7aKkeODBWwS2tEf/FMGdKV9GYxWwwMvICIYhRnkNAPHLwKpGVAJSupS7qaxjVoK9L2wdRJZ4FJ&#10;NZwxY2VGHiN1A4mhr3oia+Qk/o20VlCfkFgHg3Bx0PDQgvtNSYeiLan/dWBOUKI+GWzOTT6fR5Un&#10;Y764nqHhLj3VpYcZjlAlDZQMx21IkxFpM3CHTWxkovc5kzFlFGNifRycqPZLO716Hu/NHwAAAP//&#10;AwBQSwMEFAAGAAgAAAAhAOC/9ZzbAAAABQEAAA8AAABkcnMvZG93bnJldi54bWxMj0FLw0AQhe+C&#10;/2EZwZvdmEqpMZsildSThaaCeJtmxySYnQ3ZbRv/vaMXvQw83uO9b/LV5Hp1ojF0ng3czhJQxLW3&#10;HTcGXvflzRJUiMgWe89k4IsCrIrLixwz68+8o1MVGyUlHDI00MY4ZFqHuiWHYeYHYvE+/Ogwihwb&#10;bUc8S7nrdZokC+2wY1locaB1S/VndXQGnjf1UxV0wHKzexne12+2tFtrzPXV9PgAKtIU/8Lwgy/o&#10;UAjTwR/ZBtUbkEfi7xXvPpnPQR0MpOldCrrI9X/64hsAAP//AwBQSwECLQAUAAYACAAAACEAtoM4&#10;kv4AAADhAQAAEwAAAAAAAAAAAAAAAAAAAAAAW0NvbnRlbnRfVHlwZXNdLnhtbFBLAQItABQABgAI&#10;AAAAIQA4/SH/1gAAAJQBAAALAAAAAAAAAAAAAAAAAC8BAABfcmVscy8ucmVsc1BLAQItABQABgAI&#10;AAAAIQCRqXsaHAIAACYEAAAOAAAAAAAAAAAAAAAAAC4CAABkcnMvZTJvRG9jLnhtbFBLAQItABQA&#10;BgAIAAAAIQDgv/Wc2wAAAAUBAAAPAAAAAAAAAAAAAAAAAHYEAABkcnMvZG93bnJldi54bWxQSwUG&#10;AAAAAAQABADzAAAAfgUAAAAA&#10;" strokecolor="#002c47 [3213]">
                <v:textbox>
                  <w:txbxContent>
                    <w:p w14:paraId="14A057FC" w14:textId="77777777" w:rsidR="00813CCF" w:rsidRPr="00B232E4" w:rsidRDefault="00813CCF" w:rsidP="00813CCF">
                      <w:pPr>
                        <w:rPr>
                          <w:rFonts w:ascii="Times New Roman" w:eastAsiaTheme="minorEastAsia" w:hAnsi="Times New Roman" w:cs="Times New Roman"/>
                          <w:sz w:val="24"/>
                          <w:szCs w:val="24"/>
                        </w:rPr>
                      </w:pPr>
                      <m:oMathPara>
                        <m:oMathParaPr>
                          <m:jc m:val="center"/>
                        </m:oMathParaPr>
                        <m:oMath>
                          <m:r>
                            <w:rPr>
                              <w:rFonts w:ascii="Cambria Math" w:hAnsi="Cambria Math" w:cs="Cambria Math"/>
                              <w:sz w:val="24"/>
                              <w:szCs w:val="24"/>
                            </w:rPr>
                            <m:t>SED=</m:t>
                          </m:r>
                          <m:sSub>
                            <m:sSubPr>
                              <m:ctrlPr>
                                <w:rPr>
                                  <w:rFonts w:ascii="Cambria Math" w:hAnsi="Cambria Math" w:cs="Cambria Math"/>
                                  <w:i/>
                                  <w:iCs/>
                                  <w:sz w:val="24"/>
                                  <w:szCs w:val="24"/>
                                </w:rPr>
                              </m:ctrlPr>
                            </m:sSubPr>
                            <m:e>
                              <m:r>
                                <w:rPr>
                                  <w:rFonts w:ascii="Cambria Math" w:hAnsi="Cambria Math" w:cs="Cambria Math"/>
                                  <w:sz w:val="24"/>
                                  <w:szCs w:val="24"/>
                                </w:rPr>
                                <m:t>ASEM</m:t>
                              </m:r>
                            </m:e>
                            <m:sub>
                              <m:d>
                                <m:dPr>
                                  <m:ctrlPr>
                                    <w:rPr>
                                      <w:rFonts w:ascii="Cambria Math" w:hAnsi="Cambria Math" w:cs="Arial"/>
                                      <w:sz w:val="24"/>
                                      <w:szCs w:val="24"/>
                                    </w:rPr>
                                  </m:ctrlPr>
                                </m:dPr>
                                <m:e>
                                  <m:r>
                                    <m:rPr>
                                      <m:sty m:val="p"/>
                                    </m:rPr>
                                    <w:rPr>
                                      <w:rFonts w:ascii="Cambria Math" w:hAnsi="Cambria Math" w:cs="Arial"/>
                                      <w:sz w:val="24"/>
                                      <w:szCs w:val="24"/>
                                    </w:rPr>
                                    <m:t>method 1</m:t>
                                  </m:r>
                                </m:e>
                              </m:d>
                              <m:r>
                                <m:rPr>
                                  <m:sty m:val="p"/>
                                </m:rPr>
                                <w:rPr>
                                  <w:rFonts w:ascii="Cambria Math" w:hAnsi="Cambria Math" w:cs="Arial"/>
                                  <w:sz w:val="24"/>
                                  <w:szCs w:val="24"/>
                                </w:rPr>
                                <m:t xml:space="preserve"> </m:t>
                              </m:r>
                            </m:sub>
                          </m:sSub>
                          <m:r>
                            <w:rPr>
                              <w:rFonts w:ascii="Cambria Math" w:hAnsi="Cambria Math" w:cs="Cambria Math"/>
                              <w:sz w:val="24"/>
                              <w:szCs w:val="24"/>
                            </w:rPr>
                            <m:t>×</m:t>
                          </m:r>
                          <m:sSub>
                            <m:sSubPr>
                              <m:ctrlPr>
                                <w:rPr>
                                  <w:rFonts w:ascii="Cambria Math" w:hAnsi="Cambria Math" w:cs="Cambria Math"/>
                                  <w:i/>
                                  <w:sz w:val="24"/>
                                  <w:szCs w:val="24"/>
                                </w:rPr>
                              </m:ctrlPr>
                            </m:sSubPr>
                            <m:e>
                              <m:r>
                                <w:rPr>
                                  <w:rFonts w:ascii="Cambria Math" w:hAnsi="Cambria Math" w:cs="Cambria Math"/>
                                  <w:sz w:val="24"/>
                                  <w:szCs w:val="24"/>
                                </w:rPr>
                                <m:t>DA</m:t>
                              </m:r>
                            </m:e>
                            <m:sub>
                              <m:r>
                                <w:rPr>
                                  <w:rFonts w:ascii="Cambria Math" w:hAnsi="Cambria Math" w:cs="Cambria Math"/>
                                  <w:sz w:val="24"/>
                                  <w:szCs w:val="24"/>
                                </w:rPr>
                                <m:t>p</m:t>
                              </m:r>
                            </m:sub>
                          </m:sSub>
                          <m:r>
                            <w:rPr>
                              <w:rFonts w:ascii="Cambria Math" w:hAnsi="Cambria Math" w:cs="Cambria Math"/>
                              <w:sz w:val="24"/>
                              <w:szCs w:val="24"/>
                            </w:rPr>
                            <m:t xml:space="preserve">×C                </m:t>
                          </m:r>
                        </m:oMath>
                      </m:oMathPara>
                    </w:p>
                    <w:p w14:paraId="665C0C53" w14:textId="77777777" w:rsidR="00813CCF" w:rsidRPr="00B232E4" w:rsidRDefault="00813CCF" w:rsidP="00813CCF">
                      <w:pPr>
                        <w:rPr>
                          <w:rFonts w:ascii="Cambria Math" w:hAnsi="Cambria Math" w:cs="Cambria Math"/>
                          <w:b/>
                          <w:bCs/>
                          <w:sz w:val="24"/>
                          <w:szCs w:val="24"/>
                        </w:rPr>
                      </w:pPr>
                      <m:oMathPara>
                        <m:oMathParaPr>
                          <m:jc m:val="center"/>
                        </m:oMathParaPr>
                        <m:oMath>
                          <m:r>
                            <w:rPr>
                              <w:rFonts w:ascii="Cambria Math" w:hAnsi="Cambria Math" w:cs="Cambria Math"/>
                              <w:sz w:val="24"/>
                              <w:szCs w:val="24"/>
                            </w:rPr>
                            <m:t>=673 mg/kg bw/day ×9.9 %×10 %</m:t>
                          </m:r>
                          <m:r>
                            <w:rPr>
                              <w:rFonts w:ascii="Cambria Math" w:eastAsiaTheme="minorEastAsia" w:hAnsi="Cambria Math" w:cs="Arial"/>
                              <w:sz w:val="24"/>
                              <w:szCs w:val="24"/>
                            </w:rPr>
                            <m:t>=6.66 mg/kg bw/day</m:t>
                          </m:r>
                        </m:oMath>
                      </m:oMathPara>
                    </w:p>
                    <w:p w14:paraId="7451CBAD" w14:textId="77777777" w:rsidR="00813CCF" w:rsidRPr="00B232E4" w:rsidRDefault="00813CCF" w:rsidP="00813CCF">
                      <w:pPr>
                        <w:spacing w:before="120" w:line="240" w:lineRule="atLeast"/>
                        <w:rPr>
                          <w:sz w:val="24"/>
                          <w:szCs w:val="24"/>
                        </w:rPr>
                      </w:pPr>
                      <m:oMathPara>
                        <m:oMathParaPr>
                          <m:jc m:val="center"/>
                        </m:oMathParaPr>
                        <m:oMath>
                          <m:r>
                            <m:rPr>
                              <m:sty m:val="p"/>
                            </m:rPr>
                            <w:rPr>
                              <w:rFonts w:ascii="Cambria Math" w:hAnsi="Cambria Math"/>
                              <w:sz w:val="24"/>
                              <w:szCs w:val="24"/>
                            </w:rPr>
                            <w:br/>
                          </m:r>
                        </m:oMath>
                        <m:oMath>
                          <m:r>
                            <w:rPr>
                              <w:rFonts w:ascii="Cambria Math" w:hAnsi="Cambria Math"/>
                              <w:sz w:val="24"/>
                              <w:szCs w:val="24"/>
                            </w:rPr>
                            <m:t xml:space="preserve">MoS= </m:t>
                          </m:r>
                          <m:f>
                            <m:fPr>
                              <m:ctrlPr>
                                <w:rPr>
                                  <w:rFonts w:ascii="Cambria Math" w:hAnsi="Cambria Math"/>
                                  <w:i/>
                                  <w:sz w:val="24"/>
                                  <w:szCs w:val="24"/>
                                </w:rPr>
                              </m:ctrlPr>
                            </m:fPr>
                            <m:num>
                              <m:r>
                                <w:rPr>
                                  <w:rFonts w:ascii="Cambria Math" w:hAnsi="Cambria Math"/>
                                  <w:sz w:val="24"/>
                                  <w:szCs w:val="24"/>
                                </w:rPr>
                                <m:t>NOAEL (mg/kg bw/day)</m:t>
                              </m:r>
                            </m:num>
                            <m:den>
                              <m:r>
                                <w:rPr>
                                  <w:rFonts w:ascii="Cambria Math" w:hAnsi="Cambria Math"/>
                                  <w:sz w:val="24"/>
                                  <w:szCs w:val="24"/>
                                </w:rPr>
                                <m:t>SED (mg/kg bw/day)</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 xml:space="preserve">67.9 mg/kg bw/d </m:t>
                              </m:r>
                            </m:num>
                            <m:den>
                              <m:r>
                                <w:rPr>
                                  <w:rFonts w:ascii="Cambria Math" w:hAnsi="Cambria Math"/>
                                  <w:sz w:val="24"/>
                                  <w:szCs w:val="24"/>
                                </w:rPr>
                                <m:t>6.66 mg/kg bw/d</m:t>
                              </m:r>
                            </m:den>
                          </m:f>
                          <m:r>
                            <w:rPr>
                              <w:rFonts w:ascii="Cambria Math" w:hAnsi="Cambria Math"/>
                              <w:sz w:val="24"/>
                              <w:szCs w:val="24"/>
                            </w:rPr>
                            <m:t>=</m:t>
                          </m:r>
                          <m:r>
                            <m:rPr>
                              <m:sty m:val="bi"/>
                            </m:rPr>
                            <w:rPr>
                              <w:rFonts w:ascii="Cambria Math" w:hAnsi="Cambria Math"/>
                              <w:sz w:val="24"/>
                              <w:szCs w:val="24"/>
                            </w:rPr>
                            <m:t>10</m:t>
                          </m:r>
                        </m:oMath>
                      </m:oMathPara>
                    </w:p>
                    <w:p w14:paraId="00FFB1E6" w14:textId="77777777" w:rsidR="00813CCF" w:rsidRPr="0011722F" w:rsidRDefault="00813CCF" w:rsidP="00813CCF">
                      <w:proofErr w:type="spellStart"/>
                      <w:r w:rsidRPr="00677D7A">
                        <w:rPr>
                          <w:rFonts w:ascii="Cambria Math" w:eastAsiaTheme="minorEastAsia" w:hAnsi="Cambria Math"/>
                          <w:sz w:val="18"/>
                          <w:szCs w:val="18"/>
                        </w:rPr>
                        <w:t>DA</w:t>
                      </w:r>
                      <w:r>
                        <w:rPr>
                          <w:rFonts w:ascii="Cambria Math" w:eastAsiaTheme="minorEastAsia" w:hAnsi="Cambria Math"/>
                          <w:sz w:val="18"/>
                          <w:szCs w:val="18"/>
                          <w:vertAlign w:val="subscript"/>
                        </w:rPr>
                        <w:t>p</w:t>
                      </w:r>
                      <w:proofErr w:type="spellEnd"/>
                      <w:r w:rsidRPr="00677D7A">
                        <w:rPr>
                          <w:rFonts w:ascii="Cambria Math" w:eastAsiaTheme="minorEastAsia" w:hAnsi="Cambria Math"/>
                          <w:sz w:val="18"/>
                          <w:szCs w:val="18"/>
                        </w:rPr>
                        <w:t>: Dermal Absorption,</w:t>
                      </w:r>
                      <w:r w:rsidRPr="00E24A6F">
                        <w:rPr>
                          <w:rFonts w:ascii="Cambria Math" w:hAnsi="Cambria Math"/>
                          <w:sz w:val="18"/>
                          <w:szCs w:val="18"/>
                        </w:rPr>
                        <w:t xml:space="preserve"> </w:t>
                      </w:r>
                      <w:r w:rsidRPr="00677D7A">
                        <w:rPr>
                          <w:rFonts w:ascii="Cambria Math" w:hAnsi="Cambria Math"/>
                          <w:sz w:val="18"/>
                          <w:szCs w:val="18"/>
                        </w:rPr>
                        <w:t>C: Concentration</w:t>
                      </w:r>
                    </w:p>
                  </w:txbxContent>
                </v:textbox>
                <w10:anchorlock/>
              </v:shape>
            </w:pict>
          </mc:Fallback>
        </mc:AlternateContent>
      </w:r>
    </w:p>
    <w:p w14:paraId="6849DF9B" w14:textId="2B12D798" w:rsidR="00D74AF2" w:rsidRPr="00794E05" w:rsidRDefault="00D74AF2" w:rsidP="00D74AF2">
      <w:r>
        <w:t>Therefore,</w:t>
      </w:r>
      <w:r w:rsidR="00702FB1">
        <w:t xml:space="preserve"> </w:t>
      </w:r>
      <w:r w:rsidR="00F74684">
        <w:t>f</w:t>
      </w:r>
      <w:r>
        <w:t>or a general sunscreen product, the acceptable concentration of Oxybenzone would be 1%, based on the MoS calculation below</w:t>
      </w:r>
      <w:r w:rsidR="00F74684">
        <w:t>.</w:t>
      </w:r>
    </w:p>
    <w:p w14:paraId="75141C2A" w14:textId="071DAC7A" w:rsidR="00D74AF2" w:rsidRPr="00794E05" w:rsidRDefault="00D74AF2" w:rsidP="00D74AF2">
      <w:pPr>
        <w:pStyle w:val="Standard"/>
        <w:rPr>
          <w:rFonts w:ascii="Arial" w:hAnsi="Arial" w:cs="Arial"/>
          <w:b/>
          <w:bCs/>
          <w:sz w:val="20"/>
          <w:szCs w:val="20"/>
        </w:rPr>
      </w:pPr>
      <w:r>
        <w:rPr>
          <w:rFonts w:ascii="Arial" w:hAnsi="Arial" w:cs="Arial"/>
          <w:b/>
          <w:bCs/>
          <w:sz w:val="20"/>
          <w:szCs w:val="20"/>
        </w:rPr>
        <w:t>Oxybenzone concentration for an acceptable</w:t>
      </w:r>
      <w:r w:rsidRPr="00794E05">
        <w:rPr>
          <w:rFonts w:ascii="Arial" w:hAnsi="Arial" w:cs="Arial"/>
          <w:b/>
          <w:bCs/>
          <w:sz w:val="20"/>
          <w:szCs w:val="20"/>
        </w:rPr>
        <w:t xml:space="preserve"> SED and MoS using the ASEM method 1 (%)</w:t>
      </w:r>
    </w:p>
    <w:p w14:paraId="5AE80A0A" w14:textId="07E9DFC0" w:rsidR="00D74AF2" w:rsidRPr="00D74AF2" w:rsidRDefault="00D74AF2" w:rsidP="000874CD">
      <w:pPr>
        <w:rPr>
          <w:b/>
          <w:bCs/>
        </w:rPr>
      </w:pPr>
      <w:r>
        <w:rPr>
          <w:noProof/>
          <w:sz w:val="22"/>
          <w:szCs w:val="22"/>
        </w:rPr>
        <w:drawing>
          <wp:inline distT="0" distB="0" distL="0" distR="0" wp14:anchorId="465D1B4B" wp14:editId="4796C639">
            <wp:extent cx="5731510" cy="1395730"/>
            <wp:effectExtent l="0" t="0" r="2540" b="13970"/>
            <wp:docPr id="300476055" name="Picture 3" descr="SED=〖ASEM〗_((method 1)  )×〖DA〗_p×C                &#10;=673 mg/kg bw/day ×9.9 %×1 %=0.666 mg/kg bw/day &#10;&#10;MoS=  (NOAEL (mg/kg bw/day))/(SED (mg/kg bw/day))=(67.9 mg/kg bw/d )/(0.666 mg/kg bw/d)=100&#10;DAp: Dermal Absorption, C: Concentr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D=〖ASEM〗_((method 1)  )×〖DA〗_p×C                &#10;=673 mg/kg bw/day ×9.9 %×1 %=0.666 mg/kg bw/day &#10;&#10;MoS=  (NOAEL (mg/kg bw/day))/(SED (mg/kg bw/day))=(67.9 mg/kg bw/d )/(0.666 mg/kg bw/d)=100&#10;DAp: Dermal Absorption, C: Concentration&#10;"/>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5731510" cy="1395730"/>
                    </a:xfrm>
                    <a:prstGeom prst="rect">
                      <a:avLst/>
                    </a:prstGeom>
                    <a:noFill/>
                    <a:ln>
                      <a:noFill/>
                    </a:ln>
                  </pic:spPr>
                </pic:pic>
              </a:graphicData>
            </a:graphic>
          </wp:inline>
        </w:drawing>
      </w:r>
    </w:p>
    <w:p w14:paraId="6B323D8D" w14:textId="77777777" w:rsidR="00813CCF" w:rsidRDefault="00813CCF" w:rsidP="00813CCF">
      <w:pPr>
        <w:pStyle w:val="Heading5sub"/>
      </w:pPr>
      <w:r>
        <w:t>Further consideration for Oxybenzone</w:t>
      </w:r>
    </w:p>
    <w:p w14:paraId="01704C4D" w14:textId="12C47DCB" w:rsidR="00813CCF" w:rsidRDefault="00813CCF" w:rsidP="0092658F">
      <w:r w:rsidRPr="0060498E">
        <w:t xml:space="preserve">If the use of a sunscreen product containing oxybenzone is applied to specific parts of the body e.g. face, the MoS may increase. </w:t>
      </w:r>
      <w:r w:rsidR="00E53606" w:rsidRPr="000874CD">
        <w:t>A</w:t>
      </w:r>
      <w:r w:rsidR="00C120F4" w:rsidRPr="000874CD">
        <w:t xml:space="preserve">s shown in the two tables below </w:t>
      </w:r>
      <w:r w:rsidRPr="0060498E">
        <w:t>for application of an oxybenzone-containing sunscreen product twice a day for 240 days per year and 365 days per year, respectively, the various estimates are satisfactory</w:t>
      </w:r>
      <w:r w:rsidR="00CE0485" w:rsidRPr="000874CD">
        <w:t xml:space="preserve"> for adults</w:t>
      </w:r>
      <w:r w:rsidRPr="0060498E">
        <w:t xml:space="preserve">, i.e. a MoS is greater than 100, except for twice daily application for 365 days a year to adult head and hands (MoS of 72), and adult </w:t>
      </w:r>
      <w:r w:rsidR="00255910" w:rsidRPr="000874CD">
        <w:t>face</w:t>
      </w:r>
      <w:r w:rsidR="00255910" w:rsidRPr="0060498E">
        <w:t xml:space="preserve"> </w:t>
      </w:r>
      <w:r w:rsidRPr="0060498E">
        <w:t>and hands (MoS of 98).</w:t>
      </w:r>
      <w:r w:rsidR="00B913BF">
        <w:t xml:space="preserve"> While the same </w:t>
      </w:r>
      <w:r w:rsidR="00F74684">
        <w:t xml:space="preserve">scenarios </w:t>
      </w:r>
      <w:r w:rsidR="00B913BF">
        <w:t xml:space="preserve">for </w:t>
      </w:r>
      <w:r w:rsidR="00F74684">
        <w:t xml:space="preserve">use by </w:t>
      </w:r>
      <w:r w:rsidR="00B913BF">
        <w:t>the whole family</w:t>
      </w:r>
      <w:r w:rsidR="00BB6E5E">
        <w:t xml:space="preserve"> </w:t>
      </w:r>
      <w:r w:rsidR="007A6B06">
        <w:t>is not satisfactory, i.e. MoS less than 100.</w:t>
      </w:r>
      <w:r w:rsidR="00B913BF">
        <w:t xml:space="preserve"> </w:t>
      </w:r>
    </w:p>
    <w:p w14:paraId="5930AE99" w14:textId="36193124" w:rsidR="00F701A5" w:rsidRDefault="00F701A5" w:rsidP="0092658F">
      <w:r>
        <w:t xml:space="preserve">The whole family calculation works with the assumption that if the specific application scenario is acceptable for toddlers (1-2 </w:t>
      </w:r>
      <w:proofErr w:type="spellStart"/>
      <w:r>
        <w:t>y.o</w:t>
      </w:r>
      <w:proofErr w:type="spellEnd"/>
      <w:r>
        <w:t>), it is acceptable for the whole family.</w:t>
      </w:r>
    </w:p>
    <w:p w14:paraId="4C2BE609" w14:textId="77777777" w:rsidR="00813CCF" w:rsidRDefault="00813CCF" w:rsidP="0092658F">
      <w:pPr>
        <w:pStyle w:val="Tabletitle"/>
      </w:pPr>
      <w:r w:rsidRPr="00F6314C">
        <w:t xml:space="preserve">Annual use considered </w:t>
      </w:r>
      <w:r>
        <w:t>for</w:t>
      </w:r>
      <w:r w:rsidRPr="00F6314C">
        <w:t xml:space="preserve"> 240 days/years based upon Scenario 1 of the ASEM.</w:t>
      </w:r>
    </w:p>
    <w:tbl>
      <w:tblPr>
        <w:tblStyle w:val="TableTGAblue2023"/>
        <w:tblW w:w="9469" w:type="dxa"/>
        <w:tblLook w:val="04A0" w:firstRow="1" w:lastRow="0" w:firstColumn="1" w:lastColumn="0" w:noHBand="0" w:noVBand="1"/>
      </w:tblPr>
      <w:tblGrid>
        <w:gridCol w:w="1370"/>
        <w:gridCol w:w="1063"/>
        <w:gridCol w:w="1031"/>
        <w:gridCol w:w="1866"/>
        <w:gridCol w:w="1548"/>
        <w:gridCol w:w="1165"/>
        <w:gridCol w:w="1426"/>
      </w:tblGrid>
      <w:tr w:rsidR="00966A17" w:rsidRPr="008C032D" w14:paraId="143BF9A1" w14:textId="77777777" w:rsidTr="00966A17">
        <w:trPr>
          <w:cnfStyle w:val="100000000000" w:firstRow="1" w:lastRow="0" w:firstColumn="0" w:lastColumn="0" w:oddVBand="0" w:evenVBand="0" w:oddHBand="0"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1370" w:type="dxa"/>
            <w:hideMark/>
          </w:tcPr>
          <w:p w14:paraId="6AAD6E8D" w14:textId="77777777" w:rsidR="00966A17" w:rsidRPr="003E75D1" w:rsidRDefault="00966A17" w:rsidP="00794E05">
            <w:pPr>
              <w:spacing w:after="0" w:line="240" w:lineRule="auto"/>
              <w:jc w:val="center"/>
              <w:rPr>
                <w:rFonts w:eastAsia="Times New Roman" w:cs="Arial"/>
                <w:b w:val="0"/>
                <w:bCs/>
                <w:sz w:val="20"/>
                <w:szCs w:val="20"/>
              </w:rPr>
            </w:pPr>
            <w:r w:rsidRPr="003E75D1">
              <w:rPr>
                <w:rFonts w:eastAsia="Times New Roman" w:cs="Arial"/>
                <w:bCs/>
                <w:sz w:val="20"/>
                <w:szCs w:val="20"/>
              </w:rPr>
              <w:t>Scenario*</w:t>
            </w:r>
          </w:p>
        </w:tc>
        <w:tc>
          <w:tcPr>
            <w:tcW w:w="1063" w:type="dxa"/>
            <w:hideMark/>
          </w:tcPr>
          <w:p w14:paraId="1A7715EE" w14:textId="77777777" w:rsidR="00966A17" w:rsidRPr="003E75D1" w:rsidRDefault="00966A17" w:rsidP="00794E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sz w:val="20"/>
                <w:szCs w:val="20"/>
              </w:rPr>
            </w:pPr>
            <w:r w:rsidRPr="003E75D1">
              <w:rPr>
                <w:rFonts w:eastAsia="Times New Roman" w:cs="Arial"/>
                <w:bCs/>
                <w:sz w:val="20"/>
                <w:szCs w:val="20"/>
              </w:rPr>
              <w:t>Skin Surface Area (cm</w:t>
            </w:r>
            <w:r w:rsidRPr="003E75D1">
              <w:rPr>
                <w:rFonts w:eastAsia="Times New Roman" w:cs="Arial"/>
                <w:bCs/>
                <w:sz w:val="20"/>
                <w:szCs w:val="20"/>
                <w:vertAlign w:val="superscript"/>
              </w:rPr>
              <w:t>2</w:t>
            </w:r>
            <w:r w:rsidRPr="003E75D1">
              <w:rPr>
                <w:rFonts w:eastAsia="Times New Roman" w:cs="Arial"/>
                <w:bCs/>
                <w:sz w:val="20"/>
                <w:szCs w:val="20"/>
              </w:rPr>
              <w:t>)</w:t>
            </w:r>
          </w:p>
        </w:tc>
        <w:tc>
          <w:tcPr>
            <w:tcW w:w="1031" w:type="dxa"/>
            <w:hideMark/>
          </w:tcPr>
          <w:p w14:paraId="659104DB" w14:textId="77777777" w:rsidR="00966A17" w:rsidRPr="003E75D1" w:rsidRDefault="00966A17" w:rsidP="00794E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sz w:val="20"/>
                <w:szCs w:val="20"/>
              </w:rPr>
            </w:pPr>
            <w:r w:rsidRPr="003E75D1">
              <w:rPr>
                <w:rFonts w:eastAsia="Times New Roman" w:cs="Arial"/>
                <w:bCs/>
                <w:sz w:val="20"/>
                <w:szCs w:val="20"/>
              </w:rPr>
              <w:t xml:space="preserve">Body </w:t>
            </w:r>
            <w:proofErr w:type="gramStart"/>
            <w:r w:rsidRPr="003E75D1">
              <w:rPr>
                <w:rFonts w:eastAsia="Times New Roman" w:cs="Arial"/>
                <w:bCs/>
                <w:sz w:val="20"/>
                <w:szCs w:val="20"/>
              </w:rPr>
              <w:t xml:space="preserve">weight </w:t>
            </w:r>
            <w:r w:rsidRPr="003E75D1">
              <w:rPr>
                <w:rFonts w:eastAsia="Times New Roman" w:cs="Arial"/>
                <w:sz w:val="20"/>
                <w:szCs w:val="20"/>
              </w:rPr>
              <w:t xml:space="preserve"> </w:t>
            </w:r>
            <w:r w:rsidRPr="003E75D1">
              <w:rPr>
                <w:rFonts w:eastAsia="Times New Roman" w:cs="Arial"/>
                <w:bCs/>
                <w:sz w:val="20"/>
                <w:szCs w:val="20"/>
              </w:rPr>
              <w:t>(</w:t>
            </w:r>
            <w:proofErr w:type="gramEnd"/>
            <w:r w:rsidRPr="003E75D1">
              <w:rPr>
                <w:rFonts w:eastAsia="Times New Roman" w:cs="Arial"/>
                <w:bCs/>
                <w:sz w:val="20"/>
                <w:szCs w:val="20"/>
              </w:rPr>
              <w:t>kg)</w:t>
            </w:r>
          </w:p>
        </w:tc>
        <w:tc>
          <w:tcPr>
            <w:tcW w:w="1866" w:type="dxa"/>
            <w:hideMark/>
          </w:tcPr>
          <w:p w14:paraId="077424A5" w14:textId="77777777" w:rsidR="00966A17" w:rsidRPr="003E75D1" w:rsidRDefault="00966A17" w:rsidP="00794E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sz w:val="20"/>
                <w:szCs w:val="20"/>
              </w:rPr>
            </w:pPr>
            <w:r w:rsidRPr="003E75D1">
              <w:rPr>
                <w:rFonts w:eastAsia="Times New Roman" w:cs="Arial"/>
                <w:bCs/>
                <w:sz w:val="20"/>
                <w:szCs w:val="20"/>
              </w:rPr>
              <w:t>Reapplications (no. per day)</w:t>
            </w:r>
          </w:p>
        </w:tc>
        <w:tc>
          <w:tcPr>
            <w:tcW w:w="1548" w:type="dxa"/>
            <w:hideMark/>
          </w:tcPr>
          <w:p w14:paraId="0DAE94AD" w14:textId="77777777" w:rsidR="00966A17" w:rsidRPr="003E75D1" w:rsidRDefault="00966A17" w:rsidP="00794E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sz w:val="20"/>
                <w:szCs w:val="20"/>
              </w:rPr>
            </w:pPr>
            <w:r w:rsidRPr="003E75D1">
              <w:rPr>
                <w:rFonts w:eastAsia="Times New Roman" w:cs="Arial"/>
                <w:bCs/>
                <w:sz w:val="20"/>
                <w:szCs w:val="20"/>
              </w:rPr>
              <w:t>Annual use (days/year)</w:t>
            </w:r>
          </w:p>
          <w:p w14:paraId="7D8A764E" w14:textId="77777777" w:rsidR="00966A17" w:rsidRPr="003E75D1" w:rsidRDefault="00966A17" w:rsidP="00794E05">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 w:val="0"/>
                <w:bCs/>
                <w:sz w:val="20"/>
                <w:szCs w:val="20"/>
              </w:rPr>
            </w:pPr>
          </w:p>
        </w:tc>
        <w:tc>
          <w:tcPr>
            <w:tcW w:w="1165" w:type="dxa"/>
            <w:hideMark/>
          </w:tcPr>
          <w:p w14:paraId="43E976C9" w14:textId="77777777" w:rsidR="00966A17" w:rsidRPr="003E75D1" w:rsidRDefault="00966A17" w:rsidP="00794E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sz w:val="20"/>
                <w:szCs w:val="20"/>
              </w:rPr>
            </w:pPr>
            <w:r w:rsidRPr="003E75D1">
              <w:rPr>
                <w:rFonts w:eastAsia="Times New Roman" w:cs="Arial"/>
                <w:bCs/>
                <w:sz w:val="20"/>
                <w:szCs w:val="20"/>
              </w:rPr>
              <w:t xml:space="preserve">SED (mg/kg </w:t>
            </w:r>
            <w:proofErr w:type="spellStart"/>
            <w:r w:rsidRPr="003E75D1">
              <w:rPr>
                <w:rFonts w:eastAsia="Times New Roman" w:cs="Arial"/>
                <w:bCs/>
                <w:sz w:val="20"/>
                <w:szCs w:val="20"/>
              </w:rPr>
              <w:t>bw</w:t>
            </w:r>
            <w:proofErr w:type="spellEnd"/>
            <w:r w:rsidRPr="003E75D1">
              <w:rPr>
                <w:rFonts w:eastAsia="Times New Roman" w:cs="Arial"/>
                <w:bCs/>
                <w:sz w:val="20"/>
                <w:szCs w:val="20"/>
              </w:rPr>
              <w:t>/d)</w:t>
            </w:r>
          </w:p>
        </w:tc>
        <w:tc>
          <w:tcPr>
            <w:tcW w:w="1426" w:type="dxa"/>
            <w:hideMark/>
          </w:tcPr>
          <w:p w14:paraId="6E7EDEF3" w14:textId="77777777" w:rsidR="00966A17" w:rsidRPr="003E75D1" w:rsidRDefault="00966A17" w:rsidP="00794E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sz w:val="20"/>
                <w:szCs w:val="20"/>
              </w:rPr>
            </w:pPr>
            <w:r w:rsidRPr="003E75D1">
              <w:rPr>
                <w:rFonts w:eastAsia="Times New Roman" w:cs="Arial"/>
                <w:bCs/>
                <w:sz w:val="20"/>
                <w:szCs w:val="20"/>
              </w:rPr>
              <w:t>MoS</w:t>
            </w:r>
          </w:p>
        </w:tc>
      </w:tr>
      <w:tr w:rsidR="00966A17" w:rsidRPr="006C6D5C" w14:paraId="328E5398" w14:textId="77777777" w:rsidTr="00966A17">
        <w:trPr>
          <w:trHeight w:val="600"/>
        </w:trPr>
        <w:tc>
          <w:tcPr>
            <w:cnfStyle w:val="001000000000" w:firstRow="0" w:lastRow="0" w:firstColumn="1" w:lastColumn="0" w:oddVBand="0" w:evenVBand="0" w:oddHBand="0" w:evenHBand="0" w:firstRowFirstColumn="0" w:firstRowLastColumn="0" w:lastRowFirstColumn="0" w:lastRowLastColumn="0"/>
            <w:tcW w:w="1370" w:type="dxa"/>
          </w:tcPr>
          <w:p w14:paraId="022F4AFC" w14:textId="77777777" w:rsidR="00966A17" w:rsidRPr="003E75D1" w:rsidRDefault="00966A17" w:rsidP="00794E05">
            <w:pPr>
              <w:spacing w:before="120" w:after="120" w:line="240" w:lineRule="auto"/>
              <w:jc w:val="center"/>
              <w:rPr>
                <w:rFonts w:eastAsia="Times New Roman" w:cs="Arial"/>
                <w:sz w:val="20"/>
                <w:szCs w:val="20"/>
                <w:u w:val="single"/>
              </w:rPr>
            </w:pPr>
            <w:r>
              <w:rPr>
                <w:rFonts w:cs="Arial"/>
                <w:sz w:val="20"/>
                <w:szCs w:val="20"/>
              </w:rPr>
              <w:t>Face only (Toddlers)</w:t>
            </w:r>
          </w:p>
        </w:tc>
        <w:tc>
          <w:tcPr>
            <w:tcW w:w="1063" w:type="dxa"/>
          </w:tcPr>
          <w:p w14:paraId="6B5C66A8" w14:textId="77777777" w:rsidR="00966A17" w:rsidRPr="003E75D1" w:rsidRDefault="00966A17"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u w:val="single"/>
              </w:rPr>
            </w:pPr>
            <w:r>
              <w:rPr>
                <w:rFonts w:cs="Arial"/>
                <w:sz w:val="20"/>
                <w:szCs w:val="20"/>
              </w:rPr>
              <w:t>500</w:t>
            </w:r>
          </w:p>
        </w:tc>
        <w:tc>
          <w:tcPr>
            <w:tcW w:w="1031" w:type="dxa"/>
          </w:tcPr>
          <w:p w14:paraId="52DB3551" w14:textId="77777777" w:rsidR="00966A17" w:rsidRPr="003E75D1" w:rsidRDefault="00966A17"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Pr>
                <w:rFonts w:eastAsia="Times New Roman" w:cs="Arial"/>
                <w:sz w:val="20"/>
                <w:szCs w:val="20"/>
              </w:rPr>
              <w:t>13</w:t>
            </w:r>
          </w:p>
        </w:tc>
        <w:tc>
          <w:tcPr>
            <w:tcW w:w="1866" w:type="dxa"/>
          </w:tcPr>
          <w:p w14:paraId="3E993FC4" w14:textId="77777777" w:rsidR="00966A17" w:rsidRPr="003E75D1" w:rsidRDefault="00966A17"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Pr>
                <w:rFonts w:eastAsia="Times New Roman" w:cs="Arial"/>
                <w:sz w:val="20"/>
                <w:szCs w:val="20"/>
              </w:rPr>
              <w:t>2</w:t>
            </w:r>
          </w:p>
        </w:tc>
        <w:tc>
          <w:tcPr>
            <w:tcW w:w="1548" w:type="dxa"/>
          </w:tcPr>
          <w:p w14:paraId="183005CB" w14:textId="77777777" w:rsidR="00966A17" w:rsidRPr="003E75D1" w:rsidRDefault="00966A17"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Pr>
                <w:rFonts w:eastAsia="Times New Roman" w:cs="Arial"/>
                <w:sz w:val="20"/>
                <w:szCs w:val="20"/>
              </w:rPr>
              <w:t>240</w:t>
            </w:r>
          </w:p>
        </w:tc>
        <w:tc>
          <w:tcPr>
            <w:tcW w:w="1165" w:type="dxa"/>
            <w:noWrap/>
          </w:tcPr>
          <w:p w14:paraId="055AEA15" w14:textId="3163E764" w:rsidR="00966A17" w:rsidRPr="00794E05" w:rsidRDefault="00966A17"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FD4B8C">
              <w:rPr>
                <w:rFonts w:cs="Arial"/>
                <w:sz w:val="20"/>
                <w:szCs w:val="20"/>
              </w:rPr>
              <w:t>0.</w:t>
            </w:r>
            <w:r w:rsidR="006C1E0A">
              <w:rPr>
                <w:rFonts w:cs="Arial"/>
                <w:sz w:val="20"/>
                <w:szCs w:val="20"/>
              </w:rPr>
              <w:t>99</w:t>
            </w:r>
          </w:p>
        </w:tc>
        <w:tc>
          <w:tcPr>
            <w:tcW w:w="1426" w:type="dxa"/>
            <w:noWrap/>
          </w:tcPr>
          <w:p w14:paraId="0BD2D6FD" w14:textId="439307D3" w:rsidR="00966A17" w:rsidRPr="003E75D1" w:rsidRDefault="002504B9"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highlight w:val="cyan"/>
              </w:rPr>
            </w:pPr>
            <w:r>
              <w:rPr>
                <w:rFonts w:cs="Arial"/>
                <w:sz w:val="20"/>
                <w:szCs w:val="20"/>
              </w:rPr>
              <w:t>68</w:t>
            </w:r>
          </w:p>
        </w:tc>
      </w:tr>
      <w:tr w:rsidR="00966A17" w:rsidRPr="006C6D5C" w14:paraId="335B6AB7" w14:textId="77777777" w:rsidTr="00966A17">
        <w:trPr>
          <w:trHeight w:val="315"/>
        </w:trPr>
        <w:tc>
          <w:tcPr>
            <w:cnfStyle w:val="001000000000" w:firstRow="0" w:lastRow="0" w:firstColumn="1" w:lastColumn="0" w:oddVBand="0" w:evenVBand="0" w:oddHBand="0" w:evenHBand="0" w:firstRowFirstColumn="0" w:firstRowLastColumn="0" w:lastRowFirstColumn="0" w:lastRowLastColumn="0"/>
            <w:tcW w:w="1370" w:type="dxa"/>
          </w:tcPr>
          <w:p w14:paraId="1929C417" w14:textId="77777777" w:rsidR="00966A17" w:rsidRPr="003E75D1" w:rsidRDefault="00966A17" w:rsidP="00794E05">
            <w:pPr>
              <w:spacing w:before="120" w:after="120" w:line="240" w:lineRule="auto"/>
              <w:jc w:val="center"/>
              <w:rPr>
                <w:rFonts w:eastAsia="Times New Roman" w:cs="Arial"/>
                <w:sz w:val="20"/>
                <w:szCs w:val="20"/>
                <w:u w:val="single"/>
              </w:rPr>
            </w:pPr>
            <w:r>
              <w:rPr>
                <w:rFonts w:cs="Arial"/>
                <w:sz w:val="20"/>
                <w:szCs w:val="20"/>
              </w:rPr>
              <w:t>Face + Hands (Toddlers)</w:t>
            </w:r>
          </w:p>
        </w:tc>
        <w:tc>
          <w:tcPr>
            <w:tcW w:w="1063" w:type="dxa"/>
          </w:tcPr>
          <w:p w14:paraId="72545FF9" w14:textId="77777777" w:rsidR="00966A17" w:rsidRPr="003E75D1" w:rsidRDefault="00966A17"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u w:val="single"/>
              </w:rPr>
            </w:pPr>
            <w:r>
              <w:rPr>
                <w:rFonts w:cs="Arial"/>
                <w:sz w:val="20"/>
                <w:szCs w:val="20"/>
              </w:rPr>
              <w:t>900</w:t>
            </w:r>
          </w:p>
        </w:tc>
        <w:tc>
          <w:tcPr>
            <w:tcW w:w="1031" w:type="dxa"/>
          </w:tcPr>
          <w:p w14:paraId="29F2C773" w14:textId="77777777" w:rsidR="00966A17" w:rsidRPr="003E75D1" w:rsidRDefault="00966A17"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Pr>
                <w:rFonts w:eastAsia="Times New Roman" w:cs="Arial"/>
                <w:sz w:val="20"/>
                <w:szCs w:val="20"/>
              </w:rPr>
              <w:t>13</w:t>
            </w:r>
          </w:p>
        </w:tc>
        <w:tc>
          <w:tcPr>
            <w:tcW w:w="1866" w:type="dxa"/>
          </w:tcPr>
          <w:p w14:paraId="61DA4125" w14:textId="77777777" w:rsidR="00966A17" w:rsidRPr="003E75D1" w:rsidRDefault="00966A17"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Pr>
                <w:rFonts w:eastAsia="Times New Roman" w:cs="Arial"/>
                <w:sz w:val="20"/>
                <w:szCs w:val="20"/>
              </w:rPr>
              <w:t>2</w:t>
            </w:r>
          </w:p>
        </w:tc>
        <w:tc>
          <w:tcPr>
            <w:tcW w:w="1548" w:type="dxa"/>
          </w:tcPr>
          <w:p w14:paraId="0D021564" w14:textId="77777777" w:rsidR="00966A17" w:rsidRPr="003E75D1" w:rsidRDefault="00966A17"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Pr>
                <w:rFonts w:eastAsia="Times New Roman" w:cs="Arial"/>
                <w:sz w:val="20"/>
                <w:szCs w:val="20"/>
              </w:rPr>
              <w:t>240</w:t>
            </w:r>
          </w:p>
        </w:tc>
        <w:tc>
          <w:tcPr>
            <w:tcW w:w="1165" w:type="dxa"/>
            <w:noWrap/>
          </w:tcPr>
          <w:p w14:paraId="23FB54DA" w14:textId="3335BD81" w:rsidR="00966A17" w:rsidRPr="00794E05" w:rsidRDefault="00966A17"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FD4B8C">
              <w:rPr>
                <w:rFonts w:cs="Arial"/>
                <w:sz w:val="20"/>
                <w:szCs w:val="20"/>
              </w:rPr>
              <w:t>1.</w:t>
            </w:r>
            <w:r w:rsidR="0020767F">
              <w:rPr>
                <w:rFonts w:cs="Arial"/>
                <w:sz w:val="20"/>
                <w:szCs w:val="20"/>
              </w:rPr>
              <w:t>78</w:t>
            </w:r>
          </w:p>
        </w:tc>
        <w:tc>
          <w:tcPr>
            <w:tcW w:w="1426" w:type="dxa"/>
            <w:noWrap/>
          </w:tcPr>
          <w:p w14:paraId="7BF2F985" w14:textId="4AC9955D" w:rsidR="00966A17" w:rsidRPr="003E75D1" w:rsidRDefault="00AA26B9"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highlight w:val="cyan"/>
              </w:rPr>
            </w:pPr>
            <w:r>
              <w:rPr>
                <w:rFonts w:cs="Arial"/>
                <w:sz w:val="20"/>
                <w:szCs w:val="20"/>
              </w:rPr>
              <w:t>38</w:t>
            </w:r>
          </w:p>
        </w:tc>
      </w:tr>
      <w:tr w:rsidR="00966A17" w:rsidRPr="006C6D5C" w14:paraId="202B6A3A" w14:textId="77777777" w:rsidTr="00966A17">
        <w:trPr>
          <w:trHeight w:val="315"/>
        </w:trPr>
        <w:tc>
          <w:tcPr>
            <w:cnfStyle w:val="001000000000" w:firstRow="0" w:lastRow="0" w:firstColumn="1" w:lastColumn="0" w:oddVBand="0" w:evenVBand="0" w:oddHBand="0" w:evenHBand="0" w:firstRowFirstColumn="0" w:firstRowLastColumn="0" w:lastRowFirstColumn="0" w:lastRowLastColumn="0"/>
            <w:tcW w:w="1370" w:type="dxa"/>
          </w:tcPr>
          <w:p w14:paraId="1A61C856" w14:textId="77777777" w:rsidR="00966A17" w:rsidRPr="003E75D1" w:rsidRDefault="00966A17" w:rsidP="00794E05">
            <w:pPr>
              <w:spacing w:before="120" w:after="120" w:line="240" w:lineRule="auto"/>
              <w:jc w:val="center"/>
              <w:rPr>
                <w:rFonts w:eastAsia="Times New Roman" w:cs="Arial"/>
                <w:sz w:val="20"/>
                <w:szCs w:val="20"/>
                <w:u w:val="single"/>
              </w:rPr>
            </w:pPr>
            <w:r w:rsidRPr="003E75D1">
              <w:rPr>
                <w:rFonts w:cs="Arial"/>
                <w:sz w:val="20"/>
                <w:szCs w:val="20"/>
              </w:rPr>
              <w:lastRenderedPageBreak/>
              <w:t>Adult Face only</w:t>
            </w:r>
          </w:p>
        </w:tc>
        <w:tc>
          <w:tcPr>
            <w:tcW w:w="1063" w:type="dxa"/>
          </w:tcPr>
          <w:p w14:paraId="344F3FB1" w14:textId="77777777" w:rsidR="00966A17" w:rsidRPr="003E75D1" w:rsidRDefault="00966A17"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u w:val="single"/>
              </w:rPr>
            </w:pPr>
            <w:r w:rsidRPr="003E75D1">
              <w:rPr>
                <w:rFonts w:cs="Arial"/>
                <w:sz w:val="20"/>
                <w:szCs w:val="20"/>
              </w:rPr>
              <w:t>675</w:t>
            </w:r>
          </w:p>
        </w:tc>
        <w:tc>
          <w:tcPr>
            <w:tcW w:w="1031" w:type="dxa"/>
          </w:tcPr>
          <w:p w14:paraId="5F4B48D5" w14:textId="77777777" w:rsidR="00966A17" w:rsidRPr="003E75D1" w:rsidRDefault="00966A17"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3E75D1">
              <w:rPr>
                <w:rFonts w:eastAsia="Times New Roman" w:cs="Arial"/>
                <w:sz w:val="20"/>
                <w:szCs w:val="20"/>
              </w:rPr>
              <w:t>107</w:t>
            </w:r>
          </w:p>
        </w:tc>
        <w:tc>
          <w:tcPr>
            <w:tcW w:w="1866" w:type="dxa"/>
          </w:tcPr>
          <w:p w14:paraId="663603EB" w14:textId="77777777" w:rsidR="00966A17" w:rsidRPr="003E75D1" w:rsidRDefault="00966A17"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3E75D1">
              <w:rPr>
                <w:rFonts w:eastAsia="Times New Roman" w:cs="Arial"/>
                <w:sz w:val="20"/>
                <w:szCs w:val="20"/>
              </w:rPr>
              <w:t>2</w:t>
            </w:r>
          </w:p>
        </w:tc>
        <w:tc>
          <w:tcPr>
            <w:tcW w:w="1548" w:type="dxa"/>
          </w:tcPr>
          <w:p w14:paraId="414147D5" w14:textId="77777777" w:rsidR="00966A17" w:rsidRPr="003E75D1" w:rsidRDefault="00966A17"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3E75D1">
              <w:rPr>
                <w:rFonts w:eastAsia="Times New Roman" w:cs="Arial"/>
                <w:sz w:val="20"/>
                <w:szCs w:val="20"/>
              </w:rPr>
              <w:t>240</w:t>
            </w:r>
          </w:p>
        </w:tc>
        <w:tc>
          <w:tcPr>
            <w:tcW w:w="1165" w:type="dxa"/>
            <w:noWrap/>
          </w:tcPr>
          <w:p w14:paraId="006D7AB8" w14:textId="0B24CF4B" w:rsidR="00966A17" w:rsidRPr="00FD4B8C" w:rsidRDefault="00966A17"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FD4B8C">
              <w:rPr>
                <w:rFonts w:cs="Arial"/>
                <w:sz w:val="20"/>
                <w:szCs w:val="20"/>
              </w:rPr>
              <w:t>0.1</w:t>
            </w:r>
            <w:r w:rsidR="0020767F">
              <w:rPr>
                <w:rFonts w:cs="Arial"/>
                <w:sz w:val="20"/>
                <w:szCs w:val="20"/>
              </w:rPr>
              <w:t>6</w:t>
            </w:r>
          </w:p>
        </w:tc>
        <w:tc>
          <w:tcPr>
            <w:tcW w:w="1426" w:type="dxa"/>
            <w:noWrap/>
          </w:tcPr>
          <w:p w14:paraId="03098B23" w14:textId="2CB32CEB" w:rsidR="00966A17" w:rsidRPr="003E75D1" w:rsidRDefault="00320B5E"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Pr>
                <w:rFonts w:cs="Arial"/>
                <w:sz w:val="20"/>
                <w:szCs w:val="20"/>
              </w:rPr>
              <w:t>413</w:t>
            </w:r>
          </w:p>
        </w:tc>
      </w:tr>
      <w:tr w:rsidR="00966A17" w:rsidRPr="006C6D5C" w14:paraId="0C5EB2ED" w14:textId="77777777" w:rsidTr="00966A17">
        <w:trPr>
          <w:trHeight w:val="315"/>
        </w:trPr>
        <w:tc>
          <w:tcPr>
            <w:cnfStyle w:val="001000000000" w:firstRow="0" w:lastRow="0" w:firstColumn="1" w:lastColumn="0" w:oddVBand="0" w:evenVBand="0" w:oddHBand="0" w:evenHBand="0" w:firstRowFirstColumn="0" w:firstRowLastColumn="0" w:lastRowFirstColumn="0" w:lastRowLastColumn="0"/>
            <w:tcW w:w="1370" w:type="dxa"/>
          </w:tcPr>
          <w:p w14:paraId="3C96EE00" w14:textId="77777777" w:rsidR="00966A17" w:rsidRPr="003E75D1" w:rsidRDefault="00966A17" w:rsidP="00794E05">
            <w:pPr>
              <w:spacing w:before="120" w:line="240" w:lineRule="auto"/>
              <w:jc w:val="center"/>
              <w:rPr>
                <w:rFonts w:cs="Arial"/>
              </w:rPr>
            </w:pPr>
            <w:r w:rsidRPr="003E75D1">
              <w:rPr>
                <w:rFonts w:cs="Arial"/>
                <w:sz w:val="20"/>
                <w:szCs w:val="20"/>
              </w:rPr>
              <w:t>Adult Face + Hands</w:t>
            </w:r>
          </w:p>
        </w:tc>
        <w:tc>
          <w:tcPr>
            <w:tcW w:w="1063" w:type="dxa"/>
          </w:tcPr>
          <w:p w14:paraId="053546AA" w14:textId="77777777" w:rsidR="00966A17" w:rsidRPr="003E75D1" w:rsidRDefault="00966A17" w:rsidP="00794E05">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3E75D1">
              <w:rPr>
                <w:rFonts w:cs="Arial"/>
                <w:sz w:val="20"/>
                <w:szCs w:val="20"/>
              </w:rPr>
              <w:t>1875</w:t>
            </w:r>
          </w:p>
        </w:tc>
        <w:tc>
          <w:tcPr>
            <w:tcW w:w="1031" w:type="dxa"/>
          </w:tcPr>
          <w:p w14:paraId="67E49CA8" w14:textId="77777777" w:rsidR="00966A17" w:rsidRPr="003E75D1" w:rsidRDefault="00966A17" w:rsidP="00794E05">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3E75D1">
              <w:rPr>
                <w:rFonts w:eastAsia="Times New Roman" w:cs="Arial"/>
                <w:sz w:val="20"/>
                <w:szCs w:val="20"/>
              </w:rPr>
              <w:t>107</w:t>
            </w:r>
          </w:p>
        </w:tc>
        <w:tc>
          <w:tcPr>
            <w:tcW w:w="1866" w:type="dxa"/>
          </w:tcPr>
          <w:p w14:paraId="485ABC03" w14:textId="77777777" w:rsidR="00966A17" w:rsidRPr="003E75D1" w:rsidRDefault="00966A17" w:rsidP="00794E05">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3E75D1">
              <w:rPr>
                <w:rFonts w:eastAsia="Times New Roman" w:cs="Arial"/>
                <w:sz w:val="20"/>
                <w:szCs w:val="20"/>
              </w:rPr>
              <w:t>2</w:t>
            </w:r>
          </w:p>
        </w:tc>
        <w:tc>
          <w:tcPr>
            <w:tcW w:w="1548" w:type="dxa"/>
          </w:tcPr>
          <w:p w14:paraId="5BEB96E8" w14:textId="77777777" w:rsidR="00966A17" w:rsidRPr="003E75D1" w:rsidRDefault="00966A17" w:rsidP="00794E05">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3E75D1">
              <w:rPr>
                <w:rFonts w:eastAsia="Times New Roman" w:cs="Arial"/>
                <w:sz w:val="20"/>
                <w:szCs w:val="20"/>
              </w:rPr>
              <w:t>240</w:t>
            </w:r>
          </w:p>
        </w:tc>
        <w:tc>
          <w:tcPr>
            <w:tcW w:w="1165" w:type="dxa"/>
            <w:noWrap/>
          </w:tcPr>
          <w:p w14:paraId="7809179F" w14:textId="37488A79" w:rsidR="00966A17" w:rsidRPr="00FD4B8C" w:rsidRDefault="00966A17" w:rsidP="00794E05">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FD4B8C">
              <w:rPr>
                <w:rFonts w:cs="Arial"/>
                <w:sz w:val="20"/>
                <w:szCs w:val="20"/>
              </w:rPr>
              <w:t>0.</w:t>
            </w:r>
            <w:r w:rsidR="000376A2">
              <w:rPr>
                <w:rFonts w:cs="Arial"/>
                <w:sz w:val="20"/>
                <w:szCs w:val="20"/>
              </w:rPr>
              <w:t>45</w:t>
            </w:r>
          </w:p>
        </w:tc>
        <w:tc>
          <w:tcPr>
            <w:tcW w:w="1426" w:type="dxa"/>
            <w:noWrap/>
          </w:tcPr>
          <w:p w14:paraId="0FDC2AB2" w14:textId="0FBD0947" w:rsidR="00966A17" w:rsidRPr="003E75D1" w:rsidRDefault="00320B5E" w:rsidP="00794E05">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sz w:val="20"/>
                <w:szCs w:val="20"/>
              </w:rPr>
              <w:t>149</w:t>
            </w:r>
          </w:p>
        </w:tc>
      </w:tr>
    </w:tbl>
    <w:p w14:paraId="72AABD59" w14:textId="1938BB80" w:rsidR="00813CCF" w:rsidRPr="00B232E4" w:rsidRDefault="00813CCF" w:rsidP="009B2E75">
      <w:pPr>
        <w:pStyle w:val="Tabledescription"/>
      </w:pPr>
      <w:r w:rsidRPr="00B232E4">
        <w:t>*95</w:t>
      </w:r>
      <w:r w:rsidRPr="00B232E4">
        <w:rPr>
          <w:vertAlign w:val="superscript"/>
        </w:rPr>
        <w:t>th</w:t>
      </w:r>
      <w:r w:rsidRPr="00B232E4">
        <w:t xml:space="preserve"> percentile for SSA body parts and total body weight (</w:t>
      </w:r>
      <w:r w:rsidR="00966A17">
        <w:t xml:space="preserve">For Adult: </w:t>
      </w:r>
      <w:r w:rsidRPr="00B232E4">
        <w:t>average of male and female adult values combined)</w:t>
      </w:r>
    </w:p>
    <w:p w14:paraId="1B2F0528" w14:textId="77777777" w:rsidR="00813CCF" w:rsidRDefault="00813CCF" w:rsidP="00813CCF">
      <w:pPr>
        <w:rPr>
          <w:rFonts w:ascii="Cambria" w:hAnsi="Cambria"/>
          <w:b/>
          <w:bCs/>
          <w:sz w:val="22"/>
          <w:szCs w:val="22"/>
        </w:rPr>
      </w:pPr>
    </w:p>
    <w:p w14:paraId="75E592E4" w14:textId="77777777" w:rsidR="00813CCF" w:rsidRDefault="00813CCF" w:rsidP="009B2E75">
      <w:pPr>
        <w:pStyle w:val="Tabletitle"/>
      </w:pPr>
      <w:r w:rsidRPr="007B443E">
        <w:t>Annual use considered</w:t>
      </w:r>
      <w:r>
        <w:t xml:space="preserve"> for</w:t>
      </w:r>
      <w:r w:rsidRPr="007B443E">
        <w:t xml:space="preserve"> </w:t>
      </w:r>
      <w:r>
        <w:t>365</w:t>
      </w:r>
      <w:r w:rsidRPr="007B443E">
        <w:t xml:space="preserve"> days/years </w:t>
      </w:r>
      <w:r>
        <w:t>if sunscreen product containing oxybenzone is used every day.</w:t>
      </w:r>
    </w:p>
    <w:tbl>
      <w:tblPr>
        <w:tblStyle w:val="TableTGAblue2023"/>
        <w:tblW w:w="9469" w:type="dxa"/>
        <w:tblLook w:val="04A0" w:firstRow="1" w:lastRow="0" w:firstColumn="1" w:lastColumn="0" w:noHBand="0" w:noVBand="1"/>
      </w:tblPr>
      <w:tblGrid>
        <w:gridCol w:w="1295"/>
        <w:gridCol w:w="1163"/>
        <w:gridCol w:w="1090"/>
        <w:gridCol w:w="1971"/>
        <w:gridCol w:w="1651"/>
        <w:gridCol w:w="1163"/>
        <w:gridCol w:w="1136"/>
      </w:tblGrid>
      <w:tr w:rsidR="0012142F" w:rsidRPr="008C032D" w14:paraId="14406C0B" w14:textId="77777777" w:rsidTr="0012142F">
        <w:trPr>
          <w:cnfStyle w:val="100000000000" w:firstRow="1" w:lastRow="0" w:firstColumn="0" w:lastColumn="0" w:oddVBand="0" w:evenVBand="0" w:oddHBand="0"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1295" w:type="dxa"/>
            <w:hideMark/>
          </w:tcPr>
          <w:p w14:paraId="24E85028" w14:textId="77777777" w:rsidR="0012142F" w:rsidRPr="003E75D1" w:rsidRDefault="0012142F" w:rsidP="00794E05">
            <w:pPr>
              <w:spacing w:after="0" w:line="240" w:lineRule="auto"/>
              <w:jc w:val="center"/>
              <w:rPr>
                <w:rFonts w:asciiTheme="minorHAnsi" w:eastAsia="Times New Roman" w:hAnsiTheme="minorHAnsi" w:cstheme="minorHAnsi"/>
                <w:b w:val="0"/>
                <w:bCs/>
                <w:sz w:val="20"/>
                <w:szCs w:val="20"/>
              </w:rPr>
            </w:pPr>
            <w:r w:rsidRPr="003E75D1">
              <w:rPr>
                <w:rFonts w:asciiTheme="minorHAnsi" w:eastAsia="Times New Roman" w:hAnsiTheme="minorHAnsi" w:cstheme="minorHAnsi"/>
                <w:bCs/>
                <w:sz w:val="20"/>
                <w:szCs w:val="20"/>
              </w:rPr>
              <w:t>Scenario*</w:t>
            </w:r>
          </w:p>
        </w:tc>
        <w:tc>
          <w:tcPr>
            <w:tcW w:w="1163" w:type="dxa"/>
            <w:hideMark/>
          </w:tcPr>
          <w:p w14:paraId="7F57DE40" w14:textId="77777777" w:rsidR="0012142F" w:rsidRPr="003E75D1" w:rsidRDefault="0012142F" w:rsidP="00794E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sz w:val="20"/>
                <w:szCs w:val="20"/>
              </w:rPr>
            </w:pPr>
            <w:r w:rsidRPr="003E75D1">
              <w:rPr>
                <w:rFonts w:asciiTheme="minorHAnsi" w:eastAsia="Times New Roman" w:hAnsiTheme="minorHAnsi" w:cstheme="minorHAnsi"/>
                <w:bCs/>
                <w:sz w:val="20"/>
                <w:szCs w:val="20"/>
              </w:rPr>
              <w:t>Skin Surface Area (cm</w:t>
            </w:r>
            <w:r w:rsidRPr="003E75D1">
              <w:rPr>
                <w:rFonts w:asciiTheme="minorHAnsi" w:eastAsia="Times New Roman" w:hAnsiTheme="minorHAnsi" w:cstheme="minorHAnsi"/>
                <w:bCs/>
                <w:sz w:val="20"/>
                <w:szCs w:val="20"/>
                <w:vertAlign w:val="superscript"/>
              </w:rPr>
              <w:t>2</w:t>
            </w:r>
            <w:r w:rsidRPr="003E75D1">
              <w:rPr>
                <w:rFonts w:asciiTheme="minorHAnsi" w:eastAsia="Times New Roman" w:hAnsiTheme="minorHAnsi" w:cstheme="minorHAnsi"/>
                <w:bCs/>
                <w:sz w:val="20"/>
                <w:szCs w:val="20"/>
              </w:rPr>
              <w:t>)</w:t>
            </w:r>
          </w:p>
        </w:tc>
        <w:tc>
          <w:tcPr>
            <w:tcW w:w="1090" w:type="dxa"/>
            <w:hideMark/>
          </w:tcPr>
          <w:p w14:paraId="68F647A4" w14:textId="77777777" w:rsidR="0012142F" w:rsidRPr="003E75D1" w:rsidRDefault="0012142F" w:rsidP="00794E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sz w:val="20"/>
                <w:szCs w:val="20"/>
              </w:rPr>
            </w:pPr>
            <w:r w:rsidRPr="003E75D1">
              <w:rPr>
                <w:rFonts w:asciiTheme="minorHAnsi" w:eastAsia="Times New Roman" w:hAnsiTheme="minorHAnsi" w:cstheme="minorHAnsi"/>
                <w:bCs/>
                <w:sz w:val="20"/>
                <w:szCs w:val="20"/>
              </w:rPr>
              <w:t xml:space="preserve">Body </w:t>
            </w:r>
            <w:proofErr w:type="gramStart"/>
            <w:r w:rsidRPr="003E75D1">
              <w:rPr>
                <w:rFonts w:asciiTheme="minorHAnsi" w:eastAsia="Times New Roman" w:hAnsiTheme="minorHAnsi" w:cstheme="minorHAnsi"/>
                <w:bCs/>
                <w:sz w:val="20"/>
                <w:szCs w:val="20"/>
              </w:rPr>
              <w:t xml:space="preserve">weight </w:t>
            </w:r>
            <w:r w:rsidRPr="003E75D1">
              <w:rPr>
                <w:rFonts w:asciiTheme="minorHAnsi" w:eastAsia="Times New Roman" w:hAnsiTheme="minorHAnsi" w:cstheme="minorHAnsi"/>
                <w:sz w:val="20"/>
                <w:szCs w:val="20"/>
              </w:rPr>
              <w:t xml:space="preserve"> </w:t>
            </w:r>
            <w:r w:rsidRPr="003E75D1">
              <w:rPr>
                <w:rFonts w:asciiTheme="minorHAnsi" w:eastAsia="Times New Roman" w:hAnsiTheme="minorHAnsi" w:cstheme="minorHAnsi"/>
                <w:bCs/>
                <w:sz w:val="20"/>
                <w:szCs w:val="20"/>
              </w:rPr>
              <w:t>(</w:t>
            </w:r>
            <w:proofErr w:type="gramEnd"/>
            <w:r w:rsidRPr="003E75D1">
              <w:rPr>
                <w:rFonts w:asciiTheme="minorHAnsi" w:eastAsia="Times New Roman" w:hAnsiTheme="minorHAnsi" w:cstheme="minorHAnsi"/>
                <w:bCs/>
                <w:sz w:val="20"/>
                <w:szCs w:val="20"/>
              </w:rPr>
              <w:t>kg)</w:t>
            </w:r>
          </w:p>
        </w:tc>
        <w:tc>
          <w:tcPr>
            <w:tcW w:w="1971" w:type="dxa"/>
            <w:hideMark/>
          </w:tcPr>
          <w:p w14:paraId="4B274B4C" w14:textId="77777777" w:rsidR="0012142F" w:rsidRPr="003E75D1" w:rsidRDefault="0012142F" w:rsidP="00794E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sz w:val="20"/>
                <w:szCs w:val="20"/>
              </w:rPr>
            </w:pPr>
            <w:r w:rsidRPr="003E75D1">
              <w:rPr>
                <w:rFonts w:asciiTheme="minorHAnsi" w:eastAsia="Times New Roman" w:hAnsiTheme="minorHAnsi" w:cstheme="minorHAnsi"/>
                <w:bCs/>
                <w:sz w:val="20"/>
                <w:szCs w:val="20"/>
              </w:rPr>
              <w:t>Reapplications (no. per day)</w:t>
            </w:r>
          </w:p>
        </w:tc>
        <w:tc>
          <w:tcPr>
            <w:tcW w:w="1651" w:type="dxa"/>
            <w:hideMark/>
          </w:tcPr>
          <w:p w14:paraId="3D8091F4" w14:textId="77777777" w:rsidR="0012142F" w:rsidRPr="003E75D1" w:rsidRDefault="0012142F" w:rsidP="00794E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sz w:val="20"/>
                <w:szCs w:val="20"/>
              </w:rPr>
            </w:pPr>
            <w:r w:rsidRPr="003E75D1">
              <w:rPr>
                <w:rFonts w:asciiTheme="minorHAnsi" w:eastAsia="Times New Roman" w:hAnsiTheme="minorHAnsi" w:cstheme="minorHAnsi"/>
                <w:bCs/>
                <w:sz w:val="20"/>
                <w:szCs w:val="20"/>
              </w:rPr>
              <w:t>Annual use (days/year)</w:t>
            </w:r>
          </w:p>
        </w:tc>
        <w:tc>
          <w:tcPr>
            <w:tcW w:w="1163" w:type="dxa"/>
            <w:hideMark/>
          </w:tcPr>
          <w:p w14:paraId="086C1456" w14:textId="77777777" w:rsidR="0012142F" w:rsidRPr="003E75D1" w:rsidRDefault="0012142F" w:rsidP="00794E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sz w:val="20"/>
                <w:szCs w:val="20"/>
              </w:rPr>
            </w:pPr>
            <w:r w:rsidRPr="003E75D1">
              <w:rPr>
                <w:rFonts w:asciiTheme="minorHAnsi" w:eastAsia="Times New Roman" w:hAnsiTheme="minorHAnsi" w:cstheme="minorHAnsi"/>
                <w:bCs/>
                <w:sz w:val="20"/>
                <w:szCs w:val="20"/>
              </w:rPr>
              <w:t xml:space="preserve">SED (mg/kg </w:t>
            </w:r>
            <w:proofErr w:type="spellStart"/>
            <w:r w:rsidRPr="003E75D1">
              <w:rPr>
                <w:rFonts w:asciiTheme="minorHAnsi" w:eastAsia="Times New Roman" w:hAnsiTheme="minorHAnsi" w:cstheme="minorHAnsi"/>
                <w:bCs/>
                <w:sz w:val="20"/>
                <w:szCs w:val="20"/>
              </w:rPr>
              <w:t>bw</w:t>
            </w:r>
            <w:proofErr w:type="spellEnd"/>
            <w:r w:rsidRPr="003E75D1">
              <w:rPr>
                <w:rFonts w:asciiTheme="minorHAnsi" w:eastAsia="Times New Roman" w:hAnsiTheme="minorHAnsi" w:cstheme="minorHAnsi"/>
                <w:bCs/>
                <w:sz w:val="20"/>
                <w:szCs w:val="20"/>
              </w:rPr>
              <w:t>/d)</w:t>
            </w:r>
          </w:p>
        </w:tc>
        <w:tc>
          <w:tcPr>
            <w:tcW w:w="1136" w:type="dxa"/>
            <w:hideMark/>
          </w:tcPr>
          <w:p w14:paraId="3554E0CA" w14:textId="77777777" w:rsidR="0012142F" w:rsidRPr="003E75D1" w:rsidRDefault="0012142F" w:rsidP="00794E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sz w:val="20"/>
                <w:szCs w:val="20"/>
              </w:rPr>
            </w:pPr>
            <w:r w:rsidRPr="003E75D1">
              <w:rPr>
                <w:rFonts w:asciiTheme="minorHAnsi" w:eastAsia="Times New Roman" w:hAnsiTheme="minorHAnsi" w:cstheme="minorHAnsi"/>
                <w:bCs/>
                <w:sz w:val="20"/>
                <w:szCs w:val="20"/>
              </w:rPr>
              <w:t>MoS</w:t>
            </w:r>
          </w:p>
        </w:tc>
      </w:tr>
      <w:tr w:rsidR="0012142F" w:rsidRPr="006C6D5C" w14:paraId="2FC76F30" w14:textId="77777777" w:rsidTr="0012142F">
        <w:trPr>
          <w:trHeight w:val="600"/>
        </w:trPr>
        <w:tc>
          <w:tcPr>
            <w:cnfStyle w:val="001000000000" w:firstRow="0" w:lastRow="0" w:firstColumn="1" w:lastColumn="0" w:oddVBand="0" w:evenVBand="0" w:oddHBand="0" w:evenHBand="0" w:firstRowFirstColumn="0" w:firstRowLastColumn="0" w:lastRowFirstColumn="0" w:lastRowLastColumn="0"/>
            <w:tcW w:w="1295" w:type="dxa"/>
          </w:tcPr>
          <w:p w14:paraId="148CD1CE" w14:textId="77777777" w:rsidR="0012142F" w:rsidRPr="003E75D1" w:rsidRDefault="0012142F" w:rsidP="00794E05">
            <w:pPr>
              <w:spacing w:before="120" w:after="120" w:line="240" w:lineRule="auto"/>
              <w:jc w:val="center"/>
              <w:rPr>
                <w:rFonts w:asciiTheme="minorHAnsi" w:eastAsia="Times New Roman" w:hAnsiTheme="minorHAnsi" w:cstheme="minorHAnsi"/>
                <w:sz w:val="20"/>
                <w:szCs w:val="20"/>
                <w:u w:val="single"/>
              </w:rPr>
            </w:pPr>
            <w:r>
              <w:rPr>
                <w:rFonts w:cs="Arial"/>
                <w:sz w:val="20"/>
                <w:szCs w:val="20"/>
              </w:rPr>
              <w:t>Face only (Toddlers)</w:t>
            </w:r>
          </w:p>
        </w:tc>
        <w:tc>
          <w:tcPr>
            <w:tcW w:w="1163" w:type="dxa"/>
          </w:tcPr>
          <w:p w14:paraId="795992A4" w14:textId="77777777" w:rsidR="0012142F" w:rsidRPr="003E75D1" w:rsidRDefault="0012142F"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u w:val="single"/>
              </w:rPr>
            </w:pPr>
            <w:r>
              <w:rPr>
                <w:rFonts w:cs="Arial"/>
                <w:sz w:val="20"/>
                <w:szCs w:val="20"/>
              </w:rPr>
              <w:t>500</w:t>
            </w:r>
          </w:p>
        </w:tc>
        <w:tc>
          <w:tcPr>
            <w:tcW w:w="1090" w:type="dxa"/>
          </w:tcPr>
          <w:p w14:paraId="7C5B905D" w14:textId="77777777" w:rsidR="0012142F" w:rsidRPr="003E75D1" w:rsidRDefault="0012142F"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eastAsia="Times New Roman" w:cs="Arial"/>
                <w:sz w:val="20"/>
                <w:szCs w:val="20"/>
              </w:rPr>
              <w:t>13</w:t>
            </w:r>
          </w:p>
        </w:tc>
        <w:tc>
          <w:tcPr>
            <w:tcW w:w="1971" w:type="dxa"/>
          </w:tcPr>
          <w:p w14:paraId="5FBE4A7A" w14:textId="77777777" w:rsidR="0012142F" w:rsidRPr="003E75D1" w:rsidRDefault="0012142F"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eastAsia="Times New Roman" w:cs="Arial"/>
                <w:sz w:val="20"/>
                <w:szCs w:val="20"/>
              </w:rPr>
              <w:t>2</w:t>
            </w:r>
          </w:p>
        </w:tc>
        <w:tc>
          <w:tcPr>
            <w:tcW w:w="1651" w:type="dxa"/>
          </w:tcPr>
          <w:p w14:paraId="223C0C8E" w14:textId="77777777" w:rsidR="0012142F" w:rsidRPr="003E75D1" w:rsidRDefault="0012142F"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eastAsia="Times New Roman" w:cs="Arial"/>
                <w:sz w:val="20"/>
                <w:szCs w:val="20"/>
              </w:rPr>
              <w:t>365</w:t>
            </w:r>
          </w:p>
        </w:tc>
        <w:tc>
          <w:tcPr>
            <w:tcW w:w="1163" w:type="dxa"/>
            <w:noWrap/>
          </w:tcPr>
          <w:p w14:paraId="74BA5C14" w14:textId="495A6E6A" w:rsidR="0012142F" w:rsidRPr="00794E05" w:rsidRDefault="0012142F"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FD4B8C">
              <w:rPr>
                <w:rFonts w:cs="Arial"/>
                <w:sz w:val="20"/>
                <w:szCs w:val="20"/>
              </w:rPr>
              <w:t>1.</w:t>
            </w:r>
            <w:r w:rsidR="00CF7346">
              <w:rPr>
                <w:rFonts w:cs="Arial"/>
                <w:sz w:val="20"/>
                <w:szCs w:val="20"/>
              </w:rPr>
              <w:t>51</w:t>
            </w:r>
          </w:p>
        </w:tc>
        <w:tc>
          <w:tcPr>
            <w:tcW w:w="1136" w:type="dxa"/>
            <w:noWrap/>
          </w:tcPr>
          <w:p w14:paraId="2C6B69D2" w14:textId="46582B1B" w:rsidR="0012142F" w:rsidRPr="003E75D1" w:rsidRDefault="003F7B3D"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highlight w:val="cyan"/>
              </w:rPr>
            </w:pPr>
            <w:r>
              <w:rPr>
                <w:rFonts w:cs="Arial"/>
                <w:sz w:val="20"/>
                <w:szCs w:val="20"/>
              </w:rPr>
              <w:t>45</w:t>
            </w:r>
          </w:p>
        </w:tc>
      </w:tr>
      <w:tr w:rsidR="0012142F" w:rsidRPr="006C6D5C" w14:paraId="6557209A" w14:textId="77777777" w:rsidTr="0012142F">
        <w:trPr>
          <w:trHeight w:val="600"/>
        </w:trPr>
        <w:tc>
          <w:tcPr>
            <w:cnfStyle w:val="001000000000" w:firstRow="0" w:lastRow="0" w:firstColumn="1" w:lastColumn="0" w:oddVBand="0" w:evenVBand="0" w:oddHBand="0" w:evenHBand="0" w:firstRowFirstColumn="0" w:firstRowLastColumn="0" w:lastRowFirstColumn="0" w:lastRowLastColumn="0"/>
            <w:tcW w:w="1295" w:type="dxa"/>
          </w:tcPr>
          <w:p w14:paraId="11014C5F" w14:textId="77777777" w:rsidR="0012142F" w:rsidRPr="003E75D1" w:rsidDel="00410404" w:rsidRDefault="0012142F" w:rsidP="00794E05">
            <w:pPr>
              <w:spacing w:before="120" w:line="240" w:lineRule="auto"/>
              <w:jc w:val="center"/>
              <w:rPr>
                <w:rFonts w:asciiTheme="minorHAnsi" w:hAnsiTheme="minorHAnsi" w:cstheme="minorHAnsi"/>
              </w:rPr>
            </w:pPr>
            <w:r>
              <w:rPr>
                <w:rFonts w:cs="Arial"/>
                <w:sz w:val="20"/>
                <w:szCs w:val="20"/>
              </w:rPr>
              <w:t>Face + Hands (Toddlers)</w:t>
            </w:r>
          </w:p>
        </w:tc>
        <w:tc>
          <w:tcPr>
            <w:tcW w:w="1163" w:type="dxa"/>
          </w:tcPr>
          <w:p w14:paraId="79DB9A5F" w14:textId="77777777" w:rsidR="0012142F" w:rsidRPr="003E75D1" w:rsidDel="00410404" w:rsidRDefault="0012142F" w:rsidP="00794E05">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sz w:val="20"/>
                <w:szCs w:val="20"/>
              </w:rPr>
              <w:t>900</w:t>
            </w:r>
          </w:p>
        </w:tc>
        <w:tc>
          <w:tcPr>
            <w:tcW w:w="1090" w:type="dxa"/>
          </w:tcPr>
          <w:p w14:paraId="78BE21C0" w14:textId="77777777" w:rsidR="0012142F" w:rsidRPr="003E75D1" w:rsidDel="00410404" w:rsidRDefault="0012142F" w:rsidP="00794E05">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eastAsia="Times New Roman" w:cs="Arial"/>
                <w:sz w:val="20"/>
                <w:szCs w:val="20"/>
              </w:rPr>
              <w:t>13</w:t>
            </w:r>
          </w:p>
        </w:tc>
        <w:tc>
          <w:tcPr>
            <w:tcW w:w="1971" w:type="dxa"/>
          </w:tcPr>
          <w:p w14:paraId="3121AAAD" w14:textId="77777777" w:rsidR="0012142F" w:rsidRPr="003E75D1" w:rsidDel="00410404" w:rsidRDefault="0012142F" w:rsidP="00794E05">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eastAsia="Times New Roman" w:cs="Arial"/>
                <w:sz w:val="20"/>
                <w:szCs w:val="20"/>
              </w:rPr>
              <w:t>2</w:t>
            </w:r>
          </w:p>
        </w:tc>
        <w:tc>
          <w:tcPr>
            <w:tcW w:w="1651" w:type="dxa"/>
          </w:tcPr>
          <w:p w14:paraId="739D8649" w14:textId="77777777" w:rsidR="0012142F" w:rsidRPr="003E75D1" w:rsidDel="00410404" w:rsidRDefault="0012142F" w:rsidP="00794E05">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eastAsia="Times New Roman" w:cs="Arial"/>
                <w:sz w:val="20"/>
                <w:szCs w:val="20"/>
              </w:rPr>
              <w:t>365</w:t>
            </w:r>
          </w:p>
        </w:tc>
        <w:tc>
          <w:tcPr>
            <w:tcW w:w="1163" w:type="dxa"/>
            <w:noWrap/>
          </w:tcPr>
          <w:p w14:paraId="7D359DBF" w14:textId="1B8F7926" w:rsidR="0012142F" w:rsidRPr="00FD4B8C" w:rsidDel="00410404" w:rsidRDefault="0012142F" w:rsidP="00794E05">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4B8C">
              <w:rPr>
                <w:rFonts w:cs="Arial"/>
                <w:sz w:val="20"/>
                <w:szCs w:val="20"/>
              </w:rPr>
              <w:t>2.</w:t>
            </w:r>
            <w:r w:rsidR="00CF7346">
              <w:rPr>
                <w:rFonts w:cs="Arial"/>
                <w:sz w:val="20"/>
                <w:szCs w:val="20"/>
              </w:rPr>
              <w:t>72</w:t>
            </w:r>
          </w:p>
        </w:tc>
        <w:tc>
          <w:tcPr>
            <w:tcW w:w="1136" w:type="dxa"/>
            <w:noWrap/>
          </w:tcPr>
          <w:p w14:paraId="0CF192B7" w14:textId="271045B1" w:rsidR="0012142F" w:rsidRPr="003E75D1" w:rsidDel="00410404" w:rsidRDefault="002E5B0C" w:rsidP="00794E05">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sz w:val="20"/>
                <w:szCs w:val="20"/>
              </w:rPr>
              <w:t>25</w:t>
            </w:r>
          </w:p>
        </w:tc>
      </w:tr>
      <w:tr w:rsidR="0012142F" w:rsidRPr="006C6D5C" w14:paraId="37E8BCC1" w14:textId="77777777" w:rsidTr="0012142F">
        <w:trPr>
          <w:trHeight w:val="315"/>
        </w:trPr>
        <w:tc>
          <w:tcPr>
            <w:cnfStyle w:val="001000000000" w:firstRow="0" w:lastRow="0" w:firstColumn="1" w:lastColumn="0" w:oddVBand="0" w:evenVBand="0" w:oddHBand="0" w:evenHBand="0" w:firstRowFirstColumn="0" w:firstRowLastColumn="0" w:lastRowFirstColumn="0" w:lastRowLastColumn="0"/>
            <w:tcW w:w="1295" w:type="dxa"/>
          </w:tcPr>
          <w:p w14:paraId="06BB0C75" w14:textId="77777777" w:rsidR="0012142F" w:rsidRPr="003E75D1" w:rsidRDefault="0012142F" w:rsidP="00794E05">
            <w:pPr>
              <w:spacing w:before="120" w:after="120" w:line="240" w:lineRule="auto"/>
              <w:jc w:val="center"/>
              <w:rPr>
                <w:rFonts w:asciiTheme="minorHAnsi" w:eastAsia="Times New Roman" w:hAnsiTheme="minorHAnsi" w:cstheme="minorHAnsi"/>
                <w:sz w:val="20"/>
                <w:szCs w:val="20"/>
                <w:u w:val="single"/>
              </w:rPr>
            </w:pPr>
            <w:r w:rsidRPr="003E75D1">
              <w:rPr>
                <w:rFonts w:asciiTheme="minorHAnsi" w:hAnsiTheme="minorHAnsi" w:cstheme="minorHAnsi"/>
                <w:sz w:val="20"/>
                <w:szCs w:val="20"/>
              </w:rPr>
              <w:t>Adult Face only</w:t>
            </w:r>
          </w:p>
        </w:tc>
        <w:tc>
          <w:tcPr>
            <w:tcW w:w="1163" w:type="dxa"/>
          </w:tcPr>
          <w:p w14:paraId="50D98EB0" w14:textId="77777777" w:rsidR="0012142F" w:rsidRPr="003E75D1" w:rsidRDefault="0012142F"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u w:val="single"/>
              </w:rPr>
            </w:pPr>
            <w:r w:rsidRPr="003E75D1">
              <w:rPr>
                <w:rFonts w:asciiTheme="minorHAnsi" w:hAnsiTheme="minorHAnsi" w:cstheme="minorHAnsi"/>
                <w:sz w:val="20"/>
                <w:szCs w:val="20"/>
              </w:rPr>
              <w:t>675</w:t>
            </w:r>
          </w:p>
        </w:tc>
        <w:tc>
          <w:tcPr>
            <w:tcW w:w="1090" w:type="dxa"/>
          </w:tcPr>
          <w:p w14:paraId="4543D9E4" w14:textId="77777777" w:rsidR="0012142F" w:rsidRPr="003E75D1" w:rsidRDefault="0012142F"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3E75D1">
              <w:rPr>
                <w:rFonts w:asciiTheme="minorHAnsi" w:eastAsia="Times New Roman" w:hAnsiTheme="minorHAnsi" w:cstheme="minorHAnsi"/>
                <w:sz w:val="20"/>
                <w:szCs w:val="20"/>
              </w:rPr>
              <w:t>107</w:t>
            </w:r>
          </w:p>
        </w:tc>
        <w:tc>
          <w:tcPr>
            <w:tcW w:w="1971" w:type="dxa"/>
          </w:tcPr>
          <w:p w14:paraId="570AE581" w14:textId="77777777" w:rsidR="0012142F" w:rsidRPr="003E75D1" w:rsidRDefault="0012142F"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3E75D1">
              <w:rPr>
                <w:rFonts w:asciiTheme="minorHAnsi" w:eastAsia="Times New Roman" w:hAnsiTheme="minorHAnsi" w:cstheme="minorHAnsi"/>
                <w:sz w:val="20"/>
                <w:szCs w:val="20"/>
              </w:rPr>
              <w:t>2</w:t>
            </w:r>
          </w:p>
        </w:tc>
        <w:tc>
          <w:tcPr>
            <w:tcW w:w="1651" w:type="dxa"/>
          </w:tcPr>
          <w:p w14:paraId="5813725C" w14:textId="77777777" w:rsidR="0012142F" w:rsidRPr="003E75D1" w:rsidRDefault="0012142F"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3E75D1">
              <w:rPr>
                <w:rFonts w:asciiTheme="minorHAnsi" w:eastAsia="Times New Roman" w:hAnsiTheme="minorHAnsi" w:cstheme="minorHAnsi"/>
                <w:sz w:val="20"/>
                <w:szCs w:val="20"/>
              </w:rPr>
              <w:t>365</w:t>
            </w:r>
          </w:p>
        </w:tc>
        <w:tc>
          <w:tcPr>
            <w:tcW w:w="1163" w:type="dxa"/>
            <w:noWrap/>
          </w:tcPr>
          <w:p w14:paraId="7D170DDB" w14:textId="379B19F4" w:rsidR="0012142F" w:rsidRPr="00FD4B8C" w:rsidRDefault="0012142F"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FD4B8C">
              <w:rPr>
                <w:rFonts w:asciiTheme="minorHAnsi" w:hAnsiTheme="minorHAnsi" w:cstheme="minorHAnsi"/>
                <w:sz w:val="20"/>
                <w:szCs w:val="20"/>
              </w:rPr>
              <w:t>0.2</w:t>
            </w:r>
            <w:r w:rsidR="00020863">
              <w:rPr>
                <w:rFonts w:asciiTheme="minorHAnsi" w:hAnsiTheme="minorHAnsi" w:cstheme="minorHAnsi"/>
                <w:sz w:val="20"/>
                <w:szCs w:val="20"/>
              </w:rPr>
              <w:t>5</w:t>
            </w:r>
          </w:p>
        </w:tc>
        <w:tc>
          <w:tcPr>
            <w:tcW w:w="1136" w:type="dxa"/>
            <w:noWrap/>
          </w:tcPr>
          <w:p w14:paraId="787B93F9" w14:textId="6610F5EE" w:rsidR="0012142F" w:rsidRPr="003E75D1" w:rsidRDefault="003F7B3D"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Theme="minorHAnsi" w:hAnsiTheme="minorHAnsi" w:cstheme="minorHAnsi"/>
                <w:sz w:val="20"/>
                <w:szCs w:val="20"/>
              </w:rPr>
              <w:t>272</w:t>
            </w:r>
          </w:p>
        </w:tc>
      </w:tr>
      <w:tr w:rsidR="0012142F" w:rsidRPr="006C6D5C" w14:paraId="17A71AB3" w14:textId="77777777" w:rsidTr="0012142F">
        <w:trPr>
          <w:trHeight w:val="315"/>
        </w:trPr>
        <w:tc>
          <w:tcPr>
            <w:cnfStyle w:val="001000000000" w:firstRow="0" w:lastRow="0" w:firstColumn="1" w:lastColumn="0" w:oddVBand="0" w:evenVBand="0" w:oddHBand="0" w:evenHBand="0" w:firstRowFirstColumn="0" w:firstRowLastColumn="0" w:lastRowFirstColumn="0" w:lastRowLastColumn="0"/>
            <w:tcW w:w="1295" w:type="dxa"/>
          </w:tcPr>
          <w:p w14:paraId="769E1758" w14:textId="77777777" w:rsidR="0012142F" w:rsidRPr="003E75D1" w:rsidRDefault="0012142F" w:rsidP="00794E05">
            <w:pPr>
              <w:spacing w:before="120" w:after="120" w:line="240" w:lineRule="auto"/>
              <w:jc w:val="center"/>
              <w:rPr>
                <w:rFonts w:asciiTheme="minorHAnsi" w:eastAsia="Times New Roman" w:hAnsiTheme="minorHAnsi" w:cstheme="minorHAnsi"/>
                <w:sz w:val="20"/>
                <w:szCs w:val="20"/>
                <w:u w:val="single"/>
              </w:rPr>
            </w:pPr>
            <w:r w:rsidRPr="003E75D1">
              <w:rPr>
                <w:rFonts w:asciiTheme="minorHAnsi" w:hAnsiTheme="minorHAnsi" w:cstheme="minorHAnsi"/>
                <w:sz w:val="20"/>
                <w:szCs w:val="20"/>
              </w:rPr>
              <w:t>Adult Face + Hands</w:t>
            </w:r>
          </w:p>
        </w:tc>
        <w:tc>
          <w:tcPr>
            <w:tcW w:w="1163" w:type="dxa"/>
          </w:tcPr>
          <w:p w14:paraId="29F28601" w14:textId="77777777" w:rsidR="0012142F" w:rsidRPr="003E75D1" w:rsidRDefault="0012142F"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u w:val="single"/>
              </w:rPr>
            </w:pPr>
            <w:r w:rsidRPr="003E75D1">
              <w:rPr>
                <w:rFonts w:asciiTheme="minorHAnsi" w:hAnsiTheme="minorHAnsi" w:cstheme="minorHAnsi"/>
                <w:sz w:val="20"/>
                <w:szCs w:val="20"/>
              </w:rPr>
              <w:t>1875</w:t>
            </w:r>
          </w:p>
        </w:tc>
        <w:tc>
          <w:tcPr>
            <w:tcW w:w="1090" w:type="dxa"/>
          </w:tcPr>
          <w:p w14:paraId="580B91BA" w14:textId="77777777" w:rsidR="0012142F" w:rsidRPr="003E75D1" w:rsidRDefault="0012142F"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3E75D1">
              <w:rPr>
                <w:rFonts w:asciiTheme="minorHAnsi" w:eastAsia="Times New Roman" w:hAnsiTheme="minorHAnsi" w:cstheme="minorHAnsi"/>
                <w:sz w:val="20"/>
                <w:szCs w:val="20"/>
              </w:rPr>
              <w:t>107</w:t>
            </w:r>
          </w:p>
        </w:tc>
        <w:tc>
          <w:tcPr>
            <w:tcW w:w="1971" w:type="dxa"/>
          </w:tcPr>
          <w:p w14:paraId="4EE283B5" w14:textId="77777777" w:rsidR="0012142F" w:rsidRPr="003E75D1" w:rsidRDefault="0012142F"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3E75D1">
              <w:rPr>
                <w:rFonts w:asciiTheme="minorHAnsi" w:eastAsia="Times New Roman" w:hAnsiTheme="minorHAnsi" w:cstheme="minorHAnsi"/>
                <w:sz w:val="20"/>
                <w:szCs w:val="20"/>
              </w:rPr>
              <w:t>2</w:t>
            </w:r>
          </w:p>
        </w:tc>
        <w:tc>
          <w:tcPr>
            <w:tcW w:w="1651" w:type="dxa"/>
          </w:tcPr>
          <w:p w14:paraId="62E38940" w14:textId="77777777" w:rsidR="0012142F" w:rsidRPr="003E75D1" w:rsidRDefault="0012142F"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3E75D1">
              <w:rPr>
                <w:rFonts w:asciiTheme="minorHAnsi" w:eastAsia="Times New Roman" w:hAnsiTheme="minorHAnsi" w:cstheme="minorHAnsi"/>
                <w:sz w:val="20"/>
                <w:szCs w:val="20"/>
              </w:rPr>
              <w:t>365</w:t>
            </w:r>
          </w:p>
        </w:tc>
        <w:tc>
          <w:tcPr>
            <w:tcW w:w="1163" w:type="dxa"/>
            <w:noWrap/>
          </w:tcPr>
          <w:p w14:paraId="4E153590" w14:textId="0E3927B6" w:rsidR="0012142F" w:rsidRPr="00FD4B8C" w:rsidRDefault="0012142F"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FD4B8C">
              <w:rPr>
                <w:rFonts w:asciiTheme="minorHAnsi" w:hAnsiTheme="minorHAnsi" w:cstheme="minorHAnsi"/>
                <w:sz w:val="20"/>
                <w:szCs w:val="20"/>
              </w:rPr>
              <w:t>0.</w:t>
            </w:r>
            <w:r w:rsidR="00020863">
              <w:rPr>
                <w:rFonts w:asciiTheme="minorHAnsi" w:hAnsiTheme="minorHAnsi" w:cstheme="minorHAnsi"/>
                <w:sz w:val="20"/>
                <w:szCs w:val="20"/>
              </w:rPr>
              <w:t>69</w:t>
            </w:r>
          </w:p>
        </w:tc>
        <w:tc>
          <w:tcPr>
            <w:tcW w:w="1136" w:type="dxa"/>
            <w:noWrap/>
          </w:tcPr>
          <w:p w14:paraId="1EB4C2EF" w14:textId="49D2B16E" w:rsidR="0012142F" w:rsidRPr="003E75D1" w:rsidRDefault="003F7B3D" w:rsidP="00794E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Theme="minorHAnsi" w:hAnsiTheme="minorHAnsi" w:cstheme="minorHAnsi"/>
                <w:sz w:val="20"/>
                <w:szCs w:val="20"/>
              </w:rPr>
              <w:t>98</w:t>
            </w:r>
          </w:p>
        </w:tc>
      </w:tr>
    </w:tbl>
    <w:p w14:paraId="3ADE708C" w14:textId="61A9E0C8" w:rsidR="00813CCF" w:rsidRDefault="00813CCF" w:rsidP="009B2E75">
      <w:pPr>
        <w:pStyle w:val="Tabledescription"/>
      </w:pPr>
      <w:r w:rsidRPr="00F6314C">
        <w:t>*95</w:t>
      </w:r>
      <w:r w:rsidRPr="00F6314C">
        <w:rPr>
          <w:vertAlign w:val="superscript"/>
        </w:rPr>
        <w:t>th</w:t>
      </w:r>
      <w:r w:rsidRPr="00F6314C">
        <w:t xml:space="preserve"> percentile for SSA body parts and total body weight (</w:t>
      </w:r>
      <w:r w:rsidR="006B6C29">
        <w:t xml:space="preserve">For Adult: </w:t>
      </w:r>
      <w:r w:rsidRPr="00F6314C">
        <w:t>average of male and female adult values combined)</w:t>
      </w:r>
    </w:p>
    <w:p w14:paraId="7C25E55F" w14:textId="731EDF64" w:rsidR="00813CCF" w:rsidRDefault="00813CCF" w:rsidP="009B2E75">
      <w:r>
        <w:t xml:space="preserve">For these oxybenzone-containing sunscreen products to reach a satisfactory </w:t>
      </w:r>
      <w:r w:rsidR="009A1B05" w:rsidRPr="00B40A33">
        <w:t>MoS</w:t>
      </w:r>
      <w:r w:rsidR="009A1B05">
        <w:t xml:space="preserve"> (≥100</w:t>
      </w:r>
      <w:proofErr w:type="gramStart"/>
      <w:r w:rsidR="009A1B05">
        <w:t>)</w:t>
      </w:r>
      <w:r w:rsidR="009A1B05" w:rsidRPr="00B40A33">
        <w:t xml:space="preserve"> </w:t>
      </w:r>
      <w:r>
        <w:t xml:space="preserve"> based</w:t>
      </w:r>
      <w:proofErr w:type="gramEnd"/>
      <w:r>
        <w:t xml:space="preserve"> on specific part of the body</w:t>
      </w:r>
      <w:r w:rsidR="009A1B05">
        <w:t xml:space="preserve"> and </w:t>
      </w:r>
      <w:r w:rsidR="00F74684">
        <w:t xml:space="preserve">for </w:t>
      </w:r>
      <w:r w:rsidR="009A1B05">
        <w:t>use by whole family vs adult only</w:t>
      </w:r>
      <w:r>
        <w:t xml:space="preserve">, the concentration of oxybenzone would need to be reduced as shown in the table below </w:t>
      </w:r>
      <w:r w:rsidR="00B846E1" w:rsidRPr="00B40A33">
        <w:t>for different periods of use (240 &amp; 365 days/year).</w:t>
      </w:r>
    </w:p>
    <w:p w14:paraId="54DD5B22" w14:textId="77777777" w:rsidR="00813CCF" w:rsidRDefault="00813CCF" w:rsidP="00813CCF">
      <w:pPr>
        <w:rPr>
          <w:rFonts w:ascii="Cambria" w:hAnsi="Cambria"/>
          <w:sz w:val="22"/>
          <w:szCs w:val="22"/>
        </w:rPr>
      </w:pPr>
    </w:p>
    <w:p w14:paraId="4AFE0E3A" w14:textId="77777777" w:rsidR="00813CCF" w:rsidRDefault="00813CCF" w:rsidP="009B2E75">
      <w:pPr>
        <w:pStyle w:val="Tabletitle"/>
      </w:pPr>
      <w:r w:rsidRPr="00F6314C">
        <w:t>The concentration o</w:t>
      </w:r>
      <w:r>
        <w:t>f oxybenzone</w:t>
      </w:r>
      <w:r w:rsidRPr="00F6314C">
        <w:t xml:space="preserve"> </w:t>
      </w:r>
      <w:r>
        <w:t xml:space="preserve">that is </w:t>
      </w:r>
      <w:proofErr w:type="gramStart"/>
      <w:r>
        <w:t>low-risk</w:t>
      </w:r>
      <w:proofErr w:type="gramEnd"/>
      <w:r>
        <w:t xml:space="preserve"> </w:t>
      </w:r>
      <w:r w:rsidRPr="00F6314C">
        <w:t>in sunscreen product</w:t>
      </w:r>
      <w:r>
        <w:t>s</w:t>
      </w:r>
      <w:r w:rsidRPr="00F6314C">
        <w:t xml:space="preserve"> if </w:t>
      </w:r>
      <w:r>
        <w:t xml:space="preserve">applied to </w:t>
      </w:r>
      <w:r w:rsidRPr="00F6314C">
        <w:t>specific areas of the body</w:t>
      </w:r>
      <w:r>
        <w:t xml:space="preserve"> every day.</w:t>
      </w:r>
    </w:p>
    <w:tbl>
      <w:tblPr>
        <w:tblStyle w:val="TableTGAblue2023"/>
        <w:tblW w:w="9011" w:type="dxa"/>
        <w:tblLook w:val="04A0" w:firstRow="1" w:lastRow="0" w:firstColumn="1" w:lastColumn="0" w:noHBand="0" w:noVBand="1"/>
      </w:tblPr>
      <w:tblGrid>
        <w:gridCol w:w="2497"/>
        <w:gridCol w:w="3257"/>
        <w:gridCol w:w="3257"/>
      </w:tblGrid>
      <w:tr w:rsidR="00CE74B3" w:rsidRPr="008C032D" w14:paraId="51E8E253" w14:textId="77777777" w:rsidTr="00794E05">
        <w:trPr>
          <w:cnfStyle w:val="100000000000" w:firstRow="1" w:lastRow="0" w:firstColumn="0" w:lastColumn="0" w:oddVBand="0" w:evenVBand="0" w:oddHBand="0" w:evenHBand="0" w:firstRowFirstColumn="0" w:firstRowLastColumn="0" w:lastRowFirstColumn="0" w:lastRowLastColumn="0"/>
          <w:trHeight w:val="1141"/>
        </w:trPr>
        <w:tc>
          <w:tcPr>
            <w:cnfStyle w:val="001000000000" w:firstRow="0" w:lastRow="0" w:firstColumn="1" w:lastColumn="0" w:oddVBand="0" w:evenVBand="0" w:oddHBand="0" w:evenHBand="0" w:firstRowFirstColumn="0" w:firstRowLastColumn="0" w:lastRowFirstColumn="0" w:lastRowLastColumn="0"/>
            <w:tcW w:w="2497" w:type="dxa"/>
            <w:hideMark/>
          </w:tcPr>
          <w:p w14:paraId="1AA28E95" w14:textId="77777777" w:rsidR="00CE74B3" w:rsidRPr="003E75D1" w:rsidRDefault="00CE74B3" w:rsidP="00794E05">
            <w:pPr>
              <w:spacing w:after="0" w:line="240" w:lineRule="auto"/>
              <w:jc w:val="center"/>
              <w:rPr>
                <w:rFonts w:eastAsia="Times New Roman" w:cs="Arial"/>
                <w:b w:val="0"/>
                <w:bCs/>
                <w:sz w:val="20"/>
                <w:szCs w:val="20"/>
              </w:rPr>
            </w:pPr>
            <w:r w:rsidRPr="003E75D1">
              <w:rPr>
                <w:rFonts w:eastAsia="Times New Roman" w:cs="Arial"/>
                <w:bCs/>
                <w:sz w:val="20"/>
                <w:szCs w:val="20"/>
              </w:rPr>
              <w:t>Scenario*</w:t>
            </w:r>
          </w:p>
        </w:tc>
        <w:tc>
          <w:tcPr>
            <w:tcW w:w="3257" w:type="dxa"/>
            <w:hideMark/>
          </w:tcPr>
          <w:p w14:paraId="6944AF49" w14:textId="77777777" w:rsidR="00CE74B3" w:rsidRPr="003E75D1" w:rsidRDefault="00CE74B3" w:rsidP="00794E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sz w:val="20"/>
                <w:szCs w:val="20"/>
              </w:rPr>
            </w:pPr>
            <w:r w:rsidRPr="003E75D1">
              <w:rPr>
                <w:rFonts w:eastAsia="Times New Roman" w:cs="Arial"/>
                <w:bCs/>
                <w:sz w:val="20"/>
                <w:szCs w:val="20"/>
              </w:rPr>
              <w:t>Concentration (%)</w:t>
            </w:r>
          </w:p>
          <w:p w14:paraId="0B057677" w14:textId="77777777" w:rsidR="00CE74B3" w:rsidRPr="003E75D1" w:rsidRDefault="00CE74B3" w:rsidP="00794E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sz w:val="20"/>
                <w:szCs w:val="20"/>
              </w:rPr>
            </w:pPr>
            <w:r w:rsidRPr="003E75D1">
              <w:rPr>
                <w:rFonts w:eastAsia="Times New Roman" w:cs="Arial"/>
                <w:bCs/>
                <w:sz w:val="20"/>
                <w:szCs w:val="20"/>
              </w:rPr>
              <w:t>240 d/yr</w:t>
            </w:r>
          </w:p>
        </w:tc>
        <w:tc>
          <w:tcPr>
            <w:tcW w:w="3257" w:type="dxa"/>
          </w:tcPr>
          <w:p w14:paraId="6B9E58C4" w14:textId="77777777" w:rsidR="00CE74B3" w:rsidRPr="003E75D1" w:rsidRDefault="00CE74B3" w:rsidP="00794E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sz w:val="20"/>
                <w:szCs w:val="20"/>
              </w:rPr>
            </w:pPr>
            <w:r w:rsidRPr="003E75D1">
              <w:rPr>
                <w:rFonts w:eastAsia="Times New Roman" w:cs="Arial"/>
                <w:bCs/>
                <w:sz w:val="20"/>
                <w:szCs w:val="20"/>
              </w:rPr>
              <w:t>Concentration (%)</w:t>
            </w:r>
          </w:p>
          <w:p w14:paraId="34C0577B" w14:textId="77777777" w:rsidR="00CE74B3" w:rsidRPr="003E75D1" w:rsidRDefault="00CE74B3" w:rsidP="00794E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Cs/>
                <w:sz w:val="20"/>
                <w:szCs w:val="20"/>
              </w:rPr>
            </w:pPr>
            <w:r w:rsidRPr="003E75D1">
              <w:rPr>
                <w:rFonts w:eastAsia="Times New Roman" w:cs="Arial"/>
                <w:bCs/>
                <w:sz w:val="20"/>
                <w:szCs w:val="20"/>
              </w:rPr>
              <w:t>365 d/yr</w:t>
            </w:r>
          </w:p>
        </w:tc>
      </w:tr>
      <w:tr w:rsidR="00CE74B3" w:rsidRPr="00A504E0" w14:paraId="07A8D1D8" w14:textId="77777777" w:rsidTr="00794E05">
        <w:trPr>
          <w:trHeight w:val="301"/>
        </w:trPr>
        <w:tc>
          <w:tcPr>
            <w:cnfStyle w:val="001000000000" w:firstRow="0" w:lastRow="0" w:firstColumn="1" w:lastColumn="0" w:oddVBand="0" w:evenVBand="0" w:oddHBand="0" w:evenHBand="0" w:firstRowFirstColumn="0" w:firstRowLastColumn="0" w:lastRowFirstColumn="0" w:lastRowLastColumn="0"/>
            <w:tcW w:w="2497" w:type="dxa"/>
            <w:tcBorders>
              <w:bottom w:val="single" w:sz="4" w:space="0" w:color="263287"/>
            </w:tcBorders>
            <w:vAlign w:val="center"/>
          </w:tcPr>
          <w:p w14:paraId="4C033B72" w14:textId="77777777" w:rsidR="00CE74B3" w:rsidRPr="00794E05" w:rsidRDefault="00CE74B3" w:rsidP="00794E05">
            <w:pPr>
              <w:spacing w:after="0" w:line="240" w:lineRule="auto"/>
              <w:jc w:val="center"/>
              <w:rPr>
                <w:rFonts w:cs="Arial"/>
                <w:sz w:val="20"/>
                <w:szCs w:val="20"/>
              </w:rPr>
            </w:pPr>
            <w:r>
              <w:rPr>
                <w:rFonts w:cs="Arial"/>
                <w:sz w:val="20"/>
                <w:szCs w:val="20"/>
              </w:rPr>
              <w:t>Toddler</w:t>
            </w:r>
            <w:r w:rsidRPr="003E75D1">
              <w:rPr>
                <w:rFonts w:cs="Arial"/>
                <w:sz w:val="20"/>
                <w:szCs w:val="20"/>
              </w:rPr>
              <w:t xml:space="preserve"> Face only</w:t>
            </w:r>
          </w:p>
        </w:tc>
        <w:tc>
          <w:tcPr>
            <w:tcW w:w="3257" w:type="dxa"/>
            <w:tcBorders>
              <w:bottom w:val="single" w:sz="4" w:space="0" w:color="263287"/>
            </w:tcBorders>
            <w:vAlign w:val="center"/>
          </w:tcPr>
          <w:p w14:paraId="330C6E10" w14:textId="2CA2DD93" w:rsidR="00CE74B3" w:rsidRPr="00794E05" w:rsidRDefault="00C4235E" w:rsidP="00794E0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6.8</w:t>
            </w:r>
          </w:p>
        </w:tc>
        <w:tc>
          <w:tcPr>
            <w:tcW w:w="3257" w:type="dxa"/>
            <w:tcBorders>
              <w:bottom w:val="single" w:sz="4" w:space="0" w:color="263287"/>
            </w:tcBorders>
            <w:vAlign w:val="center"/>
          </w:tcPr>
          <w:p w14:paraId="7EE739FE" w14:textId="4A215C1C" w:rsidR="00CE74B3" w:rsidRPr="003E75D1" w:rsidRDefault="00C4235E" w:rsidP="00794E0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w:t>
            </w:r>
            <w:r w:rsidR="008F007A">
              <w:rPr>
                <w:rFonts w:cs="Arial"/>
                <w:sz w:val="20"/>
                <w:szCs w:val="20"/>
              </w:rPr>
              <w:t>4</w:t>
            </w:r>
          </w:p>
        </w:tc>
      </w:tr>
      <w:tr w:rsidR="00CE74B3" w:rsidRPr="00A504E0" w14:paraId="6A822CEC" w14:textId="77777777" w:rsidTr="00794E05">
        <w:trPr>
          <w:trHeight w:val="301"/>
        </w:trPr>
        <w:tc>
          <w:tcPr>
            <w:cnfStyle w:val="001000000000" w:firstRow="0" w:lastRow="0" w:firstColumn="1" w:lastColumn="0" w:oddVBand="0" w:evenVBand="0" w:oddHBand="0" w:evenHBand="0" w:firstRowFirstColumn="0" w:firstRowLastColumn="0" w:lastRowFirstColumn="0" w:lastRowLastColumn="0"/>
            <w:tcW w:w="2497" w:type="dxa"/>
            <w:tcBorders>
              <w:bottom w:val="double" w:sz="4" w:space="0" w:color="263287"/>
            </w:tcBorders>
            <w:vAlign w:val="center"/>
          </w:tcPr>
          <w:p w14:paraId="7286F5A7" w14:textId="77777777" w:rsidR="00CE74B3" w:rsidRPr="00794E05" w:rsidDel="003439CF" w:rsidRDefault="00CE74B3" w:rsidP="00794E05">
            <w:pPr>
              <w:spacing w:after="0" w:line="240" w:lineRule="auto"/>
              <w:jc w:val="center"/>
              <w:rPr>
                <w:rFonts w:cs="Arial"/>
                <w:sz w:val="20"/>
                <w:szCs w:val="20"/>
              </w:rPr>
            </w:pPr>
            <w:r>
              <w:rPr>
                <w:rFonts w:cs="Arial"/>
                <w:sz w:val="20"/>
                <w:szCs w:val="20"/>
              </w:rPr>
              <w:t>Toddler</w:t>
            </w:r>
            <w:r w:rsidRPr="003E75D1">
              <w:rPr>
                <w:rFonts w:cs="Arial"/>
                <w:sz w:val="20"/>
                <w:szCs w:val="20"/>
              </w:rPr>
              <w:t xml:space="preserve"> Face + Hands</w:t>
            </w:r>
          </w:p>
        </w:tc>
        <w:tc>
          <w:tcPr>
            <w:tcW w:w="3257" w:type="dxa"/>
            <w:tcBorders>
              <w:bottom w:val="double" w:sz="4" w:space="0" w:color="263287"/>
            </w:tcBorders>
            <w:vAlign w:val="center"/>
          </w:tcPr>
          <w:p w14:paraId="3E8AEB9F" w14:textId="725863CB" w:rsidR="00CE74B3" w:rsidRPr="00794E05" w:rsidDel="003439CF" w:rsidRDefault="00C4235E" w:rsidP="00794E0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3.7</w:t>
            </w:r>
          </w:p>
        </w:tc>
        <w:tc>
          <w:tcPr>
            <w:tcW w:w="3257" w:type="dxa"/>
            <w:tcBorders>
              <w:bottom w:val="double" w:sz="4" w:space="0" w:color="263287"/>
            </w:tcBorders>
            <w:vAlign w:val="center"/>
          </w:tcPr>
          <w:p w14:paraId="727E1896" w14:textId="0109B380" w:rsidR="00CE74B3" w:rsidRPr="00794E05" w:rsidDel="003439CF" w:rsidRDefault="008F007A" w:rsidP="00794E0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2.5</w:t>
            </w:r>
          </w:p>
        </w:tc>
      </w:tr>
      <w:tr w:rsidR="00D10BDB" w:rsidRPr="00A504E0" w14:paraId="34C328C9" w14:textId="77777777" w:rsidTr="000874CD">
        <w:trPr>
          <w:trHeight w:val="311"/>
        </w:trPr>
        <w:tc>
          <w:tcPr>
            <w:cnfStyle w:val="001000000000" w:firstRow="0" w:lastRow="0" w:firstColumn="1" w:lastColumn="0" w:oddVBand="0" w:evenVBand="0" w:oddHBand="0" w:evenHBand="0" w:firstRowFirstColumn="0" w:firstRowLastColumn="0" w:lastRowFirstColumn="0" w:lastRowLastColumn="0"/>
            <w:tcW w:w="0" w:type="dxa"/>
            <w:vAlign w:val="center"/>
          </w:tcPr>
          <w:p w14:paraId="029B2ABD" w14:textId="77777777" w:rsidR="00D10BDB" w:rsidRPr="00794E05" w:rsidRDefault="00D10BDB" w:rsidP="00D10BDB">
            <w:pPr>
              <w:spacing w:after="0" w:line="240" w:lineRule="auto"/>
              <w:jc w:val="center"/>
              <w:rPr>
                <w:rFonts w:cs="Arial"/>
                <w:sz w:val="20"/>
                <w:szCs w:val="20"/>
              </w:rPr>
            </w:pPr>
            <w:r w:rsidRPr="003E75D1">
              <w:rPr>
                <w:rFonts w:cs="Arial"/>
                <w:sz w:val="20"/>
                <w:szCs w:val="20"/>
              </w:rPr>
              <w:t>Adult Face only</w:t>
            </w:r>
          </w:p>
        </w:tc>
        <w:tc>
          <w:tcPr>
            <w:tcW w:w="0" w:type="dxa"/>
          </w:tcPr>
          <w:p w14:paraId="15C3558D" w14:textId="5A8C2199" w:rsidR="00D10BDB" w:rsidRPr="008F007A" w:rsidRDefault="00D10BDB" w:rsidP="00D1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0874CD">
              <w:rPr>
                <w:rFonts w:asciiTheme="minorHAnsi" w:hAnsiTheme="minorHAnsi" w:cstheme="minorHAnsi"/>
              </w:rPr>
              <w:t>&gt;10</w:t>
            </w:r>
          </w:p>
        </w:tc>
        <w:tc>
          <w:tcPr>
            <w:tcW w:w="0" w:type="dxa"/>
            <w:vAlign w:val="center"/>
          </w:tcPr>
          <w:p w14:paraId="01B5C13E" w14:textId="02A1B292" w:rsidR="00D10BDB" w:rsidRPr="008F007A" w:rsidRDefault="00D10BDB" w:rsidP="00D1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8F007A">
              <w:rPr>
                <w:rFonts w:asciiTheme="minorHAnsi" w:hAnsiTheme="minorHAnsi" w:cstheme="minorHAnsi"/>
                <w:sz w:val="20"/>
                <w:szCs w:val="20"/>
              </w:rPr>
              <w:t>&gt;10</w:t>
            </w:r>
          </w:p>
        </w:tc>
      </w:tr>
      <w:tr w:rsidR="00D10BDB" w:rsidRPr="00A504E0" w14:paraId="15862208" w14:textId="77777777" w:rsidTr="000874CD">
        <w:trPr>
          <w:trHeight w:val="69"/>
        </w:trPr>
        <w:tc>
          <w:tcPr>
            <w:cnfStyle w:val="001000000000" w:firstRow="0" w:lastRow="0" w:firstColumn="1" w:lastColumn="0" w:oddVBand="0" w:evenVBand="0" w:oddHBand="0" w:evenHBand="0" w:firstRowFirstColumn="0" w:firstRowLastColumn="0" w:lastRowFirstColumn="0" w:lastRowLastColumn="0"/>
            <w:tcW w:w="0" w:type="dxa"/>
            <w:vAlign w:val="center"/>
          </w:tcPr>
          <w:p w14:paraId="3E0088E1" w14:textId="77777777" w:rsidR="00D10BDB" w:rsidRPr="00794E05" w:rsidRDefault="00D10BDB" w:rsidP="00D10BDB">
            <w:pPr>
              <w:spacing w:after="0" w:line="240" w:lineRule="auto"/>
              <w:jc w:val="center"/>
              <w:rPr>
                <w:rFonts w:cs="Arial"/>
                <w:sz w:val="20"/>
                <w:szCs w:val="20"/>
              </w:rPr>
            </w:pPr>
            <w:r w:rsidRPr="003E75D1">
              <w:rPr>
                <w:rFonts w:cs="Arial"/>
                <w:sz w:val="20"/>
                <w:szCs w:val="20"/>
              </w:rPr>
              <w:t>Adult Face + Hands</w:t>
            </w:r>
          </w:p>
        </w:tc>
        <w:tc>
          <w:tcPr>
            <w:tcW w:w="0" w:type="dxa"/>
          </w:tcPr>
          <w:p w14:paraId="358FF2C3" w14:textId="73342774" w:rsidR="00D10BDB" w:rsidRPr="008F007A" w:rsidRDefault="00D10BDB" w:rsidP="00D1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0874CD">
              <w:rPr>
                <w:rFonts w:asciiTheme="minorHAnsi" w:hAnsiTheme="minorHAnsi" w:cstheme="minorHAnsi"/>
              </w:rPr>
              <w:t>&gt;10</w:t>
            </w:r>
          </w:p>
        </w:tc>
        <w:tc>
          <w:tcPr>
            <w:tcW w:w="0" w:type="dxa"/>
            <w:vAlign w:val="center"/>
          </w:tcPr>
          <w:p w14:paraId="6E60E034" w14:textId="29FAF26C" w:rsidR="00D10BDB" w:rsidRPr="008F007A" w:rsidRDefault="00D10BDB" w:rsidP="00D1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8F007A">
              <w:rPr>
                <w:rFonts w:asciiTheme="minorHAnsi" w:hAnsiTheme="minorHAnsi" w:cstheme="minorHAnsi"/>
                <w:sz w:val="20"/>
                <w:szCs w:val="20"/>
              </w:rPr>
              <w:t>9.8</w:t>
            </w:r>
          </w:p>
        </w:tc>
      </w:tr>
    </w:tbl>
    <w:p w14:paraId="6BB53CBA" w14:textId="04BB7F0D" w:rsidR="00CE74B3" w:rsidRPr="00CE74B3" w:rsidRDefault="00CE74B3" w:rsidP="000874CD">
      <w:pPr>
        <w:pStyle w:val="Tabledescription"/>
      </w:pPr>
      <w:r w:rsidRPr="00F6314C">
        <w:lastRenderedPageBreak/>
        <w:t>*95</w:t>
      </w:r>
      <w:r w:rsidRPr="00F6314C">
        <w:rPr>
          <w:vertAlign w:val="superscript"/>
        </w:rPr>
        <w:t>th</w:t>
      </w:r>
      <w:r w:rsidRPr="00F6314C">
        <w:t xml:space="preserve"> percentile for SSA body parts and total body weight (</w:t>
      </w:r>
      <w:r>
        <w:t xml:space="preserve">For Adult: </w:t>
      </w:r>
      <w:r w:rsidRPr="00F6314C">
        <w:t>average of male and female adult values combined)</w:t>
      </w:r>
      <w:r>
        <w:t>.</w:t>
      </w:r>
    </w:p>
    <w:p w14:paraId="0355E757" w14:textId="77777777" w:rsidR="00813CCF" w:rsidRDefault="00813CCF" w:rsidP="00813CCF">
      <w:pPr>
        <w:pStyle w:val="Heading4"/>
      </w:pPr>
      <w:bookmarkStart w:id="140" w:name="_Toc190944940"/>
      <w:bookmarkStart w:id="141" w:name="_Toc199254977"/>
      <w:r>
        <w:t>Recommendation</w:t>
      </w:r>
      <w:bookmarkEnd w:id="140"/>
      <w:bookmarkEnd w:id="141"/>
    </w:p>
    <w:p w14:paraId="1198974D" w14:textId="13441F5D" w:rsidR="00813CCF" w:rsidRPr="00F273DB" w:rsidRDefault="00813CCF" w:rsidP="00554ED7">
      <w:r w:rsidRPr="00F273DB">
        <w:t>A MoS less than 100 was calculated using the ASEM. As a result, oxybenzone is not deemed to present a low</w:t>
      </w:r>
      <w:r>
        <w:t xml:space="preserve"> </w:t>
      </w:r>
      <w:r w:rsidRPr="00F273DB">
        <w:t>risk to human health and safety when used at the highest maximum permitted concentration of 10% in therapeutic sunscreens.</w:t>
      </w:r>
    </w:p>
    <w:p w14:paraId="25F11C46" w14:textId="3773FE2A" w:rsidR="00813CCF" w:rsidRDefault="00813CCF" w:rsidP="00554ED7">
      <w:r w:rsidRPr="00F273DB">
        <w:t xml:space="preserve">To mitigate the risk from chronic exposure to oxybenzone in therapeutic sunscreens, it is recommended that oxybenzone is listed in the Poisons Standard. To manage the potential risks associated with oxybenzone it is recommended that that the entry restrict the use of oxybenzone in therapeutic sunscreens, </w:t>
      </w:r>
      <w:proofErr w:type="gramStart"/>
      <w:r w:rsidRPr="00F273DB">
        <w:t>giving consideration to</w:t>
      </w:r>
      <w:proofErr w:type="gramEnd"/>
      <w:r w:rsidRPr="00F273DB">
        <w:t xml:space="preserve"> the following:</w:t>
      </w:r>
    </w:p>
    <w:p w14:paraId="426FA906" w14:textId="77777777" w:rsidR="00081F5C" w:rsidRPr="00B40A33" w:rsidRDefault="00081F5C" w:rsidP="00081F5C">
      <w:r>
        <w:t>OPTION 1</w:t>
      </w:r>
    </w:p>
    <w:p w14:paraId="50B4197B" w14:textId="35872A53" w:rsidR="00081F5C" w:rsidRDefault="00081F5C" w:rsidP="00C47348">
      <w:pPr>
        <w:pStyle w:val="ListParagraph"/>
      </w:pPr>
      <w:r>
        <w:t>Oxybenzone</w:t>
      </w:r>
      <w:r w:rsidRPr="003E75D1">
        <w:t xml:space="preserve"> can be deemed low-risk and appropriate for use in </w:t>
      </w:r>
      <w:r>
        <w:t xml:space="preserve">general </w:t>
      </w:r>
      <w:r w:rsidRPr="003E75D1">
        <w:t>therapeutic sunscreens for daily use</w:t>
      </w:r>
      <w:r>
        <w:t xml:space="preserve"> at a concentration up to </w:t>
      </w:r>
      <w:r w:rsidR="00C43F87">
        <w:t>1</w:t>
      </w:r>
      <w:r>
        <w:t>%.</w:t>
      </w:r>
    </w:p>
    <w:p w14:paraId="28425668" w14:textId="77777777" w:rsidR="00081F5C" w:rsidRDefault="00081F5C" w:rsidP="00081F5C"/>
    <w:p w14:paraId="76D3B96F" w14:textId="3E5ADD57" w:rsidR="00081F5C" w:rsidRPr="00F273DB" w:rsidRDefault="00081F5C" w:rsidP="00554ED7">
      <w:r>
        <w:t>OPTION 2</w:t>
      </w:r>
    </w:p>
    <w:p w14:paraId="2DD65EDB" w14:textId="35A31A7D" w:rsidR="00813CCF" w:rsidRDefault="00765FFB" w:rsidP="00C47348">
      <w:pPr>
        <w:pStyle w:val="ListParagraph"/>
      </w:pPr>
      <w:r>
        <w:t>Specific use</w:t>
      </w:r>
      <w:r w:rsidR="00813CCF" w:rsidRPr="00554ED7">
        <w:t xml:space="preserve"> sunscreens are likely to be used differently by consumers, such as daily application year-round, compared with the use pattern for general sunscreens which are applied to larger parts of the body. Calculations for 240 days/year (based on ASEM scenario 1 for indoor workers) and 365 days/year exposure assumptions have been provided above.</w:t>
      </w:r>
    </w:p>
    <w:p w14:paraId="0EB5FD92" w14:textId="30CA460B" w:rsidR="00A8646A" w:rsidRPr="00554ED7" w:rsidRDefault="00B231EF" w:rsidP="000874CD">
      <w:pPr>
        <w:ind w:left="357"/>
      </w:pPr>
      <w:r>
        <w:rPr>
          <w:noProof/>
        </w:rPr>
        <mc:AlternateContent>
          <mc:Choice Requires="wps">
            <w:drawing>
              <wp:anchor distT="0" distB="0" distL="114300" distR="114300" simplePos="0" relativeHeight="251663360" behindDoc="0" locked="0" layoutInCell="1" allowOverlap="1" wp14:anchorId="2AB23A9B" wp14:editId="1F7938FF">
                <wp:simplePos x="0" y="0"/>
                <wp:positionH relativeFrom="margin">
                  <wp:posOffset>-144145</wp:posOffset>
                </wp:positionH>
                <wp:positionV relativeFrom="paragraph">
                  <wp:posOffset>111760</wp:posOffset>
                </wp:positionV>
                <wp:extent cx="5995035" cy="2743200"/>
                <wp:effectExtent l="0" t="0" r="24765" b="19050"/>
                <wp:wrapNone/>
                <wp:docPr id="2048426248" name="Rectangle: Rounded Corners 4"/>
                <wp:cNvGraphicFramePr/>
                <a:graphic xmlns:a="http://schemas.openxmlformats.org/drawingml/2006/main">
                  <a:graphicData uri="http://schemas.microsoft.com/office/word/2010/wordprocessingShape">
                    <wps:wsp>
                      <wps:cNvSpPr/>
                      <wps:spPr>
                        <a:xfrm>
                          <a:off x="0" y="0"/>
                          <a:ext cx="5995035" cy="2743200"/>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A70C9C4" id="Rectangle: Rounded Corners 4" o:spid="_x0000_s1026" style="position:absolute;margin-left:-11.35pt;margin-top:8.8pt;width:472.05pt;height:3in;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LSHiAIAAG8FAAAOAAAAZHJzL2Uyb0RvYy54bWysVEtv2zAMvg/YfxB0X+2kybYEdYqgRYYB&#10;RVu0HXpWZCk2IIsapbz260fJjwRdscOwHBTJJD+SHx9X14fGsJ1CX4Mt+Ogi50xZCWVtNwX/8bL6&#10;9JUzH4QthQGrCn5Unl8vPn642ru5GkMFplTICMT6+d4VvArBzbPMy0o1wl+AU5aEGrARgZ64yUoU&#10;e0JvTDbO88/ZHrB0CFJ5T19vWyFfJHytlQwPWnsVmCk4xRbSielcxzNbXIn5BoWratmFIf4hikbU&#10;lpwOULciCLbF+g+oppYIHnS4kNBkoHUtVcqBshnlb7J5roRTKRcix7uBJv//YOX97tk9ItGwd37u&#10;6RqzOGhs4j/Fxw6JrONAljoEJunjdDab5pdTziTJxl8ml1SOSGd2MnfowzcFDYuXgiNsbflEJUlM&#10;id2dD61+rxddWljVxqSyGMv21FOzfJonCw+mLqM06nncrG8Msp2gyq5WOf0672dqFIuxFNIpt3QL&#10;R6MihrFPSrO6pGzGrYfYdmqAFVIqG0atqBKlar2NpmfOeouUeAKMyJqiHLA7gF6zBemxWwY6/Wiq&#10;UtcOxl3qfzMeLJJnsGEwbmoL+F5mhrLqPLf6PUktNZGlNZTHR2QI7cx4J1c1lfFO+PAokIaExokG&#10;PzzQoQ1QpaC7cVYB/nrve9Sn3iUpZ3sauoL7n1uBijPz3VJXz0aTSZzS9JhMv4zpgeeS9bnEbpsb&#10;oOqPaMU4ma5RP5j+qhGaV9oPy+iVRMJK8l1wGbB/3IR2GdCGkWq5TGo0mU6EO/vsZASPrMYOfTm8&#10;CnRdLwcag3voB1TM33RzqxstLSy3AXSdWv3Ea8c3TXVqnG4DxbVx/k5apz25+A0AAP//AwBQSwME&#10;FAAGAAgAAAAhALJyhmjdAAAACgEAAA8AAABkcnMvZG93bnJldi54bWxMj0FOwzAQRfdI3MEaJHat&#10;UyskJMSpqkpZIwIHcONJHIjtNHbbcHuGFSxH/+n/N9V+tRO74hJG7yTstgkwdJ3XoxskfLw3m2dg&#10;ISqn1eQdSvjGAPv6/q5SpfY394bXNg6MSlwolQQT41xyHjqDVoWtn9FR1vvFqkjnMnC9qBuV24mL&#10;JMm4VaOjBaNmPBrsvtqLldD0r01uCvW5tn0risPxvHRPZykfH9bDC7CIa/yD4Vef1KEmp5O/OB3Y&#10;JGEjRE4oBXkGjIBC7FJgJwlpWmTA64r/f6H+AQAA//8DAFBLAQItABQABgAIAAAAIQC2gziS/gAA&#10;AOEBAAATAAAAAAAAAAAAAAAAAAAAAABbQ29udGVudF9UeXBlc10ueG1sUEsBAi0AFAAGAAgAAAAh&#10;ADj9If/WAAAAlAEAAAsAAAAAAAAAAAAAAAAALwEAAF9yZWxzLy5yZWxzUEsBAi0AFAAGAAgAAAAh&#10;ALkMtIeIAgAAbwUAAA4AAAAAAAAAAAAAAAAALgIAAGRycy9lMm9Eb2MueG1sUEsBAi0AFAAGAAgA&#10;AAAhALJyhmjdAAAACgEAAA8AAAAAAAAAAAAAAAAA4gQAAGRycy9kb3ducmV2LnhtbFBLBQYAAAAA&#10;BAAEAPMAAADsBQAAAAA=&#10;" filled="f" strokecolor="red" strokeweight="1.5pt">
                <v:stroke joinstyle="miter"/>
                <w10:wrap anchorx="margin"/>
              </v:roundrect>
            </w:pict>
          </mc:Fallback>
        </mc:AlternateContent>
      </w:r>
    </w:p>
    <w:p w14:paraId="1401BE98" w14:textId="4D3BF4E4" w:rsidR="00813CCF" w:rsidRPr="00554ED7" w:rsidRDefault="00446FFD" w:rsidP="00C47348">
      <w:pPr>
        <w:pStyle w:val="ListParagraph"/>
      </w:pPr>
      <w:r>
        <w:t>O</w:t>
      </w:r>
      <w:bookmarkStart w:id="142" w:name="_Hlk177990170"/>
      <w:r w:rsidR="00813CCF" w:rsidRPr="00554ED7">
        <w:t xml:space="preserve">xybenzone can be deemed low-risk and appropriate for use in </w:t>
      </w:r>
      <w:r w:rsidR="00945B52">
        <w:t xml:space="preserve">specific </w:t>
      </w:r>
      <w:r w:rsidR="00813CCF" w:rsidRPr="00554ED7">
        <w:t>therapeutic sunscreens for daily use when:</w:t>
      </w:r>
    </w:p>
    <w:p w14:paraId="21F98831" w14:textId="27A55E65" w:rsidR="00813CCF" w:rsidRPr="00BA4549" w:rsidRDefault="00813CCF" w:rsidP="00554ED7">
      <w:pPr>
        <w:pStyle w:val="ListBullet2"/>
        <w:rPr>
          <w:color w:val="auto"/>
        </w:rPr>
      </w:pPr>
      <w:r w:rsidRPr="00BA4549">
        <w:rPr>
          <w:color w:val="auto"/>
        </w:rPr>
        <w:t xml:space="preserve">Used by adults </w:t>
      </w:r>
      <w:proofErr w:type="gramStart"/>
      <w:r w:rsidRPr="00BA4549">
        <w:rPr>
          <w:color w:val="auto"/>
        </w:rPr>
        <w:t>only</w:t>
      </w:r>
      <w:r w:rsidR="00F74684">
        <w:rPr>
          <w:color w:val="auto"/>
        </w:rPr>
        <w:t>;</w:t>
      </w:r>
      <w:proofErr w:type="gramEnd"/>
    </w:p>
    <w:p w14:paraId="7CEA7166" w14:textId="102EB39C" w:rsidR="00813CCF" w:rsidRPr="00BA4549" w:rsidRDefault="00B231EF" w:rsidP="00554ED7">
      <w:pPr>
        <w:pStyle w:val="ListBullet2"/>
        <w:rPr>
          <w:color w:val="auto"/>
        </w:rPr>
      </w:pPr>
      <w:r w:rsidRPr="00BA4549">
        <w:rPr>
          <w:color w:val="auto"/>
        </w:rPr>
        <w:t xml:space="preserve">Limited to </w:t>
      </w:r>
      <w:r>
        <w:rPr>
          <w:color w:val="auto"/>
        </w:rPr>
        <w:t>face</w:t>
      </w:r>
      <w:r w:rsidRPr="00BA4549">
        <w:rPr>
          <w:color w:val="auto"/>
        </w:rPr>
        <w:t xml:space="preserve">-only or </w:t>
      </w:r>
      <w:r>
        <w:rPr>
          <w:color w:val="auto"/>
        </w:rPr>
        <w:t>face</w:t>
      </w:r>
      <w:r w:rsidRPr="00BA4549">
        <w:rPr>
          <w:color w:val="auto"/>
        </w:rPr>
        <w:t xml:space="preserve"> and hand application</w:t>
      </w:r>
      <w:r w:rsidR="00813CCF" w:rsidRPr="00BA4549">
        <w:rPr>
          <w:color w:val="auto"/>
        </w:rPr>
        <w:t>, not to the whole body</w:t>
      </w:r>
      <w:r w:rsidR="00F74684">
        <w:rPr>
          <w:color w:val="auto"/>
        </w:rPr>
        <w:t xml:space="preserve">; and </w:t>
      </w:r>
    </w:p>
    <w:p w14:paraId="490D5FB3" w14:textId="0FBA9E2D" w:rsidR="00813CCF" w:rsidRDefault="00813CCF" w:rsidP="00554ED7">
      <w:pPr>
        <w:pStyle w:val="ListBullet2"/>
        <w:rPr>
          <w:color w:val="auto"/>
        </w:rPr>
      </w:pPr>
      <w:r w:rsidRPr="00BA4549">
        <w:rPr>
          <w:color w:val="auto"/>
        </w:rPr>
        <w:t>At a maximum concentration (</w:t>
      </w:r>
      <w:r w:rsidR="00B231EF">
        <w:rPr>
          <w:color w:val="auto"/>
        </w:rPr>
        <w:t>9.8</w:t>
      </w:r>
      <w:r w:rsidRPr="00BA4549">
        <w:rPr>
          <w:color w:val="auto"/>
        </w:rPr>
        <w:t>% to 10% of the product) depending on the types of products that are currently marketed and their directions for use.</w:t>
      </w:r>
    </w:p>
    <w:p w14:paraId="1B629371" w14:textId="0BEE02CF" w:rsidR="00945B52" w:rsidRPr="00794E05" w:rsidRDefault="00945B52" w:rsidP="00945B52">
      <w:pPr>
        <w:pStyle w:val="ListBullet2"/>
        <w:numPr>
          <w:ilvl w:val="0"/>
          <w:numId w:val="0"/>
        </w:numPr>
        <w:ind w:left="720"/>
        <w:jc w:val="center"/>
        <w:rPr>
          <w:b/>
          <w:bCs/>
          <w:color w:val="auto"/>
        </w:rPr>
      </w:pPr>
      <w:r w:rsidRPr="00794E05">
        <w:rPr>
          <w:b/>
          <w:bCs/>
          <w:color w:val="auto"/>
        </w:rPr>
        <w:t>OR</w:t>
      </w:r>
    </w:p>
    <w:p w14:paraId="2FBF2434" w14:textId="170476DB" w:rsidR="00945B52" w:rsidRPr="003E75D1" w:rsidRDefault="00945B52" w:rsidP="00F74684">
      <w:pPr>
        <w:pStyle w:val="ListParagraph"/>
        <w:numPr>
          <w:ilvl w:val="0"/>
          <w:numId w:val="0"/>
        </w:numPr>
        <w:ind w:left="357"/>
      </w:pPr>
      <w:r>
        <w:t>O</w:t>
      </w:r>
      <w:r w:rsidRPr="00554ED7">
        <w:t>xybenzone</w:t>
      </w:r>
      <w:r w:rsidRPr="003E75D1">
        <w:t xml:space="preserve"> can be deemed low-risk and appropriate for use in </w:t>
      </w:r>
      <w:r>
        <w:t xml:space="preserve">general </w:t>
      </w:r>
      <w:r w:rsidRPr="003E75D1">
        <w:t>therapeutic sunscreens for daily use</w:t>
      </w:r>
      <w:r>
        <w:t xml:space="preserve"> </w:t>
      </w:r>
      <w:r w:rsidR="007A1067">
        <w:t xml:space="preserve">by the whole family </w:t>
      </w:r>
      <w:r w:rsidRPr="003E75D1">
        <w:t>when:</w:t>
      </w:r>
    </w:p>
    <w:p w14:paraId="52DCA3AD" w14:textId="1B416749" w:rsidR="00945B52" w:rsidRDefault="00B231EF" w:rsidP="00945B52">
      <w:pPr>
        <w:pStyle w:val="ListBullet2"/>
        <w:rPr>
          <w:color w:val="auto"/>
        </w:rPr>
      </w:pPr>
      <w:r w:rsidRPr="00BA4549">
        <w:rPr>
          <w:color w:val="auto"/>
        </w:rPr>
        <w:t xml:space="preserve">Limited to </w:t>
      </w:r>
      <w:r>
        <w:rPr>
          <w:color w:val="auto"/>
        </w:rPr>
        <w:t>face</w:t>
      </w:r>
      <w:r w:rsidRPr="00BA4549">
        <w:rPr>
          <w:color w:val="auto"/>
        </w:rPr>
        <w:t xml:space="preserve">-only or </w:t>
      </w:r>
      <w:r>
        <w:rPr>
          <w:color w:val="auto"/>
        </w:rPr>
        <w:t>face</w:t>
      </w:r>
      <w:r w:rsidRPr="00BA4549">
        <w:rPr>
          <w:color w:val="auto"/>
        </w:rPr>
        <w:t xml:space="preserve"> and hand application</w:t>
      </w:r>
      <w:r w:rsidR="00945B52" w:rsidRPr="00BA4549">
        <w:rPr>
          <w:color w:val="auto"/>
        </w:rPr>
        <w:t>, not to the whole body</w:t>
      </w:r>
      <w:r w:rsidR="001A3BDE">
        <w:rPr>
          <w:color w:val="auto"/>
        </w:rPr>
        <w:t>;</w:t>
      </w:r>
      <w:r w:rsidR="007A1067">
        <w:rPr>
          <w:color w:val="auto"/>
        </w:rPr>
        <w:t xml:space="preserve"> and</w:t>
      </w:r>
    </w:p>
    <w:p w14:paraId="1A3343B2" w14:textId="7D463F78" w:rsidR="001A3BDE" w:rsidRPr="001A3BDE" w:rsidRDefault="00F07C0E" w:rsidP="00E32D0F">
      <w:pPr>
        <w:pStyle w:val="ListBullet2"/>
      </w:pPr>
      <w:r w:rsidRPr="00BA4549">
        <w:rPr>
          <w:color w:val="auto"/>
        </w:rPr>
        <w:t xml:space="preserve">At a reduced maximum concentration (between </w:t>
      </w:r>
      <w:r w:rsidR="00B231EF">
        <w:rPr>
          <w:color w:val="auto"/>
        </w:rPr>
        <w:t>2.5</w:t>
      </w:r>
      <w:r w:rsidRPr="00BA4549">
        <w:rPr>
          <w:color w:val="auto"/>
        </w:rPr>
        <w:t xml:space="preserve">% and </w:t>
      </w:r>
      <w:r w:rsidR="0099158E">
        <w:rPr>
          <w:color w:val="auto"/>
        </w:rPr>
        <w:t>6</w:t>
      </w:r>
      <w:r>
        <w:rPr>
          <w:color w:val="auto"/>
        </w:rPr>
        <w:t>.8</w:t>
      </w:r>
      <w:r w:rsidRPr="00BA4549">
        <w:rPr>
          <w:color w:val="auto"/>
        </w:rPr>
        <w:t>% of the product), depending on the types of products that are currently marketed and their directions for use</w:t>
      </w:r>
      <w:bookmarkEnd w:id="142"/>
    </w:p>
    <w:p w14:paraId="5554058D" w14:textId="77777777" w:rsidR="00B231EF" w:rsidRDefault="00B231EF" w:rsidP="007A1067">
      <w:pPr>
        <w:pStyle w:val="ListBullet2"/>
        <w:numPr>
          <w:ilvl w:val="0"/>
          <w:numId w:val="0"/>
        </w:numPr>
        <w:ind w:left="360"/>
        <w:rPr>
          <w:color w:val="auto"/>
        </w:rPr>
      </w:pPr>
    </w:p>
    <w:p w14:paraId="75E4FEC9" w14:textId="0AFDDD14" w:rsidR="00813CCF" w:rsidRPr="000874CD" w:rsidRDefault="00813CCF" w:rsidP="000874CD">
      <w:pPr>
        <w:pStyle w:val="ListBullet2"/>
        <w:numPr>
          <w:ilvl w:val="0"/>
          <w:numId w:val="0"/>
        </w:numPr>
        <w:rPr>
          <w:color w:val="auto"/>
        </w:rPr>
      </w:pPr>
      <w:r w:rsidRPr="000874CD">
        <w:rPr>
          <w:color w:val="auto"/>
        </w:rPr>
        <w:t>Potential exposure of oxybenzone from other sources e.g. in cosmetics and cosmetic sunscreens</w:t>
      </w:r>
      <w:r w:rsidR="007A1067" w:rsidRPr="000874CD">
        <w:rPr>
          <w:color w:val="auto"/>
        </w:rPr>
        <w:t xml:space="preserve"> should also be considered as well as u</w:t>
      </w:r>
      <w:r w:rsidRPr="000874CD">
        <w:rPr>
          <w:color w:val="auto"/>
        </w:rPr>
        <w:t>se of specific warning statements or directions for use, and/or product packaging limitations to ensure appropriate use.</w:t>
      </w:r>
    </w:p>
    <w:p w14:paraId="2FBC3161" w14:textId="77777777" w:rsidR="009C6F49" w:rsidRDefault="009C6F49" w:rsidP="009C6F49">
      <w:pPr>
        <w:pStyle w:val="Heading3"/>
      </w:pPr>
      <w:bookmarkStart w:id="143" w:name="_Toc190944941"/>
      <w:bookmarkStart w:id="144" w:name="_Toc199254978"/>
      <w:proofErr w:type="spellStart"/>
      <w:r w:rsidRPr="00E67154">
        <w:t>Phenylbenzimidazole</w:t>
      </w:r>
      <w:proofErr w:type="spellEnd"/>
      <w:r w:rsidRPr="00E67154">
        <w:t xml:space="preserve"> sulfonic</w:t>
      </w:r>
      <w:r>
        <w:t xml:space="preserve"> acid safety assessment</w:t>
      </w:r>
      <w:bookmarkEnd w:id="143"/>
      <w:bookmarkEnd w:id="144"/>
    </w:p>
    <w:p w14:paraId="61BF2CC7" w14:textId="77777777" w:rsidR="009C6F49" w:rsidRPr="0074486E" w:rsidRDefault="009C6F49" w:rsidP="00554ED7">
      <w:pPr>
        <w:rPr>
          <w:vertAlign w:val="superscript"/>
        </w:rPr>
      </w:pPr>
      <w:r w:rsidRPr="0074486E">
        <w:t xml:space="preserve">The safety of </w:t>
      </w:r>
      <w:proofErr w:type="spellStart"/>
      <w:r w:rsidRPr="0074486E">
        <w:t>phenylbenzimidazole</w:t>
      </w:r>
      <w:proofErr w:type="spellEnd"/>
      <w:r w:rsidRPr="0074486E">
        <w:t xml:space="preserve"> sulfonic acid was assessed based on the publicly available safety data from scientific literature, and the SCCP opinion (SCCP, 2006b).</w:t>
      </w:r>
    </w:p>
    <w:p w14:paraId="7E25C6A0" w14:textId="77777777" w:rsidR="009C6F49" w:rsidRPr="0074486E" w:rsidRDefault="009C6F49" w:rsidP="00554ED7">
      <w:bookmarkStart w:id="145" w:name="_Hlk157436853"/>
      <w:proofErr w:type="spellStart"/>
      <w:r w:rsidRPr="0074486E">
        <w:t>Phenylbenzimidazole</w:t>
      </w:r>
      <w:proofErr w:type="spellEnd"/>
      <w:r w:rsidRPr="0074486E">
        <w:t xml:space="preserve"> sulfonic acid </w:t>
      </w:r>
      <w:bookmarkEnd w:id="145"/>
      <w:r w:rsidRPr="0074486E">
        <w:t xml:space="preserve">was rapidly absorbed following oral administration in pregnant rats. </w:t>
      </w:r>
      <w:r w:rsidRPr="0074486E">
        <w:rPr>
          <w:rFonts w:cs="Verdana"/>
        </w:rPr>
        <w:t xml:space="preserve">The amount of absorption from the gastrointestinal tract was estimated to be 3 </w:t>
      </w:r>
      <w:r>
        <w:rPr>
          <w:rFonts w:cs="Verdana"/>
        </w:rPr>
        <w:t>-</w:t>
      </w:r>
      <w:r w:rsidRPr="0074486E">
        <w:rPr>
          <w:rFonts w:cs="Verdana"/>
        </w:rPr>
        <w:t xml:space="preserve"> 4%. There was no indication of accumulation in any of the organs investigated and </w:t>
      </w:r>
      <w:proofErr w:type="spellStart"/>
      <w:r w:rsidRPr="0074486E">
        <w:t>phenylbenzimidazole</w:t>
      </w:r>
      <w:proofErr w:type="spellEnd"/>
      <w:r w:rsidRPr="0074486E">
        <w:t xml:space="preserve"> sulfonic acid </w:t>
      </w:r>
      <w:r w:rsidRPr="0074486E">
        <w:rPr>
          <w:rFonts w:cs="Verdana"/>
        </w:rPr>
        <w:t xml:space="preserve">did not cross the blood/brain barrier. </w:t>
      </w:r>
      <w:proofErr w:type="spellStart"/>
      <w:r w:rsidRPr="0074486E">
        <w:t>Phenylbenzimidazole</w:t>
      </w:r>
      <w:proofErr w:type="spellEnd"/>
      <w:r w:rsidRPr="0074486E">
        <w:t xml:space="preserve"> sulfonic acid was mainly excreted though </w:t>
      </w:r>
      <w:r w:rsidRPr="0074486E">
        <w:lastRenderedPageBreak/>
        <w:t xml:space="preserve">urine and faeces in male rats and via the faeces in pregnant female rats following oral administration. No data were available on the metabolism of </w:t>
      </w:r>
      <w:proofErr w:type="spellStart"/>
      <w:r w:rsidRPr="0074486E">
        <w:t>phenylbenzimidazole</w:t>
      </w:r>
      <w:proofErr w:type="spellEnd"/>
      <w:r w:rsidRPr="0074486E">
        <w:t xml:space="preserve"> sulfonic acid.</w:t>
      </w:r>
    </w:p>
    <w:p w14:paraId="0A41DD64" w14:textId="77777777" w:rsidR="009C6F49" w:rsidRPr="0074486E" w:rsidRDefault="009C6F49" w:rsidP="00554ED7">
      <w:proofErr w:type="spellStart"/>
      <w:r w:rsidRPr="0074486E">
        <w:t>Phenylbenzimidazole</w:t>
      </w:r>
      <w:proofErr w:type="spellEnd"/>
      <w:r w:rsidRPr="0074486E">
        <w:t xml:space="preserve"> sulfonic acid was found to be of low acute toxicity in rats and mice (IP LD</w:t>
      </w:r>
      <w:r w:rsidRPr="0074486E">
        <w:rPr>
          <w:vertAlign w:val="subscript"/>
        </w:rPr>
        <w:t>50</w:t>
      </w:r>
      <w:r w:rsidRPr="0074486E">
        <w:t xml:space="preserve"> 1000 – 1500 mg/kg/day and the dermal LD</w:t>
      </w:r>
      <w:r w:rsidRPr="0074486E">
        <w:rPr>
          <w:vertAlign w:val="subscript"/>
        </w:rPr>
        <w:t>50</w:t>
      </w:r>
      <w:r w:rsidRPr="0074486E">
        <w:t xml:space="preserve"> is &gt;3000 mg/kg </w:t>
      </w:r>
      <w:proofErr w:type="spellStart"/>
      <w:r w:rsidRPr="0074486E">
        <w:t>bw</w:t>
      </w:r>
      <w:proofErr w:type="spellEnd"/>
      <w:r w:rsidRPr="0074486E">
        <w:t xml:space="preserve"> in rats whereas oral LD</w:t>
      </w:r>
      <w:r w:rsidRPr="0074486E">
        <w:rPr>
          <w:vertAlign w:val="subscript"/>
        </w:rPr>
        <w:t>50</w:t>
      </w:r>
      <w:r w:rsidRPr="0074486E">
        <w:t xml:space="preserve"> in mice is &gt;5000 mg/kg </w:t>
      </w:r>
      <w:proofErr w:type="spellStart"/>
      <w:r w:rsidRPr="0074486E">
        <w:t>bw</w:t>
      </w:r>
      <w:proofErr w:type="spellEnd"/>
      <w:r w:rsidRPr="0074486E">
        <w:t xml:space="preserve">). There was no information available for acute inhalational toxicity. </w:t>
      </w:r>
      <w:proofErr w:type="spellStart"/>
      <w:r w:rsidRPr="0074486E">
        <w:t>Phenylbenzimidazole</w:t>
      </w:r>
      <w:proofErr w:type="spellEnd"/>
      <w:r w:rsidRPr="0074486E">
        <w:t xml:space="preserve"> sulfonic acid was not a skin or eye irritant in rabbits and did not cause skin sensitisation in guinea pigs.</w:t>
      </w:r>
      <w:r w:rsidRPr="0074486E">
        <w:rPr>
          <w:rFonts w:cs="Verdana"/>
        </w:rPr>
        <w:t xml:space="preserve"> </w:t>
      </w:r>
      <w:r w:rsidRPr="00B232E4">
        <w:t>The NOAEL in a 13-week oral study in rats was established at 1000 mg/kg/day, the highest dose tested</w:t>
      </w:r>
      <w:r w:rsidRPr="000C54CF">
        <w:t>.</w:t>
      </w:r>
    </w:p>
    <w:p w14:paraId="1BD70326" w14:textId="0CBB9410" w:rsidR="009C6F49" w:rsidRPr="0074486E" w:rsidRDefault="009C6F49" w:rsidP="00554ED7">
      <w:proofErr w:type="spellStart"/>
      <w:r w:rsidRPr="0074486E">
        <w:t>Phenylbenzimidazole</w:t>
      </w:r>
      <w:proofErr w:type="spellEnd"/>
      <w:r w:rsidRPr="0074486E">
        <w:t xml:space="preserve"> sulfonic acid was not found to be genotoxic </w:t>
      </w:r>
      <w:r w:rsidRPr="0074486E">
        <w:rPr>
          <w:i/>
        </w:rPr>
        <w:t>in vitro</w:t>
      </w:r>
      <w:r w:rsidRPr="0074486E">
        <w:t xml:space="preserve"> (</w:t>
      </w:r>
      <w:proofErr w:type="gramStart"/>
      <w:r w:rsidRPr="0074486E">
        <w:t>Ames</w:t>
      </w:r>
      <w:proofErr w:type="gramEnd"/>
      <w:r w:rsidRPr="0074486E">
        <w:t xml:space="preserve"> test and chromosome aberration test in human peripheral blood lymphocytes). No information was available for mutagenicity/genotoxicity </w:t>
      </w:r>
      <w:r w:rsidRPr="0074486E">
        <w:rPr>
          <w:i/>
        </w:rPr>
        <w:t>in vivo</w:t>
      </w:r>
      <w:r w:rsidRPr="0074486E">
        <w:t xml:space="preserve">. No carcinogenicity data on </w:t>
      </w:r>
      <w:proofErr w:type="spellStart"/>
      <w:r w:rsidRPr="0074486E">
        <w:t>phenylbenzimidazole</w:t>
      </w:r>
      <w:proofErr w:type="spellEnd"/>
      <w:r w:rsidRPr="0074486E">
        <w:t xml:space="preserve"> sulfonic acid were available.</w:t>
      </w:r>
    </w:p>
    <w:p w14:paraId="22A076AA" w14:textId="77777777" w:rsidR="009C6F49" w:rsidRDefault="009C6F49" w:rsidP="00554ED7">
      <w:r w:rsidRPr="0074486E">
        <w:t xml:space="preserve">No treatment-related findings were noted in a pre-natal developmental toxicity study in rats treated with </w:t>
      </w:r>
      <w:proofErr w:type="spellStart"/>
      <w:r w:rsidRPr="0074486E">
        <w:t>phenylbenzimidazole</w:t>
      </w:r>
      <w:proofErr w:type="spellEnd"/>
      <w:r w:rsidRPr="0074486E">
        <w:t xml:space="preserve"> sulfonic acid from gestation day 6 to 15 at doses up to 1000 mg/kg/day. The NOAEL for maternal and </w:t>
      </w:r>
      <w:proofErr w:type="spellStart"/>
      <w:r w:rsidRPr="0074486E">
        <w:t>fetal</w:t>
      </w:r>
      <w:proofErr w:type="spellEnd"/>
      <w:r w:rsidRPr="0074486E">
        <w:t xml:space="preserve"> toxicity was 1000 mg/kg/day. </w:t>
      </w:r>
      <w:proofErr w:type="spellStart"/>
      <w:r w:rsidRPr="0074486E">
        <w:t>Phenylbenzimidazole</w:t>
      </w:r>
      <w:proofErr w:type="spellEnd"/>
      <w:r w:rsidRPr="0074486E">
        <w:t xml:space="preserve"> sulfonic acid did not cross the blood brain barrier or the placenta following oral administration in rats.</w:t>
      </w:r>
    </w:p>
    <w:p w14:paraId="00F51188" w14:textId="77777777" w:rsidR="009C6F49" w:rsidRPr="0074486E" w:rsidRDefault="009C6F49" w:rsidP="00554ED7">
      <w:r w:rsidRPr="00A76B44">
        <w:rPr>
          <w:b/>
          <w:bCs/>
        </w:rPr>
        <w:t>An adjusted NOAEL of 40 mg</w:t>
      </w:r>
      <w:r>
        <w:rPr>
          <w:b/>
          <w:bCs/>
        </w:rPr>
        <w:t>/</w:t>
      </w:r>
      <w:r w:rsidRPr="00A76B44">
        <w:rPr>
          <w:b/>
          <w:bCs/>
        </w:rPr>
        <w:t xml:space="preserve">kg </w:t>
      </w:r>
      <w:proofErr w:type="spellStart"/>
      <w:r w:rsidRPr="00A76B44">
        <w:rPr>
          <w:b/>
          <w:bCs/>
        </w:rPr>
        <w:t>bw</w:t>
      </w:r>
      <w:proofErr w:type="spellEnd"/>
      <w:r w:rsidRPr="00A76B44">
        <w:rPr>
          <w:b/>
          <w:bCs/>
        </w:rPr>
        <w:t>/day</w:t>
      </w:r>
      <w:r>
        <w:rPr>
          <w:b/>
          <w:bCs/>
        </w:rPr>
        <w:t xml:space="preserve"> </w:t>
      </w:r>
      <w:r w:rsidRPr="00B232E4">
        <w:t xml:space="preserve">was calculated using the two report NOAELs (1000 mg/kg </w:t>
      </w:r>
      <w:proofErr w:type="spellStart"/>
      <w:r w:rsidRPr="00B232E4">
        <w:t>bw</w:t>
      </w:r>
      <w:proofErr w:type="spellEnd"/>
      <w:r w:rsidRPr="00B232E4">
        <w:t>/day) to account for th</w:t>
      </w:r>
      <w:r w:rsidRPr="000048F6">
        <w:t>e low (</w:t>
      </w:r>
      <w:r>
        <w:t>4%) oral absorption as per SCCS calculations (SCCP, 2006b).</w:t>
      </w:r>
    </w:p>
    <w:p w14:paraId="733BB044" w14:textId="77777777" w:rsidR="009C6F49" w:rsidRDefault="009C6F49" w:rsidP="009C6F49">
      <w:pPr>
        <w:pStyle w:val="Heading4"/>
      </w:pPr>
      <w:bookmarkStart w:id="146" w:name="_Toc190944942"/>
      <w:bookmarkStart w:id="147" w:name="_Toc199254979"/>
      <w:r w:rsidRPr="00B53EAE">
        <w:t xml:space="preserve">Exposure </w:t>
      </w:r>
      <w:proofErr w:type="gramStart"/>
      <w:r w:rsidRPr="00B53EAE">
        <w:t>estimate</w:t>
      </w:r>
      <w:proofErr w:type="gramEnd"/>
      <w:r w:rsidRPr="00B53EAE">
        <w:t xml:space="preserve"> and Margin of Safety</w:t>
      </w:r>
      <w:r>
        <w:t xml:space="preserve"> for </w:t>
      </w:r>
      <w:proofErr w:type="spellStart"/>
      <w:r w:rsidRPr="00C40C84">
        <w:t>phenylbenzimidazole</w:t>
      </w:r>
      <w:proofErr w:type="spellEnd"/>
      <w:r w:rsidRPr="00C40C84">
        <w:t xml:space="preserve"> sulfonic acid</w:t>
      </w:r>
      <w:bookmarkEnd w:id="146"/>
      <w:bookmarkEnd w:id="147"/>
      <w:r w:rsidRPr="00C40C84">
        <w:t xml:space="preserve"> </w:t>
      </w:r>
    </w:p>
    <w:p w14:paraId="3CE2A8F7" w14:textId="77777777" w:rsidR="009C6F49" w:rsidRDefault="009C6F49" w:rsidP="00554ED7">
      <w:pPr>
        <w:pStyle w:val="Tabletitle"/>
      </w:pPr>
      <w:proofErr w:type="spellStart"/>
      <w:r w:rsidRPr="00A20C72">
        <w:t>P</w:t>
      </w:r>
      <w:r w:rsidRPr="00C40C84">
        <w:t>henylbenzimidazole</w:t>
      </w:r>
      <w:proofErr w:type="spellEnd"/>
      <w:r w:rsidRPr="00C40C84">
        <w:t xml:space="preserve"> sulfonic acid </w:t>
      </w:r>
      <w:r w:rsidRPr="00AE0E35">
        <w:t>–</w:t>
      </w:r>
      <w:r>
        <w:t xml:space="preserve"> standard</w:t>
      </w:r>
      <w:r w:rsidRPr="00AE0E35">
        <w:t xml:space="preserve"> parameters for the estimation of the systemic exposure dose</w:t>
      </w:r>
    </w:p>
    <w:tbl>
      <w:tblPr>
        <w:tblStyle w:val="TableTGAblue2023"/>
        <w:tblW w:w="9186" w:type="dxa"/>
        <w:tblLook w:val="04A0" w:firstRow="1" w:lastRow="0" w:firstColumn="1" w:lastColumn="0" w:noHBand="0" w:noVBand="1"/>
      </w:tblPr>
      <w:tblGrid>
        <w:gridCol w:w="6374"/>
        <w:gridCol w:w="2812"/>
      </w:tblGrid>
      <w:tr w:rsidR="009C6F49" w:rsidRPr="00554ED7" w14:paraId="3916D8DD" w14:textId="77777777" w:rsidTr="00E07077">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6374" w:type="dxa"/>
          </w:tcPr>
          <w:p w14:paraId="5E78DD1A" w14:textId="77777777" w:rsidR="009C6F49" w:rsidRPr="00554ED7" w:rsidRDefault="009C6F49" w:rsidP="00E07077">
            <w:pPr>
              <w:pStyle w:val="Standard"/>
              <w:spacing w:after="0"/>
              <w:rPr>
                <w:rFonts w:asciiTheme="minorHAnsi" w:hAnsiTheme="minorHAnsi" w:cstheme="minorHAnsi"/>
                <w:sz w:val="20"/>
                <w:szCs w:val="20"/>
              </w:rPr>
            </w:pPr>
            <w:r w:rsidRPr="00554ED7">
              <w:rPr>
                <w:rFonts w:asciiTheme="minorHAnsi" w:hAnsiTheme="minorHAnsi" w:cstheme="minorHAnsi"/>
                <w:sz w:val="20"/>
                <w:szCs w:val="20"/>
              </w:rPr>
              <w:t>Parameter</w:t>
            </w:r>
          </w:p>
        </w:tc>
        <w:tc>
          <w:tcPr>
            <w:tcW w:w="2812" w:type="dxa"/>
          </w:tcPr>
          <w:p w14:paraId="5DC71253" w14:textId="77777777" w:rsidR="009C6F49" w:rsidRPr="00554ED7" w:rsidRDefault="009C6F49" w:rsidP="00E07077">
            <w:pPr>
              <w:pStyle w:val="Standard"/>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54ED7">
              <w:rPr>
                <w:rFonts w:asciiTheme="minorHAnsi" w:hAnsiTheme="minorHAnsi" w:cstheme="minorHAnsi"/>
                <w:sz w:val="20"/>
                <w:szCs w:val="20"/>
              </w:rPr>
              <w:t>Value</w:t>
            </w:r>
          </w:p>
        </w:tc>
      </w:tr>
      <w:tr w:rsidR="009C6F49" w:rsidRPr="00554ED7" w14:paraId="41F82CBE" w14:textId="77777777" w:rsidTr="00E07077">
        <w:trPr>
          <w:trHeight w:val="340"/>
        </w:trPr>
        <w:tc>
          <w:tcPr>
            <w:cnfStyle w:val="001000000000" w:firstRow="0" w:lastRow="0" w:firstColumn="1" w:lastColumn="0" w:oddVBand="0" w:evenVBand="0" w:oddHBand="0" w:evenHBand="0" w:firstRowFirstColumn="0" w:firstRowLastColumn="0" w:lastRowFirstColumn="0" w:lastRowLastColumn="0"/>
            <w:tcW w:w="6374" w:type="dxa"/>
          </w:tcPr>
          <w:p w14:paraId="3C8A608A" w14:textId="77777777" w:rsidR="009C6F49" w:rsidRPr="00554ED7" w:rsidRDefault="009C6F49" w:rsidP="00E07077">
            <w:pPr>
              <w:pStyle w:val="Standard"/>
              <w:spacing w:before="120" w:after="120"/>
              <w:rPr>
                <w:rFonts w:asciiTheme="minorHAnsi" w:hAnsiTheme="minorHAnsi" w:cstheme="minorHAnsi"/>
                <w:b/>
                <w:bCs/>
                <w:sz w:val="20"/>
                <w:szCs w:val="20"/>
              </w:rPr>
            </w:pPr>
            <w:r w:rsidRPr="00554ED7">
              <w:rPr>
                <w:rFonts w:asciiTheme="minorHAnsi" w:hAnsiTheme="minorHAnsi" w:cstheme="minorHAnsi"/>
                <w:sz w:val="20"/>
                <w:szCs w:val="20"/>
              </w:rPr>
              <w:t>NOAEL (adjusted for low oral absorption)</w:t>
            </w:r>
          </w:p>
        </w:tc>
        <w:tc>
          <w:tcPr>
            <w:tcW w:w="2812" w:type="dxa"/>
          </w:tcPr>
          <w:p w14:paraId="23A66833" w14:textId="77777777" w:rsidR="009C6F49" w:rsidRPr="00554ED7" w:rsidRDefault="009C6F49" w:rsidP="00E07077">
            <w:pPr>
              <w:pStyle w:val="Standard"/>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54ED7">
              <w:rPr>
                <w:rFonts w:asciiTheme="minorHAnsi" w:hAnsiTheme="minorHAnsi" w:cstheme="minorHAnsi"/>
                <w:sz w:val="20"/>
                <w:szCs w:val="20"/>
              </w:rPr>
              <w:t xml:space="preserve">40 mg/kg </w:t>
            </w:r>
            <w:proofErr w:type="spellStart"/>
            <w:r w:rsidRPr="00554ED7">
              <w:rPr>
                <w:rFonts w:asciiTheme="minorHAnsi" w:hAnsiTheme="minorHAnsi" w:cstheme="minorHAnsi"/>
                <w:sz w:val="20"/>
                <w:szCs w:val="20"/>
              </w:rPr>
              <w:t>bw</w:t>
            </w:r>
            <w:proofErr w:type="spellEnd"/>
            <w:r w:rsidRPr="00554ED7">
              <w:rPr>
                <w:rFonts w:asciiTheme="minorHAnsi" w:hAnsiTheme="minorHAnsi" w:cstheme="minorHAnsi"/>
                <w:sz w:val="20"/>
                <w:szCs w:val="20"/>
              </w:rPr>
              <w:t>/day</w:t>
            </w:r>
          </w:p>
        </w:tc>
      </w:tr>
      <w:tr w:rsidR="009C6F49" w:rsidRPr="00554ED7" w14:paraId="1686E618" w14:textId="77777777" w:rsidTr="00E07077">
        <w:trPr>
          <w:trHeight w:val="531"/>
        </w:trPr>
        <w:tc>
          <w:tcPr>
            <w:cnfStyle w:val="001000000000" w:firstRow="0" w:lastRow="0" w:firstColumn="1" w:lastColumn="0" w:oddVBand="0" w:evenVBand="0" w:oddHBand="0" w:evenHBand="0" w:firstRowFirstColumn="0" w:firstRowLastColumn="0" w:lastRowFirstColumn="0" w:lastRowLastColumn="0"/>
            <w:tcW w:w="6374" w:type="dxa"/>
          </w:tcPr>
          <w:p w14:paraId="68D9420C" w14:textId="77777777" w:rsidR="009C6F49" w:rsidRPr="00554ED7" w:rsidRDefault="009C6F49" w:rsidP="00E07077">
            <w:pPr>
              <w:pStyle w:val="Standard"/>
              <w:spacing w:before="120" w:after="120"/>
              <w:rPr>
                <w:rFonts w:asciiTheme="minorHAnsi" w:hAnsiTheme="minorHAnsi" w:cstheme="minorHAnsi"/>
                <w:b/>
                <w:bCs/>
                <w:sz w:val="20"/>
                <w:szCs w:val="20"/>
              </w:rPr>
            </w:pPr>
            <w:r w:rsidRPr="00554ED7">
              <w:rPr>
                <w:rFonts w:asciiTheme="minorHAnsi" w:hAnsiTheme="minorHAnsi" w:cstheme="minorHAnsi"/>
                <w:sz w:val="20"/>
                <w:szCs w:val="20"/>
              </w:rPr>
              <w:t>Dermal absorption (</w:t>
            </w:r>
            <w:proofErr w:type="spellStart"/>
            <w:r w:rsidRPr="00554ED7">
              <w:rPr>
                <w:rFonts w:asciiTheme="minorHAnsi" w:hAnsiTheme="minorHAnsi" w:cstheme="minorHAnsi"/>
                <w:sz w:val="20"/>
                <w:szCs w:val="20"/>
              </w:rPr>
              <w:t>DAp</w:t>
            </w:r>
            <w:proofErr w:type="spellEnd"/>
            <w:r w:rsidRPr="00554ED7">
              <w:rPr>
                <w:rFonts w:asciiTheme="minorHAnsi" w:hAnsiTheme="minorHAnsi" w:cstheme="minorHAnsi"/>
                <w:sz w:val="20"/>
                <w:szCs w:val="20"/>
              </w:rPr>
              <w:t>)</w:t>
            </w:r>
          </w:p>
        </w:tc>
        <w:tc>
          <w:tcPr>
            <w:tcW w:w="2812" w:type="dxa"/>
          </w:tcPr>
          <w:p w14:paraId="71C7BC12" w14:textId="77777777" w:rsidR="009C6F49" w:rsidRPr="00554ED7" w:rsidRDefault="009C6F49" w:rsidP="00E07077">
            <w:pPr>
              <w:pStyle w:val="Standard"/>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54ED7">
              <w:rPr>
                <w:rFonts w:asciiTheme="minorHAnsi" w:hAnsiTheme="minorHAnsi" w:cstheme="minorHAnsi"/>
                <w:sz w:val="20"/>
                <w:szCs w:val="20"/>
              </w:rPr>
              <w:t>0.416 µg/cm</w:t>
            </w:r>
            <w:r w:rsidRPr="00554ED7">
              <w:rPr>
                <w:rFonts w:asciiTheme="minorHAnsi" w:hAnsiTheme="minorHAnsi" w:cstheme="minorHAnsi"/>
                <w:sz w:val="20"/>
                <w:szCs w:val="20"/>
                <w:vertAlign w:val="superscript"/>
              </w:rPr>
              <w:t>2</w:t>
            </w:r>
          </w:p>
        </w:tc>
      </w:tr>
      <w:tr w:rsidR="009C6F49" w:rsidRPr="00554ED7" w14:paraId="3BE86662" w14:textId="77777777" w:rsidTr="00E07077">
        <w:trPr>
          <w:trHeight w:val="799"/>
        </w:trPr>
        <w:tc>
          <w:tcPr>
            <w:cnfStyle w:val="001000000000" w:firstRow="0" w:lastRow="0" w:firstColumn="1" w:lastColumn="0" w:oddVBand="0" w:evenVBand="0" w:oddHBand="0" w:evenHBand="0" w:firstRowFirstColumn="0" w:firstRowLastColumn="0" w:lastRowFirstColumn="0" w:lastRowLastColumn="0"/>
            <w:tcW w:w="6374" w:type="dxa"/>
          </w:tcPr>
          <w:p w14:paraId="5035DB65" w14:textId="77777777" w:rsidR="009C6F49" w:rsidRPr="00554ED7" w:rsidRDefault="009C6F49" w:rsidP="00E07077">
            <w:pPr>
              <w:pStyle w:val="Standard"/>
              <w:spacing w:before="120" w:after="120"/>
              <w:rPr>
                <w:rFonts w:asciiTheme="minorHAnsi" w:hAnsiTheme="minorHAnsi" w:cstheme="minorHAnsi"/>
                <w:b/>
                <w:bCs/>
                <w:sz w:val="20"/>
                <w:szCs w:val="20"/>
              </w:rPr>
            </w:pPr>
            <w:r w:rsidRPr="00554ED7">
              <w:rPr>
                <w:rFonts w:asciiTheme="minorHAnsi" w:hAnsiTheme="minorHAnsi" w:cstheme="minorHAnsi"/>
                <w:sz w:val="20"/>
                <w:szCs w:val="20"/>
              </w:rPr>
              <w:t>Highest concentration permitted to be used in Australian sunscreen products (C)</w:t>
            </w:r>
          </w:p>
        </w:tc>
        <w:tc>
          <w:tcPr>
            <w:tcW w:w="2812" w:type="dxa"/>
          </w:tcPr>
          <w:p w14:paraId="3D2E7FC4" w14:textId="77777777" w:rsidR="009C6F49" w:rsidRPr="00554ED7" w:rsidRDefault="009C6F49" w:rsidP="00E07077">
            <w:pPr>
              <w:pStyle w:val="Standard"/>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54ED7">
              <w:rPr>
                <w:rFonts w:asciiTheme="minorHAnsi" w:hAnsiTheme="minorHAnsi" w:cstheme="minorHAnsi"/>
                <w:sz w:val="20"/>
                <w:szCs w:val="20"/>
              </w:rPr>
              <w:t>4 %</w:t>
            </w:r>
          </w:p>
        </w:tc>
      </w:tr>
    </w:tbl>
    <w:p w14:paraId="5DAC91D2" w14:textId="77777777" w:rsidR="009C6F49" w:rsidRPr="00554ED7" w:rsidRDefault="009C6F49" w:rsidP="009C6F49">
      <w:pPr>
        <w:pStyle w:val="Standard"/>
        <w:rPr>
          <w:rFonts w:asciiTheme="minorHAnsi" w:hAnsiTheme="minorHAnsi" w:cstheme="minorHAnsi"/>
          <w:sz w:val="20"/>
          <w:szCs w:val="20"/>
        </w:rPr>
      </w:pPr>
    </w:p>
    <w:p w14:paraId="4063056C" w14:textId="77777777" w:rsidR="009C6F49" w:rsidRPr="00554ED7" w:rsidRDefault="009C6F49" w:rsidP="009C6F49">
      <w:pPr>
        <w:pStyle w:val="Standard"/>
        <w:rPr>
          <w:rFonts w:asciiTheme="minorHAnsi" w:hAnsiTheme="minorHAnsi" w:cstheme="minorHAnsi"/>
          <w:b/>
          <w:bCs/>
          <w:sz w:val="20"/>
          <w:szCs w:val="20"/>
        </w:rPr>
      </w:pPr>
      <w:r w:rsidRPr="00554ED7">
        <w:rPr>
          <w:rFonts w:asciiTheme="minorHAnsi" w:hAnsiTheme="minorHAnsi" w:cstheme="minorHAnsi"/>
          <w:b/>
          <w:bCs/>
          <w:sz w:val="20"/>
          <w:szCs w:val="20"/>
        </w:rPr>
        <w:t xml:space="preserve">Estimated </w:t>
      </w:r>
      <w:proofErr w:type="spellStart"/>
      <w:r w:rsidRPr="00554ED7">
        <w:rPr>
          <w:rFonts w:asciiTheme="minorHAnsi" w:hAnsiTheme="minorHAnsi" w:cstheme="minorHAnsi"/>
          <w:b/>
          <w:bCs/>
          <w:sz w:val="20"/>
          <w:szCs w:val="20"/>
        </w:rPr>
        <w:t>phenylbenzimidazole</w:t>
      </w:r>
      <w:proofErr w:type="spellEnd"/>
      <w:r w:rsidRPr="00554ED7">
        <w:rPr>
          <w:rFonts w:asciiTheme="minorHAnsi" w:hAnsiTheme="minorHAnsi" w:cstheme="minorHAnsi"/>
          <w:b/>
          <w:bCs/>
          <w:sz w:val="20"/>
          <w:szCs w:val="20"/>
        </w:rPr>
        <w:t xml:space="preserve"> sulfonic acid SED and MoS using the Australian Sunscreen Exposure Model (ASEM)</w:t>
      </w:r>
      <w:r w:rsidRPr="00554ED7" w:rsidDel="00773DDA">
        <w:rPr>
          <w:rFonts w:asciiTheme="minorHAnsi" w:hAnsiTheme="minorHAnsi" w:cstheme="minorHAnsi"/>
          <w:b/>
          <w:bCs/>
          <w:sz w:val="20"/>
          <w:szCs w:val="20"/>
        </w:rPr>
        <w:t xml:space="preserve"> </w:t>
      </w:r>
    </w:p>
    <w:p w14:paraId="31D3DBCC" w14:textId="77777777" w:rsidR="009C6F49" w:rsidRDefault="009C6F49" w:rsidP="009C6F49">
      <w:pPr>
        <w:pStyle w:val="Heading5sub"/>
      </w:pPr>
      <w:r>
        <w:t>ASEM method 2 (</w:t>
      </w:r>
      <w:proofErr w:type="spellStart"/>
      <w:r w:rsidRPr="00913E17">
        <w:t>μg</w:t>
      </w:r>
      <w:proofErr w:type="spellEnd"/>
      <w:r w:rsidRPr="00913E17">
        <w:t>/cm²</w:t>
      </w:r>
      <w:r>
        <w:t>) MoS calculation</w:t>
      </w:r>
    </w:p>
    <w:p w14:paraId="27A3F99A" w14:textId="77777777" w:rsidR="009C6F49" w:rsidRPr="008B7E4C" w:rsidRDefault="009C6F49" w:rsidP="009C6F49">
      <w:pPr>
        <w:spacing w:before="240"/>
        <w:rPr>
          <w:rFonts w:cs="Arial"/>
          <w:b/>
          <w:bCs/>
        </w:rPr>
      </w:pPr>
      <w:r w:rsidRPr="003645DF">
        <w:rPr>
          <w:rFonts w:cs="Arial"/>
          <w:noProof/>
        </w:rPr>
        <mc:AlternateContent>
          <mc:Choice Requires="wps">
            <w:drawing>
              <wp:inline distT="0" distB="0" distL="0" distR="0" wp14:anchorId="23857733" wp14:editId="523A97B9">
                <wp:extent cx="5759450" cy="1684117"/>
                <wp:effectExtent l="0" t="0" r="12700" b="11430"/>
                <wp:docPr id="490494889" name="Text Box 49049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684117"/>
                        </a:xfrm>
                        <a:prstGeom prst="rect">
                          <a:avLst/>
                        </a:prstGeom>
                        <a:solidFill>
                          <a:srgbClr val="FFFFFF"/>
                        </a:solidFill>
                        <a:ln w="9525">
                          <a:solidFill>
                            <a:schemeClr val="tx1"/>
                          </a:solidFill>
                          <a:miter lim="800000"/>
                          <a:headEnd/>
                          <a:tailEnd/>
                        </a:ln>
                      </wps:spPr>
                      <wps:txbx>
                        <w:txbxContent>
                          <w:p w14:paraId="40CB9CCF" w14:textId="77777777" w:rsidR="009C6F49" w:rsidRPr="00B232E4" w:rsidRDefault="009C6F49" w:rsidP="009C6F49">
                            <w:pPr>
                              <w:rPr>
                                <w:rFonts w:ascii="Cambria Math" w:eastAsiaTheme="minorEastAsia" w:hAnsi="Cambria Math" w:cs="Cambria Math"/>
                                <w:sz w:val="24"/>
                                <w:szCs w:val="24"/>
                              </w:rPr>
                            </w:pPr>
                            <m:oMathPara>
                              <m:oMathParaPr>
                                <m:jc m:val="center"/>
                              </m:oMathParaPr>
                              <m:oMath>
                                <m:r>
                                  <w:rPr>
                                    <w:rFonts w:ascii="Cambria Math" w:hAnsi="Cambria Math" w:cs="Cambria Math"/>
                                    <w:sz w:val="24"/>
                                    <w:szCs w:val="24"/>
                                  </w:rPr>
                                  <m:t>SED=</m:t>
                                </m:r>
                                <m:sSub>
                                  <m:sSubPr>
                                    <m:ctrlPr>
                                      <w:rPr>
                                        <w:rFonts w:ascii="Cambria Math" w:hAnsi="Cambria Math" w:cs="Cambria Math"/>
                                        <w:i/>
                                        <w:iCs/>
                                        <w:sz w:val="24"/>
                                        <w:szCs w:val="24"/>
                                      </w:rPr>
                                    </m:ctrlPr>
                                  </m:sSubPr>
                                  <m:e>
                                    <m:r>
                                      <w:rPr>
                                        <w:rFonts w:ascii="Cambria Math" w:hAnsi="Cambria Math" w:cs="Cambria Math"/>
                                        <w:sz w:val="24"/>
                                        <w:szCs w:val="24"/>
                                      </w:rPr>
                                      <m:t>ASEM</m:t>
                                    </m:r>
                                  </m:e>
                                  <m:sub>
                                    <m:r>
                                      <m:rPr>
                                        <m:sty m:val="p"/>
                                      </m:rPr>
                                      <w:rPr>
                                        <w:rFonts w:ascii="Cambria Math" w:hAnsi="Cambria Math" w:cs="Arial"/>
                                        <w:sz w:val="24"/>
                                        <w:szCs w:val="24"/>
                                      </w:rPr>
                                      <m:t xml:space="preserve">(method 2) </m:t>
                                    </m:r>
                                  </m:sub>
                                </m:sSub>
                                <m:r>
                                  <w:rPr>
                                    <w:rFonts w:ascii="Cambria Math" w:hAnsi="Cambria Math" w:cs="Cambria Math"/>
                                    <w:sz w:val="24"/>
                                    <w:szCs w:val="24"/>
                                  </w:rPr>
                                  <m:t>×</m:t>
                                </m:r>
                                <m:sSub>
                                  <m:sSubPr>
                                    <m:ctrlPr>
                                      <w:rPr>
                                        <w:rFonts w:ascii="Cambria Math" w:hAnsi="Cambria Math" w:cs="Cambria Math"/>
                                        <w:i/>
                                        <w:sz w:val="24"/>
                                        <w:szCs w:val="24"/>
                                      </w:rPr>
                                    </m:ctrlPr>
                                  </m:sSubPr>
                                  <m:e>
                                    <m:r>
                                      <w:rPr>
                                        <w:rFonts w:ascii="Cambria Math" w:hAnsi="Cambria Math" w:cs="Cambria Math"/>
                                        <w:sz w:val="24"/>
                                        <w:szCs w:val="24"/>
                                      </w:rPr>
                                      <m:t>DA</m:t>
                                    </m:r>
                                  </m:e>
                                  <m:sub>
                                    <m:r>
                                      <w:rPr>
                                        <w:rFonts w:ascii="Cambria Math" w:hAnsi="Cambria Math" w:cs="Cambria Math"/>
                                        <w:sz w:val="24"/>
                                        <w:szCs w:val="24"/>
                                      </w:rPr>
                                      <m:t>a</m:t>
                                    </m:r>
                                  </m:sub>
                                </m:sSub>
                                <m:r>
                                  <w:rPr>
                                    <w:rFonts w:ascii="Cambria Math" w:hAnsi="Cambria Math" w:cs="Cambria Math"/>
                                    <w:sz w:val="24"/>
                                    <w:szCs w:val="24"/>
                                  </w:rPr>
                                  <m:t xml:space="preserve">      </m:t>
                                </m:r>
                              </m:oMath>
                            </m:oMathPara>
                          </w:p>
                          <w:p w14:paraId="5E4B86FE" w14:textId="77777777" w:rsidR="009C6F49" w:rsidRPr="00B232E4" w:rsidRDefault="009C6F49" w:rsidP="009C6F49">
                            <w:pPr>
                              <w:rPr>
                                <w:rFonts w:ascii="Cambria Math" w:hAnsi="Cambria Math" w:cs="Cambria Math"/>
                                <w:b/>
                                <w:bCs/>
                                <w:sz w:val="24"/>
                                <w:szCs w:val="24"/>
                              </w:rPr>
                            </w:pPr>
                            <m:oMathPara>
                              <m:oMathParaPr>
                                <m:jc m:val="center"/>
                              </m:oMathParaPr>
                              <m:oMath>
                                <m:r>
                                  <w:rPr>
                                    <w:rFonts w:ascii="Cambria Math" w:hAnsi="Cambria Math" w:cs="Cambria Math"/>
                                    <w:sz w:val="24"/>
                                    <w:szCs w:val="24"/>
                                  </w:rPr>
                                  <m:t xml:space="preserve">=336 </m:t>
                                </m:r>
                                <m:sSup>
                                  <m:sSupPr>
                                    <m:ctrlPr>
                                      <w:rPr>
                                        <w:rFonts w:ascii="Cambria Math" w:hAnsi="Cambria Math" w:cs="Cambria Math"/>
                                        <w:i/>
                                        <w:sz w:val="24"/>
                                        <w:szCs w:val="24"/>
                                      </w:rPr>
                                    </m:ctrlPr>
                                  </m:sSupPr>
                                  <m:e>
                                    <m:r>
                                      <w:rPr>
                                        <w:rFonts w:ascii="Cambria Math" w:hAnsi="Cambria Math" w:cs="Cambria Math"/>
                                        <w:sz w:val="24"/>
                                        <w:szCs w:val="24"/>
                                      </w:rPr>
                                      <m:t>cm</m:t>
                                    </m:r>
                                  </m:e>
                                  <m:sup>
                                    <m:r>
                                      <w:rPr>
                                        <w:rFonts w:ascii="Cambria Math" w:hAnsi="Cambria Math" w:cs="Cambria Math"/>
                                        <w:sz w:val="24"/>
                                        <w:szCs w:val="24"/>
                                      </w:rPr>
                                      <m:t>2</m:t>
                                    </m:r>
                                  </m:sup>
                                </m:sSup>
                                <m:r>
                                  <w:rPr>
                                    <w:rFonts w:ascii="Cambria Math" w:hAnsi="Cambria Math" w:cs="Cambria Math"/>
                                    <w:sz w:val="24"/>
                                    <w:szCs w:val="24"/>
                                  </w:rPr>
                                  <m:t>/kg bw/day ×0.416 µg/</m:t>
                                </m:r>
                                <m:sSup>
                                  <m:sSupPr>
                                    <m:ctrlPr>
                                      <w:rPr>
                                        <w:rFonts w:ascii="Cambria Math" w:hAnsi="Cambria Math" w:cs="Cambria Math"/>
                                        <w:i/>
                                        <w:sz w:val="24"/>
                                        <w:szCs w:val="24"/>
                                      </w:rPr>
                                    </m:ctrlPr>
                                  </m:sSupPr>
                                  <m:e>
                                    <m:r>
                                      <w:rPr>
                                        <w:rFonts w:ascii="Cambria Math" w:hAnsi="Cambria Math" w:cs="Cambria Math"/>
                                        <w:sz w:val="24"/>
                                        <w:szCs w:val="24"/>
                                      </w:rPr>
                                      <m:t>cm</m:t>
                                    </m:r>
                                  </m:e>
                                  <m:sup>
                                    <m:r>
                                      <w:rPr>
                                        <w:rFonts w:ascii="Cambria Math" w:hAnsi="Cambria Math" w:cs="Cambria Math"/>
                                        <w:sz w:val="24"/>
                                        <w:szCs w:val="24"/>
                                      </w:rPr>
                                      <m:t>2</m:t>
                                    </m:r>
                                  </m:sup>
                                </m:sSup>
                                <m:r>
                                  <w:rPr>
                                    <w:rFonts w:ascii="Cambria Math" w:hAnsi="Cambria Math" w:cs="Cambria Math"/>
                                    <w:sz w:val="24"/>
                                    <w:szCs w:val="24"/>
                                  </w:rPr>
                                  <m:t xml:space="preserve"> </m:t>
                                </m:r>
                              </m:oMath>
                            </m:oMathPara>
                          </w:p>
                          <w:p w14:paraId="1286974B" w14:textId="77777777" w:rsidR="009C6F49" w:rsidRPr="00B232E4" w:rsidRDefault="009C6F49" w:rsidP="009C6F49">
                            <w:pPr>
                              <w:spacing w:before="120" w:line="240" w:lineRule="atLeast"/>
                              <w:rPr>
                                <w:rFonts w:eastAsiaTheme="minorEastAsia" w:cs="Arial"/>
                                <w:i/>
                                <w:sz w:val="24"/>
                                <w:szCs w:val="24"/>
                              </w:rPr>
                            </w:pPr>
                            <m:oMathPara>
                              <m:oMath>
                                <m:r>
                                  <w:rPr>
                                    <w:rFonts w:ascii="Cambria Math" w:eastAsiaTheme="minorEastAsia" w:hAnsi="Cambria Math" w:cs="Arial"/>
                                    <w:sz w:val="24"/>
                                    <w:szCs w:val="24"/>
                                  </w:rPr>
                                  <m:t>=140 µg/kg bw/day=0.140 mg/kg bw/day</m:t>
                                </m:r>
                                <m:r>
                                  <m:rPr>
                                    <m:sty m:val="p"/>
                                  </m:rPr>
                                  <w:rPr>
                                    <w:rFonts w:eastAsiaTheme="minorEastAsia" w:cs="Arial"/>
                                    <w:sz w:val="24"/>
                                    <w:szCs w:val="24"/>
                                  </w:rPr>
                                  <w:br/>
                                </m:r>
                              </m:oMath>
                            </m:oMathPara>
                          </w:p>
                          <w:p w14:paraId="5066C3A1" w14:textId="77777777" w:rsidR="009C6F49" w:rsidRPr="00B232E4" w:rsidRDefault="009C6F49" w:rsidP="009C6F49">
                            <w:pPr>
                              <w:spacing w:before="120" w:line="240" w:lineRule="atLeast"/>
                              <w:rPr>
                                <w:rFonts w:eastAsiaTheme="minorEastAsia"/>
                                <w:b/>
                                <w:sz w:val="24"/>
                                <w:szCs w:val="24"/>
                              </w:rPr>
                            </w:pPr>
                            <m:oMathPara>
                              <m:oMathParaPr>
                                <m:jc m:val="center"/>
                              </m:oMathParaPr>
                              <m:oMath>
                                <m:r>
                                  <w:rPr>
                                    <w:rFonts w:ascii="Cambria Math" w:hAnsi="Cambria Math"/>
                                    <w:sz w:val="24"/>
                                    <w:szCs w:val="24"/>
                                  </w:rPr>
                                  <m:t xml:space="preserve">MoS= </m:t>
                                </m:r>
                                <m:f>
                                  <m:fPr>
                                    <m:ctrlPr>
                                      <w:rPr>
                                        <w:rFonts w:ascii="Cambria Math" w:hAnsi="Cambria Math"/>
                                        <w:i/>
                                        <w:sz w:val="24"/>
                                        <w:szCs w:val="24"/>
                                      </w:rPr>
                                    </m:ctrlPr>
                                  </m:fPr>
                                  <m:num>
                                    <m:r>
                                      <w:rPr>
                                        <w:rFonts w:ascii="Cambria Math" w:hAnsi="Cambria Math"/>
                                        <w:sz w:val="24"/>
                                        <w:szCs w:val="24"/>
                                      </w:rPr>
                                      <m:t>NOAEL (mg/kg bw/day)</m:t>
                                    </m:r>
                                  </m:num>
                                  <m:den>
                                    <m:r>
                                      <w:rPr>
                                        <w:rFonts w:ascii="Cambria Math" w:hAnsi="Cambria Math"/>
                                        <w:sz w:val="24"/>
                                        <w:szCs w:val="24"/>
                                      </w:rPr>
                                      <m:t>SED (mg/kg bw/day)</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 xml:space="preserve">40 mg/kg bw/d </m:t>
                                    </m:r>
                                  </m:num>
                                  <m:den>
                                    <m:r>
                                      <w:rPr>
                                        <w:rFonts w:ascii="Cambria Math" w:hAnsi="Cambria Math"/>
                                        <w:sz w:val="24"/>
                                        <w:szCs w:val="24"/>
                                      </w:rPr>
                                      <m:t>0.140 mg/kg bw/d</m:t>
                                    </m:r>
                                  </m:den>
                                </m:f>
                                <m:r>
                                  <w:rPr>
                                    <w:rFonts w:ascii="Cambria Math" w:hAnsi="Cambria Math"/>
                                    <w:sz w:val="24"/>
                                    <w:szCs w:val="24"/>
                                  </w:rPr>
                                  <m:t>=</m:t>
                                </m:r>
                                <m:r>
                                  <m:rPr>
                                    <m:sty m:val="bi"/>
                                  </m:rPr>
                                  <w:rPr>
                                    <w:rFonts w:ascii="Cambria Math" w:hAnsi="Cambria Math"/>
                                    <w:sz w:val="24"/>
                                    <w:szCs w:val="24"/>
                                  </w:rPr>
                                  <m:t>286</m:t>
                                </m:r>
                              </m:oMath>
                            </m:oMathPara>
                          </w:p>
                          <w:p w14:paraId="116BD7D9" w14:textId="77777777" w:rsidR="009C6F49" w:rsidRPr="00B232E4" w:rsidRDefault="009C6F49" w:rsidP="009C6F49">
                            <w:proofErr w:type="spellStart"/>
                            <w:r w:rsidRPr="00B232E4">
                              <w:rPr>
                                <w:rFonts w:ascii="Cambria Math" w:eastAsiaTheme="minorEastAsia" w:hAnsi="Cambria Math"/>
                                <w:sz w:val="18"/>
                                <w:szCs w:val="18"/>
                              </w:rPr>
                              <w:t>DA</w:t>
                            </w:r>
                            <w:r w:rsidRPr="00B232E4">
                              <w:rPr>
                                <w:rFonts w:ascii="Cambria Math" w:eastAsiaTheme="minorEastAsia" w:hAnsi="Cambria Math"/>
                                <w:sz w:val="18"/>
                                <w:szCs w:val="18"/>
                                <w:vertAlign w:val="subscript"/>
                              </w:rPr>
                              <w:t>a</w:t>
                            </w:r>
                            <w:proofErr w:type="spellEnd"/>
                            <w:r w:rsidRPr="00B232E4">
                              <w:rPr>
                                <w:rFonts w:ascii="Cambria Math" w:eastAsiaTheme="minorEastAsia" w:hAnsi="Cambria Math"/>
                                <w:sz w:val="18"/>
                                <w:szCs w:val="18"/>
                              </w:rPr>
                              <w:t>: Dermal Absorption</w:t>
                            </w:r>
                          </w:p>
                          <w:p w14:paraId="714469EF" w14:textId="77777777" w:rsidR="009C6F49" w:rsidRPr="00CF1F5D" w:rsidRDefault="009C6F49" w:rsidP="009C6F49">
                            <w:pPr>
                              <w:spacing w:before="120" w:line="240" w:lineRule="atLeast"/>
                              <w:rPr>
                                <w:sz w:val="24"/>
                                <w:szCs w:val="24"/>
                              </w:rPr>
                            </w:pPr>
                          </w:p>
                          <w:p w14:paraId="68A0E850" w14:textId="77777777" w:rsidR="009C6F49" w:rsidRPr="00096176" w:rsidRDefault="009C6F49" w:rsidP="009C6F49"/>
                        </w:txbxContent>
                      </wps:txbx>
                      <wps:bodyPr rot="0" vert="horz" wrap="square" lIns="91440" tIns="45720" rIns="91440" bIns="45720" anchor="t" anchorCtr="0">
                        <a:noAutofit/>
                      </wps:bodyPr>
                    </wps:wsp>
                  </a:graphicData>
                </a:graphic>
              </wp:inline>
            </w:drawing>
          </mc:Choice>
          <mc:Fallback>
            <w:pict>
              <v:shape w14:anchorId="23857733" id="Text Box 490494889" o:spid="_x0000_s1032" type="#_x0000_t202" style="width:453.5pt;height:13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apGwIAACYEAAAOAAAAZHJzL2Uyb0RvYy54bWysU9tu2zAMfR+wfxD0vjgO4lyMOEWXLsOA&#10;7gJ0/QBZlmNhsqhJSuzs60fJbpq2b8P0IIiidEgeHm5u+laRk7BOgi5oOplSIjSHSupDQR9/7j+s&#10;KHGe6Yop0KKgZ+Hozfb9u01ncjGDBlQlLEEQ7fLOFLTx3uRJ4ngjWuYmYIRGZw22ZR5Ne0gqyzpE&#10;b1Uym04XSQe2Mha4cA5v7wYn3Ub8uhbcf69rJzxRBcXcfNxt3MuwJ9sNyw+WmUbyMQ32D1m0TGoM&#10;eoG6Y56Ro5VvoFrJLTio/YRDm0BdSy5iDVhNOn1VzUPDjIi1IDnOXGhy/w+Wfzs9mB+W+P4j9NjA&#10;WIQz98B/OaJh1zB9ELfWQtcIVmHgNFCWdMbl49dAtctdACm7r1Bhk9nRQwTqa9sGVrBOgujYgPOF&#10;dNF7wvEyW2breYYujr50sZqn6TLGYPnTd2Od/yygJeFQUItdjfDsdO98SIflT09CNAdKVnupVDTs&#10;odwpS04MFbCPa0R/8Uxp0hV0nc2ygYEXEEGM4gLi+4GDV4Fa6VHJSrYFXU3DGrQVaPukq6gzz6Qa&#10;zpix0iOPgbqBRN+XPZFVQRfhb6C1hOqMxFoYhIuDhocG7B9KOhRtQd3vI7OCEvVFY3PW6XweVB6N&#10;ebacoWGvPeW1h2mOUAX1lAzHnY+TEWjTcItNrGWk9zmTMWUUY2R9HJyg9ms7vnoe7+1fAAAA//8D&#10;AFBLAwQUAAYACAAAACEA6+XbvtsAAAAFAQAADwAAAGRycy9kb3ducmV2LnhtbEyPQUvDQBCF70L/&#10;wzIFb3ZjwFpjNkUqqSeFpoJ4m2bHJJidDdltG/+9oxe9PHi84b1v8vXkenWiMXSeDVwvElDEtbcd&#10;NwZe9+XVClSIyBZ7z2TgiwKsi9lFjpn1Z97RqYqNkhIOGRpoYxwyrUPdksOw8AOxZB9+dBjFjo22&#10;I56l3PU6TZKldtixLLQ40Kal+rM6OgNP2/qxCjpgud09D++bN1vaF2vM5Xx6uAcVaYp/x/CDL+hQ&#10;CNPBH9kG1RuQR+KvSnaX3Io9GEiXNynoItf/6YtvAAAA//8DAFBLAQItABQABgAIAAAAIQC2gziS&#10;/gAAAOEBAAATAAAAAAAAAAAAAAAAAAAAAABbQ29udGVudF9UeXBlc10ueG1sUEsBAi0AFAAGAAgA&#10;AAAhADj9If/WAAAAlAEAAAsAAAAAAAAAAAAAAAAALwEAAF9yZWxzLy5yZWxzUEsBAi0AFAAGAAgA&#10;AAAhABsShqkbAgAAJgQAAA4AAAAAAAAAAAAAAAAALgIAAGRycy9lMm9Eb2MueG1sUEsBAi0AFAAG&#10;AAgAAAAhAOvl277bAAAABQEAAA8AAAAAAAAAAAAAAAAAdQQAAGRycy9kb3ducmV2LnhtbFBLBQYA&#10;AAAABAAEAPMAAAB9BQAAAAA=&#10;" strokecolor="#002c47 [3213]">
                <v:textbox>
                  <w:txbxContent>
                    <w:p w14:paraId="40CB9CCF" w14:textId="77777777" w:rsidR="009C6F49" w:rsidRPr="00B232E4" w:rsidRDefault="009C6F49" w:rsidP="009C6F49">
                      <w:pPr>
                        <w:rPr>
                          <w:rFonts w:ascii="Cambria Math" w:eastAsiaTheme="minorEastAsia" w:hAnsi="Cambria Math" w:cs="Cambria Math"/>
                          <w:sz w:val="24"/>
                          <w:szCs w:val="24"/>
                        </w:rPr>
                      </w:pPr>
                      <m:oMathPara>
                        <m:oMathParaPr>
                          <m:jc m:val="center"/>
                        </m:oMathParaPr>
                        <m:oMath>
                          <m:r>
                            <w:rPr>
                              <w:rFonts w:ascii="Cambria Math" w:hAnsi="Cambria Math" w:cs="Cambria Math"/>
                              <w:sz w:val="24"/>
                              <w:szCs w:val="24"/>
                            </w:rPr>
                            <m:t>SED=</m:t>
                          </m:r>
                          <m:sSub>
                            <m:sSubPr>
                              <m:ctrlPr>
                                <w:rPr>
                                  <w:rFonts w:ascii="Cambria Math" w:hAnsi="Cambria Math" w:cs="Cambria Math"/>
                                  <w:i/>
                                  <w:iCs/>
                                  <w:sz w:val="24"/>
                                  <w:szCs w:val="24"/>
                                </w:rPr>
                              </m:ctrlPr>
                            </m:sSubPr>
                            <m:e>
                              <m:r>
                                <w:rPr>
                                  <w:rFonts w:ascii="Cambria Math" w:hAnsi="Cambria Math" w:cs="Cambria Math"/>
                                  <w:sz w:val="24"/>
                                  <w:szCs w:val="24"/>
                                </w:rPr>
                                <m:t>ASEM</m:t>
                              </m:r>
                            </m:e>
                            <m:sub>
                              <m:r>
                                <m:rPr>
                                  <m:sty m:val="p"/>
                                </m:rPr>
                                <w:rPr>
                                  <w:rFonts w:ascii="Cambria Math" w:hAnsi="Cambria Math" w:cs="Arial"/>
                                  <w:sz w:val="24"/>
                                  <w:szCs w:val="24"/>
                                </w:rPr>
                                <m:t xml:space="preserve">(method 2) </m:t>
                              </m:r>
                            </m:sub>
                          </m:sSub>
                          <m:r>
                            <w:rPr>
                              <w:rFonts w:ascii="Cambria Math" w:hAnsi="Cambria Math" w:cs="Cambria Math"/>
                              <w:sz w:val="24"/>
                              <w:szCs w:val="24"/>
                            </w:rPr>
                            <m:t>×</m:t>
                          </m:r>
                          <m:sSub>
                            <m:sSubPr>
                              <m:ctrlPr>
                                <w:rPr>
                                  <w:rFonts w:ascii="Cambria Math" w:hAnsi="Cambria Math" w:cs="Cambria Math"/>
                                  <w:i/>
                                  <w:sz w:val="24"/>
                                  <w:szCs w:val="24"/>
                                </w:rPr>
                              </m:ctrlPr>
                            </m:sSubPr>
                            <m:e>
                              <m:r>
                                <w:rPr>
                                  <w:rFonts w:ascii="Cambria Math" w:hAnsi="Cambria Math" w:cs="Cambria Math"/>
                                  <w:sz w:val="24"/>
                                  <w:szCs w:val="24"/>
                                </w:rPr>
                                <m:t>DA</m:t>
                              </m:r>
                            </m:e>
                            <m:sub>
                              <m:r>
                                <w:rPr>
                                  <w:rFonts w:ascii="Cambria Math" w:hAnsi="Cambria Math" w:cs="Cambria Math"/>
                                  <w:sz w:val="24"/>
                                  <w:szCs w:val="24"/>
                                </w:rPr>
                                <m:t>a</m:t>
                              </m:r>
                            </m:sub>
                          </m:sSub>
                          <m:r>
                            <w:rPr>
                              <w:rFonts w:ascii="Cambria Math" w:hAnsi="Cambria Math" w:cs="Cambria Math"/>
                              <w:sz w:val="24"/>
                              <w:szCs w:val="24"/>
                            </w:rPr>
                            <m:t xml:space="preserve">      </m:t>
                          </m:r>
                        </m:oMath>
                      </m:oMathPara>
                    </w:p>
                    <w:p w14:paraId="5E4B86FE" w14:textId="77777777" w:rsidR="009C6F49" w:rsidRPr="00B232E4" w:rsidRDefault="009C6F49" w:rsidP="009C6F49">
                      <w:pPr>
                        <w:rPr>
                          <w:rFonts w:ascii="Cambria Math" w:hAnsi="Cambria Math" w:cs="Cambria Math"/>
                          <w:b/>
                          <w:bCs/>
                          <w:sz w:val="24"/>
                          <w:szCs w:val="24"/>
                        </w:rPr>
                      </w:pPr>
                      <m:oMathPara>
                        <m:oMathParaPr>
                          <m:jc m:val="center"/>
                        </m:oMathParaPr>
                        <m:oMath>
                          <m:r>
                            <w:rPr>
                              <w:rFonts w:ascii="Cambria Math" w:hAnsi="Cambria Math" w:cs="Cambria Math"/>
                              <w:sz w:val="24"/>
                              <w:szCs w:val="24"/>
                            </w:rPr>
                            <m:t xml:space="preserve">=336 </m:t>
                          </m:r>
                          <m:sSup>
                            <m:sSupPr>
                              <m:ctrlPr>
                                <w:rPr>
                                  <w:rFonts w:ascii="Cambria Math" w:hAnsi="Cambria Math" w:cs="Cambria Math"/>
                                  <w:i/>
                                  <w:sz w:val="24"/>
                                  <w:szCs w:val="24"/>
                                </w:rPr>
                              </m:ctrlPr>
                            </m:sSupPr>
                            <m:e>
                              <m:r>
                                <w:rPr>
                                  <w:rFonts w:ascii="Cambria Math" w:hAnsi="Cambria Math" w:cs="Cambria Math"/>
                                  <w:sz w:val="24"/>
                                  <w:szCs w:val="24"/>
                                </w:rPr>
                                <m:t>cm</m:t>
                              </m:r>
                            </m:e>
                            <m:sup>
                              <m:r>
                                <w:rPr>
                                  <w:rFonts w:ascii="Cambria Math" w:hAnsi="Cambria Math" w:cs="Cambria Math"/>
                                  <w:sz w:val="24"/>
                                  <w:szCs w:val="24"/>
                                </w:rPr>
                                <m:t>2</m:t>
                              </m:r>
                            </m:sup>
                          </m:sSup>
                          <m:r>
                            <w:rPr>
                              <w:rFonts w:ascii="Cambria Math" w:hAnsi="Cambria Math" w:cs="Cambria Math"/>
                              <w:sz w:val="24"/>
                              <w:szCs w:val="24"/>
                            </w:rPr>
                            <m:t>/kg bw/day ×0.416 µg/</m:t>
                          </m:r>
                          <m:sSup>
                            <m:sSupPr>
                              <m:ctrlPr>
                                <w:rPr>
                                  <w:rFonts w:ascii="Cambria Math" w:hAnsi="Cambria Math" w:cs="Cambria Math"/>
                                  <w:i/>
                                  <w:sz w:val="24"/>
                                  <w:szCs w:val="24"/>
                                </w:rPr>
                              </m:ctrlPr>
                            </m:sSupPr>
                            <m:e>
                              <m:r>
                                <w:rPr>
                                  <w:rFonts w:ascii="Cambria Math" w:hAnsi="Cambria Math" w:cs="Cambria Math"/>
                                  <w:sz w:val="24"/>
                                  <w:szCs w:val="24"/>
                                </w:rPr>
                                <m:t>cm</m:t>
                              </m:r>
                            </m:e>
                            <m:sup>
                              <m:r>
                                <w:rPr>
                                  <w:rFonts w:ascii="Cambria Math" w:hAnsi="Cambria Math" w:cs="Cambria Math"/>
                                  <w:sz w:val="24"/>
                                  <w:szCs w:val="24"/>
                                </w:rPr>
                                <m:t>2</m:t>
                              </m:r>
                            </m:sup>
                          </m:sSup>
                          <m:r>
                            <w:rPr>
                              <w:rFonts w:ascii="Cambria Math" w:hAnsi="Cambria Math" w:cs="Cambria Math"/>
                              <w:sz w:val="24"/>
                              <w:szCs w:val="24"/>
                            </w:rPr>
                            <m:t xml:space="preserve"> </m:t>
                          </m:r>
                        </m:oMath>
                      </m:oMathPara>
                    </w:p>
                    <w:p w14:paraId="1286974B" w14:textId="77777777" w:rsidR="009C6F49" w:rsidRPr="00B232E4" w:rsidRDefault="009C6F49" w:rsidP="009C6F49">
                      <w:pPr>
                        <w:spacing w:before="120" w:line="240" w:lineRule="atLeast"/>
                        <w:rPr>
                          <w:rFonts w:eastAsiaTheme="minorEastAsia" w:cs="Arial"/>
                          <w:i/>
                          <w:sz w:val="24"/>
                          <w:szCs w:val="24"/>
                        </w:rPr>
                      </w:pPr>
                      <m:oMathPara>
                        <m:oMath>
                          <m:r>
                            <w:rPr>
                              <w:rFonts w:ascii="Cambria Math" w:eastAsiaTheme="minorEastAsia" w:hAnsi="Cambria Math" w:cs="Arial"/>
                              <w:sz w:val="24"/>
                              <w:szCs w:val="24"/>
                            </w:rPr>
                            <m:t>=140 µg/kg bw/day=0.140 mg/kg bw/day</m:t>
                          </m:r>
                          <m:r>
                            <m:rPr>
                              <m:sty m:val="p"/>
                            </m:rPr>
                            <w:rPr>
                              <w:rFonts w:eastAsiaTheme="minorEastAsia" w:cs="Arial"/>
                              <w:sz w:val="24"/>
                              <w:szCs w:val="24"/>
                            </w:rPr>
                            <w:br/>
                          </m:r>
                        </m:oMath>
                      </m:oMathPara>
                    </w:p>
                    <w:p w14:paraId="5066C3A1" w14:textId="77777777" w:rsidR="009C6F49" w:rsidRPr="00B232E4" w:rsidRDefault="009C6F49" w:rsidP="009C6F49">
                      <w:pPr>
                        <w:spacing w:before="120" w:line="240" w:lineRule="atLeast"/>
                        <w:rPr>
                          <w:rFonts w:eastAsiaTheme="minorEastAsia"/>
                          <w:b/>
                          <w:sz w:val="24"/>
                          <w:szCs w:val="24"/>
                        </w:rPr>
                      </w:pPr>
                      <m:oMathPara>
                        <m:oMathParaPr>
                          <m:jc m:val="center"/>
                        </m:oMathParaPr>
                        <m:oMath>
                          <m:r>
                            <w:rPr>
                              <w:rFonts w:ascii="Cambria Math" w:hAnsi="Cambria Math"/>
                              <w:sz w:val="24"/>
                              <w:szCs w:val="24"/>
                            </w:rPr>
                            <m:t xml:space="preserve">MoS= </m:t>
                          </m:r>
                          <m:f>
                            <m:fPr>
                              <m:ctrlPr>
                                <w:rPr>
                                  <w:rFonts w:ascii="Cambria Math" w:hAnsi="Cambria Math"/>
                                  <w:i/>
                                  <w:sz w:val="24"/>
                                  <w:szCs w:val="24"/>
                                </w:rPr>
                              </m:ctrlPr>
                            </m:fPr>
                            <m:num>
                              <m:r>
                                <w:rPr>
                                  <w:rFonts w:ascii="Cambria Math" w:hAnsi="Cambria Math"/>
                                  <w:sz w:val="24"/>
                                  <w:szCs w:val="24"/>
                                </w:rPr>
                                <m:t>NOAEL (mg/kg bw/day)</m:t>
                              </m:r>
                            </m:num>
                            <m:den>
                              <m:r>
                                <w:rPr>
                                  <w:rFonts w:ascii="Cambria Math" w:hAnsi="Cambria Math"/>
                                  <w:sz w:val="24"/>
                                  <w:szCs w:val="24"/>
                                </w:rPr>
                                <m:t>SED (mg/kg bw/day)</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 xml:space="preserve">40 mg/kg bw/d </m:t>
                              </m:r>
                            </m:num>
                            <m:den>
                              <m:r>
                                <w:rPr>
                                  <w:rFonts w:ascii="Cambria Math" w:hAnsi="Cambria Math"/>
                                  <w:sz w:val="24"/>
                                  <w:szCs w:val="24"/>
                                </w:rPr>
                                <m:t>0.140 mg/kg bw/d</m:t>
                              </m:r>
                            </m:den>
                          </m:f>
                          <m:r>
                            <w:rPr>
                              <w:rFonts w:ascii="Cambria Math" w:hAnsi="Cambria Math"/>
                              <w:sz w:val="24"/>
                              <w:szCs w:val="24"/>
                            </w:rPr>
                            <m:t>=</m:t>
                          </m:r>
                          <m:r>
                            <m:rPr>
                              <m:sty m:val="bi"/>
                            </m:rPr>
                            <w:rPr>
                              <w:rFonts w:ascii="Cambria Math" w:hAnsi="Cambria Math"/>
                              <w:sz w:val="24"/>
                              <w:szCs w:val="24"/>
                            </w:rPr>
                            <m:t>286</m:t>
                          </m:r>
                        </m:oMath>
                      </m:oMathPara>
                    </w:p>
                    <w:p w14:paraId="116BD7D9" w14:textId="77777777" w:rsidR="009C6F49" w:rsidRPr="00B232E4" w:rsidRDefault="009C6F49" w:rsidP="009C6F49">
                      <w:proofErr w:type="spellStart"/>
                      <w:r w:rsidRPr="00B232E4">
                        <w:rPr>
                          <w:rFonts w:ascii="Cambria Math" w:eastAsiaTheme="minorEastAsia" w:hAnsi="Cambria Math"/>
                          <w:sz w:val="18"/>
                          <w:szCs w:val="18"/>
                        </w:rPr>
                        <w:t>DA</w:t>
                      </w:r>
                      <w:r w:rsidRPr="00B232E4">
                        <w:rPr>
                          <w:rFonts w:ascii="Cambria Math" w:eastAsiaTheme="minorEastAsia" w:hAnsi="Cambria Math"/>
                          <w:sz w:val="18"/>
                          <w:szCs w:val="18"/>
                          <w:vertAlign w:val="subscript"/>
                        </w:rPr>
                        <w:t>a</w:t>
                      </w:r>
                      <w:proofErr w:type="spellEnd"/>
                      <w:r w:rsidRPr="00B232E4">
                        <w:rPr>
                          <w:rFonts w:ascii="Cambria Math" w:eastAsiaTheme="minorEastAsia" w:hAnsi="Cambria Math"/>
                          <w:sz w:val="18"/>
                          <w:szCs w:val="18"/>
                        </w:rPr>
                        <w:t>: Dermal Absorption</w:t>
                      </w:r>
                    </w:p>
                    <w:p w14:paraId="714469EF" w14:textId="77777777" w:rsidR="009C6F49" w:rsidRPr="00CF1F5D" w:rsidRDefault="009C6F49" w:rsidP="009C6F49">
                      <w:pPr>
                        <w:spacing w:before="120" w:line="240" w:lineRule="atLeast"/>
                        <w:rPr>
                          <w:sz w:val="24"/>
                          <w:szCs w:val="24"/>
                        </w:rPr>
                      </w:pPr>
                    </w:p>
                    <w:p w14:paraId="68A0E850" w14:textId="77777777" w:rsidR="009C6F49" w:rsidRPr="00096176" w:rsidRDefault="009C6F49" w:rsidP="009C6F49"/>
                  </w:txbxContent>
                </v:textbox>
                <w10:anchorlock/>
              </v:shape>
            </w:pict>
          </mc:Fallback>
        </mc:AlternateContent>
      </w:r>
    </w:p>
    <w:p w14:paraId="58AB5047" w14:textId="77777777" w:rsidR="009C6F49" w:rsidRDefault="009C6F49" w:rsidP="009C6F49">
      <w:pPr>
        <w:pStyle w:val="Heading4"/>
      </w:pPr>
      <w:bookmarkStart w:id="148" w:name="_Toc190944943"/>
      <w:bookmarkStart w:id="149" w:name="_Toc199254980"/>
      <w:r>
        <w:lastRenderedPageBreak/>
        <w:t>Recommendation</w:t>
      </w:r>
      <w:bookmarkEnd w:id="148"/>
      <w:bookmarkEnd w:id="149"/>
    </w:p>
    <w:p w14:paraId="3F338AA3" w14:textId="132BDB7E" w:rsidR="009C6F49" w:rsidRPr="004D1435" w:rsidRDefault="009C6F49" w:rsidP="00554ED7">
      <w:r w:rsidRPr="004D1435">
        <w:t xml:space="preserve">A MoS greater than 100 was calculated using the ASEM. As a result, </w:t>
      </w:r>
      <w:proofErr w:type="spellStart"/>
      <w:r w:rsidRPr="004D1435">
        <w:t>phenylbenzimidazole</w:t>
      </w:r>
      <w:proofErr w:type="spellEnd"/>
      <w:r w:rsidRPr="004D1435">
        <w:t xml:space="preserve"> sulfonic acid is deemed to present a low risk to human health and safety when used at the highest maximum permitted concentration of 4% in therapeutic sunscreens. No changes are recommended to the current permitted use.</w:t>
      </w:r>
    </w:p>
    <w:p w14:paraId="375A56B3" w14:textId="77777777" w:rsidR="009C6F49" w:rsidRPr="00B62D7B" w:rsidRDefault="009C6F49" w:rsidP="009C6F49">
      <w:pPr>
        <w:pStyle w:val="Heading2"/>
      </w:pPr>
      <w:bookmarkStart w:id="150" w:name="_Toc190944944"/>
      <w:bookmarkStart w:id="151" w:name="_Toc199254981"/>
      <w:r w:rsidRPr="00B62D7B">
        <w:t>Conclusion</w:t>
      </w:r>
      <w:bookmarkEnd w:id="150"/>
      <w:bookmarkEnd w:id="151"/>
    </w:p>
    <w:p w14:paraId="617DFCE8" w14:textId="1433EB33" w:rsidR="000B7A28" w:rsidRDefault="009C6F49">
      <w:pPr>
        <w:rPr>
          <w:rFonts w:eastAsia="Times New Roman" w:cs="Arial"/>
          <w:b/>
          <w:bCs/>
          <w:color w:val="001871"/>
          <w:sz w:val="38"/>
          <w:szCs w:val="38"/>
        </w:rPr>
      </w:pPr>
      <w:r w:rsidRPr="00B62D7B">
        <w:rPr>
          <w:lang w:eastAsia="en-AU"/>
        </w:rPr>
        <w:t>Skin cancer is a major health issue in Australia. The Australasian College of Dermatologists recommends that daily sun protection should be used in Australia, particularly during the spring and summer months, where the UV index is often 3 or higher for nearly the entire day. In addition, the Cancer Council recommends Australians use SPF50 or SPF50+, broad-spectrum, water-resistant sunscreen. Given the widely recognised public health importance of sunscreens, Australians should continue to use sunscreens along with other sun protective behaviours when the UV index is 3 or more. The 5 SunSmart S’s - slip, slop, slap, seek, slide are protective measures include seeking shade, wearing a hat, wearing protective clothing and eyewear</w:t>
      </w:r>
      <w:r w:rsidRPr="0092387B">
        <w:rPr>
          <w:lang w:eastAsia="en-AU"/>
        </w:rPr>
        <w:t xml:space="preserve"> and using sunscreen. </w:t>
      </w:r>
      <w:r w:rsidRPr="00E62B72">
        <w:rPr>
          <w:lang w:eastAsia="en-AU"/>
        </w:rPr>
        <w:t>This approach clearly supports the benefits of optimal sunscreen use, benefits which are substantial, and balanced against any theoretical risks.</w:t>
      </w:r>
      <w:bookmarkStart w:id="152" w:name="_Toc168308538"/>
      <w:bookmarkStart w:id="153" w:name="_Toc190944945"/>
      <w:r w:rsidR="000B7A28">
        <w:rPr>
          <w:rFonts w:cs="Arial"/>
        </w:rPr>
        <w:br w:type="page"/>
      </w:r>
    </w:p>
    <w:p w14:paraId="00B99D7E" w14:textId="6FE37047" w:rsidR="001739C2" w:rsidRPr="001C5DD5" w:rsidRDefault="001739C2" w:rsidP="001739C2">
      <w:pPr>
        <w:pStyle w:val="Heading2"/>
        <w:rPr>
          <w:rFonts w:cs="Arial"/>
        </w:rPr>
      </w:pPr>
      <w:bookmarkStart w:id="154" w:name="_Toc199254982"/>
      <w:r w:rsidRPr="001C5DD5">
        <w:rPr>
          <w:rFonts w:cs="Arial"/>
        </w:rPr>
        <w:lastRenderedPageBreak/>
        <w:t>Attachment</w:t>
      </w:r>
      <w:bookmarkEnd w:id="152"/>
      <w:bookmarkEnd w:id="153"/>
      <w:r w:rsidR="00032671">
        <w:rPr>
          <w:rFonts w:cs="Arial"/>
        </w:rPr>
        <w:t>s</w:t>
      </w:r>
      <w:bookmarkEnd w:id="154"/>
    </w:p>
    <w:p w14:paraId="6BDB9302" w14:textId="77777777" w:rsidR="001739C2" w:rsidRPr="00EF3652" w:rsidRDefault="001739C2" w:rsidP="001739C2">
      <w:pPr>
        <w:pStyle w:val="Heading3"/>
      </w:pPr>
      <w:bookmarkStart w:id="155" w:name="_Attachment_1:_Sunscreen"/>
      <w:bookmarkStart w:id="156" w:name="_Toc168308539"/>
      <w:bookmarkStart w:id="157" w:name="_Toc190944946"/>
      <w:bookmarkStart w:id="158" w:name="_Ref195174715"/>
      <w:bookmarkStart w:id="159" w:name="_Ref195174737"/>
      <w:bookmarkStart w:id="160" w:name="_Ref195174738"/>
      <w:bookmarkStart w:id="161" w:name="_Ref195174749"/>
      <w:bookmarkStart w:id="162" w:name="_Ref195174755"/>
      <w:bookmarkStart w:id="163" w:name="_Toc199254983"/>
      <w:bookmarkEnd w:id="155"/>
      <w:r w:rsidRPr="00C77BE7">
        <w:t xml:space="preserve">Attachment 1: </w:t>
      </w:r>
      <w:bookmarkStart w:id="164" w:name="_Ref88819380"/>
      <w:bookmarkStart w:id="165" w:name="_Toc100664727"/>
      <w:bookmarkStart w:id="166" w:name="_Toc114863485"/>
      <w:bookmarkEnd w:id="156"/>
      <w:r>
        <w:t>Literature review search strategy</w:t>
      </w:r>
      <w:bookmarkEnd w:id="157"/>
      <w:bookmarkEnd w:id="158"/>
      <w:bookmarkEnd w:id="159"/>
      <w:bookmarkEnd w:id="160"/>
      <w:bookmarkEnd w:id="161"/>
      <w:bookmarkEnd w:id="162"/>
      <w:bookmarkEnd w:id="163"/>
      <w:bookmarkEnd w:id="164"/>
      <w:bookmarkEnd w:id="165"/>
      <w:bookmarkEnd w:id="166"/>
      <w:r>
        <w:t xml:space="preserve"> </w:t>
      </w:r>
    </w:p>
    <w:p w14:paraId="61A3A252" w14:textId="77777777" w:rsidR="001739C2" w:rsidRPr="00147D49" w:rsidRDefault="001739C2" w:rsidP="001739C2">
      <w:pPr>
        <w:pStyle w:val="Heading4"/>
        <w:rPr>
          <w:rFonts w:cs="Arial"/>
        </w:rPr>
      </w:pPr>
      <w:bookmarkStart w:id="167" w:name="_Toc190944947"/>
      <w:bookmarkStart w:id="168" w:name="_Toc199254984"/>
      <w:r w:rsidRPr="00147D49">
        <w:rPr>
          <w:rFonts w:cs="Arial"/>
        </w:rPr>
        <w:t>Search criteria (word input)</w:t>
      </w:r>
      <w:bookmarkEnd w:id="167"/>
      <w:bookmarkEnd w:id="168"/>
    </w:p>
    <w:p w14:paraId="5D970D10" w14:textId="149034A9" w:rsidR="001739C2" w:rsidRPr="00147D49" w:rsidRDefault="001739C2" w:rsidP="00554ED7">
      <w:pPr>
        <w:rPr>
          <w:b/>
          <w:bCs/>
          <w:i/>
          <w:iCs/>
        </w:rPr>
      </w:pPr>
      <w:r w:rsidRPr="00147D49">
        <w:t xml:space="preserve">Keywords included either the chemical name, AAN or the INCI names, and “sunscreen” were used as the search items. Publications in last </w:t>
      </w:r>
      <w:r>
        <w:t>15</w:t>
      </w:r>
      <w:r w:rsidRPr="00147D49">
        <w:t xml:space="preserve"> years were </w:t>
      </w:r>
      <w:r w:rsidRPr="007E188A">
        <w:t xml:space="preserve">searched </w:t>
      </w:r>
      <w:r w:rsidRPr="00B232E4">
        <w:t>(2008-2023)</w:t>
      </w:r>
      <w:r w:rsidRPr="007E188A">
        <w:t>. The</w:t>
      </w:r>
      <w:r>
        <w:t xml:space="preserve"> f</w:t>
      </w:r>
      <w:r w:rsidRPr="00147D49">
        <w:t>ollowing toxicological endpoints were included.</w:t>
      </w:r>
    </w:p>
    <w:p w14:paraId="06DD0086" w14:textId="77777777" w:rsidR="001739C2" w:rsidRPr="00147D49" w:rsidRDefault="001739C2" w:rsidP="001739C2">
      <w:pPr>
        <w:pStyle w:val="Heading5sub"/>
        <w:rPr>
          <w:rFonts w:cs="Arial"/>
        </w:rPr>
      </w:pPr>
      <w:r w:rsidRPr="00147D49">
        <w:rPr>
          <w:rFonts w:cs="Arial"/>
        </w:rPr>
        <w:t>Nonclinical (toxicology) data:</w:t>
      </w:r>
    </w:p>
    <w:p w14:paraId="6769C2C2" w14:textId="77777777" w:rsidR="001739C2" w:rsidRPr="00554ED7" w:rsidRDefault="001739C2" w:rsidP="00C47348">
      <w:pPr>
        <w:pStyle w:val="ListParagraph"/>
      </w:pPr>
      <w:r w:rsidRPr="00554ED7">
        <w:t>Dermal carcinogenicity</w:t>
      </w:r>
    </w:p>
    <w:p w14:paraId="5F618183" w14:textId="77777777" w:rsidR="001739C2" w:rsidRPr="00554ED7" w:rsidRDefault="001739C2" w:rsidP="00C47348">
      <w:pPr>
        <w:pStyle w:val="ListParagraph"/>
      </w:pPr>
      <w:r w:rsidRPr="00554ED7">
        <w:t>Systemic carcinogenicity</w:t>
      </w:r>
    </w:p>
    <w:p w14:paraId="3AB27427" w14:textId="77777777" w:rsidR="001739C2" w:rsidRPr="00554ED7" w:rsidRDefault="001739C2" w:rsidP="00C47348">
      <w:pPr>
        <w:pStyle w:val="ListParagraph"/>
      </w:pPr>
      <w:r w:rsidRPr="00554ED7">
        <w:t>Developmental and reproductive toxicity (DART)</w:t>
      </w:r>
    </w:p>
    <w:p w14:paraId="6B1ED5C8" w14:textId="77777777" w:rsidR="001739C2" w:rsidRPr="00554ED7" w:rsidRDefault="001739C2" w:rsidP="00C47348">
      <w:pPr>
        <w:pStyle w:val="ListParagraph"/>
      </w:pPr>
      <w:proofErr w:type="spellStart"/>
      <w:r w:rsidRPr="00554ED7">
        <w:t>Toxicokinetics</w:t>
      </w:r>
      <w:proofErr w:type="spellEnd"/>
    </w:p>
    <w:p w14:paraId="18FC3CCA" w14:textId="6A794B20" w:rsidR="001739C2" w:rsidRPr="00554ED7" w:rsidRDefault="001739C2" w:rsidP="00C47348">
      <w:pPr>
        <w:pStyle w:val="ListParagraph"/>
      </w:pPr>
      <w:r w:rsidRPr="00554ED7">
        <w:t>Additional testing when data suggest a concern about other long</w:t>
      </w:r>
      <w:r w:rsidR="00713D77">
        <w:t>-</w:t>
      </w:r>
      <w:r w:rsidRPr="00554ED7">
        <w:t>term effects, such as endocrine effects</w:t>
      </w:r>
    </w:p>
    <w:p w14:paraId="1FB4D0D9" w14:textId="77777777" w:rsidR="001739C2" w:rsidRPr="00147D49" w:rsidRDefault="001739C2" w:rsidP="001739C2">
      <w:pPr>
        <w:pStyle w:val="Heading5sub"/>
        <w:rPr>
          <w:rFonts w:cs="Arial"/>
        </w:rPr>
      </w:pPr>
      <w:r w:rsidRPr="00147D49">
        <w:rPr>
          <w:rFonts w:cs="Arial"/>
        </w:rPr>
        <w:t>Clinical data:</w:t>
      </w:r>
    </w:p>
    <w:p w14:paraId="76BCE8E6" w14:textId="0C588D42" w:rsidR="001739C2" w:rsidRPr="00554ED7" w:rsidRDefault="001739C2" w:rsidP="00C47348">
      <w:pPr>
        <w:pStyle w:val="ListParagraph"/>
      </w:pPr>
      <w:r w:rsidRPr="00554ED7">
        <w:t>Dermal irritation and sensiti</w:t>
      </w:r>
      <w:r w:rsidR="00BA4549">
        <w:t>s</w:t>
      </w:r>
      <w:r w:rsidRPr="00554ED7">
        <w:t>ation</w:t>
      </w:r>
    </w:p>
    <w:p w14:paraId="483FB81D" w14:textId="77777777" w:rsidR="001739C2" w:rsidRPr="00554ED7" w:rsidRDefault="001739C2" w:rsidP="00C47348">
      <w:pPr>
        <w:pStyle w:val="ListParagraph"/>
      </w:pPr>
      <w:r w:rsidRPr="00554ED7">
        <w:t xml:space="preserve">Phototoxicity and </w:t>
      </w:r>
      <w:proofErr w:type="spellStart"/>
      <w:r w:rsidRPr="00554ED7">
        <w:t>photoallergenicity</w:t>
      </w:r>
      <w:proofErr w:type="spellEnd"/>
      <w:r w:rsidRPr="00554ED7">
        <w:t xml:space="preserve"> testing</w:t>
      </w:r>
    </w:p>
    <w:p w14:paraId="4F87146A" w14:textId="77777777" w:rsidR="001739C2" w:rsidRPr="00554ED7" w:rsidRDefault="001739C2" w:rsidP="00C47348">
      <w:pPr>
        <w:pStyle w:val="ListParagraph"/>
      </w:pPr>
      <w:r w:rsidRPr="00554ED7">
        <w:t>Human maximal use bioavailability studies</w:t>
      </w:r>
    </w:p>
    <w:p w14:paraId="0C270538" w14:textId="77777777" w:rsidR="001739C2" w:rsidRPr="00147D49" w:rsidRDefault="001739C2" w:rsidP="001739C2">
      <w:pPr>
        <w:pStyle w:val="Heading4"/>
        <w:rPr>
          <w:rFonts w:cs="Arial"/>
        </w:rPr>
      </w:pPr>
      <w:bookmarkStart w:id="169" w:name="_Toc190944948"/>
      <w:bookmarkStart w:id="170" w:name="_Toc199254985"/>
      <w:r w:rsidRPr="00147D49">
        <w:rPr>
          <w:rFonts w:cs="Arial"/>
        </w:rPr>
        <w:t>Websites searched for the sunscreen active ingredients:</w:t>
      </w:r>
      <w:bookmarkEnd w:id="169"/>
      <w:bookmarkEnd w:id="170"/>
    </w:p>
    <w:p w14:paraId="55FA4891" w14:textId="77777777" w:rsidR="002E5551" w:rsidRDefault="001739C2" w:rsidP="00554ED7">
      <w:pPr>
        <w:rPr>
          <w:rFonts w:cs="Arial"/>
        </w:rPr>
      </w:pPr>
      <w:r>
        <w:rPr>
          <w:rFonts w:cs="Arial"/>
        </w:rPr>
        <w:t>WHO:</w:t>
      </w:r>
      <w:r>
        <w:rPr>
          <w:rFonts w:cs="Arial"/>
        </w:rPr>
        <w:tab/>
      </w:r>
    </w:p>
    <w:p w14:paraId="2AFD6AA6" w14:textId="652A359D" w:rsidR="001739C2" w:rsidRPr="00827401" w:rsidRDefault="002E5551" w:rsidP="00C47348">
      <w:pPr>
        <w:pStyle w:val="ListParagraph"/>
        <w:rPr>
          <w:color w:val="3333FF"/>
          <w:u w:val="single"/>
        </w:rPr>
      </w:pPr>
      <w:hyperlink r:id="rId32" w:history="1">
        <w:r w:rsidRPr="00BD5A10">
          <w:t>WHO</w:t>
        </w:r>
      </w:hyperlink>
      <w:r w:rsidR="001739C2" w:rsidRPr="00BD5A10">
        <w:t xml:space="preserve">: </w:t>
      </w:r>
      <w:hyperlink r:id="rId33" w:history="1">
        <w:r w:rsidR="00BD5A10" w:rsidRPr="00827401">
          <w:rPr>
            <w:rStyle w:val="Hyperlink"/>
            <w:color w:val="3333FF"/>
          </w:rPr>
          <w:t>https://www.who.int/</w:t>
        </w:r>
      </w:hyperlink>
    </w:p>
    <w:p w14:paraId="4B02CD9A" w14:textId="77777777" w:rsidR="00BD5A10" w:rsidRPr="002E5551" w:rsidRDefault="00BD5A10" w:rsidP="008543FE">
      <w:pPr>
        <w:pStyle w:val="ListParagraph"/>
        <w:numPr>
          <w:ilvl w:val="0"/>
          <w:numId w:val="0"/>
        </w:numPr>
        <w:ind w:left="357"/>
      </w:pPr>
    </w:p>
    <w:p w14:paraId="56F12284" w14:textId="77777777" w:rsidR="001739C2" w:rsidRPr="00147D49" w:rsidRDefault="001739C2" w:rsidP="001739C2">
      <w:pPr>
        <w:rPr>
          <w:rFonts w:cs="Arial"/>
        </w:rPr>
      </w:pPr>
      <w:r w:rsidRPr="00147D49">
        <w:rPr>
          <w:rFonts w:cs="Arial"/>
        </w:rPr>
        <w:t>USA:</w:t>
      </w:r>
    </w:p>
    <w:p w14:paraId="7BC61557" w14:textId="77777777" w:rsidR="001739C2" w:rsidRPr="00147D49" w:rsidRDefault="001739C2" w:rsidP="00C47348">
      <w:pPr>
        <w:pStyle w:val="ListParagraph"/>
        <w:rPr>
          <w:rFonts w:cs="Arial"/>
          <w:sz w:val="18"/>
          <w:szCs w:val="18"/>
          <w:lang w:eastAsia="en-AU"/>
        </w:rPr>
      </w:pPr>
      <w:r w:rsidRPr="00147D49">
        <w:rPr>
          <w:rFonts w:cs="Arial"/>
        </w:rPr>
        <w:t xml:space="preserve">PubChem </w:t>
      </w:r>
      <w:hyperlink r:id="rId34" w:history="1">
        <w:r w:rsidRPr="00147D49">
          <w:rPr>
            <w:rStyle w:val="Hyperlink"/>
            <w:rFonts w:cs="Arial"/>
          </w:rPr>
          <w:t>https://pubchem.ncbi.nlm.nih.gov</w:t>
        </w:r>
      </w:hyperlink>
    </w:p>
    <w:p w14:paraId="792DA051" w14:textId="77777777" w:rsidR="001739C2" w:rsidRPr="00147D49" w:rsidRDefault="001739C2" w:rsidP="00C47348">
      <w:pPr>
        <w:pStyle w:val="ListParagraph"/>
        <w:rPr>
          <w:rFonts w:cs="Arial"/>
        </w:rPr>
      </w:pPr>
      <w:hyperlink r:id="rId35" w:history="1">
        <w:r w:rsidRPr="00147D49">
          <w:rPr>
            <w:rStyle w:val="Hyperlink"/>
            <w:rFonts w:cs="Arial"/>
          </w:rPr>
          <w:t>GOLD FFX database</w:t>
        </w:r>
      </w:hyperlink>
      <w:r w:rsidRPr="00147D49">
        <w:rPr>
          <w:rFonts w:cs="Arial"/>
        </w:rPr>
        <w:t xml:space="preserve"> / </w:t>
      </w:r>
      <w:proofErr w:type="spellStart"/>
      <w:r w:rsidRPr="00147D49">
        <w:rPr>
          <w:rFonts w:cs="Arial"/>
        </w:rPr>
        <w:t>ChemWatch</w:t>
      </w:r>
      <w:proofErr w:type="spellEnd"/>
      <w:r w:rsidRPr="00147D49">
        <w:rPr>
          <w:rFonts w:cs="Arial"/>
        </w:rPr>
        <w:t xml:space="preserve"> (TGA subscribed)</w:t>
      </w:r>
    </w:p>
    <w:p w14:paraId="666C2B0D" w14:textId="77777777" w:rsidR="001739C2" w:rsidRPr="00147D49" w:rsidRDefault="001739C2" w:rsidP="00C47348">
      <w:pPr>
        <w:pStyle w:val="ListParagraph"/>
      </w:pPr>
      <w:r w:rsidRPr="00147D49">
        <w:t xml:space="preserve">FDA </w:t>
      </w:r>
    </w:p>
    <w:p w14:paraId="5EBC73A7" w14:textId="77777777" w:rsidR="001739C2" w:rsidRPr="00147D49" w:rsidRDefault="001739C2" w:rsidP="00C47348">
      <w:pPr>
        <w:pStyle w:val="ListParagraph"/>
        <w:rPr>
          <w:rFonts w:cs="Arial"/>
        </w:rPr>
      </w:pPr>
      <w:r w:rsidRPr="00147D49">
        <w:rPr>
          <w:rFonts w:cs="Arial"/>
        </w:rPr>
        <w:t>US EPA (</w:t>
      </w:r>
      <w:hyperlink r:id="rId36" w:history="1">
        <w:r w:rsidRPr="00147D49">
          <w:rPr>
            <w:rStyle w:val="Hyperlink"/>
            <w:rFonts w:cs="Arial"/>
          </w:rPr>
          <w:t>www.epa.gov</w:t>
        </w:r>
      </w:hyperlink>
      <w:r w:rsidRPr="00147D49">
        <w:rPr>
          <w:rFonts w:cs="Arial"/>
        </w:rPr>
        <w:t>).</w:t>
      </w:r>
    </w:p>
    <w:p w14:paraId="7EADB703" w14:textId="77777777" w:rsidR="001739C2" w:rsidRPr="00147D49" w:rsidRDefault="001739C2" w:rsidP="00C47348">
      <w:pPr>
        <w:pStyle w:val="ListParagraph"/>
        <w:rPr>
          <w:rFonts w:cs="Arial"/>
          <w:color w:val="1F497D"/>
        </w:rPr>
      </w:pPr>
      <w:r w:rsidRPr="00147D49">
        <w:rPr>
          <w:rFonts w:cs="Arial"/>
        </w:rPr>
        <w:t xml:space="preserve">NIOSH CDC </w:t>
      </w:r>
      <w:hyperlink r:id="rId37" w:history="1">
        <w:r w:rsidRPr="00147D49">
          <w:rPr>
            <w:rStyle w:val="Hyperlink"/>
            <w:rFonts w:cs="Arial"/>
          </w:rPr>
          <w:t>https://www.cdc.gov/niosh/index.htm</w:t>
        </w:r>
      </w:hyperlink>
    </w:p>
    <w:p w14:paraId="6952FD20" w14:textId="77777777" w:rsidR="001739C2" w:rsidRPr="00147D49" w:rsidRDefault="001739C2" w:rsidP="00C47348">
      <w:pPr>
        <w:pStyle w:val="ListParagraph"/>
        <w:rPr>
          <w:color w:val="1F497D"/>
        </w:rPr>
      </w:pPr>
      <w:r w:rsidRPr="00147D49">
        <w:t xml:space="preserve">National </w:t>
      </w:r>
      <w:proofErr w:type="spellStart"/>
      <w:r w:rsidRPr="00147D49">
        <w:t>Center</w:t>
      </w:r>
      <w:proofErr w:type="spellEnd"/>
      <w:r w:rsidRPr="00147D49">
        <w:t xml:space="preserve"> for Toxicological Research (NCTR) </w:t>
      </w:r>
      <w:hyperlink r:id="rId38" w:history="1">
        <w:r w:rsidRPr="00147D49">
          <w:rPr>
            <w:rStyle w:val="Hyperlink"/>
            <w:rFonts w:cs="Arial"/>
          </w:rPr>
          <w:t>https://ntp.niehs.nih.gov/nctr/</w:t>
        </w:r>
      </w:hyperlink>
    </w:p>
    <w:p w14:paraId="2FC5AB63" w14:textId="77777777" w:rsidR="001739C2" w:rsidRPr="00147D49" w:rsidRDefault="001739C2" w:rsidP="00C47348">
      <w:pPr>
        <w:pStyle w:val="ListParagraph"/>
      </w:pPr>
      <w:r w:rsidRPr="00147D49">
        <w:t xml:space="preserve">National Toxicology program (NTP), U.S. Department of Health and Human Services </w:t>
      </w:r>
      <w:hyperlink r:id="rId39" w:history="1">
        <w:r w:rsidRPr="00147D49">
          <w:rPr>
            <w:rStyle w:val="Hyperlink"/>
            <w:rFonts w:cs="Arial"/>
          </w:rPr>
          <w:t>https://ntp.niehs.nih.gov/publications/index.html</w:t>
        </w:r>
      </w:hyperlink>
      <w:r w:rsidRPr="00147D49">
        <w:t>.</w:t>
      </w:r>
    </w:p>
    <w:p w14:paraId="4D4CCAFB" w14:textId="77777777" w:rsidR="001739C2" w:rsidRPr="00147D49" w:rsidRDefault="001739C2" w:rsidP="00C47348">
      <w:pPr>
        <w:pStyle w:val="ListParagraph"/>
      </w:pPr>
      <w:r w:rsidRPr="00147D49">
        <w:t xml:space="preserve">BUND (Federal </w:t>
      </w:r>
      <w:proofErr w:type="spellStart"/>
      <w:r w:rsidRPr="00147D49">
        <w:t>Mnistry</w:t>
      </w:r>
      <w:proofErr w:type="spellEnd"/>
      <w:r w:rsidRPr="00147D49">
        <w:t xml:space="preserve"> for the Environment, Nature Conservation, Building and Nuclear Safety)</w:t>
      </w:r>
    </w:p>
    <w:p w14:paraId="1613ED1B" w14:textId="77777777" w:rsidR="001739C2" w:rsidRPr="00147D49" w:rsidRDefault="001739C2" w:rsidP="00C47348">
      <w:pPr>
        <w:pStyle w:val="ListParagraph"/>
      </w:pPr>
      <w:r w:rsidRPr="00147D49">
        <w:t xml:space="preserve">Comparative </w:t>
      </w:r>
      <w:proofErr w:type="spellStart"/>
      <w:r w:rsidRPr="00147D49">
        <w:t>Toxicogenomics</w:t>
      </w:r>
      <w:proofErr w:type="spellEnd"/>
      <w:r w:rsidRPr="00147D49">
        <w:t xml:space="preserve"> Database </w:t>
      </w:r>
      <w:hyperlink r:id="rId40" w:history="1">
        <w:r w:rsidRPr="00147D49">
          <w:rPr>
            <w:rStyle w:val="Hyperlink"/>
            <w:rFonts w:cs="Arial"/>
          </w:rPr>
          <w:t>http://ctdbase.org/</w:t>
        </w:r>
      </w:hyperlink>
    </w:p>
    <w:p w14:paraId="157BEA32" w14:textId="77777777" w:rsidR="001739C2" w:rsidRPr="00147D49" w:rsidRDefault="001739C2" w:rsidP="00C47348">
      <w:pPr>
        <w:pStyle w:val="ListParagraph"/>
      </w:pPr>
      <w:r w:rsidRPr="00147D49">
        <w:t>Consumer Product Information Database (</w:t>
      </w:r>
      <w:proofErr w:type="spellStart"/>
      <w:r w:rsidRPr="00147D49">
        <w:t>cpid</w:t>
      </w:r>
      <w:proofErr w:type="spellEnd"/>
      <w:r w:rsidRPr="00147D49">
        <w:t xml:space="preserve">) </w:t>
      </w:r>
      <w:hyperlink r:id="rId41" w:history="1">
        <w:r w:rsidRPr="00147D49">
          <w:rPr>
            <w:rStyle w:val="Hyperlink"/>
            <w:rFonts w:cs="Arial"/>
          </w:rPr>
          <w:t>https://www.whatsinproducts.com/</w:t>
        </w:r>
      </w:hyperlink>
      <w:r w:rsidRPr="00147D49">
        <w:t>.</w:t>
      </w:r>
      <w:r w:rsidRPr="00147D49">
        <w:rPr>
          <w:color w:val="FF0000"/>
        </w:rPr>
        <w:t xml:space="preserve"> </w:t>
      </w:r>
      <w:proofErr w:type="gramStart"/>
      <w:r w:rsidRPr="00147D49">
        <w:t>similar to</w:t>
      </w:r>
      <w:proofErr w:type="gramEnd"/>
      <w:r w:rsidRPr="00147D49">
        <w:t xml:space="preserve"> and linked to PubChem.</w:t>
      </w:r>
    </w:p>
    <w:p w14:paraId="4DD43B48" w14:textId="77777777" w:rsidR="001739C2" w:rsidRPr="00147D49" w:rsidRDefault="001739C2" w:rsidP="00C47348">
      <w:pPr>
        <w:pStyle w:val="ListParagraph"/>
        <w:rPr>
          <w:color w:val="1F497D"/>
        </w:rPr>
      </w:pPr>
      <w:r w:rsidRPr="00147D49">
        <w:t xml:space="preserve">US EPA (United States Environmental Protection Agency) IRIS Assessments </w:t>
      </w:r>
      <w:hyperlink r:id="rId42" w:history="1">
        <w:r w:rsidRPr="00147D49">
          <w:rPr>
            <w:rStyle w:val="Hyperlink"/>
            <w:rFonts w:cs="Arial"/>
          </w:rPr>
          <w:t>https://cfpub.epa.gov/ncea/iris_drafts/atoz.cfm</w:t>
        </w:r>
      </w:hyperlink>
    </w:p>
    <w:p w14:paraId="61F31F0F" w14:textId="77777777" w:rsidR="001739C2" w:rsidRPr="00147D49" w:rsidRDefault="001739C2" w:rsidP="00C47348">
      <w:pPr>
        <w:pStyle w:val="ListParagraph"/>
        <w:rPr>
          <w:color w:val="1F497D"/>
        </w:rPr>
      </w:pPr>
      <w:r w:rsidRPr="00147D49">
        <w:t>Integrated Risk Information System (IRIS)</w:t>
      </w:r>
      <w:r w:rsidRPr="00147D49">
        <w:rPr>
          <w:color w:val="1F497D"/>
        </w:rPr>
        <w:t xml:space="preserve"> </w:t>
      </w:r>
      <w:hyperlink r:id="rId43" w:history="1">
        <w:r w:rsidRPr="00147D49">
          <w:rPr>
            <w:rStyle w:val="Hyperlink"/>
            <w:rFonts w:cs="Arial"/>
          </w:rPr>
          <w:t>https://www.epa.gov/iris</w:t>
        </w:r>
      </w:hyperlink>
    </w:p>
    <w:p w14:paraId="46FB5D7D" w14:textId="77777777" w:rsidR="001739C2" w:rsidRPr="00147D49" w:rsidRDefault="001739C2" w:rsidP="00C47348">
      <w:pPr>
        <w:pStyle w:val="ListParagraph"/>
        <w:rPr>
          <w:rFonts w:cs="Arial"/>
          <w:color w:val="1F497D"/>
        </w:rPr>
      </w:pPr>
      <w:proofErr w:type="spellStart"/>
      <w:r w:rsidRPr="00147D49">
        <w:rPr>
          <w:rFonts w:cs="Arial"/>
        </w:rPr>
        <w:t>ChemView</w:t>
      </w:r>
      <w:proofErr w:type="spellEnd"/>
      <w:r w:rsidRPr="00147D49">
        <w:rPr>
          <w:rFonts w:cs="Arial"/>
          <w:color w:val="1F497D"/>
        </w:rPr>
        <w:t xml:space="preserve"> </w:t>
      </w:r>
      <w:hyperlink r:id="rId44" w:history="1">
        <w:r w:rsidRPr="00147D49">
          <w:rPr>
            <w:rStyle w:val="Hyperlink"/>
            <w:rFonts w:cs="Arial"/>
          </w:rPr>
          <w:t>https://chemview.epa.gov/chemview/</w:t>
        </w:r>
      </w:hyperlink>
    </w:p>
    <w:p w14:paraId="343E527D" w14:textId="77777777" w:rsidR="001739C2" w:rsidRPr="00147D49" w:rsidRDefault="001739C2" w:rsidP="00C47348">
      <w:pPr>
        <w:pStyle w:val="ListParagraph"/>
        <w:rPr>
          <w:color w:val="1F497D"/>
        </w:rPr>
      </w:pPr>
      <w:r w:rsidRPr="00147D49">
        <w:t xml:space="preserve">Science Inventory </w:t>
      </w:r>
      <w:hyperlink r:id="rId45" w:history="1">
        <w:r w:rsidRPr="00147D49">
          <w:rPr>
            <w:rStyle w:val="Hyperlink"/>
            <w:rFonts w:cs="Arial"/>
          </w:rPr>
          <w:t>https://cfpub.epa.gov/si/</w:t>
        </w:r>
      </w:hyperlink>
    </w:p>
    <w:p w14:paraId="55EF433A" w14:textId="77777777" w:rsidR="001739C2" w:rsidRPr="00147D49" w:rsidRDefault="001739C2" w:rsidP="000874CD">
      <w:pPr>
        <w:ind w:left="360"/>
      </w:pPr>
    </w:p>
    <w:p w14:paraId="56F2DC4A" w14:textId="77777777" w:rsidR="001739C2" w:rsidRPr="00147D49" w:rsidRDefault="001739C2" w:rsidP="001739C2">
      <w:pPr>
        <w:rPr>
          <w:rFonts w:cs="Arial"/>
        </w:rPr>
      </w:pPr>
      <w:r w:rsidRPr="00147D49">
        <w:rPr>
          <w:rFonts w:cs="Arial"/>
        </w:rPr>
        <w:t>UK:</w:t>
      </w:r>
    </w:p>
    <w:p w14:paraId="3DF9E304" w14:textId="77777777" w:rsidR="001739C2" w:rsidRPr="00827401" w:rsidRDefault="001739C2" w:rsidP="00C47348">
      <w:pPr>
        <w:pStyle w:val="ListParagraph"/>
        <w:rPr>
          <w:color w:val="3333FF"/>
          <w:u w:val="single"/>
        </w:rPr>
      </w:pPr>
      <w:r w:rsidRPr="00642ECB">
        <w:t xml:space="preserve">Cancer Research UK </w:t>
      </w:r>
      <w:hyperlink r:id="rId46" w:history="1">
        <w:r w:rsidRPr="00827401">
          <w:rPr>
            <w:rStyle w:val="Hyperlink"/>
            <w:color w:val="3333FF"/>
          </w:rPr>
          <w:t>https://www.cancerresearchuk.org/</w:t>
        </w:r>
      </w:hyperlink>
    </w:p>
    <w:p w14:paraId="71192DF1" w14:textId="3C2FE4C2" w:rsidR="001739C2" w:rsidRPr="00147D49" w:rsidRDefault="001739C2" w:rsidP="001739C2">
      <w:pPr>
        <w:rPr>
          <w:rFonts w:cs="Arial"/>
        </w:rPr>
      </w:pPr>
      <w:r w:rsidRPr="00147D49">
        <w:rPr>
          <w:rFonts w:cs="Arial"/>
        </w:rPr>
        <w:lastRenderedPageBreak/>
        <w:t>EU:</w:t>
      </w:r>
    </w:p>
    <w:p w14:paraId="6E04643E" w14:textId="77777777" w:rsidR="001739C2" w:rsidRPr="00147D49" w:rsidRDefault="001739C2" w:rsidP="00C47348">
      <w:pPr>
        <w:pStyle w:val="ListParagraph"/>
        <w:rPr>
          <w:rFonts w:cs="Arial"/>
          <w:lang w:eastAsia="en-AU"/>
        </w:rPr>
      </w:pPr>
      <w:hyperlink r:id="rId47" w:history="1">
        <w:r w:rsidRPr="00147D49">
          <w:rPr>
            <w:rStyle w:val="Hyperlink"/>
            <w:rFonts w:cs="Arial"/>
            <w:lang w:eastAsia="en-AU"/>
          </w:rPr>
          <w:t>Registered substances</w:t>
        </w:r>
      </w:hyperlink>
      <w:r w:rsidRPr="00147D49">
        <w:rPr>
          <w:rFonts w:cs="Arial"/>
          <w:lang w:eastAsia="en-AU"/>
        </w:rPr>
        <w:t xml:space="preserve"> - Chemical property data search / European Chemicals Agency (ECHA)</w:t>
      </w:r>
    </w:p>
    <w:p w14:paraId="39869BBB" w14:textId="77777777" w:rsidR="001739C2" w:rsidRPr="00147D49" w:rsidRDefault="001739C2" w:rsidP="00C47348">
      <w:pPr>
        <w:pStyle w:val="ListParagraph"/>
        <w:rPr>
          <w:color w:val="1F497D"/>
        </w:rPr>
      </w:pPr>
      <w:r w:rsidRPr="00147D49">
        <w:t xml:space="preserve">Scientific Committee on Consumer Safety (SCCS), European </w:t>
      </w:r>
      <w:r w:rsidRPr="00147D49">
        <w:rPr>
          <w:color w:val="1F497D"/>
        </w:rPr>
        <w:t xml:space="preserve">Commission </w:t>
      </w:r>
      <w:hyperlink r:id="rId48" w:history="1">
        <w:r w:rsidRPr="00147D49">
          <w:rPr>
            <w:rStyle w:val="Hyperlink"/>
            <w:rFonts w:cs="Arial"/>
          </w:rPr>
          <w:t>https://op.europa.eu/en/</w:t>
        </w:r>
      </w:hyperlink>
    </w:p>
    <w:p w14:paraId="7C111C7D" w14:textId="77777777" w:rsidR="001739C2" w:rsidRPr="00147D49" w:rsidRDefault="001739C2" w:rsidP="00C47348">
      <w:pPr>
        <w:pStyle w:val="ListParagraph"/>
      </w:pPr>
      <w:proofErr w:type="spellStart"/>
      <w:r w:rsidRPr="00147D49">
        <w:t>SafetyNL</w:t>
      </w:r>
      <w:proofErr w:type="spellEnd"/>
      <w:r w:rsidRPr="00147D49">
        <w:t xml:space="preserve">; National Institute for Public Health and the Environment (RIVM), The Netherlands </w:t>
      </w:r>
      <w:hyperlink r:id="rId49" w:history="1">
        <w:r w:rsidRPr="00147D49">
          <w:rPr>
            <w:rStyle w:val="Hyperlink"/>
            <w:rFonts w:cs="Arial"/>
          </w:rPr>
          <w:t>www.rivm.nl</w:t>
        </w:r>
      </w:hyperlink>
    </w:p>
    <w:p w14:paraId="377ED328" w14:textId="77777777" w:rsidR="001739C2" w:rsidRPr="00147D49" w:rsidRDefault="001739C2" w:rsidP="00C47348">
      <w:pPr>
        <w:pStyle w:val="ListParagraph"/>
        <w:rPr>
          <w:color w:val="1F497D"/>
        </w:rPr>
      </w:pPr>
      <w:proofErr w:type="spellStart"/>
      <w:r w:rsidRPr="00147D49">
        <w:t>Coslng</w:t>
      </w:r>
      <w:proofErr w:type="spellEnd"/>
      <w:r w:rsidRPr="00147D49">
        <w:t xml:space="preserve"> Database </w:t>
      </w:r>
      <w:hyperlink r:id="rId50" w:history="1">
        <w:r w:rsidRPr="00147D49">
          <w:rPr>
            <w:rStyle w:val="Hyperlink"/>
            <w:rFonts w:cs="Arial"/>
          </w:rPr>
          <w:t>https://cosmeticseurope.eu/library/</w:t>
        </w:r>
      </w:hyperlink>
    </w:p>
    <w:p w14:paraId="1777872A" w14:textId="77777777" w:rsidR="001739C2" w:rsidRPr="00147D49" w:rsidRDefault="001739C2" w:rsidP="00C47348">
      <w:pPr>
        <w:pStyle w:val="ListParagraph"/>
      </w:pPr>
      <w:r w:rsidRPr="00147D49">
        <w:t>European Medicines Agency (EMA)</w:t>
      </w:r>
    </w:p>
    <w:p w14:paraId="5F8923BB" w14:textId="77777777" w:rsidR="001739C2" w:rsidRPr="00147D49" w:rsidRDefault="001739C2" w:rsidP="00C47348">
      <w:pPr>
        <w:pStyle w:val="ListParagraph"/>
        <w:rPr>
          <w:lang w:eastAsia="en-AU"/>
        </w:rPr>
      </w:pPr>
      <w:r w:rsidRPr="00147D49">
        <w:rPr>
          <w:lang w:eastAsia="en-AU"/>
        </w:rPr>
        <w:t xml:space="preserve">OECD </w:t>
      </w:r>
      <w:proofErr w:type="spellStart"/>
      <w:r w:rsidRPr="00147D49">
        <w:rPr>
          <w:lang w:eastAsia="en-AU"/>
        </w:rPr>
        <w:t>OECD</w:t>
      </w:r>
      <w:proofErr w:type="spellEnd"/>
      <w:r w:rsidRPr="00147D49">
        <w:rPr>
          <w:lang w:eastAsia="en-AU"/>
        </w:rPr>
        <w:t xml:space="preserve"> Existing Chemicals Database </w:t>
      </w:r>
      <w:hyperlink r:id="rId51" w:history="1">
        <w:r w:rsidRPr="00147D49">
          <w:rPr>
            <w:rStyle w:val="Hyperlink"/>
            <w:rFonts w:cs="Arial"/>
            <w:lang w:eastAsia="en-AU"/>
          </w:rPr>
          <w:t>https://hpvchemicals.oecd.org</w:t>
        </w:r>
      </w:hyperlink>
    </w:p>
    <w:p w14:paraId="2B2CB618" w14:textId="77777777" w:rsidR="001739C2" w:rsidRPr="00147D49" w:rsidRDefault="001739C2" w:rsidP="00C47348">
      <w:pPr>
        <w:pStyle w:val="ListParagraph"/>
      </w:pPr>
      <w:r w:rsidRPr="00147D49">
        <w:t xml:space="preserve">Environmental Protection Agency in Denmark </w:t>
      </w:r>
      <w:hyperlink r:id="rId52" w:history="1">
        <w:r w:rsidRPr="00147D49">
          <w:rPr>
            <w:rStyle w:val="Hyperlink"/>
            <w:rFonts w:cs="Arial"/>
          </w:rPr>
          <w:t>www.mst.dk</w:t>
        </w:r>
      </w:hyperlink>
    </w:p>
    <w:p w14:paraId="6D52858A" w14:textId="77777777" w:rsidR="001739C2" w:rsidRPr="00147D49" w:rsidRDefault="001739C2" w:rsidP="00C47348">
      <w:pPr>
        <w:pStyle w:val="ListParagraph"/>
      </w:pPr>
      <w:r w:rsidRPr="00147D49">
        <w:t xml:space="preserve">Nature Agency in Denmark </w:t>
      </w:r>
      <w:hyperlink r:id="rId53" w:history="1">
        <w:r w:rsidRPr="00147D49">
          <w:rPr>
            <w:rStyle w:val="Hyperlink"/>
            <w:rFonts w:cs="Arial"/>
          </w:rPr>
          <w:t>www.nst.dk</w:t>
        </w:r>
      </w:hyperlink>
    </w:p>
    <w:p w14:paraId="11DA02A3" w14:textId="77777777" w:rsidR="001739C2" w:rsidRPr="00147D49" w:rsidRDefault="001739C2" w:rsidP="00C47348">
      <w:pPr>
        <w:pStyle w:val="ListParagraph"/>
      </w:pPr>
      <w:r w:rsidRPr="00147D49">
        <w:t xml:space="preserve">Swedish Chemicals Agency (KEMI) in Sweden </w:t>
      </w:r>
      <w:hyperlink r:id="rId54" w:history="1">
        <w:r w:rsidRPr="00147D49">
          <w:rPr>
            <w:rStyle w:val="Hyperlink"/>
            <w:rFonts w:cs="Arial"/>
          </w:rPr>
          <w:t>www.kemi.se</w:t>
        </w:r>
      </w:hyperlink>
    </w:p>
    <w:p w14:paraId="73A3D24C" w14:textId="77777777" w:rsidR="001739C2" w:rsidRPr="00147D49" w:rsidRDefault="001739C2" w:rsidP="00C47348">
      <w:pPr>
        <w:pStyle w:val="ListParagraph"/>
      </w:pPr>
      <w:r w:rsidRPr="00147D49">
        <w:t xml:space="preserve">Environment Agency in Norway </w:t>
      </w:r>
      <w:hyperlink r:id="rId55" w:history="1">
        <w:r w:rsidRPr="00147D49">
          <w:rPr>
            <w:rStyle w:val="Hyperlink"/>
            <w:rFonts w:cs="Arial"/>
          </w:rPr>
          <w:t>www.miljodirektoratet.no</w:t>
        </w:r>
      </w:hyperlink>
    </w:p>
    <w:p w14:paraId="6EC79874" w14:textId="77777777" w:rsidR="001739C2" w:rsidRPr="00147D49" w:rsidRDefault="001739C2" w:rsidP="00C47348">
      <w:pPr>
        <w:pStyle w:val="ListParagraph"/>
        <w:rPr>
          <w:rFonts w:cs="Arial"/>
        </w:rPr>
      </w:pPr>
      <w:r w:rsidRPr="00147D49">
        <w:rPr>
          <w:rFonts w:cs="Arial"/>
        </w:rPr>
        <w:t xml:space="preserve">ANSES in France </w:t>
      </w:r>
      <w:hyperlink r:id="rId56" w:history="1">
        <w:r w:rsidRPr="00147D49">
          <w:rPr>
            <w:rStyle w:val="Hyperlink"/>
            <w:rFonts w:cs="Arial"/>
          </w:rPr>
          <w:t>www.anses.fr</w:t>
        </w:r>
      </w:hyperlink>
    </w:p>
    <w:p w14:paraId="7A309B3D" w14:textId="77777777" w:rsidR="001739C2" w:rsidRPr="00147D49" w:rsidRDefault="001739C2" w:rsidP="00C47348">
      <w:pPr>
        <w:pStyle w:val="ListParagraph"/>
      </w:pPr>
      <w:r w:rsidRPr="00147D49">
        <w:t xml:space="preserve">The Environment Agency in the UK </w:t>
      </w:r>
      <w:hyperlink r:id="rId57" w:history="1">
        <w:r w:rsidRPr="00147D49">
          <w:rPr>
            <w:rStyle w:val="Hyperlink"/>
            <w:rFonts w:cs="Arial"/>
          </w:rPr>
          <w:t>www.environment-agency.gov.uk</w:t>
        </w:r>
      </w:hyperlink>
    </w:p>
    <w:p w14:paraId="35C0722A" w14:textId="77777777" w:rsidR="001739C2" w:rsidRPr="00147D49" w:rsidRDefault="001739C2" w:rsidP="00C47348">
      <w:pPr>
        <w:pStyle w:val="ListParagraph"/>
      </w:pPr>
      <w:proofErr w:type="spellStart"/>
      <w:r w:rsidRPr="00147D49">
        <w:t>ChemSec</w:t>
      </w:r>
      <w:proofErr w:type="spellEnd"/>
      <w:r w:rsidRPr="00147D49">
        <w:t xml:space="preserve"> - International Chemical Secretariat </w:t>
      </w:r>
      <w:hyperlink r:id="rId58" w:history="1">
        <w:r w:rsidRPr="00147D49">
          <w:rPr>
            <w:rStyle w:val="Hyperlink"/>
            <w:rFonts w:cs="Arial"/>
          </w:rPr>
          <w:t>www.chemsec.org</w:t>
        </w:r>
      </w:hyperlink>
    </w:p>
    <w:p w14:paraId="32E88A9A" w14:textId="77777777" w:rsidR="001739C2" w:rsidRPr="00147D49" w:rsidRDefault="001739C2" w:rsidP="00C47348">
      <w:pPr>
        <w:pStyle w:val="ListParagraph"/>
      </w:pPr>
      <w:r w:rsidRPr="00147D49">
        <w:t xml:space="preserve">Information Centre for Environment and Health </w:t>
      </w:r>
      <w:hyperlink r:id="rId59" w:history="1">
        <w:r w:rsidRPr="00147D49">
          <w:rPr>
            <w:rStyle w:val="Hyperlink"/>
            <w:rFonts w:cs="Arial"/>
          </w:rPr>
          <w:t>www.forbrugerkemi.dk</w:t>
        </w:r>
      </w:hyperlink>
    </w:p>
    <w:p w14:paraId="1E1A0B84" w14:textId="77777777" w:rsidR="001739C2" w:rsidRPr="00147D49" w:rsidRDefault="001739C2" w:rsidP="00C47348">
      <w:pPr>
        <w:pStyle w:val="ListParagraph"/>
      </w:pPr>
      <w:r w:rsidRPr="00147D49">
        <w:t xml:space="preserve">National Institute for Public Health and the Environment </w:t>
      </w:r>
      <w:hyperlink r:id="rId60" w:history="1">
        <w:r w:rsidRPr="00147D49">
          <w:rPr>
            <w:rStyle w:val="Hyperlink"/>
            <w:rFonts w:cs="Arial"/>
          </w:rPr>
          <w:t>https://www.rivm.nl/en</w:t>
        </w:r>
      </w:hyperlink>
    </w:p>
    <w:p w14:paraId="68388B10" w14:textId="77777777" w:rsidR="001739C2" w:rsidRPr="00147D49" w:rsidRDefault="001739C2" w:rsidP="000874CD">
      <w:pPr>
        <w:ind w:left="357"/>
      </w:pPr>
    </w:p>
    <w:p w14:paraId="5C3BC2EC" w14:textId="77777777" w:rsidR="001739C2" w:rsidRPr="00147D49" w:rsidRDefault="001739C2" w:rsidP="001739C2">
      <w:pPr>
        <w:rPr>
          <w:rFonts w:cs="Arial"/>
        </w:rPr>
      </w:pPr>
      <w:r w:rsidRPr="00147D49">
        <w:rPr>
          <w:rFonts w:cs="Arial"/>
        </w:rPr>
        <w:t xml:space="preserve">Australia: </w:t>
      </w:r>
    </w:p>
    <w:p w14:paraId="7BB1B6F7" w14:textId="77777777" w:rsidR="001739C2" w:rsidRPr="00642ECB" w:rsidRDefault="001739C2" w:rsidP="00C47348">
      <w:pPr>
        <w:pStyle w:val="ListParagraph"/>
      </w:pPr>
      <w:r w:rsidRPr="00642ECB">
        <w:t>AICIS</w:t>
      </w:r>
    </w:p>
    <w:p w14:paraId="6BC51CC3" w14:textId="77777777" w:rsidR="001739C2" w:rsidRPr="00D6077F" w:rsidRDefault="001739C2" w:rsidP="00C47348">
      <w:pPr>
        <w:pStyle w:val="ListParagraph"/>
        <w:rPr>
          <w:color w:val="3333FF"/>
          <w:u w:val="single"/>
        </w:rPr>
      </w:pPr>
      <w:r w:rsidRPr="00642ECB">
        <w:t xml:space="preserve">Safe Work Australia - Hazardous Chemical Information System (HCIS) </w:t>
      </w:r>
      <w:hyperlink r:id="rId61" w:history="1">
        <w:r w:rsidRPr="00D6077F">
          <w:rPr>
            <w:rStyle w:val="Hyperlink"/>
            <w:color w:val="3333FF"/>
          </w:rPr>
          <w:t>http://hcis.safeworkaustralia.gov.au/</w:t>
        </w:r>
      </w:hyperlink>
    </w:p>
    <w:p w14:paraId="03ED4893" w14:textId="77777777" w:rsidR="001739C2" w:rsidRPr="00642ECB" w:rsidRDefault="001739C2" w:rsidP="00C47348">
      <w:pPr>
        <w:pStyle w:val="ListParagraph"/>
      </w:pPr>
      <w:r w:rsidRPr="00642ECB">
        <w:t>FSANZ</w:t>
      </w:r>
    </w:p>
    <w:p w14:paraId="4105D9E3" w14:textId="77777777" w:rsidR="001739C2" w:rsidRPr="00147D49" w:rsidRDefault="001739C2" w:rsidP="001739C2">
      <w:pPr>
        <w:rPr>
          <w:rFonts w:cs="Arial"/>
        </w:rPr>
      </w:pPr>
    </w:p>
    <w:p w14:paraId="1884B2EF" w14:textId="77777777" w:rsidR="001739C2" w:rsidRPr="00147D49" w:rsidRDefault="001739C2" w:rsidP="001739C2">
      <w:pPr>
        <w:rPr>
          <w:rFonts w:cs="Arial"/>
        </w:rPr>
      </w:pPr>
      <w:r w:rsidRPr="00147D49">
        <w:rPr>
          <w:rFonts w:cs="Arial"/>
        </w:rPr>
        <w:t>Canada:</w:t>
      </w:r>
    </w:p>
    <w:p w14:paraId="35D129A8" w14:textId="77777777" w:rsidR="001739C2" w:rsidRPr="00BD5A10" w:rsidRDefault="001739C2" w:rsidP="00C47348">
      <w:pPr>
        <w:pStyle w:val="ListParagraph"/>
      </w:pPr>
      <w:hyperlink r:id="rId62" w:history="1">
        <w:r w:rsidRPr="00D6077F">
          <w:rPr>
            <w:rStyle w:val="Hyperlink"/>
            <w:color w:val="3333FF"/>
          </w:rPr>
          <w:t>DRUGBANK</w:t>
        </w:r>
      </w:hyperlink>
      <w:r w:rsidRPr="00BD5A10">
        <w:t xml:space="preserve"> / University of Alberta et al., Canada</w:t>
      </w:r>
    </w:p>
    <w:p w14:paraId="3437D9AA" w14:textId="77777777" w:rsidR="001739C2" w:rsidRPr="00D6077F" w:rsidRDefault="001739C2" w:rsidP="00C47348">
      <w:pPr>
        <w:pStyle w:val="ListParagraph"/>
        <w:rPr>
          <w:color w:val="3333FF"/>
          <w:u w:val="single"/>
        </w:rPr>
      </w:pPr>
      <w:hyperlink r:id="rId63" w:history="1">
        <w:r w:rsidRPr="00D6077F">
          <w:rPr>
            <w:rStyle w:val="Hyperlink"/>
            <w:color w:val="3333FF"/>
          </w:rPr>
          <w:t>Health Canada</w:t>
        </w:r>
      </w:hyperlink>
      <w:r w:rsidRPr="00D6077F">
        <w:rPr>
          <w:color w:val="3333FF"/>
          <w:u w:val="single"/>
        </w:rPr>
        <w:t xml:space="preserve"> </w:t>
      </w:r>
    </w:p>
    <w:p w14:paraId="5DA61B1C" w14:textId="77777777" w:rsidR="001739C2" w:rsidRPr="00147D49" w:rsidRDefault="001739C2" w:rsidP="001739C2">
      <w:pPr>
        <w:rPr>
          <w:rFonts w:cs="Arial"/>
        </w:rPr>
      </w:pPr>
    </w:p>
    <w:p w14:paraId="486ADE88" w14:textId="77777777" w:rsidR="001739C2" w:rsidRPr="00147D49" w:rsidRDefault="001739C2" w:rsidP="001739C2">
      <w:pPr>
        <w:rPr>
          <w:rFonts w:cs="Arial"/>
        </w:rPr>
      </w:pPr>
      <w:r w:rsidRPr="00147D49">
        <w:rPr>
          <w:rFonts w:cs="Arial"/>
        </w:rPr>
        <w:t>Non-Government:</w:t>
      </w:r>
    </w:p>
    <w:p w14:paraId="46E7EDAF" w14:textId="77777777" w:rsidR="001739C2" w:rsidRPr="00147D49" w:rsidRDefault="001739C2" w:rsidP="00C47348">
      <w:pPr>
        <w:pStyle w:val="ListParagraph"/>
      </w:pPr>
      <w:r w:rsidRPr="00147D49">
        <w:t xml:space="preserve">Environmental Working Group </w:t>
      </w:r>
      <w:hyperlink r:id="rId64" w:history="1">
        <w:r w:rsidRPr="00147D49">
          <w:rPr>
            <w:rStyle w:val="Hyperlink"/>
            <w:rFonts w:cs="Arial"/>
          </w:rPr>
          <w:t>https://www.ewg.org/</w:t>
        </w:r>
      </w:hyperlink>
      <w:r w:rsidRPr="00147D49">
        <w:t xml:space="preserve"> (non-profit)</w:t>
      </w:r>
    </w:p>
    <w:p w14:paraId="4A962A17" w14:textId="77777777" w:rsidR="001739C2" w:rsidRPr="00147D49" w:rsidRDefault="001739C2" w:rsidP="00C47348">
      <w:pPr>
        <w:pStyle w:val="ListParagraph"/>
      </w:pPr>
      <w:r w:rsidRPr="00147D49">
        <w:t xml:space="preserve">Food Packaging Forum </w:t>
      </w:r>
      <w:hyperlink r:id="rId65" w:history="1">
        <w:r w:rsidRPr="00147D49">
          <w:rPr>
            <w:rStyle w:val="Hyperlink"/>
            <w:rFonts w:cs="Arial"/>
          </w:rPr>
          <w:t>https://www.foodpackagingforum.org/</w:t>
        </w:r>
      </w:hyperlink>
    </w:p>
    <w:p w14:paraId="7DD9942F" w14:textId="77777777" w:rsidR="001739C2" w:rsidRPr="00147D49" w:rsidRDefault="001739C2" w:rsidP="00C47348">
      <w:pPr>
        <w:pStyle w:val="ListParagraph"/>
      </w:pPr>
      <w:r w:rsidRPr="00147D49">
        <w:t xml:space="preserve">International Toxicity Estimates for Risk (ITER) </w:t>
      </w:r>
      <w:hyperlink r:id="rId66" w:history="1">
        <w:r w:rsidRPr="00147D49">
          <w:rPr>
            <w:rStyle w:val="Hyperlink"/>
            <w:rFonts w:cs="Arial"/>
          </w:rPr>
          <w:t>http://www.iter.tera.org/</w:t>
        </w:r>
      </w:hyperlink>
      <w:r w:rsidRPr="00147D49">
        <w:t xml:space="preserve">. </w:t>
      </w:r>
      <w:proofErr w:type="gramStart"/>
      <w:r w:rsidRPr="00147D49">
        <w:t>similar to</w:t>
      </w:r>
      <w:proofErr w:type="gramEnd"/>
      <w:r w:rsidRPr="00147D49">
        <w:t xml:space="preserve"> PubChem. </w:t>
      </w:r>
    </w:p>
    <w:p w14:paraId="1F16DB7E" w14:textId="77777777" w:rsidR="001739C2" w:rsidRPr="00147D49" w:rsidRDefault="001739C2" w:rsidP="00C47348">
      <w:pPr>
        <w:pStyle w:val="ListParagraph"/>
        <w:rPr>
          <w:color w:val="1F497D"/>
        </w:rPr>
      </w:pPr>
      <w:r w:rsidRPr="00147D49">
        <w:t xml:space="preserve">Cosmetic Ingredient Review (CIR) </w:t>
      </w:r>
      <w:hyperlink r:id="rId67" w:history="1">
        <w:r w:rsidRPr="00147D49">
          <w:rPr>
            <w:rStyle w:val="Hyperlink"/>
            <w:rFonts w:cs="Arial"/>
          </w:rPr>
          <w:t>https://www.cir-safety.org/</w:t>
        </w:r>
      </w:hyperlink>
    </w:p>
    <w:p w14:paraId="4AEF3389" w14:textId="77777777" w:rsidR="001739C2" w:rsidRDefault="001739C2" w:rsidP="000874CD">
      <w:pPr>
        <w:ind w:left="357"/>
      </w:pPr>
    </w:p>
    <w:p w14:paraId="56651FDB" w14:textId="77777777" w:rsidR="00770032" w:rsidRDefault="00770032" w:rsidP="000874CD">
      <w:pPr>
        <w:ind w:left="357"/>
      </w:pPr>
    </w:p>
    <w:p w14:paraId="15EC6128" w14:textId="76E92C93" w:rsidR="007E769F" w:rsidRDefault="00C32F33" w:rsidP="009A6057">
      <w:pPr>
        <w:sectPr w:rsidR="007E769F" w:rsidSect="003E7BCD">
          <w:headerReference w:type="default" r:id="rId68"/>
          <w:footerReference w:type="default" r:id="rId69"/>
          <w:headerReference w:type="first" r:id="rId70"/>
          <w:pgSz w:w="11906" w:h="16838"/>
          <w:pgMar w:top="1440" w:right="1440" w:bottom="1440" w:left="1440" w:header="708" w:footer="708" w:gutter="0"/>
          <w:cols w:space="708"/>
          <w:titlePg/>
          <w:docGrid w:linePitch="360"/>
        </w:sectPr>
      </w:pPr>
      <w:r>
        <w:br w:type="page"/>
      </w:r>
    </w:p>
    <w:p w14:paraId="5FB1187C" w14:textId="03845ED5" w:rsidR="00770032" w:rsidRPr="00147D49" w:rsidRDefault="00770032" w:rsidP="00F52671">
      <w:pPr>
        <w:pStyle w:val="Heading3"/>
      </w:pPr>
      <w:bookmarkStart w:id="171" w:name="_Ref195174808"/>
      <w:bookmarkStart w:id="172" w:name="_Toc199254986"/>
      <w:r>
        <w:lastRenderedPageBreak/>
        <w:t>Attachment 2:</w:t>
      </w:r>
      <w:r w:rsidR="007D5AD4">
        <w:t xml:space="preserve"> List of endocrine activity modulation effects of commonly used UV filters</w:t>
      </w:r>
      <w:bookmarkEnd w:id="171"/>
      <w:bookmarkEnd w:id="172"/>
    </w:p>
    <w:tbl>
      <w:tblPr>
        <w:tblStyle w:val="TableGrid"/>
        <w:tblpPr w:leftFromText="180" w:rightFromText="180" w:vertAnchor="text" w:tblpY="122"/>
        <w:tblW w:w="14464" w:type="dxa"/>
        <w:tblLook w:val="04A0" w:firstRow="1" w:lastRow="0" w:firstColumn="1" w:lastColumn="0" w:noHBand="0" w:noVBand="1"/>
      </w:tblPr>
      <w:tblGrid>
        <w:gridCol w:w="1662"/>
        <w:gridCol w:w="2650"/>
        <w:gridCol w:w="10152"/>
      </w:tblGrid>
      <w:tr w:rsidR="00F52671" w:rsidRPr="00337DA3" w14:paraId="0E145AAF" w14:textId="77777777" w:rsidTr="008B5EB6">
        <w:trPr>
          <w:trHeight w:val="560"/>
        </w:trPr>
        <w:tc>
          <w:tcPr>
            <w:tcW w:w="1448" w:type="dxa"/>
            <w:shd w:val="clear" w:color="auto" w:fill="B8CCEA"/>
            <w:vAlign w:val="center"/>
          </w:tcPr>
          <w:p w14:paraId="1313DE9A" w14:textId="77777777" w:rsidR="00F52671" w:rsidRPr="008B5EB6" w:rsidRDefault="00F52671" w:rsidP="00E07077">
            <w:pPr>
              <w:pStyle w:val="Standard"/>
              <w:spacing w:after="0"/>
              <w:jc w:val="center"/>
              <w:rPr>
                <w:rFonts w:asciiTheme="minorHAnsi" w:hAnsiTheme="minorHAnsi" w:cstheme="minorHAnsi"/>
                <w:b/>
                <w:bCs/>
                <w:color w:val="263287"/>
                <w:sz w:val="20"/>
                <w:szCs w:val="20"/>
              </w:rPr>
            </w:pPr>
            <w:r w:rsidRPr="008B5EB6">
              <w:rPr>
                <w:rFonts w:asciiTheme="minorHAnsi" w:hAnsiTheme="minorHAnsi" w:cstheme="minorHAnsi"/>
                <w:b/>
                <w:bCs/>
                <w:color w:val="263287"/>
                <w:sz w:val="20"/>
                <w:szCs w:val="20"/>
              </w:rPr>
              <w:t>UV Filters</w:t>
            </w:r>
          </w:p>
        </w:tc>
        <w:tc>
          <w:tcPr>
            <w:tcW w:w="13016" w:type="dxa"/>
            <w:gridSpan w:val="2"/>
            <w:shd w:val="clear" w:color="auto" w:fill="B8CCEA"/>
            <w:vAlign w:val="center"/>
          </w:tcPr>
          <w:p w14:paraId="7C4F6CF8" w14:textId="77777777" w:rsidR="00F52671" w:rsidRPr="008B5EB6" w:rsidRDefault="00F52671" w:rsidP="00E07077">
            <w:pPr>
              <w:pStyle w:val="Standard"/>
              <w:spacing w:after="0"/>
              <w:jc w:val="center"/>
              <w:rPr>
                <w:rFonts w:asciiTheme="minorHAnsi" w:hAnsiTheme="minorHAnsi" w:cstheme="minorHAnsi"/>
                <w:b/>
                <w:bCs/>
                <w:color w:val="263287"/>
                <w:sz w:val="20"/>
                <w:szCs w:val="20"/>
              </w:rPr>
            </w:pPr>
            <w:r w:rsidRPr="008B5EB6">
              <w:rPr>
                <w:rFonts w:asciiTheme="minorHAnsi" w:hAnsiTheme="minorHAnsi" w:cstheme="minorHAnsi"/>
                <w:b/>
                <w:bCs/>
                <w:color w:val="263287"/>
                <w:sz w:val="20"/>
                <w:szCs w:val="20"/>
              </w:rPr>
              <w:t>Endocrine disrupting effects</w:t>
            </w:r>
          </w:p>
        </w:tc>
      </w:tr>
      <w:tr w:rsidR="00F52671" w:rsidRPr="00F22D78" w14:paraId="604200A0" w14:textId="77777777" w:rsidTr="00E07077">
        <w:trPr>
          <w:trHeight w:val="637"/>
        </w:trPr>
        <w:tc>
          <w:tcPr>
            <w:tcW w:w="1448" w:type="dxa"/>
            <w:vMerge w:val="restart"/>
          </w:tcPr>
          <w:p w14:paraId="3DE7B754" w14:textId="77777777" w:rsidR="00F52671" w:rsidRPr="008B5EB6" w:rsidRDefault="00F52671" w:rsidP="00E07077">
            <w:pPr>
              <w:pStyle w:val="Standard"/>
              <w:jc w:val="center"/>
              <w:rPr>
                <w:rFonts w:asciiTheme="minorHAnsi" w:hAnsiTheme="minorHAnsi" w:cstheme="minorHAnsi"/>
                <w:sz w:val="20"/>
                <w:szCs w:val="20"/>
              </w:rPr>
            </w:pPr>
            <w:r w:rsidRPr="008B5EB6">
              <w:rPr>
                <w:rFonts w:asciiTheme="minorHAnsi" w:hAnsiTheme="minorHAnsi" w:cstheme="minorHAnsi"/>
                <w:sz w:val="20"/>
                <w:szCs w:val="20"/>
              </w:rPr>
              <w:t>Benzophenones</w:t>
            </w:r>
          </w:p>
        </w:tc>
        <w:tc>
          <w:tcPr>
            <w:tcW w:w="2683" w:type="dxa"/>
          </w:tcPr>
          <w:p w14:paraId="7D70DD7D" w14:textId="77777777" w:rsidR="00F52671" w:rsidRPr="008B5EB6" w:rsidRDefault="00F52671" w:rsidP="00E07077">
            <w:pPr>
              <w:pStyle w:val="Standard"/>
              <w:rPr>
                <w:rFonts w:asciiTheme="minorHAnsi" w:hAnsiTheme="minorHAnsi" w:cstheme="minorHAnsi"/>
                <w:sz w:val="20"/>
                <w:szCs w:val="20"/>
              </w:rPr>
            </w:pPr>
            <w:r w:rsidRPr="008B5EB6">
              <w:rPr>
                <w:rFonts w:asciiTheme="minorHAnsi" w:hAnsiTheme="minorHAnsi" w:cstheme="minorHAnsi"/>
                <w:sz w:val="20"/>
                <w:szCs w:val="20"/>
              </w:rPr>
              <w:t>Estrogenic disrupting effects</w:t>
            </w:r>
          </w:p>
        </w:tc>
        <w:tc>
          <w:tcPr>
            <w:tcW w:w="10333" w:type="dxa"/>
          </w:tcPr>
          <w:p w14:paraId="6DEE0BA7" w14:textId="77777777" w:rsidR="00F52671" w:rsidRPr="008B5EB6" w:rsidRDefault="00F52671" w:rsidP="00E07077">
            <w:pPr>
              <w:pStyle w:val="Standard"/>
              <w:rPr>
                <w:rFonts w:asciiTheme="minorHAnsi" w:hAnsiTheme="minorHAnsi" w:cstheme="minorHAnsi"/>
                <w:sz w:val="20"/>
                <w:szCs w:val="20"/>
              </w:rPr>
            </w:pPr>
            <w:r w:rsidRPr="008B5EB6">
              <w:rPr>
                <w:rFonts w:asciiTheme="minorHAnsi" w:hAnsiTheme="minorHAnsi" w:cstheme="minorHAnsi"/>
                <w:sz w:val="20"/>
                <w:szCs w:val="20"/>
              </w:rPr>
              <w:t>Activation of ERα, ERβ; Inhibition of the activity of 17β-</w:t>
            </w:r>
            <w:proofErr w:type="spellStart"/>
            <w:r w:rsidRPr="008B5EB6">
              <w:rPr>
                <w:rFonts w:asciiTheme="minorHAnsi" w:hAnsiTheme="minorHAnsi" w:cstheme="minorHAnsi"/>
                <w:sz w:val="20"/>
                <w:szCs w:val="20"/>
              </w:rPr>
              <w:t>Estradiol</w:t>
            </w:r>
            <w:proofErr w:type="spellEnd"/>
            <w:r w:rsidRPr="008B5EB6">
              <w:rPr>
                <w:rFonts w:asciiTheme="minorHAnsi" w:hAnsiTheme="minorHAnsi" w:cstheme="minorHAnsi"/>
                <w:sz w:val="20"/>
                <w:szCs w:val="20"/>
              </w:rPr>
              <w:t>; Induction of proliferation of MCF-7 cell; Induction of VTG in fathead minnow; Reduction of the uterine weight in immature Long-Evans rats.</w:t>
            </w:r>
          </w:p>
        </w:tc>
      </w:tr>
      <w:tr w:rsidR="00F52671" w:rsidRPr="00F22D78" w14:paraId="0D493F22" w14:textId="77777777" w:rsidTr="00E07077">
        <w:trPr>
          <w:trHeight w:val="138"/>
        </w:trPr>
        <w:tc>
          <w:tcPr>
            <w:tcW w:w="1448" w:type="dxa"/>
            <w:vMerge/>
          </w:tcPr>
          <w:p w14:paraId="5F1ED6CF" w14:textId="77777777" w:rsidR="00F52671" w:rsidRPr="008B5EB6" w:rsidRDefault="00F52671" w:rsidP="00E07077">
            <w:pPr>
              <w:pStyle w:val="Standard"/>
              <w:jc w:val="center"/>
              <w:rPr>
                <w:rFonts w:asciiTheme="minorHAnsi" w:hAnsiTheme="minorHAnsi" w:cstheme="minorHAnsi"/>
                <w:sz w:val="20"/>
                <w:szCs w:val="20"/>
              </w:rPr>
            </w:pPr>
          </w:p>
        </w:tc>
        <w:tc>
          <w:tcPr>
            <w:tcW w:w="2683" w:type="dxa"/>
          </w:tcPr>
          <w:p w14:paraId="3D23B77D" w14:textId="77777777" w:rsidR="00F52671" w:rsidRPr="008B5EB6" w:rsidRDefault="00F52671" w:rsidP="00E07077">
            <w:pPr>
              <w:pStyle w:val="Standard"/>
              <w:rPr>
                <w:rFonts w:asciiTheme="minorHAnsi" w:hAnsiTheme="minorHAnsi" w:cstheme="minorHAnsi"/>
                <w:sz w:val="20"/>
                <w:szCs w:val="20"/>
              </w:rPr>
            </w:pPr>
            <w:r w:rsidRPr="008B5EB6">
              <w:rPr>
                <w:rFonts w:asciiTheme="minorHAnsi" w:hAnsiTheme="minorHAnsi" w:cstheme="minorHAnsi"/>
                <w:sz w:val="20"/>
                <w:szCs w:val="20"/>
              </w:rPr>
              <w:t>Androgenic disrupting effects</w:t>
            </w:r>
          </w:p>
        </w:tc>
        <w:tc>
          <w:tcPr>
            <w:tcW w:w="10333" w:type="dxa"/>
          </w:tcPr>
          <w:p w14:paraId="1E430CA8" w14:textId="77777777" w:rsidR="00F52671" w:rsidRPr="008B5EB6" w:rsidRDefault="00F52671" w:rsidP="00E07077">
            <w:pPr>
              <w:pStyle w:val="Standard"/>
              <w:rPr>
                <w:rFonts w:asciiTheme="minorHAnsi" w:hAnsiTheme="minorHAnsi" w:cstheme="minorHAnsi"/>
                <w:sz w:val="20"/>
                <w:szCs w:val="20"/>
              </w:rPr>
            </w:pPr>
            <w:r w:rsidRPr="008B5EB6">
              <w:rPr>
                <w:rFonts w:asciiTheme="minorHAnsi" w:hAnsiTheme="minorHAnsi" w:cstheme="minorHAnsi"/>
                <w:sz w:val="20"/>
                <w:szCs w:val="20"/>
              </w:rPr>
              <w:t xml:space="preserve">Antagonists of human AR transactivation; Repression of 4.5dihydrotestosterone-induced </w:t>
            </w:r>
            <w:proofErr w:type="spellStart"/>
            <w:r w:rsidRPr="008B5EB6">
              <w:rPr>
                <w:rFonts w:asciiTheme="minorHAnsi" w:hAnsiTheme="minorHAnsi" w:cstheme="minorHAnsi"/>
                <w:sz w:val="20"/>
                <w:szCs w:val="20"/>
              </w:rPr>
              <w:t>transactivational</w:t>
            </w:r>
            <w:proofErr w:type="spellEnd"/>
            <w:r w:rsidRPr="008B5EB6">
              <w:rPr>
                <w:rFonts w:asciiTheme="minorHAnsi" w:hAnsiTheme="minorHAnsi" w:cstheme="minorHAnsi"/>
                <w:sz w:val="20"/>
                <w:szCs w:val="20"/>
              </w:rPr>
              <w:t xml:space="preserve"> activity; Inhibition of testosterone formation in mice and rats.</w:t>
            </w:r>
          </w:p>
        </w:tc>
      </w:tr>
      <w:tr w:rsidR="00F52671" w:rsidRPr="00F22D78" w14:paraId="59B474BF" w14:textId="77777777" w:rsidTr="00E07077">
        <w:trPr>
          <w:trHeight w:val="138"/>
        </w:trPr>
        <w:tc>
          <w:tcPr>
            <w:tcW w:w="1448" w:type="dxa"/>
            <w:vMerge/>
          </w:tcPr>
          <w:p w14:paraId="4E07B45F" w14:textId="77777777" w:rsidR="00F52671" w:rsidRPr="008B5EB6" w:rsidRDefault="00F52671" w:rsidP="00E07077">
            <w:pPr>
              <w:pStyle w:val="Standard"/>
              <w:jc w:val="center"/>
              <w:rPr>
                <w:rFonts w:asciiTheme="minorHAnsi" w:hAnsiTheme="minorHAnsi" w:cstheme="minorHAnsi"/>
                <w:sz w:val="20"/>
                <w:szCs w:val="20"/>
              </w:rPr>
            </w:pPr>
          </w:p>
        </w:tc>
        <w:tc>
          <w:tcPr>
            <w:tcW w:w="2683" w:type="dxa"/>
          </w:tcPr>
          <w:p w14:paraId="189F831F" w14:textId="77777777" w:rsidR="00F52671" w:rsidRPr="008B5EB6" w:rsidRDefault="00F52671" w:rsidP="00E07077">
            <w:pPr>
              <w:pStyle w:val="Standard"/>
              <w:rPr>
                <w:rFonts w:asciiTheme="minorHAnsi" w:hAnsiTheme="minorHAnsi" w:cstheme="minorHAnsi"/>
                <w:sz w:val="20"/>
                <w:szCs w:val="20"/>
              </w:rPr>
            </w:pPr>
            <w:r w:rsidRPr="008B5EB6">
              <w:rPr>
                <w:rFonts w:asciiTheme="minorHAnsi" w:hAnsiTheme="minorHAnsi" w:cstheme="minorHAnsi"/>
                <w:sz w:val="20"/>
                <w:szCs w:val="20"/>
              </w:rPr>
              <w:t>Disrupting effects toward other nuclear receptors</w:t>
            </w:r>
          </w:p>
        </w:tc>
        <w:tc>
          <w:tcPr>
            <w:tcW w:w="10333" w:type="dxa"/>
          </w:tcPr>
          <w:p w14:paraId="3A75F13D" w14:textId="77777777" w:rsidR="00F52671" w:rsidRPr="008B5EB6" w:rsidRDefault="00F52671" w:rsidP="00E07077">
            <w:pPr>
              <w:pStyle w:val="Standard"/>
              <w:rPr>
                <w:rFonts w:asciiTheme="minorHAnsi" w:hAnsiTheme="minorHAnsi" w:cstheme="minorHAnsi"/>
                <w:sz w:val="20"/>
                <w:szCs w:val="20"/>
              </w:rPr>
            </w:pPr>
            <w:r w:rsidRPr="008B5EB6">
              <w:rPr>
                <w:rFonts w:asciiTheme="minorHAnsi" w:hAnsiTheme="minorHAnsi" w:cstheme="minorHAnsi"/>
                <w:sz w:val="20"/>
                <w:szCs w:val="20"/>
              </w:rPr>
              <w:t>Inhibition of human recombinant TPO; Interference with THR; Inhibition of TPO activity in rats; Antagonists of PR</w:t>
            </w:r>
          </w:p>
        </w:tc>
      </w:tr>
      <w:tr w:rsidR="00F52671" w:rsidRPr="00F22D78" w14:paraId="300CED1B" w14:textId="77777777" w:rsidTr="00E07077">
        <w:trPr>
          <w:trHeight w:val="637"/>
        </w:trPr>
        <w:tc>
          <w:tcPr>
            <w:tcW w:w="1448" w:type="dxa"/>
            <w:vMerge w:val="restart"/>
          </w:tcPr>
          <w:p w14:paraId="7AEF9714" w14:textId="77777777" w:rsidR="00F52671" w:rsidRPr="008B5EB6" w:rsidRDefault="00F52671" w:rsidP="00E07077">
            <w:pPr>
              <w:pStyle w:val="Standard"/>
              <w:jc w:val="center"/>
              <w:rPr>
                <w:rFonts w:asciiTheme="minorHAnsi" w:hAnsiTheme="minorHAnsi" w:cstheme="minorHAnsi"/>
                <w:sz w:val="20"/>
                <w:szCs w:val="20"/>
              </w:rPr>
            </w:pPr>
            <w:r w:rsidRPr="008B5EB6">
              <w:rPr>
                <w:rFonts w:asciiTheme="minorHAnsi" w:hAnsiTheme="minorHAnsi" w:cstheme="minorHAnsi"/>
                <w:sz w:val="20"/>
                <w:szCs w:val="20"/>
              </w:rPr>
              <w:t>Camphor derivatives</w:t>
            </w:r>
          </w:p>
        </w:tc>
        <w:tc>
          <w:tcPr>
            <w:tcW w:w="2683" w:type="dxa"/>
          </w:tcPr>
          <w:p w14:paraId="5483D659" w14:textId="77777777" w:rsidR="00F52671" w:rsidRPr="008B5EB6" w:rsidRDefault="00F52671" w:rsidP="00E07077">
            <w:pPr>
              <w:pStyle w:val="Standard"/>
              <w:rPr>
                <w:rFonts w:asciiTheme="minorHAnsi" w:hAnsiTheme="minorHAnsi" w:cstheme="minorHAnsi"/>
                <w:sz w:val="20"/>
                <w:szCs w:val="20"/>
              </w:rPr>
            </w:pPr>
            <w:r w:rsidRPr="008B5EB6">
              <w:rPr>
                <w:rFonts w:asciiTheme="minorHAnsi" w:hAnsiTheme="minorHAnsi" w:cstheme="minorHAnsi"/>
                <w:sz w:val="20"/>
                <w:szCs w:val="20"/>
              </w:rPr>
              <w:t>Disrupting effects toward estrogen receptor</w:t>
            </w:r>
          </w:p>
        </w:tc>
        <w:tc>
          <w:tcPr>
            <w:tcW w:w="10333" w:type="dxa"/>
          </w:tcPr>
          <w:p w14:paraId="60C2E660" w14:textId="77777777" w:rsidR="00F52671" w:rsidRPr="008B5EB6" w:rsidRDefault="00F52671" w:rsidP="00E07077">
            <w:pPr>
              <w:pStyle w:val="Standard"/>
              <w:rPr>
                <w:rFonts w:asciiTheme="minorHAnsi" w:hAnsiTheme="minorHAnsi" w:cstheme="minorHAnsi"/>
                <w:sz w:val="20"/>
                <w:szCs w:val="20"/>
              </w:rPr>
            </w:pPr>
            <w:r w:rsidRPr="008B5EB6">
              <w:rPr>
                <w:rFonts w:asciiTheme="minorHAnsi" w:hAnsiTheme="minorHAnsi" w:cstheme="minorHAnsi"/>
                <w:sz w:val="20"/>
                <w:szCs w:val="20"/>
              </w:rPr>
              <w:t>Activation of ERα, ERβ; Inhibition of the activity of 17β-</w:t>
            </w:r>
            <w:proofErr w:type="spellStart"/>
            <w:r w:rsidRPr="008B5EB6">
              <w:rPr>
                <w:rFonts w:asciiTheme="minorHAnsi" w:hAnsiTheme="minorHAnsi" w:cstheme="minorHAnsi"/>
                <w:sz w:val="20"/>
                <w:szCs w:val="20"/>
              </w:rPr>
              <w:t>Estradiol</w:t>
            </w:r>
            <w:proofErr w:type="spellEnd"/>
            <w:r w:rsidRPr="008B5EB6">
              <w:rPr>
                <w:rFonts w:asciiTheme="minorHAnsi" w:hAnsiTheme="minorHAnsi" w:cstheme="minorHAnsi"/>
                <w:sz w:val="20"/>
                <w:szCs w:val="20"/>
              </w:rPr>
              <w:t xml:space="preserve">; Inhibition of testosterone formation in HEK-293 cells; Antagonist of Human AR. </w:t>
            </w:r>
          </w:p>
        </w:tc>
      </w:tr>
      <w:tr w:rsidR="00F52671" w:rsidRPr="00F22D78" w14:paraId="3D179578" w14:textId="77777777" w:rsidTr="00E07077">
        <w:trPr>
          <w:trHeight w:val="138"/>
        </w:trPr>
        <w:tc>
          <w:tcPr>
            <w:tcW w:w="1448" w:type="dxa"/>
            <w:vMerge/>
          </w:tcPr>
          <w:p w14:paraId="7AF104CA" w14:textId="77777777" w:rsidR="00F52671" w:rsidRPr="008B5EB6" w:rsidRDefault="00F52671" w:rsidP="00E07077">
            <w:pPr>
              <w:pStyle w:val="Standard"/>
              <w:jc w:val="center"/>
              <w:rPr>
                <w:rFonts w:asciiTheme="minorHAnsi" w:hAnsiTheme="minorHAnsi" w:cstheme="minorHAnsi"/>
                <w:sz w:val="20"/>
                <w:szCs w:val="20"/>
              </w:rPr>
            </w:pPr>
          </w:p>
        </w:tc>
        <w:tc>
          <w:tcPr>
            <w:tcW w:w="2683" w:type="dxa"/>
          </w:tcPr>
          <w:p w14:paraId="0B51AD60" w14:textId="77777777" w:rsidR="00F52671" w:rsidRPr="008B5EB6" w:rsidRDefault="00F52671" w:rsidP="00E07077">
            <w:pPr>
              <w:pStyle w:val="Standard"/>
              <w:rPr>
                <w:rFonts w:asciiTheme="minorHAnsi" w:hAnsiTheme="minorHAnsi" w:cstheme="minorHAnsi"/>
                <w:sz w:val="20"/>
                <w:szCs w:val="20"/>
              </w:rPr>
            </w:pPr>
            <w:r w:rsidRPr="008B5EB6">
              <w:rPr>
                <w:rFonts w:asciiTheme="minorHAnsi" w:hAnsiTheme="minorHAnsi" w:cstheme="minorHAnsi"/>
                <w:sz w:val="20"/>
                <w:szCs w:val="20"/>
              </w:rPr>
              <w:t>Disrupting effects toward androgen receptor</w:t>
            </w:r>
          </w:p>
        </w:tc>
        <w:tc>
          <w:tcPr>
            <w:tcW w:w="10333" w:type="dxa"/>
          </w:tcPr>
          <w:p w14:paraId="5774F63E" w14:textId="77777777" w:rsidR="00F52671" w:rsidRPr="008B5EB6" w:rsidRDefault="00F52671" w:rsidP="00E07077">
            <w:pPr>
              <w:pStyle w:val="Standard"/>
              <w:rPr>
                <w:rFonts w:asciiTheme="minorHAnsi" w:hAnsiTheme="minorHAnsi" w:cstheme="minorHAnsi"/>
                <w:sz w:val="20"/>
                <w:szCs w:val="20"/>
              </w:rPr>
            </w:pPr>
            <w:r w:rsidRPr="008B5EB6">
              <w:rPr>
                <w:rFonts w:asciiTheme="minorHAnsi" w:hAnsiTheme="minorHAnsi" w:cstheme="minorHAnsi"/>
                <w:sz w:val="20"/>
                <w:szCs w:val="20"/>
              </w:rPr>
              <w:t xml:space="preserve">Repression of 4,5-dihydrotestosterone-induced </w:t>
            </w:r>
            <w:proofErr w:type="spellStart"/>
            <w:r w:rsidRPr="008B5EB6">
              <w:rPr>
                <w:rFonts w:asciiTheme="minorHAnsi" w:hAnsiTheme="minorHAnsi" w:cstheme="minorHAnsi"/>
                <w:sz w:val="20"/>
                <w:szCs w:val="20"/>
              </w:rPr>
              <w:t>transactivational</w:t>
            </w:r>
            <w:proofErr w:type="spellEnd"/>
            <w:r w:rsidRPr="008B5EB6">
              <w:rPr>
                <w:rFonts w:asciiTheme="minorHAnsi" w:hAnsiTheme="minorHAnsi" w:cstheme="minorHAnsi"/>
                <w:sz w:val="20"/>
                <w:szCs w:val="20"/>
              </w:rPr>
              <w:t xml:space="preserve"> activity; Inhibition of testosterone formation in HEK-293 cells; Antagonists of Human AR.</w:t>
            </w:r>
          </w:p>
        </w:tc>
      </w:tr>
      <w:tr w:rsidR="00F52671" w:rsidRPr="00F22D78" w14:paraId="424FAEB8" w14:textId="77777777" w:rsidTr="00E07077">
        <w:trPr>
          <w:trHeight w:val="138"/>
        </w:trPr>
        <w:tc>
          <w:tcPr>
            <w:tcW w:w="1448" w:type="dxa"/>
            <w:vMerge/>
          </w:tcPr>
          <w:p w14:paraId="4CCDFA7A" w14:textId="77777777" w:rsidR="00F52671" w:rsidRPr="008B5EB6" w:rsidRDefault="00F52671" w:rsidP="00E07077">
            <w:pPr>
              <w:pStyle w:val="Standard"/>
              <w:jc w:val="center"/>
              <w:rPr>
                <w:rFonts w:asciiTheme="minorHAnsi" w:hAnsiTheme="minorHAnsi" w:cstheme="minorHAnsi"/>
                <w:sz w:val="20"/>
                <w:szCs w:val="20"/>
              </w:rPr>
            </w:pPr>
          </w:p>
        </w:tc>
        <w:tc>
          <w:tcPr>
            <w:tcW w:w="2683" w:type="dxa"/>
          </w:tcPr>
          <w:p w14:paraId="150F0B04" w14:textId="77777777" w:rsidR="00F52671" w:rsidRPr="008B5EB6" w:rsidRDefault="00F52671" w:rsidP="00E07077">
            <w:pPr>
              <w:pStyle w:val="Standard"/>
              <w:rPr>
                <w:rFonts w:asciiTheme="minorHAnsi" w:hAnsiTheme="minorHAnsi" w:cstheme="minorHAnsi"/>
                <w:sz w:val="20"/>
                <w:szCs w:val="20"/>
              </w:rPr>
            </w:pPr>
            <w:r w:rsidRPr="008B5EB6">
              <w:rPr>
                <w:rFonts w:asciiTheme="minorHAnsi" w:hAnsiTheme="minorHAnsi" w:cstheme="minorHAnsi"/>
                <w:sz w:val="20"/>
                <w:szCs w:val="20"/>
              </w:rPr>
              <w:t>Disrupting effects toward estrogen receptor</w:t>
            </w:r>
          </w:p>
        </w:tc>
        <w:tc>
          <w:tcPr>
            <w:tcW w:w="10333" w:type="dxa"/>
          </w:tcPr>
          <w:p w14:paraId="7D26531E" w14:textId="77777777" w:rsidR="00F52671" w:rsidRPr="008B5EB6" w:rsidRDefault="00F52671" w:rsidP="00E07077">
            <w:pPr>
              <w:pStyle w:val="Standard"/>
              <w:rPr>
                <w:rFonts w:asciiTheme="minorHAnsi" w:hAnsiTheme="minorHAnsi" w:cstheme="minorHAnsi"/>
                <w:sz w:val="20"/>
                <w:szCs w:val="20"/>
              </w:rPr>
            </w:pPr>
            <w:r w:rsidRPr="008B5EB6">
              <w:rPr>
                <w:rFonts w:asciiTheme="minorHAnsi" w:hAnsiTheme="minorHAnsi" w:cstheme="minorHAnsi"/>
                <w:sz w:val="20"/>
                <w:szCs w:val="20"/>
              </w:rPr>
              <w:t>Antagonists of PR; Increase of PR mRNA levels in rats; Inhibition of the expression of PR protein in rats; Disturbance of the expression of membrane-associate PR in insects.</w:t>
            </w:r>
          </w:p>
        </w:tc>
      </w:tr>
      <w:tr w:rsidR="00F52671" w:rsidRPr="00F22D78" w14:paraId="1048BFC5" w14:textId="77777777" w:rsidTr="00E07077">
        <w:trPr>
          <w:trHeight w:val="624"/>
        </w:trPr>
        <w:tc>
          <w:tcPr>
            <w:tcW w:w="1448" w:type="dxa"/>
            <w:vMerge w:val="restart"/>
          </w:tcPr>
          <w:p w14:paraId="05EE9666" w14:textId="77777777" w:rsidR="00F52671" w:rsidRPr="008B5EB6" w:rsidRDefault="00F52671" w:rsidP="00E07077">
            <w:pPr>
              <w:pStyle w:val="Standard"/>
              <w:jc w:val="center"/>
              <w:rPr>
                <w:rFonts w:asciiTheme="minorHAnsi" w:hAnsiTheme="minorHAnsi" w:cstheme="minorHAnsi"/>
                <w:sz w:val="20"/>
                <w:szCs w:val="20"/>
              </w:rPr>
            </w:pPr>
            <w:r w:rsidRPr="008B5EB6">
              <w:rPr>
                <w:rFonts w:asciiTheme="minorHAnsi" w:hAnsiTheme="minorHAnsi" w:cstheme="minorHAnsi"/>
                <w:sz w:val="20"/>
                <w:szCs w:val="20"/>
              </w:rPr>
              <w:t>Cinnamate derivatives</w:t>
            </w:r>
          </w:p>
        </w:tc>
        <w:tc>
          <w:tcPr>
            <w:tcW w:w="2683" w:type="dxa"/>
          </w:tcPr>
          <w:p w14:paraId="2D0C7A75" w14:textId="77777777" w:rsidR="00F52671" w:rsidRPr="008B5EB6" w:rsidRDefault="00F52671" w:rsidP="00E07077">
            <w:pPr>
              <w:pStyle w:val="Standard"/>
              <w:rPr>
                <w:rFonts w:asciiTheme="minorHAnsi" w:hAnsiTheme="minorHAnsi" w:cstheme="minorHAnsi"/>
                <w:sz w:val="20"/>
                <w:szCs w:val="20"/>
              </w:rPr>
            </w:pPr>
            <w:r w:rsidRPr="008B5EB6">
              <w:rPr>
                <w:rFonts w:asciiTheme="minorHAnsi" w:hAnsiTheme="minorHAnsi" w:cstheme="minorHAnsi"/>
                <w:sz w:val="20"/>
                <w:szCs w:val="20"/>
              </w:rPr>
              <w:t>Disrupting effects toward estrogen receptor</w:t>
            </w:r>
          </w:p>
        </w:tc>
        <w:tc>
          <w:tcPr>
            <w:tcW w:w="10333" w:type="dxa"/>
          </w:tcPr>
          <w:p w14:paraId="52C2A535" w14:textId="77777777" w:rsidR="00F52671" w:rsidRPr="008B5EB6" w:rsidRDefault="00F52671" w:rsidP="00E07077">
            <w:pPr>
              <w:pStyle w:val="Standard"/>
              <w:rPr>
                <w:rFonts w:asciiTheme="minorHAnsi" w:hAnsiTheme="minorHAnsi" w:cstheme="minorHAnsi"/>
                <w:sz w:val="20"/>
                <w:szCs w:val="20"/>
              </w:rPr>
            </w:pPr>
            <w:r w:rsidRPr="008B5EB6">
              <w:rPr>
                <w:rFonts w:asciiTheme="minorHAnsi" w:hAnsiTheme="minorHAnsi" w:cstheme="minorHAnsi"/>
                <w:sz w:val="20"/>
                <w:szCs w:val="20"/>
              </w:rPr>
              <w:t>Activation of ERα; Inhibition of the activity of 17β-</w:t>
            </w:r>
            <w:proofErr w:type="spellStart"/>
            <w:r w:rsidRPr="008B5EB6">
              <w:rPr>
                <w:rFonts w:asciiTheme="minorHAnsi" w:hAnsiTheme="minorHAnsi" w:cstheme="minorHAnsi"/>
                <w:sz w:val="20"/>
                <w:szCs w:val="20"/>
              </w:rPr>
              <w:t>Estradiol</w:t>
            </w:r>
            <w:proofErr w:type="spellEnd"/>
            <w:r w:rsidRPr="008B5EB6">
              <w:rPr>
                <w:rFonts w:asciiTheme="minorHAnsi" w:hAnsiTheme="minorHAnsi" w:cstheme="minorHAnsi"/>
                <w:sz w:val="20"/>
                <w:szCs w:val="20"/>
              </w:rPr>
              <w:t>; Induction of proliferation of MCF-7 cell; Reduction of uterine weight in rats; Induction of VTG in fish.</w:t>
            </w:r>
          </w:p>
        </w:tc>
      </w:tr>
      <w:tr w:rsidR="00F52671" w:rsidRPr="00337DA3" w14:paraId="432CBF5F" w14:textId="77777777" w:rsidTr="00E07077">
        <w:trPr>
          <w:trHeight w:val="138"/>
        </w:trPr>
        <w:tc>
          <w:tcPr>
            <w:tcW w:w="1448" w:type="dxa"/>
            <w:vMerge/>
          </w:tcPr>
          <w:p w14:paraId="51F1900E" w14:textId="77777777" w:rsidR="00F52671" w:rsidRPr="008B5EB6" w:rsidRDefault="00F52671" w:rsidP="00E07077">
            <w:pPr>
              <w:pStyle w:val="Standard"/>
              <w:rPr>
                <w:rFonts w:asciiTheme="minorHAnsi" w:hAnsiTheme="minorHAnsi" w:cstheme="minorHAnsi"/>
                <w:sz w:val="20"/>
                <w:szCs w:val="20"/>
              </w:rPr>
            </w:pPr>
          </w:p>
        </w:tc>
        <w:tc>
          <w:tcPr>
            <w:tcW w:w="2683" w:type="dxa"/>
          </w:tcPr>
          <w:p w14:paraId="3B30385C" w14:textId="77777777" w:rsidR="00F52671" w:rsidRPr="008B5EB6" w:rsidRDefault="00F52671" w:rsidP="00E07077">
            <w:pPr>
              <w:pStyle w:val="Standard"/>
              <w:rPr>
                <w:rFonts w:asciiTheme="minorHAnsi" w:hAnsiTheme="minorHAnsi" w:cstheme="minorHAnsi"/>
                <w:sz w:val="20"/>
                <w:szCs w:val="20"/>
              </w:rPr>
            </w:pPr>
            <w:r w:rsidRPr="008B5EB6">
              <w:rPr>
                <w:rFonts w:asciiTheme="minorHAnsi" w:hAnsiTheme="minorHAnsi" w:cstheme="minorHAnsi"/>
                <w:sz w:val="20"/>
                <w:szCs w:val="20"/>
              </w:rPr>
              <w:t>Disrupting effects toward thyroid hormone receptor</w:t>
            </w:r>
          </w:p>
        </w:tc>
        <w:tc>
          <w:tcPr>
            <w:tcW w:w="10333" w:type="dxa"/>
          </w:tcPr>
          <w:p w14:paraId="43EF0201" w14:textId="77777777" w:rsidR="00F52671" w:rsidRPr="008B5EB6" w:rsidRDefault="00F52671" w:rsidP="00E07077">
            <w:pPr>
              <w:pStyle w:val="Standard"/>
              <w:rPr>
                <w:rFonts w:asciiTheme="minorHAnsi" w:hAnsiTheme="minorHAnsi" w:cstheme="minorHAnsi"/>
                <w:sz w:val="20"/>
                <w:szCs w:val="20"/>
              </w:rPr>
            </w:pPr>
            <w:r w:rsidRPr="008B5EB6">
              <w:rPr>
                <w:rFonts w:asciiTheme="minorHAnsi" w:hAnsiTheme="minorHAnsi" w:cstheme="minorHAnsi"/>
                <w:sz w:val="20"/>
                <w:szCs w:val="20"/>
              </w:rPr>
              <w:t>Decrease of T4 levels; Inhibition of the conversion of T4 to triiodothyronine in rats.</w:t>
            </w:r>
          </w:p>
        </w:tc>
      </w:tr>
      <w:tr w:rsidR="00F52671" w:rsidRPr="00337DA3" w14:paraId="009D4B9E" w14:textId="77777777" w:rsidTr="00E07077">
        <w:trPr>
          <w:trHeight w:val="138"/>
        </w:trPr>
        <w:tc>
          <w:tcPr>
            <w:tcW w:w="1448" w:type="dxa"/>
            <w:vMerge/>
          </w:tcPr>
          <w:p w14:paraId="26B685A4" w14:textId="77777777" w:rsidR="00F52671" w:rsidRPr="008B5EB6" w:rsidRDefault="00F52671" w:rsidP="00E07077">
            <w:pPr>
              <w:pStyle w:val="Standard"/>
              <w:rPr>
                <w:rFonts w:asciiTheme="minorHAnsi" w:hAnsiTheme="minorHAnsi" w:cstheme="minorHAnsi"/>
                <w:sz w:val="20"/>
                <w:szCs w:val="20"/>
              </w:rPr>
            </w:pPr>
          </w:p>
        </w:tc>
        <w:tc>
          <w:tcPr>
            <w:tcW w:w="2683" w:type="dxa"/>
          </w:tcPr>
          <w:p w14:paraId="4331AE28" w14:textId="77777777" w:rsidR="00F52671" w:rsidRPr="008B5EB6" w:rsidRDefault="00F52671" w:rsidP="00E07077">
            <w:pPr>
              <w:pStyle w:val="Standard"/>
              <w:rPr>
                <w:rFonts w:asciiTheme="minorHAnsi" w:hAnsiTheme="minorHAnsi" w:cstheme="minorHAnsi"/>
                <w:sz w:val="20"/>
                <w:szCs w:val="20"/>
              </w:rPr>
            </w:pPr>
            <w:r w:rsidRPr="008B5EB6">
              <w:rPr>
                <w:rFonts w:asciiTheme="minorHAnsi" w:hAnsiTheme="minorHAnsi" w:cstheme="minorHAnsi"/>
                <w:sz w:val="20"/>
                <w:szCs w:val="20"/>
              </w:rPr>
              <w:t>Disrupting effects toward other nuclear receptors</w:t>
            </w:r>
          </w:p>
        </w:tc>
        <w:tc>
          <w:tcPr>
            <w:tcW w:w="10333" w:type="dxa"/>
          </w:tcPr>
          <w:p w14:paraId="63F31C9B" w14:textId="77777777" w:rsidR="00F52671" w:rsidRPr="008B5EB6" w:rsidRDefault="00F52671" w:rsidP="00E07077">
            <w:pPr>
              <w:pStyle w:val="Standard"/>
              <w:rPr>
                <w:rFonts w:asciiTheme="minorHAnsi" w:hAnsiTheme="minorHAnsi" w:cstheme="minorHAnsi"/>
                <w:sz w:val="20"/>
                <w:szCs w:val="20"/>
              </w:rPr>
            </w:pPr>
            <w:r w:rsidRPr="008B5EB6">
              <w:rPr>
                <w:rFonts w:asciiTheme="minorHAnsi" w:hAnsiTheme="minorHAnsi" w:cstheme="minorHAnsi"/>
                <w:sz w:val="20"/>
                <w:szCs w:val="20"/>
              </w:rPr>
              <w:t>Antagonists of PR and AR; Inhibition of 4,5-dihydrotestosterone activity; Reduction of prostate and testicular weight in rats.</w:t>
            </w:r>
          </w:p>
        </w:tc>
      </w:tr>
    </w:tbl>
    <w:p w14:paraId="2D6A8FB1" w14:textId="77777777" w:rsidR="00F52671" w:rsidRPr="00EA504F" w:rsidRDefault="00F52671" w:rsidP="00F52671">
      <w:pPr>
        <w:pStyle w:val="Standard"/>
        <w:spacing w:after="0"/>
        <w:rPr>
          <w:sz w:val="16"/>
          <w:szCs w:val="16"/>
        </w:rPr>
      </w:pPr>
      <w:r w:rsidRPr="00EA504F">
        <w:rPr>
          <w:sz w:val="16"/>
          <w:szCs w:val="16"/>
        </w:rPr>
        <w:t>AR: androgen receptor; ER: estrogen receptor alpha; PR: progesterone receptor; T4: thyroxine; THR: thyroid hormone receptor; TPO: thyroid peroxidase; VTG: vitellogenin.</w:t>
      </w:r>
    </w:p>
    <w:p w14:paraId="02628461" w14:textId="77777777" w:rsidR="00451768" w:rsidRDefault="00F52671" w:rsidP="008E26CF">
      <w:pPr>
        <w:pStyle w:val="Standard"/>
        <w:spacing w:after="0"/>
        <w:rPr>
          <w:sz w:val="16"/>
          <w:szCs w:val="16"/>
        </w:rPr>
      </w:pPr>
      <w:r w:rsidRPr="00EA504F">
        <w:rPr>
          <w:sz w:val="16"/>
          <w:szCs w:val="16"/>
        </w:rPr>
        <w:t xml:space="preserve">Source:  Wang </w:t>
      </w:r>
      <w:r w:rsidRPr="00EA504F">
        <w:rPr>
          <w:i/>
          <w:iCs/>
          <w:sz w:val="16"/>
          <w:szCs w:val="16"/>
        </w:rPr>
        <w:t>et al.,</w:t>
      </w:r>
      <w:r w:rsidRPr="00EA504F">
        <w:rPr>
          <w:sz w:val="16"/>
          <w:szCs w:val="16"/>
        </w:rPr>
        <w:t xml:space="preserve"> 2016</w:t>
      </w:r>
      <w:bookmarkStart w:id="173" w:name="_Toc190944949"/>
    </w:p>
    <w:p w14:paraId="15F0AC17" w14:textId="77777777" w:rsidR="00451768" w:rsidRDefault="00451768" w:rsidP="008E26CF">
      <w:pPr>
        <w:pStyle w:val="Standard"/>
        <w:spacing w:after="0"/>
        <w:rPr>
          <w:sz w:val="16"/>
          <w:szCs w:val="16"/>
        </w:rPr>
      </w:pPr>
    </w:p>
    <w:p w14:paraId="2C692623" w14:textId="77777777" w:rsidR="009A6057" w:rsidRDefault="009A6057">
      <w:pPr>
        <w:sectPr w:rsidR="009A6057" w:rsidSect="003E7BCD">
          <w:pgSz w:w="16838" w:h="11906" w:orient="landscape"/>
          <w:pgMar w:top="1440" w:right="1440" w:bottom="1440" w:left="1440" w:header="708" w:footer="708" w:gutter="0"/>
          <w:cols w:space="708"/>
          <w:docGrid w:linePitch="360"/>
        </w:sectPr>
      </w:pPr>
    </w:p>
    <w:p w14:paraId="6537A4D1" w14:textId="3FC79CFB" w:rsidR="001739C2" w:rsidRDefault="001739C2" w:rsidP="00FA68CF">
      <w:pPr>
        <w:pStyle w:val="Heading2"/>
      </w:pPr>
      <w:bookmarkStart w:id="174" w:name="_Toc199254987"/>
      <w:r>
        <w:lastRenderedPageBreak/>
        <w:t>References</w:t>
      </w:r>
      <w:bookmarkEnd w:id="173"/>
      <w:bookmarkEnd w:id="174"/>
    </w:p>
    <w:p w14:paraId="22BADA37"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Aerts O., Goossens A., </w:t>
      </w:r>
      <w:proofErr w:type="spellStart"/>
      <w:r w:rsidRPr="00D23C24">
        <w:rPr>
          <w:rFonts w:eastAsiaTheme="minorHAnsi" w:cs="Arial"/>
          <w:color w:val="auto"/>
          <w:sz w:val="20"/>
        </w:rPr>
        <w:t>Bervoets</w:t>
      </w:r>
      <w:proofErr w:type="spellEnd"/>
      <w:r w:rsidRPr="00D23C24">
        <w:rPr>
          <w:rFonts w:eastAsiaTheme="minorHAnsi" w:cs="Arial"/>
          <w:color w:val="auto"/>
          <w:sz w:val="20"/>
        </w:rPr>
        <w:t xml:space="preserve"> A., Lambert J. (2016) Almost missed it! </w:t>
      </w:r>
      <w:proofErr w:type="spellStart"/>
      <w:r w:rsidRPr="00D23C24">
        <w:rPr>
          <w:rFonts w:eastAsiaTheme="minorHAnsi" w:cs="Arial"/>
          <w:color w:val="auto"/>
          <w:sz w:val="20"/>
        </w:rPr>
        <w:t>Photocontact</w:t>
      </w:r>
      <w:proofErr w:type="spellEnd"/>
      <w:r w:rsidRPr="00D23C24">
        <w:rPr>
          <w:rFonts w:eastAsiaTheme="minorHAnsi" w:cs="Arial"/>
          <w:color w:val="auto"/>
          <w:sz w:val="20"/>
        </w:rPr>
        <w:t xml:space="preserve"> allergy to octocrylene in a ketoprofen-sensitized subject. Dermatitis. 27: 33–34.</w:t>
      </w:r>
    </w:p>
    <w:p w14:paraId="75524638"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Andersson N., et al. (2018). Guidance for the identiﬁcation of endocrine disruptors in the context of Regulations (EU) No 528/2012 and (EC) No 1107/2009. EFSA Journal. 16(6): e5311. </w:t>
      </w:r>
    </w:p>
    <w:p w14:paraId="705CD52A" w14:textId="77777777" w:rsidR="001739C2" w:rsidRPr="00D23C24" w:rsidRDefault="001739C2" w:rsidP="001D3727">
      <w:pPr>
        <w:pStyle w:val="Standard"/>
        <w:spacing w:after="120" w:line="259" w:lineRule="auto"/>
        <w:rPr>
          <w:rFonts w:ascii="Arial" w:eastAsiaTheme="minorHAnsi" w:hAnsi="Arial" w:cs="Arial"/>
          <w:snapToGrid/>
          <w:kern w:val="0"/>
          <w:sz w:val="20"/>
          <w:szCs w:val="20"/>
        </w:rPr>
      </w:pPr>
      <w:r w:rsidRPr="00D23C24">
        <w:rPr>
          <w:rFonts w:ascii="Arial" w:eastAsiaTheme="minorHAnsi" w:hAnsi="Arial" w:cs="Arial"/>
          <w:snapToGrid/>
          <w:kern w:val="0"/>
          <w:sz w:val="20"/>
          <w:szCs w:val="20"/>
        </w:rPr>
        <w:t xml:space="preserve">Avenel-Audran M., </w:t>
      </w:r>
      <w:proofErr w:type="spellStart"/>
      <w:r w:rsidRPr="00D23C24">
        <w:rPr>
          <w:rFonts w:ascii="Arial" w:eastAsiaTheme="minorHAnsi" w:hAnsi="Arial" w:cs="Arial"/>
          <w:snapToGrid/>
          <w:kern w:val="0"/>
          <w:sz w:val="20"/>
          <w:szCs w:val="20"/>
        </w:rPr>
        <w:t>Dutartre</w:t>
      </w:r>
      <w:proofErr w:type="spellEnd"/>
      <w:r w:rsidRPr="00D23C24">
        <w:rPr>
          <w:rFonts w:ascii="Arial" w:eastAsiaTheme="minorHAnsi" w:hAnsi="Arial" w:cs="Arial"/>
          <w:snapToGrid/>
          <w:kern w:val="0"/>
          <w:sz w:val="20"/>
          <w:szCs w:val="20"/>
        </w:rPr>
        <w:t xml:space="preserve"> H., Goossens A., et al. (2010) Octocrylene, an emerging </w:t>
      </w:r>
      <w:proofErr w:type="spellStart"/>
      <w:r w:rsidRPr="00D23C24">
        <w:rPr>
          <w:rFonts w:ascii="Arial" w:eastAsiaTheme="minorHAnsi" w:hAnsi="Arial" w:cs="Arial"/>
          <w:snapToGrid/>
          <w:kern w:val="0"/>
          <w:sz w:val="20"/>
          <w:szCs w:val="20"/>
        </w:rPr>
        <w:t>photoallergen</w:t>
      </w:r>
      <w:proofErr w:type="spellEnd"/>
      <w:r w:rsidRPr="00D23C24">
        <w:rPr>
          <w:rFonts w:ascii="Arial" w:eastAsiaTheme="minorHAnsi" w:hAnsi="Arial" w:cs="Arial"/>
          <w:snapToGrid/>
          <w:kern w:val="0"/>
          <w:sz w:val="20"/>
          <w:szCs w:val="20"/>
        </w:rPr>
        <w:t>. Arch. Dermatol. 146: 753–757.</w:t>
      </w:r>
    </w:p>
    <w:p w14:paraId="346AB228" w14:textId="77777777" w:rsidR="001739C2" w:rsidRPr="00D23C24" w:rsidRDefault="001739C2" w:rsidP="001D3727">
      <w:pPr>
        <w:pStyle w:val="Standard"/>
        <w:spacing w:after="120" w:line="259" w:lineRule="auto"/>
        <w:rPr>
          <w:rFonts w:ascii="Arial" w:eastAsiaTheme="minorHAnsi" w:hAnsi="Arial" w:cs="Arial"/>
          <w:snapToGrid/>
          <w:kern w:val="0"/>
          <w:sz w:val="20"/>
          <w:szCs w:val="20"/>
        </w:rPr>
      </w:pPr>
      <w:proofErr w:type="spellStart"/>
      <w:r w:rsidRPr="00D23C24">
        <w:rPr>
          <w:rFonts w:ascii="Arial" w:eastAsiaTheme="minorHAnsi" w:hAnsi="Arial" w:cs="Arial"/>
          <w:snapToGrid/>
          <w:kern w:val="0"/>
          <w:sz w:val="20"/>
          <w:szCs w:val="20"/>
        </w:rPr>
        <w:t>Axelstad</w:t>
      </w:r>
      <w:proofErr w:type="spellEnd"/>
      <w:r w:rsidRPr="00D23C24">
        <w:rPr>
          <w:rFonts w:ascii="Arial" w:eastAsiaTheme="minorHAnsi" w:hAnsi="Arial" w:cs="Arial"/>
          <w:snapToGrid/>
          <w:kern w:val="0"/>
          <w:sz w:val="20"/>
          <w:szCs w:val="20"/>
        </w:rPr>
        <w:t xml:space="preserve"> M., et al. (2011) Effects of pre- and postnatal exposure to the UV-filter Octyl Methoxycinnamate (OMC) on the reproductive, auditory and neurological development of rat offspring. </w:t>
      </w:r>
      <w:proofErr w:type="spellStart"/>
      <w:r w:rsidRPr="00D23C24">
        <w:rPr>
          <w:rFonts w:ascii="Arial" w:eastAsiaTheme="minorHAnsi" w:hAnsi="Arial" w:cs="Arial"/>
          <w:snapToGrid/>
          <w:kern w:val="0"/>
          <w:sz w:val="20"/>
          <w:szCs w:val="20"/>
        </w:rPr>
        <w:t>Toxicol</w:t>
      </w:r>
      <w:proofErr w:type="spellEnd"/>
      <w:r w:rsidRPr="00D23C24">
        <w:rPr>
          <w:rFonts w:ascii="Arial" w:eastAsiaTheme="minorHAnsi" w:hAnsi="Arial" w:cs="Arial"/>
          <w:snapToGrid/>
          <w:kern w:val="0"/>
          <w:sz w:val="20"/>
          <w:szCs w:val="20"/>
        </w:rPr>
        <w:t xml:space="preserve">. Applied </w:t>
      </w:r>
      <w:proofErr w:type="spellStart"/>
      <w:r w:rsidRPr="00D23C24">
        <w:rPr>
          <w:rFonts w:ascii="Arial" w:eastAsiaTheme="minorHAnsi" w:hAnsi="Arial" w:cs="Arial"/>
          <w:snapToGrid/>
          <w:kern w:val="0"/>
          <w:sz w:val="20"/>
          <w:szCs w:val="20"/>
        </w:rPr>
        <w:t>Pharmacol</w:t>
      </w:r>
      <w:proofErr w:type="spellEnd"/>
      <w:r w:rsidRPr="00D23C24">
        <w:rPr>
          <w:rFonts w:ascii="Arial" w:eastAsiaTheme="minorHAnsi" w:hAnsi="Arial" w:cs="Arial"/>
          <w:snapToGrid/>
          <w:kern w:val="0"/>
          <w:sz w:val="20"/>
          <w:szCs w:val="20"/>
        </w:rPr>
        <w:t>. 250: 278–290.</w:t>
      </w:r>
    </w:p>
    <w:p w14:paraId="7C4172C8" w14:textId="77777777" w:rsidR="001739C2" w:rsidRPr="00D23C24" w:rsidRDefault="001739C2" w:rsidP="001D3727">
      <w:pPr>
        <w:pStyle w:val="Standard"/>
        <w:spacing w:after="120" w:line="259" w:lineRule="auto"/>
        <w:rPr>
          <w:rFonts w:asciiTheme="minorHAnsi" w:hAnsiTheme="minorHAnsi" w:cstheme="minorHAnsi"/>
          <w:sz w:val="20"/>
          <w:szCs w:val="20"/>
        </w:rPr>
      </w:pPr>
      <w:proofErr w:type="spellStart"/>
      <w:r w:rsidRPr="00D23C24">
        <w:rPr>
          <w:rFonts w:ascii="Arial" w:eastAsiaTheme="minorHAnsi" w:hAnsi="Arial" w:cs="Arial"/>
          <w:snapToGrid/>
          <w:kern w:val="0"/>
          <w:sz w:val="20"/>
          <w:szCs w:val="20"/>
        </w:rPr>
        <w:t>Axelstad</w:t>
      </w:r>
      <w:proofErr w:type="spellEnd"/>
      <w:r w:rsidRPr="00D23C24">
        <w:rPr>
          <w:rFonts w:ascii="Arial" w:eastAsiaTheme="minorHAnsi" w:hAnsi="Arial" w:cs="Arial"/>
          <w:snapToGrid/>
          <w:kern w:val="0"/>
          <w:sz w:val="20"/>
          <w:szCs w:val="20"/>
        </w:rPr>
        <w:t xml:space="preserve"> M., Hass U., Kinnberg K.L., Bjerregaard P. (2013) Assessment of the endocrine disrupting potential of 23 UV-filters. Danish Centre on Endocrine Disrupters. Retrieved from</w:t>
      </w:r>
      <w:r w:rsidRPr="007E188A">
        <w:rPr>
          <w:sz w:val="22"/>
          <w:szCs w:val="22"/>
        </w:rPr>
        <w:t xml:space="preserve"> </w:t>
      </w:r>
      <w:hyperlink r:id="rId71" w:history="1">
        <w:r w:rsidRPr="00D23C24">
          <w:rPr>
            <w:rStyle w:val="Hyperlink"/>
            <w:rFonts w:asciiTheme="minorHAnsi" w:hAnsiTheme="minorHAnsi" w:cstheme="minorHAnsi"/>
            <w:sz w:val="20"/>
            <w:szCs w:val="20"/>
          </w:rPr>
          <w:t>http://www.cend.dk/files/UV-filter-rapport-28022013_40s388pi.pdf</w:t>
        </w:r>
      </w:hyperlink>
    </w:p>
    <w:p w14:paraId="75DD6315" w14:textId="77777777" w:rsidR="001739C2" w:rsidRPr="00D23C24" w:rsidRDefault="001739C2" w:rsidP="001D3727">
      <w:pPr>
        <w:pStyle w:val="FootnoteText"/>
        <w:spacing w:after="120" w:line="259" w:lineRule="auto"/>
        <w:rPr>
          <w:rFonts w:eastAsiaTheme="minorHAnsi" w:cs="Arial"/>
          <w:color w:val="auto"/>
          <w:sz w:val="20"/>
        </w:rPr>
      </w:pPr>
      <w:proofErr w:type="spellStart"/>
      <w:r w:rsidRPr="00D23C24">
        <w:rPr>
          <w:rFonts w:eastAsiaTheme="minorHAnsi" w:cs="Arial"/>
          <w:color w:val="auto"/>
          <w:sz w:val="20"/>
        </w:rPr>
        <w:t>Axelstad</w:t>
      </w:r>
      <w:proofErr w:type="spellEnd"/>
      <w:r w:rsidRPr="00D23C24">
        <w:rPr>
          <w:rFonts w:eastAsiaTheme="minorHAnsi" w:cs="Arial"/>
          <w:color w:val="auto"/>
          <w:sz w:val="20"/>
        </w:rPr>
        <w:t xml:space="preserve"> M., et al. (2018) EDC IMPACT: reduced sperm counts in rats exposed to human relevant mixtures of endocrine disrupters. </w:t>
      </w:r>
      <w:proofErr w:type="spellStart"/>
      <w:r w:rsidRPr="00D23C24">
        <w:rPr>
          <w:rFonts w:eastAsiaTheme="minorHAnsi" w:cs="Arial"/>
          <w:color w:val="auto"/>
          <w:sz w:val="20"/>
        </w:rPr>
        <w:t>Endocr</w:t>
      </w:r>
      <w:proofErr w:type="spellEnd"/>
      <w:r w:rsidRPr="00D23C24">
        <w:rPr>
          <w:rFonts w:eastAsiaTheme="minorHAnsi" w:cs="Arial"/>
          <w:color w:val="auto"/>
          <w:sz w:val="20"/>
        </w:rPr>
        <w:t>. Connect. 7: 139–148.</w:t>
      </w:r>
    </w:p>
    <w:p w14:paraId="492F035B" w14:textId="77777777" w:rsidR="001739C2" w:rsidRPr="00E8439A" w:rsidRDefault="001739C2" w:rsidP="001D3727">
      <w:pPr>
        <w:pStyle w:val="FootnoteText"/>
        <w:spacing w:after="120" w:line="259" w:lineRule="auto"/>
        <w:rPr>
          <w:rStyle w:val="Hyperlink"/>
          <w:rFonts w:cs="Arial"/>
          <w:sz w:val="20"/>
        </w:rPr>
      </w:pPr>
      <w:r w:rsidRPr="00D23C24">
        <w:rPr>
          <w:rFonts w:eastAsiaTheme="minorHAnsi" w:cs="Arial"/>
          <w:color w:val="auto"/>
          <w:sz w:val="20"/>
        </w:rPr>
        <w:t xml:space="preserve">BASF (1995). Penetration of </w:t>
      </w:r>
      <w:proofErr w:type="spellStart"/>
      <w:r w:rsidRPr="00D23C24">
        <w:rPr>
          <w:rFonts w:eastAsiaTheme="minorHAnsi" w:cs="Arial"/>
          <w:color w:val="auto"/>
          <w:sz w:val="20"/>
        </w:rPr>
        <w:t>Uvinul</w:t>
      </w:r>
      <w:proofErr w:type="spellEnd"/>
      <w:r w:rsidRPr="00D23C24">
        <w:rPr>
          <w:rFonts w:eastAsiaTheme="minorHAnsi" w:cs="Arial"/>
          <w:color w:val="auto"/>
          <w:sz w:val="20"/>
        </w:rPr>
        <w:t xml:space="preserve"> T 150 (5 % in a Sunscreen Formulation) through Human Epidermis in vitro. Amendment No. 1. to the Report, BASF. Department of Toxicology, 79 pp. Retrieved from</w:t>
      </w:r>
      <w:r w:rsidRPr="007E188A">
        <w:rPr>
          <w:rFonts w:cstheme="minorHAnsi"/>
          <w:sz w:val="22"/>
          <w:szCs w:val="22"/>
        </w:rPr>
        <w:t xml:space="preserve"> </w:t>
      </w:r>
      <w:hyperlink r:id="rId72" w:history="1">
        <w:r w:rsidRPr="00E8439A">
          <w:rPr>
            <w:rStyle w:val="Hyperlink"/>
            <w:rFonts w:cs="Arial"/>
            <w:sz w:val="20"/>
          </w:rPr>
          <w:t>http://www.fda.gov/ohrms/dockets/dailys/04/july04/070804/03n-0233-sup0002-018-tab-16-vol3.pdf</w:t>
        </w:r>
      </w:hyperlink>
    </w:p>
    <w:p w14:paraId="2BA09519"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Barr L., Alamer M., </w:t>
      </w:r>
      <w:proofErr w:type="spellStart"/>
      <w:r w:rsidRPr="00D23C24">
        <w:rPr>
          <w:rFonts w:eastAsiaTheme="minorHAnsi" w:cs="Arial"/>
          <w:color w:val="auto"/>
          <w:sz w:val="20"/>
        </w:rPr>
        <w:t>Darbre</w:t>
      </w:r>
      <w:proofErr w:type="spellEnd"/>
      <w:r w:rsidRPr="00D23C24">
        <w:rPr>
          <w:rFonts w:eastAsiaTheme="minorHAnsi" w:cs="Arial"/>
          <w:color w:val="auto"/>
          <w:sz w:val="20"/>
        </w:rPr>
        <w:t xml:space="preserve"> P.D. (2018). Measurement of concentrations of four chemical ultraviolet filters in human breast tissue at serial locations across the breast, J. Appl. </w:t>
      </w:r>
      <w:proofErr w:type="spellStart"/>
      <w:r w:rsidRPr="00D23C24">
        <w:rPr>
          <w:rFonts w:eastAsiaTheme="minorHAnsi" w:cs="Arial"/>
          <w:color w:val="auto"/>
          <w:sz w:val="20"/>
        </w:rPr>
        <w:t>Toxicol</w:t>
      </w:r>
      <w:proofErr w:type="spellEnd"/>
      <w:r w:rsidRPr="00D23C24">
        <w:rPr>
          <w:rFonts w:eastAsiaTheme="minorHAnsi" w:cs="Arial"/>
          <w:color w:val="auto"/>
          <w:sz w:val="20"/>
        </w:rPr>
        <w:t xml:space="preserve">.; 38(8) 1112-1120. </w:t>
      </w:r>
    </w:p>
    <w:p w14:paraId="4A84AE28" w14:textId="77777777" w:rsidR="001739C2" w:rsidRPr="00D23C24" w:rsidRDefault="001739C2" w:rsidP="001D3727">
      <w:pPr>
        <w:pStyle w:val="FootnoteText"/>
        <w:spacing w:after="120" w:line="259" w:lineRule="auto"/>
        <w:rPr>
          <w:rFonts w:eastAsiaTheme="minorHAnsi" w:cs="Arial"/>
          <w:color w:val="auto"/>
          <w:sz w:val="20"/>
        </w:rPr>
      </w:pPr>
      <w:proofErr w:type="spellStart"/>
      <w:r w:rsidRPr="00D23C24">
        <w:rPr>
          <w:rFonts w:eastAsiaTheme="minorHAnsi" w:cs="Arial"/>
          <w:color w:val="auto"/>
          <w:sz w:val="20"/>
        </w:rPr>
        <w:t>Berardesca</w:t>
      </w:r>
      <w:proofErr w:type="spellEnd"/>
      <w:r w:rsidRPr="00D23C24">
        <w:rPr>
          <w:rFonts w:eastAsiaTheme="minorHAnsi" w:cs="Arial"/>
          <w:color w:val="auto"/>
          <w:sz w:val="20"/>
        </w:rPr>
        <w:t xml:space="preserve"> E., et al. (2019) Review of the safety of octocrylene used as an ultraviolet filter in cosmetics. J. Eur. Acad. Dermatol. </w:t>
      </w:r>
      <w:proofErr w:type="spellStart"/>
      <w:r w:rsidRPr="00D23C24">
        <w:rPr>
          <w:rFonts w:eastAsiaTheme="minorHAnsi" w:cs="Arial"/>
          <w:color w:val="auto"/>
          <w:sz w:val="20"/>
        </w:rPr>
        <w:t>Venereol</w:t>
      </w:r>
      <w:proofErr w:type="spellEnd"/>
      <w:r w:rsidRPr="00D23C24">
        <w:rPr>
          <w:rFonts w:eastAsiaTheme="minorHAnsi" w:cs="Arial"/>
          <w:color w:val="auto"/>
          <w:sz w:val="20"/>
        </w:rPr>
        <w:t xml:space="preserve">. 33(Suppl 7): 25–33. </w:t>
      </w:r>
    </w:p>
    <w:p w14:paraId="5F1A18B5"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Bremmer &amp; LCH, </w:t>
      </w:r>
      <w:proofErr w:type="spellStart"/>
      <w:r w:rsidRPr="00D23C24">
        <w:rPr>
          <w:rFonts w:eastAsiaTheme="minorHAnsi" w:cs="Arial"/>
          <w:color w:val="auto"/>
          <w:sz w:val="20"/>
        </w:rPr>
        <w:t>Prud'homme</w:t>
      </w:r>
      <w:proofErr w:type="spellEnd"/>
      <w:r w:rsidRPr="00D23C24">
        <w:rPr>
          <w:rFonts w:eastAsiaTheme="minorHAnsi" w:cs="Arial"/>
          <w:color w:val="auto"/>
          <w:sz w:val="20"/>
        </w:rPr>
        <w:t xml:space="preserve"> &amp; Engelen, Jacqueline. (2006). General fact sheet - Limiting conditions and reliability, ventilation, room size, body surface area. Updated version for </w:t>
      </w:r>
      <w:proofErr w:type="spellStart"/>
      <w:r w:rsidRPr="00D23C24">
        <w:rPr>
          <w:rFonts w:eastAsiaTheme="minorHAnsi" w:cs="Arial"/>
          <w:color w:val="auto"/>
          <w:sz w:val="20"/>
        </w:rPr>
        <w:t>ConsExpo</w:t>
      </w:r>
      <w:proofErr w:type="spellEnd"/>
      <w:r w:rsidRPr="00D23C24">
        <w:rPr>
          <w:rFonts w:eastAsiaTheme="minorHAnsi" w:cs="Arial"/>
          <w:color w:val="auto"/>
          <w:sz w:val="20"/>
        </w:rPr>
        <w:t xml:space="preserve"> 4.</w:t>
      </w:r>
    </w:p>
    <w:p w14:paraId="0732D257"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Bury D., et al. (2019) Urinary metabolites of the UV filter octocrylene in humans as biomarkers of exposure. Arch. </w:t>
      </w:r>
      <w:proofErr w:type="spellStart"/>
      <w:r w:rsidRPr="00D23C24">
        <w:rPr>
          <w:rFonts w:eastAsiaTheme="minorHAnsi" w:cs="Arial"/>
          <w:color w:val="auto"/>
          <w:sz w:val="20"/>
        </w:rPr>
        <w:t>Toxicol</w:t>
      </w:r>
      <w:proofErr w:type="spellEnd"/>
      <w:r w:rsidRPr="00D23C24">
        <w:rPr>
          <w:rFonts w:eastAsiaTheme="minorHAnsi" w:cs="Arial"/>
          <w:color w:val="auto"/>
          <w:sz w:val="20"/>
        </w:rPr>
        <w:t>. 93(5): 1227-1238.</w:t>
      </w:r>
    </w:p>
    <w:p w14:paraId="43BC0D60" w14:textId="77777777" w:rsidR="001739C2" w:rsidRPr="00E8439A" w:rsidRDefault="001739C2" w:rsidP="001D3727">
      <w:pPr>
        <w:pStyle w:val="Standard"/>
        <w:spacing w:after="120" w:line="259" w:lineRule="auto"/>
        <w:rPr>
          <w:rStyle w:val="Hyperlink"/>
          <w:rFonts w:eastAsia="Cambria" w:cs="Arial"/>
          <w:snapToGrid/>
          <w:kern w:val="0"/>
          <w:sz w:val="20"/>
          <w:szCs w:val="20"/>
        </w:rPr>
      </w:pPr>
      <w:r w:rsidRPr="00D23C24">
        <w:rPr>
          <w:rFonts w:ascii="Arial" w:eastAsiaTheme="minorHAnsi" w:hAnsi="Arial" w:cs="Arial"/>
          <w:snapToGrid/>
          <w:kern w:val="0"/>
          <w:sz w:val="20"/>
          <w:szCs w:val="20"/>
        </w:rPr>
        <w:t>CCA (2017), Cancer Council. (2017, 7 December). About SPF50+ sunscreen. Retrieved from</w:t>
      </w:r>
      <w:r w:rsidRPr="007E188A">
        <w:rPr>
          <w:sz w:val="22"/>
          <w:szCs w:val="22"/>
        </w:rPr>
        <w:t xml:space="preserve"> </w:t>
      </w:r>
      <w:hyperlink r:id="rId73" w:history="1">
        <w:r w:rsidRPr="00E8439A">
          <w:rPr>
            <w:rStyle w:val="Hyperlink"/>
            <w:rFonts w:eastAsia="Cambria" w:cs="Arial"/>
            <w:snapToGrid/>
            <w:kern w:val="0"/>
            <w:sz w:val="20"/>
            <w:szCs w:val="20"/>
          </w:rPr>
          <w:t>https://www.cancer.org.au/preventing-cancer/sun-protection/preventing-skincancer/spf50sunscreen.html</w:t>
        </w:r>
      </w:hyperlink>
    </w:p>
    <w:p w14:paraId="2059F771" w14:textId="77777777" w:rsidR="001739C2" w:rsidRPr="00E8439A" w:rsidRDefault="001739C2" w:rsidP="00E8439A">
      <w:pPr>
        <w:pStyle w:val="FootnoteText"/>
        <w:spacing w:after="120" w:line="259" w:lineRule="auto"/>
        <w:rPr>
          <w:rStyle w:val="Hyperlink"/>
          <w:rFonts w:cs="Arial"/>
          <w:sz w:val="20"/>
        </w:rPr>
      </w:pPr>
      <w:r w:rsidRPr="00D23C24">
        <w:rPr>
          <w:rFonts w:eastAsiaTheme="minorHAnsi" w:cs="Arial"/>
          <w:snapToGrid w:val="0"/>
          <w:sz w:val="20"/>
        </w:rPr>
        <w:t>CSTEE (2001) Position paper on margins of safety (MOS) in human health risk assessment expressed at the 22nd CSTEE plenary meeting, Brussels, 06/07 March, 2001. Retrieved from</w:t>
      </w:r>
      <w:r w:rsidRPr="007E188A">
        <w:rPr>
          <w:sz w:val="22"/>
          <w:szCs w:val="22"/>
        </w:rPr>
        <w:t xml:space="preserve"> </w:t>
      </w:r>
      <w:hyperlink r:id="rId74" w:history="1">
        <w:r w:rsidRPr="00E8439A">
          <w:rPr>
            <w:rStyle w:val="Hyperlink"/>
            <w:rFonts w:cs="Arial"/>
            <w:sz w:val="20"/>
          </w:rPr>
          <w:t>https://ec.europa.eu/health/scientific_committees/environmental_risks/opinions/sctee/sct_out110_en.htm</w:t>
        </w:r>
      </w:hyperlink>
    </w:p>
    <w:p w14:paraId="36765C2E" w14:textId="77777777" w:rsidR="001739C2" w:rsidRPr="00E8439A" w:rsidRDefault="001739C2" w:rsidP="00E8439A">
      <w:pPr>
        <w:pStyle w:val="FootnoteText"/>
        <w:spacing w:after="120" w:line="259" w:lineRule="auto"/>
        <w:rPr>
          <w:rStyle w:val="Hyperlink"/>
          <w:rFonts w:cs="Arial"/>
          <w:sz w:val="20"/>
        </w:rPr>
      </w:pPr>
      <w:hyperlink r:id="rId75" w:history="1">
        <w:r w:rsidRPr="00E8439A">
          <w:rPr>
            <w:rStyle w:val="Hyperlink"/>
            <w:rFonts w:cs="Arial"/>
            <w:sz w:val="20"/>
          </w:rPr>
          <w:t>Cosmetic Ingredient Review (2019). Amended Safety Assessment of Salicylic Acid and Salicylates as Used in Cosmetics</w:t>
        </w:r>
      </w:hyperlink>
    </w:p>
    <w:p w14:paraId="75BB180A" w14:textId="77777777" w:rsidR="001739C2" w:rsidRPr="00D23C24" w:rsidRDefault="001739C2" w:rsidP="001D3727">
      <w:pPr>
        <w:pStyle w:val="Standard"/>
        <w:spacing w:after="120" w:line="259" w:lineRule="auto"/>
        <w:rPr>
          <w:rFonts w:ascii="Arial" w:eastAsiaTheme="minorHAnsi" w:hAnsi="Arial" w:cs="Arial"/>
          <w:snapToGrid/>
          <w:kern w:val="0"/>
          <w:sz w:val="20"/>
          <w:szCs w:val="20"/>
        </w:rPr>
      </w:pPr>
      <w:r w:rsidRPr="00D23C24">
        <w:rPr>
          <w:rFonts w:ascii="Arial" w:eastAsiaTheme="minorHAnsi" w:hAnsi="Arial" w:cs="Arial"/>
          <w:snapToGrid/>
          <w:kern w:val="0"/>
          <w:sz w:val="20"/>
          <w:szCs w:val="20"/>
        </w:rPr>
        <w:t>Cosmetic Toiletry and Fragrance Association (CTFA, 2005) In vitro percutaneous absorption of [14C]-</w:t>
      </w:r>
      <w:proofErr w:type="spellStart"/>
      <w:r w:rsidRPr="00D23C24">
        <w:rPr>
          <w:rFonts w:ascii="Arial" w:eastAsiaTheme="minorHAnsi" w:hAnsi="Arial" w:cs="Arial"/>
          <w:snapToGrid/>
          <w:kern w:val="0"/>
          <w:sz w:val="20"/>
          <w:szCs w:val="20"/>
        </w:rPr>
        <w:t>Homosalate</w:t>
      </w:r>
      <w:proofErr w:type="spellEnd"/>
      <w:r w:rsidRPr="00D23C24">
        <w:rPr>
          <w:rFonts w:ascii="Arial" w:eastAsiaTheme="minorHAnsi" w:hAnsi="Arial" w:cs="Arial"/>
          <w:snapToGrid/>
          <w:kern w:val="0"/>
          <w:sz w:val="20"/>
          <w:szCs w:val="20"/>
        </w:rPr>
        <w:t xml:space="preserve"> through viable rat and human skin membranes using 41 flow-through diffusion cells, TNO Report No. V6433, TNO Quality of Life, Physiological 42 Sciences, Zeist, Netherland, unpublished data, 5 September 2005.</w:t>
      </w:r>
    </w:p>
    <w:p w14:paraId="259634D7"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de Groot A.C., and Roberts D.W. (2014) Contact and </w:t>
      </w:r>
      <w:proofErr w:type="spellStart"/>
      <w:r w:rsidRPr="00D23C24">
        <w:rPr>
          <w:rFonts w:eastAsiaTheme="minorHAnsi" w:cs="Arial"/>
          <w:color w:val="auto"/>
          <w:sz w:val="20"/>
        </w:rPr>
        <w:t>photocontact</w:t>
      </w:r>
      <w:proofErr w:type="spellEnd"/>
      <w:r w:rsidRPr="00D23C24">
        <w:rPr>
          <w:rFonts w:eastAsiaTheme="minorHAnsi" w:cs="Arial"/>
          <w:color w:val="auto"/>
          <w:sz w:val="20"/>
        </w:rPr>
        <w:t xml:space="preserve"> allergy to octocrylene: a review. Contact Derm. 70: 193–204.</w:t>
      </w:r>
    </w:p>
    <w:p w14:paraId="0E75E3AA" w14:textId="77777777" w:rsidR="001739C2" w:rsidRPr="00D23C24" w:rsidRDefault="001739C2" w:rsidP="001D3727">
      <w:pPr>
        <w:pStyle w:val="Standard"/>
        <w:spacing w:after="120" w:line="259" w:lineRule="auto"/>
        <w:rPr>
          <w:rFonts w:ascii="Arial" w:eastAsiaTheme="minorHAnsi" w:hAnsi="Arial" w:cs="Arial"/>
          <w:snapToGrid/>
          <w:kern w:val="0"/>
          <w:sz w:val="20"/>
          <w:szCs w:val="20"/>
        </w:rPr>
      </w:pPr>
      <w:r w:rsidRPr="00D23C24">
        <w:rPr>
          <w:rFonts w:ascii="Arial" w:eastAsiaTheme="minorHAnsi" w:hAnsi="Arial" w:cs="Arial"/>
          <w:snapToGrid/>
          <w:kern w:val="0"/>
          <w:sz w:val="20"/>
          <w:szCs w:val="20"/>
        </w:rPr>
        <w:t xml:space="preserve">Downs C.A., DiNardo J.C., Stien D., Rodrigues A.M.S. and Lebaron P. (2021) Benzophenone Accumulates over Time from the Degradation of Octocrylene in Commercial Sunscreen Products. Chem. Res. </w:t>
      </w:r>
      <w:proofErr w:type="spellStart"/>
      <w:r w:rsidRPr="00D23C24">
        <w:rPr>
          <w:rFonts w:ascii="Arial" w:eastAsiaTheme="minorHAnsi" w:hAnsi="Arial" w:cs="Arial"/>
          <w:snapToGrid/>
          <w:kern w:val="0"/>
          <w:sz w:val="20"/>
          <w:szCs w:val="20"/>
        </w:rPr>
        <w:t>Toxicol</w:t>
      </w:r>
      <w:proofErr w:type="spellEnd"/>
      <w:r w:rsidRPr="00D23C24">
        <w:rPr>
          <w:rFonts w:ascii="Arial" w:eastAsiaTheme="minorHAnsi" w:hAnsi="Arial" w:cs="Arial"/>
          <w:snapToGrid/>
          <w:kern w:val="0"/>
          <w:sz w:val="20"/>
          <w:szCs w:val="20"/>
        </w:rPr>
        <w:t>. 34: 1046–1054.</w:t>
      </w:r>
    </w:p>
    <w:p w14:paraId="5BABB624" w14:textId="77777777" w:rsidR="001739C2" w:rsidRPr="007E188A" w:rsidRDefault="001739C2" w:rsidP="001D3727">
      <w:pPr>
        <w:pStyle w:val="FootnoteText"/>
        <w:spacing w:after="120" w:line="259" w:lineRule="auto"/>
        <w:rPr>
          <w:rFonts w:ascii="Cambria" w:hAnsi="Cambria" w:cstheme="minorHAnsi"/>
          <w:sz w:val="22"/>
          <w:szCs w:val="22"/>
        </w:rPr>
      </w:pPr>
      <w:hyperlink r:id="rId76" w:anchor=":~:text=Sunscreen%20products%20should%20be%20sufficiently,minimum%20UVB%20and%20UVA%20protection.&amp;text=Therefore%2C%20the%20protection%20against%20UVA%20and%20UVB%20radiation%20should%20be%20related." w:history="1">
        <w:r w:rsidRPr="00E8439A">
          <w:rPr>
            <w:rStyle w:val="Hyperlink"/>
            <w:rFonts w:cs="Arial"/>
            <w:sz w:val="20"/>
          </w:rPr>
          <w:t>European Commission (EC, 2006) Recommendation on the efficacy of sunscreen products and the claims made relating thereto. 2006/647/EC. Off. J. Eur. Comm. L 265, 39e43.</w:t>
        </w:r>
      </w:hyperlink>
      <w:r w:rsidRPr="007E188A">
        <w:rPr>
          <w:rFonts w:ascii="Cambria" w:hAnsi="Cambria" w:cstheme="minorHAnsi"/>
          <w:sz w:val="22"/>
          <w:szCs w:val="22"/>
        </w:rPr>
        <w:t xml:space="preserve"> </w:t>
      </w:r>
    </w:p>
    <w:p w14:paraId="6577648F" w14:textId="77777777" w:rsidR="001739C2" w:rsidRPr="007E188A" w:rsidRDefault="001739C2" w:rsidP="001D3727">
      <w:pPr>
        <w:pStyle w:val="FootnoteText"/>
        <w:spacing w:after="120" w:line="259" w:lineRule="auto"/>
        <w:rPr>
          <w:rFonts w:ascii="Cambria" w:hAnsi="Cambria" w:cstheme="minorHAnsi"/>
          <w:sz w:val="22"/>
          <w:szCs w:val="22"/>
        </w:rPr>
      </w:pPr>
      <w:r w:rsidRPr="00D23C24">
        <w:rPr>
          <w:rFonts w:eastAsiaTheme="minorHAnsi" w:cs="Arial"/>
          <w:color w:val="auto"/>
          <w:sz w:val="20"/>
        </w:rPr>
        <w:t>European Commission (EC, 2021) Call for data on ingredients with potential endocrine-disruption properties used in cosmetic products. 15 February 2021. Retrieved from</w:t>
      </w:r>
      <w:r w:rsidRPr="001B3689">
        <w:rPr>
          <w:rFonts w:ascii="Cambria" w:hAnsi="Cambria" w:cstheme="minorHAnsi"/>
          <w:color w:val="auto"/>
          <w:sz w:val="22"/>
          <w:szCs w:val="22"/>
        </w:rPr>
        <w:t xml:space="preserve"> </w:t>
      </w:r>
      <w:hyperlink r:id="rId77" w:history="1">
        <w:r w:rsidRPr="00E8439A">
          <w:rPr>
            <w:rStyle w:val="Hyperlink"/>
            <w:rFonts w:cs="Arial"/>
            <w:sz w:val="20"/>
          </w:rPr>
          <w:t>https://ec.europa.eu/growth/content/call-data-ingredients-potential-endocrine-disrupting-properties-used-cosmetic-products-0_en</w:t>
        </w:r>
      </w:hyperlink>
    </w:p>
    <w:p w14:paraId="3059A7DA"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European Parliament and the Council (2009) Regulation (EC) No 1223/2009 of the European Parliament and the Council of 30 November 2009 on cosmetic products: Reg. (EC) 1223/2009ECHA (2018) ECHA decision on a compliance check for </w:t>
      </w:r>
      <w:proofErr w:type="spellStart"/>
      <w:r w:rsidRPr="00D23C24">
        <w:rPr>
          <w:rFonts w:eastAsiaTheme="minorHAnsi" w:cs="Arial"/>
          <w:color w:val="auto"/>
          <w:sz w:val="20"/>
        </w:rPr>
        <w:t>homosalate</w:t>
      </w:r>
      <w:proofErr w:type="spellEnd"/>
      <w:r w:rsidRPr="00D23C24">
        <w:rPr>
          <w:rFonts w:eastAsiaTheme="minorHAnsi" w:cs="Arial"/>
          <w:color w:val="auto"/>
          <w:sz w:val="20"/>
        </w:rPr>
        <w:t>, March 2018, CCH-D-2114386909-26-01/F.</w:t>
      </w:r>
    </w:p>
    <w:p w14:paraId="7A89313B" w14:textId="77777777" w:rsidR="001739C2" w:rsidRPr="007E188A" w:rsidRDefault="001739C2" w:rsidP="001D3727">
      <w:pPr>
        <w:pStyle w:val="WhiteSpace"/>
        <w:spacing w:after="120" w:line="259" w:lineRule="auto"/>
        <w:rPr>
          <w:rFonts w:cstheme="minorHAnsi"/>
          <w:color w:val="0000FF"/>
          <w:sz w:val="22"/>
          <w:szCs w:val="22"/>
          <w:u w:val="single"/>
        </w:rPr>
      </w:pPr>
      <w:r w:rsidRPr="00D23C24">
        <w:rPr>
          <w:rFonts w:ascii="Arial" w:eastAsiaTheme="minorHAnsi" w:hAnsi="Arial" w:cs="Arial"/>
          <w:snapToGrid/>
          <w:kern w:val="0"/>
          <w:sz w:val="20"/>
          <w:szCs w:val="20"/>
        </w:rPr>
        <w:t>ECHA (2020) Octocrylene Registration Dossier. Retrieved from</w:t>
      </w:r>
      <w:r w:rsidRPr="007E188A">
        <w:rPr>
          <w:rFonts w:cstheme="minorHAnsi"/>
          <w:sz w:val="22"/>
          <w:szCs w:val="22"/>
        </w:rPr>
        <w:t xml:space="preserve"> </w:t>
      </w:r>
      <w:hyperlink r:id="rId78" w:history="1">
        <w:r w:rsidRPr="00E8439A">
          <w:rPr>
            <w:rStyle w:val="Hyperlink"/>
            <w:rFonts w:eastAsia="Cambria" w:cs="Arial"/>
            <w:snapToGrid/>
            <w:kern w:val="0"/>
            <w:sz w:val="20"/>
            <w:szCs w:val="20"/>
          </w:rPr>
          <w:t>https://echa.europa.eu/fr/registration-dossier/-/registered-dossier/14858/7/2/1</w:t>
        </w:r>
      </w:hyperlink>
    </w:p>
    <w:p w14:paraId="7C3298DE" w14:textId="77777777" w:rsidR="001739C2" w:rsidRPr="007E188A" w:rsidRDefault="001739C2" w:rsidP="001D3727">
      <w:pPr>
        <w:pStyle w:val="Standard"/>
        <w:spacing w:after="120" w:line="259" w:lineRule="auto"/>
        <w:rPr>
          <w:rFonts w:cstheme="minorHAnsi"/>
          <w:sz w:val="22"/>
          <w:szCs w:val="22"/>
        </w:rPr>
      </w:pPr>
      <w:r w:rsidRPr="00D23C24">
        <w:rPr>
          <w:rFonts w:ascii="Arial" w:eastAsiaTheme="minorHAnsi" w:hAnsi="Arial" w:cs="Arial"/>
          <w:snapToGrid/>
          <w:kern w:val="0"/>
          <w:sz w:val="20"/>
          <w:szCs w:val="20"/>
        </w:rPr>
        <w:t>ECHA (2021a) 1-[4-(1,1-</w:t>
      </w:r>
      <w:proofErr w:type="gramStart"/>
      <w:r w:rsidRPr="00D23C24">
        <w:rPr>
          <w:rFonts w:ascii="Arial" w:eastAsiaTheme="minorHAnsi" w:hAnsi="Arial" w:cs="Arial"/>
          <w:snapToGrid/>
          <w:kern w:val="0"/>
          <w:sz w:val="20"/>
          <w:szCs w:val="20"/>
        </w:rPr>
        <w:t>dimethylethyl)phenyl</w:t>
      </w:r>
      <w:proofErr w:type="gramEnd"/>
      <w:r w:rsidRPr="00D23C24">
        <w:rPr>
          <w:rFonts w:ascii="Arial" w:eastAsiaTheme="minorHAnsi" w:hAnsi="Arial" w:cs="Arial"/>
          <w:snapToGrid/>
          <w:kern w:val="0"/>
          <w:sz w:val="20"/>
          <w:szCs w:val="20"/>
        </w:rPr>
        <w:t>]-3-(4-</w:t>
      </w:r>
      <w:proofErr w:type="gramStart"/>
      <w:r w:rsidRPr="00D23C24">
        <w:rPr>
          <w:rFonts w:ascii="Arial" w:eastAsiaTheme="minorHAnsi" w:hAnsi="Arial" w:cs="Arial"/>
          <w:snapToGrid/>
          <w:kern w:val="0"/>
          <w:sz w:val="20"/>
          <w:szCs w:val="20"/>
        </w:rPr>
        <w:t>methoxyphenyl)propane</w:t>
      </w:r>
      <w:proofErr w:type="gramEnd"/>
      <w:r w:rsidRPr="00D23C24">
        <w:rPr>
          <w:rFonts w:ascii="Arial" w:eastAsiaTheme="minorHAnsi" w:hAnsi="Arial" w:cs="Arial"/>
          <w:snapToGrid/>
          <w:kern w:val="0"/>
          <w:sz w:val="20"/>
          <w:szCs w:val="20"/>
        </w:rPr>
        <w:t>-1,3-dione (avobenzone). Retrieved from</w:t>
      </w:r>
      <w:r w:rsidRPr="007E188A">
        <w:rPr>
          <w:rFonts w:cstheme="minorHAnsi"/>
          <w:sz w:val="22"/>
          <w:szCs w:val="22"/>
        </w:rPr>
        <w:t xml:space="preserve"> </w:t>
      </w:r>
      <w:hyperlink r:id="rId79" w:history="1">
        <w:r w:rsidRPr="00E8439A">
          <w:rPr>
            <w:rStyle w:val="Hyperlink"/>
            <w:rFonts w:eastAsia="Cambria" w:cs="Arial"/>
            <w:snapToGrid/>
            <w:kern w:val="0"/>
            <w:sz w:val="20"/>
            <w:szCs w:val="20"/>
          </w:rPr>
          <w:t>https://echa.europa.eu/registration-dossier/-/registered-dossier/14835/1</w:t>
        </w:r>
      </w:hyperlink>
    </w:p>
    <w:p w14:paraId="3C1F8757" w14:textId="77777777" w:rsidR="001739C2" w:rsidRPr="00E8439A" w:rsidRDefault="001739C2" w:rsidP="001D3727">
      <w:pPr>
        <w:pStyle w:val="WhiteSpace"/>
        <w:spacing w:after="120" w:line="259" w:lineRule="auto"/>
        <w:rPr>
          <w:rStyle w:val="Hyperlink"/>
          <w:rFonts w:eastAsia="Cambria" w:cs="Arial"/>
          <w:snapToGrid/>
          <w:kern w:val="0"/>
          <w:sz w:val="20"/>
          <w:szCs w:val="20"/>
        </w:rPr>
      </w:pPr>
      <w:r w:rsidRPr="00D23C24">
        <w:rPr>
          <w:rFonts w:ascii="Arial" w:eastAsiaTheme="minorHAnsi" w:hAnsi="Arial" w:cs="Arial"/>
          <w:snapToGrid/>
          <w:kern w:val="0"/>
          <w:sz w:val="20"/>
          <w:szCs w:val="20"/>
        </w:rPr>
        <w:t>ECHA (2021b) Tris(2-ethylhexyl)-4,4',4''-(1,3,5-triazine-2,4,6-</w:t>
      </w:r>
      <w:proofErr w:type="gramStart"/>
      <w:r w:rsidRPr="00D23C24">
        <w:rPr>
          <w:rFonts w:ascii="Arial" w:eastAsiaTheme="minorHAnsi" w:hAnsi="Arial" w:cs="Arial"/>
          <w:snapToGrid/>
          <w:kern w:val="0"/>
          <w:sz w:val="20"/>
          <w:szCs w:val="20"/>
        </w:rPr>
        <w:t>triyltriimino)tribenzoate</w:t>
      </w:r>
      <w:proofErr w:type="gramEnd"/>
      <w:r w:rsidRPr="00D23C24">
        <w:rPr>
          <w:rFonts w:ascii="Arial" w:eastAsiaTheme="minorHAnsi" w:hAnsi="Arial" w:cs="Arial"/>
          <w:snapToGrid/>
          <w:kern w:val="0"/>
          <w:sz w:val="20"/>
          <w:szCs w:val="20"/>
        </w:rPr>
        <w:t xml:space="preserve"> (</w:t>
      </w:r>
      <w:proofErr w:type="spellStart"/>
      <w:r w:rsidRPr="00D23C24">
        <w:rPr>
          <w:rFonts w:ascii="Arial" w:eastAsiaTheme="minorHAnsi" w:hAnsi="Arial" w:cs="Arial"/>
          <w:snapToGrid/>
          <w:kern w:val="0"/>
          <w:sz w:val="20"/>
          <w:szCs w:val="20"/>
        </w:rPr>
        <w:t>Ethylhexyl</w:t>
      </w:r>
      <w:proofErr w:type="spellEnd"/>
      <w:r w:rsidRPr="00D23C24">
        <w:rPr>
          <w:rFonts w:ascii="Arial" w:eastAsiaTheme="minorHAnsi" w:hAnsi="Arial" w:cs="Arial"/>
          <w:snapToGrid/>
          <w:kern w:val="0"/>
          <w:sz w:val="20"/>
          <w:szCs w:val="20"/>
        </w:rPr>
        <w:t xml:space="preserve"> </w:t>
      </w:r>
      <w:proofErr w:type="spellStart"/>
      <w:r w:rsidRPr="00D23C24">
        <w:rPr>
          <w:rFonts w:ascii="Arial" w:eastAsiaTheme="minorHAnsi" w:hAnsi="Arial" w:cs="Arial"/>
          <w:snapToGrid/>
          <w:kern w:val="0"/>
          <w:sz w:val="20"/>
          <w:szCs w:val="20"/>
        </w:rPr>
        <w:t>triazone</w:t>
      </w:r>
      <w:proofErr w:type="spellEnd"/>
      <w:r w:rsidRPr="00D23C24">
        <w:rPr>
          <w:rFonts w:ascii="Arial" w:eastAsiaTheme="minorHAnsi" w:hAnsi="Arial" w:cs="Arial"/>
          <w:snapToGrid/>
          <w:kern w:val="0"/>
          <w:sz w:val="20"/>
          <w:szCs w:val="20"/>
        </w:rPr>
        <w:t>).  Retrieved from</w:t>
      </w:r>
      <w:r w:rsidRPr="007E188A">
        <w:rPr>
          <w:rFonts w:cstheme="minorHAnsi"/>
          <w:sz w:val="22"/>
          <w:szCs w:val="22"/>
        </w:rPr>
        <w:t xml:space="preserve"> </w:t>
      </w:r>
      <w:hyperlink r:id="rId80" w:history="1">
        <w:r w:rsidRPr="00E8439A">
          <w:rPr>
            <w:rStyle w:val="Hyperlink"/>
            <w:rFonts w:eastAsia="Cambria" w:cs="Arial"/>
            <w:snapToGrid/>
            <w:kern w:val="0"/>
            <w:sz w:val="20"/>
            <w:szCs w:val="20"/>
          </w:rPr>
          <w:t>https://echa.europEHa.eu/registration-dossier/-/registered-dossier/14255/7/2/1</w:t>
        </w:r>
      </w:hyperlink>
    </w:p>
    <w:p w14:paraId="2097F6D7" w14:textId="77777777" w:rsidR="001739C2" w:rsidRPr="00B232E4" w:rsidRDefault="001739C2" w:rsidP="001D3727">
      <w:pPr>
        <w:autoSpaceDE w:val="0"/>
        <w:autoSpaceDN w:val="0"/>
        <w:adjustRightInd w:val="0"/>
        <w:rPr>
          <w:rFonts w:ascii="Cambria" w:hAnsi="Cambria" w:cstheme="minorHAnsi"/>
          <w:sz w:val="22"/>
          <w:szCs w:val="22"/>
          <w:highlight w:val="lightGray"/>
        </w:rPr>
      </w:pPr>
      <w:r w:rsidRPr="00D23C24">
        <w:rPr>
          <w:rFonts w:cs="Arial"/>
        </w:rPr>
        <w:t xml:space="preserve">ECHA (2021c) </w:t>
      </w:r>
      <w:proofErr w:type="spellStart"/>
      <w:r w:rsidRPr="00D23C24">
        <w:rPr>
          <w:rFonts w:cs="Arial"/>
        </w:rPr>
        <w:t>Homosalate</w:t>
      </w:r>
      <w:proofErr w:type="spellEnd"/>
      <w:r w:rsidRPr="00D23C24">
        <w:rPr>
          <w:rFonts w:cs="Arial"/>
        </w:rPr>
        <w:t>. Retrieved from</w:t>
      </w:r>
      <w:r w:rsidRPr="00B232E4">
        <w:rPr>
          <w:rFonts w:ascii="Cambria" w:hAnsi="Cambria" w:cstheme="minorHAnsi"/>
          <w:sz w:val="22"/>
          <w:szCs w:val="22"/>
        </w:rPr>
        <w:t xml:space="preserve"> </w:t>
      </w:r>
      <w:hyperlink r:id="rId81" w:history="1">
        <w:r w:rsidRPr="00E8439A">
          <w:rPr>
            <w:rStyle w:val="Hyperlink"/>
            <w:rFonts w:eastAsia="Cambria" w:cs="Arial"/>
          </w:rPr>
          <w:t>https://echa.europa.eu/el/registration-dossier/-/registered-dossier/13246</w:t>
        </w:r>
      </w:hyperlink>
      <w:r w:rsidRPr="00E8439A">
        <w:rPr>
          <w:rStyle w:val="Hyperlink"/>
          <w:rFonts w:eastAsia="Cambria" w:cs="Arial"/>
        </w:rPr>
        <w:t xml:space="preserve"> </w:t>
      </w:r>
    </w:p>
    <w:p w14:paraId="00E54E9B" w14:textId="77777777" w:rsidR="001739C2" w:rsidRPr="00B232E4" w:rsidRDefault="001739C2" w:rsidP="001D3727">
      <w:pPr>
        <w:pStyle w:val="WhiteSpace"/>
        <w:spacing w:after="120" w:line="259" w:lineRule="auto"/>
        <w:rPr>
          <w:rStyle w:val="Hyperlink"/>
          <w:rFonts w:cstheme="minorHAnsi"/>
          <w:sz w:val="22"/>
          <w:szCs w:val="22"/>
        </w:rPr>
      </w:pPr>
      <w:r w:rsidRPr="00D23C24">
        <w:rPr>
          <w:rFonts w:ascii="Arial" w:eastAsiaTheme="minorHAnsi" w:hAnsi="Arial" w:cs="Arial"/>
          <w:snapToGrid/>
          <w:kern w:val="0"/>
          <w:sz w:val="20"/>
          <w:szCs w:val="20"/>
        </w:rPr>
        <w:t>ECHA (2021d) Octocrylene registration dossier. Retrieved from</w:t>
      </w:r>
      <w:r w:rsidRPr="007E188A">
        <w:rPr>
          <w:rFonts w:cstheme="minorHAnsi"/>
          <w:sz w:val="22"/>
          <w:szCs w:val="22"/>
        </w:rPr>
        <w:t xml:space="preserve"> </w:t>
      </w:r>
      <w:hyperlink r:id="rId82" w:history="1">
        <w:r w:rsidRPr="00E8439A">
          <w:rPr>
            <w:rStyle w:val="Hyperlink"/>
            <w:rFonts w:eastAsia="Cambria" w:cs="Arial"/>
            <w:snapToGrid/>
            <w:kern w:val="0"/>
            <w:sz w:val="20"/>
            <w:szCs w:val="20"/>
          </w:rPr>
          <w:t>https://echa.europa.eu/registration-dossier/-/registered-dossier/14858/7/6/1</w:t>
        </w:r>
      </w:hyperlink>
    </w:p>
    <w:p w14:paraId="78054222" w14:textId="77777777" w:rsidR="001739C2" w:rsidRPr="00B232E4" w:rsidRDefault="001739C2" w:rsidP="001D3727">
      <w:pPr>
        <w:rPr>
          <w:rFonts w:ascii="Cambria" w:hAnsi="Cambria" w:cstheme="minorHAnsi"/>
          <w:b/>
          <w:sz w:val="22"/>
          <w:szCs w:val="22"/>
          <w:highlight w:val="cyan"/>
        </w:rPr>
      </w:pPr>
      <w:r w:rsidRPr="00D23C24">
        <w:rPr>
          <w:rFonts w:cs="Arial"/>
          <w:snapToGrid w:val="0"/>
        </w:rPr>
        <w:t>ECHA (2021e) 2-ethylhexyl 4-methoxycinnamate (</w:t>
      </w:r>
      <w:proofErr w:type="spellStart"/>
      <w:r w:rsidRPr="00D23C24">
        <w:rPr>
          <w:rFonts w:cs="Arial"/>
          <w:snapToGrid w:val="0"/>
        </w:rPr>
        <w:t>octinoxate</w:t>
      </w:r>
      <w:proofErr w:type="spellEnd"/>
      <w:r w:rsidRPr="00D23C24">
        <w:rPr>
          <w:rFonts w:cs="Arial"/>
          <w:snapToGrid w:val="0"/>
        </w:rPr>
        <w:t>). Retrieved from</w:t>
      </w:r>
      <w:r w:rsidRPr="007E188A">
        <w:rPr>
          <w:rStyle w:val="StandardChar"/>
          <w:rFonts w:eastAsiaTheme="minorHAnsi"/>
          <w:sz w:val="22"/>
          <w:szCs w:val="22"/>
        </w:rPr>
        <w:t xml:space="preserve"> </w:t>
      </w:r>
      <w:hyperlink r:id="rId83" w:history="1">
        <w:r w:rsidRPr="00E8439A">
          <w:rPr>
            <w:rStyle w:val="Hyperlink"/>
            <w:rFonts w:eastAsia="Cambria" w:cs="Arial"/>
          </w:rPr>
          <w:t>https://echa.europa.eu/substance-information/-/substanceinfo/100.024.341</w:t>
        </w:r>
      </w:hyperlink>
    </w:p>
    <w:p w14:paraId="7CC70A89"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EMCPPTSA (2012) European multicentre </w:t>
      </w:r>
      <w:proofErr w:type="spellStart"/>
      <w:r w:rsidRPr="00D23C24">
        <w:rPr>
          <w:rFonts w:eastAsiaTheme="minorHAnsi" w:cs="Arial"/>
          <w:color w:val="auto"/>
          <w:sz w:val="20"/>
        </w:rPr>
        <w:t>photopatch</w:t>
      </w:r>
      <w:proofErr w:type="spellEnd"/>
      <w:r w:rsidRPr="00D23C24">
        <w:rPr>
          <w:rFonts w:eastAsiaTheme="minorHAnsi" w:cs="Arial"/>
          <w:color w:val="auto"/>
          <w:sz w:val="20"/>
        </w:rPr>
        <w:t xml:space="preserve"> test study. Br. J. Dermatol. 166: 1002–1009.</w:t>
      </w:r>
    </w:p>
    <w:p w14:paraId="7AEC1CA2"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Fabian E., and Landsiedel R. (2020) 14C-Octocrylene in a cosmetic formulation, Study of penetration through human skin in vitro. BASF SE laboratory. Project identification no. 10B0614/07B00</w:t>
      </w:r>
    </w:p>
    <w:p w14:paraId="4F135E39"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Fennell T., et al. (2018). Metabolism and disposition of 2-ethylhexyl-p-methoxycinnamate following oral gavage and dermal exposure in Harlan Sprague Dawley rats and B6C3F1/N mice and in hepatocytes in vitro. </w:t>
      </w:r>
      <w:proofErr w:type="spellStart"/>
      <w:r w:rsidRPr="00D23C24">
        <w:rPr>
          <w:rFonts w:eastAsiaTheme="minorHAnsi" w:cs="Arial"/>
          <w:color w:val="auto"/>
          <w:sz w:val="20"/>
        </w:rPr>
        <w:t>Xenobiotica</w:t>
      </w:r>
      <w:proofErr w:type="spellEnd"/>
      <w:r w:rsidRPr="00D23C24">
        <w:rPr>
          <w:rFonts w:eastAsiaTheme="minorHAnsi" w:cs="Arial"/>
          <w:color w:val="auto"/>
          <w:sz w:val="20"/>
        </w:rPr>
        <w:t>. 48: 1142-1156.</w:t>
      </w:r>
    </w:p>
    <w:p w14:paraId="351295C9"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Finlayson Z. (2021). The In Vitro Percutaneous Absorption of [14C] </w:t>
      </w:r>
      <w:proofErr w:type="spellStart"/>
      <w:r w:rsidRPr="00D23C24">
        <w:rPr>
          <w:rFonts w:eastAsiaTheme="minorHAnsi" w:cs="Arial"/>
          <w:color w:val="auto"/>
          <w:sz w:val="20"/>
        </w:rPr>
        <w:t>Homosalate</w:t>
      </w:r>
      <w:proofErr w:type="spellEnd"/>
      <w:r w:rsidRPr="00D23C24">
        <w:rPr>
          <w:rFonts w:eastAsiaTheme="minorHAnsi" w:cs="Arial"/>
          <w:color w:val="auto"/>
          <w:sz w:val="20"/>
        </w:rPr>
        <w:t xml:space="preserve"> in a Cosmetic Formulation Through Human Split Thickness Skin according to OECD Guideline 428, SCCS/1358/10. Charles River Laboratories Edinburgh Ltd. Test Facility Study No. 786915. </w:t>
      </w:r>
    </w:p>
    <w:p w14:paraId="25091B22" w14:textId="77777777" w:rsidR="001739C2" w:rsidRPr="00D23C24" w:rsidRDefault="001739C2" w:rsidP="001D3727">
      <w:pPr>
        <w:pStyle w:val="FootnoteText"/>
        <w:spacing w:after="120" w:line="259" w:lineRule="auto"/>
        <w:rPr>
          <w:rFonts w:eastAsiaTheme="minorHAnsi" w:cs="Arial"/>
          <w:color w:val="auto"/>
          <w:sz w:val="20"/>
        </w:rPr>
      </w:pPr>
      <w:proofErr w:type="spellStart"/>
      <w:r w:rsidRPr="00D23C24">
        <w:rPr>
          <w:rFonts w:eastAsiaTheme="minorHAnsi" w:cs="Arial"/>
          <w:color w:val="auto"/>
          <w:sz w:val="20"/>
        </w:rPr>
        <w:t>Fivenson</w:t>
      </w:r>
      <w:proofErr w:type="spellEnd"/>
      <w:r w:rsidRPr="00D23C24">
        <w:rPr>
          <w:rFonts w:eastAsiaTheme="minorHAnsi" w:cs="Arial"/>
          <w:color w:val="auto"/>
          <w:sz w:val="20"/>
        </w:rPr>
        <w:t xml:space="preserve">, D., </w:t>
      </w:r>
      <w:proofErr w:type="spellStart"/>
      <w:r w:rsidRPr="00D23C24">
        <w:rPr>
          <w:rFonts w:eastAsiaTheme="minorHAnsi" w:cs="Arial"/>
          <w:color w:val="auto"/>
          <w:sz w:val="20"/>
        </w:rPr>
        <w:t>Sabzevari</w:t>
      </w:r>
      <w:proofErr w:type="spellEnd"/>
      <w:r w:rsidRPr="00D23C24">
        <w:rPr>
          <w:rFonts w:eastAsiaTheme="minorHAnsi" w:cs="Arial"/>
          <w:color w:val="auto"/>
          <w:sz w:val="20"/>
        </w:rPr>
        <w:t xml:space="preserve">, N., </w:t>
      </w:r>
      <w:proofErr w:type="spellStart"/>
      <w:r w:rsidRPr="00D23C24">
        <w:rPr>
          <w:rFonts w:eastAsiaTheme="minorHAnsi" w:cs="Arial"/>
          <w:color w:val="auto"/>
          <w:sz w:val="20"/>
        </w:rPr>
        <w:t>Qiblawi</w:t>
      </w:r>
      <w:proofErr w:type="spellEnd"/>
      <w:r w:rsidRPr="00D23C24">
        <w:rPr>
          <w:rFonts w:eastAsiaTheme="minorHAnsi" w:cs="Arial"/>
          <w:color w:val="auto"/>
          <w:sz w:val="20"/>
        </w:rPr>
        <w:t>, S., Blitz, J., Norton, B. B., &amp; Norton, S. A. (2020). Sunscreens: UV filters to protect us: Part 2-Increasing awareness of UV filters and their potential toxicities to us and our environment. International journal of women's dermatology, 7(1), 45–69. https://doi.org/10.1016/j.ijwd.2020.08.008</w:t>
      </w:r>
    </w:p>
    <w:p w14:paraId="6962BC65"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Freitas J.V., Praca F.S.G., Bentley M.V.L.B., Gaspar L.R. (2015). Trans-resveratrol and beta-carotene from sunscreens penetrate viable skin layers and reduce cutaneous penetration of UV-filters. Int. J. Pharm. 484: 131–137. </w:t>
      </w:r>
    </w:p>
    <w:p w14:paraId="0BE24EC1"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Gaspar L.R., et al. (2013) Skin phototoxicity of cosmetic formulations containing </w:t>
      </w:r>
      <w:proofErr w:type="spellStart"/>
      <w:r w:rsidRPr="00D23C24">
        <w:rPr>
          <w:rFonts w:eastAsiaTheme="minorHAnsi" w:cs="Arial"/>
          <w:color w:val="auto"/>
          <w:sz w:val="20"/>
        </w:rPr>
        <w:t>photounstable</w:t>
      </w:r>
      <w:proofErr w:type="spellEnd"/>
      <w:r w:rsidRPr="00D23C24">
        <w:rPr>
          <w:rFonts w:eastAsiaTheme="minorHAnsi" w:cs="Arial"/>
          <w:color w:val="auto"/>
          <w:sz w:val="20"/>
        </w:rPr>
        <w:t xml:space="preserve"> and photostable UV-filters and vitamin A palmitate. </w:t>
      </w:r>
      <w:proofErr w:type="spellStart"/>
      <w:r w:rsidRPr="00D23C24">
        <w:rPr>
          <w:rFonts w:eastAsiaTheme="minorHAnsi" w:cs="Arial"/>
          <w:color w:val="auto"/>
          <w:sz w:val="20"/>
        </w:rPr>
        <w:t>Toxicol</w:t>
      </w:r>
      <w:proofErr w:type="spellEnd"/>
      <w:r w:rsidRPr="00D23C24">
        <w:rPr>
          <w:rFonts w:eastAsiaTheme="minorHAnsi" w:cs="Arial"/>
          <w:color w:val="auto"/>
          <w:sz w:val="20"/>
        </w:rPr>
        <w:t xml:space="preserve">. in Vitro. 27: 418–425. </w:t>
      </w:r>
    </w:p>
    <w:p w14:paraId="03F3F059" w14:textId="77777777" w:rsidR="001739C2" w:rsidRPr="00D23C24" w:rsidRDefault="001739C2" w:rsidP="001D3727">
      <w:pPr>
        <w:pStyle w:val="FootnoteText"/>
        <w:spacing w:after="120" w:line="259" w:lineRule="auto"/>
        <w:rPr>
          <w:rFonts w:eastAsiaTheme="minorHAnsi" w:cs="Arial"/>
          <w:color w:val="auto"/>
          <w:sz w:val="20"/>
        </w:rPr>
      </w:pPr>
      <w:proofErr w:type="spellStart"/>
      <w:r w:rsidRPr="00D23C24">
        <w:rPr>
          <w:rFonts w:eastAsiaTheme="minorHAnsi" w:cs="Arial"/>
          <w:color w:val="auto"/>
          <w:sz w:val="20"/>
        </w:rPr>
        <w:t>Gilaberte</w:t>
      </w:r>
      <w:proofErr w:type="spellEnd"/>
      <w:r w:rsidRPr="00D23C24">
        <w:rPr>
          <w:rFonts w:eastAsiaTheme="minorHAnsi" w:cs="Arial"/>
          <w:color w:val="auto"/>
          <w:sz w:val="20"/>
        </w:rPr>
        <w:t xml:space="preserve"> Y., and Carrascosa J. M. (2014) Sun protection in children: realities and challenges. </w:t>
      </w:r>
      <w:proofErr w:type="spellStart"/>
      <w:r w:rsidRPr="00D23C24">
        <w:rPr>
          <w:rFonts w:eastAsiaTheme="minorHAnsi" w:cs="Arial"/>
          <w:color w:val="auto"/>
          <w:sz w:val="20"/>
        </w:rPr>
        <w:t>Actas</w:t>
      </w:r>
      <w:proofErr w:type="spellEnd"/>
      <w:r w:rsidRPr="00D23C24">
        <w:rPr>
          <w:rFonts w:eastAsiaTheme="minorHAnsi" w:cs="Arial"/>
          <w:color w:val="auto"/>
          <w:sz w:val="20"/>
        </w:rPr>
        <w:t xml:space="preserve"> </w:t>
      </w:r>
      <w:proofErr w:type="spellStart"/>
      <w:r w:rsidRPr="00D23C24">
        <w:rPr>
          <w:rFonts w:eastAsiaTheme="minorHAnsi" w:cs="Arial"/>
          <w:color w:val="auto"/>
          <w:sz w:val="20"/>
        </w:rPr>
        <w:t>Dermosifiliogr</w:t>
      </w:r>
      <w:proofErr w:type="spellEnd"/>
      <w:r w:rsidRPr="00D23C24">
        <w:rPr>
          <w:rFonts w:eastAsiaTheme="minorHAnsi" w:cs="Arial"/>
          <w:color w:val="auto"/>
          <w:sz w:val="20"/>
        </w:rPr>
        <w:t xml:space="preserve"> (English Edition). 105: 253–262. </w:t>
      </w:r>
    </w:p>
    <w:p w14:paraId="40583C95"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Gilbert E., et al. (2013) Commonly used UV filter toxicity on biological functions: review of last decade studies. Int. J. </w:t>
      </w:r>
      <w:proofErr w:type="spellStart"/>
      <w:r w:rsidRPr="00D23C24">
        <w:rPr>
          <w:rFonts w:eastAsiaTheme="minorHAnsi" w:cs="Arial"/>
          <w:color w:val="auto"/>
          <w:sz w:val="20"/>
        </w:rPr>
        <w:t>Cosmet</w:t>
      </w:r>
      <w:proofErr w:type="spellEnd"/>
      <w:r w:rsidRPr="00D23C24">
        <w:rPr>
          <w:rFonts w:eastAsiaTheme="minorHAnsi" w:cs="Arial"/>
          <w:color w:val="auto"/>
          <w:sz w:val="20"/>
        </w:rPr>
        <w:t>. Sci. 35: 208-219.</w:t>
      </w:r>
    </w:p>
    <w:p w14:paraId="1418E717"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lastRenderedPageBreak/>
        <w:t>Gomes Benevenuto C., et al. (2015) Combination of retinyl palmitate and UV-filters: phototoxicity risk assessment based on photostability and in vitro and in vivo phototoxicity assays. Eur. J. Pharm. 68:127-136.</w:t>
      </w:r>
    </w:p>
    <w:p w14:paraId="1A66115C"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Guesmi A., et al. (2020) In vitro metabolism of sunscreen compounds by liquid chromatography/high-resolution tandem mass spectrometry. Rapid Commun. Mass. </w:t>
      </w:r>
      <w:proofErr w:type="spellStart"/>
      <w:r w:rsidRPr="00D23C24">
        <w:rPr>
          <w:rFonts w:eastAsiaTheme="minorHAnsi" w:cs="Arial"/>
          <w:color w:val="auto"/>
          <w:sz w:val="20"/>
        </w:rPr>
        <w:t>Spectrom</w:t>
      </w:r>
      <w:proofErr w:type="spellEnd"/>
      <w:r w:rsidRPr="00D23C24">
        <w:rPr>
          <w:rFonts w:eastAsiaTheme="minorHAnsi" w:cs="Arial"/>
          <w:color w:val="auto"/>
          <w:sz w:val="20"/>
        </w:rPr>
        <w:t>. 34: e8679.</w:t>
      </w:r>
    </w:p>
    <w:p w14:paraId="58B4AC25"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Hayden C.G.J., Cross S.E., Anderson C., Saunders N.A., Roberts M.S. (2005) Sunscreen penetration of human skin and related keratinocyte toxicity after topical application. Skin </w:t>
      </w:r>
      <w:proofErr w:type="spellStart"/>
      <w:r w:rsidRPr="00D23C24">
        <w:rPr>
          <w:rFonts w:eastAsiaTheme="minorHAnsi" w:cs="Arial"/>
          <w:color w:val="auto"/>
          <w:sz w:val="20"/>
        </w:rPr>
        <w:t>Pharmacol</w:t>
      </w:r>
      <w:proofErr w:type="spellEnd"/>
      <w:r w:rsidRPr="00D23C24">
        <w:rPr>
          <w:rFonts w:eastAsiaTheme="minorHAnsi" w:cs="Arial"/>
          <w:color w:val="auto"/>
          <w:sz w:val="20"/>
        </w:rPr>
        <w:t xml:space="preserve">. Physiol. 18: 170–174. </w:t>
      </w:r>
    </w:p>
    <w:p w14:paraId="263CEA59"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Hazardous Substances Data Bank (HSDB).  https://toxnet.nlm.nih.gov/newtoxnet/hsdb.htm</w:t>
      </w:r>
    </w:p>
    <w:p w14:paraId="09F7292F"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Hiller J., et al. (2019), Systemic availability of lipophilic organic UV filters through dermal sunscreen exposure. Environ. Int. 132: 105068.</w:t>
      </w:r>
    </w:p>
    <w:p w14:paraId="69F3A32C" w14:textId="77777777" w:rsidR="001739C2" w:rsidRPr="00D23C24" w:rsidRDefault="001739C2" w:rsidP="001D3727">
      <w:pPr>
        <w:pStyle w:val="FootnoteText"/>
        <w:spacing w:after="120" w:line="259" w:lineRule="auto"/>
        <w:rPr>
          <w:rFonts w:eastAsiaTheme="minorHAnsi" w:cs="Arial"/>
          <w:color w:val="auto"/>
          <w:sz w:val="20"/>
        </w:rPr>
      </w:pPr>
      <w:proofErr w:type="spellStart"/>
      <w:r w:rsidRPr="00D23C24">
        <w:rPr>
          <w:rFonts w:eastAsiaTheme="minorHAnsi" w:cs="Arial"/>
          <w:color w:val="auto"/>
          <w:sz w:val="20"/>
        </w:rPr>
        <w:t>Hojerová</w:t>
      </w:r>
      <w:proofErr w:type="spellEnd"/>
      <w:r w:rsidRPr="00D23C24">
        <w:rPr>
          <w:rFonts w:eastAsiaTheme="minorHAnsi" w:cs="Arial"/>
          <w:color w:val="auto"/>
          <w:sz w:val="20"/>
        </w:rPr>
        <w:t xml:space="preserve"> J., </w:t>
      </w:r>
      <w:proofErr w:type="spellStart"/>
      <w:r w:rsidRPr="00D23C24">
        <w:rPr>
          <w:rFonts w:eastAsiaTheme="minorHAnsi" w:cs="Arial"/>
          <w:color w:val="auto"/>
          <w:sz w:val="20"/>
        </w:rPr>
        <w:t>Peráčková</w:t>
      </w:r>
      <w:proofErr w:type="spellEnd"/>
      <w:r w:rsidRPr="00D23C24">
        <w:rPr>
          <w:rFonts w:eastAsiaTheme="minorHAnsi" w:cs="Arial"/>
          <w:color w:val="auto"/>
          <w:sz w:val="20"/>
        </w:rPr>
        <w:t xml:space="preserve"> Z., and Beránková M. (2017) Margin of safety for two UV filters estimated by in vitro permeation studies mimicking consumer habits: Effects of skin shaving and sunscreen reapplication. Food Chem. </w:t>
      </w:r>
      <w:proofErr w:type="spellStart"/>
      <w:r w:rsidRPr="00D23C24">
        <w:rPr>
          <w:rFonts w:eastAsiaTheme="minorHAnsi" w:cs="Arial"/>
          <w:color w:val="auto"/>
          <w:sz w:val="20"/>
        </w:rPr>
        <w:t>Toxicol</w:t>
      </w:r>
      <w:proofErr w:type="spellEnd"/>
      <w:r w:rsidRPr="00D23C24">
        <w:rPr>
          <w:rFonts w:eastAsiaTheme="minorHAnsi" w:cs="Arial"/>
          <w:color w:val="auto"/>
          <w:sz w:val="20"/>
        </w:rPr>
        <w:t>. 103: 66–78.</w:t>
      </w:r>
    </w:p>
    <w:p w14:paraId="42C7CA8B"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Huang Y., et al. (2019) Fate of UV filter </w:t>
      </w:r>
      <w:proofErr w:type="spellStart"/>
      <w:r w:rsidRPr="00D23C24">
        <w:rPr>
          <w:rFonts w:eastAsiaTheme="minorHAnsi" w:cs="Arial"/>
          <w:color w:val="auto"/>
          <w:sz w:val="20"/>
        </w:rPr>
        <w:t>Ethylhexyl</w:t>
      </w:r>
      <w:proofErr w:type="spellEnd"/>
      <w:r w:rsidRPr="00D23C24">
        <w:rPr>
          <w:rFonts w:eastAsiaTheme="minorHAnsi" w:cs="Arial"/>
          <w:color w:val="auto"/>
          <w:sz w:val="20"/>
        </w:rPr>
        <w:t xml:space="preserve"> methoxycinnamate in rat model and human urine: Metabolism, exposure and demographic associations. Science Total </w:t>
      </w:r>
      <w:proofErr w:type="spellStart"/>
      <w:r w:rsidRPr="00D23C24">
        <w:rPr>
          <w:rFonts w:eastAsiaTheme="minorHAnsi" w:cs="Arial"/>
          <w:color w:val="auto"/>
          <w:sz w:val="20"/>
        </w:rPr>
        <w:t>Enviroment</w:t>
      </w:r>
      <w:proofErr w:type="spellEnd"/>
      <w:r w:rsidRPr="00D23C24">
        <w:rPr>
          <w:rFonts w:eastAsiaTheme="minorHAnsi" w:cs="Arial"/>
          <w:color w:val="auto"/>
          <w:sz w:val="20"/>
        </w:rPr>
        <w:t>. 686: 729-736.</w:t>
      </w:r>
    </w:p>
    <w:p w14:paraId="05B1FE22"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Huang Y., et al. (2021), Risks of organic UV filters: a review of environmental and human health concern studies, Science of The Total Environment, 755, Part 1, 2021, 142486,</w:t>
      </w:r>
    </w:p>
    <w:p w14:paraId="186F0458"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Janjua N.R., et al. (2004) Systemic Absorption of the Sunscreens Benzophenone-3, Octyl-Methoxycinnamate, and 3-(4-Methyl-Benzylidene) Camphor After Whole-Body Topical Application and Reproductive Hormone Levels in Humans. J. Invest. Dermatol. 123: 57–61. </w:t>
      </w:r>
    </w:p>
    <w:p w14:paraId="76065AF7" w14:textId="77777777" w:rsidR="001739C2" w:rsidRPr="00D23C24" w:rsidRDefault="001739C2" w:rsidP="001D3727">
      <w:pPr>
        <w:pStyle w:val="FootnoteText"/>
        <w:spacing w:after="120" w:line="259" w:lineRule="auto"/>
        <w:rPr>
          <w:rFonts w:eastAsiaTheme="minorHAnsi" w:cs="Arial"/>
          <w:color w:val="auto"/>
          <w:sz w:val="20"/>
        </w:rPr>
      </w:pPr>
      <w:proofErr w:type="spellStart"/>
      <w:r w:rsidRPr="00D23C24">
        <w:rPr>
          <w:rFonts w:eastAsiaTheme="minorHAnsi" w:cs="Arial"/>
          <w:color w:val="auto"/>
          <w:sz w:val="20"/>
        </w:rPr>
        <w:t>Kariagina</w:t>
      </w:r>
      <w:proofErr w:type="spellEnd"/>
      <w:r w:rsidRPr="00D23C24">
        <w:rPr>
          <w:rFonts w:eastAsiaTheme="minorHAnsi" w:cs="Arial"/>
          <w:color w:val="auto"/>
          <w:sz w:val="20"/>
        </w:rPr>
        <w:t xml:space="preserve"> A, et al. (2020) Interactions between benzophenone-3 and dietary fat in mammary tumorigenesis, PREPRINT (Version 1) available at Research Square [https://doi.org/10.21203/rs.3.rs-59529/v1]</w:t>
      </w:r>
    </w:p>
    <w:p w14:paraId="6CDC9C01"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Karlsson I., et al. (2009) Photodegradation of </w:t>
      </w:r>
      <w:proofErr w:type="spellStart"/>
      <w:r w:rsidRPr="00D23C24">
        <w:rPr>
          <w:rFonts w:eastAsiaTheme="minorHAnsi" w:cs="Arial"/>
          <w:color w:val="auto"/>
          <w:sz w:val="20"/>
        </w:rPr>
        <w:t>dibenzoylmethanes</w:t>
      </w:r>
      <w:proofErr w:type="spellEnd"/>
      <w:r w:rsidRPr="00D23C24">
        <w:rPr>
          <w:rFonts w:eastAsiaTheme="minorHAnsi" w:cs="Arial"/>
          <w:color w:val="auto"/>
          <w:sz w:val="20"/>
        </w:rPr>
        <w:t xml:space="preserve">: potential cause of </w:t>
      </w:r>
      <w:proofErr w:type="spellStart"/>
      <w:r w:rsidRPr="00D23C24">
        <w:rPr>
          <w:rFonts w:eastAsiaTheme="minorHAnsi" w:cs="Arial"/>
          <w:color w:val="auto"/>
          <w:sz w:val="20"/>
        </w:rPr>
        <w:t>photocontact</w:t>
      </w:r>
      <w:proofErr w:type="spellEnd"/>
      <w:r w:rsidRPr="00D23C24">
        <w:rPr>
          <w:rFonts w:eastAsiaTheme="minorHAnsi" w:cs="Arial"/>
          <w:color w:val="auto"/>
          <w:sz w:val="20"/>
        </w:rPr>
        <w:t xml:space="preserve"> allergy to sunscreens. Chem. Res. </w:t>
      </w:r>
      <w:proofErr w:type="spellStart"/>
      <w:r w:rsidRPr="00D23C24">
        <w:rPr>
          <w:rFonts w:eastAsiaTheme="minorHAnsi" w:cs="Arial"/>
          <w:color w:val="auto"/>
          <w:sz w:val="20"/>
        </w:rPr>
        <w:t>Toxicol</w:t>
      </w:r>
      <w:proofErr w:type="spellEnd"/>
      <w:r w:rsidRPr="00D23C24">
        <w:rPr>
          <w:rFonts w:eastAsiaTheme="minorHAnsi" w:cs="Arial"/>
          <w:color w:val="auto"/>
          <w:sz w:val="20"/>
        </w:rPr>
        <w:t>. 22: 1881–1892.</w:t>
      </w:r>
    </w:p>
    <w:p w14:paraId="6659D051"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Klimova Z., et al. (2015) Skin absorption and human exposure estimation of three widely discussed UV filters in sunscreens In vitro study mimicking real-life consumer habits. Food Chem. </w:t>
      </w:r>
      <w:proofErr w:type="spellStart"/>
      <w:r w:rsidRPr="00D23C24">
        <w:rPr>
          <w:rFonts w:eastAsiaTheme="minorHAnsi" w:cs="Arial"/>
          <w:color w:val="auto"/>
          <w:sz w:val="20"/>
        </w:rPr>
        <w:t>Toxicol</w:t>
      </w:r>
      <w:proofErr w:type="spellEnd"/>
      <w:r w:rsidRPr="00D23C24">
        <w:rPr>
          <w:rFonts w:eastAsiaTheme="minorHAnsi" w:cs="Arial"/>
          <w:color w:val="auto"/>
          <w:sz w:val="20"/>
        </w:rPr>
        <w:t>. 83: 237-250.</w:t>
      </w:r>
    </w:p>
    <w:p w14:paraId="1E999A4E"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La Merrill M.A., Vandenberg L.N., Smith M.T., et al. (2020) Consensus on the key characteristics of endocrine-disrupting chemicals as a basis for hazard identification. Nat. Rev. Endocrinol. 16: 45–57. </w:t>
      </w:r>
    </w:p>
    <w:p w14:paraId="05C164E0"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Loh T.Y., and Cohen P.R. (2016) Ketoprofen-induced photoallergic dermatitis. Indian J. Med. Res. 144: 803–806.</w:t>
      </w:r>
    </w:p>
    <w:p w14:paraId="6747A43D"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Lorigo M., et al. (2018) Photoprotection of ultraviolet-B filters: Updated review of endocrine disrupting properties. Steroids. 131: 46-58.</w:t>
      </w:r>
    </w:p>
    <w:p w14:paraId="4274A136"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Majhi P.D., et al. (2020) Effects of benzophenone-3 and propylparaben on estrogen receptor-dependent R-loops and DNA damage in breast epithelial cells and mice. Environ. Health </w:t>
      </w:r>
      <w:proofErr w:type="spellStart"/>
      <w:r w:rsidRPr="00D23C24">
        <w:rPr>
          <w:rFonts w:eastAsiaTheme="minorHAnsi" w:cs="Arial"/>
          <w:color w:val="auto"/>
          <w:sz w:val="20"/>
        </w:rPr>
        <w:t>Perspect</w:t>
      </w:r>
      <w:proofErr w:type="spellEnd"/>
      <w:r w:rsidRPr="00D23C24">
        <w:rPr>
          <w:rFonts w:eastAsiaTheme="minorHAnsi" w:cs="Arial"/>
          <w:color w:val="auto"/>
          <w:sz w:val="20"/>
        </w:rPr>
        <w:t>. 128: 017002-1-15.</w:t>
      </w:r>
    </w:p>
    <w:p w14:paraId="0F59616C"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Matta M.K., </w:t>
      </w:r>
      <w:proofErr w:type="spellStart"/>
      <w:r w:rsidRPr="00D23C24">
        <w:rPr>
          <w:rFonts w:eastAsiaTheme="minorHAnsi" w:cs="Arial"/>
          <w:color w:val="auto"/>
          <w:sz w:val="20"/>
        </w:rPr>
        <w:t>Zusterzeel</w:t>
      </w:r>
      <w:proofErr w:type="spellEnd"/>
      <w:r w:rsidRPr="00D23C24">
        <w:rPr>
          <w:rFonts w:eastAsiaTheme="minorHAnsi" w:cs="Arial"/>
          <w:color w:val="auto"/>
          <w:sz w:val="20"/>
        </w:rPr>
        <w:t xml:space="preserve"> R., Pilli N.R., et al. (2019) Effect of sunscreen application under maximal use conditions on plasma concentration of sunscreen active ingredients: a randomized clinical trial.  JAMA. 321(21): 2082-2091.</w:t>
      </w:r>
    </w:p>
    <w:p w14:paraId="72FB26AD"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Matta, M. K., Florian, J., </w:t>
      </w:r>
      <w:proofErr w:type="spellStart"/>
      <w:r w:rsidRPr="00D23C24">
        <w:rPr>
          <w:rFonts w:eastAsiaTheme="minorHAnsi" w:cs="Arial"/>
          <w:color w:val="auto"/>
          <w:sz w:val="20"/>
        </w:rPr>
        <w:t>Zusterzeel</w:t>
      </w:r>
      <w:proofErr w:type="spellEnd"/>
      <w:r w:rsidRPr="00D23C24">
        <w:rPr>
          <w:rFonts w:eastAsiaTheme="minorHAnsi" w:cs="Arial"/>
          <w:color w:val="auto"/>
          <w:sz w:val="20"/>
        </w:rPr>
        <w:t xml:space="preserve">, R., Pilli, N. R., et al. (2020). Effect of Sunscreen Application on Plasma Concentration of Sunscreen Active Ingredients: A Randomized Clinical Trial. JAMA, 323(3), 256–267. Montenegro L., et al. (2011) Vehicle effects on in vitro release and skin permeation of </w:t>
      </w:r>
      <w:proofErr w:type="spellStart"/>
      <w:r w:rsidRPr="00D23C24">
        <w:rPr>
          <w:rFonts w:eastAsiaTheme="minorHAnsi" w:cs="Arial"/>
          <w:color w:val="auto"/>
          <w:sz w:val="20"/>
        </w:rPr>
        <w:t>octylmethoxycinnamate</w:t>
      </w:r>
      <w:proofErr w:type="spellEnd"/>
      <w:r w:rsidRPr="00D23C24">
        <w:rPr>
          <w:rFonts w:eastAsiaTheme="minorHAnsi" w:cs="Arial"/>
          <w:color w:val="auto"/>
          <w:sz w:val="20"/>
        </w:rPr>
        <w:t xml:space="preserve"> from microemulsions. Pharmaceutical Nanotechnology. 405: 162-168.</w:t>
      </w:r>
    </w:p>
    <w:p w14:paraId="2807AEC3"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lastRenderedPageBreak/>
        <w:t xml:space="preserve">Montenegro L., </w:t>
      </w:r>
      <w:proofErr w:type="spellStart"/>
      <w:r w:rsidRPr="00D23C24">
        <w:rPr>
          <w:rFonts w:eastAsiaTheme="minorHAnsi" w:cs="Arial"/>
          <w:color w:val="auto"/>
          <w:sz w:val="20"/>
        </w:rPr>
        <w:t>Turnaturi</w:t>
      </w:r>
      <w:proofErr w:type="spellEnd"/>
      <w:r w:rsidRPr="00D23C24">
        <w:rPr>
          <w:rFonts w:eastAsiaTheme="minorHAnsi" w:cs="Arial"/>
          <w:color w:val="auto"/>
          <w:sz w:val="20"/>
        </w:rPr>
        <w:t xml:space="preserve"> R., Parenti C., and </w:t>
      </w:r>
      <w:proofErr w:type="spellStart"/>
      <w:r w:rsidRPr="00D23C24">
        <w:rPr>
          <w:rFonts w:eastAsiaTheme="minorHAnsi" w:cs="Arial"/>
          <w:color w:val="auto"/>
          <w:sz w:val="20"/>
        </w:rPr>
        <w:t>Pasquinucci</w:t>
      </w:r>
      <w:proofErr w:type="spellEnd"/>
      <w:r w:rsidRPr="00D23C24">
        <w:rPr>
          <w:rFonts w:eastAsiaTheme="minorHAnsi" w:cs="Arial"/>
          <w:color w:val="auto"/>
          <w:sz w:val="20"/>
        </w:rPr>
        <w:t xml:space="preserve"> L. (2018) In Vitro Evaluation of Sunscreen Safety: Effects of the Vehicle and Repeated Applications on Skin Permeation from Topical Formulations. Pharmaceutics. 10(1): 27.</w:t>
      </w:r>
    </w:p>
    <w:p w14:paraId="49C848AE"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Monti D., et al. (2008) Skin permeation and distribution of two sunscreens: a comparison between reconstituted human skin and hairless rat skin. Skin </w:t>
      </w:r>
      <w:proofErr w:type="spellStart"/>
      <w:r w:rsidRPr="00D23C24">
        <w:rPr>
          <w:rFonts w:eastAsiaTheme="minorHAnsi" w:cs="Arial"/>
          <w:color w:val="auto"/>
          <w:sz w:val="20"/>
        </w:rPr>
        <w:t>Pharmacol</w:t>
      </w:r>
      <w:proofErr w:type="spellEnd"/>
      <w:r w:rsidRPr="00D23C24">
        <w:rPr>
          <w:rFonts w:eastAsiaTheme="minorHAnsi" w:cs="Arial"/>
          <w:color w:val="auto"/>
          <w:sz w:val="20"/>
        </w:rPr>
        <w:t>. Physiol. 21: 318e325.</w:t>
      </w:r>
    </w:p>
    <w:p w14:paraId="23990CE3"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Nakamura N., et al. (2015) Effects of maternal and lactational exposure to 2-hydroxy-4-methoxybenzone on development and reproductive organs in male and female rat offspring. Birth Defects Res. 104: 35-51.</w:t>
      </w:r>
    </w:p>
    <w:p w14:paraId="4190137E"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Nash J.F., and Tanner P.R. (2014) Relevance of UV filter/sunscreen product photostability to human safety. </w:t>
      </w:r>
      <w:proofErr w:type="spellStart"/>
      <w:r w:rsidRPr="00D23C24">
        <w:rPr>
          <w:rFonts w:eastAsiaTheme="minorHAnsi" w:cs="Arial"/>
          <w:color w:val="auto"/>
          <w:sz w:val="20"/>
        </w:rPr>
        <w:t>Photodermatol</w:t>
      </w:r>
      <w:proofErr w:type="spellEnd"/>
      <w:r w:rsidRPr="00D23C24">
        <w:rPr>
          <w:rFonts w:eastAsiaTheme="minorHAnsi" w:cs="Arial"/>
          <w:color w:val="auto"/>
          <w:sz w:val="20"/>
        </w:rPr>
        <w:t xml:space="preserve">. </w:t>
      </w:r>
      <w:proofErr w:type="spellStart"/>
      <w:r w:rsidRPr="00D23C24">
        <w:rPr>
          <w:rFonts w:eastAsiaTheme="minorHAnsi" w:cs="Arial"/>
          <w:color w:val="auto"/>
          <w:sz w:val="20"/>
        </w:rPr>
        <w:t>Photoimmunol</w:t>
      </w:r>
      <w:proofErr w:type="spellEnd"/>
      <w:r w:rsidRPr="00D23C24">
        <w:rPr>
          <w:rFonts w:eastAsiaTheme="minorHAnsi" w:cs="Arial"/>
          <w:color w:val="auto"/>
          <w:sz w:val="20"/>
        </w:rPr>
        <w:t xml:space="preserve">. </w:t>
      </w:r>
      <w:proofErr w:type="spellStart"/>
      <w:r w:rsidRPr="00D23C24">
        <w:rPr>
          <w:rFonts w:eastAsiaTheme="minorHAnsi" w:cs="Arial"/>
          <w:color w:val="auto"/>
          <w:sz w:val="20"/>
        </w:rPr>
        <w:t>Photomed</w:t>
      </w:r>
      <w:proofErr w:type="spellEnd"/>
      <w:r w:rsidRPr="00D23C24">
        <w:rPr>
          <w:rFonts w:eastAsiaTheme="minorHAnsi" w:cs="Arial"/>
          <w:color w:val="auto"/>
          <w:sz w:val="20"/>
        </w:rPr>
        <w:t>. 30: 88-95.</w:t>
      </w:r>
    </w:p>
    <w:p w14:paraId="4F4896FF" w14:textId="77777777" w:rsidR="001739C2" w:rsidRPr="00E8439A" w:rsidRDefault="001739C2" w:rsidP="001D3727">
      <w:pPr>
        <w:pStyle w:val="FootnoteText"/>
        <w:spacing w:after="120" w:line="259" w:lineRule="auto"/>
        <w:rPr>
          <w:rStyle w:val="Hyperlink"/>
          <w:rFonts w:cs="Arial"/>
          <w:sz w:val="20"/>
        </w:rPr>
      </w:pPr>
      <w:r w:rsidRPr="00D23C24">
        <w:rPr>
          <w:rFonts w:eastAsiaTheme="minorHAnsi" w:cs="Arial"/>
          <w:color w:val="auto"/>
          <w:sz w:val="20"/>
        </w:rPr>
        <w:t>NICNAS (2017) 2-Propenoic acid, 3-(4-methoxyphenyl)-, 2-ethylhexyl ester: Human health tier II assessment. Retrieved from 2-Propenoic acid, 3-(4-methoxyphenyl)-, 2-ethylhexyl ester. Human health tier II assessment. Retrieved from</w:t>
      </w:r>
      <w:r w:rsidRPr="007E188A">
        <w:rPr>
          <w:rFonts w:cstheme="minorHAnsi"/>
          <w:sz w:val="22"/>
          <w:szCs w:val="22"/>
        </w:rPr>
        <w:t xml:space="preserve"> </w:t>
      </w:r>
      <w:hyperlink r:id="rId84" w:history="1">
        <w:r w:rsidRPr="00E8439A">
          <w:rPr>
            <w:rStyle w:val="Hyperlink"/>
            <w:rFonts w:cs="Arial"/>
            <w:sz w:val="20"/>
          </w:rPr>
          <w:t>https://www.industrialchemicals.gov.au/sites/default/files/2-Propenoic%20acid%2C%203-%284-methoxyphenyl%29-%2C%202-ethylhexyl%20ester_Human%20health%20tier%20II%20assessment.pdf</w:t>
        </w:r>
      </w:hyperlink>
      <w:r w:rsidRPr="00E8439A">
        <w:rPr>
          <w:rStyle w:val="Hyperlink"/>
          <w:rFonts w:cs="Arial"/>
          <w:sz w:val="20"/>
        </w:rPr>
        <w:t xml:space="preserve"> </w:t>
      </w:r>
    </w:p>
    <w:p w14:paraId="2ED5A6C1"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Odio M.R., et al. (1994) Evaluation of </w:t>
      </w:r>
      <w:proofErr w:type="spellStart"/>
      <w:r w:rsidRPr="00D23C24">
        <w:rPr>
          <w:rFonts w:eastAsiaTheme="minorHAnsi" w:cs="Arial"/>
          <w:color w:val="auto"/>
          <w:sz w:val="20"/>
        </w:rPr>
        <w:t>subchronic</w:t>
      </w:r>
      <w:proofErr w:type="spellEnd"/>
      <w:r w:rsidRPr="00D23C24">
        <w:rPr>
          <w:rFonts w:eastAsiaTheme="minorHAnsi" w:cs="Arial"/>
          <w:color w:val="auto"/>
          <w:sz w:val="20"/>
        </w:rPr>
        <w:t xml:space="preserve"> (13 week), reproductive, and in vitro genetic toxicity potential of 2-ethylhexyl-2-cyano-3,3-diphenyl acrylate (Octocrylene). </w:t>
      </w:r>
      <w:proofErr w:type="spellStart"/>
      <w:r w:rsidRPr="00D23C24">
        <w:rPr>
          <w:rFonts w:eastAsiaTheme="minorHAnsi" w:cs="Arial"/>
          <w:color w:val="auto"/>
          <w:sz w:val="20"/>
        </w:rPr>
        <w:t>Fundam</w:t>
      </w:r>
      <w:proofErr w:type="spellEnd"/>
      <w:r w:rsidRPr="00D23C24">
        <w:rPr>
          <w:rFonts w:eastAsiaTheme="minorHAnsi" w:cs="Arial"/>
          <w:color w:val="auto"/>
          <w:sz w:val="20"/>
        </w:rPr>
        <w:t xml:space="preserve">. Appl. </w:t>
      </w:r>
      <w:proofErr w:type="spellStart"/>
      <w:r w:rsidRPr="00D23C24">
        <w:rPr>
          <w:rFonts w:eastAsiaTheme="minorHAnsi" w:cs="Arial"/>
          <w:color w:val="auto"/>
          <w:sz w:val="20"/>
        </w:rPr>
        <w:t>Toxicol</w:t>
      </w:r>
      <w:proofErr w:type="spellEnd"/>
      <w:r w:rsidRPr="00D23C24">
        <w:rPr>
          <w:rFonts w:eastAsiaTheme="minorHAnsi" w:cs="Arial"/>
          <w:color w:val="auto"/>
          <w:sz w:val="20"/>
        </w:rPr>
        <w:t>. 22(3): 355-68.</w:t>
      </w:r>
    </w:p>
    <w:p w14:paraId="556B0617" w14:textId="77777777" w:rsidR="001739C2" w:rsidRPr="00D23C24" w:rsidRDefault="001739C2" w:rsidP="001D3727">
      <w:pPr>
        <w:pStyle w:val="FootnoteText"/>
        <w:spacing w:after="120" w:line="259" w:lineRule="auto"/>
        <w:rPr>
          <w:rFonts w:eastAsiaTheme="minorHAnsi" w:cs="Arial"/>
          <w:color w:val="auto"/>
          <w:sz w:val="20"/>
        </w:rPr>
      </w:pPr>
      <w:bookmarkStart w:id="175" w:name="Acknowledgment"/>
      <w:bookmarkStart w:id="176" w:name="_bookmark21"/>
      <w:bookmarkStart w:id="177" w:name="_bookmark20"/>
      <w:bookmarkStart w:id="178" w:name="_bookmark19"/>
      <w:bookmarkStart w:id="179" w:name="Conclusions_and_future_perspectives"/>
      <w:bookmarkStart w:id="180" w:name="References"/>
      <w:bookmarkStart w:id="181" w:name="_bookmark0"/>
      <w:bookmarkStart w:id="182" w:name="_bookmark1"/>
      <w:bookmarkStart w:id="183" w:name="_bookmark2"/>
      <w:bookmarkStart w:id="184" w:name="_bookmark3"/>
      <w:bookmarkStart w:id="185" w:name="_bookmark4"/>
      <w:bookmarkStart w:id="186" w:name="_bookmark5"/>
      <w:bookmarkStart w:id="187" w:name="_bookmark6"/>
      <w:bookmarkStart w:id="188" w:name="_bookmark7"/>
      <w:bookmarkStart w:id="189" w:name="_bookmark8"/>
      <w:bookmarkStart w:id="190" w:name="_bookmark9"/>
      <w:bookmarkStart w:id="191" w:name="_bookmark10"/>
      <w:bookmarkStart w:id="192" w:name="_bookmark11"/>
      <w:bookmarkStart w:id="193" w:name="_bookmark12"/>
      <w:bookmarkStart w:id="194" w:name="_bookmark13"/>
      <w:bookmarkStart w:id="195" w:name="_bookmark14"/>
      <w:bookmarkStart w:id="196" w:name="_bookmark15"/>
      <w:bookmarkStart w:id="197" w:name="_bookmark16"/>
      <w:bookmarkStart w:id="198" w:name="_bookmark17"/>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D23C24">
        <w:rPr>
          <w:rFonts w:eastAsiaTheme="minorHAnsi" w:cs="Arial"/>
          <w:color w:val="auto"/>
          <w:sz w:val="20"/>
        </w:rPr>
        <w:t xml:space="preserve">C. Philippat, M. </w:t>
      </w:r>
      <w:proofErr w:type="spellStart"/>
      <w:r w:rsidRPr="00D23C24">
        <w:rPr>
          <w:rFonts w:eastAsiaTheme="minorHAnsi" w:cs="Arial"/>
          <w:color w:val="auto"/>
          <w:sz w:val="20"/>
        </w:rPr>
        <w:t>Mortamais</w:t>
      </w:r>
      <w:proofErr w:type="spellEnd"/>
      <w:r w:rsidRPr="00D23C24">
        <w:rPr>
          <w:rFonts w:eastAsiaTheme="minorHAnsi" w:cs="Arial"/>
          <w:color w:val="auto"/>
          <w:sz w:val="20"/>
        </w:rPr>
        <w:t xml:space="preserve">, C. Chevrier, C. Petit, A.M. Calafat, YEX, M.J. Silva, C. Brambilla, I. Pin, M.A. Charles, S. Cordier, R. Slama (2012), Exposure to phthalates and phenols during pregnancy and oﬀspring size at birth, Environ. Health </w:t>
      </w:r>
      <w:proofErr w:type="spellStart"/>
      <w:r w:rsidRPr="00D23C24">
        <w:rPr>
          <w:rFonts w:eastAsiaTheme="minorHAnsi" w:cs="Arial"/>
          <w:color w:val="auto"/>
          <w:sz w:val="20"/>
        </w:rPr>
        <w:t>Perspect</w:t>
      </w:r>
      <w:proofErr w:type="spellEnd"/>
      <w:r w:rsidRPr="00D23C24">
        <w:rPr>
          <w:rFonts w:eastAsiaTheme="minorHAnsi" w:cs="Arial"/>
          <w:color w:val="auto"/>
          <w:sz w:val="20"/>
        </w:rPr>
        <w:t xml:space="preserve">. 120: 464. </w:t>
      </w:r>
    </w:p>
    <w:p w14:paraId="05D5813E"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Rehfeld A., Egeberg D. L., Almstrup K., Petersen J. H., Dissing S., and Skakkebæk N.E. (2018) EDC IMPACT: Chemical UV filters can affect human sperm function in a progesterone-like manner. Endocrine Connections. 7(1): 16-25.</w:t>
      </w:r>
    </w:p>
    <w:p w14:paraId="6ACBD5AD"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RMOA (2016) Guidelines for an Industry Risk Management Options Analysis (RMOA)  </w:t>
      </w:r>
    </w:p>
    <w:p w14:paraId="28D149DB"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Romita P., Foti C., Hansel K., </w:t>
      </w:r>
      <w:proofErr w:type="spellStart"/>
      <w:r w:rsidRPr="00D23C24">
        <w:rPr>
          <w:rFonts w:eastAsiaTheme="minorHAnsi" w:cs="Arial"/>
          <w:color w:val="auto"/>
          <w:sz w:val="20"/>
        </w:rPr>
        <w:t>Stingeni</w:t>
      </w:r>
      <w:proofErr w:type="spellEnd"/>
      <w:r w:rsidRPr="00D23C24">
        <w:rPr>
          <w:rFonts w:eastAsiaTheme="minorHAnsi" w:cs="Arial"/>
          <w:color w:val="auto"/>
          <w:sz w:val="20"/>
        </w:rPr>
        <w:t xml:space="preserve"> L. (2018) Photo-contact allergy to octocrylene: a decreasing trend? Contact Derm.  78: 224–225.</w:t>
      </w:r>
    </w:p>
    <w:p w14:paraId="000B21B7"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Ruszkiewicz, J. A., Pinkas, A., Ferrer, B., Peres, T. V., </w:t>
      </w:r>
      <w:proofErr w:type="spellStart"/>
      <w:r w:rsidRPr="00D23C24">
        <w:rPr>
          <w:rFonts w:eastAsiaTheme="minorHAnsi" w:cs="Arial"/>
          <w:color w:val="auto"/>
          <w:sz w:val="20"/>
        </w:rPr>
        <w:t>Tsatsakis</w:t>
      </w:r>
      <w:proofErr w:type="spellEnd"/>
      <w:r w:rsidRPr="00D23C24">
        <w:rPr>
          <w:rFonts w:eastAsiaTheme="minorHAnsi" w:cs="Arial"/>
          <w:color w:val="auto"/>
          <w:sz w:val="20"/>
        </w:rPr>
        <w:t>, A., &amp; Aschner, M. (2017). Neurotoxic effect of active ingredients in sunscreen products, a contemporary review. Toxicology reports, 4, 245–259.</w:t>
      </w:r>
    </w:p>
    <w:p w14:paraId="46192413" w14:textId="77777777" w:rsidR="001739C2" w:rsidRPr="00D23C24" w:rsidRDefault="001739C2" w:rsidP="001D3727">
      <w:pPr>
        <w:pStyle w:val="FootnoteText"/>
        <w:spacing w:after="120" w:line="259" w:lineRule="auto"/>
        <w:rPr>
          <w:rFonts w:eastAsiaTheme="minorHAnsi" w:cs="Arial"/>
          <w:color w:val="auto"/>
          <w:sz w:val="20"/>
        </w:rPr>
      </w:pPr>
      <w:proofErr w:type="spellStart"/>
      <w:r w:rsidRPr="00D23C24">
        <w:rPr>
          <w:rFonts w:eastAsiaTheme="minorHAnsi" w:cs="Arial"/>
          <w:color w:val="auto"/>
          <w:sz w:val="20"/>
        </w:rPr>
        <w:t>Potard</w:t>
      </w:r>
      <w:proofErr w:type="spellEnd"/>
      <w:r w:rsidRPr="00D23C24">
        <w:rPr>
          <w:rFonts w:eastAsiaTheme="minorHAnsi" w:cs="Arial"/>
          <w:color w:val="auto"/>
          <w:sz w:val="20"/>
        </w:rPr>
        <w:t xml:space="preserve"> G., Laugel C., Schaefer H., Marty J.P. (2000) The stripping technique: in vitro absorption and penetration of five UV filters on excised fresh human skin. Skin </w:t>
      </w:r>
      <w:proofErr w:type="spellStart"/>
      <w:r w:rsidRPr="00D23C24">
        <w:rPr>
          <w:rFonts w:eastAsiaTheme="minorHAnsi" w:cs="Arial"/>
          <w:color w:val="auto"/>
          <w:sz w:val="20"/>
        </w:rPr>
        <w:t>Pharmacol</w:t>
      </w:r>
      <w:proofErr w:type="spellEnd"/>
      <w:r w:rsidRPr="00D23C24">
        <w:rPr>
          <w:rFonts w:eastAsiaTheme="minorHAnsi" w:cs="Arial"/>
          <w:color w:val="auto"/>
          <w:sz w:val="20"/>
        </w:rPr>
        <w:t>. Appl. Skin. Physiol. 13: 336–344.</w:t>
      </w:r>
    </w:p>
    <w:p w14:paraId="4D89C864"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Santamaria, C. G., Meyer, N., Schumacher, A., </w:t>
      </w:r>
      <w:proofErr w:type="spellStart"/>
      <w:r w:rsidRPr="00D23C24">
        <w:rPr>
          <w:rFonts w:eastAsiaTheme="minorHAnsi" w:cs="Arial"/>
          <w:color w:val="auto"/>
          <w:sz w:val="20"/>
        </w:rPr>
        <w:t>Zenclussen</w:t>
      </w:r>
      <w:proofErr w:type="spellEnd"/>
      <w:r w:rsidRPr="00D23C24">
        <w:rPr>
          <w:rFonts w:eastAsiaTheme="minorHAnsi" w:cs="Arial"/>
          <w:color w:val="auto"/>
          <w:sz w:val="20"/>
        </w:rPr>
        <w:t xml:space="preserve">, M. L., Teglia, C. M., </w:t>
      </w:r>
      <w:proofErr w:type="spellStart"/>
      <w:r w:rsidRPr="00D23C24">
        <w:rPr>
          <w:rFonts w:eastAsiaTheme="minorHAnsi" w:cs="Arial"/>
          <w:color w:val="auto"/>
          <w:sz w:val="20"/>
        </w:rPr>
        <w:t>Culzoni</w:t>
      </w:r>
      <w:proofErr w:type="spellEnd"/>
      <w:r w:rsidRPr="00D23C24">
        <w:rPr>
          <w:rFonts w:eastAsiaTheme="minorHAnsi" w:cs="Arial"/>
          <w:color w:val="auto"/>
          <w:sz w:val="20"/>
        </w:rPr>
        <w:t xml:space="preserve">, M. J., </w:t>
      </w:r>
      <w:proofErr w:type="spellStart"/>
      <w:r w:rsidRPr="00D23C24">
        <w:rPr>
          <w:rFonts w:eastAsiaTheme="minorHAnsi" w:cs="Arial"/>
          <w:color w:val="auto"/>
          <w:sz w:val="20"/>
        </w:rPr>
        <w:t>Zenclussen</w:t>
      </w:r>
      <w:proofErr w:type="spellEnd"/>
      <w:r w:rsidRPr="00D23C24">
        <w:rPr>
          <w:rFonts w:eastAsiaTheme="minorHAnsi" w:cs="Arial"/>
          <w:color w:val="auto"/>
          <w:sz w:val="20"/>
        </w:rPr>
        <w:t xml:space="preserve">, A. C., &amp; Rodriguez, H. A. (2020). Dermal exposure to the UV filter benzophenone-3 during early pregnancy affects </w:t>
      </w:r>
      <w:proofErr w:type="spellStart"/>
      <w:r w:rsidRPr="00D23C24">
        <w:rPr>
          <w:rFonts w:eastAsiaTheme="minorHAnsi" w:cs="Arial"/>
          <w:color w:val="auto"/>
          <w:sz w:val="20"/>
        </w:rPr>
        <w:t>fetal</w:t>
      </w:r>
      <w:proofErr w:type="spellEnd"/>
      <w:r w:rsidRPr="00D23C24">
        <w:rPr>
          <w:rFonts w:eastAsiaTheme="minorHAnsi" w:cs="Arial"/>
          <w:color w:val="auto"/>
          <w:sz w:val="20"/>
        </w:rPr>
        <w:t xml:space="preserve"> growth and sex ratio of the progeny in mice. Archives of toxicology, 94(8), 2847–2859. </w:t>
      </w:r>
    </w:p>
    <w:p w14:paraId="39D9837D"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Sauce R., Pinto C.A.S.O., Velasco M.V.R., Rosado C. and Baby A.R. (2021) Ex vivo penetration analysis and anti-inflammatory efficacy of the association of ferulic acid and UV filters. Eur. J. Pharm. Sci. 156: 105578.</w:t>
      </w:r>
    </w:p>
    <w:p w14:paraId="6896201C"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Scalia S., </w:t>
      </w:r>
      <w:proofErr w:type="spellStart"/>
      <w:r w:rsidRPr="00D23C24">
        <w:rPr>
          <w:rFonts w:eastAsiaTheme="minorHAnsi" w:cs="Arial"/>
          <w:color w:val="auto"/>
          <w:sz w:val="20"/>
        </w:rPr>
        <w:t>Battaglioli</w:t>
      </w:r>
      <w:proofErr w:type="spellEnd"/>
      <w:r w:rsidRPr="00D23C24">
        <w:rPr>
          <w:rFonts w:eastAsiaTheme="minorHAnsi" w:cs="Arial"/>
          <w:color w:val="auto"/>
          <w:sz w:val="20"/>
        </w:rPr>
        <w:t xml:space="preserve"> S., and Bianchi A. (2019) In vivo Human Skin Penetration of the UV Filter </w:t>
      </w:r>
      <w:proofErr w:type="spellStart"/>
      <w:r w:rsidRPr="00D23C24">
        <w:rPr>
          <w:rFonts w:eastAsiaTheme="minorHAnsi" w:cs="Arial"/>
          <w:color w:val="auto"/>
          <w:sz w:val="20"/>
        </w:rPr>
        <w:t>Ethylhexyl</w:t>
      </w:r>
      <w:proofErr w:type="spellEnd"/>
      <w:r w:rsidRPr="00D23C24">
        <w:rPr>
          <w:rFonts w:eastAsiaTheme="minorHAnsi" w:cs="Arial"/>
          <w:color w:val="auto"/>
          <w:sz w:val="20"/>
        </w:rPr>
        <w:t xml:space="preserve"> </w:t>
      </w:r>
      <w:proofErr w:type="spellStart"/>
      <w:r w:rsidRPr="00D23C24">
        <w:rPr>
          <w:rFonts w:eastAsiaTheme="minorHAnsi" w:cs="Arial"/>
          <w:color w:val="auto"/>
          <w:sz w:val="20"/>
        </w:rPr>
        <w:t>Triazone</w:t>
      </w:r>
      <w:proofErr w:type="spellEnd"/>
      <w:r w:rsidRPr="00D23C24">
        <w:rPr>
          <w:rFonts w:eastAsiaTheme="minorHAnsi" w:cs="Arial"/>
          <w:color w:val="auto"/>
          <w:sz w:val="20"/>
        </w:rPr>
        <w:t xml:space="preserve">: Effect of Lipid Microparticle Encapsulation. Skin </w:t>
      </w:r>
      <w:proofErr w:type="spellStart"/>
      <w:r w:rsidRPr="00D23C24">
        <w:rPr>
          <w:rFonts w:eastAsiaTheme="minorHAnsi" w:cs="Arial"/>
          <w:color w:val="auto"/>
          <w:sz w:val="20"/>
        </w:rPr>
        <w:t>Pharmacol</w:t>
      </w:r>
      <w:proofErr w:type="spellEnd"/>
      <w:r w:rsidRPr="00D23C24">
        <w:rPr>
          <w:rFonts w:eastAsiaTheme="minorHAnsi" w:cs="Arial"/>
          <w:color w:val="auto"/>
          <w:sz w:val="20"/>
        </w:rPr>
        <w:t>. Physiol. 32: 22–31.</w:t>
      </w:r>
    </w:p>
    <w:p w14:paraId="625AB9DF" w14:textId="77777777" w:rsidR="001739C2" w:rsidRPr="007E188A" w:rsidRDefault="001739C2" w:rsidP="001D3727">
      <w:pPr>
        <w:pStyle w:val="FootnoteText"/>
        <w:spacing w:after="120" w:line="259" w:lineRule="auto"/>
        <w:rPr>
          <w:rFonts w:cstheme="minorHAnsi"/>
          <w:sz w:val="22"/>
          <w:szCs w:val="22"/>
        </w:rPr>
      </w:pPr>
      <w:r w:rsidRPr="00D23C24">
        <w:rPr>
          <w:rFonts w:eastAsiaTheme="minorHAnsi" w:cs="Arial"/>
          <w:color w:val="auto"/>
          <w:sz w:val="20"/>
        </w:rPr>
        <w:t>Scientific Committee on Cosmetology (SCC, 2000) Reports of the Scientific Committee on Cosmetology (ninth series). 2-ethylhexyl-4-methoxycinnamate (S28), pages 888-895.</w:t>
      </w:r>
      <w:r w:rsidRPr="007E188A">
        <w:rPr>
          <w:rFonts w:cstheme="minorHAnsi"/>
          <w:sz w:val="22"/>
          <w:szCs w:val="22"/>
        </w:rPr>
        <w:t xml:space="preserve"> </w:t>
      </w:r>
      <w:hyperlink r:id="rId85" w:history="1">
        <w:r w:rsidRPr="00E8439A">
          <w:rPr>
            <w:rStyle w:val="Hyperlink"/>
            <w:rFonts w:cs="Arial"/>
            <w:sz w:val="20"/>
          </w:rPr>
          <w:t>https://ec.europa.eu/health/scientific_committees/consumer_safety/docs/scc_o_9.pdf</w:t>
        </w:r>
      </w:hyperlink>
    </w:p>
    <w:p w14:paraId="4D9988D6" w14:textId="77777777" w:rsidR="001739C2" w:rsidRPr="007E188A" w:rsidRDefault="001739C2" w:rsidP="001D3727">
      <w:pPr>
        <w:pStyle w:val="FootnoteText"/>
        <w:spacing w:after="120" w:line="259" w:lineRule="auto"/>
        <w:rPr>
          <w:rFonts w:ascii="Cambria" w:hAnsi="Cambria" w:cstheme="minorHAnsi"/>
          <w:sz w:val="22"/>
          <w:szCs w:val="22"/>
        </w:rPr>
      </w:pPr>
      <w:r w:rsidRPr="00D23C24">
        <w:rPr>
          <w:rFonts w:eastAsiaTheme="minorHAnsi" w:cs="Arial"/>
          <w:color w:val="auto"/>
          <w:sz w:val="20"/>
        </w:rPr>
        <w:t>Scientific Committee on Consumer Products (SCCP, 2006a). SCCP opinion on benzophenone-3, COLIPA S38. SCCP/1069/06. SCCP adoption of this opinion on 19 December 2006.</w:t>
      </w:r>
      <w:r>
        <w:rPr>
          <w:rFonts w:ascii="Cambria" w:hAnsi="Cambria"/>
          <w:sz w:val="22"/>
          <w:szCs w:val="22"/>
        </w:rPr>
        <w:t xml:space="preserve"> </w:t>
      </w:r>
      <w:hyperlink r:id="rId86" w:history="1">
        <w:r w:rsidRPr="00E8439A">
          <w:rPr>
            <w:rStyle w:val="Hyperlink"/>
            <w:rFonts w:cs="Arial"/>
            <w:sz w:val="20"/>
          </w:rPr>
          <w:t>https://ec.europa.eu/health/ph_risk/committees/04_sccp/docs/sccp_o_078.pdf</w:t>
        </w:r>
      </w:hyperlink>
      <w:r w:rsidRPr="00E8439A">
        <w:rPr>
          <w:rStyle w:val="Hyperlink"/>
          <w:rFonts w:cs="Arial"/>
          <w:sz w:val="20"/>
        </w:rPr>
        <w:t xml:space="preserve"> </w:t>
      </w:r>
      <w:r>
        <w:rPr>
          <w:rFonts w:ascii="Cambria" w:hAnsi="Cambria"/>
          <w:sz w:val="22"/>
          <w:szCs w:val="22"/>
        </w:rPr>
        <w:t xml:space="preserve">           </w:t>
      </w:r>
    </w:p>
    <w:p w14:paraId="16235801" w14:textId="77777777" w:rsidR="001739C2" w:rsidRPr="007E188A" w:rsidRDefault="001739C2" w:rsidP="001D3727">
      <w:pPr>
        <w:pStyle w:val="FootnoteText"/>
        <w:spacing w:after="120" w:line="259" w:lineRule="auto"/>
        <w:rPr>
          <w:rStyle w:val="Hyperlink"/>
          <w:rFonts w:ascii="Cambria" w:hAnsi="Cambria" w:cstheme="minorHAnsi"/>
          <w:sz w:val="22"/>
          <w:szCs w:val="22"/>
        </w:rPr>
      </w:pPr>
      <w:r w:rsidRPr="00D23C24">
        <w:rPr>
          <w:rFonts w:eastAsiaTheme="minorHAnsi" w:cs="Arial"/>
          <w:color w:val="auto"/>
          <w:sz w:val="20"/>
        </w:rPr>
        <w:lastRenderedPageBreak/>
        <w:t xml:space="preserve">Scientific Committee on Consumer Products (SCCP, 2006b) SCCP opinion on </w:t>
      </w:r>
      <w:proofErr w:type="spellStart"/>
      <w:r w:rsidRPr="00D23C24">
        <w:rPr>
          <w:rFonts w:eastAsiaTheme="minorHAnsi" w:cs="Arial"/>
          <w:color w:val="auto"/>
          <w:sz w:val="20"/>
        </w:rPr>
        <w:t>phenylbenzimidazole</w:t>
      </w:r>
      <w:proofErr w:type="spellEnd"/>
      <w:r w:rsidRPr="00D23C24">
        <w:rPr>
          <w:rFonts w:eastAsiaTheme="minorHAnsi" w:cs="Arial"/>
          <w:color w:val="auto"/>
          <w:sz w:val="20"/>
        </w:rPr>
        <w:t xml:space="preserve"> sulfonic acid and its salts, COLIPA S45. SCCP adoption of this opinion 19 December 2006.</w:t>
      </w:r>
      <w:r>
        <w:rPr>
          <w:rFonts w:ascii="Cambria" w:hAnsi="Cambria" w:cstheme="minorHAnsi"/>
          <w:sz w:val="22"/>
          <w:szCs w:val="22"/>
        </w:rPr>
        <w:t xml:space="preserve"> </w:t>
      </w:r>
      <w:hyperlink r:id="rId87" w:history="1">
        <w:r w:rsidRPr="00E8439A">
          <w:rPr>
            <w:rStyle w:val="Hyperlink"/>
            <w:rFonts w:cs="Arial"/>
            <w:sz w:val="20"/>
          </w:rPr>
          <w:t>https://ec.europa.eu/health/ph_risk/committees/04_sccp/docs/sccp_o_079.pdf</w:t>
        </w:r>
      </w:hyperlink>
      <w:r>
        <w:rPr>
          <w:rFonts w:ascii="Cambria" w:hAnsi="Cambria" w:cstheme="minorHAnsi"/>
          <w:sz w:val="22"/>
          <w:szCs w:val="22"/>
        </w:rPr>
        <w:t xml:space="preserve"> </w:t>
      </w:r>
    </w:p>
    <w:p w14:paraId="64F3E52B" w14:textId="77777777" w:rsidR="001739C2" w:rsidRDefault="001739C2" w:rsidP="001D3727">
      <w:pPr>
        <w:autoSpaceDE w:val="0"/>
        <w:autoSpaceDN w:val="0"/>
        <w:adjustRightInd w:val="0"/>
        <w:rPr>
          <w:rFonts w:ascii="Cambria" w:hAnsi="Cambria" w:cstheme="minorHAnsi"/>
          <w:sz w:val="22"/>
          <w:szCs w:val="22"/>
        </w:rPr>
      </w:pPr>
      <w:r w:rsidRPr="00D23C24">
        <w:rPr>
          <w:rFonts w:cs="Arial"/>
        </w:rPr>
        <w:t xml:space="preserve">Scientific Committee on Consumer Products (SCCP, 2007). SCCP opinion on </w:t>
      </w:r>
      <w:proofErr w:type="spellStart"/>
      <w:r w:rsidRPr="00D23C24">
        <w:rPr>
          <w:rFonts w:cs="Arial"/>
        </w:rPr>
        <w:t>homosalate</w:t>
      </w:r>
      <w:proofErr w:type="spellEnd"/>
      <w:r w:rsidRPr="00D23C24">
        <w:rPr>
          <w:rFonts w:cs="Arial"/>
        </w:rPr>
        <w:t>, COLIPA S12. SCCP adoption of this opinion 21 March 2007.</w:t>
      </w:r>
      <w:r>
        <w:rPr>
          <w:rFonts w:ascii="Cambria" w:hAnsi="Cambria" w:cstheme="minorHAnsi"/>
          <w:sz w:val="22"/>
          <w:szCs w:val="22"/>
        </w:rPr>
        <w:t xml:space="preserve"> </w:t>
      </w:r>
      <w:hyperlink r:id="rId88" w:history="1">
        <w:r w:rsidRPr="00E8439A">
          <w:rPr>
            <w:rStyle w:val="Hyperlink"/>
            <w:rFonts w:eastAsia="Cambria" w:cs="Arial"/>
          </w:rPr>
          <w:t>https://ec.europa.eu/health/ph_risk/committees/04_sccp/docs/sccp_o_097.pdf</w:t>
        </w:r>
      </w:hyperlink>
      <w:r>
        <w:rPr>
          <w:rFonts w:ascii="Cambria" w:hAnsi="Cambria" w:cstheme="minorHAnsi"/>
          <w:sz w:val="22"/>
          <w:szCs w:val="22"/>
        </w:rPr>
        <w:t xml:space="preserve"> </w:t>
      </w:r>
    </w:p>
    <w:p w14:paraId="7BAB9568" w14:textId="77777777" w:rsidR="001739C2" w:rsidRPr="00B232E4" w:rsidRDefault="001739C2" w:rsidP="001D3727">
      <w:pPr>
        <w:autoSpaceDE w:val="0"/>
        <w:autoSpaceDN w:val="0"/>
        <w:adjustRightInd w:val="0"/>
        <w:rPr>
          <w:rFonts w:ascii="Cambria" w:hAnsi="Cambria" w:cstheme="minorHAnsi"/>
          <w:sz w:val="22"/>
          <w:szCs w:val="22"/>
        </w:rPr>
      </w:pPr>
      <w:r w:rsidRPr="00D23C24">
        <w:rPr>
          <w:rFonts w:cs="Arial"/>
        </w:rPr>
        <w:t>Scientific Committee on Consumer Products (SCCP, 2008) SCCP opinion on benzophenone-3, COLIPA S38. SCCP adoption of this opinion 16 December 2008.</w:t>
      </w:r>
      <w:r>
        <w:rPr>
          <w:rFonts w:ascii="Cambria" w:hAnsi="Cambria" w:cstheme="minorHAnsi"/>
          <w:sz w:val="22"/>
          <w:szCs w:val="22"/>
        </w:rPr>
        <w:t xml:space="preserve"> </w:t>
      </w:r>
      <w:hyperlink r:id="rId89" w:history="1">
        <w:r w:rsidRPr="00E8439A">
          <w:rPr>
            <w:rStyle w:val="Hyperlink"/>
            <w:rFonts w:eastAsia="Cambria" w:cs="Arial"/>
          </w:rPr>
          <w:t>https://ec.europa.eu/health/ph_risk/committees/04_sccp/docs/sccp_o_159.pdf</w:t>
        </w:r>
      </w:hyperlink>
      <w:r>
        <w:rPr>
          <w:rFonts w:ascii="Cambria" w:hAnsi="Cambria" w:cstheme="minorHAnsi"/>
          <w:sz w:val="22"/>
          <w:szCs w:val="22"/>
        </w:rPr>
        <w:t xml:space="preserve"> </w:t>
      </w:r>
    </w:p>
    <w:p w14:paraId="008FC17A" w14:textId="77777777" w:rsidR="001739C2" w:rsidRDefault="001739C2" w:rsidP="001D3727">
      <w:pPr>
        <w:pStyle w:val="WhiteSpace"/>
        <w:spacing w:after="120" w:line="259" w:lineRule="auto"/>
        <w:rPr>
          <w:rFonts w:cstheme="minorHAnsi"/>
          <w:sz w:val="22"/>
          <w:szCs w:val="22"/>
        </w:rPr>
      </w:pPr>
      <w:r w:rsidRPr="00D23C24">
        <w:rPr>
          <w:rFonts w:ascii="Arial" w:eastAsiaTheme="minorHAnsi" w:hAnsi="Arial" w:cs="Arial"/>
          <w:snapToGrid/>
          <w:kern w:val="0"/>
          <w:sz w:val="20"/>
          <w:szCs w:val="20"/>
        </w:rPr>
        <w:t>Scientific Committee on Consumer Safety (SCCS, 2016) The SCCS notes of guidance for the testing of cosmetic ingredients and their safety evaluation, 9th revision. SCCS adopted 29 September 2015, SCCS/1564/15, revision of 25 April 2016.</w:t>
      </w:r>
      <w:r>
        <w:rPr>
          <w:rFonts w:cstheme="minorHAnsi"/>
          <w:sz w:val="22"/>
          <w:szCs w:val="22"/>
        </w:rPr>
        <w:t xml:space="preserve"> </w:t>
      </w:r>
      <w:hyperlink r:id="rId90" w:history="1">
        <w:r w:rsidRPr="00E8439A">
          <w:rPr>
            <w:rStyle w:val="Hyperlink"/>
            <w:rFonts w:eastAsia="Cambria" w:cs="Arial"/>
            <w:snapToGrid/>
            <w:kern w:val="0"/>
            <w:sz w:val="20"/>
            <w:szCs w:val="20"/>
          </w:rPr>
          <w:t>https://ec.europa.eu/health/scientific_committees/consumer_safety/docs/sccs_o_190.pdf</w:t>
        </w:r>
      </w:hyperlink>
      <w:r w:rsidRPr="00E8439A">
        <w:rPr>
          <w:rStyle w:val="Hyperlink"/>
          <w:rFonts w:eastAsia="Cambria" w:cs="Arial"/>
          <w:snapToGrid/>
          <w:kern w:val="0"/>
          <w:sz w:val="20"/>
          <w:szCs w:val="20"/>
        </w:rPr>
        <w:t xml:space="preserve"> </w:t>
      </w:r>
    </w:p>
    <w:p w14:paraId="25FE2131" w14:textId="77777777" w:rsidR="001739C2" w:rsidRPr="007E188A" w:rsidRDefault="001739C2" w:rsidP="001D3727">
      <w:pPr>
        <w:pStyle w:val="WhiteSpace"/>
        <w:spacing w:after="120" w:line="259" w:lineRule="auto"/>
        <w:rPr>
          <w:rFonts w:cstheme="minorHAnsi"/>
          <w:sz w:val="22"/>
          <w:szCs w:val="22"/>
        </w:rPr>
      </w:pPr>
      <w:r w:rsidRPr="00D23C24">
        <w:rPr>
          <w:rFonts w:ascii="Arial" w:eastAsiaTheme="minorHAnsi" w:hAnsi="Arial" w:cs="Arial"/>
          <w:snapToGrid/>
          <w:kern w:val="0"/>
          <w:sz w:val="20"/>
          <w:szCs w:val="20"/>
        </w:rPr>
        <w:t>Scientific Committee on Consumer Safety (SCCS, 2018) The SCCS notes of guidance for the testing of cosmetic ingredients and their safety evaluation, 10th revision. SCCS adopted 24025 October 2018, SCCS/1602/18.</w:t>
      </w:r>
      <w:r>
        <w:rPr>
          <w:rFonts w:cstheme="minorHAnsi"/>
          <w:sz w:val="22"/>
          <w:szCs w:val="22"/>
        </w:rPr>
        <w:t xml:space="preserve"> </w:t>
      </w:r>
      <w:hyperlink r:id="rId91" w:history="1">
        <w:r w:rsidRPr="00E8439A">
          <w:rPr>
            <w:rStyle w:val="Hyperlink"/>
            <w:rFonts w:eastAsia="Cambria" w:cs="Arial"/>
            <w:snapToGrid/>
            <w:kern w:val="0"/>
            <w:sz w:val="20"/>
            <w:szCs w:val="20"/>
          </w:rPr>
          <w:t>https://health.ec.europa.eu/publications/sccs-notes-guidance-testing-cosmetic-ingredients-and-their-safety-evaluation-10th-revision_en</w:t>
        </w:r>
      </w:hyperlink>
      <w:r w:rsidRPr="00E8439A">
        <w:rPr>
          <w:rStyle w:val="Hyperlink"/>
          <w:rFonts w:eastAsia="Cambria" w:cs="Arial"/>
          <w:snapToGrid/>
          <w:kern w:val="0"/>
          <w:sz w:val="20"/>
          <w:szCs w:val="20"/>
        </w:rPr>
        <w:t>.</w:t>
      </w:r>
    </w:p>
    <w:p w14:paraId="214C0D4D" w14:textId="77777777" w:rsidR="001739C2" w:rsidRPr="00E8439A" w:rsidRDefault="001739C2" w:rsidP="001D3727">
      <w:pPr>
        <w:pStyle w:val="FootnoteText"/>
        <w:spacing w:after="120" w:line="259" w:lineRule="auto"/>
        <w:rPr>
          <w:rStyle w:val="Hyperlink"/>
          <w:rFonts w:cs="Arial"/>
          <w:sz w:val="20"/>
        </w:rPr>
      </w:pPr>
      <w:r w:rsidRPr="00D23C24">
        <w:rPr>
          <w:rFonts w:eastAsiaTheme="minorHAnsi" w:cs="Arial"/>
          <w:color w:val="auto"/>
          <w:sz w:val="20"/>
        </w:rPr>
        <w:t>Scientific Committee on Consumer Safety (SCCS, 2021a) The SCCS notes of guidance for the testing of cosmetic ingredients and their safety evaluation, 11th revision. SCCS adopted, 30-31 March 2021, SCCS/1628/21.</w:t>
      </w:r>
      <w:r>
        <w:rPr>
          <w:rFonts w:ascii="Cambria" w:hAnsi="Cambria"/>
          <w:iCs/>
          <w:sz w:val="22"/>
          <w:szCs w:val="22"/>
        </w:rPr>
        <w:t xml:space="preserve"> </w:t>
      </w:r>
      <w:hyperlink r:id="rId92" w:history="1">
        <w:r w:rsidRPr="00E8439A">
          <w:rPr>
            <w:rStyle w:val="Hyperlink"/>
            <w:rFonts w:cs="Arial"/>
            <w:sz w:val="20"/>
          </w:rPr>
          <w:t>https://health.ec.europa.eu/document/download/89af1a70-a2b1-44da-a868-e7d80a8e736c_en?filename=sccs_o_250.pdf</w:t>
        </w:r>
      </w:hyperlink>
      <w:r w:rsidRPr="00E8439A">
        <w:rPr>
          <w:rStyle w:val="Hyperlink"/>
          <w:rFonts w:cs="Arial"/>
          <w:sz w:val="20"/>
        </w:rPr>
        <w:t xml:space="preserve"> </w:t>
      </w:r>
    </w:p>
    <w:p w14:paraId="0AC36A72" w14:textId="77777777" w:rsidR="001739C2" w:rsidRPr="00E8439A" w:rsidRDefault="001739C2" w:rsidP="001D3727">
      <w:pPr>
        <w:pStyle w:val="WhiteSpace"/>
        <w:spacing w:after="120" w:line="259" w:lineRule="auto"/>
        <w:rPr>
          <w:rStyle w:val="Hyperlink"/>
          <w:rFonts w:eastAsia="Cambria" w:cs="Arial"/>
          <w:snapToGrid/>
          <w:kern w:val="0"/>
          <w:sz w:val="20"/>
          <w:szCs w:val="20"/>
        </w:rPr>
      </w:pPr>
      <w:r w:rsidRPr="00D23C24">
        <w:rPr>
          <w:rFonts w:ascii="Arial" w:eastAsiaTheme="minorHAnsi" w:hAnsi="Arial" w:cs="Arial"/>
          <w:snapToGrid/>
          <w:kern w:val="0"/>
          <w:sz w:val="20"/>
          <w:szCs w:val="20"/>
        </w:rPr>
        <w:t xml:space="preserve">Scientific Committee on Consumer Safety (SCCS, 2021b). Opinion on </w:t>
      </w:r>
      <w:proofErr w:type="spellStart"/>
      <w:r w:rsidRPr="00D23C24">
        <w:rPr>
          <w:rFonts w:ascii="Arial" w:eastAsiaTheme="minorHAnsi" w:hAnsi="Arial" w:cs="Arial"/>
          <w:snapToGrid/>
          <w:kern w:val="0"/>
          <w:sz w:val="20"/>
          <w:szCs w:val="20"/>
        </w:rPr>
        <w:t>Homosalate</w:t>
      </w:r>
      <w:proofErr w:type="spellEnd"/>
      <w:r w:rsidRPr="00D23C24">
        <w:rPr>
          <w:rFonts w:ascii="Arial" w:eastAsiaTheme="minorHAnsi" w:hAnsi="Arial" w:cs="Arial"/>
          <w:snapToGrid/>
          <w:kern w:val="0"/>
          <w:sz w:val="20"/>
          <w:szCs w:val="20"/>
        </w:rPr>
        <w:t>, (CAS No 118-56-9, EC No 204-260-8), preliminary version of 27-28 October 2020, final version of 24-25 June 2021, SCCS/1622/20SCCS/1622/20.</w:t>
      </w:r>
      <w:r w:rsidRPr="007E188A">
        <w:rPr>
          <w:rFonts w:cstheme="minorHAnsi"/>
          <w:sz w:val="22"/>
          <w:szCs w:val="22"/>
        </w:rPr>
        <w:t xml:space="preserve"> </w:t>
      </w:r>
      <w:r>
        <w:rPr>
          <w:rFonts w:cstheme="minorHAnsi"/>
          <w:sz w:val="22"/>
          <w:szCs w:val="22"/>
        </w:rPr>
        <w:t xml:space="preserve"> </w:t>
      </w:r>
      <w:hyperlink r:id="rId93" w:history="1">
        <w:r w:rsidRPr="00E8439A">
          <w:rPr>
            <w:rStyle w:val="Hyperlink"/>
            <w:rFonts w:eastAsia="Cambria" w:cs="Arial"/>
            <w:snapToGrid/>
            <w:kern w:val="0"/>
            <w:sz w:val="20"/>
            <w:szCs w:val="20"/>
          </w:rPr>
          <w:t>https://health.ec.europa.eu/system/files/2022-08/sccs_o_244.pdf</w:t>
        </w:r>
      </w:hyperlink>
      <w:r w:rsidRPr="00E8439A">
        <w:rPr>
          <w:rStyle w:val="Hyperlink"/>
          <w:rFonts w:eastAsia="Cambria" w:cs="Arial"/>
          <w:snapToGrid/>
          <w:kern w:val="0"/>
          <w:sz w:val="20"/>
          <w:szCs w:val="20"/>
        </w:rPr>
        <w:t xml:space="preserve"> </w:t>
      </w:r>
    </w:p>
    <w:p w14:paraId="05D758D5" w14:textId="77777777" w:rsidR="001739C2" w:rsidRPr="00E8439A" w:rsidRDefault="001739C2" w:rsidP="001D3727">
      <w:pPr>
        <w:pStyle w:val="FootnoteText"/>
        <w:spacing w:after="120" w:line="259" w:lineRule="auto"/>
        <w:rPr>
          <w:rStyle w:val="Hyperlink"/>
          <w:rFonts w:cs="Arial"/>
          <w:sz w:val="20"/>
        </w:rPr>
      </w:pPr>
      <w:r w:rsidRPr="00D23C24">
        <w:rPr>
          <w:rFonts w:eastAsiaTheme="minorHAnsi" w:cs="Arial"/>
          <w:color w:val="auto"/>
          <w:sz w:val="20"/>
        </w:rPr>
        <w:t xml:space="preserve">Scientific Committee on Consumer Safety (SCCS, 2021c). Scientific advice on the safety of </w:t>
      </w:r>
      <w:proofErr w:type="spellStart"/>
      <w:r w:rsidRPr="00D23C24">
        <w:rPr>
          <w:rFonts w:eastAsiaTheme="minorHAnsi" w:cs="Arial"/>
          <w:color w:val="auto"/>
          <w:sz w:val="20"/>
        </w:rPr>
        <w:t>Homosalate</w:t>
      </w:r>
      <w:proofErr w:type="spellEnd"/>
      <w:r w:rsidRPr="00D23C24">
        <w:rPr>
          <w:rFonts w:eastAsiaTheme="minorHAnsi" w:cs="Arial"/>
          <w:color w:val="auto"/>
          <w:sz w:val="20"/>
        </w:rPr>
        <w:t xml:space="preserve"> (CAS No 118-56-9, EC No 204-260-8) as a UV-filter in cosmetic products in cosmetic products, final version of 2 December 2021, SCCS/1638/21.</w:t>
      </w:r>
      <w:r>
        <w:rPr>
          <w:rFonts w:ascii="Cambria" w:hAnsi="Cambria" w:cstheme="minorHAnsi"/>
          <w:sz w:val="22"/>
          <w:szCs w:val="22"/>
        </w:rPr>
        <w:t xml:space="preserve"> </w:t>
      </w:r>
      <w:hyperlink r:id="rId94" w:history="1">
        <w:r w:rsidRPr="00E8439A">
          <w:rPr>
            <w:rStyle w:val="Hyperlink"/>
            <w:rFonts w:cs="Arial"/>
            <w:sz w:val="20"/>
          </w:rPr>
          <w:t>https://health.ec.europa.eu/system/files/2022-08/sccs_o_260.pdf</w:t>
        </w:r>
      </w:hyperlink>
      <w:r w:rsidRPr="00E8439A">
        <w:rPr>
          <w:rStyle w:val="Hyperlink"/>
          <w:rFonts w:cs="Arial"/>
          <w:sz w:val="20"/>
        </w:rPr>
        <w:t xml:space="preserve"> </w:t>
      </w:r>
    </w:p>
    <w:p w14:paraId="31778672" w14:textId="77777777" w:rsidR="001739C2" w:rsidRPr="007E188A" w:rsidRDefault="001739C2" w:rsidP="001D3727">
      <w:pPr>
        <w:pStyle w:val="FootnoteText"/>
        <w:spacing w:after="120" w:line="259" w:lineRule="auto"/>
        <w:rPr>
          <w:rFonts w:ascii="Cambria" w:hAnsi="Cambria" w:cstheme="minorHAnsi"/>
          <w:sz w:val="22"/>
          <w:szCs w:val="22"/>
        </w:rPr>
      </w:pPr>
      <w:r w:rsidRPr="00D23C24">
        <w:rPr>
          <w:rFonts w:eastAsiaTheme="minorHAnsi" w:cs="Arial"/>
          <w:color w:val="auto"/>
          <w:sz w:val="20"/>
        </w:rPr>
        <w:t>Scientific Committee on Consumer Safety (SCCS, 2021d) Opinion on octocrylene. (CAS No 6197-30-4, EC No 228-250-8), preliminary version of 15 January 2021, final version of 30-31 March 2021, SCCS/1627/21</w:t>
      </w:r>
      <w:r w:rsidRPr="001B3689">
        <w:rPr>
          <w:rFonts w:ascii="Cambria" w:hAnsi="Cambria" w:cstheme="minorHAnsi"/>
          <w:color w:val="auto"/>
          <w:sz w:val="22"/>
          <w:szCs w:val="22"/>
        </w:rPr>
        <w:t xml:space="preserve"> </w:t>
      </w:r>
      <w:hyperlink r:id="rId95" w:history="1">
        <w:r w:rsidRPr="00E8439A">
          <w:rPr>
            <w:rStyle w:val="Hyperlink"/>
            <w:rFonts w:cs="Arial"/>
            <w:sz w:val="20"/>
          </w:rPr>
          <w:t>https://ec.europa.eu/health/sites/health/files/scientific_committees/consumer_safety/docs/sccs_o_249.pdf</w:t>
        </w:r>
      </w:hyperlink>
      <w:r w:rsidRPr="00E8439A">
        <w:rPr>
          <w:rStyle w:val="Hyperlink"/>
          <w:rFonts w:cs="Arial"/>
          <w:sz w:val="20"/>
        </w:rPr>
        <w:t xml:space="preserve"> </w:t>
      </w:r>
    </w:p>
    <w:p w14:paraId="516D9D8D" w14:textId="77777777" w:rsidR="001739C2" w:rsidRPr="00E8439A" w:rsidRDefault="001739C2" w:rsidP="001D3727">
      <w:pPr>
        <w:pStyle w:val="FootnoteText"/>
        <w:spacing w:after="120" w:line="259" w:lineRule="auto"/>
        <w:rPr>
          <w:rStyle w:val="Hyperlink"/>
          <w:rFonts w:cs="Arial"/>
          <w:sz w:val="20"/>
        </w:rPr>
      </w:pPr>
      <w:r w:rsidRPr="00D23C24">
        <w:rPr>
          <w:rFonts w:eastAsiaTheme="minorHAnsi" w:cs="Arial"/>
          <w:color w:val="auto"/>
          <w:sz w:val="20"/>
        </w:rPr>
        <w:t>Scientific Committee on Consumer Safety (</w:t>
      </w:r>
      <w:hyperlink r:id="rId96" w:history="1">
        <w:r w:rsidRPr="00D23C24">
          <w:rPr>
            <w:rFonts w:eastAsiaTheme="minorHAnsi" w:cs="Arial"/>
            <w:color w:val="auto"/>
            <w:sz w:val="20"/>
          </w:rPr>
          <w:t>SCCS, 2021e) Opinion on Benzophenone-3 (CAS No 131-57-7, EC No 205-031-5), preliminary version of 15 December 2020, final version of 30-31 March 2021, SCCS/1625/20</w:t>
        </w:r>
      </w:hyperlink>
      <w:r w:rsidRPr="00D23C24">
        <w:rPr>
          <w:rFonts w:eastAsiaTheme="minorHAnsi" w:cs="Arial"/>
          <w:color w:val="auto"/>
          <w:sz w:val="20"/>
        </w:rPr>
        <w:t>.</w:t>
      </w:r>
      <w:r>
        <w:rPr>
          <w:rFonts w:ascii="Cambria" w:hAnsi="Cambria" w:cstheme="minorHAnsi"/>
          <w:sz w:val="22"/>
          <w:szCs w:val="22"/>
        </w:rPr>
        <w:t xml:space="preserve"> </w:t>
      </w:r>
      <w:hyperlink r:id="rId97" w:history="1">
        <w:r w:rsidRPr="00E8439A">
          <w:rPr>
            <w:rStyle w:val="Hyperlink"/>
            <w:rFonts w:cs="Arial"/>
            <w:sz w:val="20"/>
          </w:rPr>
          <w:t>https://health.ec.europa.eu/document/download/5488f129-dd92-42fc-b7f5-21e1ac37ef3d_en</w:t>
        </w:r>
      </w:hyperlink>
      <w:r w:rsidRPr="00E8439A">
        <w:rPr>
          <w:rStyle w:val="Hyperlink"/>
          <w:rFonts w:cs="Arial"/>
          <w:sz w:val="20"/>
        </w:rPr>
        <w:t xml:space="preserve"> </w:t>
      </w:r>
    </w:p>
    <w:p w14:paraId="754217C4" w14:textId="77777777" w:rsidR="001739C2" w:rsidRPr="00D23C24" w:rsidRDefault="001739C2" w:rsidP="001D3727">
      <w:pPr>
        <w:pStyle w:val="Standard"/>
        <w:spacing w:after="120" w:line="259" w:lineRule="auto"/>
        <w:rPr>
          <w:rFonts w:ascii="Arial" w:eastAsiaTheme="minorHAnsi" w:hAnsi="Arial" w:cs="Arial"/>
          <w:snapToGrid/>
          <w:kern w:val="0"/>
          <w:sz w:val="20"/>
          <w:szCs w:val="20"/>
        </w:rPr>
      </w:pPr>
      <w:r w:rsidRPr="00D23C24">
        <w:rPr>
          <w:rFonts w:ascii="Arial" w:eastAsiaTheme="minorHAnsi" w:hAnsi="Arial" w:cs="Arial"/>
          <w:snapToGrid/>
          <w:kern w:val="0"/>
          <w:sz w:val="20"/>
          <w:szCs w:val="20"/>
        </w:rPr>
        <w:t xml:space="preserve">Schlumpf M., </w:t>
      </w:r>
      <w:proofErr w:type="spellStart"/>
      <w:r w:rsidRPr="00D23C24">
        <w:rPr>
          <w:rFonts w:ascii="Arial" w:eastAsiaTheme="minorHAnsi" w:hAnsi="Arial" w:cs="Arial"/>
          <w:snapToGrid/>
          <w:kern w:val="0"/>
          <w:sz w:val="20"/>
          <w:szCs w:val="20"/>
        </w:rPr>
        <w:t>Kypke</w:t>
      </w:r>
      <w:proofErr w:type="spellEnd"/>
      <w:r w:rsidRPr="00D23C24">
        <w:rPr>
          <w:rFonts w:ascii="Arial" w:eastAsiaTheme="minorHAnsi" w:hAnsi="Arial" w:cs="Arial"/>
          <w:snapToGrid/>
          <w:kern w:val="0"/>
          <w:sz w:val="20"/>
          <w:szCs w:val="20"/>
        </w:rPr>
        <w:t xml:space="preserve"> K. et al. (2008)., Endocrine Active UV Filters: Developmental Toxicity and Exposure Through Breast Milk, CHIMIA International Journal for Chemistry 62(5):345-351</w:t>
      </w:r>
    </w:p>
    <w:p w14:paraId="0396A97A"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Schlumpf M., </w:t>
      </w:r>
      <w:proofErr w:type="spellStart"/>
      <w:r w:rsidRPr="00D23C24">
        <w:rPr>
          <w:rFonts w:eastAsiaTheme="minorHAnsi" w:cs="Arial"/>
          <w:color w:val="auto"/>
          <w:sz w:val="20"/>
        </w:rPr>
        <w:t>Kypke</w:t>
      </w:r>
      <w:proofErr w:type="spellEnd"/>
      <w:r w:rsidRPr="00D23C24">
        <w:rPr>
          <w:rFonts w:eastAsiaTheme="minorHAnsi" w:cs="Arial"/>
          <w:color w:val="auto"/>
          <w:sz w:val="20"/>
        </w:rPr>
        <w:t xml:space="preserve"> K., </w:t>
      </w:r>
      <w:proofErr w:type="spellStart"/>
      <w:r w:rsidRPr="00D23C24">
        <w:rPr>
          <w:rFonts w:eastAsiaTheme="minorHAnsi" w:cs="Arial"/>
          <w:color w:val="auto"/>
          <w:sz w:val="20"/>
        </w:rPr>
        <w:t>Wittassek</w:t>
      </w:r>
      <w:proofErr w:type="spellEnd"/>
      <w:r w:rsidRPr="00D23C24">
        <w:rPr>
          <w:rFonts w:eastAsiaTheme="minorHAnsi" w:cs="Arial"/>
          <w:color w:val="auto"/>
          <w:sz w:val="20"/>
        </w:rPr>
        <w:t xml:space="preserve"> M. et al. (2010) Exposure patterns of UV filters, fragrances, parabens, phthalates, </w:t>
      </w:r>
      <w:proofErr w:type="spellStart"/>
      <w:r w:rsidRPr="00D23C24">
        <w:rPr>
          <w:rFonts w:eastAsiaTheme="minorHAnsi" w:cs="Arial"/>
          <w:color w:val="auto"/>
          <w:sz w:val="20"/>
        </w:rPr>
        <w:t>organochlor</w:t>
      </w:r>
      <w:proofErr w:type="spellEnd"/>
      <w:r w:rsidRPr="00D23C24">
        <w:rPr>
          <w:rFonts w:eastAsiaTheme="minorHAnsi" w:cs="Arial"/>
          <w:color w:val="auto"/>
          <w:sz w:val="20"/>
        </w:rPr>
        <w:t xml:space="preserve"> pesticides, PBDEs, and PCBs in human milk: correlation of UV filters with use of cosmetics. Chemosphere. 81: 1171–83.</w:t>
      </w:r>
    </w:p>
    <w:p w14:paraId="45F056C1"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Schneider S., et al. (2005) Octyl methoxycinnamate: Two generation reproduction toxicity in Wistar rats by dietary administration. Food Chem. </w:t>
      </w:r>
      <w:proofErr w:type="spellStart"/>
      <w:r w:rsidRPr="00D23C24">
        <w:rPr>
          <w:rFonts w:eastAsiaTheme="minorHAnsi" w:cs="Arial"/>
          <w:color w:val="auto"/>
          <w:sz w:val="20"/>
        </w:rPr>
        <w:t>Toxicol</w:t>
      </w:r>
      <w:proofErr w:type="spellEnd"/>
      <w:r w:rsidRPr="00D23C24">
        <w:rPr>
          <w:rFonts w:eastAsiaTheme="minorHAnsi" w:cs="Arial"/>
          <w:color w:val="auto"/>
          <w:sz w:val="20"/>
        </w:rPr>
        <w:t>. 43: 1083-1092.</w:t>
      </w:r>
    </w:p>
    <w:p w14:paraId="303D151D"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Suh, S., Pham, C., Smith, J., &amp; </w:t>
      </w:r>
      <w:proofErr w:type="spellStart"/>
      <w:r w:rsidRPr="00D23C24">
        <w:rPr>
          <w:rFonts w:eastAsiaTheme="minorHAnsi" w:cs="Arial"/>
          <w:color w:val="auto"/>
          <w:sz w:val="20"/>
        </w:rPr>
        <w:t>Mesinkovska</w:t>
      </w:r>
      <w:proofErr w:type="spellEnd"/>
      <w:r w:rsidRPr="00D23C24">
        <w:rPr>
          <w:rFonts w:eastAsiaTheme="minorHAnsi" w:cs="Arial"/>
          <w:color w:val="auto"/>
          <w:sz w:val="20"/>
        </w:rPr>
        <w:t xml:space="preserve">, N. A. (2020). The banned sunscreen ingredients and their impact on human health: a systematic review. International journal of dermatology, 59(9), 1033–1042. </w:t>
      </w:r>
    </w:p>
    <w:p w14:paraId="325FBBB3"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Therapeutic Goods Administration (TGA, 2016) Australian Regulatory Guidelines for Sunscreens. Version 1.1, January 2016. Australian Government, Department of Health, TGA, Woden, 43 pp.</w:t>
      </w:r>
    </w:p>
    <w:p w14:paraId="1DB0846B" w14:textId="77777777" w:rsidR="001739C2" w:rsidRPr="00E8439A" w:rsidRDefault="001739C2" w:rsidP="001D3727">
      <w:pPr>
        <w:pStyle w:val="FootnoteText"/>
        <w:spacing w:after="120" w:line="259" w:lineRule="auto"/>
        <w:rPr>
          <w:rStyle w:val="Hyperlink"/>
          <w:rFonts w:cs="Arial"/>
          <w:sz w:val="20"/>
        </w:rPr>
      </w:pPr>
      <w:r w:rsidRPr="00D23C24">
        <w:rPr>
          <w:rFonts w:eastAsiaTheme="minorHAnsi" w:cs="Arial"/>
          <w:color w:val="auto"/>
          <w:sz w:val="20"/>
        </w:rPr>
        <w:lastRenderedPageBreak/>
        <w:t>Therapeutic Goods Administration (TGA, 2020) Therapeutic Goods (Permissible Ingredients) Determination No. 4. Retrieved from</w:t>
      </w:r>
      <w:r w:rsidRPr="001B3689">
        <w:rPr>
          <w:rFonts w:ascii="Cambria" w:hAnsi="Cambria" w:cstheme="minorHAnsi"/>
          <w:color w:val="auto"/>
          <w:sz w:val="22"/>
          <w:szCs w:val="22"/>
        </w:rPr>
        <w:t xml:space="preserve"> </w:t>
      </w:r>
      <w:hyperlink r:id="rId98" w:history="1">
        <w:r w:rsidRPr="00E8439A">
          <w:rPr>
            <w:rStyle w:val="Hyperlink"/>
            <w:rFonts w:cs="Arial"/>
            <w:sz w:val="20"/>
          </w:rPr>
          <w:t>https://www.legislation.gov.au/Details/F2020L01612/Html/Volume_4</w:t>
        </w:r>
      </w:hyperlink>
    </w:p>
    <w:p w14:paraId="17D4ADCD" w14:textId="77777777" w:rsidR="001739C2" w:rsidRPr="00E8439A" w:rsidRDefault="001739C2" w:rsidP="001D3727">
      <w:pPr>
        <w:pStyle w:val="FootnoteText"/>
        <w:spacing w:after="120" w:line="259" w:lineRule="auto"/>
        <w:rPr>
          <w:rStyle w:val="Hyperlink"/>
          <w:rFonts w:cs="Arial"/>
          <w:sz w:val="20"/>
        </w:rPr>
      </w:pPr>
      <w:r w:rsidRPr="00D23C24">
        <w:rPr>
          <w:rFonts w:eastAsiaTheme="minorHAnsi" w:cs="Arial"/>
          <w:color w:val="auto"/>
          <w:sz w:val="20"/>
        </w:rPr>
        <w:t>The Danish Environmental Protection Agency (DEPA, 2015). Survey and health assessment of UV filters.</w:t>
      </w:r>
      <w:r w:rsidRPr="001B3689">
        <w:rPr>
          <w:rFonts w:ascii="Cambria" w:hAnsi="Cambria" w:cstheme="minorHAnsi"/>
          <w:color w:val="auto"/>
          <w:sz w:val="22"/>
          <w:szCs w:val="22"/>
        </w:rPr>
        <w:t xml:space="preserve"> </w:t>
      </w:r>
      <w:hyperlink r:id="rId99" w:history="1">
        <w:r w:rsidRPr="00E8439A">
          <w:rPr>
            <w:rStyle w:val="Hyperlink"/>
            <w:rFonts w:cs="Arial"/>
            <w:sz w:val="20"/>
          </w:rPr>
          <w:t>https://www2.mst.dk/Udgiv/publications/2015/10/978-87-93352-82-7.pdf</w:t>
        </w:r>
      </w:hyperlink>
      <w:r w:rsidRPr="00E8439A">
        <w:rPr>
          <w:rStyle w:val="Hyperlink"/>
          <w:rFonts w:cs="Arial"/>
          <w:sz w:val="20"/>
        </w:rPr>
        <w:t xml:space="preserve"> </w:t>
      </w:r>
    </w:p>
    <w:p w14:paraId="551C5C66"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Touitou E., and Godin B. (2008) Skin nonpenetrating sunscreens for cosmetic and pharmaceutical formulations. Clinics Dermatol. 26: 375–379.</w:t>
      </w:r>
    </w:p>
    <w:p w14:paraId="3C11A779" w14:textId="77777777" w:rsidR="001739C2" w:rsidRPr="00E8439A" w:rsidRDefault="001739C2" w:rsidP="001D3727">
      <w:pPr>
        <w:pStyle w:val="Standard"/>
        <w:spacing w:after="120" w:line="259" w:lineRule="auto"/>
        <w:rPr>
          <w:rStyle w:val="Hyperlink"/>
          <w:rFonts w:eastAsia="Cambria" w:cs="Arial"/>
          <w:snapToGrid/>
          <w:kern w:val="0"/>
          <w:sz w:val="20"/>
          <w:szCs w:val="20"/>
        </w:rPr>
      </w:pPr>
      <w:r w:rsidRPr="00D23C24">
        <w:rPr>
          <w:rFonts w:ascii="Arial" w:eastAsiaTheme="minorHAnsi" w:hAnsi="Arial" w:cs="Arial"/>
          <w:snapToGrid/>
          <w:kern w:val="0"/>
          <w:sz w:val="20"/>
          <w:szCs w:val="20"/>
        </w:rPr>
        <w:t>US Food and Drug Administration (FDA, 2019a).</w:t>
      </w:r>
      <w:r w:rsidRPr="007E188A">
        <w:rPr>
          <w:rFonts w:cstheme="minorHAnsi"/>
          <w:sz w:val="22"/>
          <w:szCs w:val="22"/>
        </w:rPr>
        <w:t xml:space="preserve"> </w:t>
      </w:r>
      <w:hyperlink r:id="rId100" w:history="1">
        <w:r w:rsidRPr="00E8439A">
          <w:rPr>
            <w:rStyle w:val="Hyperlink"/>
            <w:rFonts w:eastAsia="Cambria" w:cs="Arial"/>
            <w:snapToGrid/>
            <w:kern w:val="0"/>
            <w:sz w:val="20"/>
            <w:szCs w:val="20"/>
          </w:rPr>
          <w:t>Maximal Usage Trials for Topically Applied Active Ingredients Being Considered for Inclusion in an Over-The - Counter Monograph: Study Elements and Considerations; Guidance for Industry.</w:t>
        </w:r>
      </w:hyperlink>
      <w:r w:rsidRPr="00E8439A">
        <w:rPr>
          <w:rStyle w:val="Hyperlink"/>
          <w:rFonts w:eastAsia="Cambria" w:cs="Arial"/>
          <w:snapToGrid/>
          <w:kern w:val="0"/>
          <w:sz w:val="20"/>
          <w:szCs w:val="20"/>
        </w:rPr>
        <w:t xml:space="preserve"> </w:t>
      </w:r>
    </w:p>
    <w:p w14:paraId="0C528E73" w14:textId="77777777" w:rsidR="001739C2" w:rsidRPr="00D23C24" w:rsidRDefault="001739C2" w:rsidP="001D3727">
      <w:pPr>
        <w:pStyle w:val="Standard"/>
        <w:spacing w:after="120" w:line="259" w:lineRule="auto"/>
        <w:rPr>
          <w:rFonts w:ascii="Arial" w:eastAsiaTheme="minorHAnsi" w:hAnsi="Arial" w:cs="Arial"/>
          <w:snapToGrid/>
          <w:kern w:val="0"/>
          <w:sz w:val="20"/>
          <w:szCs w:val="20"/>
        </w:rPr>
      </w:pPr>
      <w:r w:rsidRPr="00D23C24">
        <w:rPr>
          <w:rFonts w:ascii="Arial" w:eastAsiaTheme="minorHAnsi" w:hAnsi="Arial" w:cs="Arial"/>
          <w:snapToGrid/>
          <w:kern w:val="0"/>
          <w:sz w:val="20"/>
          <w:szCs w:val="20"/>
        </w:rPr>
        <w:t>US Food &amp; Drug Administration (FDA, 2018). 21 Code of Federal Regulations § 352.10.: 21 C.F.R. § 352.10 (revised as of 1 April 2018)</w:t>
      </w:r>
    </w:p>
    <w:p w14:paraId="562F7BD0" w14:textId="77777777" w:rsidR="001739C2" w:rsidRPr="001B3689" w:rsidRDefault="001739C2" w:rsidP="001D3727">
      <w:pPr>
        <w:pStyle w:val="FootnoteText"/>
        <w:spacing w:after="120" w:line="259" w:lineRule="auto"/>
        <w:rPr>
          <w:rFonts w:ascii="Cambria" w:hAnsi="Cambria" w:cstheme="minorHAnsi"/>
          <w:color w:val="auto"/>
          <w:sz w:val="22"/>
          <w:szCs w:val="22"/>
        </w:rPr>
      </w:pPr>
      <w:r w:rsidRPr="00D23C24">
        <w:rPr>
          <w:rFonts w:eastAsiaTheme="minorHAnsi" w:cs="Arial"/>
          <w:color w:val="auto"/>
          <w:sz w:val="20"/>
        </w:rPr>
        <w:t>US Food and Drug Administration (FDA, 2019b).</w:t>
      </w:r>
      <w:r w:rsidRPr="001B3689">
        <w:rPr>
          <w:rFonts w:ascii="Cambria" w:hAnsi="Cambria" w:cstheme="minorHAnsi"/>
          <w:color w:val="auto"/>
          <w:sz w:val="22"/>
          <w:szCs w:val="22"/>
        </w:rPr>
        <w:t xml:space="preserve"> </w:t>
      </w:r>
      <w:hyperlink r:id="rId101" w:history="1">
        <w:r w:rsidRPr="00E8439A">
          <w:rPr>
            <w:rStyle w:val="Hyperlink"/>
            <w:rFonts w:cs="Arial"/>
            <w:sz w:val="20"/>
          </w:rPr>
          <w:t>Sunscreen drug products for over-the-counter human use: proposed rule (2019).</w:t>
        </w:r>
      </w:hyperlink>
      <w:r w:rsidRPr="00E8439A">
        <w:rPr>
          <w:rFonts w:cs="Arial"/>
          <w:sz w:val="20"/>
        </w:rPr>
        <w:t xml:space="preserve"> </w:t>
      </w:r>
      <w:r w:rsidRPr="00D23C24">
        <w:rPr>
          <w:rFonts w:eastAsiaTheme="minorHAnsi" w:cs="Arial"/>
          <w:color w:val="auto"/>
          <w:sz w:val="20"/>
        </w:rPr>
        <w:t xml:space="preserve">Fed. </w:t>
      </w:r>
      <w:proofErr w:type="spellStart"/>
      <w:r w:rsidRPr="00D23C24">
        <w:rPr>
          <w:rFonts w:eastAsiaTheme="minorHAnsi" w:cs="Arial"/>
          <w:color w:val="auto"/>
          <w:sz w:val="20"/>
        </w:rPr>
        <w:t>Regist</w:t>
      </w:r>
      <w:proofErr w:type="spellEnd"/>
      <w:r w:rsidRPr="00D23C24">
        <w:rPr>
          <w:rFonts w:eastAsiaTheme="minorHAnsi" w:cs="Arial"/>
          <w:color w:val="auto"/>
          <w:sz w:val="20"/>
        </w:rPr>
        <w:t>. 84(38):6204–75.</w:t>
      </w:r>
    </w:p>
    <w:p w14:paraId="005C0BB1"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US Food and Drug Administration (FDA, 2019c). Food additives: threshold of regulation of ingredients used in food-contract articles: final rule. Federal Register.</w:t>
      </w:r>
      <w:r w:rsidRPr="001B3689">
        <w:rPr>
          <w:rFonts w:ascii="Cambria" w:hAnsi="Cambria" w:cstheme="minorHAnsi"/>
          <w:color w:val="auto"/>
          <w:sz w:val="22"/>
          <w:szCs w:val="22"/>
        </w:rPr>
        <w:t xml:space="preserve"> </w:t>
      </w:r>
      <w:hyperlink r:id="rId102" w:history="1">
        <w:r w:rsidRPr="00E8439A">
          <w:rPr>
            <w:rStyle w:val="Hyperlink"/>
            <w:rFonts w:cs="Arial"/>
            <w:sz w:val="20"/>
          </w:rPr>
          <w:t>https://www.govinfo.gov/content/pkg/FR-1995-07-17/pdf/95-17435.pdf. Published July 17</w:t>
        </w:r>
      </w:hyperlink>
      <w:r w:rsidRPr="00E8439A">
        <w:rPr>
          <w:rFonts w:cs="Arial"/>
          <w:sz w:val="20"/>
        </w:rPr>
        <w:t xml:space="preserve">, </w:t>
      </w:r>
      <w:r w:rsidRPr="00D23C24">
        <w:rPr>
          <w:rFonts w:eastAsiaTheme="minorHAnsi" w:cs="Arial"/>
          <w:color w:val="auto"/>
          <w:sz w:val="20"/>
        </w:rPr>
        <w:t>1995. Accessed April 1, 2019.</w:t>
      </w:r>
    </w:p>
    <w:p w14:paraId="086BFDB7" w14:textId="77777777" w:rsid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Uter W., Lessmann H., Geier J., IVDK (2017) Is octocrylene a frequent contact allergen? Contact Derm. 77: 127–128.</w:t>
      </w:r>
    </w:p>
    <w:p w14:paraId="2ABE7F81" w14:textId="4C237C7F"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Wang J., Pan L., Wu S., Lu L., Xu Y., </w:t>
      </w:r>
      <w:proofErr w:type="spellStart"/>
      <w:proofErr w:type="gramStart"/>
      <w:r w:rsidRPr="00D23C24">
        <w:rPr>
          <w:rFonts w:eastAsiaTheme="minorHAnsi" w:cs="Arial"/>
          <w:color w:val="auto"/>
          <w:sz w:val="20"/>
        </w:rPr>
        <w:t>Zhu,Y</w:t>
      </w:r>
      <w:proofErr w:type="spellEnd"/>
      <w:r w:rsidRPr="00D23C24">
        <w:rPr>
          <w:rFonts w:eastAsiaTheme="minorHAnsi" w:cs="Arial"/>
          <w:color w:val="auto"/>
          <w:sz w:val="20"/>
        </w:rPr>
        <w:t>.</w:t>
      </w:r>
      <w:proofErr w:type="gramEnd"/>
      <w:r w:rsidRPr="00D23C24">
        <w:rPr>
          <w:rFonts w:eastAsiaTheme="minorHAnsi" w:cs="Arial"/>
          <w:color w:val="auto"/>
          <w:sz w:val="20"/>
        </w:rPr>
        <w:t xml:space="preserve">, Guo M., and Zhuang S. (2016) Recent Advances on Endocrine Disrupting Effects of UV Filters. Int. J. Environ. Res. Pub. Health. 13(8): 782. </w:t>
      </w:r>
    </w:p>
    <w:p w14:paraId="30DEB99E"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Yap F.H., Chua H.C., and Tait C.P. (2017) Active sunscreen ingredients in Australia. </w:t>
      </w:r>
      <w:proofErr w:type="spellStart"/>
      <w:r w:rsidRPr="00D23C24">
        <w:rPr>
          <w:rFonts w:eastAsiaTheme="minorHAnsi" w:cs="Arial"/>
          <w:color w:val="auto"/>
          <w:sz w:val="20"/>
        </w:rPr>
        <w:t>Australas</w:t>
      </w:r>
      <w:proofErr w:type="spellEnd"/>
      <w:r w:rsidRPr="00D23C24">
        <w:rPr>
          <w:rFonts w:eastAsiaTheme="minorHAnsi" w:cs="Arial"/>
          <w:color w:val="auto"/>
          <w:sz w:val="20"/>
        </w:rPr>
        <w:t xml:space="preserve">. J. Dermatol. 58: e160–e170. </w:t>
      </w:r>
    </w:p>
    <w:p w14:paraId="6B83A083"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Yazar S., and </w:t>
      </w:r>
      <w:proofErr w:type="spellStart"/>
      <w:r w:rsidRPr="00D23C24">
        <w:rPr>
          <w:rFonts w:eastAsiaTheme="minorHAnsi" w:cs="Arial"/>
          <w:color w:val="auto"/>
          <w:sz w:val="20"/>
        </w:rPr>
        <w:t>Gökçke</w:t>
      </w:r>
      <w:proofErr w:type="spellEnd"/>
      <w:r w:rsidRPr="00D23C24">
        <w:rPr>
          <w:rFonts w:eastAsiaTheme="minorHAnsi" w:cs="Arial"/>
          <w:color w:val="auto"/>
          <w:sz w:val="20"/>
        </w:rPr>
        <w:t xml:space="preserve"> Y. (2018) Assessment of in vitro genotoxicity effect of </w:t>
      </w:r>
      <w:proofErr w:type="spellStart"/>
      <w:r w:rsidRPr="00D23C24">
        <w:rPr>
          <w:rFonts w:eastAsiaTheme="minorHAnsi" w:cs="Arial"/>
          <w:color w:val="auto"/>
          <w:sz w:val="20"/>
        </w:rPr>
        <w:t>homosalate</w:t>
      </w:r>
      <w:proofErr w:type="spellEnd"/>
      <w:r w:rsidRPr="00D23C24">
        <w:rPr>
          <w:rFonts w:eastAsiaTheme="minorHAnsi" w:cs="Arial"/>
          <w:color w:val="auto"/>
          <w:sz w:val="20"/>
        </w:rPr>
        <w:t xml:space="preserve"> in cosmetics. Marmara Pharma. J. 22: 436-442. </w:t>
      </w:r>
    </w:p>
    <w:p w14:paraId="33B1B1AF"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Yazar S., and </w:t>
      </w:r>
      <w:proofErr w:type="spellStart"/>
      <w:r w:rsidRPr="00D23C24">
        <w:rPr>
          <w:rFonts w:eastAsiaTheme="minorHAnsi" w:cs="Arial"/>
          <w:color w:val="auto"/>
          <w:sz w:val="20"/>
        </w:rPr>
        <w:t>Krtekin</w:t>
      </w:r>
      <w:proofErr w:type="spellEnd"/>
      <w:r w:rsidRPr="00D23C24">
        <w:rPr>
          <w:rFonts w:eastAsiaTheme="minorHAnsi" w:cs="Arial"/>
          <w:color w:val="auto"/>
          <w:sz w:val="20"/>
        </w:rPr>
        <w:t xml:space="preserve"> S.K. (2019) Assessment of the cytotoxicity and genotoxicity of </w:t>
      </w:r>
      <w:proofErr w:type="spellStart"/>
      <w:r w:rsidRPr="00D23C24">
        <w:rPr>
          <w:rFonts w:eastAsiaTheme="minorHAnsi" w:cs="Arial"/>
          <w:color w:val="auto"/>
          <w:sz w:val="20"/>
        </w:rPr>
        <w:t>homosalate</w:t>
      </w:r>
      <w:proofErr w:type="spellEnd"/>
      <w:r w:rsidRPr="00D23C24">
        <w:rPr>
          <w:rFonts w:eastAsiaTheme="minorHAnsi" w:cs="Arial"/>
          <w:color w:val="auto"/>
          <w:sz w:val="20"/>
        </w:rPr>
        <w:t xml:space="preserve"> in MCF</w:t>
      </w:r>
      <w:r w:rsidRPr="00D23C24">
        <w:rPr>
          <w:rFonts w:ascii="Cambria Math" w:eastAsiaTheme="minorHAnsi" w:hAnsi="Cambria Math" w:cs="Cambria Math"/>
          <w:color w:val="auto"/>
          <w:sz w:val="20"/>
        </w:rPr>
        <w:t>‐</w:t>
      </w:r>
      <w:r w:rsidRPr="00D23C24">
        <w:rPr>
          <w:rFonts w:eastAsiaTheme="minorHAnsi" w:cs="Arial"/>
          <w:color w:val="auto"/>
          <w:sz w:val="20"/>
        </w:rPr>
        <w:t>7. S. J. Cosmetic Dermatol. 19: 246-252.</w:t>
      </w:r>
    </w:p>
    <w:p w14:paraId="42FA5639" w14:textId="77777777" w:rsidR="001739C2" w:rsidRPr="00D23C24" w:rsidRDefault="001739C2" w:rsidP="001D3727">
      <w:pPr>
        <w:pStyle w:val="FootnoteText"/>
        <w:spacing w:after="120" w:line="259" w:lineRule="auto"/>
        <w:rPr>
          <w:rFonts w:eastAsiaTheme="minorHAnsi" w:cs="Arial"/>
          <w:color w:val="auto"/>
          <w:sz w:val="20"/>
        </w:rPr>
      </w:pPr>
      <w:r w:rsidRPr="00D23C24">
        <w:rPr>
          <w:rFonts w:eastAsiaTheme="minorHAnsi" w:cs="Arial"/>
          <w:color w:val="auto"/>
          <w:sz w:val="20"/>
        </w:rPr>
        <w:t xml:space="preserve">Yang et al. (2018) </w:t>
      </w:r>
      <w:proofErr w:type="spellStart"/>
      <w:r w:rsidRPr="00D23C24">
        <w:rPr>
          <w:rFonts w:eastAsiaTheme="minorHAnsi" w:cs="Arial"/>
          <w:color w:val="auto"/>
          <w:sz w:val="20"/>
        </w:rPr>
        <w:t>Homosalate</w:t>
      </w:r>
      <w:proofErr w:type="spellEnd"/>
      <w:r w:rsidRPr="00D23C24">
        <w:rPr>
          <w:rFonts w:eastAsiaTheme="minorHAnsi" w:cs="Arial"/>
          <w:color w:val="auto"/>
          <w:sz w:val="20"/>
        </w:rPr>
        <w:t xml:space="preserve"> aggravates the invasion of human trophoblast cells as well as regulates intracellular </w:t>
      </w:r>
      <w:proofErr w:type="spellStart"/>
      <w:r w:rsidRPr="00D23C24">
        <w:rPr>
          <w:rFonts w:eastAsiaTheme="minorHAnsi" w:cs="Arial"/>
          <w:color w:val="auto"/>
          <w:sz w:val="20"/>
        </w:rPr>
        <w:t>signaling</w:t>
      </w:r>
      <w:proofErr w:type="spellEnd"/>
      <w:r w:rsidRPr="00D23C24">
        <w:rPr>
          <w:rFonts w:eastAsiaTheme="minorHAnsi" w:cs="Arial"/>
          <w:color w:val="auto"/>
          <w:sz w:val="20"/>
        </w:rPr>
        <w:t xml:space="preserve"> pathways including PI3K/AKT and MAPK pathways. Environ. </w:t>
      </w:r>
      <w:proofErr w:type="spellStart"/>
      <w:r w:rsidRPr="00D23C24">
        <w:rPr>
          <w:rFonts w:eastAsiaTheme="minorHAnsi" w:cs="Arial"/>
          <w:color w:val="auto"/>
          <w:sz w:val="20"/>
        </w:rPr>
        <w:t>Pollut</w:t>
      </w:r>
      <w:proofErr w:type="spellEnd"/>
      <w:r w:rsidRPr="00D23C24">
        <w:rPr>
          <w:rFonts w:eastAsiaTheme="minorHAnsi" w:cs="Arial"/>
          <w:color w:val="auto"/>
          <w:sz w:val="20"/>
        </w:rPr>
        <w:t>. 243: 1263–1273.</w:t>
      </w:r>
    </w:p>
    <w:p w14:paraId="46BC64FC" w14:textId="75F20108" w:rsidR="00D451AF" w:rsidRPr="00BA4549" w:rsidRDefault="001739C2" w:rsidP="00BA4549">
      <w:pPr>
        <w:pStyle w:val="FootnoteText"/>
        <w:spacing w:after="120" w:line="259" w:lineRule="auto"/>
        <w:rPr>
          <w:rFonts w:eastAsiaTheme="minorHAnsi" w:cs="Arial"/>
          <w:color w:val="auto"/>
          <w:sz w:val="20"/>
        </w:rPr>
      </w:pPr>
      <w:r w:rsidRPr="00D23C24">
        <w:rPr>
          <w:rFonts w:eastAsiaTheme="minorHAnsi" w:cs="Arial"/>
          <w:color w:val="auto"/>
          <w:sz w:val="20"/>
        </w:rPr>
        <w:t>Yener G., et al. (2003) Importance of using lipid microspheres as carriers for UV filters on the example octyl methoxy cinnamate. Int. J. Pharmaceutics. 258: 203-207.</w:t>
      </w:r>
      <w:bookmarkEnd w:id="7"/>
      <w:bookmarkEnd w:id="8"/>
    </w:p>
    <w:p w14:paraId="7881689D" w14:textId="09E23949" w:rsidR="0089410A" w:rsidRPr="00215D48" w:rsidRDefault="0089410A" w:rsidP="00D451AF">
      <w:pPr>
        <w:pStyle w:val="NonTOCheading2"/>
      </w:pPr>
      <w:r w:rsidRPr="00215D48">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89410A" w:rsidRPr="00215D48" w14:paraId="75047032" w14:textId="77777777" w:rsidTr="00F80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797535C" w14:textId="77777777" w:rsidR="0089410A" w:rsidRPr="00215D48" w:rsidRDefault="0089410A" w:rsidP="00F807B2">
            <w:bookmarkStart w:id="199" w:name="ColumnTitle_4"/>
            <w:r w:rsidRPr="00215D48">
              <w:t>Version</w:t>
            </w:r>
          </w:p>
        </w:tc>
        <w:tc>
          <w:tcPr>
            <w:tcW w:w="3242" w:type="dxa"/>
          </w:tcPr>
          <w:p w14:paraId="2365C1DF"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11CB4C80"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3F427EBA"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199"/>
      <w:tr w:rsidR="0089410A" w:rsidRPr="00215D48" w14:paraId="5CAA477B" w14:textId="77777777" w:rsidTr="00F807B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6512B12" w14:textId="77777777" w:rsidR="0089410A" w:rsidRPr="00215D48" w:rsidRDefault="0089410A" w:rsidP="00F807B2">
            <w:r w:rsidRPr="00215D48">
              <w:t>V1.0</w:t>
            </w:r>
          </w:p>
        </w:tc>
        <w:tc>
          <w:tcPr>
            <w:tcW w:w="3242" w:type="dxa"/>
          </w:tcPr>
          <w:p w14:paraId="32EE2396" w14:textId="77777777" w:rsidR="0089410A" w:rsidRPr="00215D48" w:rsidRDefault="0089410A" w:rsidP="00F807B2">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74D8075B" w14:textId="4AF63257" w:rsidR="0089410A" w:rsidRPr="00215D48" w:rsidRDefault="006328C0" w:rsidP="00F807B2">
            <w:pPr>
              <w:cnfStyle w:val="000000000000" w:firstRow="0" w:lastRow="0" w:firstColumn="0" w:lastColumn="0" w:oddVBand="0" w:evenVBand="0" w:oddHBand="0" w:evenHBand="0" w:firstRowFirstColumn="0" w:firstRowLastColumn="0" w:lastRowFirstColumn="0" w:lastRowLastColumn="0"/>
            </w:pPr>
            <w:r>
              <w:t>TGA</w:t>
            </w:r>
          </w:p>
        </w:tc>
        <w:tc>
          <w:tcPr>
            <w:tcW w:w="1808" w:type="dxa"/>
          </w:tcPr>
          <w:p w14:paraId="1E9F3468" w14:textId="28739C39" w:rsidR="0089410A" w:rsidRPr="00215D48" w:rsidRDefault="00E46F72" w:rsidP="00F807B2">
            <w:pPr>
              <w:cnfStyle w:val="000000000000" w:firstRow="0" w:lastRow="0" w:firstColumn="0" w:lastColumn="0" w:oddVBand="0" w:evenVBand="0" w:oddHBand="0" w:evenHBand="0" w:firstRowFirstColumn="0" w:firstRowLastColumn="0" w:lastRowFirstColumn="0" w:lastRowLastColumn="0"/>
            </w:pPr>
            <w:r>
              <w:t>Jul</w:t>
            </w:r>
            <w:r w:rsidR="001213D9">
              <w:t xml:space="preserve">y </w:t>
            </w:r>
            <w:r w:rsidR="0081691B">
              <w:t>2025</w:t>
            </w:r>
          </w:p>
        </w:tc>
      </w:tr>
    </w:tbl>
    <w:p w14:paraId="0B852163" w14:textId="77777777" w:rsidR="0089410A" w:rsidRDefault="0089410A" w:rsidP="00DD3815">
      <w:pPr>
        <w:pStyle w:val="LegalSubheading"/>
        <w:rPr>
          <w:b/>
          <w:bCs/>
        </w:rPr>
      </w:pPr>
    </w:p>
    <w:p w14:paraId="0D5E956E" w14:textId="77777777" w:rsidR="00B528AB" w:rsidRDefault="00B528AB" w:rsidP="00DD3815">
      <w:pPr>
        <w:pStyle w:val="LegalSubheading"/>
        <w:rPr>
          <w:b/>
          <w:bCs/>
        </w:rPr>
        <w:sectPr w:rsidR="00B528AB" w:rsidSect="003E7BCD">
          <w:pgSz w:w="11906" w:h="16838"/>
          <w:pgMar w:top="1440" w:right="1440" w:bottom="1440" w:left="1440" w:header="708" w:footer="708" w:gutter="0"/>
          <w:cols w:space="708"/>
          <w:docGrid w:linePitch="360"/>
        </w:sectPr>
      </w:pPr>
    </w:p>
    <w:p w14:paraId="009754DD" w14:textId="77777777" w:rsidR="00B528AB" w:rsidRPr="00DD3815" w:rsidRDefault="00B528AB" w:rsidP="00DD3815">
      <w:pPr>
        <w:pStyle w:val="LegalSubheading"/>
        <w:rPr>
          <w:b/>
          <w:bCs/>
        </w:rPr>
      </w:pPr>
    </w:p>
    <w:sectPr w:rsidR="00B528AB" w:rsidRPr="00DD3815" w:rsidSect="00537B47">
      <w:headerReference w:type="first" r:id="rId103"/>
      <w:footerReference w:type="first" r:id="rId10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75A87" w14:textId="77777777" w:rsidR="00D41F1A" w:rsidRDefault="00D41F1A" w:rsidP="00537B47">
      <w:pPr>
        <w:spacing w:after="0" w:line="240" w:lineRule="auto"/>
      </w:pPr>
      <w:r>
        <w:separator/>
      </w:r>
    </w:p>
  </w:endnote>
  <w:endnote w:type="continuationSeparator" w:id="0">
    <w:p w14:paraId="6D93D8BE" w14:textId="77777777" w:rsidR="00D41F1A" w:rsidRDefault="00D41F1A"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light">
    <w:panose1 w:val="020B04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OT863180fb">
    <w:altName w:val="Cambria"/>
    <w:panose1 w:val="00000000000000000000"/>
    <w:charset w:val="00"/>
    <w:family w:val="roman"/>
    <w:notTrueType/>
    <w:pitch w:val="default"/>
    <w:sig w:usb0="00000003" w:usb1="00000000" w:usb2="00000000" w:usb3="00000000" w:csb0="00000001" w:csb1="00000000"/>
  </w:font>
  <w:font w:name="AdvOTb0c9bf5d">
    <w:altName w:val="Calibri"/>
    <w:panose1 w:val="00000000000000000000"/>
    <w:charset w:val="00"/>
    <w:family w:val="swiss"/>
    <w:notTrueType/>
    <w:pitch w:val="default"/>
    <w:sig w:usb0="00000003" w:usb1="00000000" w:usb2="00000000" w:usb3="00000000" w:csb0="00000001" w:csb1="00000000"/>
  </w:font>
  <w:font w:name="AdvP3F4C13">
    <w:altName w:val="Calibri"/>
    <w:panose1 w:val="00000000000000000000"/>
    <w:charset w:val="00"/>
    <w:family w:val="swiss"/>
    <w:notTrueType/>
    <w:pitch w:val="default"/>
    <w:sig w:usb0="00000003" w:usb1="00000000" w:usb2="00000000" w:usb3="00000000" w:csb0="00000001" w:csb1="00000000"/>
  </w:font>
  <w:font w:name="CharisSIL">
    <w:altName w:val="Yu Gothic"/>
    <w:panose1 w:val="00000000000000000000"/>
    <w:charset w:val="80"/>
    <w:family w:val="swiss"/>
    <w:notTrueType/>
    <w:pitch w:val="default"/>
    <w:sig w:usb0="00000003" w:usb1="08070000" w:usb2="00000010" w:usb3="00000000" w:csb0="00020001" w:csb1="00000000"/>
  </w:font>
  <w:font w:name="AdvOT596495f2">
    <w:altName w:val="Cambria"/>
    <w:panose1 w:val="00000000000000000000"/>
    <w:charset w:val="00"/>
    <w:family w:val="roman"/>
    <w:notTrueType/>
    <w:pitch w:val="default"/>
    <w:sig w:usb0="00000003" w:usb1="00000000" w:usb2="00000000" w:usb3="00000000" w:csb0="00000001" w:csb1="00000000"/>
  </w:font>
  <w:font w:name="CIDFont+F2">
    <w:altName w:val="MS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432B" w14:textId="29C2569E" w:rsidR="00DD3815" w:rsidRPr="00DD3815" w:rsidRDefault="0089410A" w:rsidP="00DD3815">
    <w:pPr>
      <w:pStyle w:val="Footer"/>
    </w:pPr>
    <w:r>
      <w:rPr>
        <w:noProof/>
      </w:rPr>
      <mc:AlternateContent>
        <mc:Choice Requires="wps">
          <w:drawing>
            <wp:anchor distT="0" distB="0" distL="114300" distR="114300" simplePos="0" relativeHeight="251660288" behindDoc="0" locked="0" layoutInCell="1" allowOverlap="1" wp14:anchorId="5E281571" wp14:editId="42CB6758">
              <wp:simplePos x="0" y="0"/>
              <wp:positionH relativeFrom="column">
                <wp:posOffset>9525</wp:posOffset>
              </wp:positionH>
              <wp:positionV relativeFrom="paragraph">
                <wp:posOffset>-59690</wp:posOffset>
              </wp:positionV>
              <wp:extent cx="57912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930356"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r w:rsidR="00CC3871">
      <w:t>Safety Review of Seven Active Sunscreen Ingredi</w:t>
    </w:r>
    <w:r w:rsidR="00394938">
      <w:t>ents</w:t>
    </w:r>
    <w:r w:rsidR="00DD3815" w:rsidRPr="00DD3815">
      <w:t xml:space="preserve"> </w:t>
    </w:r>
  </w:p>
  <w:p w14:paraId="7DCE9186" w14:textId="16F7E440" w:rsidR="00DD3815" w:rsidRPr="00DD3815" w:rsidRDefault="00DD3815" w:rsidP="00DD3815">
    <w:pPr>
      <w:pStyle w:val="Footer"/>
    </w:pPr>
    <w:r w:rsidRPr="00DD3815">
      <w:tab/>
    </w:r>
    <w:r w:rsidRPr="00DD3815">
      <w:tab/>
      <w:t xml:space="preserve">Page </w:t>
    </w:r>
    <w:r w:rsidRPr="00DD3815">
      <w:fldChar w:fldCharType="begin"/>
    </w:r>
    <w:r w:rsidRPr="00DD3815">
      <w:instrText xml:space="preserve"> PAGE  \* Arabic  \* MERGEFORMAT </w:instrText>
    </w:r>
    <w:r w:rsidRPr="00DD3815">
      <w:fldChar w:fldCharType="separate"/>
    </w:r>
    <w:r w:rsidRPr="00DD3815">
      <w:t>1</w:t>
    </w:r>
    <w:r w:rsidRPr="00DD3815">
      <w:fldChar w:fldCharType="end"/>
    </w:r>
    <w:r w:rsidRPr="00DD3815">
      <w:t xml:space="preserve"> of </w:t>
    </w:r>
    <w:fldSimple w:instr=" NUMPAGES  \* Arabic  \* MERGEFORMAT ">
      <w:r w:rsidRPr="00DD3815">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3915F501" w14:textId="77777777" w:rsidTr="00574690">
      <w:trPr>
        <w:trHeight w:hRule="exact" w:val="565"/>
        <w:jc w:val="center"/>
      </w:trPr>
      <w:tc>
        <w:tcPr>
          <w:tcW w:w="9145" w:type="dxa"/>
        </w:tcPr>
        <w:p w14:paraId="717BE53B" w14:textId="77777777" w:rsidR="00B528AB" w:rsidRPr="00215D48" w:rsidRDefault="00B528AB" w:rsidP="00B528AB">
          <w:pPr>
            <w:pStyle w:val="TGASignoff"/>
          </w:pPr>
          <w:r w:rsidRPr="00215D48">
            <w:t>Therapeutic Goods Administration</w:t>
          </w:r>
        </w:p>
      </w:tc>
    </w:tr>
    <w:tr w:rsidR="00B528AB" w:rsidRPr="00215D48" w14:paraId="015AD64D" w14:textId="77777777" w:rsidTr="00574690">
      <w:trPr>
        <w:trHeight w:val="963"/>
        <w:jc w:val="center"/>
      </w:trPr>
      <w:tc>
        <w:tcPr>
          <w:tcW w:w="9145" w:type="dxa"/>
          <w:tcMar>
            <w:top w:w="28" w:type="dxa"/>
          </w:tcMar>
        </w:tcPr>
        <w:p w14:paraId="1A6508D9" w14:textId="77777777" w:rsidR="00B528AB" w:rsidRPr="00215D48" w:rsidRDefault="00B528AB" w:rsidP="00B528AB">
          <w:pPr>
            <w:pStyle w:val="Address"/>
            <w:jc w:val="center"/>
          </w:pPr>
          <w:r w:rsidRPr="00215D48">
            <w:t>PO Box 100 Woden ACT 2606 Australia</w:t>
          </w:r>
        </w:p>
        <w:p w14:paraId="31112C5F"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7AE0138C"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r w:rsidR="00B528AB" w:rsidRPr="00215D48" w14:paraId="57DCAA58" w14:textId="77777777" w:rsidTr="00574690">
      <w:trPr>
        <w:trHeight w:val="251"/>
        <w:jc w:val="center"/>
      </w:trPr>
      <w:tc>
        <w:tcPr>
          <w:tcW w:w="9145" w:type="dxa"/>
          <w:tcMar>
            <w:top w:w="28" w:type="dxa"/>
          </w:tcMar>
        </w:tcPr>
        <w:p w14:paraId="14DC05F1" w14:textId="2BB2383C" w:rsidR="00B528AB" w:rsidRPr="00215D48" w:rsidRDefault="00B528AB" w:rsidP="00B528AB">
          <w:pPr>
            <w:pStyle w:val="Address"/>
            <w:jc w:val="center"/>
          </w:pPr>
          <w:r w:rsidRPr="00215D48">
            <w:t xml:space="preserve">Reference/Publication </w:t>
          </w:r>
          <w:hyperlink r:id="rId3" w:history="1">
            <w:r w:rsidR="006002AF" w:rsidRPr="006002AF">
              <w:rPr>
                <w:rStyle w:val="Hyperlink"/>
              </w:rPr>
              <w:t>D25-2148966</w:t>
            </w:r>
          </w:hyperlink>
        </w:p>
      </w:tc>
    </w:tr>
  </w:tbl>
  <w:p w14:paraId="477FD55C"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88A4" w14:textId="77777777" w:rsidR="00D41F1A" w:rsidRDefault="00D41F1A" w:rsidP="00537B47">
      <w:pPr>
        <w:spacing w:after="0" w:line="240" w:lineRule="auto"/>
      </w:pPr>
      <w:r>
        <w:separator/>
      </w:r>
    </w:p>
  </w:footnote>
  <w:footnote w:type="continuationSeparator" w:id="0">
    <w:p w14:paraId="07D1D3EB" w14:textId="77777777" w:rsidR="00D41F1A" w:rsidRDefault="00D41F1A" w:rsidP="00537B47">
      <w:pPr>
        <w:spacing w:after="0" w:line="240" w:lineRule="auto"/>
      </w:pPr>
      <w:r>
        <w:continuationSeparator/>
      </w:r>
    </w:p>
  </w:footnote>
  <w:footnote w:id="1">
    <w:p w14:paraId="4A128066" w14:textId="77777777" w:rsidR="00BB484E" w:rsidRDefault="00BB484E" w:rsidP="00BB484E">
      <w:pPr>
        <w:pStyle w:val="FootnoteText"/>
      </w:pPr>
      <w:r>
        <w:rPr>
          <w:rStyle w:val="FootnoteReference"/>
        </w:rPr>
        <w:footnoteRef/>
      </w:r>
      <w:r>
        <w:t xml:space="preserve"> </w:t>
      </w:r>
      <w:hyperlink r:id="rId1" w:history="1">
        <w:r w:rsidRPr="00835090">
          <w:rPr>
            <w:rStyle w:val="Hyperlink"/>
          </w:rPr>
          <w:t>Comparable overseas bodies (COBs) for complementary medicines | Therapeutic Goods Administration (TGA)</w:t>
        </w:r>
      </w:hyperlink>
      <w:r>
        <w:rPr>
          <w:rStyle w:val="Hyperlink"/>
        </w:rPr>
        <w:t xml:space="preserve"> </w:t>
      </w:r>
    </w:p>
  </w:footnote>
  <w:footnote w:id="2">
    <w:p w14:paraId="4DEC7DDD" w14:textId="77777777" w:rsidR="00CB46B1" w:rsidRDefault="00CB46B1" w:rsidP="00CB46B1">
      <w:pPr>
        <w:pStyle w:val="FootnoteText"/>
      </w:pPr>
      <w:r>
        <w:rPr>
          <w:rStyle w:val="FootnoteReference"/>
        </w:rPr>
        <w:footnoteRef/>
      </w:r>
      <w:r>
        <w:t xml:space="preserve"> </w:t>
      </w:r>
      <w:hyperlink r:id="rId2" w:history="1">
        <w:r w:rsidRPr="00245280">
          <w:rPr>
            <w:rStyle w:val="Hyperlink"/>
          </w:rPr>
          <w:t>http://webprod.hc-sc.gc.ca/nhpid-bdipsn/atReq.do?atid=sunscreen-ecransolaire&amp;lang=eng</w:t>
        </w:r>
      </w:hyperlink>
    </w:p>
  </w:footnote>
  <w:footnote w:id="3">
    <w:p w14:paraId="04A573B6" w14:textId="77777777" w:rsidR="00CB46B1" w:rsidRDefault="00CB46B1" w:rsidP="00CB46B1">
      <w:pPr>
        <w:pStyle w:val="FootnoteText"/>
      </w:pPr>
      <w:r>
        <w:rPr>
          <w:rStyle w:val="FootnoteReference"/>
        </w:rPr>
        <w:footnoteRef/>
      </w:r>
      <w:r>
        <w:t>(</w:t>
      </w:r>
      <w:hyperlink r:id="rId3" w:history="1">
        <w:r w:rsidRPr="00245280">
          <w:rPr>
            <w:rStyle w:val="Hyperlink"/>
          </w:rPr>
          <w:t>https://www.mhlw.go.jp/english/dl/cosmetics.pdf</w:t>
        </w:r>
      </w:hyperlink>
    </w:p>
  </w:footnote>
  <w:footnote w:id="4">
    <w:p w14:paraId="61BCC3B8" w14:textId="77777777" w:rsidR="00690EC3" w:rsidRDefault="00690EC3" w:rsidP="00690EC3">
      <w:pPr>
        <w:pStyle w:val="FootnoteText"/>
      </w:pPr>
      <w:r w:rsidRPr="00B35001">
        <w:rPr>
          <w:rStyle w:val="FootnoteReference"/>
          <w:sz w:val="18"/>
          <w:szCs w:val="18"/>
        </w:rPr>
        <w:footnoteRef/>
      </w:r>
      <w:r w:rsidRPr="00B35001">
        <w:rPr>
          <w:sz w:val="18"/>
          <w:szCs w:val="18"/>
        </w:rPr>
        <w:t xml:space="preserve"> Australian Government, Department of Health and Aged Care, Therapeutic Goods Administration (2024). </w:t>
      </w:r>
      <w:hyperlink r:id="rId4" w:history="1">
        <w:r w:rsidRPr="00B35001">
          <w:rPr>
            <w:rStyle w:val="Hyperlink"/>
            <w:sz w:val="18"/>
            <w:szCs w:val="18"/>
          </w:rPr>
          <w:t>Australian Sunscreen Exposure Model. Consultation on an exposure model for assessing the safety of sunscreen ingredients in Australia</w:t>
        </w:r>
      </w:hyperlink>
      <w:r w:rsidRPr="00B35001">
        <w:rPr>
          <w:sz w:val="18"/>
          <w:szCs w:val="18"/>
        </w:rPr>
        <w:t>. Version 1.0, July 2024.</w:t>
      </w:r>
      <w:r>
        <w:rPr>
          <w:sz w:val="18"/>
          <w:szCs w:val="18"/>
        </w:rPr>
        <w:t xml:space="preserve"> </w:t>
      </w:r>
    </w:p>
  </w:footnote>
  <w:footnote w:id="5">
    <w:p w14:paraId="783D5468" w14:textId="77777777" w:rsidR="00B14C0C" w:rsidRPr="00732141" w:rsidRDefault="00B14C0C" w:rsidP="00B14C0C">
      <w:pPr>
        <w:pStyle w:val="FootnoteText"/>
        <w:rPr>
          <w:u w:val="single"/>
        </w:rPr>
      </w:pPr>
      <w:r>
        <w:rPr>
          <w:rStyle w:val="FootnoteReference"/>
        </w:rPr>
        <w:footnoteRef/>
      </w:r>
      <w:r>
        <w:t xml:space="preserve"> </w:t>
      </w:r>
      <w:hyperlink r:id="rId5" w:history="1">
        <w:r w:rsidRPr="00732141">
          <w:rPr>
            <w:rStyle w:val="Hyperlink"/>
          </w:rPr>
          <w:t>https://ec.europa.eu/health/ph_risk/committees/04_sccp/sccp_opinions_en.htm</w:t>
        </w:r>
      </w:hyperlink>
    </w:p>
    <w:p w14:paraId="63DC10C4" w14:textId="77777777" w:rsidR="00B14C0C" w:rsidRDefault="00B14C0C" w:rsidP="00B14C0C">
      <w:pPr>
        <w:pStyle w:val="FootnoteText"/>
      </w:pPr>
    </w:p>
  </w:footnote>
  <w:footnote w:id="6">
    <w:p w14:paraId="3925DC24" w14:textId="77777777" w:rsidR="00667553" w:rsidRPr="00DD6C57" w:rsidRDefault="00667553" w:rsidP="00667553">
      <w:pPr>
        <w:pStyle w:val="FootnoteText"/>
        <w:rPr>
          <w:rFonts w:asciiTheme="minorHAnsi" w:hAnsiTheme="minorHAnsi" w:cstheme="minorHAnsi"/>
        </w:rPr>
      </w:pPr>
      <w:r w:rsidRPr="00DD6C57">
        <w:rPr>
          <w:rStyle w:val="FootnoteReference"/>
          <w:rFonts w:asciiTheme="minorHAnsi" w:hAnsiTheme="minorHAnsi" w:cstheme="minorHAnsi"/>
        </w:rPr>
        <w:footnoteRef/>
      </w:r>
      <w:r w:rsidRPr="00DD6C57">
        <w:rPr>
          <w:rFonts w:asciiTheme="minorHAnsi" w:hAnsiTheme="minorHAnsi" w:cstheme="minorHAnsi"/>
        </w:rPr>
        <w:t xml:space="preserve"> The dose was applied to a small square of gauze (10 cm</w:t>
      </w:r>
      <w:r w:rsidRPr="00DD6C57">
        <w:rPr>
          <w:rFonts w:asciiTheme="minorHAnsi" w:hAnsiTheme="minorHAnsi" w:cstheme="minorHAnsi"/>
          <w:vertAlign w:val="superscript"/>
        </w:rPr>
        <w:t>2</w:t>
      </w:r>
      <w:r w:rsidRPr="00DD6C57">
        <w:rPr>
          <w:rFonts w:asciiTheme="minorHAnsi" w:hAnsiTheme="minorHAnsi" w:cstheme="minorHAnsi"/>
        </w:rPr>
        <w:t>) taped to the skin.</w:t>
      </w:r>
    </w:p>
  </w:footnote>
  <w:footnote w:id="7">
    <w:p w14:paraId="68CCB4E8" w14:textId="51BCCE5F" w:rsidR="001B20AA" w:rsidRPr="00DD6C57" w:rsidRDefault="001B20AA" w:rsidP="001B20AA">
      <w:pPr>
        <w:pStyle w:val="FootnoteText"/>
        <w:rPr>
          <w:rFonts w:asciiTheme="minorHAnsi" w:hAnsiTheme="minorHAnsi" w:cstheme="minorHAnsi"/>
        </w:rPr>
      </w:pPr>
      <w:r w:rsidRPr="00DD6C57">
        <w:rPr>
          <w:rStyle w:val="FootnoteReference"/>
          <w:rFonts w:asciiTheme="minorHAnsi" w:hAnsiTheme="minorHAnsi" w:cstheme="minorHAnsi"/>
        </w:rPr>
        <w:footnoteRef/>
      </w:r>
      <w:r w:rsidRPr="00DD6C57">
        <w:rPr>
          <w:rFonts w:asciiTheme="minorHAnsi" w:hAnsiTheme="minorHAnsi" w:cstheme="minorHAnsi"/>
        </w:rPr>
        <w:t xml:space="preserve"> The June 2021 SCCS opinion for homosalate uses a different dermal absorption value for the SED calculation than an earlier SCCS opinion. The systemic exposure dose for homosalate used as a UV filter in cosmetic products is calculated using a dermal absorption value of 5.3% derived from an </w:t>
      </w:r>
      <w:r w:rsidRPr="00DD6C57">
        <w:rPr>
          <w:rFonts w:asciiTheme="minorHAnsi" w:hAnsiTheme="minorHAnsi" w:cstheme="minorHAnsi"/>
          <w:i/>
          <w:iCs/>
        </w:rPr>
        <w:t xml:space="preserve">in vitro </w:t>
      </w:r>
      <w:r w:rsidRPr="00DD6C57">
        <w:rPr>
          <w:rFonts w:asciiTheme="minorHAnsi" w:hAnsiTheme="minorHAnsi" w:cstheme="minorHAnsi"/>
        </w:rPr>
        <w:t>dermal penetration study using viable human skin (Finlayson 2021, as cited in SCCS 2020) and a standard sunscreen formulation containing 10% homosalate.</w:t>
      </w:r>
    </w:p>
  </w:footnote>
  <w:footnote w:id="8">
    <w:p w14:paraId="75772D1E" w14:textId="77777777" w:rsidR="00403C89" w:rsidRDefault="00403C89" w:rsidP="00403C89">
      <w:pPr>
        <w:pStyle w:val="FootnoteText"/>
      </w:pPr>
      <w:r>
        <w:rPr>
          <w:rStyle w:val="FootnoteReference"/>
        </w:rPr>
        <w:footnoteRef/>
      </w:r>
      <w:r>
        <w:t xml:space="preserve"> Ecamsule (CAS </w:t>
      </w:r>
      <w:r w:rsidRPr="00DF0293">
        <w:t>92761-26-7</w:t>
      </w:r>
      <w:r>
        <w:t xml:space="preserve">) is commonly used as an active ingredient in sunscreen. However, currently it is not used in any sunscreen product marketed in Australia. </w:t>
      </w:r>
    </w:p>
  </w:footnote>
  <w:footnote w:id="9">
    <w:p w14:paraId="780ABF99" w14:textId="77777777" w:rsidR="00403C89" w:rsidRDefault="00403C89" w:rsidP="00403C89">
      <w:pPr>
        <w:pStyle w:val="FootnoteText"/>
      </w:pPr>
      <w:r>
        <w:rPr>
          <w:rStyle w:val="FootnoteReference"/>
        </w:rPr>
        <w:footnoteRef/>
      </w:r>
      <w:r>
        <w:t xml:space="preserve"> Octisalate or octyl salicylate is an active ingredient used in sunscreen. This has been evaluated by TGA as an excipient to be used in prescription medicines. </w:t>
      </w:r>
    </w:p>
  </w:footnote>
  <w:footnote w:id="10">
    <w:p w14:paraId="0D848B1C" w14:textId="77777777" w:rsidR="00341C02" w:rsidRDefault="00341C02" w:rsidP="00341C02">
      <w:pPr>
        <w:pStyle w:val="FootnoteText"/>
      </w:pPr>
      <w:r>
        <w:rPr>
          <w:rStyle w:val="FootnoteReference"/>
        </w:rPr>
        <w:footnoteRef/>
      </w:r>
      <w:r>
        <w:t xml:space="preserve"> E</w:t>
      </w:r>
      <w:r w:rsidRPr="004B7CB8">
        <w:t>thylhexyl triazone</w:t>
      </w:r>
      <w:r w:rsidRPr="004B7CB8" w:rsidDel="004B7CB8">
        <w:t xml:space="preserve"> </w:t>
      </w:r>
      <w:r w:rsidRPr="0043710F">
        <w:t>was included in these 14 ingredients</w:t>
      </w:r>
    </w:p>
  </w:footnote>
  <w:footnote w:id="11">
    <w:p w14:paraId="30D95E6E" w14:textId="77777777" w:rsidR="00341C02" w:rsidRDefault="00341C02" w:rsidP="00341C02">
      <w:pPr>
        <w:pStyle w:val="FootnoteText"/>
      </w:pPr>
      <w:r>
        <w:rPr>
          <w:rStyle w:val="FootnoteReference"/>
        </w:rPr>
        <w:footnoteRef/>
      </w:r>
      <w:r>
        <w:t xml:space="preserve"> </w:t>
      </w:r>
      <w:r w:rsidRPr="0043710F">
        <w:t>H</w:t>
      </w:r>
      <w:r w:rsidRPr="0074486E">
        <w:t xml:space="preserve">omosalate and </w:t>
      </w:r>
      <w:r w:rsidRPr="00615B66">
        <w:t>butyl methoxydibenzoylmethane</w:t>
      </w:r>
      <w:r w:rsidRPr="00615B66" w:rsidDel="00615B66">
        <w:t xml:space="preserve"> </w:t>
      </w:r>
      <w:r w:rsidRPr="0074486E">
        <w:t>were included</w:t>
      </w:r>
    </w:p>
  </w:footnote>
  <w:footnote w:id="12">
    <w:p w14:paraId="1E0870B7" w14:textId="77777777" w:rsidR="00341C02" w:rsidRPr="00644C80" w:rsidRDefault="00341C02" w:rsidP="00341C02">
      <w:pPr>
        <w:pStyle w:val="FootnoteText"/>
        <w:rPr>
          <w:rFonts w:cstheme="minorHAnsi"/>
          <w:sz w:val="18"/>
          <w:szCs w:val="18"/>
        </w:rPr>
      </w:pPr>
      <w:r w:rsidRPr="00645F1F">
        <w:rPr>
          <w:rStyle w:val="FootnoteReference"/>
          <w:rFonts w:cstheme="minorHAnsi"/>
        </w:rPr>
        <w:footnoteRef/>
      </w:r>
      <w:r w:rsidRPr="00645F1F">
        <w:rPr>
          <w:rFonts w:cstheme="minorHAnsi"/>
        </w:rPr>
        <w:t xml:space="preserve"> </w:t>
      </w:r>
      <w:r w:rsidRPr="00644C80">
        <w:rPr>
          <w:rFonts w:cstheme="minorHAnsi"/>
          <w:sz w:val="18"/>
          <w:szCs w:val="18"/>
        </w:rPr>
        <w:t xml:space="preserve">QSAR software for modelling and predicting toxicity of chemicals.  CASE Ultra has both methodologies (statistics based and expert rule based) built in for a complete ICH M7 compliant assessment. Leadscope Model Applier (Leadscope, Inc.) is a chemoinformatic platform that provides QSAR models for the prediction of potential toxicity and adverse human clinical effects of pharmaceuticals, cosmetics, food ingredients and other chemicals. </w:t>
      </w:r>
    </w:p>
  </w:footnote>
  <w:footnote w:id="13">
    <w:p w14:paraId="44D8CC49" w14:textId="77777777" w:rsidR="00341C02" w:rsidRDefault="00341C02" w:rsidP="00341C02">
      <w:pPr>
        <w:pStyle w:val="FootnoteText"/>
      </w:pPr>
      <w:r w:rsidRPr="00644C80">
        <w:rPr>
          <w:rStyle w:val="FootnoteReference"/>
          <w:rFonts w:cstheme="minorHAnsi"/>
          <w:sz w:val="18"/>
          <w:szCs w:val="18"/>
        </w:rPr>
        <w:footnoteRef/>
      </w:r>
      <w:r w:rsidRPr="00644C80">
        <w:rPr>
          <w:rFonts w:cstheme="minorHAnsi"/>
          <w:sz w:val="18"/>
          <w:szCs w:val="18"/>
        </w:rPr>
        <w:t xml:space="preserve"> French Agency for Food, Environmental and Occupational Health &amp; Safety (ANSES) – See Eurometaux (2016).</w:t>
      </w:r>
    </w:p>
  </w:footnote>
  <w:footnote w:id="14">
    <w:p w14:paraId="4D73B516" w14:textId="77777777" w:rsidR="009F2E28" w:rsidRDefault="009F2E28" w:rsidP="009F2E28">
      <w:pPr>
        <w:pStyle w:val="FootnoteText"/>
      </w:pPr>
      <w:r>
        <w:rPr>
          <w:rStyle w:val="FootnoteReference"/>
        </w:rPr>
        <w:footnoteRef/>
      </w:r>
      <w:r>
        <w:t xml:space="preserve"> </w:t>
      </w:r>
      <w:hyperlink r:id="rId6" w:history="1">
        <w:r w:rsidRPr="004807FB">
          <w:rPr>
            <w:rStyle w:val="Hyperlink"/>
            <w:rFonts w:ascii="Cambria" w:hAnsi="Cambria"/>
            <w:iCs/>
          </w:rPr>
          <w:t>Therapeutic Goods (Permissible Ingredients) Determination (No. 2) 2021</w:t>
        </w:r>
      </w:hyperlink>
      <w:r>
        <w:t xml:space="preserve"> </w:t>
      </w:r>
    </w:p>
  </w:footnote>
  <w:footnote w:id="15">
    <w:p w14:paraId="7C9BC9A0" w14:textId="77777777" w:rsidR="00B62C8A" w:rsidRPr="00C960B9" w:rsidRDefault="00B62C8A" w:rsidP="00B62C8A">
      <w:pPr>
        <w:pStyle w:val="FootnoteText"/>
        <w:rPr>
          <w:rFonts w:asciiTheme="minorHAnsi" w:hAnsiTheme="minorHAnsi" w:cstheme="minorHAnsi"/>
        </w:rPr>
      </w:pPr>
      <w:r w:rsidRPr="00C960B9">
        <w:rPr>
          <w:rStyle w:val="FootnoteReference"/>
          <w:rFonts w:asciiTheme="minorHAnsi" w:hAnsiTheme="minorHAnsi" w:cstheme="minorHAnsi"/>
        </w:rPr>
        <w:footnoteRef/>
      </w:r>
      <w:r w:rsidRPr="00C960B9">
        <w:rPr>
          <w:rFonts w:asciiTheme="minorHAnsi" w:hAnsiTheme="minorHAnsi" w:cstheme="minorHAnsi"/>
        </w:rPr>
        <w:t xml:space="preserve"> A 5.3% dermal absorption value was used in the final SCCS opinion on homosalate (SCCS, 2021c)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8432" w14:textId="77777777" w:rsidR="005F6958" w:rsidRDefault="00DD3815" w:rsidP="00DD3815">
    <w:pPr>
      <w:pStyle w:val="Header"/>
      <w:tabs>
        <w:tab w:val="left" w:pos="8115"/>
      </w:tabs>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BE3B" w14:textId="6039CC9E" w:rsidR="00537B47" w:rsidRDefault="00333F71" w:rsidP="000874CD">
    <w:pPr>
      <w:tabs>
        <w:tab w:val="left" w:pos="1110"/>
      </w:tabs>
    </w:pPr>
    <w:r>
      <w:rPr>
        <w:noProof/>
      </w:rPr>
      <w:drawing>
        <wp:inline distT="0" distB="0" distL="0" distR="0" wp14:anchorId="3BF3503B" wp14:editId="12B94CCD">
          <wp:extent cx="3344545" cy="694055"/>
          <wp:effectExtent l="0" t="0" r="8255" b="0"/>
          <wp:docPr id="159602786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27861"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r w:rsidR="005F6958">
      <w:rPr>
        <w:noProof/>
      </w:rPr>
      <w:drawing>
        <wp:anchor distT="0" distB="0" distL="114300" distR="114300" simplePos="0" relativeHeight="251658240" behindDoc="1" locked="0" layoutInCell="1" allowOverlap="1" wp14:anchorId="15A9C62A" wp14:editId="2D23E34B">
          <wp:simplePos x="0" y="0"/>
          <wp:positionH relativeFrom="page">
            <wp:align>right</wp:align>
          </wp:positionH>
          <wp:positionV relativeFrom="paragraph">
            <wp:posOffset>3122930</wp:posOffset>
          </wp:positionV>
          <wp:extent cx="7553325" cy="4260356"/>
          <wp:effectExtent l="0" t="0" r="0" b="6985"/>
          <wp:wrapNone/>
          <wp:docPr id="1501464477" name="Picture 1501464477" descr="A view of the earth from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view of the earth from spac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53325" cy="4260356"/>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7311"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56667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F33297"/>
    <w:multiLevelType w:val="hybridMultilevel"/>
    <w:tmpl w:val="470299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4316C6F"/>
    <w:multiLevelType w:val="hybridMultilevel"/>
    <w:tmpl w:val="7DDCDE46"/>
    <w:lvl w:ilvl="0" w:tplc="B950BEEA">
      <w:numFmt w:val="bullet"/>
      <w:pStyle w:val="Stylesquaredot"/>
      <w:lvlText w:val="-"/>
      <w:lvlJc w:val="left"/>
      <w:pPr>
        <w:ind w:left="873" w:hanging="720"/>
      </w:pPr>
      <w:rPr>
        <w:rFonts w:ascii="Cambria" w:eastAsia="Cambria" w:hAnsi="Cambria" w:cs="Times New Roman" w:hint="default"/>
      </w:rPr>
    </w:lvl>
    <w:lvl w:ilvl="1" w:tplc="FFFFFFFF">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abstractNum w:abstractNumId="6" w15:restartNumberingAfterBreak="0">
    <w:nsid w:val="072E2C93"/>
    <w:multiLevelType w:val="hybridMultilevel"/>
    <w:tmpl w:val="4BE0366A"/>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7"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E781D86"/>
    <w:multiLevelType w:val="hybridMultilevel"/>
    <w:tmpl w:val="9DE85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2" w15:restartNumberingAfterBreak="0">
    <w:nsid w:val="365E79BE"/>
    <w:multiLevelType w:val="hybridMultilevel"/>
    <w:tmpl w:val="17BE1CB8"/>
    <w:lvl w:ilvl="0" w:tplc="19400CB8">
      <w:numFmt w:val="bullet"/>
      <w:lvlText w:val="•"/>
      <w:lvlJc w:val="left"/>
      <w:pPr>
        <w:ind w:left="1080" w:hanging="360"/>
      </w:pPr>
      <w:rPr>
        <w:rFonts w:ascii="Arial" w:eastAsiaTheme="minorHAnsi" w:hAnsi="Arial" w:cs="Aria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A16341"/>
    <w:multiLevelType w:val="hybridMultilevel"/>
    <w:tmpl w:val="D63C5F9C"/>
    <w:lvl w:ilvl="0" w:tplc="57D05800">
      <w:numFmt w:val="bullet"/>
      <w:lvlText w:val="•"/>
      <w:lvlJc w:val="left"/>
      <w:pPr>
        <w:ind w:left="720" w:hanging="360"/>
      </w:pPr>
      <w:rPr>
        <w:rFonts w:ascii="Arial" w:eastAsiaTheme="minorHAnsi" w:hAnsi="Arial" w:cs="Arial" w:hint="default"/>
        <w:color w:val="auto"/>
        <w:sz w:val="20"/>
        <w:szCs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8C350A1"/>
    <w:multiLevelType w:val="hybridMultilevel"/>
    <w:tmpl w:val="CE4CE38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AD835BE"/>
    <w:multiLevelType w:val="hybridMultilevel"/>
    <w:tmpl w:val="C78E10D6"/>
    <w:lvl w:ilvl="0" w:tplc="7CD8D0B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7970DA"/>
    <w:multiLevelType w:val="hybridMultilevel"/>
    <w:tmpl w:val="B4164592"/>
    <w:lvl w:ilvl="0" w:tplc="47E22CB0">
      <w:start w:val="1"/>
      <w:numFmt w:val="bullet"/>
      <w:pStyle w:val="ListParagraph"/>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4D087DEC"/>
    <w:multiLevelType w:val="hybridMultilevel"/>
    <w:tmpl w:val="439E5A4C"/>
    <w:lvl w:ilvl="0" w:tplc="7CD8D0B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EE6ED9"/>
    <w:multiLevelType w:val="hybridMultilevel"/>
    <w:tmpl w:val="2654ECF6"/>
    <w:lvl w:ilvl="0" w:tplc="0C090001">
      <w:start w:val="1"/>
      <w:numFmt w:val="bullet"/>
      <w:lvlText w:val=""/>
      <w:lvlJc w:val="left"/>
      <w:pPr>
        <w:ind w:left="360" w:hanging="360"/>
      </w:pPr>
      <w:rPr>
        <w:rFonts w:ascii="Symbol" w:hAnsi="Symbol" w:hint="default"/>
      </w:rPr>
    </w:lvl>
    <w:lvl w:ilvl="1" w:tplc="1CC89E7E">
      <w:numFmt w:val="bullet"/>
      <w:lvlText w:val="•"/>
      <w:lvlJc w:val="left"/>
      <w:pPr>
        <w:ind w:left="1080" w:hanging="36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0"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B370F2"/>
    <w:multiLevelType w:val="hybridMultilevel"/>
    <w:tmpl w:val="3F8C498C"/>
    <w:lvl w:ilvl="0" w:tplc="E9424D88">
      <w:numFmt w:val="bullet"/>
      <w:lvlText w:val="•"/>
      <w:lvlJc w:val="left"/>
      <w:pPr>
        <w:ind w:left="720" w:hanging="360"/>
      </w:pPr>
      <w:rPr>
        <w:rFonts w:ascii="Arial" w:eastAsiaTheme="minorHAnsi" w:hAnsi="Arial" w:cs="Arial" w:hint="default"/>
        <w:color w:val="auto"/>
        <w:sz w:val="20"/>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678D6ADA"/>
    <w:multiLevelType w:val="hybridMultilevel"/>
    <w:tmpl w:val="03CC0968"/>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3" w15:restartNumberingAfterBreak="0">
    <w:nsid w:val="75051B9D"/>
    <w:multiLevelType w:val="hybridMultilevel"/>
    <w:tmpl w:val="0A386558"/>
    <w:lvl w:ilvl="0" w:tplc="78329F26">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A961F9"/>
    <w:multiLevelType w:val="hybridMultilevel"/>
    <w:tmpl w:val="B1243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FC1F80"/>
    <w:multiLevelType w:val="hybridMultilevel"/>
    <w:tmpl w:val="7960BE1E"/>
    <w:lvl w:ilvl="0" w:tplc="54C4338A">
      <w:numFmt w:val="bullet"/>
      <w:lvlText w:val="•"/>
      <w:lvlJc w:val="left"/>
      <w:pPr>
        <w:ind w:left="720" w:hanging="360"/>
      </w:pPr>
      <w:rPr>
        <w:rFonts w:ascii="Arial" w:eastAsiaTheme="minorHAnsi" w:hAnsi="Arial" w:cs="Arial" w:hint="default"/>
        <w:color w:val="auto"/>
        <w:sz w:val="20"/>
        <w:szCs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F41337D"/>
    <w:multiLevelType w:val="hybridMultilevel"/>
    <w:tmpl w:val="ECDE9EB6"/>
    <w:lvl w:ilvl="0" w:tplc="54C4338A">
      <w:numFmt w:val="bullet"/>
      <w:lvlText w:val="•"/>
      <w:lvlJc w:val="left"/>
      <w:pPr>
        <w:ind w:left="1080" w:hanging="360"/>
      </w:pPr>
      <w:rPr>
        <w:rFonts w:ascii="Arial" w:eastAsiaTheme="minorHAnsi" w:hAnsi="Arial" w:cs="Arial" w:hint="default"/>
        <w:color w:val="auto"/>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109737033">
    <w:abstractNumId w:val="2"/>
  </w:num>
  <w:num w:numId="2" w16cid:durableId="1244874731">
    <w:abstractNumId w:val="9"/>
  </w:num>
  <w:num w:numId="3" w16cid:durableId="1834369178">
    <w:abstractNumId w:val="7"/>
  </w:num>
  <w:num w:numId="4" w16cid:durableId="729621980">
    <w:abstractNumId w:val="3"/>
  </w:num>
  <w:num w:numId="5" w16cid:durableId="467238759">
    <w:abstractNumId w:val="11"/>
  </w:num>
  <w:num w:numId="6" w16cid:durableId="1237932114">
    <w:abstractNumId w:val="19"/>
  </w:num>
  <w:num w:numId="7" w16cid:durableId="1799059278">
    <w:abstractNumId w:val="1"/>
  </w:num>
  <w:num w:numId="8" w16cid:durableId="1712530828">
    <w:abstractNumId w:val="9"/>
  </w:num>
  <w:num w:numId="9" w16cid:durableId="1529752905">
    <w:abstractNumId w:val="0"/>
  </w:num>
  <w:num w:numId="10" w16cid:durableId="1693191331">
    <w:abstractNumId w:val="8"/>
  </w:num>
  <w:num w:numId="11" w16cid:durableId="1110271873">
    <w:abstractNumId w:val="9"/>
  </w:num>
  <w:num w:numId="12" w16cid:durableId="991257336">
    <w:abstractNumId w:val="7"/>
  </w:num>
  <w:num w:numId="13" w16cid:durableId="1860776656">
    <w:abstractNumId w:val="20"/>
  </w:num>
  <w:num w:numId="14" w16cid:durableId="52388051">
    <w:abstractNumId w:val="7"/>
  </w:num>
  <w:num w:numId="15" w16cid:durableId="747195814">
    <w:abstractNumId w:val="14"/>
  </w:num>
  <w:num w:numId="16" w16cid:durableId="905527521">
    <w:abstractNumId w:val="18"/>
  </w:num>
  <w:num w:numId="17" w16cid:durableId="488526170">
    <w:abstractNumId w:val="10"/>
  </w:num>
  <w:num w:numId="18" w16cid:durableId="981227994">
    <w:abstractNumId w:val="15"/>
  </w:num>
  <w:num w:numId="19" w16cid:durableId="1541940632">
    <w:abstractNumId w:val="24"/>
  </w:num>
  <w:num w:numId="20" w16cid:durableId="907152039">
    <w:abstractNumId w:val="5"/>
  </w:num>
  <w:num w:numId="21" w16cid:durableId="628557515">
    <w:abstractNumId w:val="6"/>
  </w:num>
  <w:num w:numId="22" w16cid:durableId="1106194614">
    <w:abstractNumId w:val="22"/>
  </w:num>
  <w:num w:numId="23" w16cid:durableId="22828122">
    <w:abstractNumId w:val="25"/>
  </w:num>
  <w:num w:numId="24" w16cid:durableId="1342970130">
    <w:abstractNumId w:val="23"/>
  </w:num>
  <w:num w:numId="25" w16cid:durableId="1488589958">
    <w:abstractNumId w:val="13"/>
  </w:num>
  <w:num w:numId="26" w16cid:durableId="818114601">
    <w:abstractNumId w:val="17"/>
  </w:num>
  <w:num w:numId="27" w16cid:durableId="1137844449">
    <w:abstractNumId w:val="26"/>
  </w:num>
  <w:num w:numId="28" w16cid:durableId="453059927">
    <w:abstractNumId w:val="12"/>
  </w:num>
  <w:num w:numId="29" w16cid:durableId="1170831071">
    <w:abstractNumId w:val="21"/>
  </w:num>
  <w:num w:numId="30" w16cid:durableId="2071345888">
    <w:abstractNumId w:val="9"/>
  </w:num>
  <w:num w:numId="31" w16cid:durableId="54356401">
    <w:abstractNumId w:val="4"/>
  </w:num>
  <w:num w:numId="32" w16cid:durableId="16808851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2BC"/>
    <w:rsid w:val="00015BB4"/>
    <w:rsid w:val="00020863"/>
    <w:rsid w:val="00032671"/>
    <w:rsid w:val="00032E7F"/>
    <w:rsid w:val="000376A2"/>
    <w:rsid w:val="00081F5C"/>
    <w:rsid w:val="000829FF"/>
    <w:rsid w:val="0008488D"/>
    <w:rsid w:val="000874CD"/>
    <w:rsid w:val="0009777A"/>
    <w:rsid w:val="000A67A8"/>
    <w:rsid w:val="000B1D64"/>
    <w:rsid w:val="000B7A28"/>
    <w:rsid w:val="000C062A"/>
    <w:rsid w:val="000C6914"/>
    <w:rsid w:val="000C711D"/>
    <w:rsid w:val="001213D9"/>
    <w:rsid w:val="0012142F"/>
    <w:rsid w:val="00137609"/>
    <w:rsid w:val="001444F6"/>
    <w:rsid w:val="0016606E"/>
    <w:rsid w:val="001677B2"/>
    <w:rsid w:val="001739C2"/>
    <w:rsid w:val="00192721"/>
    <w:rsid w:val="00194484"/>
    <w:rsid w:val="001974CD"/>
    <w:rsid w:val="001A3BDE"/>
    <w:rsid w:val="001A6E57"/>
    <w:rsid w:val="001B20AA"/>
    <w:rsid w:val="001B53AA"/>
    <w:rsid w:val="001C68FD"/>
    <w:rsid w:val="001D3727"/>
    <w:rsid w:val="001E64B3"/>
    <w:rsid w:val="001E6D7E"/>
    <w:rsid w:val="001F45C7"/>
    <w:rsid w:val="0020324F"/>
    <w:rsid w:val="00206DA5"/>
    <w:rsid w:val="0020767F"/>
    <w:rsid w:val="002116D4"/>
    <w:rsid w:val="00222655"/>
    <w:rsid w:val="00236236"/>
    <w:rsid w:val="002504B9"/>
    <w:rsid w:val="00255910"/>
    <w:rsid w:val="002642BC"/>
    <w:rsid w:val="00265590"/>
    <w:rsid w:val="00265608"/>
    <w:rsid w:val="00271DEA"/>
    <w:rsid w:val="00271F5D"/>
    <w:rsid w:val="00291DB4"/>
    <w:rsid w:val="002A0D54"/>
    <w:rsid w:val="002A6E78"/>
    <w:rsid w:val="002B65A5"/>
    <w:rsid w:val="002C2B0A"/>
    <w:rsid w:val="002D3CF4"/>
    <w:rsid w:val="002E5551"/>
    <w:rsid w:val="002E5AE1"/>
    <w:rsid w:val="002E5B0C"/>
    <w:rsid w:val="002F3410"/>
    <w:rsid w:val="002F3DB1"/>
    <w:rsid w:val="003017AA"/>
    <w:rsid w:val="00304466"/>
    <w:rsid w:val="003124A2"/>
    <w:rsid w:val="003154A0"/>
    <w:rsid w:val="00320B5E"/>
    <w:rsid w:val="00331411"/>
    <w:rsid w:val="00333F71"/>
    <w:rsid w:val="00341C02"/>
    <w:rsid w:val="003439CF"/>
    <w:rsid w:val="0034766D"/>
    <w:rsid w:val="0035740C"/>
    <w:rsid w:val="00385BCA"/>
    <w:rsid w:val="00394938"/>
    <w:rsid w:val="0039518B"/>
    <w:rsid w:val="00396A0E"/>
    <w:rsid w:val="003B4244"/>
    <w:rsid w:val="003C2227"/>
    <w:rsid w:val="003C4CB8"/>
    <w:rsid w:val="003C6CB5"/>
    <w:rsid w:val="003C6F5A"/>
    <w:rsid w:val="003D11E1"/>
    <w:rsid w:val="003D5837"/>
    <w:rsid w:val="003E097B"/>
    <w:rsid w:val="003E7531"/>
    <w:rsid w:val="003E75D1"/>
    <w:rsid w:val="003E7BCD"/>
    <w:rsid w:val="003F2CEC"/>
    <w:rsid w:val="003F7B3D"/>
    <w:rsid w:val="00403C89"/>
    <w:rsid w:val="00410404"/>
    <w:rsid w:val="00444E0E"/>
    <w:rsid w:val="0044561C"/>
    <w:rsid w:val="00446FFD"/>
    <w:rsid w:val="00447300"/>
    <w:rsid w:val="00451768"/>
    <w:rsid w:val="00462D3D"/>
    <w:rsid w:val="004650F6"/>
    <w:rsid w:val="00472026"/>
    <w:rsid w:val="00474821"/>
    <w:rsid w:val="00475FFE"/>
    <w:rsid w:val="00491A37"/>
    <w:rsid w:val="004C3D51"/>
    <w:rsid w:val="004D25DC"/>
    <w:rsid w:val="004E2F19"/>
    <w:rsid w:val="004E2FB1"/>
    <w:rsid w:val="004E518C"/>
    <w:rsid w:val="004F6EA0"/>
    <w:rsid w:val="00501778"/>
    <w:rsid w:val="00507D02"/>
    <w:rsid w:val="00523179"/>
    <w:rsid w:val="00534C5C"/>
    <w:rsid w:val="00537B47"/>
    <w:rsid w:val="00543D8B"/>
    <w:rsid w:val="00554ED7"/>
    <w:rsid w:val="0057101E"/>
    <w:rsid w:val="005739CB"/>
    <w:rsid w:val="005748E9"/>
    <w:rsid w:val="00574AB1"/>
    <w:rsid w:val="0058575E"/>
    <w:rsid w:val="005915C0"/>
    <w:rsid w:val="005C1303"/>
    <w:rsid w:val="005C143B"/>
    <w:rsid w:val="005D3DA7"/>
    <w:rsid w:val="005D637A"/>
    <w:rsid w:val="005E5E80"/>
    <w:rsid w:val="005F17E3"/>
    <w:rsid w:val="005F6106"/>
    <w:rsid w:val="005F6958"/>
    <w:rsid w:val="006002AF"/>
    <w:rsid w:val="00600EEB"/>
    <w:rsid w:val="0060498E"/>
    <w:rsid w:val="00605907"/>
    <w:rsid w:val="00627BFB"/>
    <w:rsid w:val="006328C0"/>
    <w:rsid w:val="006342F8"/>
    <w:rsid w:val="00642ECB"/>
    <w:rsid w:val="00665402"/>
    <w:rsid w:val="006657E7"/>
    <w:rsid w:val="00667553"/>
    <w:rsid w:val="00670F6D"/>
    <w:rsid w:val="00681713"/>
    <w:rsid w:val="00690EC3"/>
    <w:rsid w:val="006946A9"/>
    <w:rsid w:val="006A6D6E"/>
    <w:rsid w:val="006B06D6"/>
    <w:rsid w:val="006B19D8"/>
    <w:rsid w:val="006B6C29"/>
    <w:rsid w:val="006C1E0A"/>
    <w:rsid w:val="006C4AEA"/>
    <w:rsid w:val="006D0537"/>
    <w:rsid w:val="006D240D"/>
    <w:rsid w:val="006F5423"/>
    <w:rsid w:val="00702FB1"/>
    <w:rsid w:val="00711589"/>
    <w:rsid w:val="00713D77"/>
    <w:rsid w:val="00717F78"/>
    <w:rsid w:val="00736A7A"/>
    <w:rsid w:val="0074252A"/>
    <w:rsid w:val="007512B7"/>
    <w:rsid w:val="00756B79"/>
    <w:rsid w:val="007633FE"/>
    <w:rsid w:val="00765FFB"/>
    <w:rsid w:val="00770032"/>
    <w:rsid w:val="00771DF7"/>
    <w:rsid w:val="00774137"/>
    <w:rsid w:val="0079378D"/>
    <w:rsid w:val="007A1067"/>
    <w:rsid w:val="007A10E6"/>
    <w:rsid w:val="007A3F8C"/>
    <w:rsid w:val="007A6B06"/>
    <w:rsid w:val="007A6B5C"/>
    <w:rsid w:val="007D564F"/>
    <w:rsid w:val="007D5AD4"/>
    <w:rsid w:val="007E1E01"/>
    <w:rsid w:val="007E769F"/>
    <w:rsid w:val="007E7843"/>
    <w:rsid w:val="007F0A77"/>
    <w:rsid w:val="007F531C"/>
    <w:rsid w:val="007F5F27"/>
    <w:rsid w:val="00813CCF"/>
    <w:rsid w:val="00813EB0"/>
    <w:rsid w:val="00814194"/>
    <w:rsid w:val="0081691B"/>
    <w:rsid w:val="00820CF4"/>
    <w:rsid w:val="00827401"/>
    <w:rsid w:val="00830C91"/>
    <w:rsid w:val="00831C10"/>
    <w:rsid w:val="008543FE"/>
    <w:rsid w:val="008635E0"/>
    <w:rsid w:val="00870AFE"/>
    <w:rsid w:val="00884BA0"/>
    <w:rsid w:val="00890018"/>
    <w:rsid w:val="0089410A"/>
    <w:rsid w:val="008A0D1F"/>
    <w:rsid w:val="008B078A"/>
    <w:rsid w:val="008B3742"/>
    <w:rsid w:val="008B5EB6"/>
    <w:rsid w:val="008C7621"/>
    <w:rsid w:val="008C7764"/>
    <w:rsid w:val="008D3546"/>
    <w:rsid w:val="008E26CF"/>
    <w:rsid w:val="008E558D"/>
    <w:rsid w:val="008E6696"/>
    <w:rsid w:val="008E728F"/>
    <w:rsid w:val="008F007A"/>
    <w:rsid w:val="008F7EC0"/>
    <w:rsid w:val="0090252A"/>
    <w:rsid w:val="0091265B"/>
    <w:rsid w:val="00922637"/>
    <w:rsid w:val="00922F46"/>
    <w:rsid w:val="00925A6B"/>
    <w:rsid w:val="0092658F"/>
    <w:rsid w:val="009433BF"/>
    <w:rsid w:val="00945B52"/>
    <w:rsid w:val="00946B5A"/>
    <w:rsid w:val="0096691B"/>
    <w:rsid w:val="00966A17"/>
    <w:rsid w:val="00972C77"/>
    <w:rsid w:val="00977F26"/>
    <w:rsid w:val="00980585"/>
    <w:rsid w:val="0099158E"/>
    <w:rsid w:val="00991846"/>
    <w:rsid w:val="00991FE3"/>
    <w:rsid w:val="00992709"/>
    <w:rsid w:val="0099779A"/>
    <w:rsid w:val="009A1B05"/>
    <w:rsid w:val="009A4C15"/>
    <w:rsid w:val="009A6057"/>
    <w:rsid w:val="009B2E75"/>
    <w:rsid w:val="009B7923"/>
    <w:rsid w:val="009C0774"/>
    <w:rsid w:val="009C6F49"/>
    <w:rsid w:val="009C7A11"/>
    <w:rsid w:val="009F0ECC"/>
    <w:rsid w:val="009F2E28"/>
    <w:rsid w:val="00A1562F"/>
    <w:rsid w:val="00A238C9"/>
    <w:rsid w:val="00A26A03"/>
    <w:rsid w:val="00A30E7A"/>
    <w:rsid w:val="00A3514E"/>
    <w:rsid w:val="00A351C5"/>
    <w:rsid w:val="00A44FA7"/>
    <w:rsid w:val="00A455DF"/>
    <w:rsid w:val="00A61D91"/>
    <w:rsid w:val="00A64B82"/>
    <w:rsid w:val="00A73EB2"/>
    <w:rsid w:val="00A76CA2"/>
    <w:rsid w:val="00A82693"/>
    <w:rsid w:val="00A8646A"/>
    <w:rsid w:val="00A90622"/>
    <w:rsid w:val="00AA26B9"/>
    <w:rsid w:val="00AB18B9"/>
    <w:rsid w:val="00AC72EC"/>
    <w:rsid w:val="00AD1194"/>
    <w:rsid w:val="00AE35F8"/>
    <w:rsid w:val="00AE7ACB"/>
    <w:rsid w:val="00AF0A79"/>
    <w:rsid w:val="00AF12F8"/>
    <w:rsid w:val="00B07A4A"/>
    <w:rsid w:val="00B14C0C"/>
    <w:rsid w:val="00B231EF"/>
    <w:rsid w:val="00B26F83"/>
    <w:rsid w:val="00B365FA"/>
    <w:rsid w:val="00B528AB"/>
    <w:rsid w:val="00B55641"/>
    <w:rsid w:val="00B609CA"/>
    <w:rsid w:val="00B62C8A"/>
    <w:rsid w:val="00B77348"/>
    <w:rsid w:val="00B846E1"/>
    <w:rsid w:val="00B913BF"/>
    <w:rsid w:val="00B92A88"/>
    <w:rsid w:val="00B968C6"/>
    <w:rsid w:val="00BA389C"/>
    <w:rsid w:val="00BA4549"/>
    <w:rsid w:val="00BA63A2"/>
    <w:rsid w:val="00BB2F95"/>
    <w:rsid w:val="00BB30E4"/>
    <w:rsid w:val="00BB31EB"/>
    <w:rsid w:val="00BB484E"/>
    <w:rsid w:val="00BB5A40"/>
    <w:rsid w:val="00BB6E5E"/>
    <w:rsid w:val="00BB77F0"/>
    <w:rsid w:val="00BC4008"/>
    <w:rsid w:val="00BD2088"/>
    <w:rsid w:val="00BD5A10"/>
    <w:rsid w:val="00C02017"/>
    <w:rsid w:val="00C07011"/>
    <w:rsid w:val="00C10AB0"/>
    <w:rsid w:val="00C11539"/>
    <w:rsid w:val="00C120F4"/>
    <w:rsid w:val="00C12A2D"/>
    <w:rsid w:val="00C16786"/>
    <w:rsid w:val="00C26EA9"/>
    <w:rsid w:val="00C31822"/>
    <w:rsid w:val="00C3227E"/>
    <w:rsid w:val="00C32F33"/>
    <w:rsid w:val="00C3449F"/>
    <w:rsid w:val="00C3727E"/>
    <w:rsid w:val="00C41B16"/>
    <w:rsid w:val="00C4235E"/>
    <w:rsid w:val="00C43F87"/>
    <w:rsid w:val="00C47348"/>
    <w:rsid w:val="00C960B9"/>
    <w:rsid w:val="00CB46B1"/>
    <w:rsid w:val="00CB5A59"/>
    <w:rsid w:val="00CB6C43"/>
    <w:rsid w:val="00CB70B5"/>
    <w:rsid w:val="00CC3276"/>
    <w:rsid w:val="00CC3871"/>
    <w:rsid w:val="00CD51B9"/>
    <w:rsid w:val="00CE0485"/>
    <w:rsid w:val="00CE74B3"/>
    <w:rsid w:val="00CF2AFE"/>
    <w:rsid w:val="00CF7346"/>
    <w:rsid w:val="00D02C0A"/>
    <w:rsid w:val="00D10BDB"/>
    <w:rsid w:val="00D13F8A"/>
    <w:rsid w:val="00D23C24"/>
    <w:rsid w:val="00D31E61"/>
    <w:rsid w:val="00D32B8F"/>
    <w:rsid w:val="00D32CE1"/>
    <w:rsid w:val="00D41F1A"/>
    <w:rsid w:val="00D44D57"/>
    <w:rsid w:val="00D451AF"/>
    <w:rsid w:val="00D4738D"/>
    <w:rsid w:val="00D6077F"/>
    <w:rsid w:val="00D6215A"/>
    <w:rsid w:val="00D74AF2"/>
    <w:rsid w:val="00D77F25"/>
    <w:rsid w:val="00D82083"/>
    <w:rsid w:val="00D918D5"/>
    <w:rsid w:val="00D94C80"/>
    <w:rsid w:val="00DA2824"/>
    <w:rsid w:val="00DA40F6"/>
    <w:rsid w:val="00DC1B08"/>
    <w:rsid w:val="00DD3815"/>
    <w:rsid w:val="00DD6C57"/>
    <w:rsid w:val="00DE487B"/>
    <w:rsid w:val="00DF1EA7"/>
    <w:rsid w:val="00DF41F6"/>
    <w:rsid w:val="00E17F93"/>
    <w:rsid w:val="00E31F15"/>
    <w:rsid w:val="00E34E4E"/>
    <w:rsid w:val="00E373FF"/>
    <w:rsid w:val="00E46F72"/>
    <w:rsid w:val="00E51451"/>
    <w:rsid w:val="00E53606"/>
    <w:rsid w:val="00E55718"/>
    <w:rsid w:val="00E667CE"/>
    <w:rsid w:val="00E73799"/>
    <w:rsid w:val="00E8439A"/>
    <w:rsid w:val="00E8614C"/>
    <w:rsid w:val="00E905BC"/>
    <w:rsid w:val="00E93374"/>
    <w:rsid w:val="00EA62D9"/>
    <w:rsid w:val="00EB1567"/>
    <w:rsid w:val="00EB64C0"/>
    <w:rsid w:val="00ED7C42"/>
    <w:rsid w:val="00EE4414"/>
    <w:rsid w:val="00F07C0E"/>
    <w:rsid w:val="00F17F3F"/>
    <w:rsid w:val="00F30DE1"/>
    <w:rsid w:val="00F35094"/>
    <w:rsid w:val="00F4501B"/>
    <w:rsid w:val="00F479D8"/>
    <w:rsid w:val="00F52671"/>
    <w:rsid w:val="00F60922"/>
    <w:rsid w:val="00F701A5"/>
    <w:rsid w:val="00F7233C"/>
    <w:rsid w:val="00F74684"/>
    <w:rsid w:val="00FA482B"/>
    <w:rsid w:val="00FA68CF"/>
    <w:rsid w:val="00FB5A01"/>
    <w:rsid w:val="00FD16B5"/>
    <w:rsid w:val="00FD4B8C"/>
    <w:rsid w:val="00FE77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35324"/>
  <w15:chartTrackingRefBased/>
  <w15:docId w15:val="{953E2CEF-7FA5-45C1-BBB9-4D8801DF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958"/>
  </w:style>
  <w:style w:type="paragraph" w:styleId="Heading1">
    <w:name w:val="heading 1"/>
    <w:basedOn w:val="Normal"/>
    <w:next w:val="Normal"/>
    <w:link w:val="Heading1Char"/>
    <w:uiPriority w:val="9"/>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F35094"/>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444E0E"/>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F3509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444E0E"/>
    <w:pPr>
      <w:keepNext/>
      <w:keepLines/>
      <w:spacing w:before="240" w:line="240" w:lineRule="atLeast"/>
      <w:outlineLvl w:val="5"/>
    </w:pPr>
    <w:rPr>
      <w:rFonts w:eastAsia="Times New Roman" w:cs="Times New Roman"/>
      <w:bCs/>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qFormat/>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nhideWhenUsed/>
    <w:rsid w:val="005F6958"/>
    <w:rPr>
      <w:vertAlign w:val="superscript"/>
    </w:rPr>
  </w:style>
  <w:style w:type="paragraph" w:styleId="FootnoteText">
    <w:name w:val="footnote text"/>
    <w:basedOn w:val="Normal"/>
    <w:link w:val="FootnoteTextChar"/>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F35094"/>
    <w:rPr>
      <w:rFonts w:eastAsia="Times New Roman" w:cs="Times New Roman"/>
      <w:b/>
      <w:bCs/>
      <w:color w:val="001871"/>
      <w:sz w:val="32"/>
      <w:szCs w:val="32"/>
    </w:rPr>
  </w:style>
  <w:style w:type="character" w:customStyle="1" w:styleId="Heading4Char">
    <w:name w:val="Heading 4 Char"/>
    <w:basedOn w:val="DefaultParagraphFont"/>
    <w:link w:val="Heading4"/>
    <w:rsid w:val="00444E0E"/>
    <w:rPr>
      <w:rFonts w:eastAsia="Cambria" w:cs="Times New Roman"/>
      <w:bCs/>
      <w:color w:val="001871"/>
      <w:sz w:val="28"/>
      <w:szCs w:val="26"/>
    </w:rPr>
  </w:style>
  <w:style w:type="character" w:customStyle="1" w:styleId="Heading5Char">
    <w:name w:val="Heading 5 Char"/>
    <w:basedOn w:val="DefaultParagraphFont"/>
    <w:link w:val="Heading5"/>
    <w:uiPriority w:val="9"/>
    <w:rsid w:val="00F35094"/>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444E0E"/>
    <w:pPr>
      <w:numPr>
        <w:numId w:val="11"/>
      </w:numPr>
      <w:spacing w:before="120" w:after="180" w:line="240" w:lineRule="atLeast"/>
    </w:pPr>
    <w:rPr>
      <w:rFonts w:eastAsia="Cambria" w:cs="Times New Roman"/>
    </w:rPr>
  </w:style>
  <w:style w:type="paragraph" w:customStyle="1" w:styleId="Numberbullet0">
    <w:name w:val="Number bullet"/>
    <w:basedOn w:val="ListBullet"/>
    <w:uiPriority w:val="3"/>
    <w:qFormat/>
    <w:rsid w:val="005F6958"/>
    <w:pPr>
      <w:numPr>
        <w:numId w:val="14"/>
      </w:numPr>
    </w:pPr>
  </w:style>
  <w:style w:type="paragraph" w:customStyle="1" w:styleId="Legislation-list">
    <w:name w:val="Legislation-list"/>
    <w:basedOn w:val="Numberbullet0"/>
    <w:qFormat/>
    <w:rsid w:val="005F6958"/>
    <w:pPr>
      <w:numPr>
        <w:numId w:val="4"/>
      </w:numPr>
      <w:jc w:val="center"/>
    </w:pPr>
    <w:rPr>
      <w:i/>
    </w:rPr>
  </w:style>
  <w:style w:type="paragraph" w:customStyle="1" w:styleId="ListBullet-dotick">
    <w:name w:val="List Bullet - do (tick)"/>
    <w:basedOn w:val="ListBullet"/>
    <w:autoRedefine/>
    <w:uiPriority w:val="1"/>
    <w:qFormat/>
    <w:rsid w:val="005F6958"/>
    <w:pPr>
      <w:tabs>
        <w:tab w:val="left" w:pos="425"/>
      </w:tabs>
    </w:pPr>
  </w:style>
  <w:style w:type="paragraph" w:customStyle="1" w:styleId="ListBullet-donotcross">
    <w:name w:val="List Bullet - do not (cross)"/>
    <w:basedOn w:val="ListBullet"/>
    <w:autoRedefine/>
    <w:uiPriority w:val="1"/>
    <w:qFormat/>
    <w:rsid w:val="005F6958"/>
    <w:pPr>
      <w:ind w:left="357" w:hanging="357"/>
    </w:pPr>
    <w:rPr>
      <w:rFonts w:eastAsiaTheme="minorHAnsi" w:cstheme="minorBidi"/>
      <w:szCs w:val="22"/>
    </w:rPr>
  </w:style>
  <w:style w:type="paragraph" w:styleId="ListBullet2">
    <w:name w:val="List Bullet 2"/>
    <w:basedOn w:val="Normal"/>
    <w:uiPriority w:val="2"/>
    <w:qFormat/>
    <w:rsid w:val="005F6958"/>
    <w:pPr>
      <w:numPr>
        <w:ilvl w:val="1"/>
        <w:numId w:val="11"/>
      </w:numPr>
      <w:spacing w:before="120" w:after="180" w:line="240" w:lineRule="atLeast"/>
    </w:pPr>
    <w:rPr>
      <w:rFonts w:eastAsia="Cambria" w:cs="Times New Roman"/>
      <w:color w:val="333F48"/>
    </w:rPr>
  </w:style>
  <w:style w:type="paragraph" w:styleId="ListBullet3">
    <w:name w:val="List Bullet 3"/>
    <w:basedOn w:val="Normal"/>
    <w:uiPriority w:val="2"/>
    <w:qFormat/>
    <w:rsid w:val="005F6958"/>
    <w:pPr>
      <w:numPr>
        <w:numId w:val="10"/>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2"/>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14"/>
      </w:numPr>
    </w:pPr>
  </w:style>
  <w:style w:type="paragraph" w:customStyle="1" w:styleId="Numberbullet3">
    <w:name w:val="Number bullet 3"/>
    <w:basedOn w:val="Normal"/>
    <w:uiPriority w:val="3"/>
    <w:qFormat/>
    <w:rsid w:val="005F6958"/>
    <w:pPr>
      <w:numPr>
        <w:numId w:val="13"/>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3"/>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444E0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44E0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uiPriority w:val="9"/>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ListBullet"/>
    <w:autoRedefine/>
    <w:uiPriority w:val="34"/>
    <w:qFormat/>
    <w:rsid w:val="00C47348"/>
    <w:pPr>
      <w:numPr>
        <w:numId w:val="32"/>
      </w:numPr>
      <w:spacing w:before="0" w:after="0" w:line="240" w:lineRule="auto"/>
      <w:ind w:left="709"/>
      <w:contextualSpacing/>
    </w:pPr>
  </w:style>
  <w:style w:type="paragraph" w:customStyle="1" w:styleId="Standard">
    <w:name w:val="Standard"/>
    <w:basedOn w:val="Normal"/>
    <w:link w:val="StandardChar"/>
    <w:qFormat/>
    <w:rsid w:val="00BB484E"/>
    <w:pPr>
      <w:spacing w:after="220" w:line="252" w:lineRule="auto"/>
    </w:pPr>
    <w:rPr>
      <w:rFonts w:ascii="Cambria" w:eastAsia="Times New Roman" w:hAnsi="Cambria" w:cs="Times New Roman"/>
      <w:snapToGrid w:val="0"/>
      <w:kern w:val="16"/>
      <w:sz w:val="23"/>
      <w:szCs w:val="24"/>
    </w:rPr>
  </w:style>
  <w:style w:type="character" w:customStyle="1" w:styleId="StandardChar">
    <w:name w:val="Standard Char"/>
    <w:basedOn w:val="DefaultParagraphFont"/>
    <w:link w:val="Standard"/>
    <w:rsid w:val="00BB484E"/>
    <w:rPr>
      <w:rFonts w:ascii="Cambria" w:eastAsia="Times New Roman" w:hAnsi="Cambria" w:cs="Times New Roman"/>
      <w:snapToGrid w:val="0"/>
      <w:kern w:val="16"/>
      <w:sz w:val="23"/>
      <w:szCs w:val="24"/>
    </w:rPr>
  </w:style>
  <w:style w:type="paragraph" w:customStyle="1" w:styleId="Stylesquaredot">
    <w:name w:val="Style square dot"/>
    <w:basedOn w:val="Normal"/>
    <w:link w:val="StylesquaredotChar"/>
    <w:qFormat/>
    <w:rsid w:val="00BB484E"/>
    <w:pPr>
      <w:numPr>
        <w:numId w:val="20"/>
      </w:numPr>
      <w:spacing w:before="120" w:after="180" w:line="240" w:lineRule="atLeast"/>
    </w:pPr>
    <w:rPr>
      <w:rFonts w:ascii="Cambria" w:eastAsia="Cambria" w:hAnsi="Cambria" w:cs="Times New Roman"/>
      <w:sz w:val="22"/>
      <w:szCs w:val="22"/>
    </w:rPr>
  </w:style>
  <w:style w:type="character" w:customStyle="1" w:styleId="StylesquaredotChar">
    <w:name w:val="Style square dot Char"/>
    <w:basedOn w:val="DefaultParagraphFont"/>
    <w:link w:val="Stylesquaredot"/>
    <w:rsid w:val="00BB484E"/>
    <w:rPr>
      <w:rFonts w:ascii="Cambria" w:eastAsia="Cambria" w:hAnsi="Cambria" w:cs="Times New Roman"/>
      <w:sz w:val="22"/>
      <w:szCs w:val="22"/>
    </w:rPr>
  </w:style>
  <w:style w:type="paragraph" w:styleId="Caption">
    <w:name w:val="caption"/>
    <w:basedOn w:val="Normal"/>
    <w:next w:val="Normal"/>
    <w:uiPriority w:val="35"/>
    <w:unhideWhenUsed/>
    <w:qFormat/>
    <w:rsid w:val="009433BF"/>
    <w:pPr>
      <w:spacing w:after="200" w:line="240" w:lineRule="auto"/>
    </w:pPr>
    <w:rPr>
      <w:i/>
      <w:iCs/>
      <w:color w:val="002C47" w:themeColor="text2"/>
      <w:sz w:val="18"/>
      <w:szCs w:val="18"/>
    </w:rPr>
  </w:style>
  <w:style w:type="paragraph" w:customStyle="1" w:styleId="Tabletext">
    <w:name w:val="Table text"/>
    <w:basedOn w:val="Standard"/>
    <w:link w:val="TabletextChar"/>
    <w:rsid w:val="009433BF"/>
    <w:pPr>
      <w:spacing w:line="210" w:lineRule="exact"/>
    </w:pPr>
    <w:rPr>
      <w:sz w:val="19"/>
      <w:szCs w:val="19"/>
    </w:rPr>
  </w:style>
  <w:style w:type="character" w:customStyle="1" w:styleId="TabletextChar">
    <w:name w:val="Table text Char"/>
    <w:basedOn w:val="DefaultParagraphFont"/>
    <w:link w:val="Tabletext"/>
    <w:rsid w:val="009433BF"/>
    <w:rPr>
      <w:rFonts w:ascii="Cambria" w:eastAsia="Times New Roman" w:hAnsi="Cambria" w:cs="Times New Roman"/>
      <w:snapToGrid w:val="0"/>
      <w:kern w:val="16"/>
      <w:sz w:val="19"/>
      <w:szCs w:val="19"/>
    </w:rPr>
  </w:style>
  <w:style w:type="paragraph" w:customStyle="1" w:styleId="TableCaption">
    <w:name w:val="Table Caption"/>
    <w:basedOn w:val="Standard"/>
    <w:next w:val="Standard"/>
    <w:link w:val="TableCaptionChar"/>
    <w:rsid w:val="009433BF"/>
    <w:pPr>
      <w:spacing w:before="60" w:after="440" w:line="215" w:lineRule="exact"/>
      <w:ind w:left="170"/>
    </w:pPr>
    <w:rPr>
      <w:sz w:val="18"/>
      <w:szCs w:val="19"/>
    </w:rPr>
  </w:style>
  <w:style w:type="character" w:customStyle="1" w:styleId="TableCaptionChar">
    <w:name w:val="Table Caption Char"/>
    <w:basedOn w:val="TabletextChar"/>
    <w:link w:val="TableCaption"/>
    <w:rsid w:val="009433BF"/>
    <w:rPr>
      <w:rFonts w:ascii="Cambria" w:eastAsia="Times New Roman" w:hAnsi="Cambria" w:cs="Times New Roman"/>
      <w:snapToGrid w:val="0"/>
      <w:kern w:val="16"/>
      <w:sz w:val="18"/>
      <w:szCs w:val="19"/>
    </w:rPr>
  </w:style>
  <w:style w:type="paragraph" w:customStyle="1" w:styleId="TableHeader">
    <w:name w:val="Table Header"/>
    <w:basedOn w:val="Normal"/>
    <w:rsid w:val="009433BF"/>
    <w:pPr>
      <w:keepNext/>
      <w:keepLines/>
      <w:widowControl w:val="0"/>
      <w:spacing w:before="60" w:after="60" w:line="200" w:lineRule="exact"/>
      <w:jc w:val="center"/>
    </w:pPr>
    <w:rPr>
      <w:rFonts w:ascii="Cambria" w:hAnsi="Cambria" w:cs="Times New Roman"/>
      <w:b/>
      <w:snapToGrid w:val="0"/>
      <w:kern w:val="2"/>
      <w:sz w:val="19"/>
      <w:szCs w:val="19"/>
    </w:rPr>
  </w:style>
  <w:style w:type="paragraph" w:customStyle="1" w:styleId="Tabletextleft">
    <w:name w:val="Table text (left)"/>
    <w:basedOn w:val="Tabletext"/>
    <w:rsid w:val="009433BF"/>
    <w:pPr>
      <w:spacing w:before="20" w:after="20" w:line="200" w:lineRule="exact"/>
      <w:ind w:left="57" w:right="57"/>
    </w:pPr>
    <w:rPr>
      <w:snapToGrid/>
      <w:sz w:val="18"/>
      <w:szCs w:val="18"/>
    </w:rPr>
  </w:style>
  <w:style w:type="paragraph" w:customStyle="1" w:styleId="Default">
    <w:name w:val="Default"/>
    <w:rsid w:val="00690EC3"/>
    <w:pPr>
      <w:autoSpaceDE w:val="0"/>
      <w:autoSpaceDN w:val="0"/>
      <w:adjustRightInd w:val="0"/>
      <w:spacing w:after="0" w:line="240" w:lineRule="auto"/>
    </w:pPr>
    <w:rPr>
      <w:rFonts w:ascii="Segoe UI Semilight" w:hAnsi="Segoe UI Semilight" w:cs="Segoe UI Semilight"/>
      <w:color w:val="000000"/>
      <w:sz w:val="24"/>
      <w:szCs w:val="24"/>
    </w:rPr>
  </w:style>
  <w:style w:type="paragraph" w:customStyle="1" w:styleId="Heading5sub">
    <w:name w:val="Heading 5sub"/>
    <w:basedOn w:val="Heading4"/>
    <w:link w:val="Heading5subChar"/>
    <w:qFormat/>
    <w:rsid w:val="00F17F3F"/>
    <w:rPr>
      <w:b/>
      <w:sz w:val="24"/>
    </w:rPr>
  </w:style>
  <w:style w:type="character" w:customStyle="1" w:styleId="Heading5subChar">
    <w:name w:val="Heading 5sub Char"/>
    <w:basedOn w:val="Heading4Char"/>
    <w:link w:val="Heading5sub"/>
    <w:rsid w:val="00F17F3F"/>
    <w:rPr>
      <w:rFonts w:eastAsia="Cambria" w:cs="Times New Roman"/>
      <w:b/>
      <w:bCs/>
      <w:color w:val="001871"/>
      <w:sz w:val="24"/>
      <w:szCs w:val="26"/>
    </w:rPr>
  </w:style>
  <w:style w:type="paragraph" w:customStyle="1" w:styleId="TableTitle0">
    <w:name w:val="Table Title"/>
    <w:basedOn w:val="Standard"/>
    <w:next w:val="Standard"/>
    <w:link w:val="TableTitleChar"/>
    <w:qFormat/>
    <w:rsid w:val="001B20AA"/>
    <w:pPr>
      <w:keepNext/>
      <w:spacing w:before="60" w:after="120"/>
      <w:ind w:left="964" w:hanging="851"/>
    </w:pPr>
    <w:rPr>
      <w:b/>
    </w:rPr>
  </w:style>
  <w:style w:type="character" w:customStyle="1" w:styleId="TableTitleChar">
    <w:name w:val="Table Title Char"/>
    <w:basedOn w:val="StandardChar"/>
    <w:link w:val="TableTitle0"/>
    <w:rsid w:val="001B20AA"/>
    <w:rPr>
      <w:rFonts w:ascii="Cambria" w:eastAsia="Times New Roman" w:hAnsi="Cambria" w:cs="Times New Roman"/>
      <w:b/>
      <w:snapToGrid w:val="0"/>
      <w:kern w:val="16"/>
      <w:sz w:val="23"/>
      <w:szCs w:val="24"/>
    </w:rPr>
  </w:style>
  <w:style w:type="paragraph" w:customStyle="1" w:styleId="WhiteSpace">
    <w:name w:val="White Space"/>
    <w:basedOn w:val="Standard"/>
    <w:link w:val="WhiteSpaceChar"/>
    <w:rsid w:val="005739CB"/>
    <w:pPr>
      <w:spacing w:after="0"/>
    </w:pPr>
    <w:rPr>
      <w:sz w:val="16"/>
      <w:szCs w:val="16"/>
    </w:rPr>
  </w:style>
  <w:style w:type="character" w:customStyle="1" w:styleId="WhiteSpaceChar">
    <w:name w:val="White Space Char"/>
    <w:basedOn w:val="TabletextChar"/>
    <w:link w:val="WhiteSpace"/>
    <w:rsid w:val="005739CB"/>
    <w:rPr>
      <w:rFonts w:ascii="Cambria" w:eastAsia="Times New Roman" w:hAnsi="Cambria" w:cs="Times New Roman"/>
      <w:snapToGrid w:val="0"/>
      <w:kern w:val="16"/>
      <w:sz w:val="16"/>
      <w:szCs w:val="16"/>
    </w:rPr>
  </w:style>
  <w:style w:type="character" w:styleId="CommentReference">
    <w:name w:val="annotation reference"/>
    <w:basedOn w:val="DefaultParagraphFont"/>
    <w:uiPriority w:val="99"/>
    <w:unhideWhenUsed/>
    <w:rsid w:val="00192721"/>
    <w:rPr>
      <w:sz w:val="16"/>
      <w:szCs w:val="16"/>
    </w:rPr>
  </w:style>
  <w:style w:type="character" w:styleId="UnresolvedMention">
    <w:name w:val="Unresolved Mention"/>
    <w:basedOn w:val="DefaultParagraphFont"/>
    <w:uiPriority w:val="99"/>
    <w:semiHidden/>
    <w:unhideWhenUsed/>
    <w:rsid w:val="002E5551"/>
    <w:rPr>
      <w:color w:val="605E5C"/>
      <w:shd w:val="clear" w:color="auto" w:fill="E1DFDD"/>
    </w:rPr>
  </w:style>
  <w:style w:type="character" w:styleId="FollowedHyperlink">
    <w:name w:val="FollowedHyperlink"/>
    <w:basedOn w:val="DefaultParagraphFont"/>
    <w:uiPriority w:val="99"/>
    <w:semiHidden/>
    <w:unhideWhenUsed/>
    <w:rsid w:val="00BB30E4"/>
    <w:rPr>
      <w:color w:val="6E2B62" w:themeColor="followedHyperlink"/>
      <w:u w:val="single"/>
    </w:rPr>
  </w:style>
  <w:style w:type="paragraph" w:styleId="Revision">
    <w:name w:val="Revision"/>
    <w:hidden/>
    <w:uiPriority w:val="99"/>
    <w:semiHidden/>
    <w:rsid w:val="00D74AF2"/>
    <w:pPr>
      <w:spacing w:after="0" w:line="240" w:lineRule="auto"/>
    </w:pPr>
  </w:style>
  <w:style w:type="paragraph" w:styleId="CommentText">
    <w:name w:val="annotation text"/>
    <w:basedOn w:val="Normal"/>
    <w:link w:val="CommentTextChar"/>
    <w:uiPriority w:val="99"/>
    <w:unhideWhenUsed/>
    <w:rsid w:val="00032E7F"/>
    <w:pPr>
      <w:spacing w:line="240" w:lineRule="auto"/>
    </w:pPr>
  </w:style>
  <w:style w:type="character" w:customStyle="1" w:styleId="CommentTextChar">
    <w:name w:val="Comment Text Char"/>
    <w:basedOn w:val="DefaultParagraphFont"/>
    <w:link w:val="CommentText"/>
    <w:uiPriority w:val="99"/>
    <w:rsid w:val="00032E7F"/>
  </w:style>
  <w:style w:type="paragraph" w:styleId="CommentSubject">
    <w:name w:val="annotation subject"/>
    <w:basedOn w:val="CommentText"/>
    <w:next w:val="CommentText"/>
    <w:link w:val="CommentSubjectChar"/>
    <w:uiPriority w:val="99"/>
    <w:semiHidden/>
    <w:unhideWhenUsed/>
    <w:rsid w:val="00032E7F"/>
    <w:rPr>
      <w:b/>
      <w:bCs/>
    </w:rPr>
  </w:style>
  <w:style w:type="character" w:customStyle="1" w:styleId="CommentSubjectChar">
    <w:name w:val="Comment Subject Char"/>
    <w:basedOn w:val="CommentTextChar"/>
    <w:link w:val="CommentSubject"/>
    <w:uiPriority w:val="99"/>
    <w:semiHidden/>
    <w:rsid w:val="00032E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425565">
      <w:bodyDiv w:val="1"/>
      <w:marLeft w:val="0"/>
      <w:marRight w:val="0"/>
      <w:marTop w:val="0"/>
      <w:marBottom w:val="0"/>
      <w:divBdr>
        <w:top w:val="none" w:sz="0" w:space="0" w:color="auto"/>
        <w:left w:val="none" w:sz="0" w:space="0" w:color="auto"/>
        <w:bottom w:val="none" w:sz="0" w:space="0" w:color="auto"/>
        <w:right w:val="none" w:sz="0" w:space="0" w:color="auto"/>
      </w:divBdr>
    </w:div>
    <w:div w:id="135338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image" Target="media/image2.jpeg"/><Relationship Id="rId42" Type="http://schemas.openxmlformats.org/officeDocument/2006/relationships/hyperlink" Target="https://cfpub.epa.gov/ncea/iris_drafts/atoz.cfm" TargetMode="External"/><Relationship Id="rId47" Type="http://schemas.openxmlformats.org/officeDocument/2006/relationships/hyperlink" Target="https://echa.europa.eu/web/guest/information-on-chemicals/registered-substances" TargetMode="External"/><Relationship Id="rId63" Type="http://schemas.openxmlformats.org/officeDocument/2006/relationships/hyperlink" Target="https://www.canada.ca/en/health-canada/services/drugs-health-products/compliance-enforcement/information-health-product/drugs/active-ingredients.html" TargetMode="External"/><Relationship Id="rId68" Type="http://schemas.openxmlformats.org/officeDocument/2006/relationships/header" Target="header1.xml"/><Relationship Id="rId84" Type="http://schemas.openxmlformats.org/officeDocument/2006/relationships/hyperlink" Target="https://www.industrialchemicals.gov.au/sites/default/files/2-Propenoic%20acid%2C%203-%284-methoxyphenyl%29-%2C%202-ethylhexyl%20ester_Human%20health%20tier%20II%20assessment.pdf" TargetMode="External"/><Relationship Id="rId89" Type="http://schemas.openxmlformats.org/officeDocument/2006/relationships/hyperlink" Target="https://ec.europa.eu/health/ph_risk/committees/04_sccp/docs/sccp_o_159.pdf" TargetMode="External"/><Relationship Id="rId7" Type="http://schemas.openxmlformats.org/officeDocument/2006/relationships/endnotes" Target="endnotes.xml"/><Relationship Id="rId71" Type="http://schemas.openxmlformats.org/officeDocument/2006/relationships/hyperlink" Target="http://www.cend.dk/files/UV-filter-rapport-28022013_40s388pi.pdf" TargetMode="External"/><Relationship Id="rId92" Type="http://schemas.openxmlformats.org/officeDocument/2006/relationships/hyperlink" Target="https://health.ec.europa.eu/document/download/89af1a70-a2b1-44da-a868-e7d80a8e736c_en?filename=sccs_o_250.pdf" TargetMode="External"/><Relationship Id="rId2" Type="http://schemas.openxmlformats.org/officeDocument/2006/relationships/numbering" Target="numbering.xml"/><Relationship Id="rId16" Type="http://schemas.openxmlformats.org/officeDocument/2006/relationships/hyperlink" Target="https://eur-lex.europa.eu/legal-content/EN/TXT/?uri=celex%3A32022R1176" TargetMode="External"/><Relationship Id="rId29" Type="http://schemas.openxmlformats.org/officeDocument/2006/relationships/image" Target="cid:image002.png@01DBAD38.F2DA7AE0" TargetMode="External"/><Relationship Id="rId11" Type="http://schemas.openxmlformats.org/officeDocument/2006/relationships/hyperlink" Target="http://www.tga.gov.au/about/compliance.htm" TargetMode="External"/><Relationship Id="rId24" Type="http://schemas.openxmlformats.org/officeDocument/2006/relationships/image" Target="media/image5.png"/><Relationship Id="rId32" Type="http://schemas.openxmlformats.org/officeDocument/2006/relationships/hyperlink" Target="file:///C:\Users\chiliz\AppData\Local\Microsoft\Windows\INetCache\Content.Outlook\28EUL09Q\WHO" TargetMode="External"/><Relationship Id="rId37" Type="http://schemas.openxmlformats.org/officeDocument/2006/relationships/hyperlink" Target="https://www.cdc.gov/niosh/index.htm" TargetMode="External"/><Relationship Id="rId40" Type="http://schemas.openxmlformats.org/officeDocument/2006/relationships/hyperlink" Target="http://ctdbase.org/" TargetMode="External"/><Relationship Id="rId45" Type="http://schemas.openxmlformats.org/officeDocument/2006/relationships/hyperlink" Target="https://cfpub.epa.gov/si/" TargetMode="External"/><Relationship Id="rId53" Type="http://schemas.openxmlformats.org/officeDocument/2006/relationships/hyperlink" Target="http://www.nst.dk" TargetMode="External"/><Relationship Id="rId58" Type="http://schemas.openxmlformats.org/officeDocument/2006/relationships/hyperlink" Target="http://www.chemsec.org" TargetMode="External"/><Relationship Id="rId66" Type="http://schemas.openxmlformats.org/officeDocument/2006/relationships/hyperlink" Target="http://www.iter.tera.org/" TargetMode="External"/><Relationship Id="rId74" Type="http://schemas.openxmlformats.org/officeDocument/2006/relationships/hyperlink" Target="https://ec.europa.eu/health/scientific_committees/environmental_risks/opinions/sctee/sct_out110_en.htm" TargetMode="External"/><Relationship Id="rId79" Type="http://schemas.openxmlformats.org/officeDocument/2006/relationships/hyperlink" Target="https://echa.europa.eu/registration-dossier/-/registered-dossier/14835/1" TargetMode="External"/><Relationship Id="rId87" Type="http://schemas.openxmlformats.org/officeDocument/2006/relationships/hyperlink" Target="https://ec.europa.eu/health/ph_risk/committees/04_sccp/docs/sccp_o_079.pdf" TargetMode="External"/><Relationship Id="rId102" Type="http://schemas.openxmlformats.org/officeDocument/2006/relationships/hyperlink" Target="https://www.govinfo.gov/content/pkg/FR-1995-07-17/pdf/95-17435.pdf.%20Published%20July%2017" TargetMode="External"/><Relationship Id="rId5" Type="http://schemas.openxmlformats.org/officeDocument/2006/relationships/webSettings" Target="webSettings.xml"/><Relationship Id="rId61" Type="http://schemas.openxmlformats.org/officeDocument/2006/relationships/hyperlink" Target="http://hcis.safeworkaustralia.gov.au/" TargetMode="External"/><Relationship Id="rId82" Type="http://schemas.openxmlformats.org/officeDocument/2006/relationships/hyperlink" Target="https://echa.europa.eu/registration-dossier/-/registered-dossier/14858/7/6/1" TargetMode="External"/><Relationship Id="rId90" Type="http://schemas.openxmlformats.org/officeDocument/2006/relationships/hyperlink" Target="https://ec.europa.eu/health/scientific_committees/consumer_safety/docs/sccs_o_190.pdf" TargetMode="External"/><Relationship Id="rId95" Type="http://schemas.openxmlformats.org/officeDocument/2006/relationships/hyperlink" Target="https://ec.europa.eu/health/sites/health/files/scientific_committees/consumer_safety/docs/sccs_o_249.pdf" TargetMode="External"/><Relationship Id="rId19" Type="http://schemas.openxmlformats.org/officeDocument/2006/relationships/hyperlink" Target="https://consultations.tga.gov.au/tga/proposed-model-for-assessing-sunscreen-ingredients/user_uploads/australian-sunscreen-exposure-model---tga-public-consultation-paper---2-july-2024.pdf" TargetMode="External"/><Relationship Id="rId14" Type="http://schemas.openxmlformats.org/officeDocument/2006/relationships/hyperlink" Target="https://health.ec.europa.eu/document/download/40b8ecf8-7c93-4a7b-b257-1fc16533ba31_en?filename=sccs_o_260.pdf" TargetMode="External"/><Relationship Id="rId22" Type="http://schemas.openxmlformats.org/officeDocument/2006/relationships/image" Target="media/image3.png"/><Relationship Id="rId27" Type="http://schemas.openxmlformats.org/officeDocument/2006/relationships/hyperlink" Target="https://consultations.tga.gov.au/tga/proposed-model-for-assessing-sunscreen-ingredients/user_uploads/australian-sunscreen-exposure-model---tga-public-consultation-paper---2-july-2024.pdf" TargetMode="External"/><Relationship Id="rId30" Type="http://schemas.openxmlformats.org/officeDocument/2006/relationships/image" Target="media/image9.png"/><Relationship Id="rId35" Type="http://schemas.openxmlformats.org/officeDocument/2006/relationships/hyperlink" Target="https://jr.chemwatch.net/chemwatch.web/account/login?ReturnUrl=%2fchemwatch.web%2fhome" TargetMode="External"/><Relationship Id="rId43" Type="http://schemas.openxmlformats.org/officeDocument/2006/relationships/hyperlink" Target="https://www.epa.gov/iris" TargetMode="External"/><Relationship Id="rId48" Type="http://schemas.openxmlformats.org/officeDocument/2006/relationships/hyperlink" Target="https://op.europa.eu/en/" TargetMode="External"/><Relationship Id="rId56" Type="http://schemas.openxmlformats.org/officeDocument/2006/relationships/hyperlink" Target="http://www.anses.fr" TargetMode="External"/><Relationship Id="rId64" Type="http://schemas.openxmlformats.org/officeDocument/2006/relationships/hyperlink" Target="https://www.ewg.org/" TargetMode="External"/><Relationship Id="rId69" Type="http://schemas.openxmlformats.org/officeDocument/2006/relationships/footer" Target="footer1.xml"/><Relationship Id="rId77" Type="http://schemas.openxmlformats.org/officeDocument/2006/relationships/hyperlink" Target="https://ec.europa.eu/growth/content/call-data-ingredients-potential-endocrine-disrupting-properties-used-cosmetic-products-0_en" TargetMode="External"/><Relationship Id="rId100" Type="http://schemas.openxmlformats.org/officeDocument/2006/relationships/hyperlink" Target="https://www.fda.gov/media/125080/download" TargetMode="External"/><Relationship Id="rId105" Type="http://schemas.openxmlformats.org/officeDocument/2006/relationships/fontTable" Target="fontTable.xml"/><Relationship Id="rId8" Type="http://schemas.openxmlformats.org/officeDocument/2006/relationships/hyperlink" Target="mailto:tga.copyright@tga.gov.au" TargetMode="External"/><Relationship Id="rId51" Type="http://schemas.openxmlformats.org/officeDocument/2006/relationships/hyperlink" Target="https://hpvchemicals.oecd.org" TargetMode="External"/><Relationship Id="rId72" Type="http://schemas.openxmlformats.org/officeDocument/2006/relationships/hyperlink" Target="http://www.fda.gov/ohrms/dockets/dailys/04/july04/070804/03n-0233-sup0002-018-tab-16-vol3.pdf" TargetMode="External"/><Relationship Id="rId80" Type="http://schemas.openxmlformats.org/officeDocument/2006/relationships/hyperlink" Target="https://echa.europEHa.eu/registration-dossier/-/registered-dossier/14255/7/2/1" TargetMode="External"/><Relationship Id="rId85" Type="http://schemas.openxmlformats.org/officeDocument/2006/relationships/hyperlink" Target="https://ec.europa.eu/health/scientific_committees/consumer_safety/docs/scc_o_9.pdf" TargetMode="External"/><Relationship Id="rId93" Type="http://schemas.openxmlformats.org/officeDocument/2006/relationships/hyperlink" Target="https://health.ec.europa.eu/system/files/2022-08/sccs_o_244.pdf" TargetMode="External"/><Relationship Id="rId98" Type="http://schemas.openxmlformats.org/officeDocument/2006/relationships/hyperlink" Target="https://www.legislation.gov.au/Details/F2020L01612/Html/Volume_4" TargetMode="External"/><Relationship Id="rId3" Type="http://schemas.openxmlformats.org/officeDocument/2006/relationships/styles" Target="styles.xml"/><Relationship Id="rId12" Type="http://schemas.openxmlformats.org/officeDocument/2006/relationships/hyperlink" Target="https://www.tga.gov.au/hubs/compliance-and-enforcement/compliance-management" TargetMode="External"/><Relationship Id="rId17" Type="http://schemas.openxmlformats.org/officeDocument/2006/relationships/hyperlink" Target="https://eur-lex.europa.eu/legal-content/EN/TXT/PDF/?uri=CELEX:32022R2195&amp;from=EN" TargetMode="External"/><Relationship Id="rId25" Type="http://schemas.openxmlformats.org/officeDocument/2006/relationships/image" Target="media/image6.emf"/><Relationship Id="rId33" Type="http://schemas.openxmlformats.org/officeDocument/2006/relationships/hyperlink" Target="https://www.who.int/" TargetMode="External"/><Relationship Id="rId38" Type="http://schemas.openxmlformats.org/officeDocument/2006/relationships/hyperlink" Target="https://ntp.niehs.nih.gov/nctr/" TargetMode="External"/><Relationship Id="rId46" Type="http://schemas.openxmlformats.org/officeDocument/2006/relationships/hyperlink" Target="https://www.cancerresearchuk.org/" TargetMode="External"/><Relationship Id="rId59" Type="http://schemas.openxmlformats.org/officeDocument/2006/relationships/hyperlink" Target="http://www.forbrugerkemi.dk" TargetMode="External"/><Relationship Id="rId67" Type="http://schemas.openxmlformats.org/officeDocument/2006/relationships/hyperlink" Target="https://www.cir-safety.org/" TargetMode="External"/><Relationship Id="rId103" Type="http://schemas.openxmlformats.org/officeDocument/2006/relationships/header" Target="header3.xml"/><Relationship Id="rId20" Type="http://schemas.openxmlformats.org/officeDocument/2006/relationships/image" Target="media/image1.png"/><Relationship Id="rId41" Type="http://schemas.openxmlformats.org/officeDocument/2006/relationships/hyperlink" Target="https://www.whatsinproducts.com/" TargetMode="External"/><Relationship Id="rId54" Type="http://schemas.openxmlformats.org/officeDocument/2006/relationships/hyperlink" Target="http://www.kemi.se" TargetMode="External"/><Relationship Id="rId62" Type="http://schemas.openxmlformats.org/officeDocument/2006/relationships/hyperlink" Target="https://www.drugbank.ca/" TargetMode="External"/><Relationship Id="rId70" Type="http://schemas.openxmlformats.org/officeDocument/2006/relationships/header" Target="header2.xml"/><Relationship Id="rId75" Type="http://schemas.openxmlformats.org/officeDocument/2006/relationships/hyperlink" Target="https://www.cir-safety.org/sites/default/files/salicy042019FAR.pdf" TargetMode="External"/><Relationship Id="rId83" Type="http://schemas.openxmlformats.org/officeDocument/2006/relationships/hyperlink" Target="https://echa.europa.eu/substance-information/-/substanceinfo/100.024.341" TargetMode="External"/><Relationship Id="rId88" Type="http://schemas.openxmlformats.org/officeDocument/2006/relationships/hyperlink" Target="https://ec.europa.eu/health/ph_risk/committees/04_sccp/docs/sccp_o_097.pdf" TargetMode="External"/><Relationship Id="rId91" Type="http://schemas.openxmlformats.org/officeDocument/2006/relationships/hyperlink" Target="https://health.ec.europa.eu/publications/sccs-notes-guidance-testing-cosmetic-ingredients-and-their-safety-evaluation-10th-revision_en" TargetMode="External"/><Relationship Id="rId96" Type="http://schemas.openxmlformats.org/officeDocument/2006/relationships/hyperlink" Target="https://ec.europa.eu/health/sites/health/files/scientific_committees/consumer_safety/docs/sccs_o_247.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c.europa.eu/health/sites/health/files/scientific_committees/consumer_safety/docs/sccs_o_249.pdf" TargetMode="External"/><Relationship Id="rId23" Type="http://schemas.openxmlformats.org/officeDocument/2006/relationships/image" Target="media/image4.png"/><Relationship Id="rId28" Type="http://schemas.openxmlformats.org/officeDocument/2006/relationships/image" Target="media/image8.png"/><Relationship Id="rId36" Type="http://schemas.openxmlformats.org/officeDocument/2006/relationships/hyperlink" Target="http://www.epa.gov" TargetMode="External"/><Relationship Id="rId49" Type="http://schemas.openxmlformats.org/officeDocument/2006/relationships/hyperlink" Target="http://www.rivm.nl" TargetMode="External"/><Relationship Id="rId57" Type="http://schemas.openxmlformats.org/officeDocument/2006/relationships/hyperlink" Target="http://www.environment-agency.gov.uk" TargetMode="External"/><Relationship Id="rId106" Type="http://schemas.openxmlformats.org/officeDocument/2006/relationships/theme" Target="theme/theme1.xml"/><Relationship Id="rId10" Type="http://schemas.openxmlformats.org/officeDocument/2006/relationships/hyperlink" Target="https://www.legislation.gov.au/F2025L00212/asmade/text" TargetMode="External"/><Relationship Id="rId31" Type="http://schemas.openxmlformats.org/officeDocument/2006/relationships/image" Target="cid:image004.png@01DBAD38.F2DA7AE0" TargetMode="External"/><Relationship Id="rId44" Type="http://schemas.openxmlformats.org/officeDocument/2006/relationships/hyperlink" Target="https://chemview.epa.gov/chemview/" TargetMode="External"/><Relationship Id="rId52" Type="http://schemas.openxmlformats.org/officeDocument/2006/relationships/hyperlink" Target="http://www.mst.dk" TargetMode="External"/><Relationship Id="rId60" Type="http://schemas.openxmlformats.org/officeDocument/2006/relationships/hyperlink" Target="https://www.rivm.nl/en" TargetMode="External"/><Relationship Id="rId65" Type="http://schemas.openxmlformats.org/officeDocument/2006/relationships/hyperlink" Target="https://www.foodpackagingforum.org/" TargetMode="External"/><Relationship Id="rId73" Type="http://schemas.openxmlformats.org/officeDocument/2006/relationships/hyperlink" Target="https://www.cancer.org.au/preventing-cancer/sun-protection/preventing-skincancer/spf50sunscreen.html" TargetMode="External"/><Relationship Id="rId78" Type="http://schemas.openxmlformats.org/officeDocument/2006/relationships/hyperlink" Target="https://echa.europa.eu/fr/registration-dossier/-/registered-dossier/14858/7/2/1" TargetMode="External"/><Relationship Id="rId81" Type="http://schemas.openxmlformats.org/officeDocument/2006/relationships/hyperlink" Target="https://echa.europa.eu/el/registration-dossier/-/registered-dossier/13246" TargetMode="External"/><Relationship Id="rId86" Type="http://schemas.openxmlformats.org/officeDocument/2006/relationships/hyperlink" Target="https://ec.europa.eu/health/ph_risk/committees/04_sccp/docs/sccp_o_078.pdf" TargetMode="External"/><Relationship Id="rId94" Type="http://schemas.openxmlformats.org/officeDocument/2006/relationships/hyperlink" Target="https://health.ec.europa.eu/system/files/2022-08/sccs_o_260.pdf" TargetMode="External"/><Relationship Id="rId99" Type="http://schemas.openxmlformats.org/officeDocument/2006/relationships/hyperlink" Target="https://www2.mst.dk/Udgiv/publications/2015/10/978-87-93352-82-7.pdf" TargetMode="External"/><Relationship Id="rId101" Type="http://schemas.openxmlformats.org/officeDocument/2006/relationships/hyperlink" Target="https://www.federalregister.gov/documents/2019/02/26/2019-03019/sunscreen-drug-products-for-over-the-counter-human-use" TargetMode="External"/><Relationship Id="rId4" Type="http://schemas.openxmlformats.org/officeDocument/2006/relationships/settings" Target="settings.xml"/><Relationship Id="rId9" Type="http://schemas.openxmlformats.org/officeDocument/2006/relationships/hyperlink" Target="https://store.standards.org.au/product/as-nzs-2604-2021" TargetMode="External"/><Relationship Id="rId13" Type="http://schemas.openxmlformats.org/officeDocument/2006/relationships/hyperlink" Target="https://ec.europa.eu/health/sites/health/files/scientific_committees/consumer_safety/docs/sccs_o_247.pdf" TargetMode="External"/><Relationship Id="rId18" Type="http://schemas.openxmlformats.org/officeDocument/2006/relationships/hyperlink" Target="https://eur-lex.europa.eu/legal-content/EN/TXT/?uri=celex%3A32022R1176" TargetMode="External"/><Relationship Id="rId39" Type="http://schemas.openxmlformats.org/officeDocument/2006/relationships/hyperlink" Target="https://ntp.niehs.nih.gov/publications/index.html" TargetMode="External"/><Relationship Id="rId34" Type="http://schemas.openxmlformats.org/officeDocument/2006/relationships/hyperlink" Target="https://pubchem.ncbi.nlm.nih.gov" TargetMode="External"/><Relationship Id="rId50" Type="http://schemas.openxmlformats.org/officeDocument/2006/relationships/hyperlink" Target="https://cosmeticseurope.eu/library/" TargetMode="External"/><Relationship Id="rId55" Type="http://schemas.openxmlformats.org/officeDocument/2006/relationships/hyperlink" Target="http://www.miljodirektoratet.no" TargetMode="External"/><Relationship Id="rId76" Type="http://schemas.openxmlformats.org/officeDocument/2006/relationships/hyperlink" Target="https://eur-lex.europa.eu/LexUriServ/LexUriServ.do?uri=OJ:L:2006:265:0039:0043:en:PDF" TargetMode="External"/><Relationship Id="rId97" Type="http://schemas.openxmlformats.org/officeDocument/2006/relationships/hyperlink" Target="https://health.ec.europa.eu/document/download/5488f129-dd92-42fc-b7f5-21e1ac37ef3d_en" TargetMode="External"/><Relationship Id="rId10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el://D25-2148966?db=A7&amp;open" TargetMode="External"/><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hlw.go.jp/english/dl/cosmetics.pdf" TargetMode="External"/><Relationship Id="rId2" Type="http://schemas.openxmlformats.org/officeDocument/2006/relationships/hyperlink" Target="http://webprod.hc-sc.gc.ca/nhpid-bdipsn/atReq.do?atid=sunscreen-ecransolaire&amp;lang=eng" TargetMode="External"/><Relationship Id="rId1" Type="http://schemas.openxmlformats.org/officeDocument/2006/relationships/hyperlink" Target="https://www.tga.gov.au/publication/comparable-overseas-bodies-cobs-complementary-medicines" TargetMode="External"/><Relationship Id="rId6" Type="http://schemas.openxmlformats.org/officeDocument/2006/relationships/hyperlink" Target="https://www.legislation.gov.au/Details/F2021L01108" TargetMode="External"/><Relationship Id="rId5" Type="http://schemas.openxmlformats.org/officeDocument/2006/relationships/hyperlink" Target="https://ec.europa.eu/health/ph_risk/committees/04_sccp/sccp_opinions_en.htm" TargetMode="External"/><Relationship Id="rId4" Type="http://schemas.openxmlformats.org/officeDocument/2006/relationships/hyperlink" Target="https://consultations.tga.gov.au/tga/proposed-model-for-assessing-sunscreen-ingredients/user_uploads/australian-sunscreen-exposure-model---tga-public-consultation-paper---2-july-2024.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EB4D7-4954-4AE8-B2A9-DBE41275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1988</TotalTime>
  <Pages>74</Pages>
  <Words>31112</Words>
  <Characters>177342</Characters>
  <Application>Microsoft Office Word</Application>
  <DocSecurity>0</DocSecurity>
  <Lines>1477</Lines>
  <Paragraphs>416</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208038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review of seven active sunscreen ingredients</dc:title>
  <dc:subject/>
  <dc:creator>Therapeutic Goods Administration</dc:creator>
  <cp:keywords/>
  <dc:description/>
  <cp:lastModifiedBy>PITKIN, Brendan</cp:lastModifiedBy>
  <cp:revision>146</cp:revision>
  <cp:lastPrinted>2025-07-08T00:05:00Z</cp:lastPrinted>
  <dcterms:created xsi:type="dcterms:W3CDTF">2025-05-19T02:09:00Z</dcterms:created>
  <dcterms:modified xsi:type="dcterms:W3CDTF">2025-07-08T00:05:00Z</dcterms:modified>
</cp:coreProperties>
</file>