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4761" w14:textId="0A42C5C0" w:rsidR="00375DF3" w:rsidRPr="00071855" w:rsidRDefault="00375DF3" w:rsidP="006018AE">
      <w:pPr>
        <w:tabs>
          <w:tab w:val="left" w:pos="284"/>
        </w:tabs>
        <w:spacing w:after="480" w:line="240" w:lineRule="auto"/>
        <w:rPr>
          <w:rFonts w:ascii="Arial" w:hAnsi="Arial" w:cs="Arial"/>
        </w:rPr>
      </w:pPr>
      <w:r w:rsidRPr="00071855">
        <w:rPr>
          <w:rFonts w:ascii="Arial" w:hAnsi="Arial" w:cs="Arial"/>
          <w:noProof/>
          <w:lang w:eastAsia="en-AU"/>
        </w:rPr>
        <mc:AlternateContent>
          <mc:Choice Requires="wps">
            <w:drawing>
              <wp:inline distT="0" distB="0" distL="0" distR="0" wp14:anchorId="4CD9C58C" wp14:editId="597C762E">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3833F" w14:textId="77777777" w:rsidR="00375DF3" w:rsidRPr="00BE2A26" w:rsidRDefault="00BE2A26"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CD9C58C"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2EB3833F" w14:textId="77777777" w:rsidR="00375DF3" w:rsidRPr="00BE2A26" w:rsidRDefault="00BE2A26"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071855">
        <w:rPr>
          <w:rFonts w:ascii="Arial" w:hAnsi="Arial"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071855">
          <w:rPr>
            <w:rStyle w:val="Hyperlink"/>
            <w:rFonts w:ascii="Arial" w:hAnsi="Arial" w:cs="Arial"/>
          </w:rPr>
          <w:t>www.tga.gov.au/reporting-problems</w:t>
        </w:r>
      </w:hyperlink>
      <w:r w:rsidRPr="00071855">
        <w:rPr>
          <w:rFonts w:ascii="Arial" w:hAnsi="Arial" w:cs="Arial"/>
        </w:rPr>
        <w:t>.</w:t>
      </w:r>
      <w:r w:rsidR="001E3868">
        <w:rPr>
          <w:rFonts w:ascii="Arial" w:hAnsi="Arial" w:cs="Arial"/>
        </w:rPr>
        <w:t xml:space="preserve"> </w:t>
      </w:r>
    </w:p>
    <w:p w14:paraId="1B3B4502" w14:textId="11759853" w:rsidR="00622066" w:rsidRPr="005E53D5" w:rsidRDefault="00C327ED" w:rsidP="006E595D">
      <w:pPr>
        <w:pStyle w:val="Heading1"/>
        <w:numPr>
          <w:ilvl w:val="0"/>
          <w:numId w:val="0"/>
        </w:numPr>
        <w:spacing w:after="240"/>
        <w:jc w:val="center"/>
        <w:rPr>
          <w:rFonts w:ascii="Arial" w:eastAsia="SimSun" w:hAnsi="Arial" w:cs="Arial"/>
        </w:rPr>
      </w:pPr>
      <w:r w:rsidRPr="005E53D5">
        <w:rPr>
          <w:rFonts w:ascii="Arial" w:eastAsia="SimSun" w:hAnsi="Arial" w:cs="Arial"/>
        </w:rPr>
        <w:t>Australian PRODUCT INFORMATION</w:t>
      </w:r>
      <w:r w:rsidR="00CE6790" w:rsidRPr="005E53D5">
        <w:rPr>
          <w:rFonts w:ascii="Arial" w:eastAsia="SimSun" w:hAnsi="Arial" w:cs="Arial"/>
        </w:rPr>
        <w:fldChar w:fldCharType="begin"/>
      </w:r>
      <w:r w:rsidR="00CE6790" w:rsidRPr="005E53D5">
        <w:rPr>
          <w:rFonts w:ascii="Arial" w:eastAsia="SimSun" w:hAnsi="Arial" w:cs="Arial"/>
        </w:rPr>
        <w:instrText xml:space="preserve"> DOCVARIABLE VAULT_ND_5ba3bf49-9461-4237-af0b-21fe1ce61753 \* MERGEFORMAT </w:instrText>
      </w:r>
      <w:r w:rsidR="00CE6790" w:rsidRPr="005E53D5">
        <w:rPr>
          <w:rFonts w:ascii="Arial" w:eastAsia="SimSun" w:hAnsi="Arial" w:cs="Arial"/>
        </w:rPr>
        <w:fldChar w:fldCharType="separate"/>
      </w:r>
      <w:r w:rsidR="00CE6790" w:rsidRPr="005E53D5">
        <w:rPr>
          <w:rFonts w:ascii="Arial" w:eastAsia="SimSun" w:hAnsi="Arial" w:cs="Arial"/>
        </w:rPr>
        <w:t xml:space="preserve"> </w:t>
      </w:r>
      <w:r w:rsidR="00CE6790" w:rsidRPr="005E53D5">
        <w:rPr>
          <w:rFonts w:ascii="Arial" w:eastAsia="SimSun" w:hAnsi="Arial" w:cs="Arial"/>
        </w:rPr>
        <w:fldChar w:fldCharType="end"/>
      </w:r>
    </w:p>
    <w:p w14:paraId="4BD31F70" w14:textId="6B506360" w:rsidR="006018AE" w:rsidRPr="00071855" w:rsidRDefault="00357769" w:rsidP="00622066">
      <w:pPr>
        <w:pStyle w:val="Heading1"/>
        <w:numPr>
          <w:ilvl w:val="0"/>
          <w:numId w:val="0"/>
        </w:numPr>
        <w:spacing w:before="240" w:after="240"/>
        <w:jc w:val="center"/>
        <w:rPr>
          <w:rFonts w:ascii="Arial" w:eastAsia="SimSun" w:hAnsi="Arial" w:cs="Arial"/>
        </w:rPr>
      </w:pPr>
      <w:r>
        <w:rPr>
          <w:rFonts w:ascii="Arial" w:eastAsia="SimSun" w:hAnsi="Arial" w:cs="Arial"/>
        </w:rPr>
        <w:t>omjjara</w:t>
      </w:r>
      <w:r w:rsidR="00AF238D" w:rsidRPr="00071855">
        <w:rPr>
          <w:rFonts w:ascii="Arial" w:eastAsia="SimSun" w:hAnsi="Arial" w:cs="Arial"/>
        </w:rPr>
        <w:t xml:space="preserve"> </w:t>
      </w:r>
      <w:r w:rsidR="006018AE" w:rsidRPr="00071855">
        <w:rPr>
          <w:rFonts w:ascii="Arial" w:eastAsia="SimSun" w:hAnsi="Arial" w:cs="Arial"/>
        </w:rPr>
        <w:t>(</w:t>
      </w:r>
      <w:r w:rsidR="00763FCC">
        <w:rPr>
          <w:rFonts w:ascii="Arial" w:eastAsia="SimSun" w:hAnsi="Arial" w:cs="Arial"/>
          <w:caps w:val="0"/>
        </w:rPr>
        <w:t>m</w:t>
      </w:r>
      <w:r>
        <w:rPr>
          <w:rFonts w:ascii="Arial" w:eastAsia="SimSun" w:hAnsi="Arial" w:cs="Arial"/>
          <w:caps w:val="0"/>
        </w:rPr>
        <w:t xml:space="preserve">omelotinib) </w:t>
      </w:r>
      <w:r w:rsidR="00381DC7">
        <w:rPr>
          <w:rFonts w:ascii="Arial" w:eastAsia="SimSun" w:hAnsi="Arial" w:cs="Arial"/>
          <w:caps w:val="0"/>
        </w:rPr>
        <w:t>f</w:t>
      </w:r>
      <w:r>
        <w:rPr>
          <w:rFonts w:ascii="Arial" w:eastAsia="SimSun" w:hAnsi="Arial" w:cs="Arial"/>
          <w:caps w:val="0"/>
        </w:rPr>
        <w:t>ilm-coated tablets</w:t>
      </w:r>
      <w:r w:rsidR="00CE6790">
        <w:rPr>
          <w:rFonts w:ascii="Arial" w:eastAsia="SimSun" w:hAnsi="Arial" w:cs="Arial"/>
        </w:rPr>
        <w:fldChar w:fldCharType="begin"/>
      </w:r>
      <w:r w:rsidR="00CE6790">
        <w:rPr>
          <w:rFonts w:ascii="Arial" w:eastAsia="SimSun" w:hAnsi="Arial" w:cs="Arial"/>
        </w:rPr>
        <w:instrText xml:space="preserve"> DOCVARIABLE vault_nd_9e32b0e8-6bbe-43b9-a1d4-069f5fb288d1 \* MERGEFORMAT </w:instrText>
      </w:r>
      <w:r w:rsidR="00CE6790">
        <w:rPr>
          <w:rFonts w:ascii="Arial" w:eastAsia="SimSun" w:hAnsi="Arial" w:cs="Arial"/>
        </w:rPr>
        <w:fldChar w:fldCharType="separate"/>
      </w:r>
      <w:r w:rsidR="00CE6790">
        <w:rPr>
          <w:rFonts w:ascii="Arial" w:eastAsia="SimSun" w:hAnsi="Arial" w:cs="Arial"/>
        </w:rPr>
        <w:t xml:space="preserve"> </w:t>
      </w:r>
      <w:r w:rsidR="00CE6790">
        <w:rPr>
          <w:rFonts w:ascii="Arial" w:eastAsia="SimSun" w:hAnsi="Arial" w:cs="Arial"/>
        </w:rPr>
        <w:fldChar w:fldCharType="end"/>
      </w:r>
    </w:p>
    <w:p w14:paraId="7D69F0FD" w14:textId="2512CAC8" w:rsidR="001A3992" w:rsidRPr="005E53D5" w:rsidRDefault="001A3992" w:rsidP="001A3992">
      <w:pPr>
        <w:pStyle w:val="Heading1"/>
        <w:spacing w:before="0" w:after="120"/>
        <w:rPr>
          <w:rFonts w:ascii="Arial" w:hAnsi="Arial" w:cs="Arial"/>
        </w:rPr>
      </w:pPr>
      <w:r w:rsidRPr="005E53D5">
        <w:rPr>
          <w:rFonts w:ascii="Arial" w:hAnsi="Arial" w:cs="Arial"/>
        </w:rPr>
        <w:t>Name of the medicine</w:t>
      </w:r>
      <w:r w:rsidR="00CE6790" w:rsidRPr="005E53D5">
        <w:rPr>
          <w:rFonts w:ascii="Arial" w:hAnsi="Arial" w:cs="Arial"/>
        </w:rPr>
        <w:fldChar w:fldCharType="begin"/>
      </w:r>
      <w:r w:rsidR="00CE6790" w:rsidRPr="005E53D5">
        <w:rPr>
          <w:rFonts w:ascii="Arial" w:hAnsi="Arial" w:cs="Arial"/>
        </w:rPr>
        <w:instrText xml:space="preserve"> DOCVARIABLE VAULT_ND_11f032c0-f625-487e-9620-eea2c22ed6c7 \* MERGEFORMAT </w:instrText>
      </w:r>
      <w:r w:rsidR="00CE6790" w:rsidRPr="005E53D5">
        <w:rPr>
          <w:rFonts w:ascii="Arial" w:hAnsi="Arial" w:cs="Arial"/>
        </w:rPr>
        <w:fldChar w:fldCharType="separate"/>
      </w:r>
      <w:r w:rsidR="00CE6790" w:rsidRPr="005E53D5">
        <w:rPr>
          <w:rFonts w:ascii="Arial" w:hAnsi="Arial" w:cs="Arial"/>
        </w:rPr>
        <w:t xml:space="preserve"> </w:t>
      </w:r>
      <w:r w:rsidR="00CE6790" w:rsidRPr="005E53D5">
        <w:rPr>
          <w:rFonts w:ascii="Arial" w:hAnsi="Arial" w:cs="Arial"/>
        </w:rPr>
        <w:fldChar w:fldCharType="end"/>
      </w:r>
    </w:p>
    <w:p w14:paraId="644F09ED" w14:textId="6ECE4D01" w:rsidR="00071855" w:rsidRPr="00AD55AD" w:rsidRDefault="00AD55AD" w:rsidP="00071855">
      <w:pPr>
        <w:rPr>
          <w:rFonts w:ascii="Arial" w:hAnsi="Arial" w:cs="Arial"/>
          <w:iCs/>
        </w:rPr>
      </w:pPr>
      <w:r w:rsidRPr="00AD55AD">
        <w:rPr>
          <w:rFonts w:ascii="Arial" w:hAnsi="Arial" w:cs="Arial"/>
          <w:iCs/>
        </w:rPr>
        <w:t>Momelotinib</w:t>
      </w:r>
      <w:r w:rsidR="002205EA">
        <w:rPr>
          <w:rFonts w:ascii="Arial" w:hAnsi="Arial" w:cs="Arial"/>
          <w:iCs/>
        </w:rPr>
        <w:t xml:space="preserve"> dihydrochloride monohydrate</w:t>
      </w:r>
    </w:p>
    <w:p w14:paraId="473CB837" w14:textId="29319C79" w:rsidR="001A3992" w:rsidRPr="00071855" w:rsidRDefault="001A3992" w:rsidP="001A3992">
      <w:pPr>
        <w:pStyle w:val="Heading1"/>
        <w:spacing w:before="0" w:after="120"/>
        <w:rPr>
          <w:rFonts w:ascii="Arial" w:hAnsi="Arial" w:cs="Arial"/>
        </w:rPr>
      </w:pPr>
      <w:r w:rsidRPr="00071855">
        <w:rPr>
          <w:rFonts w:ascii="Arial" w:hAnsi="Arial" w:cs="Arial"/>
        </w:rPr>
        <w:t>Qualitative and quantitative composition</w:t>
      </w:r>
      <w:r w:rsidR="00CE6790">
        <w:rPr>
          <w:rFonts w:ascii="Arial" w:hAnsi="Arial" w:cs="Arial"/>
        </w:rPr>
        <w:fldChar w:fldCharType="begin"/>
      </w:r>
      <w:r w:rsidR="00CE6790">
        <w:rPr>
          <w:rFonts w:ascii="Arial" w:hAnsi="Arial" w:cs="Arial"/>
        </w:rPr>
        <w:instrText xml:space="preserve"> DOCVARIABLE VAULT_ND_690dfca3-dc71-4042-ba81-272c4326e84e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3EAEC6D8" w14:textId="3BFF69C9" w:rsidR="00BB6E53" w:rsidRPr="00B13828" w:rsidRDefault="00BB6E53" w:rsidP="005B2812">
      <w:pPr>
        <w:rPr>
          <w:rFonts w:ascii="Arial" w:hAnsi="Arial" w:cs="Arial"/>
          <w:bCs/>
          <w:lang w:val="en"/>
        </w:rPr>
      </w:pPr>
      <w:r w:rsidRPr="00B13828">
        <w:rPr>
          <w:rFonts w:ascii="Arial" w:hAnsi="Arial" w:cs="Arial"/>
          <w:bCs/>
          <w:lang w:val="en"/>
        </w:rPr>
        <w:t>Each film-</w:t>
      </w:r>
      <w:r w:rsidR="00D771B3" w:rsidRPr="00B13828">
        <w:rPr>
          <w:rFonts w:ascii="Arial" w:hAnsi="Arial" w:cs="Arial"/>
          <w:bCs/>
          <w:lang w:val="en"/>
        </w:rPr>
        <w:t xml:space="preserve">coated tablet contains </w:t>
      </w:r>
      <w:r w:rsidR="00FA43C2" w:rsidRPr="00B13828">
        <w:rPr>
          <w:rFonts w:ascii="Arial" w:hAnsi="Arial" w:cs="Arial"/>
          <w:bCs/>
          <w:lang w:val="en"/>
        </w:rPr>
        <w:t xml:space="preserve">100 mg, 150 mg or 200 mg of momelotinib as momelotinib dihydrochloride monohydrate. </w:t>
      </w:r>
    </w:p>
    <w:p w14:paraId="1E4F0D9A" w14:textId="77777777" w:rsidR="0091147C" w:rsidRPr="0091147C" w:rsidRDefault="0091147C" w:rsidP="00B13828">
      <w:pPr>
        <w:spacing w:after="0"/>
        <w:rPr>
          <w:rFonts w:ascii="Arial" w:hAnsi="Arial" w:cs="Arial"/>
          <w:b/>
          <w:lang w:val="en"/>
        </w:rPr>
      </w:pPr>
      <w:r w:rsidRPr="00E42B91">
        <w:rPr>
          <w:rFonts w:ascii="Arial" w:hAnsi="Arial" w:cs="Arial"/>
          <w:b/>
          <w:lang w:val="en"/>
        </w:rPr>
        <w:t>List of excipients with known effect</w:t>
      </w:r>
    </w:p>
    <w:p w14:paraId="69C64FA7" w14:textId="10C23D2C" w:rsidR="0091147C" w:rsidRDefault="00FA43C2" w:rsidP="00E44ACA">
      <w:pPr>
        <w:spacing w:after="0"/>
        <w:rPr>
          <w:rFonts w:ascii="Arial" w:hAnsi="Arial" w:cs="Arial"/>
          <w:bCs/>
          <w:lang w:val="en"/>
        </w:rPr>
      </w:pPr>
      <w:r>
        <w:rPr>
          <w:rFonts w:ascii="Arial" w:hAnsi="Arial" w:cs="Arial"/>
          <w:bCs/>
          <w:lang w:val="en"/>
        </w:rPr>
        <w:t>Lactose</w:t>
      </w:r>
    </w:p>
    <w:p w14:paraId="0F5A91EC" w14:textId="77777777" w:rsidR="00E44ACA" w:rsidRPr="00861D5E" w:rsidRDefault="00E44ACA" w:rsidP="00B13828">
      <w:pPr>
        <w:spacing w:after="0"/>
        <w:rPr>
          <w:rFonts w:ascii="Arial" w:hAnsi="Arial" w:cs="Arial"/>
          <w:bCs/>
          <w:lang w:val="en"/>
        </w:rPr>
      </w:pPr>
    </w:p>
    <w:p w14:paraId="4E20E3F3" w14:textId="77777777" w:rsidR="005B2812" w:rsidRPr="00071855" w:rsidRDefault="005B2812" w:rsidP="005B2812">
      <w:pPr>
        <w:rPr>
          <w:rFonts w:ascii="Arial" w:hAnsi="Arial" w:cs="Arial"/>
        </w:rPr>
      </w:pPr>
      <w:r w:rsidRPr="00071855">
        <w:rPr>
          <w:rFonts w:ascii="Arial" w:hAnsi="Arial" w:cs="Arial"/>
          <w:lang w:val="en"/>
        </w:rPr>
        <w:t>For the full list of excipients, see Section 6.</w:t>
      </w:r>
      <w:r w:rsidR="00071973">
        <w:rPr>
          <w:rFonts w:ascii="Arial" w:hAnsi="Arial" w:cs="Arial"/>
          <w:lang w:val="en"/>
        </w:rPr>
        <w:t xml:space="preserve">1 </w:t>
      </w:r>
      <w:r w:rsidR="00FC1C5C">
        <w:rPr>
          <w:rFonts w:ascii="Arial" w:hAnsi="Arial" w:cs="Arial"/>
          <w:lang w:val="en"/>
        </w:rPr>
        <w:t>LIST OF EXCIPIENTS</w:t>
      </w:r>
      <w:r w:rsidR="00071973">
        <w:rPr>
          <w:rFonts w:ascii="Arial" w:hAnsi="Arial" w:cs="Arial"/>
          <w:lang w:val="en"/>
        </w:rPr>
        <w:t>.</w:t>
      </w:r>
    </w:p>
    <w:p w14:paraId="46FFB083" w14:textId="46392E41" w:rsidR="00071855" w:rsidRDefault="001A3992" w:rsidP="00071855">
      <w:pPr>
        <w:pStyle w:val="Heading1"/>
        <w:spacing w:before="0" w:after="120"/>
        <w:rPr>
          <w:rFonts w:ascii="Arial" w:hAnsi="Arial" w:cs="Arial"/>
        </w:rPr>
      </w:pPr>
      <w:r w:rsidRPr="00071855">
        <w:rPr>
          <w:rFonts w:ascii="Arial" w:hAnsi="Arial" w:cs="Arial"/>
        </w:rPr>
        <w:t>Pharmaceutical form</w:t>
      </w:r>
      <w:r w:rsidR="00CE6790">
        <w:rPr>
          <w:rFonts w:ascii="Arial" w:hAnsi="Arial" w:cs="Arial"/>
        </w:rPr>
        <w:fldChar w:fldCharType="begin"/>
      </w:r>
      <w:r w:rsidR="00CE6790">
        <w:rPr>
          <w:rFonts w:ascii="Arial" w:hAnsi="Arial" w:cs="Arial"/>
        </w:rPr>
        <w:instrText xml:space="preserve"> DOCVARIABLE VAULT_ND_4f84bbbb-dd47-4357-80b4-2ff449cb9add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59BE2299" w14:textId="6FBBA7FD" w:rsidR="00763FCC" w:rsidRPr="00763FCC" w:rsidRDefault="0091147C" w:rsidP="00B13828">
      <w:pPr>
        <w:spacing w:after="0"/>
        <w:rPr>
          <w:rFonts w:ascii="Arial" w:hAnsi="Arial" w:cs="Arial"/>
          <w:u w:val="single"/>
        </w:rPr>
      </w:pPr>
      <w:bookmarkStart w:id="0" w:name="_Hlk155788839"/>
      <w:r>
        <w:rPr>
          <w:rFonts w:ascii="Arial" w:hAnsi="Arial" w:cs="Arial"/>
          <w:u w:val="single"/>
        </w:rPr>
        <w:t xml:space="preserve">OMJJARA </w:t>
      </w:r>
      <w:r w:rsidR="00763FCC" w:rsidRPr="00763FCC">
        <w:rPr>
          <w:rFonts w:ascii="Arial" w:hAnsi="Arial" w:cs="Arial"/>
          <w:u w:val="single"/>
        </w:rPr>
        <w:t>100 mg</w:t>
      </w:r>
      <w:r w:rsidR="00763FCC">
        <w:rPr>
          <w:rFonts w:ascii="Arial" w:hAnsi="Arial" w:cs="Arial"/>
          <w:u w:val="single"/>
        </w:rPr>
        <w:t xml:space="preserve"> </w:t>
      </w:r>
      <w:r w:rsidR="00981612">
        <w:rPr>
          <w:rFonts w:ascii="Arial" w:hAnsi="Arial" w:cs="Arial"/>
          <w:u w:val="single"/>
        </w:rPr>
        <w:t>film-coated tablets</w:t>
      </w:r>
    </w:p>
    <w:p w14:paraId="3C5483D7" w14:textId="6FFEBFC2" w:rsidR="00763FCC" w:rsidRPr="00763FCC" w:rsidRDefault="00981612" w:rsidP="000A192C">
      <w:pPr>
        <w:rPr>
          <w:rFonts w:ascii="Arial" w:hAnsi="Arial" w:cs="Arial"/>
        </w:rPr>
      </w:pPr>
      <w:r>
        <w:rPr>
          <w:rFonts w:ascii="Arial" w:hAnsi="Arial" w:cs="Arial"/>
        </w:rPr>
        <w:t>Brown</w:t>
      </w:r>
      <w:r w:rsidR="00763FCC" w:rsidRPr="00763FCC">
        <w:rPr>
          <w:rFonts w:ascii="Arial" w:hAnsi="Arial" w:cs="Arial"/>
        </w:rPr>
        <w:t xml:space="preserve">, round tablets, with an underlined “M” debossed on one side and “100” on the other side. </w:t>
      </w:r>
    </w:p>
    <w:p w14:paraId="18449ACE" w14:textId="4F3EF20A" w:rsidR="00763FCC" w:rsidRPr="00763FCC" w:rsidRDefault="0091147C" w:rsidP="00B13828">
      <w:pPr>
        <w:spacing w:after="0"/>
        <w:rPr>
          <w:rFonts w:ascii="Arial" w:hAnsi="Arial" w:cs="Arial"/>
          <w:u w:val="single"/>
        </w:rPr>
      </w:pPr>
      <w:r>
        <w:rPr>
          <w:rFonts w:ascii="Arial" w:hAnsi="Arial" w:cs="Arial"/>
          <w:u w:val="single"/>
        </w:rPr>
        <w:t xml:space="preserve">OMJJARA </w:t>
      </w:r>
      <w:r w:rsidR="00763FCC" w:rsidRPr="00763FCC">
        <w:rPr>
          <w:rFonts w:ascii="Arial" w:hAnsi="Arial" w:cs="Arial"/>
          <w:u w:val="single"/>
        </w:rPr>
        <w:t>150 mg</w:t>
      </w:r>
      <w:r w:rsidR="00981612" w:rsidRPr="00981612">
        <w:rPr>
          <w:rFonts w:ascii="Arial" w:hAnsi="Arial" w:cs="Arial"/>
          <w:u w:val="single"/>
        </w:rPr>
        <w:t xml:space="preserve"> </w:t>
      </w:r>
      <w:r w:rsidR="00981612">
        <w:rPr>
          <w:rFonts w:ascii="Arial" w:hAnsi="Arial" w:cs="Arial"/>
          <w:u w:val="single"/>
        </w:rPr>
        <w:t>film-coated tablets</w:t>
      </w:r>
    </w:p>
    <w:p w14:paraId="6A858133" w14:textId="607E5661" w:rsidR="00763FCC" w:rsidRPr="00763FCC" w:rsidRDefault="00763FCC" w:rsidP="000A192C">
      <w:pPr>
        <w:rPr>
          <w:rFonts w:ascii="Arial" w:hAnsi="Arial" w:cs="Arial"/>
        </w:rPr>
      </w:pPr>
      <w:r w:rsidRPr="00763FCC">
        <w:rPr>
          <w:rFonts w:ascii="Arial" w:hAnsi="Arial" w:cs="Arial"/>
        </w:rPr>
        <w:t xml:space="preserve">Brown, triangle shaped tablets, with an underlined “M” debossed on one side and “150” on the other side. </w:t>
      </w:r>
    </w:p>
    <w:p w14:paraId="69C4A6B2" w14:textId="53395D54" w:rsidR="00763FCC" w:rsidRPr="00763FCC" w:rsidRDefault="0091147C" w:rsidP="00B13828">
      <w:pPr>
        <w:spacing w:after="0"/>
        <w:rPr>
          <w:rFonts w:ascii="Arial" w:hAnsi="Arial" w:cs="Arial"/>
          <w:u w:val="single"/>
        </w:rPr>
      </w:pPr>
      <w:r>
        <w:rPr>
          <w:rFonts w:ascii="Arial" w:hAnsi="Arial" w:cs="Arial"/>
          <w:u w:val="single"/>
        </w:rPr>
        <w:t xml:space="preserve">OMJJARA </w:t>
      </w:r>
      <w:r w:rsidR="00763FCC" w:rsidRPr="00763FCC">
        <w:rPr>
          <w:rFonts w:ascii="Arial" w:hAnsi="Arial" w:cs="Arial"/>
          <w:u w:val="single"/>
        </w:rPr>
        <w:t>200 mg</w:t>
      </w:r>
      <w:r w:rsidR="00981612" w:rsidRPr="00981612">
        <w:rPr>
          <w:rFonts w:ascii="Arial" w:hAnsi="Arial" w:cs="Arial"/>
          <w:u w:val="single"/>
        </w:rPr>
        <w:t xml:space="preserve"> </w:t>
      </w:r>
      <w:r w:rsidR="00981612">
        <w:rPr>
          <w:rFonts w:ascii="Arial" w:hAnsi="Arial" w:cs="Arial"/>
          <w:u w:val="single"/>
        </w:rPr>
        <w:t>film-coated tablets</w:t>
      </w:r>
    </w:p>
    <w:p w14:paraId="781DB416" w14:textId="45C778BD" w:rsidR="00763FCC" w:rsidRPr="00763FCC" w:rsidRDefault="00763FCC" w:rsidP="000A192C">
      <w:pPr>
        <w:rPr>
          <w:rFonts w:ascii="Arial" w:hAnsi="Arial" w:cs="Arial"/>
        </w:rPr>
      </w:pPr>
      <w:r w:rsidRPr="00763FCC">
        <w:rPr>
          <w:rFonts w:ascii="Arial" w:hAnsi="Arial" w:cs="Arial"/>
        </w:rPr>
        <w:t xml:space="preserve">Brown, capsule shaped tablets, with an underlined “M” debossed on one side and “200” on the other side. </w:t>
      </w:r>
    </w:p>
    <w:bookmarkEnd w:id="0"/>
    <w:p w14:paraId="5A236DC0" w14:textId="1090F336" w:rsidR="001A3992" w:rsidRPr="005E53D5" w:rsidRDefault="001A3992" w:rsidP="00B13828">
      <w:pPr>
        <w:pStyle w:val="Heading1"/>
        <w:spacing w:before="0" w:after="200"/>
        <w:rPr>
          <w:rFonts w:ascii="Arial" w:hAnsi="Arial" w:cs="Arial"/>
        </w:rPr>
      </w:pPr>
      <w:r w:rsidRPr="005E53D5">
        <w:rPr>
          <w:rFonts w:ascii="Arial" w:hAnsi="Arial" w:cs="Arial"/>
        </w:rPr>
        <w:t>Clinical particulars</w:t>
      </w:r>
      <w:r w:rsidR="00CE6790" w:rsidRPr="005E53D5">
        <w:rPr>
          <w:rFonts w:ascii="Arial" w:hAnsi="Arial" w:cs="Arial"/>
        </w:rPr>
        <w:fldChar w:fldCharType="begin"/>
      </w:r>
      <w:r w:rsidR="00CE6790" w:rsidRPr="005E53D5">
        <w:rPr>
          <w:rFonts w:ascii="Arial" w:hAnsi="Arial" w:cs="Arial"/>
        </w:rPr>
        <w:instrText xml:space="preserve"> DOCVARIABLE VAULT_ND_2d7b4980-b757-41ad-bb7c-7ec321ecabd1 \* MERGEFORMAT </w:instrText>
      </w:r>
      <w:r w:rsidR="00CE6790" w:rsidRPr="005E53D5">
        <w:rPr>
          <w:rFonts w:ascii="Arial" w:hAnsi="Arial" w:cs="Arial"/>
        </w:rPr>
        <w:fldChar w:fldCharType="separate"/>
      </w:r>
      <w:r w:rsidR="00CE6790" w:rsidRPr="005E53D5">
        <w:rPr>
          <w:rFonts w:ascii="Arial" w:hAnsi="Arial" w:cs="Arial"/>
        </w:rPr>
        <w:t xml:space="preserve"> </w:t>
      </w:r>
      <w:r w:rsidR="00CE6790" w:rsidRPr="005E53D5">
        <w:rPr>
          <w:rFonts w:ascii="Arial" w:hAnsi="Arial" w:cs="Arial"/>
        </w:rPr>
        <w:fldChar w:fldCharType="end"/>
      </w:r>
    </w:p>
    <w:p w14:paraId="1C3648A0" w14:textId="6FE63156" w:rsidR="001A3992" w:rsidRPr="00071855" w:rsidRDefault="00071855" w:rsidP="001A3992">
      <w:pPr>
        <w:pStyle w:val="Heading2"/>
        <w:spacing w:before="0" w:after="120"/>
        <w:rPr>
          <w:rFonts w:ascii="Arial" w:hAnsi="Arial" w:cs="Arial"/>
          <w:smallCaps w:val="0"/>
        </w:rPr>
      </w:pPr>
      <w:r w:rsidRPr="00071855">
        <w:rPr>
          <w:rFonts w:ascii="Arial" w:hAnsi="Arial" w:cs="Arial"/>
          <w:smallCaps w:val="0"/>
        </w:rPr>
        <w:t xml:space="preserve">THERAPEUTIC INDICATIONS </w:t>
      </w:r>
      <w:r w:rsidR="00CE6790">
        <w:rPr>
          <w:rFonts w:ascii="Arial" w:hAnsi="Arial" w:cs="Arial"/>
          <w:smallCaps w:val="0"/>
        </w:rPr>
        <w:fldChar w:fldCharType="begin"/>
      </w:r>
      <w:r w:rsidR="00CE6790">
        <w:rPr>
          <w:rFonts w:ascii="Arial" w:hAnsi="Arial" w:cs="Arial"/>
          <w:smallCaps w:val="0"/>
        </w:rPr>
        <w:instrText xml:space="preserve"> DOCVARIABLE VAULT_ND_f3e5b65a-3c2f-498e-95a3-07a4377fe263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5F48580D" w14:textId="3F1649FF" w:rsidR="0091147C" w:rsidRPr="00357769" w:rsidRDefault="005532D3" w:rsidP="00B13828">
      <w:pPr>
        <w:tabs>
          <w:tab w:val="left" w:pos="567"/>
        </w:tabs>
        <w:rPr>
          <w:szCs w:val="24"/>
        </w:rPr>
      </w:pPr>
      <w:r>
        <w:rPr>
          <w:rFonts w:ascii="Arial" w:hAnsi="Arial" w:cs="Arial"/>
          <w:szCs w:val="24"/>
        </w:rPr>
        <w:t>OMJJARA</w:t>
      </w:r>
      <w:r w:rsidRPr="005532D3">
        <w:rPr>
          <w:rFonts w:ascii="Arial" w:hAnsi="Arial" w:cs="Arial"/>
          <w:szCs w:val="24"/>
        </w:rPr>
        <w:t xml:space="preserve"> is indicated for the treatment of disease-related splenomegaly or symptoms in adult patients with moderate to severe anaemia who have primary myelofibrosis, post polycythaemia vera myelofibrosis or post essential </w:t>
      </w:r>
      <w:proofErr w:type="spellStart"/>
      <w:r w:rsidRPr="005532D3">
        <w:rPr>
          <w:rFonts w:ascii="Arial" w:hAnsi="Arial" w:cs="Arial"/>
          <w:szCs w:val="24"/>
        </w:rPr>
        <w:t>thrombocythaemia</w:t>
      </w:r>
      <w:proofErr w:type="spellEnd"/>
      <w:r w:rsidRPr="005532D3">
        <w:rPr>
          <w:rFonts w:ascii="Arial" w:hAnsi="Arial" w:cs="Arial"/>
          <w:szCs w:val="24"/>
        </w:rPr>
        <w:t xml:space="preserve"> myelofibrosis and who are Janus Kinase (JAK) inhibitor naïve or have been treated with </w:t>
      </w:r>
      <w:proofErr w:type="spellStart"/>
      <w:r w:rsidRPr="005532D3">
        <w:rPr>
          <w:rFonts w:ascii="Arial" w:hAnsi="Arial" w:cs="Arial"/>
          <w:szCs w:val="24"/>
        </w:rPr>
        <w:t>ruxolitinib</w:t>
      </w:r>
      <w:proofErr w:type="spellEnd"/>
      <w:r w:rsidR="0091147C" w:rsidRPr="0091147C">
        <w:rPr>
          <w:rFonts w:ascii="Arial" w:hAnsi="Arial" w:cs="Arial"/>
          <w:szCs w:val="24"/>
        </w:rPr>
        <w:t>.</w:t>
      </w:r>
    </w:p>
    <w:p w14:paraId="5EB3FB08" w14:textId="6B9D27A6" w:rsidR="001A3992" w:rsidRPr="00071855" w:rsidRDefault="00071855" w:rsidP="00B13828">
      <w:pPr>
        <w:pStyle w:val="Heading2"/>
        <w:spacing w:before="0"/>
        <w:ind w:left="578" w:hanging="578"/>
        <w:rPr>
          <w:rFonts w:ascii="Arial" w:hAnsi="Arial" w:cs="Arial"/>
          <w:smallCaps w:val="0"/>
        </w:rPr>
      </w:pPr>
      <w:r w:rsidRPr="00071855">
        <w:rPr>
          <w:rFonts w:ascii="Arial" w:hAnsi="Arial" w:cs="Arial"/>
          <w:smallCaps w:val="0"/>
        </w:rPr>
        <w:t>DOSE AND METHOD OF ADMINISTRATION</w:t>
      </w:r>
      <w:r w:rsidR="00CE6790">
        <w:rPr>
          <w:rFonts w:ascii="Arial" w:hAnsi="Arial" w:cs="Arial"/>
          <w:smallCaps w:val="0"/>
        </w:rPr>
        <w:fldChar w:fldCharType="begin"/>
      </w:r>
      <w:r w:rsidR="00CE6790">
        <w:rPr>
          <w:rFonts w:ascii="Arial" w:hAnsi="Arial" w:cs="Arial"/>
          <w:smallCaps w:val="0"/>
        </w:rPr>
        <w:instrText xml:space="preserve"> DOCVARIABLE VAULT_ND_10d1f3b7-5457-4181-8dae-ba873512dedd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4ADEFD6F" w14:textId="4D76CCD8" w:rsidR="00784D29" w:rsidRPr="00784D29" w:rsidRDefault="00784D29" w:rsidP="00981612">
      <w:pPr>
        <w:rPr>
          <w:rFonts w:ascii="Arial" w:hAnsi="Arial" w:cs="Arial"/>
          <w:b/>
          <w:bCs/>
        </w:rPr>
      </w:pPr>
      <w:r w:rsidRPr="00784D29">
        <w:rPr>
          <w:rFonts w:ascii="Arial" w:hAnsi="Arial" w:cs="Arial"/>
          <w:b/>
          <w:bCs/>
        </w:rPr>
        <w:t>Adults</w:t>
      </w:r>
    </w:p>
    <w:p w14:paraId="7BC6AF1A" w14:textId="619D4C70" w:rsidR="00981612" w:rsidRPr="00784D29" w:rsidRDefault="00981612" w:rsidP="00981612">
      <w:pPr>
        <w:rPr>
          <w:rFonts w:ascii="Arial" w:hAnsi="Arial" w:cs="Arial"/>
        </w:rPr>
      </w:pPr>
      <w:r w:rsidRPr="00784D29">
        <w:rPr>
          <w:rFonts w:ascii="Arial" w:hAnsi="Arial" w:cs="Arial"/>
        </w:rPr>
        <w:lastRenderedPageBreak/>
        <w:t xml:space="preserve">The recommended dosage of OMJJARA is 200 mg taken orally once daily. OMJJARA may be taken with or without food. </w:t>
      </w:r>
    </w:p>
    <w:p w14:paraId="6A8A59F3" w14:textId="15284B60" w:rsidR="00784D29" w:rsidRPr="00911F56" w:rsidRDefault="00784D29" w:rsidP="00981612">
      <w:pPr>
        <w:rPr>
          <w:rFonts w:ascii="Arial" w:hAnsi="Arial" w:cs="Arial"/>
          <w:i/>
          <w:iCs/>
        </w:rPr>
      </w:pPr>
      <w:r w:rsidRPr="00911F56">
        <w:rPr>
          <w:rFonts w:ascii="Arial" w:hAnsi="Arial" w:cs="Arial"/>
          <w:i/>
          <w:iCs/>
        </w:rPr>
        <w:t>Missed dose</w:t>
      </w:r>
    </w:p>
    <w:p w14:paraId="770C842B" w14:textId="64FEB142" w:rsidR="00D0776D" w:rsidRPr="00784D29" w:rsidRDefault="00784D29" w:rsidP="000045D4">
      <w:pPr>
        <w:rPr>
          <w:rFonts w:ascii="Arial" w:hAnsi="Arial" w:cs="Arial"/>
        </w:rPr>
      </w:pPr>
      <w:r w:rsidRPr="00784D29">
        <w:rPr>
          <w:rFonts w:ascii="Arial" w:hAnsi="Arial" w:cs="Arial"/>
        </w:rPr>
        <w:t>If a dose of OMJJARA is missed, the next scheduled dose should be taken the following day</w:t>
      </w:r>
      <w:r w:rsidR="00D0776D">
        <w:rPr>
          <w:rFonts w:ascii="Arial" w:hAnsi="Arial" w:cs="Arial"/>
        </w:rPr>
        <w:t xml:space="preserve">. Two doses should not be taken at the same time to make up for the missed dose. </w:t>
      </w:r>
    </w:p>
    <w:p w14:paraId="55396DA2" w14:textId="250E3FC0" w:rsidR="00784D29" w:rsidRPr="00911F56" w:rsidRDefault="00784D29" w:rsidP="000045D4">
      <w:pPr>
        <w:rPr>
          <w:rFonts w:ascii="Arial" w:hAnsi="Arial" w:cs="Arial"/>
          <w:i/>
          <w:iCs/>
        </w:rPr>
      </w:pPr>
      <w:r w:rsidRPr="00911F56">
        <w:rPr>
          <w:rFonts w:ascii="Arial" w:hAnsi="Arial" w:cs="Arial"/>
          <w:i/>
          <w:iCs/>
        </w:rPr>
        <w:t>Monitoring</w:t>
      </w:r>
    </w:p>
    <w:p w14:paraId="2EB07388" w14:textId="2391D3D7" w:rsidR="00784D29" w:rsidRPr="00784D29" w:rsidRDefault="00784D29" w:rsidP="000045D4">
      <w:pPr>
        <w:rPr>
          <w:rFonts w:ascii="Arial" w:hAnsi="Arial" w:cs="Arial"/>
          <w:lang w:val="en-US"/>
        </w:rPr>
      </w:pPr>
      <w:r w:rsidRPr="00784D29">
        <w:rPr>
          <w:rFonts w:ascii="Arial" w:hAnsi="Arial" w:cs="Arial"/>
          <w:lang w:val="en-US"/>
        </w:rPr>
        <w:t xml:space="preserve">Complete blood cell </w:t>
      </w:r>
      <w:proofErr w:type="gramStart"/>
      <w:r w:rsidRPr="00784D29">
        <w:rPr>
          <w:rFonts w:ascii="Arial" w:hAnsi="Arial" w:cs="Arial"/>
          <w:lang w:val="en-US"/>
        </w:rPr>
        <w:t>count</w:t>
      </w:r>
      <w:proofErr w:type="gramEnd"/>
      <w:r w:rsidRPr="00784D29">
        <w:rPr>
          <w:rFonts w:ascii="Arial" w:hAnsi="Arial" w:cs="Arial"/>
          <w:lang w:val="en-US"/>
        </w:rPr>
        <w:t xml:space="preserve"> and liver function tests must be performed before initiating treatment with </w:t>
      </w:r>
      <w:r w:rsidR="0094029E">
        <w:rPr>
          <w:rFonts w:ascii="Arial" w:hAnsi="Arial" w:cs="Arial"/>
          <w:lang w:val="en-US"/>
        </w:rPr>
        <w:t>OMJJARA</w:t>
      </w:r>
      <w:r w:rsidRPr="00784D29">
        <w:rPr>
          <w:rFonts w:ascii="Arial" w:hAnsi="Arial" w:cs="Arial"/>
          <w:lang w:val="en-US"/>
        </w:rPr>
        <w:t xml:space="preserve">, periodically during treatment, and as clinically indicated. </w:t>
      </w:r>
    </w:p>
    <w:p w14:paraId="04128A70" w14:textId="55F4A3ED" w:rsidR="00784D29" w:rsidRPr="00911F56" w:rsidRDefault="00784D29" w:rsidP="000045D4">
      <w:pPr>
        <w:rPr>
          <w:rFonts w:ascii="Arial" w:hAnsi="Arial" w:cs="Arial"/>
          <w:i/>
          <w:iCs/>
          <w:lang w:val="en-US"/>
        </w:rPr>
      </w:pPr>
      <w:r w:rsidRPr="00911F56">
        <w:rPr>
          <w:rFonts w:ascii="Arial" w:hAnsi="Arial" w:cs="Arial"/>
          <w:i/>
          <w:iCs/>
          <w:lang w:val="en-US"/>
        </w:rPr>
        <w:t>Dose modifications</w:t>
      </w:r>
    </w:p>
    <w:p w14:paraId="3DECE96F" w14:textId="72B202FD" w:rsidR="000045D4" w:rsidRPr="00784D29" w:rsidRDefault="00784D29" w:rsidP="000045D4">
      <w:pPr>
        <w:rPr>
          <w:rFonts w:ascii="Arial" w:hAnsi="Arial" w:cs="Arial"/>
          <w:lang w:val="en-US"/>
        </w:rPr>
      </w:pPr>
      <w:r w:rsidRPr="00784D29">
        <w:rPr>
          <w:rFonts w:ascii="Arial" w:hAnsi="Arial" w:cs="Arial"/>
          <w:lang w:val="en-US"/>
        </w:rPr>
        <w:t xml:space="preserve">Dose modifications should be considered for </w:t>
      </w:r>
      <w:proofErr w:type="spellStart"/>
      <w:r w:rsidRPr="00784D29">
        <w:rPr>
          <w:rFonts w:ascii="Arial" w:hAnsi="Arial" w:cs="Arial"/>
          <w:lang w:val="en-US"/>
        </w:rPr>
        <w:t>haematologic</w:t>
      </w:r>
      <w:proofErr w:type="spellEnd"/>
      <w:r w:rsidRPr="00784D29">
        <w:rPr>
          <w:rFonts w:ascii="Arial" w:hAnsi="Arial" w:cs="Arial"/>
          <w:lang w:val="en-US"/>
        </w:rPr>
        <w:t xml:space="preserve"> and </w:t>
      </w:r>
      <w:proofErr w:type="spellStart"/>
      <w:r w:rsidRPr="00784D29">
        <w:rPr>
          <w:rFonts w:ascii="Arial" w:hAnsi="Arial" w:cs="Arial"/>
          <w:lang w:val="en-US"/>
        </w:rPr>
        <w:t>nonhaematalogic</w:t>
      </w:r>
      <w:proofErr w:type="spellEnd"/>
      <w:r w:rsidRPr="00784D29">
        <w:rPr>
          <w:rFonts w:ascii="Arial" w:hAnsi="Arial" w:cs="Arial"/>
          <w:lang w:val="en-US"/>
        </w:rPr>
        <w:t xml:space="preserve"> toxicities (Table 1). </w:t>
      </w:r>
    </w:p>
    <w:p w14:paraId="5051B6FD" w14:textId="77777777" w:rsidR="00FB59A4" w:rsidRDefault="00FB59A4">
      <w:pPr>
        <w:rPr>
          <w:rFonts w:ascii="Arial" w:hAnsi="Arial" w:cs="Arial"/>
          <w:b/>
          <w:bCs/>
          <w:lang w:val="en-US"/>
        </w:rPr>
      </w:pPr>
      <w:r>
        <w:rPr>
          <w:rFonts w:ascii="Arial" w:hAnsi="Arial" w:cs="Arial"/>
          <w:b/>
          <w:bCs/>
          <w:lang w:val="en-US"/>
        </w:rPr>
        <w:br w:type="page"/>
      </w:r>
    </w:p>
    <w:p w14:paraId="574E0444" w14:textId="22456E2D" w:rsidR="00CE0CD2" w:rsidRPr="005627A5" w:rsidRDefault="00784D29" w:rsidP="008B6246">
      <w:pPr>
        <w:rPr>
          <w:highlight w:val="green"/>
        </w:rPr>
      </w:pPr>
      <w:r w:rsidRPr="00784D29">
        <w:rPr>
          <w:rFonts w:ascii="Arial" w:hAnsi="Arial" w:cs="Arial"/>
          <w:b/>
          <w:bCs/>
          <w:lang w:val="en-US"/>
        </w:rPr>
        <w:lastRenderedPageBreak/>
        <w:t>Table 1</w:t>
      </w:r>
      <w:r w:rsidRPr="00784D29">
        <w:rPr>
          <w:rFonts w:ascii="Arial" w:hAnsi="Arial" w:cs="Arial"/>
          <w:b/>
          <w:bCs/>
          <w:lang w:val="en-US"/>
        </w:rPr>
        <w:tab/>
        <w:t>Dose modifications for adverse reactions</w:t>
      </w:r>
      <w:bookmarkStart w:id="1" w:name="_Hlk1157848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843"/>
        <w:gridCol w:w="5314"/>
      </w:tblGrid>
      <w:tr w:rsidR="00CE0CD2" w:rsidRPr="005627A5" w14:paraId="7EE0EFC9" w14:textId="77777777" w:rsidTr="00CE212B">
        <w:trPr>
          <w:trHeight w:val="377"/>
        </w:trPr>
        <w:tc>
          <w:tcPr>
            <w:tcW w:w="90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067C71" w14:textId="77777777" w:rsidR="00CE0CD2" w:rsidRPr="008B6246" w:rsidRDefault="00CE0CD2" w:rsidP="008B6246">
            <w:pPr>
              <w:spacing w:after="0" w:line="240" w:lineRule="auto"/>
              <w:jc w:val="center"/>
              <w:rPr>
                <w:rFonts w:ascii="Arial" w:hAnsi="Arial" w:cs="Arial"/>
                <w:b/>
                <w:bCs/>
                <w:lang w:val="en-US"/>
              </w:rPr>
            </w:pPr>
            <w:proofErr w:type="spellStart"/>
            <w:r w:rsidRPr="008B6246">
              <w:rPr>
                <w:rFonts w:ascii="Arial" w:hAnsi="Arial" w:cs="Arial"/>
                <w:b/>
                <w:bCs/>
                <w:lang w:val="en-US"/>
              </w:rPr>
              <w:t>Haematologic</w:t>
            </w:r>
            <w:proofErr w:type="spellEnd"/>
            <w:r w:rsidRPr="008B6246">
              <w:rPr>
                <w:rFonts w:ascii="Arial" w:hAnsi="Arial" w:cs="Arial"/>
                <w:b/>
                <w:bCs/>
                <w:lang w:val="en-US"/>
              </w:rPr>
              <w:t xml:space="preserve"> toxicities</w:t>
            </w:r>
          </w:p>
        </w:tc>
      </w:tr>
      <w:tr w:rsidR="00CE0CD2" w:rsidRPr="005627A5" w14:paraId="3ED6DCB8" w14:textId="77777777" w:rsidTr="00CE212B">
        <w:trPr>
          <w:trHeight w:val="368"/>
        </w:trPr>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BF213" w14:textId="77777777" w:rsidR="00CE0CD2" w:rsidRPr="008B6246" w:rsidRDefault="00CE0CD2" w:rsidP="008B6246">
            <w:pPr>
              <w:spacing w:after="0" w:line="240" w:lineRule="auto"/>
              <w:jc w:val="center"/>
              <w:rPr>
                <w:rFonts w:ascii="Arial" w:hAnsi="Arial" w:cs="Arial"/>
                <w:b/>
                <w:bCs/>
                <w:lang w:val="en-US"/>
              </w:rPr>
            </w:pPr>
            <w:r w:rsidRPr="008B6246">
              <w:rPr>
                <w:rFonts w:ascii="Arial" w:hAnsi="Arial" w:cs="Arial"/>
                <w:b/>
                <w:bCs/>
                <w:lang w:val="en-US"/>
              </w:rPr>
              <w:t>Thrombocytopenia</w:t>
            </w:r>
          </w:p>
        </w:tc>
        <w:tc>
          <w:tcPr>
            <w:tcW w:w="5349" w:type="dxa"/>
            <w:vMerge w:val="restart"/>
            <w:tcBorders>
              <w:top w:val="single" w:sz="4" w:space="0" w:color="auto"/>
              <w:left w:val="single" w:sz="4" w:space="0" w:color="auto"/>
              <w:right w:val="single" w:sz="4" w:space="0" w:color="auto"/>
            </w:tcBorders>
            <w:shd w:val="clear" w:color="auto" w:fill="auto"/>
            <w:vAlign w:val="center"/>
          </w:tcPr>
          <w:p w14:paraId="606286B6" w14:textId="03E7C960" w:rsidR="00CE0CD2" w:rsidRPr="008B6246" w:rsidRDefault="00CE0CD2" w:rsidP="008B6246">
            <w:pPr>
              <w:spacing w:after="0" w:line="240" w:lineRule="auto"/>
              <w:jc w:val="center"/>
              <w:rPr>
                <w:rFonts w:ascii="Arial" w:hAnsi="Arial" w:cs="Arial"/>
                <w:b/>
                <w:bCs/>
                <w:lang w:val="en-US"/>
              </w:rPr>
            </w:pPr>
            <w:r w:rsidRPr="008B6246">
              <w:rPr>
                <w:rFonts w:ascii="Arial" w:hAnsi="Arial" w:cs="Arial"/>
                <w:b/>
                <w:bCs/>
                <w:lang w:val="en-US"/>
              </w:rPr>
              <w:t xml:space="preserve">Dose </w:t>
            </w:r>
            <w:proofErr w:type="spellStart"/>
            <w:r w:rsidR="00BB4C71">
              <w:rPr>
                <w:rFonts w:ascii="Arial" w:hAnsi="Arial" w:cs="Arial"/>
                <w:b/>
                <w:bCs/>
                <w:lang w:val="en-US"/>
              </w:rPr>
              <w:t>m</w:t>
            </w:r>
            <w:r w:rsidRPr="008B6246">
              <w:rPr>
                <w:rFonts w:ascii="Arial" w:hAnsi="Arial" w:cs="Arial"/>
                <w:b/>
                <w:bCs/>
                <w:lang w:val="en-US"/>
              </w:rPr>
              <w:t>odification</w:t>
            </w:r>
            <w:r w:rsidRPr="008B6246">
              <w:rPr>
                <w:rFonts w:ascii="Arial" w:hAnsi="Arial" w:cs="Arial"/>
                <w:b/>
                <w:bCs/>
                <w:vertAlign w:val="superscript"/>
                <w:lang w:val="en-US"/>
              </w:rPr>
              <w:t>a</w:t>
            </w:r>
            <w:proofErr w:type="spellEnd"/>
          </w:p>
        </w:tc>
      </w:tr>
      <w:tr w:rsidR="00CE0CD2" w:rsidRPr="005627A5" w14:paraId="2575C269" w14:textId="77777777" w:rsidTr="00CE212B">
        <w:trPr>
          <w:trHeight w:val="512"/>
        </w:trPr>
        <w:tc>
          <w:tcPr>
            <w:tcW w:w="1863" w:type="dxa"/>
            <w:shd w:val="clear" w:color="auto" w:fill="auto"/>
            <w:vAlign w:val="center"/>
          </w:tcPr>
          <w:p w14:paraId="53DE4833" w14:textId="77777777" w:rsidR="00CE0CD2" w:rsidRPr="008B6246" w:rsidRDefault="00CE0CD2" w:rsidP="008B6246">
            <w:pPr>
              <w:spacing w:after="0" w:line="240" w:lineRule="auto"/>
              <w:jc w:val="center"/>
              <w:rPr>
                <w:rFonts w:ascii="Arial" w:hAnsi="Arial" w:cs="Arial"/>
                <w:b/>
                <w:bCs/>
                <w:lang w:val="en-US"/>
              </w:rPr>
            </w:pPr>
            <w:r w:rsidRPr="008B6246">
              <w:rPr>
                <w:rFonts w:ascii="Arial" w:hAnsi="Arial" w:cs="Arial"/>
                <w:b/>
                <w:bCs/>
                <w:lang w:val="en-US"/>
              </w:rPr>
              <w:t>Baseline platelet count</w:t>
            </w:r>
          </w:p>
        </w:tc>
        <w:tc>
          <w:tcPr>
            <w:tcW w:w="1849" w:type="dxa"/>
            <w:tcBorders>
              <w:right w:val="single" w:sz="4" w:space="0" w:color="auto"/>
            </w:tcBorders>
            <w:shd w:val="clear" w:color="auto" w:fill="auto"/>
            <w:vAlign w:val="center"/>
          </w:tcPr>
          <w:p w14:paraId="11849FB3" w14:textId="77777777" w:rsidR="00CE0CD2" w:rsidRPr="008B6246" w:rsidRDefault="00CE0CD2" w:rsidP="008B6246">
            <w:pPr>
              <w:spacing w:after="0" w:line="240" w:lineRule="auto"/>
              <w:ind w:left="144"/>
              <w:jc w:val="center"/>
              <w:rPr>
                <w:rFonts w:ascii="Arial" w:hAnsi="Arial" w:cs="Arial"/>
                <w:b/>
                <w:bCs/>
                <w:lang w:val="en-US"/>
              </w:rPr>
            </w:pPr>
            <w:r w:rsidRPr="008B6246">
              <w:rPr>
                <w:rFonts w:ascii="Arial" w:hAnsi="Arial" w:cs="Arial"/>
                <w:b/>
                <w:bCs/>
                <w:lang w:val="en-US"/>
              </w:rPr>
              <w:t>Platelet count</w:t>
            </w:r>
          </w:p>
        </w:tc>
        <w:tc>
          <w:tcPr>
            <w:tcW w:w="5349" w:type="dxa"/>
            <w:vMerge/>
            <w:tcBorders>
              <w:left w:val="single" w:sz="4" w:space="0" w:color="auto"/>
              <w:right w:val="single" w:sz="4" w:space="0" w:color="auto"/>
            </w:tcBorders>
            <w:shd w:val="clear" w:color="auto" w:fill="auto"/>
            <w:vAlign w:val="bottom"/>
          </w:tcPr>
          <w:p w14:paraId="27EF6155" w14:textId="77777777" w:rsidR="00CE0CD2" w:rsidRPr="008B6246" w:rsidRDefault="00CE0CD2" w:rsidP="008B6246">
            <w:pPr>
              <w:spacing w:after="0" w:line="240" w:lineRule="auto"/>
              <w:rPr>
                <w:rFonts w:ascii="Arial" w:hAnsi="Arial" w:cs="Arial"/>
                <w:b/>
                <w:bCs/>
                <w:lang w:val="en-US"/>
              </w:rPr>
            </w:pPr>
          </w:p>
        </w:tc>
      </w:tr>
      <w:tr w:rsidR="00CE0CD2" w:rsidRPr="005627A5" w14:paraId="3592D9AE" w14:textId="77777777" w:rsidTr="00CE212B">
        <w:trPr>
          <w:trHeight w:val="780"/>
        </w:trPr>
        <w:tc>
          <w:tcPr>
            <w:tcW w:w="1863" w:type="dxa"/>
            <w:vMerge w:val="restart"/>
            <w:shd w:val="clear" w:color="auto" w:fill="auto"/>
          </w:tcPr>
          <w:p w14:paraId="31B00964"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≥100 × 10</w:t>
            </w:r>
            <w:r w:rsidRPr="008B6246">
              <w:rPr>
                <w:rFonts w:ascii="Arial" w:hAnsi="Arial" w:cs="Arial"/>
                <w:vertAlign w:val="superscript"/>
                <w:lang w:val="en-US"/>
              </w:rPr>
              <w:t>9</w:t>
            </w:r>
            <w:r w:rsidRPr="008B6246">
              <w:rPr>
                <w:rFonts w:ascii="Arial" w:hAnsi="Arial" w:cs="Arial"/>
                <w:lang w:val="en-US"/>
              </w:rPr>
              <w:t>/L</w:t>
            </w:r>
          </w:p>
        </w:tc>
        <w:tc>
          <w:tcPr>
            <w:tcW w:w="1849" w:type="dxa"/>
            <w:shd w:val="clear" w:color="auto" w:fill="auto"/>
          </w:tcPr>
          <w:p w14:paraId="49651399"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20 × 10</w:t>
            </w:r>
            <w:r w:rsidRPr="008B6246">
              <w:rPr>
                <w:rFonts w:ascii="Arial" w:hAnsi="Arial" w:cs="Arial"/>
                <w:vertAlign w:val="superscript"/>
                <w:lang w:val="en-US"/>
              </w:rPr>
              <w:t>9</w:t>
            </w:r>
            <w:r w:rsidRPr="008B6246">
              <w:rPr>
                <w:rFonts w:ascii="Arial" w:hAnsi="Arial" w:cs="Arial"/>
                <w:lang w:val="en-US"/>
              </w:rPr>
              <w:t>/L to &lt;50 × 10</w:t>
            </w:r>
            <w:r w:rsidRPr="008B6246">
              <w:rPr>
                <w:rFonts w:ascii="Arial" w:hAnsi="Arial" w:cs="Arial"/>
                <w:vertAlign w:val="superscript"/>
                <w:lang w:val="en-US"/>
              </w:rPr>
              <w:t>9</w:t>
            </w:r>
            <w:r w:rsidRPr="008B6246">
              <w:rPr>
                <w:rFonts w:ascii="Arial" w:hAnsi="Arial" w:cs="Arial"/>
                <w:lang w:val="en-US"/>
              </w:rPr>
              <w:t>/L</w:t>
            </w:r>
          </w:p>
        </w:tc>
        <w:tc>
          <w:tcPr>
            <w:tcW w:w="5349" w:type="dxa"/>
            <w:shd w:val="clear" w:color="auto" w:fill="auto"/>
          </w:tcPr>
          <w:p w14:paraId="45ADBF5B" w14:textId="77777777" w:rsidR="00CE0CD2" w:rsidRPr="008B6246" w:rsidRDefault="00CE0CD2" w:rsidP="008B6246">
            <w:pPr>
              <w:tabs>
                <w:tab w:val="left" w:pos="274"/>
                <w:tab w:val="left" w:pos="547"/>
                <w:tab w:val="left" w:pos="821"/>
                <w:tab w:val="left" w:pos="1094"/>
              </w:tabs>
              <w:spacing w:after="0"/>
              <w:rPr>
                <w:rFonts w:ascii="Arial" w:hAnsi="Arial" w:cs="Arial"/>
                <w:lang w:val="en-US"/>
              </w:rPr>
            </w:pPr>
            <w:r w:rsidRPr="008B6246">
              <w:rPr>
                <w:rFonts w:ascii="Arial" w:hAnsi="Arial" w:cs="Arial"/>
                <w:lang w:val="en-US"/>
              </w:rPr>
              <w:t>Reduce daily dose by 50 mg from the last given dose</w:t>
            </w:r>
          </w:p>
        </w:tc>
      </w:tr>
      <w:tr w:rsidR="00CE0CD2" w:rsidRPr="005627A5" w14:paraId="6DEE73B2" w14:textId="77777777" w:rsidTr="00CE212B">
        <w:trPr>
          <w:trHeight w:val="780"/>
        </w:trPr>
        <w:tc>
          <w:tcPr>
            <w:tcW w:w="1863" w:type="dxa"/>
            <w:vMerge/>
            <w:shd w:val="clear" w:color="auto" w:fill="auto"/>
          </w:tcPr>
          <w:p w14:paraId="5DB5B6F6" w14:textId="77777777" w:rsidR="00CE0CD2" w:rsidRPr="008B6246" w:rsidRDefault="00CE0CD2" w:rsidP="008B6246">
            <w:pPr>
              <w:spacing w:after="0" w:line="240" w:lineRule="auto"/>
              <w:rPr>
                <w:rFonts w:ascii="Arial" w:hAnsi="Arial" w:cs="Arial"/>
                <w:lang w:val="en-US"/>
              </w:rPr>
            </w:pPr>
          </w:p>
        </w:tc>
        <w:tc>
          <w:tcPr>
            <w:tcW w:w="1849" w:type="dxa"/>
            <w:shd w:val="clear" w:color="auto" w:fill="auto"/>
          </w:tcPr>
          <w:p w14:paraId="1F38D189"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&lt;20 × 10</w:t>
            </w:r>
            <w:r w:rsidRPr="008B6246">
              <w:rPr>
                <w:rFonts w:ascii="Arial" w:hAnsi="Arial" w:cs="Arial"/>
                <w:vertAlign w:val="superscript"/>
                <w:lang w:val="en-US"/>
              </w:rPr>
              <w:t>9</w:t>
            </w:r>
            <w:r w:rsidRPr="008B6246">
              <w:rPr>
                <w:rFonts w:ascii="Arial" w:hAnsi="Arial" w:cs="Arial"/>
                <w:lang w:val="en-US"/>
              </w:rPr>
              <w:t>/L</w:t>
            </w:r>
          </w:p>
        </w:tc>
        <w:tc>
          <w:tcPr>
            <w:tcW w:w="5349" w:type="dxa"/>
            <w:shd w:val="clear" w:color="auto" w:fill="auto"/>
          </w:tcPr>
          <w:p w14:paraId="61CB4A43" w14:textId="77777777" w:rsidR="00CE0CD2" w:rsidRPr="008B6246" w:rsidRDefault="00CE0CD2" w:rsidP="008B6246">
            <w:pPr>
              <w:tabs>
                <w:tab w:val="left" w:pos="274"/>
                <w:tab w:val="left" w:pos="547"/>
                <w:tab w:val="left" w:pos="821"/>
                <w:tab w:val="left" w:pos="1094"/>
              </w:tabs>
              <w:spacing w:after="0"/>
              <w:rPr>
                <w:rFonts w:ascii="Arial" w:hAnsi="Arial" w:cs="Arial"/>
                <w:lang w:val="en-US"/>
              </w:rPr>
            </w:pPr>
            <w:r w:rsidRPr="008B6246">
              <w:rPr>
                <w:rFonts w:ascii="Arial" w:hAnsi="Arial" w:cs="Arial"/>
                <w:lang w:val="en-US"/>
              </w:rPr>
              <w:t>Interrupt treatment until platelets recover to 50 × 10</w:t>
            </w:r>
            <w:r w:rsidRPr="008B6246">
              <w:rPr>
                <w:rFonts w:ascii="Arial" w:hAnsi="Arial" w:cs="Arial"/>
                <w:vertAlign w:val="superscript"/>
                <w:lang w:val="en-US"/>
              </w:rPr>
              <w:t>9</w:t>
            </w:r>
            <w:r w:rsidRPr="008B6246">
              <w:rPr>
                <w:rFonts w:ascii="Arial" w:hAnsi="Arial" w:cs="Arial"/>
                <w:lang w:val="en-US"/>
              </w:rPr>
              <w:t>/L</w:t>
            </w:r>
          </w:p>
          <w:p w14:paraId="4EECCFD8" w14:textId="380ADDCE" w:rsidR="00CE0CD2" w:rsidRPr="008B6246" w:rsidRDefault="00CE0CD2" w:rsidP="008B6246">
            <w:pPr>
              <w:tabs>
                <w:tab w:val="left" w:pos="274"/>
                <w:tab w:val="left" w:pos="547"/>
                <w:tab w:val="left" w:pos="821"/>
                <w:tab w:val="left" w:pos="1094"/>
              </w:tabs>
              <w:spacing w:after="0"/>
              <w:rPr>
                <w:rFonts w:ascii="Arial" w:hAnsi="Arial" w:cs="Arial"/>
                <w:lang w:val="en-US"/>
              </w:rPr>
            </w:pPr>
            <w:r w:rsidRPr="008B6246">
              <w:rPr>
                <w:rFonts w:ascii="Arial" w:hAnsi="Arial" w:cs="Arial"/>
                <w:lang w:val="en-US"/>
              </w:rPr>
              <w:t xml:space="preserve">Restart </w:t>
            </w:r>
            <w:r w:rsidR="00E460C2" w:rsidRPr="008B6246">
              <w:rPr>
                <w:rFonts w:ascii="Arial" w:hAnsi="Arial" w:cs="Arial"/>
                <w:lang w:val="en-US"/>
              </w:rPr>
              <w:t>OMJJARA</w:t>
            </w:r>
            <w:r w:rsidRPr="008B6246">
              <w:rPr>
                <w:rFonts w:ascii="Arial" w:hAnsi="Arial" w:cs="Arial"/>
                <w:lang w:val="en-US"/>
              </w:rPr>
              <w:t xml:space="preserve"> at a daily dose of 50 mg below the last given </w:t>
            </w:r>
            <w:proofErr w:type="spellStart"/>
            <w:r w:rsidRPr="008B6246">
              <w:rPr>
                <w:rFonts w:ascii="Arial" w:hAnsi="Arial" w:cs="Arial"/>
                <w:lang w:val="en-US"/>
              </w:rPr>
              <w:t>dose</w:t>
            </w:r>
            <w:r w:rsidRPr="008B6246">
              <w:rPr>
                <w:rFonts w:ascii="Arial" w:hAnsi="Arial" w:cs="Arial"/>
                <w:vertAlign w:val="superscript"/>
                <w:lang w:val="en-US"/>
              </w:rPr>
              <w:t>b</w:t>
            </w:r>
            <w:proofErr w:type="spellEnd"/>
          </w:p>
        </w:tc>
      </w:tr>
      <w:tr w:rsidR="00CE0CD2" w:rsidRPr="005627A5" w14:paraId="5A31A0F5" w14:textId="77777777" w:rsidTr="00CE212B">
        <w:trPr>
          <w:trHeight w:val="745"/>
        </w:trPr>
        <w:tc>
          <w:tcPr>
            <w:tcW w:w="1863" w:type="dxa"/>
            <w:shd w:val="clear" w:color="auto" w:fill="auto"/>
          </w:tcPr>
          <w:p w14:paraId="6FD978E2"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≥50 × 10</w:t>
            </w:r>
            <w:r w:rsidRPr="008B6246">
              <w:rPr>
                <w:rFonts w:ascii="Arial" w:hAnsi="Arial" w:cs="Arial"/>
                <w:vertAlign w:val="superscript"/>
                <w:lang w:val="en-US"/>
              </w:rPr>
              <w:t>9</w:t>
            </w:r>
            <w:r w:rsidRPr="008B6246">
              <w:rPr>
                <w:rFonts w:ascii="Arial" w:hAnsi="Arial" w:cs="Arial"/>
                <w:lang w:val="en-US"/>
              </w:rPr>
              <w:t>/L to &lt;100 × 10</w:t>
            </w:r>
            <w:r w:rsidRPr="008B6246">
              <w:rPr>
                <w:rFonts w:ascii="Arial" w:hAnsi="Arial" w:cs="Arial"/>
                <w:vertAlign w:val="superscript"/>
                <w:lang w:val="en-US"/>
              </w:rPr>
              <w:t>9</w:t>
            </w:r>
            <w:r w:rsidRPr="008B6246">
              <w:rPr>
                <w:rFonts w:ascii="Arial" w:hAnsi="Arial" w:cs="Arial"/>
                <w:lang w:val="en-US"/>
              </w:rPr>
              <w:t>/L</w:t>
            </w:r>
          </w:p>
        </w:tc>
        <w:tc>
          <w:tcPr>
            <w:tcW w:w="1849" w:type="dxa"/>
            <w:shd w:val="clear" w:color="auto" w:fill="auto"/>
          </w:tcPr>
          <w:p w14:paraId="04FF74CF" w14:textId="77777777" w:rsidR="00CE0CD2" w:rsidRPr="008B6246" w:rsidRDefault="00CE0CD2" w:rsidP="008B6246">
            <w:pPr>
              <w:spacing w:before="100" w:beforeAutospacing="1" w:after="0" w:afterAutospacing="1" w:line="240" w:lineRule="auto"/>
              <w:rPr>
                <w:rFonts w:ascii="Arial" w:hAnsi="Arial" w:cs="Arial"/>
                <w:lang w:val="en-US"/>
              </w:rPr>
            </w:pPr>
            <w:r w:rsidRPr="008B6246">
              <w:rPr>
                <w:rFonts w:ascii="Arial" w:hAnsi="Arial" w:cs="Arial"/>
                <w:lang w:val="en-US"/>
              </w:rPr>
              <w:t>&lt;20 × 10</w:t>
            </w:r>
            <w:r w:rsidRPr="008B6246">
              <w:rPr>
                <w:rFonts w:ascii="Arial" w:hAnsi="Arial" w:cs="Arial"/>
                <w:vertAlign w:val="superscript"/>
                <w:lang w:val="en-US"/>
              </w:rPr>
              <w:t>9</w:t>
            </w:r>
            <w:r w:rsidRPr="008B6246">
              <w:rPr>
                <w:rFonts w:ascii="Arial" w:hAnsi="Arial" w:cs="Arial"/>
                <w:lang w:val="en-US"/>
              </w:rPr>
              <w:t>/L</w:t>
            </w:r>
          </w:p>
        </w:tc>
        <w:tc>
          <w:tcPr>
            <w:tcW w:w="5349" w:type="dxa"/>
            <w:shd w:val="clear" w:color="auto" w:fill="auto"/>
          </w:tcPr>
          <w:p w14:paraId="5730E2AB"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Interrupt treatment until platelets recover to 50 × 10</w:t>
            </w:r>
            <w:r w:rsidRPr="008B6246">
              <w:rPr>
                <w:rFonts w:ascii="Arial" w:hAnsi="Arial" w:cs="Arial"/>
                <w:vertAlign w:val="superscript"/>
                <w:lang w:val="en-US"/>
              </w:rPr>
              <w:t>9</w:t>
            </w:r>
            <w:r w:rsidRPr="008B6246">
              <w:rPr>
                <w:rFonts w:ascii="Arial" w:hAnsi="Arial" w:cs="Arial"/>
                <w:lang w:val="en-US"/>
              </w:rPr>
              <w:t>/L</w:t>
            </w:r>
          </w:p>
          <w:p w14:paraId="0974A02D" w14:textId="1504A691" w:rsidR="00CE0CD2" w:rsidRPr="008B6246" w:rsidRDefault="00CE0CD2" w:rsidP="008B6246">
            <w:pPr>
              <w:spacing w:after="0" w:line="240" w:lineRule="auto"/>
              <w:rPr>
                <w:rFonts w:ascii="Arial" w:hAnsi="Arial" w:cs="Arial"/>
                <w:lang w:val="en-US"/>
              </w:rPr>
            </w:pPr>
            <w:r w:rsidRPr="008B6246">
              <w:rPr>
                <w:rFonts w:ascii="Arial" w:hAnsi="Arial" w:cs="Arial"/>
                <w:lang w:val="en-US"/>
              </w:rPr>
              <w:t xml:space="preserve">Restart </w:t>
            </w:r>
            <w:r w:rsidR="00E460C2" w:rsidRPr="008B6246">
              <w:rPr>
                <w:rFonts w:ascii="Arial" w:hAnsi="Arial" w:cs="Arial"/>
                <w:lang w:val="en-US"/>
              </w:rPr>
              <w:t>OMJJARA</w:t>
            </w:r>
            <w:r w:rsidRPr="008B6246">
              <w:rPr>
                <w:rFonts w:ascii="Arial" w:hAnsi="Arial" w:cs="Arial"/>
                <w:lang w:val="en-US"/>
              </w:rPr>
              <w:t xml:space="preserve"> at a daily dose of 50 mg below the last given </w:t>
            </w:r>
            <w:proofErr w:type="spellStart"/>
            <w:r w:rsidRPr="008B6246">
              <w:rPr>
                <w:rFonts w:ascii="Arial" w:hAnsi="Arial" w:cs="Arial"/>
                <w:lang w:val="en-US"/>
              </w:rPr>
              <w:t>dose</w:t>
            </w:r>
            <w:r w:rsidRPr="008B6246">
              <w:rPr>
                <w:rFonts w:ascii="Arial" w:hAnsi="Arial" w:cs="Arial"/>
                <w:vertAlign w:val="superscript"/>
                <w:lang w:val="en-US"/>
              </w:rPr>
              <w:t>b</w:t>
            </w:r>
            <w:proofErr w:type="spellEnd"/>
          </w:p>
        </w:tc>
      </w:tr>
      <w:tr w:rsidR="00CE0CD2" w:rsidRPr="005627A5" w14:paraId="1571B473" w14:textId="77777777" w:rsidTr="00CE212B">
        <w:trPr>
          <w:trHeight w:val="745"/>
        </w:trPr>
        <w:tc>
          <w:tcPr>
            <w:tcW w:w="1863" w:type="dxa"/>
            <w:shd w:val="clear" w:color="auto" w:fill="auto"/>
          </w:tcPr>
          <w:p w14:paraId="3CF8C333"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&lt;50 × 10</w:t>
            </w:r>
            <w:r w:rsidRPr="008B6246">
              <w:rPr>
                <w:rFonts w:ascii="Arial" w:hAnsi="Arial" w:cs="Arial"/>
                <w:vertAlign w:val="superscript"/>
                <w:lang w:val="en-US"/>
              </w:rPr>
              <w:t>9</w:t>
            </w:r>
            <w:r w:rsidRPr="008B6246">
              <w:rPr>
                <w:rFonts w:ascii="Arial" w:hAnsi="Arial" w:cs="Arial"/>
                <w:lang w:val="en-US"/>
              </w:rPr>
              <w:t>/L</w:t>
            </w:r>
          </w:p>
        </w:tc>
        <w:tc>
          <w:tcPr>
            <w:tcW w:w="1849" w:type="dxa"/>
            <w:shd w:val="clear" w:color="auto" w:fill="auto"/>
          </w:tcPr>
          <w:p w14:paraId="2E656075"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&lt;20 × 10</w:t>
            </w:r>
            <w:r w:rsidRPr="008B6246">
              <w:rPr>
                <w:rFonts w:ascii="Arial" w:hAnsi="Arial" w:cs="Arial"/>
                <w:vertAlign w:val="superscript"/>
                <w:lang w:val="en-US"/>
              </w:rPr>
              <w:t>9</w:t>
            </w:r>
            <w:r w:rsidRPr="008B6246">
              <w:rPr>
                <w:rFonts w:ascii="Arial" w:hAnsi="Arial" w:cs="Arial"/>
                <w:lang w:val="en-US"/>
              </w:rPr>
              <w:t>/L</w:t>
            </w:r>
          </w:p>
        </w:tc>
        <w:tc>
          <w:tcPr>
            <w:tcW w:w="5349" w:type="dxa"/>
            <w:shd w:val="clear" w:color="auto" w:fill="auto"/>
          </w:tcPr>
          <w:p w14:paraId="023235AF" w14:textId="77777777" w:rsidR="00CE0CD2" w:rsidRPr="008B6246" w:rsidRDefault="00CE0CD2" w:rsidP="008B6246">
            <w:pPr>
              <w:tabs>
                <w:tab w:val="left" w:pos="274"/>
                <w:tab w:val="left" w:pos="547"/>
                <w:tab w:val="left" w:pos="821"/>
                <w:tab w:val="left" w:pos="1094"/>
              </w:tabs>
              <w:spacing w:after="0"/>
              <w:rPr>
                <w:rFonts w:ascii="Arial" w:hAnsi="Arial" w:cs="Arial"/>
                <w:lang w:val="en-US"/>
              </w:rPr>
            </w:pPr>
            <w:r w:rsidRPr="008B6246">
              <w:rPr>
                <w:rFonts w:ascii="Arial" w:hAnsi="Arial" w:cs="Arial"/>
                <w:lang w:val="en-US"/>
              </w:rPr>
              <w:t>Interrupt treatment until platelets recover to baseline</w:t>
            </w:r>
          </w:p>
          <w:p w14:paraId="5B42317F" w14:textId="492B3584" w:rsidR="00CE0CD2" w:rsidRPr="008B6246" w:rsidRDefault="00CE0CD2" w:rsidP="008B6246">
            <w:pPr>
              <w:tabs>
                <w:tab w:val="left" w:pos="274"/>
                <w:tab w:val="left" w:pos="547"/>
                <w:tab w:val="left" w:pos="821"/>
                <w:tab w:val="left" w:pos="1094"/>
              </w:tabs>
              <w:spacing w:after="0"/>
              <w:rPr>
                <w:rFonts w:ascii="Arial" w:hAnsi="Arial" w:cs="Arial"/>
                <w:lang w:val="en-US"/>
              </w:rPr>
            </w:pPr>
            <w:r w:rsidRPr="008B6246">
              <w:rPr>
                <w:rFonts w:ascii="Arial" w:hAnsi="Arial" w:cs="Arial"/>
                <w:lang w:val="en-US"/>
              </w:rPr>
              <w:t xml:space="preserve">Restart </w:t>
            </w:r>
            <w:r w:rsidR="00E460C2" w:rsidRPr="008B6246">
              <w:rPr>
                <w:rFonts w:ascii="Arial" w:hAnsi="Arial" w:cs="Arial"/>
                <w:lang w:val="en-US"/>
              </w:rPr>
              <w:t>OMJJARA</w:t>
            </w:r>
            <w:r w:rsidRPr="008B6246">
              <w:rPr>
                <w:rFonts w:ascii="Arial" w:hAnsi="Arial" w:cs="Arial"/>
                <w:lang w:val="en-US"/>
              </w:rPr>
              <w:t xml:space="preserve"> at a daily dose of 50 mg below the last given </w:t>
            </w:r>
            <w:proofErr w:type="spellStart"/>
            <w:r w:rsidRPr="008B6246">
              <w:rPr>
                <w:rFonts w:ascii="Arial" w:hAnsi="Arial" w:cs="Arial"/>
                <w:lang w:val="en-US"/>
              </w:rPr>
              <w:t>dose</w:t>
            </w:r>
            <w:r w:rsidRPr="008B6246">
              <w:rPr>
                <w:rFonts w:ascii="Arial" w:hAnsi="Arial" w:cs="Arial"/>
                <w:vertAlign w:val="superscript"/>
                <w:lang w:val="en-US"/>
              </w:rPr>
              <w:t>b</w:t>
            </w:r>
            <w:proofErr w:type="spellEnd"/>
          </w:p>
        </w:tc>
      </w:tr>
      <w:tr w:rsidR="00CE0CD2" w:rsidRPr="005627A5" w14:paraId="315AD1B8" w14:textId="77777777" w:rsidTr="008B6246">
        <w:trPr>
          <w:trHeight w:val="395"/>
        </w:trPr>
        <w:tc>
          <w:tcPr>
            <w:tcW w:w="3712" w:type="dxa"/>
            <w:gridSpan w:val="2"/>
            <w:shd w:val="clear" w:color="auto" w:fill="auto"/>
            <w:vAlign w:val="center"/>
          </w:tcPr>
          <w:p w14:paraId="46246C0E" w14:textId="77777777" w:rsidR="00CE0CD2" w:rsidRPr="008B6246" w:rsidRDefault="00CE0CD2" w:rsidP="008B6246">
            <w:pPr>
              <w:spacing w:after="0" w:line="240" w:lineRule="auto"/>
              <w:jc w:val="center"/>
              <w:rPr>
                <w:rFonts w:ascii="Arial" w:hAnsi="Arial" w:cs="Arial"/>
                <w:b/>
                <w:bCs/>
                <w:lang w:val="en-US"/>
              </w:rPr>
            </w:pPr>
            <w:r w:rsidRPr="008B6246">
              <w:rPr>
                <w:rFonts w:ascii="Arial" w:hAnsi="Arial" w:cs="Arial"/>
                <w:b/>
                <w:bCs/>
                <w:lang w:val="en-US"/>
              </w:rPr>
              <w:t>Neutropenia</w:t>
            </w:r>
          </w:p>
        </w:tc>
        <w:tc>
          <w:tcPr>
            <w:tcW w:w="5349" w:type="dxa"/>
            <w:shd w:val="clear" w:color="auto" w:fill="auto"/>
            <w:vAlign w:val="center"/>
          </w:tcPr>
          <w:p w14:paraId="7E522B7A" w14:textId="77777777" w:rsidR="00CE0CD2" w:rsidRPr="008B6246" w:rsidRDefault="00CE0CD2" w:rsidP="008B6246">
            <w:pPr>
              <w:tabs>
                <w:tab w:val="left" w:pos="274"/>
                <w:tab w:val="left" w:pos="547"/>
                <w:tab w:val="left" w:pos="821"/>
                <w:tab w:val="left" w:pos="1094"/>
              </w:tabs>
              <w:spacing w:after="0"/>
              <w:jc w:val="center"/>
              <w:rPr>
                <w:rFonts w:ascii="Arial" w:hAnsi="Arial" w:cs="Arial"/>
                <w:b/>
                <w:bCs/>
                <w:lang w:val="en-US"/>
              </w:rPr>
            </w:pPr>
            <w:r w:rsidRPr="008B6246">
              <w:rPr>
                <w:rFonts w:ascii="Arial" w:hAnsi="Arial" w:cs="Arial"/>
                <w:b/>
                <w:bCs/>
                <w:lang w:val="en-US"/>
              </w:rPr>
              <w:t xml:space="preserve">Dose </w:t>
            </w:r>
            <w:proofErr w:type="spellStart"/>
            <w:r w:rsidRPr="008B6246">
              <w:rPr>
                <w:rFonts w:ascii="Arial" w:hAnsi="Arial" w:cs="Arial"/>
                <w:b/>
                <w:bCs/>
                <w:lang w:val="en-US"/>
              </w:rPr>
              <w:t>modification</w:t>
            </w:r>
            <w:r w:rsidRPr="008B6246">
              <w:rPr>
                <w:rFonts w:ascii="Arial" w:hAnsi="Arial" w:cs="Arial"/>
                <w:b/>
                <w:bCs/>
                <w:vertAlign w:val="superscript"/>
                <w:lang w:val="en-US"/>
              </w:rPr>
              <w:t>a</w:t>
            </w:r>
            <w:proofErr w:type="spellEnd"/>
          </w:p>
        </w:tc>
      </w:tr>
      <w:tr w:rsidR="00CE0CD2" w:rsidRPr="005627A5" w14:paraId="399D6CB8" w14:textId="77777777" w:rsidTr="00CE212B">
        <w:trPr>
          <w:trHeight w:val="827"/>
        </w:trPr>
        <w:tc>
          <w:tcPr>
            <w:tcW w:w="3712" w:type="dxa"/>
            <w:gridSpan w:val="2"/>
            <w:shd w:val="clear" w:color="auto" w:fill="auto"/>
          </w:tcPr>
          <w:p w14:paraId="042C56FD"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ANC &lt;0.5 × 10</w:t>
            </w:r>
            <w:r w:rsidRPr="008B6246">
              <w:rPr>
                <w:rFonts w:ascii="Arial" w:hAnsi="Arial" w:cs="Arial"/>
                <w:vertAlign w:val="superscript"/>
                <w:lang w:val="en-US"/>
              </w:rPr>
              <w:t>9</w:t>
            </w:r>
            <w:r w:rsidRPr="008B6246">
              <w:rPr>
                <w:rFonts w:ascii="Arial" w:hAnsi="Arial" w:cs="Arial"/>
                <w:lang w:val="en-US"/>
              </w:rPr>
              <w:t>/L</w:t>
            </w:r>
          </w:p>
        </w:tc>
        <w:tc>
          <w:tcPr>
            <w:tcW w:w="5349" w:type="dxa"/>
            <w:shd w:val="clear" w:color="auto" w:fill="auto"/>
          </w:tcPr>
          <w:p w14:paraId="3411E4E7"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Interrupt treatment until ANC ≥0.75 × 10</w:t>
            </w:r>
            <w:r w:rsidRPr="008B6246">
              <w:rPr>
                <w:rFonts w:ascii="Arial" w:hAnsi="Arial" w:cs="Arial"/>
                <w:vertAlign w:val="superscript"/>
                <w:lang w:val="en-US"/>
              </w:rPr>
              <w:t>9</w:t>
            </w:r>
            <w:r w:rsidRPr="008B6246">
              <w:rPr>
                <w:rFonts w:ascii="Arial" w:hAnsi="Arial" w:cs="Arial"/>
                <w:lang w:val="en-US"/>
              </w:rPr>
              <w:t>/L</w:t>
            </w:r>
          </w:p>
          <w:p w14:paraId="2D874637" w14:textId="6A72C27B" w:rsidR="00CE0CD2" w:rsidRPr="008B6246" w:rsidRDefault="00CE0CD2" w:rsidP="008B6246">
            <w:pPr>
              <w:spacing w:after="0" w:line="240" w:lineRule="auto"/>
              <w:rPr>
                <w:rFonts w:ascii="Arial" w:hAnsi="Arial" w:cs="Arial"/>
                <w:lang w:val="en-US"/>
              </w:rPr>
            </w:pPr>
            <w:r w:rsidRPr="008B6246">
              <w:rPr>
                <w:rFonts w:ascii="Arial" w:hAnsi="Arial" w:cs="Arial"/>
                <w:lang w:val="en-US"/>
              </w:rPr>
              <w:t xml:space="preserve">Restart </w:t>
            </w:r>
            <w:r w:rsidR="00E460C2" w:rsidRPr="008B6246">
              <w:rPr>
                <w:rFonts w:ascii="Arial" w:hAnsi="Arial" w:cs="Arial"/>
                <w:lang w:val="en-US"/>
              </w:rPr>
              <w:t>OMJJARA</w:t>
            </w:r>
            <w:r w:rsidRPr="008B6246">
              <w:rPr>
                <w:rFonts w:ascii="Arial" w:hAnsi="Arial" w:cs="Arial"/>
                <w:lang w:val="en-US"/>
              </w:rPr>
              <w:t xml:space="preserve"> at a daily dose of 50 mg below the last given </w:t>
            </w:r>
            <w:proofErr w:type="spellStart"/>
            <w:r w:rsidRPr="008B6246">
              <w:rPr>
                <w:rFonts w:ascii="Arial" w:hAnsi="Arial" w:cs="Arial"/>
                <w:lang w:val="en-US"/>
              </w:rPr>
              <w:t>dose</w:t>
            </w:r>
            <w:r w:rsidRPr="008B6246">
              <w:rPr>
                <w:rFonts w:ascii="Arial" w:hAnsi="Arial" w:cs="Arial"/>
                <w:vertAlign w:val="superscript"/>
                <w:lang w:val="en-US"/>
              </w:rPr>
              <w:t>b</w:t>
            </w:r>
            <w:proofErr w:type="spellEnd"/>
          </w:p>
        </w:tc>
      </w:tr>
      <w:tr w:rsidR="00CE0CD2" w:rsidRPr="005627A5" w14:paraId="01D81763" w14:textId="77777777" w:rsidTr="00CE212B">
        <w:trPr>
          <w:trHeight w:val="332"/>
        </w:trPr>
        <w:tc>
          <w:tcPr>
            <w:tcW w:w="9061" w:type="dxa"/>
            <w:gridSpan w:val="3"/>
            <w:shd w:val="clear" w:color="auto" w:fill="auto"/>
          </w:tcPr>
          <w:p w14:paraId="6760A648" w14:textId="4B75A999" w:rsidR="00CE0CD2" w:rsidRPr="008B6246" w:rsidRDefault="00CE0CD2" w:rsidP="008B6246">
            <w:pPr>
              <w:spacing w:after="0" w:line="240" w:lineRule="auto"/>
              <w:jc w:val="center"/>
              <w:rPr>
                <w:rFonts w:ascii="Arial" w:hAnsi="Arial" w:cs="Arial"/>
                <w:b/>
                <w:bCs/>
                <w:lang w:val="en-US"/>
              </w:rPr>
            </w:pPr>
            <w:proofErr w:type="spellStart"/>
            <w:r w:rsidRPr="008B6246">
              <w:rPr>
                <w:rFonts w:ascii="Arial" w:hAnsi="Arial" w:cs="Arial"/>
                <w:b/>
                <w:bCs/>
                <w:lang w:val="en-US"/>
              </w:rPr>
              <w:t>Nonhaematologic</w:t>
            </w:r>
            <w:proofErr w:type="spellEnd"/>
            <w:r w:rsidRPr="008B6246">
              <w:rPr>
                <w:rFonts w:ascii="Arial" w:hAnsi="Arial" w:cs="Arial"/>
                <w:b/>
                <w:bCs/>
                <w:lang w:val="en-US"/>
              </w:rPr>
              <w:t xml:space="preserve"> toxicities</w:t>
            </w:r>
          </w:p>
        </w:tc>
      </w:tr>
      <w:tr w:rsidR="00CE0CD2" w:rsidRPr="005627A5" w14:paraId="1A54BE4F" w14:textId="77777777" w:rsidTr="00CE212B">
        <w:trPr>
          <w:trHeight w:val="647"/>
        </w:trPr>
        <w:tc>
          <w:tcPr>
            <w:tcW w:w="3712" w:type="dxa"/>
            <w:gridSpan w:val="2"/>
            <w:shd w:val="clear" w:color="auto" w:fill="auto"/>
            <w:vAlign w:val="center"/>
          </w:tcPr>
          <w:p w14:paraId="5A05F4C6" w14:textId="77777777" w:rsidR="00CE0CD2" w:rsidRPr="008B6246" w:rsidRDefault="00CE0CD2" w:rsidP="008B6246">
            <w:pPr>
              <w:spacing w:after="0" w:line="240" w:lineRule="auto"/>
              <w:jc w:val="center"/>
              <w:rPr>
                <w:rFonts w:ascii="Arial" w:hAnsi="Arial" w:cs="Arial"/>
                <w:b/>
                <w:bCs/>
                <w:lang w:val="en-US"/>
              </w:rPr>
            </w:pPr>
            <w:r w:rsidRPr="008B6246">
              <w:rPr>
                <w:rFonts w:ascii="Arial" w:hAnsi="Arial" w:cs="Arial"/>
                <w:b/>
                <w:bCs/>
                <w:lang w:val="en-US"/>
              </w:rPr>
              <w:t>Hepatotoxicity</w:t>
            </w:r>
          </w:p>
          <w:p w14:paraId="318C3888" w14:textId="77777777" w:rsidR="00CE0CD2" w:rsidRPr="008B6246" w:rsidRDefault="00CE0CD2" w:rsidP="008B6246">
            <w:pPr>
              <w:spacing w:after="0" w:line="240" w:lineRule="auto"/>
              <w:jc w:val="center"/>
              <w:rPr>
                <w:rFonts w:ascii="Arial" w:hAnsi="Arial" w:cs="Arial"/>
                <w:b/>
                <w:bCs/>
                <w:lang w:val="en-US"/>
              </w:rPr>
            </w:pPr>
            <w:r w:rsidRPr="008B6246">
              <w:rPr>
                <w:rFonts w:ascii="Arial" w:hAnsi="Arial" w:cs="Arial"/>
                <w:b/>
                <w:bCs/>
                <w:lang w:val="en-US"/>
              </w:rPr>
              <w:t>(unless other apparent causes)</w:t>
            </w:r>
          </w:p>
        </w:tc>
        <w:tc>
          <w:tcPr>
            <w:tcW w:w="5349" w:type="dxa"/>
            <w:shd w:val="clear" w:color="auto" w:fill="auto"/>
            <w:vAlign w:val="center"/>
          </w:tcPr>
          <w:p w14:paraId="6B6199C3" w14:textId="77777777" w:rsidR="00CE0CD2" w:rsidRPr="008B6246" w:rsidRDefault="00CE0CD2" w:rsidP="008B6246">
            <w:pPr>
              <w:spacing w:before="100" w:beforeAutospacing="1" w:after="0" w:afterAutospacing="1" w:line="240" w:lineRule="auto"/>
              <w:ind w:left="144"/>
              <w:jc w:val="center"/>
              <w:rPr>
                <w:rFonts w:ascii="Arial" w:hAnsi="Arial" w:cs="Arial"/>
                <w:b/>
                <w:bCs/>
                <w:lang w:val="en-US"/>
              </w:rPr>
            </w:pPr>
            <w:r w:rsidRPr="008B6246">
              <w:rPr>
                <w:rFonts w:ascii="Arial" w:hAnsi="Arial" w:cs="Arial"/>
                <w:b/>
                <w:bCs/>
                <w:lang w:val="en-US"/>
              </w:rPr>
              <w:t xml:space="preserve">Dose </w:t>
            </w:r>
            <w:proofErr w:type="spellStart"/>
            <w:r w:rsidRPr="008B6246">
              <w:rPr>
                <w:rFonts w:ascii="Arial" w:hAnsi="Arial" w:cs="Arial"/>
                <w:b/>
                <w:bCs/>
                <w:lang w:val="en-US"/>
              </w:rPr>
              <w:t>modification</w:t>
            </w:r>
            <w:r w:rsidRPr="008B6246">
              <w:rPr>
                <w:rFonts w:ascii="Arial" w:hAnsi="Arial" w:cs="Arial"/>
                <w:b/>
                <w:bCs/>
                <w:vertAlign w:val="superscript"/>
                <w:lang w:val="en-US"/>
              </w:rPr>
              <w:t>a</w:t>
            </w:r>
            <w:proofErr w:type="spellEnd"/>
          </w:p>
        </w:tc>
      </w:tr>
      <w:tr w:rsidR="00CE0CD2" w:rsidRPr="005627A5" w14:paraId="7E66BE34" w14:textId="77777777" w:rsidTr="00CE212B">
        <w:trPr>
          <w:trHeight w:val="1034"/>
        </w:trPr>
        <w:tc>
          <w:tcPr>
            <w:tcW w:w="3712" w:type="dxa"/>
            <w:gridSpan w:val="2"/>
            <w:shd w:val="clear" w:color="auto" w:fill="auto"/>
          </w:tcPr>
          <w:p w14:paraId="4015A8E7"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ALT and/or AST &gt;5 × ULN (or &gt;5 × baseline, if baseline is abnormal) and/or total bilirubin &gt;2 × ULN (or &gt;2 × baseline, if baseline is abnormal)</w:t>
            </w:r>
          </w:p>
        </w:tc>
        <w:tc>
          <w:tcPr>
            <w:tcW w:w="5349" w:type="dxa"/>
            <w:shd w:val="clear" w:color="auto" w:fill="auto"/>
          </w:tcPr>
          <w:p w14:paraId="19FD7558"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Interrupt treatment until AST and ALT ≤2 × ULN or baseline and total bilirubin ≤1.5 × ULN or baseline</w:t>
            </w:r>
          </w:p>
          <w:p w14:paraId="2B8B7920" w14:textId="2A26C38D" w:rsidR="00CE0CD2" w:rsidRPr="008B6246" w:rsidRDefault="00CE0CD2" w:rsidP="008B6246">
            <w:pPr>
              <w:spacing w:after="0" w:line="240" w:lineRule="auto"/>
              <w:rPr>
                <w:rFonts w:ascii="Arial" w:hAnsi="Arial" w:cs="Arial"/>
                <w:lang w:val="en-US"/>
              </w:rPr>
            </w:pPr>
            <w:r w:rsidRPr="008B6246">
              <w:rPr>
                <w:rFonts w:ascii="Arial" w:hAnsi="Arial" w:cs="Arial"/>
                <w:lang w:val="en-US"/>
              </w:rPr>
              <w:t xml:space="preserve">Restart </w:t>
            </w:r>
            <w:r w:rsidR="00F91458" w:rsidRPr="008B6246">
              <w:rPr>
                <w:rFonts w:ascii="Arial" w:hAnsi="Arial" w:cs="Arial"/>
                <w:lang w:val="en-US"/>
              </w:rPr>
              <w:t>OMJJARA</w:t>
            </w:r>
            <w:r w:rsidRPr="008B6246">
              <w:rPr>
                <w:rFonts w:ascii="Arial" w:hAnsi="Arial" w:cs="Arial"/>
                <w:lang w:val="en-US"/>
              </w:rPr>
              <w:t xml:space="preserve"> at a daily dose of 50 mg below the last given </w:t>
            </w:r>
            <w:proofErr w:type="spellStart"/>
            <w:r w:rsidRPr="008B6246">
              <w:rPr>
                <w:rFonts w:ascii="Arial" w:hAnsi="Arial" w:cs="Arial"/>
                <w:lang w:val="en-US"/>
              </w:rPr>
              <w:t>dose</w:t>
            </w:r>
            <w:r w:rsidRPr="008B6246">
              <w:rPr>
                <w:rFonts w:ascii="Arial" w:hAnsi="Arial" w:cs="Arial"/>
                <w:vertAlign w:val="superscript"/>
                <w:lang w:val="en-US"/>
              </w:rPr>
              <w:t>b</w:t>
            </w:r>
            <w:proofErr w:type="spellEnd"/>
          </w:p>
          <w:p w14:paraId="20B29765" w14:textId="6BA03DDB" w:rsidR="00CE0CD2" w:rsidRPr="008B6246" w:rsidRDefault="00CE0CD2" w:rsidP="008B6246">
            <w:pPr>
              <w:spacing w:after="0" w:line="240" w:lineRule="auto"/>
              <w:rPr>
                <w:rFonts w:ascii="Arial" w:hAnsi="Arial" w:cs="Arial"/>
                <w:lang w:val="en-US"/>
              </w:rPr>
            </w:pPr>
            <w:r w:rsidRPr="008B6246">
              <w:rPr>
                <w:rFonts w:ascii="Arial" w:hAnsi="Arial" w:cs="Arial"/>
                <w:lang w:val="en-US"/>
              </w:rPr>
              <w:t xml:space="preserve">If reoccurrence of ALT or AST elevations &gt;5 × ULN, permanently discontinue </w:t>
            </w:r>
            <w:r w:rsidR="00F91458" w:rsidRPr="008B6246">
              <w:rPr>
                <w:rFonts w:ascii="Arial" w:hAnsi="Arial" w:cs="Arial"/>
                <w:lang w:val="en-US"/>
              </w:rPr>
              <w:t>OMJJARA</w:t>
            </w:r>
          </w:p>
        </w:tc>
      </w:tr>
      <w:tr w:rsidR="00CE0CD2" w:rsidRPr="005627A5" w14:paraId="50E7CCB8" w14:textId="77777777" w:rsidTr="00CE212B">
        <w:trPr>
          <w:trHeight w:val="332"/>
        </w:trPr>
        <w:tc>
          <w:tcPr>
            <w:tcW w:w="3712" w:type="dxa"/>
            <w:gridSpan w:val="2"/>
            <w:shd w:val="clear" w:color="auto" w:fill="auto"/>
            <w:vAlign w:val="center"/>
          </w:tcPr>
          <w:p w14:paraId="469BB9CA" w14:textId="0B3AA47F" w:rsidR="00CE0CD2" w:rsidRPr="008B6246" w:rsidRDefault="00CE0CD2" w:rsidP="008B6246">
            <w:pPr>
              <w:spacing w:after="0" w:line="240" w:lineRule="auto"/>
              <w:rPr>
                <w:rFonts w:ascii="Arial" w:hAnsi="Arial" w:cs="Arial"/>
                <w:b/>
                <w:bCs/>
                <w:lang w:val="en-US"/>
              </w:rPr>
            </w:pPr>
            <w:r w:rsidRPr="008B6246">
              <w:rPr>
                <w:rFonts w:ascii="Arial" w:hAnsi="Arial" w:cs="Arial"/>
                <w:b/>
                <w:bCs/>
                <w:lang w:val="en-US"/>
              </w:rPr>
              <w:t xml:space="preserve">Other </w:t>
            </w:r>
            <w:proofErr w:type="spellStart"/>
            <w:r w:rsidRPr="008B6246">
              <w:rPr>
                <w:rFonts w:ascii="Arial" w:hAnsi="Arial" w:cs="Arial"/>
                <w:b/>
                <w:bCs/>
                <w:lang w:val="en-US"/>
              </w:rPr>
              <w:t>nonhaematologic</w:t>
            </w:r>
            <w:proofErr w:type="spellEnd"/>
          </w:p>
        </w:tc>
        <w:tc>
          <w:tcPr>
            <w:tcW w:w="5349" w:type="dxa"/>
            <w:shd w:val="clear" w:color="auto" w:fill="auto"/>
            <w:vAlign w:val="center"/>
          </w:tcPr>
          <w:p w14:paraId="5F335F9C" w14:textId="77777777" w:rsidR="00CE0CD2" w:rsidRPr="008B6246" w:rsidRDefault="00CE0CD2" w:rsidP="008B6246">
            <w:pPr>
              <w:spacing w:after="0" w:line="240" w:lineRule="auto"/>
              <w:rPr>
                <w:rFonts w:ascii="Arial" w:hAnsi="Arial" w:cs="Arial"/>
                <w:b/>
                <w:bCs/>
                <w:lang w:val="en-US"/>
              </w:rPr>
            </w:pPr>
            <w:r w:rsidRPr="008B6246">
              <w:rPr>
                <w:rFonts w:ascii="Arial" w:hAnsi="Arial" w:cs="Arial"/>
                <w:b/>
                <w:bCs/>
                <w:lang w:val="en-US"/>
              </w:rPr>
              <w:t xml:space="preserve">Dose </w:t>
            </w:r>
            <w:proofErr w:type="spellStart"/>
            <w:r w:rsidRPr="008B6246">
              <w:rPr>
                <w:rFonts w:ascii="Arial" w:hAnsi="Arial" w:cs="Arial"/>
                <w:b/>
                <w:bCs/>
                <w:lang w:val="en-US"/>
              </w:rPr>
              <w:t>modification</w:t>
            </w:r>
            <w:r w:rsidRPr="008B6246">
              <w:rPr>
                <w:rFonts w:ascii="Arial" w:hAnsi="Arial" w:cs="Arial"/>
                <w:b/>
                <w:bCs/>
                <w:vertAlign w:val="superscript"/>
                <w:lang w:val="en-US"/>
              </w:rPr>
              <w:t>a</w:t>
            </w:r>
            <w:proofErr w:type="spellEnd"/>
          </w:p>
        </w:tc>
      </w:tr>
      <w:tr w:rsidR="00CE0CD2" w:rsidRPr="00BB4C71" w14:paraId="6E33A970" w14:textId="77777777" w:rsidTr="00CE212B">
        <w:trPr>
          <w:trHeight w:val="1034"/>
        </w:trPr>
        <w:tc>
          <w:tcPr>
            <w:tcW w:w="3712" w:type="dxa"/>
            <w:gridSpan w:val="2"/>
            <w:shd w:val="clear" w:color="auto" w:fill="auto"/>
          </w:tcPr>
          <w:p w14:paraId="67A5A202"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 xml:space="preserve">Grade 3 or </w:t>
            </w:r>
            <w:proofErr w:type="spellStart"/>
            <w:r w:rsidRPr="008B6246">
              <w:rPr>
                <w:rFonts w:ascii="Arial" w:hAnsi="Arial" w:cs="Arial"/>
                <w:lang w:val="en-US"/>
              </w:rPr>
              <w:t>higher</w:t>
            </w:r>
            <w:r w:rsidRPr="008B6246">
              <w:rPr>
                <w:rFonts w:ascii="Arial" w:hAnsi="Arial" w:cs="Arial"/>
                <w:vertAlign w:val="superscript"/>
                <w:lang w:val="en-US"/>
              </w:rPr>
              <w:t>c</w:t>
            </w:r>
            <w:proofErr w:type="spellEnd"/>
          </w:p>
          <w:p w14:paraId="58450788"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 xml:space="preserve">Grade 2 or </w:t>
            </w:r>
            <w:proofErr w:type="spellStart"/>
            <w:r w:rsidRPr="008B6246">
              <w:rPr>
                <w:rFonts w:ascii="Arial" w:hAnsi="Arial" w:cs="Arial"/>
                <w:lang w:val="en-US"/>
              </w:rPr>
              <w:t>higher</w:t>
            </w:r>
            <w:r w:rsidRPr="008B6246">
              <w:rPr>
                <w:rFonts w:ascii="Arial" w:hAnsi="Arial" w:cs="Arial"/>
                <w:vertAlign w:val="superscript"/>
                <w:lang w:val="en-US"/>
              </w:rPr>
              <w:t>c</w:t>
            </w:r>
            <w:proofErr w:type="spellEnd"/>
            <w:r w:rsidRPr="008B6246">
              <w:rPr>
                <w:rFonts w:ascii="Arial" w:hAnsi="Arial" w:cs="Arial"/>
                <w:lang w:val="en-US"/>
              </w:rPr>
              <w:t xml:space="preserve"> bleeding</w:t>
            </w:r>
          </w:p>
        </w:tc>
        <w:tc>
          <w:tcPr>
            <w:tcW w:w="5349" w:type="dxa"/>
            <w:shd w:val="clear" w:color="auto" w:fill="auto"/>
          </w:tcPr>
          <w:p w14:paraId="6B3EE051" w14:textId="77777777" w:rsidR="00CE0CD2" w:rsidRPr="008B6246" w:rsidRDefault="00CE0CD2" w:rsidP="008B6246">
            <w:pPr>
              <w:spacing w:after="0" w:line="240" w:lineRule="auto"/>
              <w:rPr>
                <w:rFonts w:ascii="Arial" w:hAnsi="Arial" w:cs="Arial"/>
                <w:lang w:val="en-US"/>
              </w:rPr>
            </w:pPr>
            <w:r w:rsidRPr="008B6246">
              <w:rPr>
                <w:rFonts w:ascii="Arial" w:hAnsi="Arial" w:cs="Arial"/>
                <w:lang w:val="en-US"/>
              </w:rPr>
              <w:t>Interrupt treatment until the toxicity resolves to Grade 1 or lower (or baseline)</w:t>
            </w:r>
          </w:p>
          <w:p w14:paraId="6630838D" w14:textId="0CB92170" w:rsidR="00CE0CD2" w:rsidRPr="008B6246" w:rsidRDefault="00CE0CD2" w:rsidP="008B6246">
            <w:pPr>
              <w:spacing w:after="0" w:line="240" w:lineRule="auto"/>
              <w:rPr>
                <w:rFonts w:ascii="Arial" w:hAnsi="Arial" w:cs="Arial"/>
                <w:lang w:val="en-US"/>
              </w:rPr>
            </w:pPr>
            <w:r w:rsidRPr="008B6246">
              <w:rPr>
                <w:rFonts w:ascii="Arial" w:hAnsi="Arial" w:cs="Arial"/>
                <w:lang w:val="en-US"/>
              </w:rPr>
              <w:t xml:space="preserve">Restart </w:t>
            </w:r>
            <w:r w:rsidR="00F91458" w:rsidRPr="008B6246">
              <w:rPr>
                <w:rFonts w:ascii="Arial" w:hAnsi="Arial" w:cs="Arial"/>
                <w:lang w:val="en-US"/>
              </w:rPr>
              <w:t>OMJJARA</w:t>
            </w:r>
            <w:r w:rsidRPr="008B6246">
              <w:rPr>
                <w:rFonts w:ascii="Arial" w:hAnsi="Arial" w:cs="Arial"/>
                <w:lang w:val="en-US"/>
              </w:rPr>
              <w:t xml:space="preserve"> at a daily dose of 50 mg below the last given </w:t>
            </w:r>
            <w:proofErr w:type="spellStart"/>
            <w:r w:rsidRPr="008B6246">
              <w:rPr>
                <w:rFonts w:ascii="Arial" w:hAnsi="Arial" w:cs="Arial"/>
                <w:lang w:val="en-US"/>
              </w:rPr>
              <w:t>dose</w:t>
            </w:r>
            <w:r w:rsidRPr="008B6246">
              <w:rPr>
                <w:rFonts w:ascii="Arial" w:hAnsi="Arial" w:cs="Arial"/>
                <w:vertAlign w:val="superscript"/>
                <w:lang w:val="en-US"/>
              </w:rPr>
              <w:t>b</w:t>
            </w:r>
            <w:proofErr w:type="spellEnd"/>
          </w:p>
        </w:tc>
      </w:tr>
    </w:tbl>
    <w:p w14:paraId="4EF81922" w14:textId="77777777" w:rsidR="00CE0CD2" w:rsidRPr="008B6246" w:rsidRDefault="00CE0CD2" w:rsidP="00CE0CD2">
      <w:pPr>
        <w:pStyle w:val="TableFootnote025Hanging"/>
        <w:widowControl w:val="0"/>
        <w:spacing w:before="0" w:line="320" w:lineRule="atLeast"/>
        <w:ind w:left="144" w:hanging="144"/>
        <w:rPr>
          <w:rFonts w:ascii="Arial" w:hAnsi="Arial" w:cs="Arial"/>
          <w:bCs/>
        </w:rPr>
      </w:pPr>
      <w:r w:rsidRPr="008B6246">
        <w:rPr>
          <w:rFonts w:ascii="Arial" w:hAnsi="Arial" w:cs="Arial"/>
        </w:rPr>
        <w:t>ANC = absolute neutrophil count; ALT = </w:t>
      </w:r>
      <w:r w:rsidRPr="008B6246">
        <w:rPr>
          <w:rFonts w:ascii="Arial" w:hAnsi="Arial" w:cs="Arial"/>
          <w:bCs/>
        </w:rPr>
        <w:t xml:space="preserve">alanine transaminase; AST = aspartate </w:t>
      </w:r>
      <w:proofErr w:type="gramStart"/>
      <w:r w:rsidRPr="008B6246">
        <w:rPr>
          <w:rFonts w:ascii="Arial" w:hAnsi="Arial" w:cs="Arial"/>
          <w:bCs/>
        </w:rPr>
        <w:t>transaminase;</w:t>
      </w:r>
      <w:proofErr w:type="gramEnd"/>
    </w:p>
    <w:p w14:paraId="1EE9197A" w14:textId="77777777" w:rsidR="00CE0CD2" w:rsidRPr="008B6246" w:rsidRDefault="00CE0CD2" w:rsidP="00CE0CD2">
      <w:pPr>
        <w:pStyle w:val="TableFootnote025Hanging"/>
        <w:widowControl w:val="0"/>
        <w:spacing w:before="0" w:line="320" w:lineRule="atLeast"/>
        <w:ind w:left="144" w:hanging="144"/>
        <w:rPr>
          <w:rFonts w:ascii="Arial" w:hAnsi="Arial" w:cs="Arial"/>
        </w:rPr>
      </w:pPr>
      <w:r w:rsidRPr="008B6246">
        <w:rPr>
          <w:rFonts w:ascii="Arial" w:hAnsi="Arial" w:cs="Arial"/>
        </w:rPr>
        <w:t>ULN = upper limit of normal</w:t>
      </w:r>
      <w:r w:rsidRPr="008B6246">
        <w:rPr>
          <w:rFonts w:ascii="Arial" w:hAnsi="Arial" w:cs="Arial"/>
          <w:bCs/>
        </w:rPr>
        <w:t>.</w:t>
      </w:r>
    </w:p>
    <w:p w14:paraId="6F8314EA" w14:textId="77777777" w:rsidR="00CE0CD2" w:rsidRPr="008B6246" w:rsidRDefault="00CE0CD2" w:rsidP="00CE0CD2">
      <w:pPr>
        <w:pStyle w:val="TableFootnote025Hanging"/>
        <w:widowControl w:val="0"/>
        <w:spacing w:before="0" w:line="320" w:lineRule="atLeast"/>
        <w:ind w:left="144" w:hanging="144"/>
        <w:rPr>
          <w:rFonts w:ascii="Arial" w:hAnsi="Arial" w:cs="Arial"/>
        </w:rPr>
      </w:pPr>
      <w:r w:rsidRPr="008B6246">
        <w:rPr>
          <w:rFonts w:ascii="Arial" w:hAnsi="Arial" w:cs="Arial"/>
          <w:vertAlign w:val="superscript"/>
        </w:rPr>
        <w:t>a</w:t>
      </w:r>
      <w:r w:rsidRPr="008B6246">
        <w:rPr>
          <w:rFonts w:ascii="Arial" w:hAnsi="Arial" w:cs="Arial"/>
        </w:rPr>
        <w:tab/>
        <w:t>Reinitiate or escalate treatment up to starting dosage as clinically appropriate.</w:t>
      </w:r>
    </w:p>
    <w:p w14:paraId="12C64CAC" w14:textId="77777777" w:rsidR="00CE0CD2" w:rsidRPr="008B6246" w:rsidRDefault="00CE0CD2" w:rsidP="00CE0CD2">
      <w:pPr>
        <w:pStyle w:val="TableFootnote025Hanging"/>
        <w:widowControl w:val="0"/>
        <w:spacing w:before="0" w:line="320" w:lineRule="atLeast"/>
        <w:ind w:left="144" w:hanging="144"/>
        <w:rPr>
          <w:rFonts w:ascii="Arial" w:hAnsi="Arial" w:cs="Arial"/>
        </w:rPr>
      </w:pPr>
      <w:r w:rsidRPr="008B6246">
        <w:rPr>
          <w:rFonts w:ascii="Arial" w:hAnsi="Arial" w:cs="Arial"/>
          <w:vertAlign w:val="superscript"/>
        </w:rPr>
        <w:t>b</w:t>
      </w:r>
      <w:r w:rsidRPr="008B6246">
        <w:rPr>
          <w:rFonts w:ascii="Arial" w:hAnsi="Arial" w:cs="Arial"/>
        </w:rPr>
        <w:tab/>
        <w:t>May reinitiate treatment at 100 mg if previously dosed at 100 mg.</w:t>
      </w:r>
    </w:p>
    <w:p w14:paraId="5C78191B" w14:textId="77777777" w:rsidR="00CE0CD2" w:rsidRPr="008B6246" w:rsidRDefault="00CE0CD2" w:rsidP="00CE0CD2">
      <w:pPr>
        <w:pStyle w:val="TableFootnote025Hanging"/>
        <w:widowControl w:val="0"/>
        <w:spacing w:before="0" w:line="320" w:lineRule="atLeast"/>
        <w:ind w:left="144" w:hanging="144"/>
        <w:rPr>
          <w:rFonts w:ascii="Arial" w:hAnsi="Arial" w:cs="Arial"/>
        </w:rPr>
      </w:pPr>
      <w:r w:rsidRPr="008B6246">
        <w:rPr>
          <w:rFonts w:ascii="Arial" w:hAnsi="Arial" w:cs="Arial"/>
          <w:vertAlign w:val="superscript"/>
        </w:rPr>
        <w:t>c</w:t>
      </w:r>
      <w:r w:rsidRPr="008B6246">
        <w:rPr>
          <w:rFonts w:ascii="Arial" w:hAnsi="Arial" w:cs="Arial"/>
        </w:rPr>
        <w:tab/>
        <w:t xml:space="preserve">Graded </w:t>
      </w:r>
      <w:r w:rsidRPr="008B6246">
        <w:rPr>
          <w:rFonts w:ascii="Arial" w:hAnsi="Arial" w:cs="Arial"/>
          <w:iCs/>
        </w:rPr>
        <w:t xml:space="preserve">using the </w:t>
      </w:r>
      <w:r w:rsidRPr="008B6246">
        <w:rPr>
          <w:rFonts w:ascii="Arial" w:hAnsi="Arial" w:cs="Arial"/>
          <w:bCs/>
        </w:rPr>
        <w:t xml:space="preserve">National Cancer Institute Common Terminology Criteria for Adverse Events </w:t>
      </w:r>
      <w:r w:rsidRPr="008B6246">
        <w:rPr>
          <w:rFonts w:ascii="Arial" w:hAnsi="Arial" w:cs="Arial"/>
        </w:rPr>
        <w:t>per (CTCAE)</w:t>
      </w:r>
      <w:r w:rsidRPr="008B6246">
        <w:rPr>
          <w:rFonts w:ascii="Arial" w:hAnsi="Arial" w:cs="Arial"/>
          <w:iCs/>
        </w:rPr>
        <w:t>.</w:t>
      </w:r>
    </w:p>
    <w:p w14:paraId="7C995827" w14:textId="77777777" w:rsidR="00E01874" w:rsidRDefault="00E01874" w:rsidP="00B13828">
      <w:pPr>
        <w:spacing w:after="0"/>
        <w:rPr>
          <w:rFonts w:ascii="Arial" w:hAnsi="Arial" w:cs="Arial"/>
          <w:b/>
          <w:bCs/>
          <w:lang w:val="en-US"/>
        </w:rPr>
      </w:pPr>
    </w:p>
    <w:p w14:paraId="7A2579C6" w14:textId="2C772131" w:rsidR="00E01874" w:rsidRPr="008B6246" w:rsidRDefault="00BB4C71" w:rsidP="00B13828">
      <w:pPr>
        <w:spacing w:after="0"/>
        <w:rPr>
          <w:rFonts w:ascii="Arial" w:hAnsi="Arial" w:cs="Arial"/>
          <w:lang w:val="en-US"/>
        </w:rPr>
      </w:pPr>
      <w:r w:rsidRPr="008B6246">
        <w:rPr>
          <w:rFonts w:ascii="Arial" w:hAnsi="Arial" w:cs="Arial"/>
          <w:lang w:val="en-US"/>
        </w:rPr>
        <w:lastRenderedPageBreak/>
        <w:t xml:space="preserve">Treatment with OMJJARA should be discontinued in patients unable to tolerate 100 mg once daily. </w:t>
      </w:r>
    </w:p>
    <w:p w14:paraId="20FFB06B" w14:textId="77777777" w:rsidR="00BB4C71" w:rsidRDefault="00BB4C71" w:rsidP="00B13828">
      <w:pPr>
        <w:spacing w:after="0"/>
        <w:rPr>
          <w:rFonts w:ascii="Arial" w:hAnsi="Arial" w:cs="Arial"/>
          <w:b/>
          <w:bCs/>
          <w:lang w:val="en-US"/>
        </w:rPr>
      </w:pPr>
    </w:p>
    <w:p w14:paraId="750F5762" w14:textId="763F8613" w:rsidR="00391BB7" w:rsidRDefault="00391BB7" w:rsidP="00391BB7">
      <w:pPr>
        <w:rPr>
          <w:rFonts w:ascii="Arial" w:hAnsi="Arial" w:cs="Arial"/>
          <w:b/>
          <w:bCs/>
          <w:lang w:val="en-US"/>
        </w:rPr>
      </w:pPr>
      <w:r>
        <w:rPr>
          <w:rFonts w:ascii="Arial" w:hAnsi="Arial" w:cs="Arial"/>
          <w:b/>
          <w:bCs/>
          <w:lang w:val="en-US"/>
        </w:rPr>
        <w:t>Children</w:t>
      </w:r>
    </w:p>
    <w:p w14:paraId="165C7C0A" w14:textId="3BCBA4A2" w:rsidR="00391BB7" w:rsidRDefault="00391BB7" w:rsidP="00391BB7">
      <w:pPr>
        <w:rPr>
          <w:rFonts w:ascii="Arial" w:hAnsi="Arial" w:cs="Arial"/>
          <w:iCs/>
        </w:rPr>
      </w:pPr>
      <w:r w:rsidRPr="00CA4D06">
        <w:rPr>
          <w:rFonts w:ascii="Arial" w:hAnsi="Arial" w:cs="Arial"/>
          <w:iCs/>
        </w:rPr>
        <w:t>T</w:t>
      </w:r>
      <w:r>
        <w:rPr>
          <w:rFonts w:ascii="Arial" w:hAnsi="Arial" w:cs="Arial"/>
          <w:iCs/>
        </w:rPr>
        <w:t xml:space="preserve">he safety and efficacy of </w:t>
      </w:r>
      <w:r w:rsidR="00B52DB1">
        <w:rPr>
          <w:rFonts w:ascii="Arial" w:hAnsi="Arial" w:cs="Arial"/>
          <w:iCs/>
        </w:rPr>
        <w:t>OMJJARA</w:t>
      </w:r>
      <w:r>
        <w:rPr>
          <w:rFonts w:ascii="Arial" w:hAnsi="Arial" w:cs="Arial"/>
          <w:iCs/>
        </w:rPr>
        <w:t xml:space="preserve"> in children and adolescents less than 18 years of age have not been established.</w:t>
      </w:r>
    </w:p>
    <w:p w14:paraId="62C119C3" w14:textId="49013B92" w:rsidR="00391BB7" w:rsidRDefault="00391BB7" w:rsidP="00391BB7">
      <w:pPr>
        <w:rPr>
          <w:rFonts w:ascii="Arial" w:hAnsi="Arial" w:cs="Arial"/>
          <w:b/>
          <w:bCs/>
          <w:lang w:val="en-US"/>
        </w:rPr>
      </w:pPr>
      <w:r>
        <w:rPr>
          <w:rFonts w:ascii="Arial" w:hAnsi="Arial" w:cs="Arial"/>
          <w:b/>
          <w:bCs/>
          <w:lang w:val="en-US"/>
        </w:rPr>
        <w:t xml:space="preserve">Elderly </w:t>
      </w:r>
    </w:p>
    <w:p w14:paraId="7AD89B0C" w14:textId="712A0C1B" w:rsidR="00391BB7" w:rsidRDefault="00391BB7" w:rsidP="00391BB7">
      <w:pPr>
        <w:rPr>
          <w:rFonts w:ascii="Arial" w:hAnsi="Arial" w:cs="Arial"/>
          <w:iCs/>
        </w:rPr>
      </w:pPr>
      <w:r>
        <w:rPr>
          <w:rFonts w:ascii="Arial" w:hAnsi="Arial" w:cs="Arial"/>
          <w:iCs/>
        </w:rPr>
        <w:t xml:space="preserve">No dose adjustment is required for patients who are aged 65 years and older </w:t>
      </w:r>
      <w:r w:rsidRPr="00CA4D06">
        <w:rPr>
          <w:rFonts w:ascii="Arial" w:hAnsi="Arial" w:cs="Arial"/>
          <w:iCs/>
        </w:rPr>
        <w:t>(see section 5.2 PHARMACOKINETIC PROPERTIES</w:t>
      </w:r>
      <w:r>
        <w:rPr>
          <w:rFonts w:ascii="Arial" w:hAnsi="Arial" w:cs="Arial"/>
          <w:iCs/>
        </w:rPr>
        <w:t>,</w:t>
      </w:r>
      <w:r w:rsidRPr="00CA4D06">
        <w:rPr>
          <w:rFonts w:ascii="Arial" w:hAnsi="Arial" w:cs="Arial"/>
          <w:iCs/>
        </w:rPr>
        <w:t xml:space="preserve"> Special Patient Populations).</w:t>
      </w:r>
    </w:p>
    <w:p w14:paraId="4EE93EC7" w14:textId="2ADEE3D7" w:rsidR="00391BB7" w:rsidRDefault="00391BB7" w:rsidP="00391BB7">
      <w:pPr>
        <w:rPr>
          <w:rFonts w:ascii="Arial" w:hAnsi="Arial" w:cs="Arial"/>
          <w:b/>
          <w:bCs/>
          <w:lang w:val="en-US"/>
        </w:rPr>
      </w:pPr>
      <w:r>
        <w:rPr>
          <w:rFonts w:ascii="Arial" w:hAnsi="Arial" w:cs="Arial"/>
          <w:b/>
          <w:bCs/>
          <w:lang w:val="en-US"/>
        </w:rPr>
        <w:t>Renal</w:t>
      </w:r>
      <w:r w:rsidRPr="00FB3FD5">
        <w:rPr>
          <w:rFonts w:ascii="Arial" w:hAnsi="Arial" w:cs="Arial"/>
          <w:b/>
          <w:bCs/>
          <w:lang w:val="en-US"/>
        </w:rPr>
        <w:t xml:space="preserve"> impairment</w:t>
      </w:r>
    </w:p>
    <w:p w14:paraId="3960BAC1" w14:textId="24261249" w:rsidR="00391BB7" w:rsidRDefault="00391BB7" w:rsidP="00391BB7">
      <w:pPr>
        <w:rPr>
          <w:rFonts w:ascii="Arial" w:hAnsi="Arial" w:cs="Arial"/>
          <w:b/>
          <w:bCs/>
          <w:lang w:val="en-US"/>
        </w:rPr>
      </w:pPr>
      <w:r>
        <w:rPr>
          <w:rFonts w:ascii="Arial" w:hAnsi="Arial" w:cs="Arial"/>
          <w:iCs/>
        </w:rPr>
        <w:t xml:space="preserve">No dose adjustment is required for patients with renal impairment </w:t>
      </w:r>
      <w:r w:rsidRPr="00CA4D06">
        <w:rPr>
          <w:rFonts w:ascii="Arial" w:hAnsi="Arial" w:cs="Arial"/>
          <w:iCs/>
        </w:rPr>
        <w:t>(see section 5.2 PHARMACOKINETIC PROPERTIES</w:t>
      </w:r>
      <w:r>
        <w:rPr>
          <w:rFonts w:ascii="Arial" w:hAnsi="Arial" w:cs="Arial"/>
          <w:iCs/>
        </w:rPr>
        <w:t>,</w:t>
      </w:r>
      <w:r w:rsidRPr="00CA4D06">
        <w:rPr>
          <w:rFonts w:ascii="Arial" w:hAnsi="Arial" w:cs="Arial"/>
          <w:iCs/>
        </w:rPr>
        <w:t xml:space="preserve"> Special Patient Populations).</w:t>
      </w:r>
      <w:r w:rsidR="008C26BB">
        <w:rPr>
          <w:rFonts w:ascii="Arial" w:hAnsi="Arial" w:cs="Arial"/>
          <w:iCs/>
        </w:rPr>
        <w:t xml:space="preserve"> OMJJARA has not been assessed in patients requiring dialysis.</w:t>
      </w:r>
    </w:p>
    <w:p w14:paraId="7A1CDEE5" w14:textId="09D2286A" w:rsidR="00FB3FD5" w:rsidRDefault="004539EB" w:rsidP="00784D29">
      <w:pPr>
        <w:rPr>
          <w:rFonts w:ascii="Arial" w:hAnsi="Arial" w:cs="Arial"/>
          <w:b/>
          <w:bCs/>
          <w:lang w:val="en-US"/>
        </w:rPr>
      </w:pPr>
      <w:r>
        <w:rPr>
          <w:rFonts w:ascii="Arial" w:hAnsi="Arial" w:cs="Arial"/>
          <w:b/>
          <w:bCs/>
          <w:lang w:val="en-US"/>
        </w:rPr>
        <w:t>H</w:t>
      </w:r>
      <w:r w:rsidR="00FB3FD5" w:rsidRPr="00FB3FD5">
        <w:rPr>
          <w:rFonts w:ascii="Arial" w:hAnsi="Arial" w:cs="Arial"/>
          <w:b/>
          <w:bCs/>
          <w:lang w:val="en-US"/>
        </w:rPr>
        <w:t>epatic impairment</w:t>
      </w:r>
    </w:p>
    <w:p w14:paraId="247EF85B" w14:textId="1B95D761" w:rsidR="00FB3FD5" w:rsidRPr="00FB3FD5" w:rsidRDefault="00391BB7" w:rsidP="00784D29">
      <w:pPr>
        <w:rPr>
          <w:rFonts w:ascii="Arial" w:hAnsi="Arial" w:cs="Arial"/>
          <w:iCs/>
        </w:rPr>
      </w:pPr>
      <w:r>
        <w:rPr>
          <w:rFonts w:ascii="Arial" w:hAnsi="Arial" w:cs="Arial"/>
          <w:iCs/>
        </w:rPr>
        <w:t xml:space="preserve">No dose adjustment is recommended for patients with mild or moderate hepatic impairment. </w:t>
      </w:r>
      <w:r w:rsidR="00FB3FD5" w:rsidRPr="00CA4D06">
        <w:rPr>
          <w:rFonts w:ascii="Arial" w:hAnsi="Arial" w:cs="Arial"/>
          <w:iCs/>
        </w:rPr>
        <w:t xml:space="preserve">The recommended starting dose of </w:t>
      </w:r>
      <w:r w:rsidR="00FB3FD5">
        <w:rPr>
          <w:rFonts w:ascii="Arial" w:hAnsi="Arial" w:cs="Arial"/>
          <w:iCs/>
        </w:rPr>
        <w:t>OMJJARA</w:t>
      </w:r>
      <w:r w:rsidR="00FB3FD5" w:rsidRPr="00CA4D06">
        <w:rPr>
          <w:rFonts w:ascii="Arial" w:hAnsi="Arial" w:cs="Arial"/>
          <w:iCs/>
        </w:rPr>
        <w:t xml:space="preserve"> is 150 mg once daily in patients with severe hepatic impairment</w:t>
      </w:r>
      <w:r w:rsidR="00FB3FD5">
        <w:rPr>
          <w:rFonts w:ascii="Arial" w:hAnsi="Arial" w:cs="Arial"/>
          <w:iCs/>
        </w:rPr>
        <w:t xml:space="preserve"> (Child-Pugh Class C)</w:t>
      </w:r>
      <w:r w:rsidR="00FB3FD5" w:rsidRPr="00CA4D06">
        <w:rPr>
          <w:rFonts w:ascii="Arial" w:hAnsi="Arial" w:cs="Arial"/>
          <w:iCs/>
        </w:rPr>
        <w:t xml:space="preserve"> (see section 5.2 PHARMACOKINETIC PROPERTIES</w:t>
      </w:r>
      <w:r w:rsidR="00FB3FD5">
        <w:rPr>
          <w:rFonts w:ascii="Arial" w:hAnsi="Arial" w:cs="Arial"/>
          <w:iCs/>
        </w:rPr>
        <w:t>,</w:t>
      </w:r>
      <w:r w:rsidR="00FB3FD5" w:rsidRPr="00CA4D06">
        <w:rPr>
          <w:rFonts w:ascii="Arial" w:hAnsi="Arial" w:cs="Arial"/>
          <w:iCs/>
        </w:rPr>
        <w:t xml:space="preserve"> Special Patient Populations). </w:t>
      </w:r>
    </w:p>
    <w:bookmarkEnd w:id="1"/>
    <w:p w14:paraId="0A314BF2" w14:textId="66E017B6"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CONTRAINDICATIONS</w:t>
      </w:r>
      <w:r w:rsidR="00CE6790">
        <w:rPr>
          <w:rFonts w:ascii="Arial" w:hAnsi="Arial" w:cs="Arial"/>
          <w:smallCaps w:val="0"/>
        </w:rPr>
        <w:fldChar w:fldCharType="begin"/>
      </w:r>
      <w:r w:rsidR="00CE6790">
        <w:rPr>
          <w:rFonts w:ascii="Arial" w:hAnsi="Arial" w:cs="Arial"/>
          <w:smallCaps w:val="0"/>
        </w:rPr>
        <w:instrText xml:space="preserve"> DOCVARIABLE VAULT_ND_d2f5294a-d875-442a-a12b-b3166a57d0f7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43AF41BC" w14:textId="3D8931C7" w:rsidR="002347A9" w:rsidRDefault="002347A9" w:rsidP="00071855">
      <w:pPr>
        <w:rPr>
          <w:rFonts w:ascii="Arial" w:hAnsi="Arial" w:cs="Arial"/>
          <w:iCs/>
        </w:rPr>
      </w:pPr>
      <w:r>
        <w:rPr>
          <w:rFonts w:ascii="Arial" w:hAnsi="Arial" w:cs="Arial"/>
          <w:iCs/>
        </w:rPr>
        <w:t xml:space="preserve">OMJJARA </w:t>
      </w:r>
      <w:r w:rsidR="00F23852">
        <w:rPr>
          <w:rFonts w:ascii="Arial" w:hAnsi="Arial" w:cs="Arial"/>
          <w:iCs/>
        </w:rPr>
        <w:t>should not be used during pregnancy and breast</w:t>
      </w:r>
      <w:r w:rsidR="001C61F7">
        <w:rPr>
          <w:rFonts w:ascii="Arial" w:hAnsi="Arial" w:cs="Arial"/>
          <w:iCs/>
        </w:rPr>
        <w:t>feeding.</w:t>
      </w:r>
    </w:p>
    <w:p w14:paraId="203B2AC7" w14:textId="754DC5EE" w:rsidR="00071855" w:rsidRPr="00CA4D06" w:rsidRDefault="00D95DF2" w:rsidP="00071855">
      <w:pPr>
        <w:rPr>
          <w:rFonts w:ascii="Arial" w:hAnsi="Arial" w:cs="Arial"/>
          <w:iCs/>
        </w:rPr>
      </w:pPr>
      <w:r>
        <w:rPr>
          <w:rFonts w:ascii="Arial" w:hAnsi="Arial" w:cs="Arial"/>
          <w:iCs/>
        </w:rPr>
        <w:t xml:space="preserve">Hypersensitivity to the active substance or to any of the excipients listed in section 6.1 </w:t>
      </w:r>
      <w:r w:rsidRPr="00D95DF2">
        <w:rPr>
          <w:rFonts w:ascii="Arial" w:hAnsi="Arial" w:cs="Arial"/>
          <w:iCs/>
        </w:rPr>
        <w:t>LIST OF EXCIPIENTS</w:t>
      </w:r>
      <w:r>
        <w:rPr>
          <w:rFonts w:ascii="Arial" w:hAnsi="Arial" w:cs="Arial"/>
          <w:iCs/>
        </w:rPr>
        <w:t>.</w:t>
      </w:r>
    </w:p>
    <w:p w14:paraId="18E4E00C" w14:textId="088FF107" w:rsidR="00071855" w:rsidRPr="006E595D" w:rsidRDefault="00071855" w:rsidP="00071855">
      <w:pPr>
        <w:pStyle w:val="Heading2"/>
        <w:spacing w:before="0" w:after="120"/>
        <w:ind w:left="578" w:hanging="578"/>
        <w:rPr>
          <w:rFonts w:ascii="Arial" w:hAnsi="Arial" w:cs="Arial"/>
          <w:smallCaps w:val="0"/>
        </w:rPr>
      </w:pPr>
      <w:bookmarkStart w:id="2" w:name="_Hlk179891080"/>
      <w:r w:rsidRPr="00071855">
        <w:rPr>
          <w:rFonts w:ascii="Arial" w:hAnsi="Arial" w:cs="Arial"/>
          <w:smallCaps w:val="0"/>
        </w:rPr>
        <w:t>SPECIAL WARNINGS AND PRECAUTIONS FOR USE</w:t>
      </w:r>
      <w:r w:rsidR="00CE6790">
        <w:rPr>
          <w:rFonts w:ascii="Arial" w:hAnsi="Arial" w:cs="Arial"/>
          <w:smallCaps w:val="0"/>
        </w:rPr>
        <w:fldChar w:fldCharType="begin"/>
      </w:r>
      <w:r w:rsidR="00CE6790">
        <w:rPr>
          <w:rFonts w:ascii="Arial" w:hAnsi="Arial" w:cs="Arial"/>
          <w:smallCaps w:val="0"/>
        </w:rPr>
        <w:instrText xml:space="preserve"> DOCVARIABLE VAULT_ND_fc27a934-5349-4396-b474-fc343824579f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bookmarkEnd w:id="2"/>
    <w:p w14:paraId="1F73F857" w14:textId="404EECC4" w:rsidR="001A3992" w:rsidRPr="00FB6AC2" w:rsidRDefault="00351F3C" w:rsidP="00FB6AC2">
      <w:pPr>
        <w:pStyle w:val="Heading3"/>
        <w:spacing w:before="0" w:after="120"/>
        <w:rPr>
          <w:rFonts w:ascii="Arial" w:hAnsi="Arial" w:cs="Arial"/>
        </w:rPr>
      </w:pPr>
      <w:r w:rsidRPr="00FB6AC2">
        <w:rPr>
          <w:rFonts w:ascii="Arial" w:hAnsi="Arial" w:cs="Arial"/>
        </w:rPr>
        <w:t>Infections</w:t>
      </w:r>
      <w:r w:rsidR="001A3992" w:rsidRPr="00FB6AC2">
        <w:rPr>
          <w:rFonts w:ascii="Arial" w:hAnsi="Arial" w:cs="Arial"/>
        </w:rPr>
        <w:t xml:space="preserve"> </w:t>
      </w:r>
      <w:r w:rsidR="00CE6790" w:rsidRPr="00FB6AC2">
        <w:rPr>
          <w:rFonts w:ascii="Arial" w:hAnsi="Arial" w:cs="Arial"/>
        </w:rPr>
        <w:fldChar w:fldCharType="begin"/>
      </w:r>
      <w:r w:rsidR="00CE6790" w:rsidRPr="00FB6AC2">
        <w:rPr>
          <w:rFonts w:ascii="Arial" w:hAnsi="Arial" w:cs="Arial"/>
        </w:rPr>
        <w:instrText xml:space="preserve"> DOCVARIABLE vault_nd_b2f8d629-6533-4284-8cd1-32fc1000a7e7 \* MERGEFORMAT </w:instrText>
      </w:r>
      <w:r w:rsidR="00CE6790" w:rsidRPr="00FB6AC2">
        <w:rPr>
          <w:rFonts w:ascii="Arial" w:hAnsi="Arial" w:cs="Arial"/>
        </w:rPr>
        <w:fldChar w:fldCharType="separate"/>
      </w:r>
      <w:r w:rsidR="00CE6790" w:rsidRPr="00FB6AC2">
        <w:rPr>
          <w:rFonts w:ascii="Arial" w:hAnsi="Arial" w:cs="Arial"/>
        </w:rPr>
        <w:t xml:space="preserve"> </w:t>
      </w:r>
      <w:r w:rsidR="00CE6790" w:rsidRPr="00FB6AC2">
        <w:rPr>
          <w:rFonts w:ascii="Arial" w:hAnsi="Arial" w:cs="Arial"/>
        </w:rPr>
        <w:fldChar w:fldCharType="end"/>
      </w:r>
    </w:p>
    <w:p w14:paraId="3F0ADC20" w14:textId="02BEEE1D" w:rsidR="00071855" w:rsidRPr="00FB6AC2" w:rsidRDefault="00351F3C" w:rsidP="00FB6AC2">
      <w:pPr>
        <w:rPr>
          <w:rFonts w:ascii="Arial" w:hAnsi="Arial" w:cs="Arial"/>
          <w:iCs/>
        </w:rPr>
      </w:pPr>
      <w:r w:rsidRPr="00FB6AC2">
        <w:rPr>
          <w:rFonts w:ascii="Arial" w:hAnsi="Arial" w:cs="Arial"/>
          <w:iCs/>
        </w:rPr>
        <w:t xml:space="preserve">Infections, including serious and sometimes fatal bacterial and viral infections (including COVID-19), have occurred in patients treated with </w:t>
      </w:r>
      <w:r w:rsidR="0094029E" w:rsidRPr="00FB6AC2">
        <w:rPr>
          <w:rFonts w:ascii="Arial" w:hAnsi="Arial" w:cs="Arial"/>
          <w:iCs/>
        </w:rPr>
        <w:t>OMJJARA</w:t>
      </w:r>
      <w:r w:rsidRPr="00FB6AC2">
        <w:rPr>
          <w:rFonts w:ascii="Arial" w:hAnsi="Arial" w:cs="Arial"/>
          <w:iCs/>
        </w:rPr>
        <w:t xml:space="preserve"> (see section </w:t>
      </w:r>
      <w:r w:rsidR="00991D9D" w:rsidRPr="00FB6AC2">
        <w:rPr>
          <w:rFonts w:ascii="Arial" w:hAnsi="Arial" w:cs="Arial"/>
          <w:iCs/>
        </w:rPr>
        <w:t>4.8 ADVERSE EFFECTS (UNDESIRABLE EFFECTS))</w:t>
      </w:r>
      <w:r w:rsidRPr="00FB6AC2">
        <w:rPr>
          <w:rFonts w:ascii="Arial" w:hAnsi="Arial" w:cs="Arial"/>
          <w:iCs/>
        </w:rPr>
        <w:t xml:space="preserve">. </w:t>
      </w:r>
      <w:r w:rsidR="003C332B" w:rsidRPr="00FB6AC2">
        <w:rPr>
          <w:rFonts w:ascii="Arial" w:hAnsi="Arial" w:cs="Arial"/>
          <w:iCs/>
        </w:rPr>
        <w:t>OMJJARA</w:t>
      </w:r>
      <w:r w:rsidRPr="00FB6AC2">
        <w:rPr>
          <w:rFonts w:ascii="Arial" w:hAnsi="Arial" w:cs="Arial"/>
          <w:iCs/>
        </w:rPr>
        <w:t xml:space="preserve"> should not be initiated in patients with active infections. Physicians should monitor patients receiving </w:t>
      </w:r>
      <w:r w:rsidR="003C332B" w:rsidRPr="00FB6AC2">
        <w:rPr>
          <w:rFonts w:ascii="Arial" w:hAnsi="Arial" w:cs="Arial"/>
          <w:iCs/>
        </w:rPr>
        <w:t>OMJJARA</w:t>
      </w:r>
      <w:r w:rsidRPr="00FB6AC2">
        <w:rPr>
          <w:rFonts w:ascii="Arial" w:hAnsi="Arial" w:cs="Arial"/>
          <w:iCs/>
        </w:rPr>
        <w:t xml:space="preserve"> for signs and symptoms of infection and initiate appropriate treatment promptly. </w:t>
      </w:r>
    </w:p>
    <w:p w14:paraId="15F5BB5D" w14:textId="1781FCA7" w:rsidR="00FB6AC2" w:rsidRPr="001522A5" w:rsidRDefault="00FB6AC2" w:rsidP="001522A5">
      <w:pPr>
        <w:pStyle w:val="Heading3"/>
        <w:spacing w:before="0" w:after="120"/>
        <w:ind w:left="0"/>
        <w:rPr>
          <w:rFonts w:ascii="Arial" w:hAnsi="Arial" w:cs="Arial"/>
          <w:b w:val="0"/>
          <w:bCs w:val="0"/>
          <w:i/>
          <w:iCs/>
          <w:u w:val="single"/>
        </w:rPr>
      </w:pPr>
      <w:r w:rsidRPr="001522A5">
        <w:rPr>
          <w:rFonts w:ascii="Arial" w:hAnsi="Arial" w:cs="Arial"/>
          <w:b w:val="0"/>
          <w:bCs w:val="0"/>
          <w:i/>
          <w:iCs/>
          <w:u w:val="single"/>
        </w:rPr>
        <w:t>Hepatitis B reactivation</w:t>
      </w:r>
      <w:r w:rsidR="005E53D5">
        <w:rPr>
          <w:rFonts w:ascii="Arial" w:hAnsi="Arial" w:cs="Arial"/>
          <w:b w:val="0"/>
          <w:bCs w:val="0"/>
          <w:i/>
          <w:iCs/>
          <w:u w:val="single"/>
        </w:rPr>
        <w:fldChar w:fldCharType="begin"/>
      </w:r>
      <w:r w:rsidR="005E53D5">
        <w:rPr>
          <w:rFonts w:ascii="Arial" w:hAnsi="Arial" w:cs="Arial"/>
          <w:b w:val="0"/>
          <w:bCs w:val="0"/>
          <w:i/>
          <w:iCs/>
          <w:u w:val="single"/>
        </w:rPr>
        <w:instrText xml:space="preserve"> DOCVARIABLE vault_nd_9876c04d-1f26-42dd-b194-bd713513dd18 \* MERGEFORMAT </w:instrText>
      </w:r>
      <w:r w:rsidR="005E53D5">
        <w:rPr>
          <w:rFonts w:ascii="Arial" w:hAnsi="Arial" w:cs="Arial"/>
          <w:b w:val="0"/>
          <w:bCs w:val="0"/>
          <w:i/>
          <w:iCs/>
          <w:u w:val="single"/>
        </w:rPr>
        <w:fldChar w:fldCharType="separate"/>
      </w:r>
      <w:r w:rsidR="005E53D5">
        <w:rPr>
          <w:rFonts w:ascii="Arial" w:hAnsi="Arial" w:cs="Arial"/>
          <w:b w:val="0"/>
          <w:bCs w:val="0"/>
          <w:i/>
          <w:iCs/>
          <w:u w:val="single"/>
        </w:rPr>
        <w:t xml:space="preserve"> </w:t>
      </w:r>
      <w:r w:rsidR="005E53D5">
        <w:rPr>
          <w:rFonts w:ascii="Arial" w:hAnsi="Arial" w:cs="Arial"/>
          <w:b w:val="0"/>
          <w:bCs w:val="0"/>
          <w:i/>
          <w:iCs/>
          <w:u w:val="single"/>
        </w:rPr>
        <w:fldChar w:fldCharType="end"/>
      </w:r>
    </w:p>
    <w:p w14:paraId="648D5B4C" w14:textId="77777777" w:rsidR="00261149" w:rsidRPr="008B6246" w:rsidRDefault="00261149" w:rsidP="008B6246">
      <w:pPr>
        <w:autoSpaceDE w:val="0"/>
        <w:autoSpaceDN w:val="0"/>
        <w:adjustRightInd w:val="0"/>
        <w:spacing w:after="0"/>
        <w:rPr>
          <w:rFonts w:ascii="Arial" w:hAnsi="Arial" w:cs="Arial"/>
          <w:iCs/>
        </w:rPr>
      </w:pPr>
      <w:r w:rsidRPr="008B6246">
        <w:rPr>
          <w:rFonts w:ascii="Arial" w:hAnsi="Arial" w:cs="Arial"/>
          <w:iCs/>
        </w:rPr>
        <w:t>Hepatitis B viral load (HBV-DNA titre) increases, with or without associated elevations</w:t>
      </w:r>
    </w:p>
    <w:p w14:paraId="1DF46CF8" w14:textId="77777777" w:rsidR="00261149" w:rsidRPr="008B6246" w:rsidRDefault="00261149" w:rsidP="008B6246">
      <w:pPr>
        <w:autoSpaceDE w:val="0"/>
        <w:autoSpaceDN w:val="0"/>
        <w:adjustRightInd w:val="0"/>
        <w:spacing w:after="0"/>
        <w:rPr>
          <w:rFonts w:ascii="Arial" w:hAnsi="Arial" w:cs="Arial"/>
          <w:iCs/>
        </w:rPr>
      </w:pPr>
      <w:r w:rsidRPr="008B6246">
        <w:rPr>
          <w:rFonts w:ascii="Arial" w:hAnsi="Arial" w:cs="Arial"/>
          <w:iCs/>
        </w:rPr>
        <w:t>in alanine transaminase (ALT) or aspartate transaminase (AST), have been reported in</w:t>
      </w:r>
    </w:p>
    <w:p w14:paraId="45053152" w14:textId="77777777" w:rsidR="00261149" w:rsidRPr="008B6246" w:rsidRDefault="00261149" w:rsidP="008B6246">
      <w:pPr>
        <w:autoSpaceDE w:val="0"/>
        <w:autoSpaceDN w:val="0"/>
        <w:adjustRightInd w:val="0"/>
        <w:spacing w:after="0"/>
        <w:rPr>
          <w:rFonts w:ascii="Arial" w:hAnsi="Arial" w:cs="Arial"/>
          <w:iCs/>
        </w:rPr>
      </w:pPr>
      <w:r w:rsidRPr="008B6246">
        <w:rPr>
          <w:rFonts w:ascii="Arial" w:hAnsi="Arial" w:cs="Arial"/>
          <w:iCs/>
        </w:rPr>
        <w:t>patients with chronic hepatitis B virus (HBV) infection taking JAK inhibitors, including</w:t>
      </w:r>
    </w:p>
    <w:p w14:paraId="7341FEB6" w14:textId="7B16301B" w:rsidR="00261149" w:rsidRPr="008B6246" w:rsidRDefault="008A1F76" w:rsidP="008B6246">
      <w:pPr>
        <w:autoSpaceDE w:val="0"/>
        <w:autoSpaceDN w:val="0"/>
        <w:adjustRightInd w:val="0"/>
        <w:spacing w:after="0"/>
        <w:rPr>
          <w:rFonts w:ascii="Arial" w:hAnsi="Arial" w:cs="Arial"/>
          <w:iCs/>
        </w:rPr>
      </w:pPr>
      <w:r>
        <w:rPr>
          <w:rFonts w:ascii="Arial" w:hAnsi="Arial" w:cs="Arial"/>
          <w:iCs/>
        </w:rPr>
        <w:t>OMJJARA</w:t>
      </w:r>
      <w:r w:rsidR="00261149" w:rsidRPr="008B6246">
        <w:rPr>
          <w:rFonts w:ascii="Arial" w:hAnsi="Arial" w:cs="Arial"/>
          <w:iCs/>
        </w:rPr>
        <w:t xml:space="preserve">. The effect of </w:t>
      </w:r>
      <w:r>
        <w:rPr>
          <w:rFonts w:ascii="Arial" w:hAnsi="Arial" w:cs="Arial"/>
          <w:iCs/>
        </w:rPr>
        <w:t>OMJJARA</w:t>
      </w:r>
      <w:r w:rsidR="00261149" w:rsidRPr="008B6246">
        <w:rPr>
          <w:rFonts w:ascii="Arial" w:hAnsi="Arial" w:cs="Arial"/>
          <w:iCs/>
        </w:rPr>
        <w:t xml:space="preserve"> on viral replication in patients with chronic HBV infection</w:t>
      </w:r>
    </w:p>
    <w:p w14:paraId="0F218A06" w14:textId="4DFAB81D" w:rsidR="00FB6AC2" w:rsidRPr="008B6246" w:rsidRDefault="00261149" w:rsidP="008B6246">
      <w:pPr>
        <w:autoSpaceDE w:val="0"/>
        <w:autoSpaceDN w:val="0"/>
        <w:adjustRightInd w:val="0"/>
        <w:rPr>
          <w:rFonts w:ascii="Arial" w:hAnsi="Arial" w:cs="Arial"/>
          <w:iCs/>
        </w:rPr>
      </w:pPr>
      <w:r w:rsidRPr="008B6246">
        <w:rPr>
          <w:rFonts w:ascii="Arial" w:hAnsi="Arial" w:cs="Arial"/>
          <w:iCs/>
        </w:rPr>
        <w:t xml:space="preserve">is unknown. </w:t>
      </w:r>
      <w:r w:rsidR="00FB6AC2" w:rsidRPr="00FB6AC2">
        <w:rPr>
          <w:rFonts w:ascii="Arial" w:hAnsi="Arial" w:cs="Arial"/>
          <w:iCs/>
          <w:lang w:val="en-GB"/>
        </w:rPr>
        <w:t>Patients with chronic HBV</w:t>
      </w:r>
      <w:r w:rsidR="008A1F76">
        <w:rPr>
          <w:rFonts w:ascii="Arial" w:hAnsi="Arial" w:cs="Arial"/>
          <w:iCs/>
          <w:lang w:val="en-GB"/>
        </w:rPr>
        <w:t xml:space="preserve"> </w:t>
      </w:r>
      <w:r w:rsidR="00FB6AC2" w:rsidRPr="00FB6AC2">
        <w:rPr>
          <w:rFonts w:ascii="Arial" w:hAnsi="Arial" w:cs="Arial"/>
          <w:iCs/>
          <w:lang w:val="en-GB"/>
        </w:rPr>
        <w:t>infection who receive OMJJARA should have their chronic HBV infection treated and monitored according to clinical HBV guidelines.</w:t>
      </w:r>
    </w:p>
    <w:p w14:paraId="3722D37F" w14:textId="27BA8282" w:rsidR="00351F3C" w:rsidRPr="00FB6AC2" w:rsidRDefault="00351F3C" w:rsidP="00FB6AC2">
      <w:pPr>
        <w:pStyle w:val="Heading3"/>
        <w:spacing w:before="0" w:after="120"/>
        <w:rPr>
          <w:rFonts w:ascii="Arial" w:hAnsi="Arial" w:cs="Arial"/>
        </w:rPr>
      </w:pPr>
      <w:r w:rsidRPr="00FB6AC2">
        <w:rPr>
          <w:rFonts w:ascii="Arial" w:hAnsi="Arial" w:cs="Arial"/>
        </w:rPr>
        <w:lastRenderedPageBreak/>
        <w:t>Thrombocytopenia</w:t>
      </w:r>
      <w:r w:rsidR="00F8580A">
        <w:rPr>
          <w:rFonts w:ascii="Arial" w:hAnsi="Arial" w:cs="Arial"/>
        </w:rPr>
        <w:t xml:space="preserve"> and neutropenia</w:t>
      </w:r>
      <w:r w:rsidR="0091147C" w:rsidRPr="00FB6AC2">
        <w:rPr>
          <w:rFonts w:ascii="Arial" w:hAnsi="Arial" w:cs="Arial"/>
        </w:rPr>
        <w:t xml:space="preserve"> </w:t>
      </w:r>
      <w:r w:rsidR="00CE6790" w:rsidRPr="00FB6AC2">
        <w:rPr>
          <w:rFonts w:ascii="Arial" w:hAnsi="Arial" w:cs="Arial"/>
        </w:rPr>
        <w:fldChar w:fldCharType="begin"/>
      </w:r>
      <w:r w:rsidR="00CE6790" w:rsidRPr="00FB6AC2">
        <w:rPr>
          <w:rFonts w:ascii="Arial" w:hAnsi="Arial" w:cs="Arial"/>
        </w:rPr>
        <w:instrText xml:space="preserve"> DOCVARIABLE vault_nd_c4d64b3e-d694-4c95-9ce1-1b4a5655e026 \* MERGEFORMAT </w:instrText>
      </w:r>
      <w:r w:rsidR="00CE6790" w:rsidRPr="00FB6AC2">
        <w:rPr>
          <w:rFonts w:ascii="Arial" w:hAnsi="Arial" w:cs="Arial"/>
        </w:rPr>
        <w:fldChar w:fldCharType="separate"/>
      </w:r>
      <w:r w:rsidR="00CE6790" w:rsidRPr="00FB6AC2">
        <w:rPr>
          <w:rFonts w:ascii="Arial" w:hAnsi="Arial" w:cs="Arial"/>
        </w:rPr>
        <w:t xml:space="preserve"> </w:t>
      </w:r>
      <w:r w:rsidR="00CE6790" w:rsidRPr="00FB6AC2">
        <w:rPr>
          <w:rFonts w:ascii="Arial" w:hAnsi="Arial" w:cs="Arial"/>
        </w:rPr>
        <w:fldChar w:fldCharType="end"/>
      </w:r>
    </w:p>
    <w:p w14:paraId="7254EFC1" w14:textId="196A8EC8" w:rsidR="00351F3C" w:rsidRPr="00FB6AC2" w:rsidRDefault="00351F3C" w:rsidP="00FB6AC2">
      <w:pPr>
        <w:rPr>
          <w:rFonts w:ascii="Arial" w:hAnsi="Arial" w:cs="Arial"/>
          <w:iCs/>
        </w:rPr>
      </w:pPr>
      <w:r w:rsidRPr="00FB6AC2">
        <w:rPr>
          <w:rFonts w:ascii="Arial" w:hAnsi="Arial" w:cs="Arial"/>
          <w:iCs/>
        </w:rPr>
        <w:t xml:space="preserve">New onset of severe (Grade ≥3) thrombocytopenia </w:t>
      </w:r>
      <w:r w:rsidR="00516953">
        <w:rPr>
          <w:rFonts w:ascii="Arial" w:hAnsi="Arial" w:cs="Arial"/>
          <w:iCs/>
        </w:rPr>
        <w:t xml:space="preserve">and neutropenia </w:t>
      </w:r>
      <w:r w:rsidRPr="00FB6AC2">
        <w:rPr>
          <w:rFonts w:ascii="Arial" w:hAnsi="Arial" w:cs="Arial"/>
          <w:iCs/>
        </w:rPr>
        <w:t xml:space="preserve">was observed in patients treated with </w:t>
      </w:r>
      <w:r w:rsidR="003C332B" w:rsidRPr="00FB6AC2">
        <w:rPr>
          <w:rFonts w:ascii="Arial" w:hAnsi="Arial" w:cs="Arial"/>
          <w:iCs/>
        </w:rPr>
        <w:t>OMJJARA</w:t>
      </w:r>
      <w:r w:rsidRPr="00FB6AC2">
        <w:rPr>
          <w:rFonts w:ascii="Arial" w:hAnsi="Arial" w:cs="Arial"/>
          <w:iCs/>
        </w:rPr>
        <w:t xml:space="preserve"> (see section 4.8 </w:t>
      </w:r>
      <w:r w:rsidR="00991D9D" w:rsidRPr="00FB6AC2">
        <w:rPr>
          <w:rFonts w:ascii="Arial" w:hAnsi="Arial" w:cs="Arial"/>
          <w:iCs/>
        </w:rPr>
        <w:t>ADVERSE</w:t>
      </w:r>
      <w:r w:rsidRPr="00FB6AC2">
        <w:rPr>
          <w:rFonts w:ascii="Arial" w:hAnsi="Arial" w:cs="Arial"/>
          <w:iCs/>
        </w:rPr>
        <w:t xml:space="preserve"> </w:t>
      </w:r>
      <w:r w:rsidR="00991D9D" w:rsidRPr="00FB6AC2">
        <w:rPr>
          <w:rFonts w:ascii="Arial" w:hAnsi="Arial" w:cs="Arial"/>
          <w:iCs/>
        </w:rPr>
        <w:t>EFFECTS</w:t>
      </w:r>
      <w:r w:rsidRPr="00FB6AC2">
        <w:rPr>
          <w:rFonts w:ascii="Arial" w:hAnsi="Arial" w:cs="Arial"/>
          <w:iCs/>
        </w:rPr>
        <w:t xml:space="preserve"> (</w:t>
      </w:r>
      <w:r w:rsidR="00991D9D" w:rsidRPr="00FB6AC2">
        <w:rPr>
          <w:rFonts w:ascii="Arial" w:hAnsi="Arial" w:cs="Arial"/>
          <w:iCs/>
        </w:rPr>
        <w:t>UNDESIRABLE EFFECTS</w:t>
      </w:r>
      <w:r w:rsidRPr="00FB6AC2">
        <w:rPr>
          <w:rFonts w:ascii="Arial" w:hAnsi="Arial" w:cs="Arial"/>
          <w:iCs/>
        </w:rPr>
        <w:t xml:space="preserve">)). A complete blood count, including platelet count, should be obtained before initiating treatment with </w:t>
      </w:r>
      <w:r w:rsidR="003C332B" w:rsidRPr="00FB6AC2">
        <w:rPr>
          <w:rFonts w:ascii="Arial" w:hAnsi="Arial" w:cs="Arial"/>
          <w:iCs/>
        </w:rPr>
        <w:t>OMJJARA</w:t>
      </w:r>
      <w:r w:rsidRPr="00FB6AC2">
        <w:rPr>
          <w:rFonts w:ascii="Arial" w:hAnsi="Arial" w:cs="Arial"/>
          <w:iCs/>
        </w:rPr>
        <w:t>, periodically during treatment, and as clinically indicated. Dose interruption or reduction may be required (see 4.2 DOSE AND METHOD OF ADMINISTRATION</w:t>
      </w:r>
      <w:r w:rsidR="00531375" w:rsidRPr="00FB6AC2">
        <w:rPr>
          <w:rFonts w:ascii="Arial" w:hAnsi="Arial" w:cs="Arial"/>
          <w:iCs/>
        </w:rPr>
        <w:t>,</w:t>
      </w:r>
      <w:r w:rsidRPr="00FB6AC2">
        <w:rPr>
          <w:rFonts w:ascii="Arial" w:hAnsi="Arial" w:cs="Arial"/>
          <w:iCs/>
        </w:rPr>
        <w:t xml:space="preserve"> Dose modifications). </w:t>
      </w:r>
    </w:p>
    <w:p w14:paraId="4334F9FC" w14:textId="4F499B72" w:rsidR="00D15367" w:rsidRPr="00FB6AC2" w:rsidRDefault="00D15367" w:rsidP="00FB6AC2">
      <w:pPr>
        <w:pStyle w:val="Heading3"/>
        <w:spacing w:before="0" w:after="120"/>
        <w:rPr>
          <w:rFonts w:ascii="Arial" w:hAnsi="Arial" w:cs="Arial"/>
        </w:rPr>
      </w:pPr>
      <w:bookmarkStart w:id="3" w:name="_Hlk179891046"/>
      <w:r w:rsidRPr="00FB6AC2">
        <w:rPr>
          <w:rFonts w:ascii="Arial" w:hAnsi="Arial" w:cs="Arial"/>
        </w:rPr>
        <w:t xml:space="preserve">Major </w:t>
      </w:r>
      <w:r w:rsidR="006E561E" w:rsidRPr="00FB6AC2">
        <w:rPr>
          <w:rFonts w:ascii="Arial" w:hAnsi="Arial" w:cs="Arial"/>
        </w:rPr>
        <w:t>A</w:t>
      </w:r>
      <w:r w:rsidRPr="00FB6AC2">
        <w:rPr>
          <w:rFonts w:ascii="Arial" w:hAnsi="Arial" w:cs="Arial"/>
        </w:rPr>
        <w:t xml:space="preserve">dverse </w:t>
      </w:r>
      <w:r w:rsidR="006E561E" w:rsidRPr="00FB6AC2">
        <w:rPr>
          <w:rFonts w:ascii="Arial" w:hAnsi="Arial" w:cs="Arial"/>
        </w:rPr>
        <w:t>C</w:t>
      </w:r>
      <w:r w:rsidRPr="00FB6AC2">
        <w:rPr>
          <w:rFonts w:ascii="Arial" w:hAnsi="Arial" w:cs="Arial"/>
        </w:rPr>
        <w:t xml:space="preserve">ardiovascular </w:t>
      </w:r>
      <w:r w:rsidR="006E561E" w:rsidRPr="00FB6AC2">
        <w:rPr>
          <w:rFonts w:ascii="Arial" w:hAnsi="Arial" w:cs="Arial"/>
        </w:rPr>
        <w:t>E</w:t>
      </w:r>
      <w:r w:rsidRPr="00FB6AC2">
        <w:rPr>
          <w:rFonts w:ascii="Arial" w:hAnsi="Arial" w:cs="Arial"/>
        </w:rPr>
        <w:t>vents (MACE)</w:t>
      </w:r>
      <w:r w:rsidR="005E53D5">
        <w:rPr>
          <w:rFonts w:ascii="Arial" w:hAnsi="Arial" w:cs="Arial"/>
        </w:rPr>
        <w:fldChar w:fldCharType="begin"/>
      </w:r>
      <w:r w:rsidR="005E53D5">
        <w:rPr>
          <w:rFonts w:ascii="Arial" w:hAnsi="Arial" w:cs="Arial"/>
        </w:rPr>
        <w:instrText xml:space="preserve"> DOCVARIABLE vault_nd_080fd372-21d5-4243-82c0-69bd0e61ea06 \* MERGEFORMAT </w:instrText>
      </w:r>
      <w:r w:rsidR="005E53D5">
        <w:rPr>
          <w:rFonts w:ascii="Arial" w:hAnsi="Arial" w:cs="Arial"/>
        </w:rPr>
        <w:fldChar w:fldCharType="separate"/>
      </w:r>
      <w:r w:rsidR="005E53D5">
        <w:rPr>
          <w:rFonts w:ascii="Arial" w:hAnsi="Arial" w:cs="Arial"/>
        </w:rPr>
        <w:t xml:space="preserve"> </w:t>
      </w:r>
      <w:r w:rsidR="005E53D5">
        <w:rPr>
          <w:rFonts w:ascii="Arial" w:hAnsi="Arial" w:cs="Arial"/>
        </w:rPr>
        <w:fldChar w:fldCharType="end"/>
      </w:r>
    </w:p>
    <w:bookmarkEnd w:id="3"/>
    <w:p w14:paraId="330D7B8B" w14:textId="77777777" w:rsidR="00421587" w:rsidRDefault="00421587" w:rsidP="00FB6AC2">
      <w:pPr>
        <w:rPr>
          <w:rFonts w:ascii="Arial" w:hAnsi="Arial" w:cs="Arial"/>
          <w:iCs/>
        </w:rPr>
      </w:pPr>
      <w:r w:rsidRPr="00FB6AC2">
        <w:rPr>
          <w:rFonts w:ascii="Arial" w:hAnsi="Arial" w:cs="Arial"/>
          <w:iCs/>
        </w:rPr>
        <w:t xml:space="preserve">In a large randomised active-controlled study of tofacitinib (another JAK inhibitor) in rheumatoid arthritis patients 50 years and older with at least one additional cardiovascular risk factor, a higher rate of MACE, defined as cardiovascular death, non-fatal myocardial infarction (MI) and non-fatal stroke, was observed with tofacitinib compared to tumour necrosis factor (TNF) inhibitors. </w:t>
      </w:r>
    </w:p>
    <w:p w14:paraId="49D7BF19" w14:textId="31A888D4" w:rsidR="000B2B90" w:rsidRPr="00FB6AC2" w:rsidRDefault="000B2B90" w:rsidP="00FB6AC2">
      <w:pPr>
        <w:rPr>
          <w:rFonts w:ascii="Arial" w:hAnsi="Arial" w:cs="Arial"/>
          <w:iCs/>
        </w:rPr>
      </w:pPr>
      <w:r w:rsidRPr="00FB6AC2">
        <w:rPr>
          <w:rFonts w:ascii="Arial" w:hAnsi="Arial" w:cs="Arial"/>
          <w:iCs/>
        </w:rPr>
        <w:t>Events of MACE have been reported in patients receiving OMJJARA, however, a causal relationship has not been established. Prior to initiating or continuing therapy with OMJJARA, the benefits and risks for the individual patient should be considered particularly in patients 65 years of age and older, patients who are current or past long-time smokers, and patients with history of atherosclerotic cardiovascular disease or other cardiovascular risk factors.</w:t>
      </w:r>
      <w:r>
        <w:rPr>
          <w:rFonts w:ascii="Arial" w:eastAsiaTheme="majorEastAsia" w:hAnsi="Arial" w:cs="Arial"/>
          <w:iCs/>
        </w:rPr>
        <w:fldChar w:fldCharType="begin"/>
      </w:r>
      <w:r>
        <w:rPr>
          <w:rFonts w:ascii="Arial" w:hAnsi="Arial" w:cs="Arial"/>
          <w:iCs/>
        </w:rPr>
        <w:instrText xml:space="preserve"> DOCVARIABLE vault_nd_406f9555-79df-4dbd-992a-5eca964eb6fe \* MERGEFORMAT </w:instrText>
      </w:r>
      <w:r>
        <w:rPr>
          <w:rFonts w:ascii="Arial" w:eastAsiaTheme="majorEastAsia" w:hAnsi="Arial" w:cs="Arial"/>
          <w:iCs/>
        </w:rPr>
        <w:fldChar w:fldCharType="separate"/>
      </w:r>
      <w:r>
        <w:rPr>
          <w:rFonts w:ascii="Arial" w:hAnsi="Arial" w:cs="Arial"/>
          <w:iCs/>
        </w:rPr>
        <w:t xml:space="preserve"> </w:t>
      </w:r>
      <w:r>
        <w:rPr>
          <w:rFonts w:ascii="Arial" w:eastAsiaTheme="majorEastAsia" w:hAnsi="Arial" w:cs="Arial"/>
          <w:iCs/>
        </w:rPr>
        <w:fldChar w:fldCharType="end"/>
      </w:r>
    </w:p>
    <w:p w14:paraId="52E4F0BD" w14:textId="1F0852E0" w:rsidR="00421587" w:rsidRPr="00FB6AC2" w:rsidRDefault="00421587" w:rsidP="00FB6AC2">
      <w:pPr>
        <w:pStyle w:val="Heading3"/>
        <w:spacing w:before="0" w:after="120"/>
        <w:rPr>
          <w:rFonts w:ascii="Arial" w:hAnsi="Arial" w:cs="Arial"/>
        </w:rPr>
      </w:pPr>
      <w:r w:rsidRPr="00FB6AC2">
        <w:rPr>
          <w:rFonts w:ascii="Arial" w:hAnsi="Arial" w:cs="Arial"/>
        </w:rPr>
        <w:t>Thrombosis</w:t>
      </w:r>
      <w:r w:rsidR="005E53D5">
        <w:rPr>
          <w:rFonts w:ascii="Arial" w:hAnsi="Arial" w:cs="Arial"/>
        </w:rPr>
        <w:fldChar w:fldCharType="begin"/>
      </w:r>
      <w:r w:rsidR="005E53D5">
        <w:rPr>
          <w:rFonts w:ascii="Arial" w:hAnsi="Arial" w:cs="Arial"/>
        </w:rPr>
        <w:instrText xml:space="preserve"> DOCVARIABLE vault_nd_97241481-1709-40c5-9eb2-7a5dbe73bd21 \* MERGEFORMAT </w:instrText>
      </w:r>
      <w:r w:rsidR="005E53D5">
        <w:rPr>
          <w:rFonts w:ascii="Arial" w:hAnsi="Arial" w:cs="Arial"/>
        </w:rPr>
        <w:fldChar w:fldCharType="separate"/>
      </w:r>
      <w:r w:rsidR="005E53D5">
        <w:rPr>
          <w:rFonts w:ascii="Arial" w:hAnsi="Arial" w:cs="Arial"/>
        </w:rPr>
        <w:t xml:space="preserve"> </w:t>
      </w:r>
      <w:r w:rsidR="005E53D5">
        <w:rPr>
          <w:rFonts w:ascii="Arial" w:hAnsi="Arial" w:cs="Arial"/>
        </w:rPr>
        <w:fldChar w:fldCharType="end"/>
      </w:r>
    </w:p>
    <w:p w14:paraId="0CAE3E94" w14:textId="77777777" w:rsidR="00421587" w:rsidRPr="00FB6AC2" w:rsidRDefault="00421587" w:rsidP="001522A5">
      <w:pPr>
        <w:pStyle w:val="Default"/>
        <w:spacing w:line="276" w:lineRule="auto"/>
        <w:rPr>
          <w:rFonts w:ascii="Arial" w:hAnsi="Arial" w:cs="Arial"/>
          <w:iCs/>
          <w:sz w:val="22"/>
          <w:szCs w:val="22"/>
        </w:rPr>
      </w:pPr>
      <w:r w:rsidRPr="001522A5">
        <w:rPr>
          <w:rFonts w:ascii="Arial" w:hAnsi="Arial" w:cs="Arial"/>
          <w:iCs/>
          <w:sz w:val="22"/>
          <w:szCs w:val="22"/>
        </w:rPr>
        <w:t xml:space="preserve">In a large randomised active-controlled study of tofacitinib (another JAK inhibitor) in rheumatoid arthritis patients 50 years and older with at least one additional cardiovascular risk factor, a dose dependent higher rate of venous thromboembolic events (VTE) including deep venous thrombosis (DVT) and pulmonary embolism (PE) was observed with tofacitinib compared to TNF inhibitors. </w:t>
      </w:r>
    </w:p>
    <w:p w14:paraId="70A6FA2A" w14:textId="77777777" w:rsidR="00421587" w:rsidRPr="001522A5" w:rsidRDefault="00421587" w:rsidP="001522A5">
      <w:pPr>
        <w:pStyle w:val="Default"/>
        <w:spacing w:line="276" w:lineRule="auto"/>
        <w:rPr>
          <w:rFonts w:ascii="Arial" w:hAnsi="Arial" w:cs="Arial"/>
          <w:iCs/>
          <w:sz w:val="22"/>
          <w:szCs w:val="22"/>
        </w:rPr>
      </w:pPr>
    </w:p>
    <w:p w14:paraId="3A35B3F2" w14:textId="12EE3573" w:rsidR="00552D12" w:rsidRPr="001522A5" w:rsidRDefault="00421587" w:rsidP="001522A5">
      <w:pPr>
        <w:pStyle w:val="Default"/>
        <w:spacing w:line="276" w:lineRule="auto"/>
        <w:rPr>
          <w:rFonts w:ascii="Arial" w:hAnsi="Arial" w:cs="Arial"/>
          <w:iCs/>
          <w:sz w:val="22"/>
          <w:szCs w:val="22"/>
        </w:rPr>
      </w:pPr>
      <w:r w:rsidRPr="001522A5">
        <w:rPr>
          <w:rFonts w:ascii="Arial" w:hAnsi="Arial" w:cs="Arial"/>
          <w:iCs/>
          <w:sz w:val="22"/>
          <w:szCs w:val="22"/>
        </w:rPr>
        <w:t xml:space="preserve">Events of DVT and PE have been reported in patients receiving </w:t>
      </w:r>
      <w:r w:rsidR="00CD2BD4" w:rsidRPr="00FB6AC2">
        <w:rPr>
          <w:rFonts w:ascii="Arial" w:hAnsi="Arial" w:cs="Arial"/>
          <w:iCs/>
          <w:sz w:val="22"/>
          <w:szCs w:val="22"/>
        </w:rPr>
        <w:t>OMJJARA</w:t>
      </w:r>
      <w:r w:rsidRPr="001522A5">
        <w:rPr>
          <w:rFonts w:ascii="Arial" w:hAnsi="Arial" w:cs="Arial"/>
          <w:iCs/>
          <w:sz w:val="22"/>
          <w:szCs w:val="22"/>
        </w:rPr>
        <w:t xml:space="preserve">. However, a causal association has not been established. In patients with myelofibrosis treated with </w:t>
      </w:r>
      <w:r w:rsidR="00CD2BD4" w:rsidRPr="00FB6AC2">
        <w:rPr>
          <w:rFonts w:ascii="Arial" w:hAnsi="Arial" w:cs="Arial"/>
          <w:iCs/>
          <w:sz w:val="22"/>
          <w:szCs w:val="22"/>
        </w:rPr>
        <w:t>OMJJARA</w:t>
      </w:r>
      <w:r w:rsidRPr="001522A5">
        <w:rPr>
          <w:rFonts w:ascii="Arial" w:hAnsi="Arial" w:cs="Arial"/>
          <w:iCs/>
          <w:sz w:val="22"/>
          <w:szCs w:val="22"/>
        </w:rPr>
        <w:t xml:space="preserve"> in clinical trials, the rates of thromboembolic events were similar in </w:t>
      </w:r>
      <w:r w:rsidR="00CD2BD4" w:rsidRPr="00FB6AC2">
        <w:rPr>
          <w:rFonts w:ascii="Arial" w:hAnsi="Arial" w:cs="Arial"/>
          <w:iCs/>
          <w:sz w:val="22"/>
          <w:szCs w:val="22"/>
        </w:rPr>
        <w:t>OMJJARA</w:t>
      </w:r>
      <w:r w:rsidRPr="001522A5">
        <w:rPr>
          <w:rFonts w:ascii="Arial" w:hAnsi="Arial" w:cs="Arial"/>
          <w:iCs/>
          <w:sz w:val="22"/>
          <w:szCs w:val="22"/>
        </w:rPr>
        <w:t xml:space="preserve"> and control-treated patients. Prior to initiating or continuing therapy with </w:t>
      </w:r>
      <w:r w:rsidR="00CD2BD4" w:rsidRPr="00FB6AC2">
        <w:rPr>
          <w:rFonts w:ascii="Arial" w:hAnsi="Arial" w:cs="Arial"/>
          <w:iCs/>
          <w:sz w:val="22"/>
          <w:szCs w:val="22"/>
        </w:rPr>
        <w:t>OMJJARA</w:t>
      </w:r>
      <w:r w:rsidRPr="001522A5">
        <w:rPr>
          <w:rFonts w:ascii="Arial" w:hAnsi="Arial" w:cs="Arial"/>
          <w:iCs/>
          <w:sz w:val="22"/>
          <w:szCs w:val="22"/>
        </w:rPr>
        <w:t>, the benefits and risks for the individual patient should be considered particularly in patients with cardiovascular risk factors</w:t>
      </w:r>
      <w:r w:rsidR="00552D12" w:rsidRPr="00FB6AC2">
        <w:rPr>
          <w:rFonts w:ascii="Arial" w:hAnsi="Arial" w:cs="Arial"/>
          <w:iCs/>
          <w:sz w:val="22"/>
          <w:szCs w:val="22"/>
        </w:rPr>
        <w:t xml:space="preserve"> (see section 4.4 SPECIAL WARNINGS AND PRECAUTIONS FOR USE</w:t>
      </w:r>
      <w:r w:rsidR="00CB2AC2" w:rsidRPr="00FB6AC2">
        <w:rPr>
          <w:rFonts w:ascii="Arial" w:hAnsi="Arial" w:cs="Arial"/>
          <w:iCs/>
          <w:sz w:val="22"/>
          <w:szCs w:val="22"/>
        </w:rPr>
        <w:t xml:space="preserve">, </w:t>
      </w:r>
      <w:r w:rsidR="00552D12" w:rsidRPr="001522A5">
        <w:rPr>
          <w:rFonts w:ascii="Arial" w:hAnsi="Arial" w:cs="Arial"/>
          <w:iCs/>
          <w:sz w:val="22"/>
          <w:szCs w:val="22"/>
        </w:rPr>
        <w:t xml:space="preserve">Major </w:t>
      </w:r>
      <w:r w:rsidR="006E561E" w:rsidRPr="00FB6AC2">
        <w:rPr>
          <w:rFonts w:ascii="Arial" w:hAnsi="Arial" w:cs="Arial"/>
          <w:iCs/>
          <w:sz w:val="22"/>
          <w:szCs w:val="22"/>
        </w:rPr>
        <w:t>A</w:t>
      </w:r>
      <w:r w:rsidR="00552D12" w:rsidRPr="001522A5">
        <w:rPr>
          <w:rFonts w:ascii="Arial" w:hAnsi="Arial" w:cs="Arial"/>
          <w:iCs/>
          <w:sz w:val="22"/>
          <w:szCs w:val="22"/>
        </w:rPr>
        <w:t xml:space="preserve">dverse </w:t>
      </w:r>
      <w:r w:rsidR="006E561E" w:rsidRPr="00FB6AC2">
        <w:rPr>
          <w:rFonts w:ascii="Arial" w:hAnsi="Arial" w:cs="Arial"/>
          <w:iCs/>
          <w:sz w:val="22"/>
          <w:szCs w:val="22"/>
        </w:rPr>
        <w:t>C</w:t>
      </w:r>
      <w:r w:rsidR="00552D12" w:rsidRPr="001522A5">
        <w:rPr>
          <w:rFonts w:ascii="Arial" w:hAnsi="Arial" w:cs="Arial"/>
          <w:iCs/>
          <w:sz w:val="22"/>
          <w:szCs w:val="22"/>
        </w:rPr>
        <w:t xml:space="preserve">ardiovascular </w:t>
      </w:r>
      <w:r w:rsidR="006E561E" w:rsidRPr="00FB6AC2">
        <w:rPr>
          <w:rFonts w:ascii="Arial" w:hAnsi="Arial" w:cs="Arial"/>
          <w:iCs/>
          <w:sz w:val="22"/>
          <w:szCs w:val="22"/>
        </w:rPr>
        <w:t>E</w:t>
      </w:r>
      <w:r w:rsidR="00552D12" w:rsidRPr="001522A5">
        <w:rPr>
          <w:rFonts w:ascii="Arial" w:hAnsi="Arial" w:cs="Arial"/>
          <w:iCs/>
          <w:sz w:val="22"/>
          <w:szCs w:val="22"/>
        </w:rPr>
        <w:t>vents (MACE)).</w:t>
      </w:r>
    </w:p>
    <w:p w14:paraId="580BB0F2" w14:textId="3A378ABA" w:rsidR="00421587" w:rsidRPr="001522A5" w:rsidRDefault="00421587" w:rsidP="001522A5">
      <w:pPr>
        <w:pStyle w:val="Default"/>
        <w:spacing w:line="276" w:lineRule="auto"/>
        <w:rPr>
          <w:rFonts w:ascii="Arial" w:hAnsi="Arial" w:cs="Arial"/>
          <w:iCs/>
          <w:sz w:val="22"/>
          <w:szCs w:val="22"/>
        </w:rPr>
      </w:pPr>
    </w:p>
    <w:p w14:paraId="7D7A95AD" w14:textId="77777777" w:rsidR="00421587" w:rsidRPr="00FB6AC2" w:rsidRDefault="00421587" w:rsidP="001522A5">
      <w:pPr>
        <w:pStyle w:val="Default"/>
        <w:spacing w:line="276" w:lineRule="auto"/>
        <w:rPr>
          <w:rFonts w:ascii="Arial" w:hAnsi="Arial" w:cs="Arial"/>
          <w:iCs/>
          <w:sz w:val="22"/>
          <w:szCs w:val="22"/>
        </w:rPr>
      </w:pPr>
      <w:r w:rsidRPr="001522A5">
        <w:rPr>
          <w:rFonts w:ascii="Arial" w:hAnsi="Arial" w:cs="Arial"/>
          <w:iCs/>
          <w:sz w:val="22"/>
          <w:szCs w:val="22"/>
        </w:rPr>
        <w:t>Patients with symptoms of thrombosis should be promptly evaluated and treated appropriately.</w:t>
      </w:r>
    </w:p>
    <w:p w14:paraId="3143A52A" w14:textId="77777777" w:rsidR="003454D3" w:rsidRPr="00FB6AC2" w:rsidRDefault="003454D3" w:rsidP="001522A5">
      <w:pPr>
        <w:pStyle w:val="Default"/>
        <w:spacing w:line="276" w:lineRule="auto"/>
        <w:rPr>
          <w:rFonts w:ascii="Arial" w:hAnsi="Arial" w:cs="Arial"/>
          <w:iCs/>
          <w:sz w:val="22"/>
          <w:szCs w:val="22"/>
        </w:rPr>
      </w:pPr>
    </w:p>
    <w:p w14:paraId="4E40DCA9" w14:textId="37942CF5" w:rsidR="003454D3" w:rsidRPr="00FB6AC2" w:rsidRDefault="003454D3" w:rsidP="001522A5">
      <w:pPr>
        <w:pStyle w:val="Heading3"/>
        <w:spacing w:before="0" w:after="120"/>
        <w:rPr>
          <w:rFonts w:ascii="Arial" w:hAnsi="Arial" w:cs="Arial"/>
        </w:rPr>
      </w:pPr>
      <w:r w:rsidRPr="00FB6AC2">
        <w:rPr>
          <w:rFonts w:ascii="Arial" w:hAnsi="Arial" w:cs="Arial"/>
        </w:rPr>
        <w:t>Second primary malignancies</w:t>
      </w:r>
      <w:r w:rsidR="005E53D5">
        <w:rPr>
          <w:rFonts w:ascii="Arial" w:hAnsi="Arial" w:cs="Arial"/>
        </w:rPr>
        <w:fldChar w:fldCharType="begin"/>
      </w:r>
      <w:r w:rsidR="005E53D5">
        <w:rPr>
          <w:rFonts w:ascii="Arial" w:hAnsi="Arial" w:cs="Arial"/>
        </w:rPr>
        <w:instrText xml:space="preserve"> DOCVARIABLE vault_nd_c0e302e3-7535-4ff2-8a8d-f4da5a3eb094 \* MERGEFORMAT </w:instrText>
      </w:r>
      <w:r w:rsidR="005E53D5">
        <w:rPr>
          <w:rFonts w:ascii="Arial" w:hAnsi="Arial" w:cs="Arial"/>
        </w:rPr>
        <w:fldChar w:fldCharType="separate"/>
      </w:r>
      <w:r w:rsidR="005E53D5">
        <w:rPr>
          <w:rFonts w:ascii="Arial" w:hAnsi="Arial" w:cs="Arial"/>
        </w:rPr>
        <w:t xml:space="preserve"> </w:t>
      </w:r>
      <w:r w:rsidR="005E53D5">
        <w:rPr>
          <w:rFonts w:ascii="Arial" w:hAnsi="Arial" w:cs="Arial"/>
        </w:rPr>
        <w:fldChar w:fldCharType="end"/>
      </w:r>
    </w:p>
    <w:p w14:paraId="2586C5A2" w14:textId="77777777" w:rsidR="003454D3" w:rsidRPr="00FB6AC2" w:rsidRDefault="003454D3" w:rsidP="001522A5">
      <w:pPr>
        <w:pStyle w:val="Default"/>
        <w:spacing w:line="276" w:lineRule="auto"/>
        <w:rPr>
          <w:rFonts w:ascii="Arial" w:hAnsi="Arial" w:cs="Arial"/>
          <w:iCs/>
          <w:sz w:val="22"/>
          <w:szCs w:val="22"/>
        </w:rPr>
      </w:pPr>
      <w:r w:rsidRPr="00FB6AC2">
        <w:rPr>
          <w:rFonts w:ascii="Arial" w:hAnsi="Arial" w:cs="Arial"/>
          <w:iCs/>
          <w:sz w:val="22"/>
          <w:szCs w:val="22"/>
        </w:rPr>
        <w:t xml:space="preserve">In a large randomised active controlled study of tofacitinib (another JAK inhibitor) in rheumatoid arthritis patients 50 years and older with at least one additional cardiovascular </w:t>
      </w:r>
      <w:r w:rsidRPr="00FB6AC2">
        <w:rPr>
          <w:rFonts w:ascii="Arial" w:hAnsi="Arial" w:cs="Arial"/>
          <w:iCs/>
          <w:sz w:val="22"/>
          <w:szCs w:val="22"/>
        </w:rPr>
        <w:lastRenderedPageBreak/>
        <w:t>risk factor, a higher rate of malignancies, particularly lung cancer, lymphoma and non-melanoma skin cancer (NMSC) was observed with tofacitinib compared to TNF inhibitors.</w:t>
      </w:r>
    </w:p>
    <w:p w14:paraId="09C6F91C" w14:textId="651AF856" w:rsidR="00975C8F" w:rsidRPr="00FB6AC2" w:rsidRDefault="003454D3" w:rsidP="001522A5">
      <w:pPr>
        <w:pStyle w:val="Default"/>
        <w:spacing w:after="240" w:line="276" w:lineRule="auto"/>
        <w:rPr>
          <w:rFonts w:ascii="Arial" w:hAnsi="Arial" w:cs="Arial"/>
          <w:iCs/>
          <w:sz w:val="22"/>
          <w:szCs w:val="22"/>
        </w:rPr>
      </w:pPr>
      <w:r w:rsidRPr="00FB6AC2">
        <w:rPr>
          <w:rFonts w:ascii="Arial" w:hAnsi="Arial" w:cs="Arial"/>
          <w:iCs/>
          <w:sz w:val="22"/>
          <w:szCs w:val="22"/>
        </w:rPr>
        <w:t xml:space="preserve">Lymphoma and other malignancies have been reported in patients receiving JAK inhibitors, including </w:t>
      </w:r>
      <w:r w:rsidR="00CD2BD4" w:rsidRPr="00FB6AC2">
        <w:rPr>
          <w:rFonts w:ascii="Arial" w:hAnsi="Arial" w:cs="Arial"/>
          <w:iCs/>
          <w:sz w:val="22"/>
          <w:szCs w:val="22"/>
        </w:rPr>
        <w:t>OMJJARA</w:t>
      </w:r>
      <w:r w:rsidRPr="00FB6AC2">
        <w:rPr>
          <w:rFonts w:ascii="Arial" w:hAnsi="Arial" w:cs="Arial"/>
          <w:iCs/>
          <w:sz w:val="22"/>
          <w:szCs w:val="22"/>
        </w:rPr>
        <w:t>. However, a causal association has not been established.</w:t>
      </w:r>
    </w:p>
    <w:p w14:paraId="59BF1F7B" w14:textId="3D9204F6" w:rsidR="00975C8F" w:rsidRPr="00FB6AC2" w:rsidRDefault="00975C8F" w:rsidP="00975C8F">
      <w:pPr>
        <w:pStyle w:val="Heading3"/>
        <w:spacing w:before="0" w:after="120"/>
        <w:rPr>
          <w:rFonts w:ascii="Arial" w:hAnsi="Arial" w:cs="Arial"/>
        </w:rPr>
      </w:pPr>
      <w:r>
        <w:rPr>
          <w:rFonts w:ascii="Arial" w:hAnsi="Arial" w:cs="Arial"/>
        </w:rPr>
        <w:t>Women of childbearing potential</w:t>
      </w:r>
      <w:r w:rsidR="005E53D5">
        <w:rPr>
          <w:rFonts w:ascii="Arial" w:hAnsi="Arial" w:cs="Arial"/>
        </w:rPr>
        <w:fldChar w:fldCharType="begin"/>
      </w:r>
      <w:r w:rsidR="005E53D5">
        <w:rPr>
          <w:rFonts w:ascii="Arial" w:hAnsi="Arial" w:cs="Arial"/>
        </w:rPr>
        <w:instrText xml:space="preserve"> DOCVARIABLE vault_nd_a5d14a03-cc1f-4a88-b2cb-ed1f43b8698d \* MERGEFORMAT </w:instrText>
      </w:r>
      <w:r w:rsidR="005E53D5">
        <w:rPr>
          <w:rFonts w:ascii="Arial" w:hAnsi="Arial" w:cs="Arial"/>
        </w:rPr>
        <w:fldChar w:fldCharType="separate"/>
      </w:r>
      <w:r w:rsidR="005E53D5">
        <w:rPr>
          <w:rFonts w:ascii="Arial" w:hAnsi="Arial" w:cs="Arial"/>
        </w:rPr>
        <w:t xml:space="preserve"> </w:t>
      </w:r>
      <w:r w:rsidR="005E53D5">
        <w:rPr>
          <w:rFonts w:ascii="Arial" w:hAnsi="Arial" w:cs="Arial"/>
        </w:rPr>
        <w:fldChar w:fldCharType="end"/>
      </w:r>
    </w:p>
    <w:p w14:paraId="1FAA38D6" w14:textId="36F01058" w:rsidR="00421587" w:rsidRPr="001522A5" w:rsidRDefault="00AE5D24" w:rsidP="001522A5">
      <w:pPr>
        <w:pStyle w:val="Default"/>
        <w:spacing w:after="240" w:line="276" w:lineRule="auto"/>
        <w:rPr>
          <w:rFonts w:ascii="Arial" w:hAnsi="Arial" w:cs="Arial"/>
          <w:iCs/>
          <w:sz w:val="22"/>
          <w:szCs w:val="22"/>
          <w:lang w:val="en-GB"/>
        </w:rPr>
      </w:pPr>
      <w:r w:rsidRPr="001522A5">
        <w:rPr>
          <w:rFonts w:ascii="Arial" w:hAnsi="Arial" w:cs="Arial"/>
          <w:iCs/>
          <w:sz w:val="22"/>
          <w:szCs w:val="22"/>
          <w:lang w:val="en-GB"/>
        </w:rPr>
        <w:t xml:space="preserve">Given uncertainties about whether </w:t>
      </w:r>
      <w:r>
        <w:rPr>
          <w:rFonts w:ascii="Arial" w:hAnsi="Arial" w:cs="Arial"/>
          <w:iCs/>
          <w:sz w:val="22"/>
          <w:szCs w:val="22"/>
          <w:lang w:val="en-GB"/>
        </w:rPr>
        <w:t>OMJJARA</w:t>
      </w:r>
      <w:r w:rsidRPr="001522A5">
        <w:rPr>
          <w:rFonts w:ascii="Arial" w:hAnsi="Arial" w:cs="Arial"/>
          <w:iCs/>
          <w:sz w:val="22"/>
          <w:szCs w:val="22"/>
          <w:lang w:val="en-GB"/>
        </w:rPr>
        <w:t xml:space="preserve"> may reduce the effectiveness of hormonal contraceptives, women using oral or other hormonal contraceptives should add a barrier method during treatment and for at least 1 week after the last dose of </w:t>
      </w:r>
      <w:r>
        <w:rPr>
          <w:rFonts w:ascii="Arial" w:hAnsi="Arial" w:cs="Arial"/>
          <w:iCs/>
          <w:sz w:val="22"/>
          <w:szCs w:val="22"/>
          <w:lang w:val="en-GB"/>
        </w:rPr>
        <w:t>OMJJARA</w:t>
      </w:r>
      <w:r w:rsidRPr="001522A5">
        <w:rPr>
          <w:rFonts w:ascii="Arial" w:hAnsi="Arial" w:cs="Arial"/>
          <w:iCs/>
          <w:sz w:val="22"/>
          <w:szCs w:val="22"/>
          <w:lang w:val="en-GB"/>
        </w:rPr>
        <w:t>.</w:t>
      </w:r>
    </w:p>
    <w:p w14:paraId="1EAB8C25" w14:textId="6D40DC7B" w:rsidR="001A3992" w:rsidRPr="00FB6AC2" w:rsidRDefault="001A3992" w:rsidP="00FB6AC2">
      <w:pPr>
        <w:pStyle w:val="Heading3"/>
        <w:spacing w:before="0" w:after="120"/>
        <w:rPr>
          <w:rFonts w:ascii="Arial" w:hAnsi="Arial" w:cs="Arial"/>
        </w:rPr>
      </w:pPr>
      <w:r w:rsidRPr="00FB6AC2">
        <w:rPr>
          <w:rFonts w:ascii="Arial" w:hAnsi="Arial" w:cs="Arial"/>
        </w:rPr>
        <w:t>Use in hepatic impairment</w:t>
      </w:r>
      <w:r w:rsidR="00CE6790" w:rsidRPr="00FB6AC2">
        <w:rPr>
          <w:rFonts w:ascii="Arial" w:hAnsi="Arial" w:cs="Arial"/>
        </w:rPr>
        <w:fldChar w:fldCharType="begin"/>
      </w:r>
      <w:r w:rsidR="00CE6790" w:rsidRPr="00FB6AC2">
        <w:rPr>
          <w:rFonts w:ascii="Arial" w:hAnsi="Arial" w:cs="Arial"/>
        </w:rPr>
        <w:instrText xml:space="preserve"> DOCVARIABLE vault_nd_e50d505b-70d2-45bc-a40e-4ecc018f325e \* MERGEFORMAT </w:instrText>
      </w:r>
      <w:r w:rsidR="00CE6790" w:rsidRPr="00FB6AC2">
        <w:rPr>
          <w:rFonts w:ascii="Arial" w:hAnsi="Arial" w:cs="Arial"/>
        </w:rPr>
        <w:fldChar w:fldCharType="separate"/>
      </w:r>
      <w:r w:rsidR="00CE6790" w:rsidRPr="00FB6AC2">
        <w:rPr>
          <w:rFonts w:ascii="Arial" w:hAnsi="Arial" w:cs="Arial"/>
        </w:rPr>
        <w:t xml:space="preserve"> </w:t>
      </w:r>
      <w:r w:rsidR="00CE6790" w:rsidRPr="00FB6AC2">
        <w:rPr>
          <w:rFonts w:ascii="Arial" w:hAnsi="Arial" w:cs="Arial"/>
        </w:rPr>
        <w:fldChar w:fldCharType="end"/>
      </w:r>
    </w:p>
    <w:p w14:paraId="28607AAF" w14:textId="6A37060F" w:rsidR="0091147C" w:rsidRPr="00FB6AC2" w:rsidRDefault="007F6748" w:rsidP="00FB6AC2">
      <w:pPr>
        <w:rPr>
          <w:rFonts w:ascii="Arial" w:hAnsi="Arial" w:cs="Arial"/>
          <w:iCs/>
        </w:rPr>
      </w:pPr>
      <w:r w:rsidRPr="00FB6AC2">
        <w:rPr>
          <w:rFonts w:ascii="Arial" w:hAnsi="Arial" w:cs="Arial"/>
          <w:iCs/>
        </w:rPr>
        <w:t>S</w:t>
      </w:r>
      <w:r w:rsidR="00CA4D06" w:rsidRPr="00FB6AC2">
        <w:rPr>
          <w:rFonts w:ascii="Arial" w:hAnsi="Arial" w:cs="Arial"/>
          <w:iCs/>
        </w:rPr>
        <w:t>ee section 5.2 PHARMACOKINETIC PROPERTIES</w:t>
      </w:r>
      <w:r w:rsidR="00911F56" w:rsidRPr="00FB6AC2">
        <w:rPr>
          <w:rFonts w:ascii="Arial" w:hAnsi="Arial" w:cs="Arial"/>
          <w:iCs/>
        </w:rPr>
        <w:t>,</w:t>
      </w:r>
      <w:r w:rsidR="00CA4D06" w:rsidRPr="00FB6AC2">
        <w:rPr>
          <w:rFonts w:ascii="Arial" w:hAnsi="Arial" w:cs="Arial"/>
          <w:iCs/>
        </w:rPr>
        <w:t xml:space="preserve"> Special Patient Populations. </w:t>
      </w:r>
    </w:p>
    <w:p w14:paraId="24E71D31" w14:textId="601D6BDF" w:rsidR="00911F56" w:rsidRPr="00FB6AC2" w:rsidRDefault="00911F56" w:rsidP="00FB6AC2">
      <w:pPr>
        <w:pStyle w:val="Heading3"/>
        <w:spacing w:before="0" w:after="120"/>
        <w:rPr>
          <w:rFonts w:ascii="Arial" w:hAnsi="Arial" w:cs="Arial"/>
        </w:rPr>
      </w:pPr>
      <w:r w:rsidRPr="00FB6AC2">
        <w:rPr>
          <w:rFonts w:ascii="Arial" w:hAnsi="Arial" w:cs="Arial"/>
        </w:rPr>
        <w:t>Use in renal impairment</w:t>
      </w:r>
      <w:r w:rsidR="00CE6790" w:rsidRPr="00FB6AC2">
        <w:rPr>
          <w:rFonts w:ascii="Arial" w:hAnsi="Arial" w:cs="Arial"/>
        </w:rPr>
        <w:fldChar w:fldCharType="begin"/>
      </w:r>
      <w:r w:rsidR="00CE6790" w:rsidRPr="00FB6AC2">
        <w:rPr>
          <w:rFonts w:ascii="Arial" w:hAnsi="Arial" w:cs="Arial"/>
        </w:rPr>
        <w:instrText xml:space="preserve"> DOCVARIABLE vault_nd_0e82fd74-ef82-4235-886e-d5fdf8976cf7 \* MERGEFORMAT </w:instrText>
      </w:r>
      <w:r w:rsidR="00CE6790" w:rsidRPr="00FB6AC2">
        <w:rPr>
          <w:rFonts w:ascii="Arial" w:hAnsi="Arial" w:cs="Arial"/>
        </w:rPr>
        <w:fldChar w:fldCharType="separate"/>
      </w:r>
      <w:r w:rsidR="00CE6790" w:rsidRPr="00FB6AC2">
        <w:rPr>
          <w:rFonts w:ascii="Arial" w:hAnsi="Arial" w:cs="Arial"/>
        </w:rPr>
        <w:t xml:space="preserve"> </w:t>
      </w:r>
      <w:r w:rsidR="00CE6790" w:rsidRPr="00FB6AC2">
        <w:rPr>
          <w:rFonts w:ascii="Arial" w:hAnsi="Arial" w:cs="Arial"/>
        </w:rPr>
        <w:fldChar w:fldCharType="end"/>
      </w:r>
    </w:p>
    <w:p w14:paraId="4451B4C1" w14:textId="1614D683" w:rsidR="00911F56" w:rsidRPr="00FB6AC2" w:rsidRDefault="007F6748" w:rsidP="00FB6AC2">
      <w:pPr>
        <w:rPr>
          <w:rFonts w:ascii="Arial" w:hAnsi="Arial" w:cs="Arial"/>
          <w:iCs/>
        </w:rPr>
      </w:pPr>
      <w:r w:rsidRPr="00FB6AC2">
        <w:rPr>
          <w:rFonts w:ascii="Arial" w:hAnsi="Arial" w:cs="Arial"/>
          <w:iCs/>
        </w:rPr>
        <w:t>See</w:t>
      </w:r>
      <w:r w:rsidR="00911F56" w:rsidRPr="00FB6AC2">
        <w:rPr>
          <w:rFonts w:ascii="Arial" w:hAnsi="Arial" w:cs="Arial"/>
          <w:iCs/>
        </w:rPr>
        <w:t xml:space="preserve"> section 5.2 PHARMACOKINETIC PROPERTIES, Special Patient Population</w:t>
      </w:r>
      <w:r w:rsidRPr="00FB6AC2">
        <w:rPr>
          <w:rFonts w:ascii="Arial" w:hAnsi="Arial" w:cs="Arial"/>
          <w:iCs/>
        </w:rPr>
        <w:t>s</w:t>
      </w:r>
      <w:r w:rsidR="00911F56" w:rsidRPr="00FB6AC2">
        <w:rPr>
          <w:rFonts w:ascii="Arial" w:hAnsi="Arial" w:cs="Arial"/>
          <w:iCs/>
        </w:rPr>
        <w:t xml:space="preserve">. </w:t>
      </w:r>
    </w:p>
    <w:p w14:paraId="6DB136A6" w14:textId="37E6F921" w:rsidR="001A3992" w:rsidRPr="00FB6AC2" w:rsidRDefault="001A3992" w:rsidP="00FB6AC2">
      <w:pPr>
        <w:pStyle w:val="Heading3"/>
        <w:spacing w:before="0" w:after="120"/>
        <w:rPr>
          <w:rFonts w:ascii="Arial" w:hAnsi="Arial" w:cs="Arial"/>
        </w:rPr>
      </w:pPr>
      <w:r w:rsidRPr="00FB6AC2">
        <w:rPr>
          <w:rFonts w:ascii="Arial" w:hAnsi="Arial" w:cs="Arial"/>
        </w:rPr>
        <w:t>Use in the elderly</w:t>
      </w:r>
      <w:r w:rsidR="00CE6790" w:rsidRPr="00FB6AC2">
        <w:rPr>
          <w:rFonts w:ascii="Arial" w:hAnsi="Arial" w:cs="Arial"/>
        </w:rPr>
        <w:fldChar w:fldCharType="begin"/>
      </w:r>
      <w:r w:rsidR="00CE6790" w:rsidRPr="00FB6AC2">
        <w:rPr>
          <w:rFonts w:ascii="Arial" w:hAnsi="Arial" w:cs="Arial"/>
        </w:rPr>
        <w:instrText xml:space="preserve"> DOCVARIABLE vault_nd_bf1401f0-1013-44f6-8844-7f0e7b61044a \* MERGEFORMAT </w:instrText>
      </w:r>
      <w:r w:rsidR="00CE6790" w:rsidRPr="00FB6AC2">
        <w:rPr>
          <w:rFonts w:ascii="Arial" w:hAnsi="Arial" w:cs="Arial"/>
        </w:rPr>
        <w:fldChar w:fldCharType="separate"/>
      </w:r>
      <w:r w:rsidR="00CE6790" w:rsidRPr="00FB6AC2">
        <w:rPr>
          <w:rFonts w:ascii="Arial" w:hAnsi="Arial" w:cs="Arial"/>
        </w:rPr>
        <w:t xml:space="preserve"> </w:t>
      </w:r>
      <w:r w:rsidR="00CE6790" w:rsidRPr="00FB6AC2">
        <w:rPr>
          <w:rFonts w:ascii="Arial" w:hAnsi="Arial" w:cs="Arial"/>
        </w:rPr>
        <w:fldChar w:fldCharType="end"/>
      </w:r>
    </w:p>
    <w:p w14:paraId="428A75D1" w14:textId="6BB5A631" w:rsidR="00071855" w:rsidRPr="00FB6AC2" w:rsidRDefault="007F6748" w:rsidP="00FB6AC2">
      <w:pPr>
        <w:rPr>
          <w:rFonts w:ascii="Arial" w:hAnsi="Arial" w:cs="Arial"/>
          <w:iCs/>
        </w:rPr>
      </w:pPr>
      <w:r w:rsidRPr="00FB6AC2">
        <w:rPr>
          <w:rFonts w:ascii="Arial" w:hAnsi="Arial" w:cs="Arial"/>
          <w:iCs/>
        </w:rPr>
        <w:t>S</w:t>
      </w:r>
      <w:r w:rsidR="00CA4D06" w:rsidRPr="00FB6AC2">
        <w:rPr>
          <w:rFonts w:ascii="Arial" w:hAnsi="Arial" w:cs="Arial"/>
          <w:iCs/>
        </w:rPr>
        <w:t>ee section 5.2 PHARMACOKINETIC PROPERTIES</w:t>
      </w:r>
      <w:r w:rsidR="00911F56" w:rsidRPr="00FB6AC2">
        <w:rPr>
          <w:rFonts w:ascii="Arial" w:hAnsi="Arial" w:cs="Arial"/>
          <w:iCs/>
        </w:rPr>
        <w:t>,</w:t>
      </w:r>
      <w:r w:rsidR="00CA4D06" w:rsidRPr="00FB6AC2">
        <w:rPr>
          <w:rFonts w:ascii="Arial" w:hAnsi="Arial" w:cs="Arial"/>
          <w:iCs/>
        </w:rPr>
        <w:t xml:space="preserve"> Special Patient Populations. </w:t>
      </w:r>
    </w:p>
    <w:p w14:paraId="54D6A1F9" w14:textId="394D9DDD" w:rsidR="001A3992" w:rsidRPr="00FB6AC2" w:rsidRDefault="001A3992" w:rsidP="00FB6AC2">
      <w:pPr>
        <w:pStyle w:val="Heading3"/>
        <w:spacing w:before="0" w:after="120"/>
        <w:rPr>
          <w:rFonts w:ascii="Arial" w:hAnsi="Arial" w:cs="Arial"/>
        </w:rPr>
      </w:pPr>
      <w:r w:rsidRPr="00FB6AC2">
        <w:rPr>
          <w:rFonts w:ascii="Arial" w:hAnsi="Arial" w:cs="Arial"/>
        </w:rPr>
        <w:t>Paediatric use</w:t>
      </w:r>
      <w:r w:rsidR="00CE6790" w:rsidRPr="00FB6AC2">
        <w:rPr>
          <w:rFonts w:ascii="Arial" w:hAnsi="Arial" w:cs="Arial"/>
        </w:rPr>
        <w:fldChar w:fldCharType="begin"/>
      </w:r>
      <w:r w:rsidR="00CE6790" w:rsidRPr="00FB6AC2">
        <w:rPr>
          <w:rFonts w:ascii="Arial" w:hAnsi="Arial" w:cs="Arial"/>
        </w:rPr>
        <w:instrText xml:space="preserve"> DOCVARIABLE vault_nd_e873deac-e6f7-4a35-bf5d-996e50ede343 \* MERGEFORMAT </w:instrText>
      </w:r>
      <w:r w:rsidR="00CE6790" w:rsidRPr="00FB6AC2">
        <w:rPr>
          <w:rFonts w:ascii="Arial" w:hAnsi="Arial" w:cs="Arial"/>
        </w:rPr>
        <w:fldChar w:fldCharType="separate"/>
      </w:r>
      <w:r w:rsidR="00CE6790" w:rsidRPr="00FB6AC2">
        <w:rPr>
          <w:rFonts w:ascii="Arial" w:hAnsi="Arial" w:cs="Arial"/>
        </w:rPr>
        <w:t xml:space="preserve"> </w:t>
      </w:r>
      <w:r w:rsidR="00CE6790" w:rsidRPr="00FB6AC2">
        <w:rPr>
          <w:rFonts w:ascii="Arial" w:hAnsi="Arial" w:cs="Arial"/>
        </w:rPr>
        <w:fldChar w:fldCharType="end"/>
      </w:r>
    </w:p>
    <w:p w14:paraId="4910BF7F" w14:textId="16D5F3D6" w:rsidR="00071855" w:rsidRPr="00FB6AC2" w:rsidRDefault="00CA4D06" w:rsidP="00FB6AC2">
      <w:pPr>
        <w:rPr>
          <w:rFonts w:ascii="Arial" w:hAnsi="Arial" w:cs="Arial"/>
          <w:iCs/>
        </w:rPr>
      </w:pPr>
      <w:r w:rsidRPr="00FB6AC2">
        <w:rPr>
          <w:rFonts w:ascii="Arial" w:hAnsi="Arial" w:cs="Arial"/>
          <w:iCs/>
        </w:rPr>
        <w:t xml:space="preserve">The safety and efficacy of OMJJARA in children and adolescents less than 18 years of age has not been established. </w:t>
      </w:r>
    </w:p>
    <w:p w14:paraId="228F5683" w14:textId="2E328A24" w:rsidR="001A3992" w:rsidRPr="00FB6AC2" w:rsidRDefault="001A3992" w:rsidP="00FB6AC2">
      <w:pPr>
        <w:pStyle w:val="Heading3"/>
        <w:spacing w:before="0" w:after="120"/>
        <w:rPr>
          <w:rFonts w:ascii="Arial" w:hAnsi="Arial" w:cs="Arial"/>
        </w:rPr>
      </w:pPr>
      <w:r w:rsidRPr="00FB6AC2">
        <w:rPr>
          <w:rFonts w:ascii="Arial" w:hAnsi="Arial" w:cs="Arial"/>
        </w:rPr>
        <w:t>Effects on laboratory tests</w:t>
      </w:r>
      <w:r w:rsidR="00CE6790" w:rsidRPr="00FB6AC2">
        <w:rPr>
          <w:rFonts w:ascii="Arial" w:hAnsi="Arial" w:cs="Arial"/>
        </w:rPr>
        <w:fldChar w:fldCharType="begin"/>
      </w:r>
      <w:r w:rsidR="00CE6790" w:rsidRPr="00FB6AC2">
        <w:rPr>
          <w:rFonts w:ascii="Arial" w:hAnsi="Arial" w:cs="Arial"/>
        </w:rPr>
        <w:instrText xml:space="preserve"> DOCVARIABLE vault_nd_30e2c449-82ae-48c0-8112-37a952c4046d \* MERGEFORMAT </w:instrText>
      </w:r>
      <w:r w:rsidR="00CE6790" w:rsidRPr="00FB6AC2">
        <w:rPr>
          <w:rFonts w:ascii="Arial" w:hAnsi="Arial" w:cs="Arial"/>
        </w:rPr>
        <w:fldChar w:fldCharType="separate"/>
      </w:r>
      <w:r w:rsidR="00CE6790" w:rsidRPr="00FB6AC2">
        <w:rPr>
          <w:rFonts w:ascii="Arial" w:hAnsi="Arial" w:cs="Arial"/>
        </w:rPr>
        <w:t xml:space="preserve"> </w:t>
      </w:r>
      <w:r w:rsidR="00CE6790" w:rsidRPr="00FB6AC2">
        <w:rPr>
          <w:rFonts w:ascii="Arial" w:hAnsi="Arial" w:cs="Arial"/>
        </w:rPr>
        <w:fldChar w:fldCharType="end"/>
      </w:r>
    </w:p>
    <w:p w14:paraId="3F8A3793" w14:textId="59816BC3" w:rsidR="00861D5E" w:rsidRPr="00FB6AC2" w:rsidRDefault="00861D5E" w:rsidP="00FB6AC2">
      <w:pPr>
        <w:rPr>
          <w:rFonts w:ascii="Arial" w:hAnsi="Arial" w:cs="Arial"/>
          <w:iCs/>
        </w:rPr>
      </w:pPr>
      <w:r w:rsidRPr="00FB6AC2">
        <w:rPr>
          <w:rFonts w:ascii="Arial" w:hAnsi="Arial" w:cs="Arial"/>
          <w:iCs/>
        </w:rPr>
        <w:t>No data available.</w:t>
      </w:r>
    </w:p>
    <w:p w14:paraId="63211194" w14:textId="6295DCB3"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INTERACTIONS WITH OTHER MEDICINES AND OTHER FORMS OF INTERACTIONS</w:t>
      </w:r>
      <w:r w:rsidR="00CE6790">
        <w:rPr>
          <w:rFonts w:ascii="Arial" w:hAnsi="Arial" w:cs="Arial"/>
          <w:smallCaps w:val="0"/>
        </w:rPr>
        <w:fldChar w:fldCharType="begin"/>
      </w:r>
      <w:r w:rsidR="00CE6790">
        <w:rPr>
          <w:rFonts w:ascii="Arial" w:hAnsi="Arial" w:cs="Arial"/>
          <w:smallCaps w:val="0"/>
        </w:rPr>
        <w:instrText xml:space="preserve"> DOCVARIABLE VAULT_ND_097c80d9-650b-4ea4-b2fd-a0883324db70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1013AEDE" w14:textId="4CECC677" w:rsidR="00DA578B" w:rsidRDefault="00DA578B" w:rsidP="00071855">
      <w:pPr>
        <w:rPr>
          <w:rFonts w:ascii="Arial" w:hAnsi="Arial" w:cs="Arial"/>
          <w:b/>
          <w:bCs/>
          <w:iCs/>
        </w:rPr>
      </w:pPr>
      <w:r>
        <w:rPr>
          <w:rFonts w:ascii="Arial" w:hAnsi="Arial" w:cs="Arial"/>
          <w:b/>
          <w:bCs/>
          <w:iCs/>
        </w:rPr>
        <w:t>Effect of other medicinal products on momelotinib</w:t>
      </w:r>
    </w:p>
    <w:p w14:paraId="6365C22F" w14:textId="61DC26E3" w:rsidR="00AA3D67" w:rsidRPr="008C5627" w:rsidRDefault="00AA3D67" w:rsidP="00071855">
      <w:pPr>
        <w:rPr>
          <w:rFonts w:ascii="Arial" w:hAnsi="Arial" w:cs="Arial"/>
          <w:i/>
        </w:rPr>
      </w:pPr>
      <w:r w:rsidRPr="001522A5">
        <w:rPr>
          <w:rFonts w:ascii="Arial" w:hAnsi="Arial" w:cs="Arial"/>
          <w:i/>
        </w:rPr>
        <w:t>Effect of CYP inhibitors/inducers on momelotinib</w:t>
      </w:r>
    </w:p>
    <w:p w14:paraId="184E41AA" w14:textId="27C77442" w:rsidR="001B0AA7" w:rsidRDefault="001B0AA7" w:rsidP="00071855">
      <w:pPr>
        <w:rPr>
          <w:rFonts w:ascii="Arial" w:hAnsi="Arial" w:cs="Arial"/>
          <w:iCs/>
        </w:rPr>
      </w:pPr>
      <w:r w:rsidRPr="001B0AA7">
        <w:rPr>
          <w:rFonts w:ascii="Arial" w:hAnsi="Arial" w:cs="Arial"/>
          <w:iCs/>
        </w:rPr>
        <w:t>Momelotinib undergoes metabolism th</w:t>
      </w:r>
      <w:r>
        <w:rPr>
          <w:rFonts w:ascii="Arial" w:hAnsi="Arial" w:cs="Arial"/>
          <w:iCs/>
        </w:rPr>
        <w:t>r</w:t>
      </w:r>
      <w:r w:rsidRPr="001B0AA7">
        <w:rPr>
          <w:rFonts w:ascii="Arial" w:hAnsi="Arial" w:cs="Arial"/>
          <w:iCs/>
        </w:rPr>
        <w:t>ough multiple CYP enzymes (including CYP3A4, CYP2C8, CYP2C9, CYP2C19, and CYP1A2), with CYP3A4 having the greatest contribution.</w:t>
      </w:r>
    </w:p>
    <w:p w14:paraId="26B75542" w14:textId="5B05887F" w:rsidR="00351F3C" w:rsidRPr="001522A5" w:rsidRDefault="00351F3C" w:rsidP="00071855">
      <w:pPr>
        <w:rPr>
          <w:rFonts w:ascii="Arial" w:hAnsi="Arial" w:cs="Arial"/>
          <w:i/>
        </w:rPr>
      </w:pPr>
      <w:r w:rsidRPr="001522A5">
        <w:rPr>
          <w:rFonts w:ascii="Arial" w:hAnsi="Arial" w:cs="Arial"/>
          <w:i/>
        </w:rPr>
        <w:t xml:space="preserve">Strong </w:t>
      </w:r>
      <w:r w:rsidR="001B0AA7" w:rsidRPr="001522A5">
        <w:rPr>
          <w:rFonts w:ascii="Arial" w:hAnsi="Arial" w:cs="Arial"/>
          <w:i/>
        </w:rPr>
        <w:t>CYP</w:t>
      </w:r>
      <w:r w:rsidRPr="001522A5">
        <w:rPr>
          <w:rFonts w:ascii="Arial" w:hAnsi="Arial" w:cs="Arial"/>
          <w:i/>
        </w:rPr>
        <w:t>3A4 inducers</w:t>
      </w:r>
    </w:p>
    <w:p w14:paraId="4BAE974E" w14:textId="1846BDAC" w:rsidR="0091147C" w:rsidRPr="00C25865" w:rsidRDefault="00C25865" w:rsidP="006C267A">
      <w:pPr>
        <w:rPr>
          <w:rFonts w:ascii="Arial" w:hAnsi="Arial" w:cs="Arial"/>
          <w:iCs/>
        </w:rPr>
      </w:pPr>
      <w:r w:rsidRPr="00C25865">
        <w:rPr>
          <w:rFonts w:ascii="Arial" w:hAnsi="Arial" w:cs="Arial"/>
          <w:iCs/>
        </w:rPr>
        <w:t xml:space="preserve">Coadministration of strong CYP3A4 inducers may lead to decreased exposure </w:t>
      </w:r>
      <w:r w:rsidR="00341986">
        <w:rPr>
          <w:rFonts w:ascii="Arial" w:hAnsi="Arial" w:cs="Arial"/>
          <w:iCs/>
        </w:rPr>
        <w:t xml:space="preserve">of </w:t>
      </w:r>
      <w:r w:rsidR="00B52DB1">
        <w:rPr>
          <w:rFonts w:ascii="Arial" w:hAnsi="Arial" w:cs="Arial"/>
          <w:iCs/>
        </w:rPr>
        <w:t>OMJJARA</w:t>
      </w:r>
      <w:r w:rsidR="00341986">
        <w:rPr>
          <w:rFonts w:ascii="Arial" w:hAnsi="Arial" w:cs="Arial"/>
          <w:iCs/>
        </w:rPr>
        <w:t xml:space="preserve"> </w:t>
      </w:r>
      <w:r w:rsidRPr="00C25865">
        <w:rPr>
          <w:rFonts w:ascii="Arial" w:hAnsi="Arial" w:cs="Arial"/>
          <w:iCs/>
        </w:rPr>
        <w:t xml:space="preserve">and consequently a risk for </w:t>
      </w:r>
      <w:r w:rsidR="00341986">
        <w:rPr>
          <w:rFonts w:ascii="Arial" w:hAnsi="Arial" w:cs="Arial"/>
          <w:iCs/>
        </w:rPr>
        <w:t>reduced</w:t>
      </w:r>
      <w:r w:rsidRPr="00C25865">
        <w:rPr>
          <w:rFonts w:ascii="Arial" w:hAnsi="Arial" w:cs="Arial"/>
          <w:iCs/>
        </w:rPr>
        <w:t xml:space="preserve"> efficacy. Therefore, additional monitoring is recommended with concomitant use of </w:t>
      </w:r>
      <w:r w:rsidR="00B52DB1">
        <w:rPr>
          <w:rFonts w:ascii="Arial" w:hAnsi="Arial" w:cs="Arial"/>
          <w:iCs/>
        </w:rPr>
        <w:t>OMJJARA</w:t>
      </w:r>
      <w:r w:rsidRPr="00C25865">
        <w:rPr>
          <w:rFonts w:ascii="Arial" w:hAnsi="Arial" w:cs="Arial"/>
          <w:iCs/>
        </w:rPr>
        <w:t xml:space="preserve"> and strong CYP3A4 inducers </w:t>
      </w:r>
      <w:r w:rsidR="00633C14">
        <w:rPr>
          <w:rFonts w:ascii="Arial" w:hAnsi="Arial" w:cs="Arial"/>
          <w:iCs/>
        </w:rPr>
        <w:t xml:space="preserve">(including but not limited to carbamazepine, phenobarbital, phenytoin, and St John’s wort </w:t>
      </w:r>
      <w:r w:rsidR="00541A8D">
        <w:rPr>
          <w:rFonts w:ascii="Arial" w:hAnsi="Arial" w:cs="Arial"/>
          <w:iCs/>
        </w:rPr>
        <w:t>[</w:t>
      </w:r>
      <w:r w:rsidR="00633C14">
        <w:rPr>
          <w:rFonts w:ascii="Arial" w:hAnsi="Arial" w:cs="Arial"/>
          <w:i/>
        </w:rPr>
        <w:t>Hypericum perforatum</w:t>
      </w:r>
      <w:r w:rsidR="00541A8D">
        <w:rPr>
          <w:rFonts w:ascii="Arial" w:hAnsi="Arial" w:cs="Arial"/>
          <w:iCs/>
        </w:rPr>
        <w:t>]</w:t>
      </w:r>
      <w:r w:rsidRPr="00C25865">
        <w:rPr>
          <w:rFonts w:ascii="Arial" w:hAnsi="Arial" w:cs="Arial"/>
          <w:iCs/>
        </w:rPr>
        <w:t xml:space="preserve"> (se</w:t>
      </w:r>
      <w:r w:rsidR="003C332B">
        <w:rPr>
          <w:rFonts w:ascii="Arial" w:hAnsi="Arial" w:cs="Arial"/>
          <w:iCs/>
        </w:rPr>
        <w:t xml:space="preserve">e section </w:t>
      </w:r>
      <w:r w:rsidR="003C332B" w:rsidRPr="003C332B">
        <w:rPr>
          <w:rFonts w:ascii="Arial" w:hAnsi="Arial" w:cs="Arial"/>
          <w:iCs/>
        </w:rPr>
        <w:t>5.2</w:t>
      </w:r>
      <w:r w:rsidR="003C332B">
        <w:rPr>
          <w:rFonts w:ascii="Arial" w:hAnsi="Arial" w:cs="Arial"/>
          <w:iCs/>
        </w:rPr>
        <w:t xml:space="preserve"> </w:t>
      </w:r>
      <w:r w:rsidR="003C332B" w:rsidRPr="003C332B">
        <w:rPr>
          <w:rFonts w:ascii="Arial" w:hAnsi="Arial" w:cs="Arial"/>
          <w:iCs/>
        </w:rPr>
        <w:t>PHARMACOKINETIC PROPERTIES</w:t>
      </w:r>
      <w:r w:rsidRPr="00C25865">
        <w:rPr>
          <w:rFonts w:ascii="Arial" w:hAnsi="Arial" w:cs="Arial"/>
          <w:iCs/>
        </w:rPr>
        <w:t xml:space="preserve">). </w:t>
      </w:r>
    </w:p>
    <w:p w14:paraId="749D9C6C" w14:textId="6CE729B4" w:rsidR="00341986" w:rsidRPr="001522A5" w:rsidRDefault="001B0AA7" w:rsidP="00341986">
      <w:pPr>
        <w:rPr>
          <w:rFonts w:ascii="Arial" w:hAnsi="Arial" w:cs="Arial"/>
          <w:i/>
        </w:rPr>
      </w:pPr>
      <w:r w:rsidRPr="001522A5">
        <w:rPr>
          <w:rFonts w:ascii="Arial" w:hAnsi="Arial" w:cs="Arial"/>
          <w:i/>
        </w:rPr>
        <w:t>Effect of transporters inhib</w:t>
      </w:r>
      <w:r w:rsidR="00027ABF" w:rsidRPr="001522A5">
        <w:rPr>
          <w:rFonts w:ascii="Arial" w:hAnsi="Arial" w:cs="Arial"/>
          <w:i/>
        </w:rPr>
        <w:t>itors/inducers</w:t>
      </w:r>
      <w:r w:rsidR="008C5627" w:rsidRPr="001522A5">
        <w:rPr>
          <w:rFonts w:ascii="Arial" w:hAnsi="Arial" w:cs="Arial"/>
          <w:i/>
        </w:rPr>
        <w:t xml:space="preserve"> on momelotinib </w:t>
      </w:r>
    </w:p>
    <w:p w14:paraId="52FA087A" w14:textId="0399BF43" w:rsidR="00341986" w:rsidRDefault="009F4BA6" w:rsidP="00341986">
      <w:pPr>
        <w:rPr>
          <w:rFonts w:ascii="Arial" w:hAnsi="Arial" w:cs="Arial"/>
          <w:iCs/>
        </w:rPr>
      </w:pPr>
      <w:r w:rsidRPr="009F4BA6">
        <w:rPr>
          <w:rFonts w:ascii="Arial" w:hAnsi="Arial" w:cs="Arial"/>
          <w:iCs/>
        </w:rPr>
        <w:lastRenderedPageBreak/>
        <w:t>Momelotinib and its active metabolite, M21, are substrates of P-glycoprotein, BCRP, OATP1B1 and OATP1B3 transporters.</w:t>
      </w:r>
      <w:r>
        <w:rPr>
          <w:rFonts w:ascii="Arial" w:hAnsi="Arial" w:cs="Arial"/>
          <w:iCs/>
        </w:rPr>
        <w:t xml:space="preserve"> Inhibitors or inducers of these transporters may potentially alter the systemic exposure of momelotinib and M21. </w:t>
      </w:r>
    </w:p>
    <w:p w14:paraId="7B5F038E" w14:textId="77777777" w:rsidR="003B3ADF" w:rsidRPr="001522A5" w:rsidRDefault="003B3ADF" w:rsidP="008B6246">
      <w:pPr>
        <w:keepNext/>
        <w:keepLines/>
        <w:rPr>
          <w:rFonts w:ascii="Arial" w:hAnsi="Arial" w:cs="Arial"/>
          <w:b/>
          <w:bCs/>
          <w:iCs/>
        </w:rPr>
      </w:pPr>
      <w:r w:rsidRPr="001522A5">
        <w:rPr>
          <w:rFonts w:ascii="Arial" w:hAnsi="Arial" w:cs="Arial"/>
          <w:b/>
          <w:bCs/>
          <w:iCs/>
        </w:rPr>
        <w:t xml:space="preserve">Effect of momelotinib on other medicinal products </w:t>
      </w:r>
    </w:p>
    <w:p w14:paraId="260D1D3A" w14:textId="04446971" w:rsidR="003B3ADF" w:rsidRPr="001522A5" w:rsidRDefault="003B3ADF" w:rsidP="008B6246">
      <w:pPr>
        <w:keepNext/>
        <w:keepLines/>
        <w:rPr>
          <w:rFonts w:ascii="Arial" w:hAnsi="Arial" w:cs="Arial"/>
          <w:i/>
        </w:rPr>
      </w:pPr>
      <w:r w:rsidRPr="001522A5">
        <w:rPr>
          <w:rFonts w:ascii="Arial" w:hAnsi="Arial" w:cs="Arial"/>
          <w:i/>
        </w:rPr>
        <w:t xml:space="preserve">Effect of momelotinib on CYP enzymes </w:t>
      </w:r>
    </w:p>
    <w:p w14:paraId="00E768B5" w14:textId="659ABE2E" w:rsidR="003B3ADF" w:rsidRPr="000468E0" w:rsidRDefault="003B3ADF" w:rsidP="008B6246">
      <w:pPr>
        <w:keepNext/>
        <w:keepLines/>
        <w:rPr>
          <w:rFonts w:ascii="Arial" w:hAnsi="Arial" w:cs="Arial"/>
          <w:i/>
        </w:rPr>
      </w:pPr>
      <w:r w:rsidRPr="001522A5">
        <w:rPr>
          <w:rFonts w:ascii="Arial" w:hAnsi="Arial" w:cs="Arial"/>
          <w:i/>
        </w:rPr>
        <w:t>In vitro</w:t>
      </w:r>
      <w:r w:rsidR="002E161F">
        <w:rPr>
          <w:rFonts w:ascii="Arial" w:hAnsi="Arial" w:cs="Arial"/>
          <w:iCs/>
        </w:rPr>
        <w:t xml:space="preserve"> studies indicate that </w:t>
      </w:r>
      <w:r w:rsidRPr="003B3ADF">
        <w:rPr>
          <w:rFonts w:ascii="Arial" w:hAnsi="Arial" w:cs="Arial"/>
          <w:iCs/>
        </w:rPr>
        <w:t xml:space="preserve">momelotinib </w:t>
      </w:r>
      <w:r w:rsidR="002E161F">
        <w:rPr>
          <w:rFonts w:ascii="Arial" w:hAnsi="Arial" w:cs="Arial"/>
          <w:iCs/>
        </w:rPr>
        <w:t>may</w:t>
      </w:r>
      <w:r w:rsidRPr="003B3ADF">
        <w:rPr>
          <w:rFonts w:ascii="Arial" w:hAnsi="Arial" w:cs="Arial"/>
          <w:iCs/>
        </w:rPr>
        <w:t xml:space="preserve"> inhibit CYP2B6</w:t>
      </w:r>
      <w:r w:rsidR="00024B8A">
        <w:rPr>
          <w:rFonts w:ascii="Arial" w:hAnsi="Arial" w:cs="Arial"/>
          <w:iCs/>
        </w:rPr>
        <w:t xml:space="preserve"> while M21 does not. </w:t>
      </w:r>
      <w:r w:rsidR="0087448D">
        <w:rPr>
          <w:rFonts w:ascii="Arial" w:hAnsi="Arial" w:cs="Arial"/>
          <w:iCs/>
        </w:rPr>
        <w:t xml:space="preserve">Additionally, both </w:t>
      </w:r>
      <w:r w:rsidR="000F0D75">
        <w:rPr>
          <w:rFonts w:ascii="Arial" w:hAnsi="Arial" w:cs="Arial"/>
          <w:iCs/>
        </w:rPr>
        <w:t xml:space="preserve">momelotinib </w:t>
      </w:r>
      <w:r w:rsidR="00517077">
        <w:rPr>
          <w:rFonts w:ascii="Arial" w:hAnsi="Arial" w:cs="Arial"/>
          <w:iCs/>
        </w:rPr>
        <w:t xml:space="preserve">and M21 do not inhibit CYP1A2, </w:t>
      </w:r>
      <w:r w:rsidRPr="003B3ADF">
        <w:rPr>
          <w:rFonts w:ascii="Arial" w:hAnsi="Arial" w:cs="Arial"/>
          <w:iCs/>
        </w:rPr>
        <w:t>CYP2C8, CYP2C9, CYP2C19, CYP2D6 or CYP3A4</w:t>
      </w:r>
      <w:r w:rsidR="00F01F06">
        <w:rPr>
          <w:rFonts w:ascii="Arial" w:hAnsi="Arial" w:cs="Arial"/>
          <w:iCs/>
        </w:rPr>
        <w:t xml:space="preserve"> </w:t>
      </w:r>
      <w:r w:rsidR="00F01F06">
        <w:rPr>
          <w:rFonts w:ascii="Arial" w:hAnsi="Arial" w:cs="Arial"/>
          <w:i/>
        </w:rPr>
        <w:t>in vitro</w:t>
      </w:r>
      <w:r w:rsidR="00F301FF">
        <w:rPr>
          <w:rFonts w:ascii="Arial" w:hAnsi="Arial" w:cs="Arial"/>
          <w:iCs/>
        </w:rPr>
        <w:t>.</w:t>
      </w:r>
      <w:r w:rsidR="00AE1EBD">
        <w:rPr>
          <w:rFonts w:ascii="Arial" w:hAnsi="Arial" w:cs="Arial"/>
          <w:iCs/>
        </w:rPr>
        <w:t xml:space="preserve"> </w:t>
      </w:r>
      <w:r w:rsidR="000F0D75">
        <w:rPr>
          <w:rFonts w:ascii="Arial" w:hAnsi="Arial" w:cs="Arial"/>
          <w:iCs/>
        </w:rPr>
        <w:t xml:space="preserve"> </w:t>
      </w:r>
      <w:r w:rsidR="00F01F06">
        <w:rPr>
          <w:rFonts w:ascii="Arial" w:hAnsi="Arial" w:cs="Arial"/>
          <w:iCs/>
        </w:rPr>
        <w:t>Furthermore, m</w:t>
      </w:r>
      <w:r w:rsidRPr="003B3ADF">
        <w:rPr>
          <w:rFonts w:ascii="Arial" w:hAnsi="Arial" w:cs="Arial"/>
          <w:iCs/>
        </w:rPr>
        <w:t xml:space="preserve">omelotinib and M21 do not induce CYP3A4 </w:t>
      </w:r>
      <w:r w:rsidRPr="001522A5">
        <w:rPr>
          <w:rFonts w:ascii="Arial" w:hAnsi="Arial" w:cs="Arial"/>
          <w:i/>
        </w:rPr>
        <w:t>in vitro</w:t>
      </w:r>
      <w:r w:rsidRPr="003B3ADF">
        <w:rPr>
          <w:rFonts w:ascii="Arial" w:hAnsi="Arial" w:cs="Arial"/>
          <w:iCs/>
        </w:rPr>
        <w:t>.</w:t>
      </w:r>
    </w:p>
    <w:p w14:paraId="56B5E2D0" w14:textId="72C207B2" w:rsidR="00FB6B1B" w:rsidRPr="001522A5" w:rsidRDefault="00FB6B1B" w:rsidP="00341986">
      <w:pPr>
        <w:rPr>
          <w:rFonts w:ascii="Arial" w:hAnsi="Arial" w:cs="Arial"/>
          <w:i/>
        </w:rPr>
      </w:pPr>
      <w:r w:rsidRPr="001522A5">
        <w:rPr>
          <w:rFonts w:ascii="Arial" w:hAnsi="Arial" w:cs="Arial"/>
          <w:i/>
        </w:rPr>
        <w:t xml:space="preserve">Effect of momelotinib on UGT enzymes </w:t>
      </w:r>
    </w:p>
    <w:p w14:paraId="34BE929C" w14:textId="6C9CA8AC" w:rsidR="00FB6B1B" w:rsidRDefault="00FB6B1B" w:rsidP="00341986">
      <w:pPr>
        <w:rPr>
          <w:rFonts w:ascii="Arial" w:hAnsi="Arial" w:cs="Arial"/>
          <w:iCs/>
        </w:rPr>
      </w:pPr>
      <w:r w:rsidRPr="008B6246">
        <w:rPr>
          <w:rFonts w:ascii="Arial" w:hAnsi="Arial" w:cs="Arial"/>
          <w:i/>
        </w:rPr>
        <w:t>In vitro</w:t>
      </w:r>
      <w:r w:rsidRPr="00FB6B1B">
        <w:rPr>
          <w:rFonts w:ascii="Arial" w:hAnsi="Arial" w:cs="Arial"/>
          <w:iCs/>
        </w:rPr>
        <w:t xml:space="preserve">, momelotinib, but not M21, is an inhibitor of UGT1A1 and UGT1A9. Momelotinib and M21 are not inhibitors of UGT1A3, UGT1A4, UGT1A6 or UGT2B7. </w:t>
      </w:r>
    </w:p>
    <w:p w14:paraId="6BEAF4E1" w14:textId="48A1CEC0" w:rsidR="00FB6B1B" w:rsidRPr="001522A5" w:rsidRDefault="00FB6B1B" w:rsidP="00341986">
      <w:pPr>
        <w:rPr>
          <w:rFonts w:ascii="Arial" w:hAnsi="Arial" w:cs="Arial"/>
          <w:i/>
        </w:rPr>
      </w:pPr>
      <w:r w:rsidRPr="001522A5">
        <w:rPr>
          <w:rFonts w:ascii="Arial" w:hAnsi="Arial" w:cs="Arial"/>
          <w:i/>
        </w:rPr>
        <w:t xml:space="preserve">Effect of momelotinib on drug transporters </w:t>
      </w:r>
    </w:p>
    <w:p w14:paraId="5A3B867B" w14:textId="7C7EE31E" w:rsidR="00FB6B1B" w:rsidRDefault="00FB6B1B" w:rsidP="00341986">
      <w:pPr>
        <w:rPr>
          <w:rFonts w:ascii="Arial" w:hAnsi="Arial" w:cs="Arial"/>
          <w:iCs/>
        </w:rPr>
      </w:pPr>
      <w:r w:rsidRPr="00FB6B1B">
        <w:rPr>
          <w:rFonts w:ascii="Arial" w:hAnsi="Arial" w:cs="Arial"/>
          <w:iCs/>
        </w:rPr>
        <w:t xml:space="preserve">Momelotinib is an inhibitor of BCRP, and M21 </w:t>
      </w:r>
      <w:r w:rsidR="00B702FA">
        <w:rPr>
          <w:rFonts w:ascii="Arial" w:hAnsi="Arial" w:cs="Arial"/>
          <w:iCs/>
        </w:rPr>
        <w:t xml:space="preserve">is </w:t>
      </w:r>
      <w:r w:rsidRPr="00FB6B1B">
        <w:rPr>
          <w:rFonts w:ascii="Arial" w:hAnsi="Arial" w:cs="Arial"/>
          <w:iCs/>
        </w:rPr>
        <w:t xml:space="preserve">an inhibitor of MATE1 </w:t>
      </w:r>
      <w:r w:rsidRPr="008B6246">
        <w:rPr>
          <w:rFonts w:ascii="Arial" w:hAnsi="Arial" w:cs="Arial"/>
          <w:i/>
        </w:rPr>
        <w:t>in vitro</w:t>
      </w:r>
      <w:r w:rsidRPr="00FB6B1B">
        <w:rPr>
          <w:rFonts w:ascii="Arial" w:hAnsi="Arial" w:cs="Arial"/>
          <w:iCs/>
        </w:rPr>
        <w:t>. Momelotinib may increase the plasma concentration of medicinal products that are sensitive BCRP</w:t>
      </w:r>
      <w:r w:rsidR="0083392E">
        <w:rPr>
          <w:rFonts w:ascii="Arial" w:hAnsi="Arial" w:cs="Arial"/>
          <w:iCs/>
        </w:rPr>
        <w:t xml:space="preserve"> </w:t>
      </w:r>
      <w:r w:rsidRPr="00FB6B1B">
        <w:rPr>
          <w:rFonts w:ascii="Arial" w:hAnsi="Arial" w:cs="Arial"/>
          <w:iCs/>
        </w:rPr>
        <w:t xml:space="preserve">and MATE1 substrates; patients should be monitored for adverse reactions with co-administration. </w:t>
      </w:r>
    </w:p>
    <w:p w14:paraId="6192F719" w14:textId="3C17BDA0" w:rsidR="00FB6B1B" w:rsidRDefault="00FB6B1B" w:rsidP="00341986">
      <w:pPr>
        <w:rPr>
          <w:rFonts w:ascii="Arial" w:hAnsi="Arial" w:cs="Arial"/>
          <w:iCs/>
        </w:rPr>
      </w:pPr>
      <w:r w:rsidRPr="008B6246">
        <w:rPr>
          <w:rFonts w:ascii="Arial" w:hAnsi="Arial" w:cs="Arial"/>
          <w:i/>
        </w:rPr>
        <w:t>In vitro</w:t>
      </w:r>
      <w:r w:rsidRPr="00FB6B1B">
        <w:rPr>
          <w:rFonts w:ascii="Arial" w:hAnsi="Arial" w:cs="Arial"/>
          <w:iCs/>
        </w:rPr>
        <w:t xml:space="preserve">, neither momelotinib nor M21 inhibits OAT1, OAT3 and OCT2 at </w:t>
      </w:r>
      <w:proofErr w:type="gramStart"/>
      <w:r w:rsidRPr="00FB6B1B">
        <w:rPr>
          <w:rFonts w:ascii="Arial" w:hAnsi="Arial" w:cs="Arial"/>
          <w:iCs/>
        </w:rPr>
        <w:t>clinically-relevant</w:t>
      </w:r>
      <w:proofErr w:type="gramEnd"/>
      <w:r w:rsidRPr="00FB6B1B">
        <w:rPr>
          <w:rFonts w:ascii="Arial" w:hAnsi="Arial" w:cs="Arial"/>
          <w:iCs/>
        </w:rPr>
        <w:t xml:space="preserve"> concentrations. Momelotinib and M21 have not been evaluated for MATE2-K inhibition. </w:t>
      </w:r>
    </w:p>
    <w:p w14:paraId="4DCEEE28" w14:textId="0BC02C6D" w:rsidR="00FB6B1B" w:rsidRPr="001522A5" w:rsidRDefault="00FB6B1B" w:rsidP="00341986">
      <w:pPr>
        <w:rPr>
          <w:rFonts w:ascii="Arial" w:hAnsi="Arial" w:cs="Arial"/>
          <w:i/>
        </w:rPr>
      </w:pPr>
      <w:r w:rsidRPr="001522A5">
        <w:rPr>
          <w:rFonts w:ascii="Arial" w:hAnsi="Arial" w:cs="Arial"/>
          <w:i/>
        </w:rPr>
        <w:t xml:space="preserve">Effect of momelotinib on hormonal contraceptives </w:t>
      </w:r>
    </w:p>
    <w:p w14:paraId="6806B9CE" w14:textId="71480CC1" w:rsidR="00FB6B1B" w:rsidRDefault="00FB6B1B" w:rsidP="007546A1">
      <w:pPr>
        <w:rPr>
          <w:rFonts w:ascii="Arial" w:hAnsi="Arial" w:cs="Arial"/>
          <w:iCs/>
        </w:rPr>
      </w:pPr>
      <w:r w:rsidRPr="00FB6B1B">
        <w:rPr>
          <w:rFonts w:ascii="Arial" w:hAnsi="Arial" w:cs="Arial"/>
          <w:iCs/>
        </w:rPr>
        <w:t>It is currently unknown whether momelotinib may reduce the effectiveness of systemically acting hormonal contraceptives. Therefore, women using systemically acting hormonal contraceptives should add a barrier method during OMJJARA treatment and for at least 1 week after the last dose (see section 4.6 FERTILITY, PREGNANCY AND LACTATION).</w:t>
      </w:r>
    </w:p>
    <w:p w14:paraId="1753F105" w14:textId="4E432FB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FERTILITY, PREGNANCY AND LACTATION</w:t>
      </w:r>
      <w:r w:rsidR="00CE6790">
        <w:rPr>
          <w:rFonts w:ascii="Arial" w:hAnsi="Arial" w:cs="Arial"/>
          <w:smallCaps w:val="0"/>
        </w:rPr>
        <w:fldChar w:fldCharType="begin"/>
      </w:r>
      <w:r w:rsidR="00CE6790">
        <w:rPr>
          <w:rFonts w:ascii="Arial" w:hAnsi="Arial" w:cs="Arial"/>
          <w:smallCaps w:val="0"/>
        </w:rPr>
        <w:instrText xml:space="preserve"> DOCVARIABLE VAULT_ND_4800a35e-0199-43a0-bc9c-ac07a3e5bba0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0A51FA74" w14:textId="0C8FF14B" w:rsidR="001A3992" w:rsidRPr="00071855" w:rsidRDefault="001A3992" w:rsidP="001A3992">
      <w:pPr>
        <w:pStyle w:val="Heading3"/>
        <w:spacing w:before="0" w:after="120"/>
        <w:rPr>
          <w:rFonts w:ascii="Arial" w:hAnsi="Arial" w:cs="Arial"/>
        </w:rPr>
      </w:pPr>
      <w:r w:rsidRPr="00071855">
        <w:rPr>
          <w:rFonts w:ascii="Arial" w:hAnsi="Arial" w:cs="Arial"/>
        </w:rPr>
        <w:t>Effects on fertility</w:t>
      </w:r>
      <w:r w:rsidR="00CE6790">
        <w:rPr>
          <w:rFonts w:ascii="Arial" w:hAnsi="Arial" w:cs="Arial"/>
        </w:rPr>
        <w:fldChar w:fldCharType="begin"/>
      </w:r>
      <w:r w:rsidR="00CE6790">
        <w:rPr>
          <w:rFonts w:ascii="Arial" w:hAnsi="Arial" w:cs="Arial"/>
        </w:rPr>
        <w:instrText xml:space="preserve"> DOCVARIABLE vault_nd_ebf9f6ec-61d7-442e-8d69-3d0240d8fe0a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3FC4D29D" w14:textId="18DFAA11" w:rsidR="0091147C" w:rsidRDefault="00B152ED" w:rsidP="00071855">
      <w:pPr>
        <w:rPr>
          <w:rFonts w:ascii="Arial" w:hAnsi="Arial" w:cs="Arial"/>
          <w:iCs/>
        </w:rPr>
      </w:pPr>
      <w:r w:rsidRPr="00F02752">
        <w:rPr>
          <w:rFonts w:ascii="Arial" w:hAnsi="Arial" w:cs="Arial"/>
          <w:iCs/>
        </w:rPr>
        <w:t xml:space="preserve">There are no data on the effects of </w:t>
      </w:r>
      <w:r w:rsidR="00B52DB1">
        <w:rPr>
          <w:rFonts w:ascii="Arial" w:hAnsi="Arial" w:cs="Arial"/>
          <w:iCs/>
        </w:rPr>
        <w:t>OMJJARA</w:t>
      </w:r>
      <w:r w:rsidRPr="00F02752">
        <w:rPr>
          <w:rFonts w:ascii="Arial" w:hAnsi="Arial" w:cs="Arial"/>
          <w:iCs/>
        </w:rPr>
        <w:t xml:space="preserve"> on human male or female fertility. </w:t>
      </w:r>
    </w:p>
    <w:p w14:paraId="49CAD470" w14:textId="41EB9325" w:rsidR="006D2F36" w:rsidRDefault="006D2F36" w:rsidP="00071855">
      <w:pPr>
        <w:rPr>
          <w:rFonts w:ascii="Arial" w:hAnsi="Arial" w:cs="Arial"/>
          <w:iCs/>
        </w:rPr>
      </w:pPr>
      <w:r w:rsidRPr="006D2F36">
        <w:rPr>
          <w:rFonts w:ascii="Arial" w:hAnsi="Arial" w:cs="Arial"/>
          <w:iCs/>
        </w:rPr>
        <w:t xml:space="preserve">In male rats, momelotinib reduced sperm concentration and motility and reduced testes and seminal vesicle weights at oral doses ≥25 mg/kg/day (yielding </w:t>
      </w:r>
      <w:r w:rsidR="000E3415">
        <w:rPr>
          <w:rFonts w:ascii="Arial" w:hAnsi="Arial" w:cs="Arial"/>
          <w:iCs/>
        </w:rPr>
        <w:t>16</w:t>
      </w:r>
      <w:r w:rsidRPr="006D2F36">
        <w:rPr>
          <w:rFonts w:ascii="Arial" w:hAnsi="Arial" w:cs="Arial"/>
          <w:iCs/>
        </w:rPr>
        <w:t>-fold the plasma AUC for combined momelotinib and M21</w:t>
      </w:r>
      <w:r w:rsidR="000E3415">
        <w:rPr>
          <w:rFonts w:ascii="Arial" w:hAnsi="Arial" w:cs="Arial"/>
          <w:iCs/>
        </w:rPr>
        <w:t xml:space="preserve"> </w:t>
      </w:r>
      <w:r w:rsidR="00F54052">
        <w:rPr>
          <w:rFonts w:ascii="Arial" w:hAnsi="Arial" w:cs="Arial"/>
          <w:iCs/>
        </w:rPr>
        <w:t>[minimally produced in rats]</w:t>
      </w:r>
      <w:r w:rsidRPr="006D2F36">
        <w:rPr>
          <w:rFonts w:ascii="Arial" w:hAnsi="Arial" w:cs="Arial"/>
          <w:iCs/>
        </w:rPr>
        <w:t xml:space="preserve"> in patients at the maximum recommended human dose [MRHD] of 200 mg), leading to reduced fertility at 68 mg/kg/day (</w:t>
      </w:r>
      <w:r w:rsidR="00E505FE">
        <w:rPr>
          <w:rFonts w:ascii="Arial" w:hAnsi="Arial" w:cs="Arial"/>
          <w:iCs/>
        </w:rPr>
        <w:t>44</w:t>
      </w:r>
      <w:r w:rsidRPr="006D2F36">
        <w:rPr>
          <w:rFonts w:ascii="Arial" w:hAnsi="Arial" w:cs="Arial"/>
          <w:iCs/>
        </w:rPr>
        <w:t xml:space="preserve">-fold he plasma AUC for combined momelotinib and M21 in patients at the MRHD). </w:t>
      </w:r>
    </w:p>
    <w:p w14:paraId="561160FC" w14:textId="3C45EE69" w:rsidR="006D2F36" w:rsidRPr="00F02752" w:rsidRDefault="006D2F36" w:rsidP="00071855">
      <w:pPr>
        <w:rPr>
          <w:rFonts w:ascii="Arial" w:hAnsi="Arial" w:cs="Arial"/>
          <w:iCs/>
        </w:rPr>
      </w:pPr>
      <w:r w:rsidRPr="006D2F36">
        <w:rPr>
          <w:rFonts w:ascii="Arial" w:hAnsi="Arial" w:cs="Arial"/>
          <w:iCs/>
        </w:rPr>
        <w:t>Momelotinib impaired female fertility at oral doses of 68 mg/kg/day (yielding 5</w:t>
      </w:r>
      <w:r w:rsidR="00E505FE">
        <w:rPr>
          <w:rFonts w:ascii="Arial" w:hAnsi="Arial" w:cs="Arial"/>
          <w:iCs/>
        </w:rPr>
        <w:t>9</w:t>
      </w:r>
      <w:r w:rsidRPr="006D2F36">
        <w:rPr>
          <w:rFonts w:ascii="Arial" w:hAnsi="Arial" w:cs="Arial"/>
          <w:iCs/>
        </w:rPr>
        <w:t>-fold the plasma AUC for combined momelotinib and M21</w:t>
      </w:r>
      <w:r w:rsidR="00E505FE">
        <w:rPr>
          <w:rFonts w:ascii="Arial" w:hAnsi="Arial" w:cs="Arial"/>
          <w:iCs/>
        </w:rPr>
        <w:t xml:space="preserve"> [minimally produced in rats]</w:t>
      </w:r>
      <w:r w:rsidRPr="006D2F36">
        <w:rPr>
          <w:rFonts w:ascii="Arial" w:hAnsi="Arial" w:cs="Arial"/>
          <w:iCs/>
        </w:rPr>
        <w:t xml:space="preserve"> in patients at the MRHD), with reduction in the number of corpora lutea, oestrous cycles and implantation </w:t>
      </w:r>
      <w:r w:rsidRPr="006D2F36">
        <w:rPr>
          <w:rFonts w:ascii="Arial" w:hAnsi="Arial" w:cs="Arial"/>
          <w:iCs/>
        </w:rPr>
        <w:lastRenderedPageBreak/>
        <w:t xml:space="preserve">sites. Oral doses of ≥25 mg/kg/day (yielding </w:t>
      </w:r>
      <w:r w:rsidR="00AC425B">
        <w:rPr>
          <w:rFonts w:ascii="Arial" w:hAnsi="Arial" w:cs="Arial"/>
          <w:iCs/>
        </w:rPr>
        <w:t>22</w:t>
      </w:r>
      <w:r w:rsidRPr="006D2F36">
        <w:rPr>
          <w:rFonts w:ascii="Arial" w:hAnsi="Arial" w:cs="Arial"/>
          <w:iCs/>
        </w:rPr>
        <w:t>-fold the plasma AUC for combined momelotinib and M21 in patients at the MRHD) caused adverse effects on early embryonic development (pre</w:t>
      </w:r>
      <w:r>
        <w:rPr>
          <w:rFonts w:ascii="Arial" w:hAnsi="Arial" w:cs="Arial"/>
          <w:iCs/>
        </w:rPr>
        <w:t xml:space="preserve">- </w:t>
      </w:r>
      <w:r w:rsidRPr="006D2F36">
        <w:rPr>
          <w:rFonts w:ascii="Arial" w:hAnsi="Arial" w:cs="Arial"/>
          <w:iCs/>
        </w:rPr>
        <w:t xml:space="preserve">and post-implantation loss, reduced number of live </w:t>
      </w:r>
      <w:proofErr w:type="spellStart"/>
      <w:r w:rsidRPr="006D2F36">
        <w:rPr>
          <w:rFonts w:ascii="Arial" w:hAnsi="Arial" w:cs="Arial"/>
          <w:iCs/>
        </w:rPr>
        <w:t>fetuses</w:t>
      </w:r>
      <w:proofErr w:type="spellEnd"/>
      <w:r w:rsidRPr="006D2F36">
        <w:rPr>
          <w:rFonts w:ascii="Arial" w:hAnsi="Arial" w:cs="Arial"/>
          <w:iCs/>
        </w:rPr>
        <w:t xml:space="preserve"> and total litter loss) in rats.</w:t>
      </w:r>
      <w:r w:rsidR="00AC425B">
        <w:rPr>
          <w:rFonts w:ascii="Arial" w:hAnsi="Arial" w:cs="Arial"/>
          <w:iCs/>
        </w:rPr>
        <w:t xml:space="preserve">  Exposures at the no-observed-adverse-effect-level (NOAEL) in male and female rats at 5 mg/</w:t>
      </w:r>
      <w:r w:rsidR="00723678">
        <w:rPr>
          <w:rFonts w:ascii="Arial" w:hAnsi="Arial" w:cs="Arial"/>
          <w:iCs/>
        </w:rPr>
        <w:t>kg/day were approximately 3 times the recommended dose of 200 mg daily (based on combined momelotinib and M21 AUC).</w:t>
      </w:r>
    </w:p>
    <w:p w14:paraId="0FEEE34B" w14:textId="76BA3F6E" w:rsidR="00071855" w:rsidRPr="00071855" w:rsidRDefault="00071855" w:rsidP="005B2812">
      <w:pPr>
        <w:pStyle w:val="Heading3"/>
        <w:spacing w:before="0" w:after="120"/>
        <w:rPr>
          <w:rFonts w:ascii="Arial" w:hAnsi="Arial" w:cs="Arial"/>
        </w:rPr>
      </w:pPr>
      <w:r w:rsidRPr="00071855">
        <w:rPr>
          <w:rFonts w:ascii="Arial" w:hAnsi="Arial" w:cs="Arial"/>
        </w:rPr>
        <w:t>Use in pregnancy</w:t>
      </w:r>
      <w:r w:rsidR="00CE6790">
        <w:rPr>
          <w:rFonts w:ascii="Arial" w:hAnsi="Arial" w:cs="Arial"/>
        </w:rPr>
        <w:fldChar w:fldCharType="begin"/>
      </w:r>
      <w:r w:rsidR="00CE6790">
        <w:rPr>
          <w:rFonts w:ascii="Arial" w:hAnsi="Arial" w:cs="Arial"/>
        </w:rPr>
        <w:instrText xml:space="preserve"> DOCVARIABLE vault_nd_7192a9ea-5ba8-44fd-9c53-49532adb9e23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5A92653F" w14:textId="578C0938" w:rsidR="001A3992" w:rsidRPr="00071855" w:rsidRDefault="005B2812" w:rsidP="006E595D">
      <w:pPr>
        <w:pStyle w:val="Heading3"/>
        <w:spacing w:before="0" w:after="120"/>
        <w:ind w:left="0"/>
        <w:rPr>
          <w:rFonts w:ascii="Arial" w:hAnsi="Arial" w:cs="Arial"/>
        </w:rPr>
      </w:pPr>
      <w:r w:rsidRPr="002205EA">
        <w:rPr>
          <w:rFonts w:ascii="Arial" w:hAnsi="Arial" w:cs="Arial"/>
        </w:rPr>
        <w:t>Pregnancy Category</w:t>
      </w:r>
      <w:r w:rsidR="00947A7B">
        <w:rPr>
          <w:rFonts w:ascii="Arial" w:hAnsi="Arial" w:cs="Arial"/>
        </w:rPr>
        <w:t xml:space="preserve"> </w:t>
      </w:r>
      <w:r w:rsidR="003212A1">
        <w:rPr>
          <w:rFonts w:ascii="Arial" w:hAnsi="Arial" w:cs="Arial"/>
        </w:rPr>
        <w:t>D</w:t>
      </w:r>
      <w:r w:rsidR="00CE6790">
        <w:rPr>
          <w:rFonts w:ascii="Arial" w:hAnsi="Arial" w:cs="Arial"/>
        </w:rPr>
        <w:fldChar w:fldCharType="begin"/>
      </w:r>
      <w:r w:rsidR="00CE6790">
        <w:rPr>
          <w:rFonts w:ascii="Arial" w:hAnsi="Arial" w:cs="Arial"/>
        </w:rPr>
        <w:instrText xml:space="preserve"> DOCVARIABLE vault_nd_1196152f-b446-457e-94ca-b4b36cee58e6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79A9E954" w14:textId="77777777" w:rsidR="00260B22" w:rsidRPr="00260B22" w:rsidRDefault="00260B22" w:rsidP="00260B22">
      <w:pPr>
        <w:rPr>
          <w:rFonts w:ascii="Arial" w:hAnsi="Arial" w:cs="Arial"/>
          <w:iCs/>
          <w:lang w:val="en-US"/>
        </w:rPr>
      </w:pPr>
      <w:r w:rsidRPr="00260B22">
        <w:rPr>
          <w:rFonts w:ascii="Arial" w:hAnsi="Arial" w:cs="Arial"/>
          <w:iCs/>
          <w:lang w:val="en-US"/>
        </w:rPr>
        <w:t>There are no data on the effects of OMJJARA in human pregnancy to inform a drug-associated risk of major birth defects, miscarriage, or other adverse maternal or fetal outcomes.</w:t>
      </w:r>
    </w:p>
    <w:p w14:paraId="1D395A79" w14:textId="549DFC8A" w:rsidR="00D209FC" w:rsidRPr="001522A5" w:rsidRDefault="00260B22" w:rsidP="00260B22">
      <w:pPr>
        <w:rPr>
          <w:rFonts w:ascii="Arial" w:hAnsi="Arial" w:cs="Arial"/>
          <w:iCs/>
          <w:lang w:val="en-US"/>
        </w:rPr>
      </w:pPr>
      <w:r w:rsidRPr="00D209FC">
        <w:rPr>
          <w:rFonts w:ascii="Arial" w:hAnsi="Arial" w:cs="Arial"/>
          <w:iCs/>
          <w:lang w:val="en-US"/>
        </w:rPr>
        <w:t xml:space="preserve">Embryofetal toxicity (embryonic death, </w:t>
      </w:r>
      <w:r w:rsidR="00A57841">
        <w:rPr>
          <w:rFonts w:ascii="Arial" w:hAnsi="Arial" w:cs="Arial"/>
          <w:iCs/>
          <w:lang w:val="en-US"/>
        </w:rPr>
        <w:t>visceral malformation</w:t>
      </w:r>
      <w:r w:rsidRPr="00D209FC">
        <w:rPr>
          <w:rFonts w:ascii="Arial" w:hAnsi="Arial" w:cs="Arial"/>
          <w:iCs/>
          <w:lang w:val="en-US"/>
        </w:rPr>
        <w:t xml:space="preserve">, skeletal variations, and lower mean fetal body weights) was observed at </w:t>
      </w:r>
      <w:r w:rsidR="00A57841">
        <w:rPr>
          <w:rFonts w:ascii="Arial" w:hAnsi="Arial" w:cs="Arial"/>
          <w:iCs/>
          <w:lang w:val="en-US"/>
        </w:rPr>
        <w:t xml:space="preserve">oral maternal doses of </w:t>
      </w:r>
      <w:r w:rsidRPr="00D209FC">
        <w:rPr>
          <w:rFonts w:ascii="Arial" w:hAnsi="Arial" w:cs="Arial"/>
          <w:iCs/>
          <w:lang w:val="en-US"/>
        </w:rPr>
        <w:t>12 mg/kg (</w:t>
      </w:r>
      <w:r w:rsidRPr="001522A5">
        <w:rPr>
          <w:rFonts w:ascii="Arial" w:hAnsi="Arial" w:cs="Arial"/>
          <w:iCs/>
          <w:lang w:val="en-US"/>
        </w:rPr>
        <w:t xml:space="preserve">yielding exposure </w:t>
      </w:r>
      <w:r w:rsidRPr="00D209FC">
        <w:rPr>
          <w:rFonts w:ascii="Arial" w:hAnsi="Arial" w:cs="Arial"/>
          <w:iCs/>
          <w:lang w:val="en-US"/>
        </w:rPr>
        <w:t xml:space="preserve">based on combined momelotinib and M21 </w:t>
      </w:r>
      <w:r w:rsidR="00FB681B">
        <w:rPr>
          <w:rFonts w:ascii="Arial" w:hAnsi="Arial" w:cs="Arial"/>
          <w:iCs/>
          <w:lang w:val="en-US"/>
        </w:rPr>
        <w:t>[</w:t>
      </w:r>
      <w:r w:rsidRPr="00D209FC">
        <w:rPr>
          <w:rFonts w:ascii="Arial" w:hAnsi="Arial" w:cs="Arial"/>
          <w:iCs/>
          <w:lang w:val="en-US"/>
        </w:rPr>
        <w:t>a major active human metabolite</w:t>
      </w:r>
      <w:r w:rsidR="000D761D">
        <w:rPr>
          <w:rFonts w:ascii="Arial" w:hAnsi="Arial" w:cs="Arial"/>
          <w:iCs/>
          <w:lang w:val="en-US"/>
        </w:rPr>
        <w:t>, minimally produced in rats]</w:t>
      </w:r>
      <w:r w:rsidRPr="00D209FC">
        <w:rPr>
          <w:rFonts w:ascii="Arial" w:hAnsi="Arial" w:cs="Arial"/>
          <w:iCs/>
          <w:lang w:val="en-US"/>
        </w:rPr>
        <w:t xml:space="preserve"> AUC 10-fold higher than in patients at the MRHD). Skeletal variations were observed (in the absence of maternal toxicity) at 6 mg/kg/day (</w:t>
      </w:r>
      <w:r w:rsidRPr="001522A5">
        <w:rPr>
          <w:rFonts w:ascii="Arial" w:hAnsi="Arial" w:cs="Arial"/>
          <w:iCs/>
          <w:lang w:val="en-US"/>
        </w:rPr>
        <w:t>resulting in exposures 3.5-fold higher than in patients at</w:t>
      </w:r>
      <w:r w:rsidRPr="00D209FC">
        <w:rPr>
          <w:rFonts w:ascii="Arial" w:hAnsi="Arial" w:cs="Arial"/>
          <w:iCs/>
          <w:lang w:val="en-US"/>
        </w:rPr>
        <w:t xml:space="preserve"> </w:t>
      </w:r>
      <w:r w:rsidRPr="001522A5">
        <w:rPr>
          <w:rFonts w:ascii="Arial" w:hAnsi="Arial" w:cs="Arial"/>
          <w:iCs/>
          <w:lang w:val="en-US"/>
        </w:rPr>
        <w:t xml:space="preserve">the MRHD based on </w:t>
      </w:r>
      <w:r w:rsidRPr="00D209FC">
        <w:rPr>
          <w:rFonts w:ascii="Arial" w:hAnsi="Arial" w:cs="Arial"/>
          <w:iCs/>
          <w:lang w:val="en-US"/>
        </w:rPr>
        <w:t xml:space="preserve">combined momelotinib and M21 AUC). Abortion, reduced fetal weight and increased incidence of delayed ossification were observed in rabbits at 60 mg/kg/day </w:t>
      </w:r>
      <w:r w:rsidRPr="001522A5">
        <w:rPr>
          <w:rFonts w:ascii="Arial" w:hAnsi="Arial" w:cs="Arial"/>
          <w:iCs/>
          <w:lang w:val="en-US"/>
        </w:rPr>
        <w:t>(at exposures less than in patients at</w:t>
      </w:r>
      <w:r w:rsidRPr="00D209FC">
        <w:rPr>
          <w:rFonts w:ascii="Arial" w:hAnsi="Arial" w:cs="Arial"/>
          <w:iCs/>
          <w:lang w:val="en-US"/>
        </w:rPr>
        <w:t xml:space="preserve"> </w:t>
      </w:r>
      <w:r w:rsidRPr="001522A5">
        <w:rPr>
          <w:rFonts w:ascii="Arial" w:hAnsi="Arial" w:cs="Arial"/>
          <w:iCs/>
          <w:lang w:val="en-US"/>
        </w:rPr>
        <w:t xml:space="preserve">the MRHD based on </w:t>
      </w:r>
      <w:r w:rsidRPr="00D209FC">
        <w:rPr>
          <w:rFonts w:ascii="Arial" w:hAnsi="Arial" w:cs="Arial"/>
          <w:iCs/>
          <w:lang w:val="en-US"/>
        </w:rPr>
        <w:t>combined momelotinib and M21</w:t>
      </w:r>
      <w:r w:rsidR="00E12279">
        <w:rPr>
          <w:rFonts w:ascii="Arial" w:hAnsi="Arial" w:cs="Arial"/>
          <w:iCs/>
          <w:lang w:val="en-US"/>
        </w:rPr>
        <w:t xml:space="preserve"> [minimally produced in rabbits]</w:t>
      </w:r>
      <w:r w:rsidRPr="00D209FC">
        <w:rPr>
          <w:rFonts w:ascii="Arial" w:hAnsi="Arial" w:cs="Arial"/>
          <w:iCs/>
          <w:lang w:val="en-US"/>
        </w:rPr>
        <w:t xml:space="preserve"> AUC), occurring in the context of </w:t>
      </w:r>
      <w:proofErr w:type="spellStart"/>
      <w:r w:rsidRPr="00D209FC">
        <w:rPr>
          <w:rFonts w:ascii="Arial" w:hAnsi="Arial" w:cs="Arial"/>
          <w:iCs/>
          <w:lang w:val="en-US"/>
        </w:rPr>
        <w:t>maternotoxicity</w:t>
      </w:r>
      <w:proofErr w:type="spellEnd"/>
      <w:r w:rsidRPr="00D209FC">
        <w:rPr>
          <w:rFonts w:ascii="Arial" w:hAnsi="Arial" w:cs="Arial"/>
          <w:iCs/>
          <w:lang w:val="en-US"/>
        </w:rPr>
        <w:t>. No adverse effects on embryofetal development were observed in rats at 2 mg/kg/day and in rabbits at 30 mg/kg/day (exposures less than the exposure at the MRHD). In a pre- and postnatal development study in rats, momelotinib oral administration from organogenesis through lactation reduced the number of live pups at 12 mg/kg/day and lowe</w:t>
      </w:r>
      <w:r w:rsidR="00F743AC">
        <w:rPr>
          <w:rFonts w:ascii="Arial" w:hAnsi="Arial" w:cs="Arial"/>
          <w:iCs/>
          <w:lang w:val="en-US"/>
        </w:rPr>
        <w:t>r</w:t>
      </w:r>
      <w:r w:rsidR="00CA1763">
        <w:rPr>
          <w:rFonts w:ascii="Arial" w:hAnsi="Arial" w:cs="Arial"/>
          <w:iCs/>
          <w:lang w:val="en-US"/>
        </w:rPr>
        <w:t>ed</w:t>
      </w:r>
      <w:r w:rsidRPr="00D209FC">
        <w:rPr>
          <w:rFonts w:ascii="Arial" w:hAnsi="Arial" w:cs="Arial"/>
          <w:iCs/>
          <w:lang w:val="en-US"/>
        </w:rPr>
        <w:t xml:space="preserve"> postnatal survival </w:t>
      </w:r>
      <w:proofErr w:type="gramStart"/>
      <w:r w:rsidRPr="00D209FC">
        <w:rPr>
          <w:rFonts w:ascii="Arial" w:hAnsi="Arial" w:cs="Arial"/>
          <w:iCs/>
          <w:lang w:val="en-US"/>
        </w:rPr>
        <w:t>and  offspring</w:t>
      </w:r>
      <w:proofErr w:type="gramEnd"/>
      <w:r w:rsidRPr="00D209FC">
        <w:rPr>
          <w:rFonts w:ascii="Arial" w:hAnsi="Arial" w:cs="Arial"/>
          <w:iCs/>
          <w:lang w:val="en-US"/>
        </w:rPr>
        <w:t xml:space="preserve"> body weight at ≥6 mg/kg/day (</w:t>
      </w:r>
      <w:r w:rsidRPr="001522A5">
        <w:rPr>
          <w:rFonts w:ascii="Arial" w:hAnsi="Arial" w:cs="Arial"/>
          <w:iCs/>
          <w:lang w:val="en-US"/>
        </w:rPr>
        <w:t>at exposures less than in patients at</w:t>
      </w:r>
      <w:r w:rsidRPr="00D209FC">
        <w:rPr>
          <w:rFonts w:ascii="Arial" w:hAnsi="Arial" w:cs="Arial"/>
          <w:iCs/>
          <w:lang w:val="en-US"/>
        </w:rPr>
        <w:t xml:space="preserve"> </w:t>
      </w:r>
      <w:r w:rsidRPr="001522A5">
        <w:rPr>
          <w:rFonts w:ascii="Arial" w:hAnsi="Arial" w:cs="Arial"/>
          <w:iCs/>
          <w:lang w:val="en-US"/>
        </w:rPr>
        <w:t xml:space="preserve">the MRHD based on </w:t>
      </w:r>
      <w:r w:rsidRPr="00D209FC">
        <w:rPr>
          <w:rFonts w:ascii="Arial" w:hAnsi="Arial" w:cs="Arial"/>
          <w:iCs/>
          <w:lang w:val="en-US"/>
        </w:rPr>
        <w:t xml:space="preserve">combined momelotinib and M21 AUC). </w:t>
      </w:r>
    </w:p>
    <w:p w14:paraId="3E2C491A" w14:textId="77777777" w:rsidR="00D209FC" w:rsidRPr="00F02752" w:rsidRDefault="00D209FC" w:rsidP="00D209FC">
      <w:pPr>
        <w:rPr>
          <w:rFonts w:ascii="Arial" w:hAnsi="Arial" w:cs="Arial"/>
          <w:iCs/>
        </w:rPr>
      </w:pPr>
      <w:r>
        <w:rPr>
          <w:rFonts w:ascii="Arial" w:hAnsi="Arial" w:cs="Arial"/>
          <w:iCs/>
        </w:rPr>
        <w:t>OMJJARA</w:t>
      </w:r>
      <w:r w:rsidRPr="00F02752">
        <w:rPr>
          <w:rFonts w:ascii="Arial" w:hAnsi="Arial" w:cs="Arial"/>
          <w:iCs/>
        </w:rPr>
        <w:t xml:space="preserve"> should </w:t>
      </w:r>
      <w:r>
        <w:rPr>
          <w:rFonts w:ascii="Arial" w:hAnsi="Arial" w:cs="Arial"/>
          <w:iCs/>
        </w:rPr>
        <w:t>not be used during pregnancy or by women attempting to become pregnant</w:t>
      </w:r>
      <w:r w:rsidRPr="00F02752">
        <w:rPr>
          <w:rFonts w:ascii="Arial" w:hAnsi="Arial" w:cs="Arial"/>
          <w:iCs/>
        </w:rPr>
        <w:t xml:space="preserve">. Females of reproductive potential who are not pregnant should use highly effective contraception during therapy and for at least 1 week after the last dose of </w:t>
      </w:r>
      <w:r>
        <w:rPr>
          <w:rFonts w:ascii="Arial" w:hAnsi="Arial" w:cs="Arial"/>
          <w:iCs/>
        </w:rPr>
        <w:t>OMJJARA</w:t>
      </w:r>
      <w:r w:rsidRPr="00F02752">
        <w:rPr>
          <w:rFonts w:ascii="Arial" w:hAnsi="Arial" w:cs="Arial"/>
          <w:iCs/>
        </w:rPr>
        <w:t>.</w:t>
      </w:r>
    </w:p>
    <w:p w14:paraId="524EEBBC" w14:textId="521C01F9" w:rsidR="001A3992" w:rsidRPr="00071855" w:rsidRDefault="001A3992" w:rsidP="001A3992">
      <w:pPr>
        <w:pStyle w:val="Heading3"/>
        <w:spacing w:before="0" w:after="120"/>
        <w:rPr>
          <w:rFonts w:ascii="Arial" w:hAnsi="Arial" w:cs="Arial"/>
        </w:rPr>
      </w:pPr>
      <w:r w:rsidRPr="00071855">
        <w:rPr>
          <w:rFonts w:ascii="Arial" w:hAnsi="Arial" w:cs="Arial"/>
        </w:rPr>
        <w:t>Use in</w:t>
      </w:r>
      <w:r w:rsidR="00071855" w:rsidRPr="00071855">
        <w:rPr>
          <w:rFonts w:ascii="Arial" w:hAnsi="Arial" w:cs="Arial"/>
        </w:rPr>
        <w:t xml:space="preserve"> lactation</w:t>
      </w:r>
      <w:r w:rsidR="00CE6790">
        <w:rPr>
          <w:rFonts w:ascii="Arial" w:hAnsi="Arial" w:cs="Arial"/>
        </w:rPr>
        <w:fldChar w:fldCharType="begin"/>
      </w:r>
      <w:r w:rsidR="00CE6790">
        <w:rPr>
          <w:rFonts w:ascii="Arial" w:hAnsi="Arial" w:cs="Arial"/>
        </w:rPr>
        <w:instrText xml:space="preserve"> DOCVARIABLE vault_nd_c67aa8ea-93bb-447c-b508-f877b8cfd0bf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50D2F5AE" w14:textId="65A5D55A" w:rsidR="00F02752" w:rsidRPr="00F02752" w:rsidRDefault="00F02752" w:rsidP="00F02752">
      <w:pPr>
        <w:rPr>
          <w:rFonts w:ascii="Arial" w:hAnsi="Arial" w:cs="Arial"/>
          <w:iCs/>
        </w:rPr>
      </w:pPr>
      <w:r w:rsidRPr="00F02752">
        <w:rPr>
          <w:rFonts w:ascii="Arial" w:hAnsi="Arial" w:cs="Arial"/>
          <w:iCs/>
        </w:rPr>
        <w:t xml:space="preserve">There are no data on the presence of </w:t>
      </w:r>
      <w:r w:rsidR="00C317E1" w:rsidRPr="00C317E1">
        <w:rPr>
          <w:rFonts w:ascii="Arial" w:hAnsi="Arial" w:cs="Arial"/>
          <w:iCs/>
        </w:rPr>
        <w:t>momelotinib and/or its metabolites</w:t>
      </w:r>
      <w:r w:rsidR="00C317E1" w:rsidRPr="00C317E1" w:rsidDel="00C317E1">
        <w:rPr>
          <w:rFonts w:ascii="Arial" w:hAnsi="Arial" w:cs="Arial"/>
          <w:iCs/>
        </w:rPr>
        <w:t xml:space="preserve"> </w:t>
      </w:r>
      <w:r w:rsidRPr="00F02752">
        <w:rPr>
          <w:rFonts w:ascii="Arial" w:hAnsi="Arial" w:cs="Arial"/>
          <w:iCs/>
        </w:rPr>
        <w:t xml:space="preserve">in human milk. </w:t>
      </w:r>
      <w:r w:rsidR="00C317E1" w:rsidRPr="00C317E1">
        <w:rPr>
          <w:rFonts w:ascii="Arial" w:hAnsi="Arial" w:cs="Arial"/>
          <w:iCs/>
        </w:rPr>
        <w:t>It is not known if momelotinib and/or its metabolites are excreted in human milk</w:t>
      </w:r>
      <w:r w:rsidR="00C317E1">
        <w:rPr>
          <w:rFonts w:ascii="Arial" w:hAnsi="Arial" w:cs="Arial"/>
          <w:iCs/>
        </w:rPr>
        <w:t>. Momelotinib</w:t>
      </w:r>
      <w:r w:rsidR="00C317E1" w:rsidRPr="00F02752">
        <w:rPr>
          <w:rFonts w:ascii="Arial" w:hAnsi="Arial" w:cs="Arial"/>
          <w:iCs/>
        </w:rPr>
        <w:t xml:space="preserve"> </w:t>
      </w:r>
      <w:r w:rsidRPr="00F02752">
        <w:rPr>
          <w:rFonts w:ascii="Arial" w:hAnsi="Arial" w:cs="Arial"/>
          <w:iCs/>
        </w:rPr>
        <w:t xml:space="preserve">was present in rat pups following nursing from treated dams </w:t>
      </w:r>
      <w:r w:rsidR="00E4141A" w:rsidRPr="00E4141A">
        <w:rPr>
          <w:rFonts w:ascii="Arial" w:hAnsi="Arial" w:cs="Arial"/>
          <w:iCs/>
        </w:rPr>
        <w:t xml:space="preserve">(likely due to the presence of momelotinib in milk) </w:t>
      </w:r>
      <w:r w:rsidRPr="00F02752">
        <w:rPr>
          <w:rFonts w:ascii="Arial" w:hAnsi="Arial" w:cs="Arial"/>
          <w:iCs/>
        </w:rPr>
        <w:t>with adverse effects in the offspring. A risk to the breastfed child cannot be excluded.</w:t>
      </w:r>
    </w:p>
    <w:p w14:paraId="38B67386" w14:textId="0F804F4A" w:rsidR="00071855" w:rsidRPr="00F02752" w:rsidRDefault="00F02752" w:rsidP="00F02752">
      <w:pPr>
        <w:rPr>
          <w:rFonts w:ascii="Arial" w:hAnsi="Arial" w:cs="Arial"/>
          <w:iCs/>
        </w:rPr>
      </w:pPr>
      <w:r w:rsidRPr="00F02752">
        <w:rPr>
          <w:rFonts w:ascii="Arial" w:hAnsi="Arial" w:cs="Arial"/>
          <w:iCs/>
        </w:rPr>
        <w:t xml:space="preserve">Patients should not breastfeed during treatment with </w:t>
      </w:r>
      <w:r w:rsidR="003C332B">
        <w:rPr>
          <w:rFonts w:ascii="Arial" w:hAnsi="Arial" w:cs="Arial"/>
          <w:iCs/>
        </w:rPr>
        <w:t>OMJJARA</w:t>
      </w:r>
      <w:r w:rsidRPr="00F02752">
        <w:rPr>
          <w:rFonts w:ascii="Arial" w:hAnsi="Arial" w:cs="Arial"/>
          <w:iCs/>
        </w:rPr>
        <w:t xml:space="preserve"> and for at least 1 week after the last dose of </w:t>
      </w:r>
      <w:r w:rsidR="003C332B">
        <w:rPr>
          <w:rFonts w:ascii="Arial" w:hAnsi="Arial" w:cs="Arial"/>
          <w:iCs/>
        </w:rPr>
        <w:t>OMJJARA</w:t>
      </w:r>
      <w:r w:rsidRPr="00F02752">
        <w:rPr>
          <w:rFonts w:ascii="Arial" w:hAnsi="Arial" w:cs="Arial"/>
          <w:iCs/>
        </w:rPr>
        <w:t>.</w:t>
      </w:r>
    </w:p>
    <w:p w14:paraId="4A7AA88E" w14:textId="12247AE5" w:rsidR="001A3992" w:rsidRPr="00F02752" w:rsidRDefault="00071855" w:rsidP="00071855">
      <w:pPr>
        <w:pStyle w:val="Heading2"/>
        <w:spacing w:before="0" w:after="120"/>
        <w:ind w:left="578" w:hanging="578"/>
        <w:rPr>
          <w:rFonts w:ascii="Arial" w:hAnsi="Arial" w:cs="Arial"/>
          <w:iCs/>
          <w:smallCaps w:val="0"/>
        </w:rPr>
      </w:pPr>
      <w:r w:rsidRPr="00F02752">
        <w:rPr>
          <w:rFonts w:ascii="Arial" w:hAnsi="Arial" w:cs="Arial"/>
          <w:iCs/>
          <w:smallCaps w:val="0"/>
        </w:rPr>
        <w:t xml:space="preserve">EFFECTS ON ABILITY TO DRIVE AND USE MACHINES </w:t>
      </w:r>
      <w:r w:rsidR="00CE6790">
        <w:rPr>
          <w:rFonts w:ascii="Arial" w:hAnsi="Arial" w:cs="Arial"/>
          <w:iCs/>
          <w:smallCaps w:val="0"/>
        </w:rPr>
        <w:fldChar w:fldCharType="begin"/>
      </w:r>
      <w:r w:rsidR="00CE6790">
        <w:rPr>
          <w:rFonts w:ascii="Arial" w:hAnsi="Arial" w:cs="Arial"/>
          <w:iCs/>
          <w:smallCaps w:val="0"/>
        </w:rPr>
        <w:instrText xml:space="preserve"> DOCVARIABLE VAULT_ND_4db32b5b-1418-472d-8279-fffc5300148b \* MERGEFORMAT </w:instrText>
      </w:r>
      <w:r w:rsidR="00CE6790">
        <w:rPr>
          <w:rFonts w:ascii="Arial" w:hAnsi="Arial" w:cs="Arial"/>
          <w:iCs/>
          <w:smallCaps w:val="0"/>
        </w:rPr>
        <w:fldChar w:fldCharType="separate"/>
      </w:r>
      <w:r w:rsidR="00CE6790">
        <w:rPr>
          <w:rFonts w:ascii="Arial" w:hAnsi="Arial" w:cs="Arial"/>
          <w:iCs/>
          <w:smallCaps w:val="0"/>
        </w:rPr>
        <w:t xml:space="preserve"> </w:t>
      </w:r>
      <w:r w:rsidR="00CE6790">
        <w:rPr>
          <w:rFonts w:ascii="Arial" w:hAnsi="Arial" w:cs="Arial"/>
          <w:iCs/>
          <w:smallCaps w:val="0"/>
        </w:rPr>
        <w:fldChar w:fldCharType="end"/>
      </w:r>
    </w:p>
    <w:p w14:paraId="69D5B436" w14:textId="063BDCC7" w:rsidR="005B2812" w:rsidRPr="00F02752" w:rsidRDefault="00F02752" w:rsidP="005B2812">
      <w:pPr>
        <w:rPr>
          <w:rFonts w:ascii="Arial" w:hAnsi="Arial" w:cs="Arial"/>
          <w:iCs/>
        </w:rPr>
      </w:pPr>
      <w:r w:rsidRPr="00F02752">
        <w:rPr>
          <w:rFonts w:ascii="Arial" w:hAnsi="Arial" w:cs="Arial"/>
          <w:iCs/>
        </w:rPr>
        <w:t xml:space="preserve">There have been no studies to investigate the effect of </w:t>
      </w:r>
      <w:r w:rsidR="00B52DB1">
        <w:rPr>
          <w:rFonts w:ascii="Arial" w:hAnsi="Arial" w:cs="Arial"/>
          <w:iCs/>
        </w:rPr>
        <w:t>OMJJARA</w:t>
      </w:r>
      <w:r w:rsidRPr="00F02752">
        <w:rPr>
          <w:rFonts w:ascii="Arial" w:hAnsi="Arial" w:cs="Arial"/>
          <w:iCs/>
        </w:rPr>
        <w:t xml:space="preserve"> on driving performance or the ability to operate machinery. However, patients who experience dizziness or blurred vision after taking </w:t>
      </w:r>
      <w:r w:rsidR="003C332B">
        <w:rPr>
          <w:rFonts w:ascii="Arial" w:hAnsi="Arial" w:cs="Arial"/>
          <w:iCs/>
        </w:rPr>
        <w:t>OMJJARA</w:t>
      </w:r>
      <w:r w:rsidRPr="00F02752">
        <w:rPr>
          <w:rFonts w:ascii="Arial" w:hAnsi="Arial" w:cs="Arial"/>
          <w:iCs/>
        </w:rPr>
        <w:t xml:space="preserve"> should observe caution when driving or using machines (see</w:t>
      </w:r>
      <w:r w:rsidR="003C332B">
        <w:rPr>
          <w:rFonts w:ascii="Arial" w:hAnsi="Arial" w:cs="Arial"/>
          <w:iCs/>
        </w:rPr>
        <w:t xml:space="preserve"> section 4.8 ADVERSE EFFECTS (UNDESIRABLE EFFECTS)).</w:t>
      </w:r>
    </w:p>
    <w:p w14:paraId="466F7C1E" w14:textId="459E792D"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lastRenderedPageBreak/>
        <w:t>ADVERSE EFFECTS (UNDESIRABLE EFFECTS)</w:t>
      </w:r>
      <w:r w:rsidR="00CE6790">
        <w:rPr>
          <w:rFonts w:ascii="Arial" w:hAnsi="Arial" w:cs="Arial"/>
          <w:smallCaps w:val="0"/>
        </w:rPr>
        <w:fldChar w:fldCharType="begin"/>
      </w:r>
      <w:r w:rsidR="00CE6790">
        <w:rPr>
          <w:rFonts w:ascii="Arial" w:hAnsi="Arial" w:cs="Arial"/>
          <w:smallCaps w:val="0"/>
        </w:rPr>
        <w:instrText xml:space="preserve"> DOCVARIABLE VAULT_ND_f28bbffb-fb7d-4fa0-9b1f-240364df4a8a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0566BF9C" w14:textId="5E01BB03" w:rsidR="00412867" w:rsidRPr="00270AA3" w:rsidRDefault="003C332B" w:rsidP="00212C32">
      <w:pPr>
        <w:autoSpaceDE w:val="0"/>
        <w:autoSpaceDN w:val="0"/>
        <w:adjustRightInd w:val="0"/>
        <w:rPr>
          <w:rFonts w:ascii="Arial" w:hAnsi="Arial" w:cs="Arial"/>
          <w:snapToGrid w:val="0"/>
        </w:rPr>
      </w:pPr>
      <w:r w:rsidRPr="00F02752">
        <w:rPr>
          <w:rFonts w:ascii="Arial" w:hAnsi="Arial" w:cs="Arial"/>
          <w:bCs/>
          <w:lang w:val="en"/>
        </w:rPr>
        <w:t xml:space="preserve">The safety of </w:t>
      </w:r>
      <w:r>
        <w:rPr>
          <w:rFonts w:ascii="Arial" w:hAnsi="Arial" w:cs="Arial"/>
          <w:bCs/>
          <w:lang w:val="en"/>
        </w:rPr>
        <w:t>OMJJARA</w:t>
      </w:r>
      <w:r w:rsidRPr="00F02752">
        <w:rPr>
          <w:rFonts w:ascii="Arial" w:hAnsi="Arial" w:cs="Arial"/>
          <w:bCs/>
          <w:lang w:val="en"/>
        </w:rPr>
        <w:t xml:space="preserve">, based on three </w:t>
      </w:r>
      <w:proofErr w:type="spellStart"/>
      <w:r w:rsidRPr="00F02752">
        <w:rPr>
          <w:rFonts w:ascii="Arial" w:hAnsi="Arial" w:cs="Arial"/>
          <w:bCs/>
          <w:lang w:val="en"/>
        </w:rPr>
        <w:t>randomised</w:t>
      </w:r>
      <w:proofErr w:type="spellEnd"/>
      <w:r w:rsidRPr="00F02752">
        <w:rPr>
          <w:rFonts w:ascii="Arial" w:hAnsi="Arial" w:cs="Arial"/>
          <w:bCs/>
          <w:lang w:val="en"/>
        </w:rPr>
        <w:t xml:space="preserve">, active-controlled, </w:t>
      </w:r>
      <w:proofErr w:type="spellStart"/>
      <w:r w:rsidRPr="00F02752">
        <w:rPr>
          <w:rFonts w:ascii="Arial" w:hAnsi="Arial" w:cs="Arial"/>
          <w:bCs/>
          <w:lang w:val="en"/>
        </w:rPr>
        <w:t>multicentre</w:t>
      </w:r>
      <w:proofErr w:type="spellEnd"/>
      <w:r w:rsidRPr="00F02752">
        <w:rPr>
          <w:rFonts w:ascii="Arial" w:hAnsi="Arial" w:cs="Arial"/>
          <w:bCs/>
          <w:lang w:val="en"/>
        </w:rPr>
        <w:t xml:space="preserve"> studies in adults with myelofibrosis (MOMENTUM, SIMPLIFY-1, SIMPLIFY-2), is presented in Table 2. Subjects were initially </w:t>
      </w:r>
      <w:proofErr w:type="spellStart"/>
      <w:r w:rsidRPr="00F02752">
        <w:rPr>
          <w:rFonts w:ascii="Arial" w:hAnsi="Arial" w:cs="Arial"/>
          <w:bCs/>
          <w:lang w:val="en"/>
        </w:rPr>
        <w:t>randomised</w:t>
      </w:r>
      <w:proofErr w:type="spellEnd"/>
      <w:r w:rsidRPr="00F02752">
        <w:rPr>
          <w:rFonts w:ascii="Arial" w:hAnsi="Arial" w:cs="Arial"/>
          <w:bCs/>
          <w:lang w:val="en"/>
        </w:rPr>
        <w:t xml:space="preserve"> to receive </w:t>
      </w:r>
      <w:r w:rsidR="00B52DB1">
        <w:rPr>
          <w:rFonts w:ascii="Arial" w:hAnsi="Arial" w:cs="Arial"/>
          <w:bCs/>
          <w:lang w:val="en"/>
        </w:rPr>
        <w:t>OMJJARA</w:t>
      </w:r>
      <w:r w:rsidRPr="00F02752">
        <w:rPr>
          <w:rFonts w:ascii="Arial" w:hAnsi="Arial" w:cs="Arial"/>
          <w:bCs/>
          <w:lang w:val="en"/>
        </w:rPr>
        <w:t xml:space="preserve"> 200 mg once daily for 24 weeks (n = 448</w:t>
      </w:r>
      <w:r w:rsidRPr="0091147C">
        <w:rPr>
          <w:rFonts w:ascii="Arial" w:hAnsi="Arial" w:cs="Arial"/>
          <w:bCs/>
          <w:lang w:val="en"/>
        </w:rPr>
        <w:t xml:space="preserve">). </w:t>
      </w:r>
      <w:r w:rsidR="00270AA3" w:rsidRPr="0091147C">
        <w:rPr>
          <w:rFonts w:ascii="Arial" w:hAnsi="Arial" w:cs="Arial"/>
          <w:bCs/>
          <w:lang w:val="en"/>
        </w:rPr>
        <w:t xml:space="preserve">The adverse reactions identified for </w:t>
      </w:r>
      <w:r w:rsidR="00B52DB1">
        <w:rPr>
          <w:rFonts w:ascii="Arial" w:hAnsi="Arial" w:cs="Arial"/>
          <w:bCs/>
          <w:lang w:val="en"/>
        </w:rPr>
        <w:t>OMJJARA</w:t>
      </w:r>
      <w:r w:rsidR="00270AA3" w:rsidRPr="0091147C">
        <w:rPr>
          <w:rFonts w:ascii="Arial" w:hAnsi="Arial" w:cs="Arial"/>
          <w:bCs/>
          <w:lang w:val="en"/>
        </w:rPr>
        <w:t xml:space="preserve"> are listed by body system organ class (SOC) and frequency.</w:t>
      </w:r>
    </w:p>
    <w:p w14:paraId="013EDBF4" w14:textId="12AD44AA" w:rsidR="00270AA3" w:rsidRPr="008B6009" w:rsidRDefault="00270AA3" w:rsidP="00212C32">
      <w:pPr>
        <w:autoSpaceDE w:val="0"/>
        <w:autoSpaceDN w:val="0"/>
        <w:adjustRightInd w:val="0"/>
        <w:rPr>
          <w:rFonts w:ascii="Arial" w:hAnsi="Arial" w:cs="Arial"/>
          <w:snapToGrid w:val="0"/>
        </w:rPr>
      </w:pPr>
      <w:r w:rsidRPr="008B6009">
        <w:rPr>
          <w:rFonts w:ascii="Arial" w:hAnsi="Arial" w:cs="Arial"/>
          <w:snapToGrid w:val="0"/>
        </w:rPr>
        <w:t>Frequencies are defined as:</w:t>
      </w:r>
    </w:p>
    <w:p w14:paraId="6388E21A" w14:textId="746A9D43" w:rsidR="00270AA3" w:rsidRPr="008B6009" w:rsidRDefault="00270AA3" w:rsidP="00F853E7">
      <w:pPr>
        <w:pStyle w:val="NormalIndent"/>
        <w:spacing w:after="0"/>
        <w:ind w:left="0"/>
        <w:rPr>
          <w:rFonts w:ascii="Arial" w:hAnsi="Arial" w:cs="Arial"/>
        </w:rPr>
      </w:pPr>
      <w:r w:rsidRPr="008B6009">
        <w:rPr>
          <w:rFonts w:ascii="Arial" w:hAnsi="Arial" w:cs="Arial"/>
        </w:rPr>
        <w:t>Very common: ≥ 1/10</w:t>
      </w:r>
    </w:p>
    <w:p w14:paraId="1556DDB6" w14:textId="1C4787F1" w:rsidR="00270AA3" w:rsidRPr="008B6009" w:rsidRDefault="00270AA3" w:rsidP="00F853E7">
      <w:pPr>
        <w:pStyle w:val="NormalIndent"/>
        <w:spacing w:after="0"/>
        <w:ind w:left="0"/>
        <w:rPr>
          <w:rFonts w:ascii="Arial" w:hAnsi="Arial" w:cs="Arial"/>
        </w:rPr>
      </w:pPr>
      <w:r w:rsidRPr="008B6009">
        <w:rPr>
          <w:rFonts w:ascii="Arial" w:hAnsi="Arial" w:cs="Arial"/>
        </w:rPr>
        <w:t>Common: ≥ 1/100 to &lt; 1/10</w:t>
      </w:r>
    </w:p>
    <w:p w14:paraId="40843B07" w14:textId="77EE5B57" w:rsidR="00270AA3" w:rsidRPr="008B6009" w:rsidRDefault="00270AA3" w:rsidP="00F853E7">
      <w:pPr>
        <w:pStyle w:val="NormalIndent"/>
        <w:spacing w:after="0"/>
        <w:ind w:left="0"/>
        <w:rPr>
          <w:rFonts w:ascii="Arial" w:hAnsi="Arial" w:cs="Arial"/>
        </w:rPr>
      </w:pPr>
      <w:r w:rsidRPr="008B6009">
        <w:rPr>
          <w:rFonts w:ascii="Arial" w:hAnsi="Arial" w:cs="Arial"/>
        </w:rPr>
        <w:t>Uncommon: ≥ 1/1,000 to &lt; 1/100</w:t>
      </w:r>
    </w:p>
    <w:p w14:paraId="2BD93FF4" w14:textId="0E330AE0" w:rsidR="00270AA3" w:rsidRDefault="00270AA3" w:rsidP="00212C32">
      <w:pPr>
        <w:autoSpaceDE w:val="0"/>
        <w:autoSpaceDN w:val="0"/>
        <w:adjustRightInd w:val="0"/>
        <w:rPr>
          <w:rFonts w:ascii="Arial" w:hAnsi="Arial" w:cs="Arial"/>
          <w:snapToGrid w:val="0"/>
        </w:rPr>
      </w:pPr>
      <w:r w:rsidRPr="008B6009">
        <w:rPr>
          <w:rFonts w:ascii="Arial" w:hAnsi="Arial" w:cs="Arial"/>
          <w:snapToGrid w:val="0"/>
        </w:rPr>
        <w:t>Rare: ≥ 1/10,000 to &lt; 1/1,000</w:t>
      </w:r>
    </w:p>
    <w:p w14:paraId="529D7B57" w14:textId="53DD1C62" w:rsidR="00F04E38" w:rsidRPr="00F04E38" w:rsidRDefault="00F04E38" w:rsidP="00F04E38">
      <w:pPr>
        <w:autoSpaceDE w:val="0"/>
        <w:autoSpaceDN w:val="0"/>
        <w:adjustRightInd w:val="0"/>
        <w:rPr>
          <w:rFonts w:ascii="Arial" w:hAnsi="Arial" w:cs="Arial"/>
          <w:snapToGrid w:val="0"/>
        </w:rPr>
      </w:pPr>
      <w:r w:rsidRPr="00F04E38">
        <w:rPr>
          <w:rFonts w:ascii="Arial" w:hAnsi="Arial" w:cs="Arial"/>
          <w:snapToGrid w:val="0"/>
        </w:rPr>
        <w:t>The most common severe adverse reaction (≥ Grade 3) was thrombocytopenia (12%). The most common adverse reaction leading to discontinuation of O</w:t>
      </w:r>
      <w:r w:rsidR="000F5F06">
        <w:rPr>
          <w:rFonts w:ascii="Arial" w:hAnsi="Arial" w:cs="Arial"/>
          <w:snapToGrid w:val="0"/>
        </w:rPr>
        <w:t>MJJARA</w:t>
      </w:r>
      <w:r w:rsidRPr="00F04E38">
        <w:rPr>
          <w:rFonts w:ascii="Arial" w:hAnsi="Arial" w:cs="Arial"/>
          <w:snapToGrid w:val="0"/>
        </w:rPr>
        <w:t xml:space="preserve"> was thrombocytopenia (2.5%). The most common adverse reaction requiring dosage reduction and/or treatment interruption was thrombocytopenia (7%).</w:t>
      </w:r>
    </w:p>
    <w:p w14:paraId="2FEDA33E" w14:textId="1404CC06" w:rsidR="005E6EA5" w:rsidRPr="00F853E7" w:rsidRDefault="00270AA3" w:rsidP="00F853E7">
      <w:pPr>
        <w:rPr>
          <w:rFonts w:ascii="Arial" w:hAnsi="Arial" w:cs="Arial"/>
          <w:b/>
          <w:bCs/>
          <w:snapToGrid w:val="0"/>
          <w:szCs w:val="24"/>
        </w:rPr>
      </w:pPr>
      <w:r w:rsidRPr="008B6009">
        <w:rPr>
          <w:rFonts w:ascii="Arial" w:hAnsi="Arial" w:cs="Arial"/>
          <w:b/>
          <w:bCs/>
          <w:snapToGrid w:val="0"/>
          <w:szCs w:val="24"/>
        </w:rPr>
        <w:t xml:space="preserve">Table </w:t>
      </w:r>
      <w:r>
        <w:rPr>
          <w:rFonts w:ascii="Arial" w:hAnsi="Arial" w:cs="Arial"/>
          <w:b/>
          <w:bCs/>
          <w:snapToGrid w:val="0"/>
          <w:szCs w:val="24"/>
        </w:rPr>
        <w:t>2</w:t>
      </w:r>
      <w:r w:rsidRPr="008B6009">
        <w:rPr>
          <w:rFonts w:ascii="Arial" w:hAnsi="Arial" w:cs="Arial"/>
          <w:b/>
          <w:bCs/>
          <w:snapToGrid w:val="0"/>
          <w:szCs w:val="24"/>
        </w:rPr>
        <w:t xml:space="preserve"> </w:t>
      </w:r>
      <w:r w:rsidRPr="008B6009">
        <w:rPr>
          <w:rFonts w:ascii="Arial" w:hAnsi="Arial" w:cs="Arial"/>
          <w:b/>
          <w:bCs/>
          <w:snapToGrid w:val="0"/>
          <w:szCs w:val="24"/>
        </w:rPr>
        <w:tab/>
        <w:t>Adverse reactions</w:t>
      </w:r>
    </w:p>
    <w:tbl>
      <w:tblPr>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404"/>
        <w:gridCol w:w="2551"/>
        <w:gridCol w:w="2915"/>
      </w:tblGrid>
      <w:tr w:rsidR="00FB2131" w:rsidRPr="008B6009" w14:paraId="6129AEB1" w14:textId="2CD89438" w:rsidTr="006C516D">
        <w:trPr>
          <w:trHeight w:val="578"/>
          <w:tblHeader/>
        </w:trPr>
        <w:tc>
          <w:tcPr>
            <w:tcW w:w="1994" w:type="dxa"/>
            <w:tcBorders>
              <w:top w:val="single" w:sz="4" w:space="0" w:color="auto"/>
              <w:left w:val="single" w:sz="4" w:space="0" w:color="auto"/>
              <w:bottom w:val="single" w:sz="4" w:space="0" w:color="auto"/>
              <w:right w:val="single" w:sz="4" w:space="0" w:color="auto"/>
            </w:tcBorders>
            <w:hideMark/>
          </w:tcPr>
          <w:p w14:paraId="002CB2EB" w14:textId="00205088" w:rsidR="00FB2131" w:rsidRPr="008B6009" w:rsidRDefault="00FB2131">
            <w:pPr>
              <w:keepNext/>
              <w:keepLines/>
              <w:tabs>
                <w:tab w:val="left" w:pos="720"/>
              </w:tabs>
              <w:spacing w:after="0"/>
              <w:rPr>
                <w:rFonts w:ascii="Arial" w:eastAsia="SimSun" w:hAnsi="Arial" w:cs="Arial"/>
                <w:b/>
              </w:rPr>
            </w:pPr>
            <w:r>
              <w:rPr>
                <w:rFonts w:ascii="Arial" w:eastAsia="SimSun" w:hAnsi="Arial" w:cs="Arial"/>
                <w:b/>
              </w:rPr>
              <w:t xml:space="preserve">MedDRA </w:t>
            </w:r>
            <w:r w:rsidRPr="008B6009">
              <w:rPr>
                <w:rFonts w:ascii="Arial" w:eastAsia="SimSun" w:hAnsi="Arial" w:cs="Arial"/>
                <w:b/>
              </w:rPr>
              <w:t>System Organ Class (SOC)</w:t>
            </w:r>
          </w:p>
        </w:tc>
        <w:tc>
          <w:tcPr>
            <w:tcW w:w="1404" w:type="dxa"/>
            <w:tcBorders>
              <w:top w:val="single" w:sz="4" w:space="0" w:color="auto"/>
              <w:left w:val="single" w:sz="4" w:space="0" w:color="auto"/>
              <w:bottom w:val="single" w:sz="4" w:space="0" w:color="auto"/>
              <w:right w:val="single" w:sz="4" w:space="0" w:color="auto"/>
            </w:tcBorders>
            <w:hideMark/>
          </w:tcPr>
          <w:p w14:paraId="4DD8845D" w14:textId="05854DAA" w:rsidR="00FB2131" w:rsidRPr="008B6009" w:rsidRDefault="00FB2131">
            <w:pPr>
              <w:keepNext/>
              <w:keepLines/>
              <w:tabs>
                <w:tab w:val="left" w:pos="720"/>
              </w:tabs>
              <w:spacing w:after="0"/>
              <w:rPr>
                <w:rFonts w:ascii="Arial" w:eastAsia="SimSun" w:hAnsi="Arial" w:cs="Arial"/>
                <w:b/>
              </w:rPr>
            </w:pPr>
            <w:r w:rsidRPr="008B6009">
              <w:rPr>
                <w:rFonts w:ascii="Arial" w:eastAsia="SimSun" w:hAnsi="Arial" w:cs="Arial"/>
                <w:b/>
              </w:rPr>
              <w:t>Frequency Category</w:t>
            </w:r>
          </w:p>
        </w:tc>
        <w:tc>
          <w:tcPr>
            <w:tcW w:w="2551" w:type="dxa"/>
            <w:tcBorders>
              <w:top w:val="single" w:sz="4" w:space="0" w:color="auto"/>
              <w:left w:val="single" w:sz="4" w:space="0" w:color="auto"/>
              <w:bottom w:val="single" w:sz="4" w:space="0" w:color="auto"/>
              <w:right w:val="single" w:sz="4" w:space="0" w:color="auto"/>
            </w:tcBorders>
          </w:tcPr>
          <w:p w14:paraId="065AB6F6" w14:textId="551EDDBA" w:rsidR="00FB2131" w:rsidRPr="008B6009" w:rsidRDefault="00FB2131">
            <w:pPr>
              <w:keepNext/>
              <w:keepLines/>
              <w:tabs>
                <w:tab w:val="left" w:pos="720"/>
              </w:tabs>
              <w:spacing w:after="0"/>
              <w:rPr>
                <w:rFonts w:ascii="Arial" w:eastAsia="SimSun" w:hAnsi="Arial" w:cs="Arial"/>
                <w:b/>
              </w:rPr>
            </w:pPr>
            <w:r w:rsidRPr="008B6009">
              <w:rPr>
                <w:rFonts w:ascii="Arial" w:eastAsia="SimSun" w:hAnsi="Arial" w:cs="Arial"/>
                <w:b/>
              </w:rPr>
              <w:t>Adverse Reaction</w:t>
            </w:r>
          </w:p>
        </w:tc>
        <w:tc>
          <w:tcPr>
            <w:tcW w:w="2915" w:type="dxa"/>
            <w:tcBorders>
              <w:top w:val="single" w:sz="4" w:space="0" w:color="auto"/>
              <w:left w:val="single" w:sz="4" w:space="0" w:color="auto"/>
              <w:bottom w:val="single" w:sz="4" w:space="0" w:color="auto"/>
              <w:right w:val="single" w:sz="4" w:space="0" w:color="auto"/>
            </w:tcBorders>
          </w:tcPr>
          <w:p w14:paraId="0BBAE976" w14:textId="18E1637C" w:rsidR="00FB2131" w:rsidRPr="008B6009" w:rsidRDefault="006463FE">
            <w:pPr>
              <w:keepNext/>
              <w:keepLines/>
              <w:tabs>
                <w:tab w:val="left" w:pos="720"/>
              </w:tabs>
              <w:spacing w:after="0"/>
              <w:rPr>
                <w:rFonts w:ascii="Arial" w:eastAsia="SimSun" w:hAnsi="Arial" w:cs="Arial"/>
                <w:b/>
              </w:rPr>
            </w:pPr>
            <w:r w:rsidRPr="006463FE">
              <w:rPr>
                <w:rFonts w:ascii="Arial" w:eastAsia="SimSun" w:hAnsi="Arial" w:cs="Arial"/>
                <w:b/>
              </w:rPr>
              <w:t xml:space="preserve">Frequency and Incidence Rate </w:t>
            </w:r>
            <w:r w:rsidR="00EC1A65">
              <w:rPr>
                <w:rFonts w:ascii="Arial" w:eastAsia="SimSun" w:hAnsi="Arial" w:cs="Arial"/>
                <w:b/>
              </w:rPr>
              <w:t>[</w:t>
            </w:r>
            <w:r w:rsidRPr="006463FE">
              <w:rPr>
                <w:rFonts w:ascii="Arial" w:eastAsia="SimSun" w:hAnsi="Arial" w:cs="Arial"/>
                <w:b/>
              </w:rPr>
              <w:t xml:space="preserve">n, </w:t>
            </w:r>
            <w:r w:rsidR="00EC1A65">
              <w:rPr>
                <w:rFonts w:ascii="Arial" w:eastAsia="SimSun" w:hAnsi="Arial" w:cs="Arial"/>
                <w:b/>
              </w:rPr>
              <w:t>(</w:t>
            </w:r>
            <w:r w:rsidRPr="006463FE">
              <w:rPr>
                <w:rFonts w:ascii="Arial" w:eastAsia="SimSun" w:hAnsi="Arial" w:cs="Arial"/>
                <w:b/>
              </w:rPr>
              <w:t>%)</w:t>
            </w:r>
            <w:r w:rsidR="00EC1A65">
              <w:rPr>
                <w:rFonts w:ascii="Arial" w:eastAsia="SimSun" w:hAnsi="Arial" w:cs="Arial"/>
                <w:b/>
              </w:rPr>
              <w:t>]</w:t>
            </w:r>
          </w:p>
        </w:tc>
      </w:tr>
      <w:tr w:rsidR="00FB2131" w:rsidRPr="008B6009" w14:paraId="3273464E" w14:textId="519E108D" w:rsidTr="008B6246">
        <w:trPr>
          <w:trHeight w:val="322"/>
        </w:trPr>
        <w:tc>
          <w:tcPr>
            <w:tcW w:w="1994" w:type="dxa"/>
            <w:tcBorders>
              <w:top w:val="single" w:sz="4" w:space="0" w:color="auto"/>
              <w:left w:val="single" w:sz="4" w:space="0" w:color="auto"/>
              <w:right w:val="single" w:sz="4" w:space="0" w:color="auto"/>
            </w:tcBorders>
          </w:tcPr>
          <w:p w14:paraId="171FA667" w14:textId="55E4FAF1"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Infections and infestations</w:t>
            </w:r>
          </w:p>
        </w:tc>
        <w:tc>
          <w:tcPr>
            <w:tcW w:w="1404" w:type="dxa"/>
            <w:tcBorders>
              <w:top w:val="single" w:sz="4" w:space="0" w:color="auto"/>
              <w:left w:val="single" w:sz="4" w:space="0" w:color="auto"/>
              <w:right w:val="single" w:sz="4" w:space="0" w:color="auto"/>
            </w:tcBorders>
          </w:tcPr>
          <w:p w14:paraId="343F78B0" w14:textId="480303CC"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Very common</w:t>
            </w:r>
          </w:p>
        </w:tc>
        <w:tc>
          <w:tcPr>
            <w:tcW w:w="2551" w:type="dxa"/>
            <w:tcBorders>
              <w:top w:val="single" w:sz="4" w:space="0" w:color="auto"/>
              <w:left w:val="single" w:sz="4" w:space="0" w:color="auto"/>
              <w:right w:val="single" w:sz="4" w:space="0" w:color="auto"/>
            </w:tcBorders>
          </w:tcPr>
          <w:p w14:paraId="0205C56B" w14:textId="113E0706" w:rsidR="00FB2131" w:rsidRPr="008B6009" w:rsidRDefault="00FB2131">
            <w:pPr>
              <w:keepLines/>
              <w:tabs>
                <w:tab w:val="left" w:pos="720"/>
              </w:tabs>
              <w:spacing w:after="0"/>
              <w:rPr>
                <w:rFonts w:ascii="Arial" w:eastAsia="SimSun" w:hAnsi="Arial" w:cs="Arial"/>
                <w:bCs/>
              </w:rPr>
            </w:pPr>
            <w:proofErr w:type="spellStart"/>
            <w:r w:rsidRPr="008B6009">
              <w:rPr>
                <w:rFonts w:ascii="Arial" w:eastAsia="SimSun" w:hAnsi="Arial" w:cs="Arial"/>
              </w:rPr>
              <w:t>Infections</w:t>
            </w:r>
            <w:r w:rsidRPr="008B6009">
              <w:rPr>
                <w:rFonts w:ascii="Arial" w:eastAsia="SimSun" w:hAnsi="Arial" w:cs="Arial"/>
                <w:vertAlign w:val="superscript"/>
              </w:rPr>
              <w:t>a</w:t>
            </w:r>
            <w:proofErr w:type="spellEnd"/>
          </w:p>
        </w:tc>
        <w:tc>
          <w:tcPr>
            <w:tcW w:w="2915" w:type="dxa"/>
            <w:tcBorders>
              <w:top w:val="single" w:sz="4" w:space="0" w:color="auto"/>
              <w:left w:val="single" w:sz="4" w:space="0" w:color="auto"/>
              <w:right w:val="single" w:sz="4" w:space="0" w:color="auto"/>
            </w:tcBorders>
          </w:tcPr>
          <w:p w14:paraId="37EDD82D" w14:textId="1B3C289A" w:rsidR="00FB2131" w:rsidRPr="008B6009" w:rsidRDefault="00020926">
            <w:pPr>
              <w:keepLines/>
              <w:tabs>
                <w:tab w:val="left" w:pos="720"/>
              </w:tabs>
              <w:spacing w:after="0"/>
              <w:rPr>
                <w:rFonts w:ascii="Arial" w:eastAsia="SimSun" w:hAnsi="Arial" w:cs="Arial"/>
              </w:rPr>
            </w:pPr>
            <w:r w:rsidRPr="00020926">
              <w:rPr>
                <w:rFonts w:ascii="Arial" w:eastAsia="SimSun" w:hAnsi="Arial" w:cs="Arial"/>
              </w:rPr>
              <w:t>177 (39.5)</w:t>
            </w:r>
          </w:p>
        </w:tc>
      </w:tr>
      <w:tr w:rsidR="00FB2131" w:rsidRPr="008B6009" w14:paraId="33972B1B" w14:textId="13D18666" w:rsidTr="008B6246">
        <w:trPr>
          <w:trHeight w:val="166"/>
        </w:trPr>
        <w:tc>
          <w:tcPr>
            <w:tcW w:w="1994" w:type="dxa"/>
            <w:vMerge w:val="restart"/>
            <w:tcBorders>
              <w:top w:val="single" w:sz="4" w:space="0" w:color="auto"/>
              <w:left w:val="single" w:sz="4" w:space="0" w:color="auto"/>
              <w:right w:val="single" w:sz="4" w:space="0" w:color="auto"/>
            </w:tcBorders>
          </w:tcPr>
          <w:p w14:paraId="0B5CED2B" w14:textId="0E971B8C" w:rsidR="00FB2131" w:rsidRPr="008B6009" w:rsidRDefault="00FB2131">
            <w:pPr>
              <w:keepLines/>
              <w:tabs>
                <w:tab w:val="left" w:pos="720"/>
              </w:tabs>
              <w:spacing w:after="0"/>
              <w:rPr>
                <w:rFonts w:ascii="Arial" w:eastAsia="SimSun" w:hAnsi="Arial" w:cs="Arial"/>
              </w:rPr>
            </w:pPr>
            <w:r w:rsidRPr="008B6009">
              <w:rPr>
                <w:rFonts w:ascii="Arial" w:hAnsi="Arial" w:cs="Arial"/>
              </w:rPr>
              <w:t>Blood and lymphatic system disorders</w:t>
            </w:r>
          </w:p>
        </w:tc>
        <w:tc>
          <w:tcPr>
            <w:tcW w:w="1404" w:type="dxa"/>
            <w:tcBorders>
              <w:top w:val="single" w:sz="4" w:space="0" w:color="auto"/>
              <w:left w:val="single" w:sz="4" w:space="0" w:color="auto"/>
              <w:right w:val="single" w:sz="4" w:space="0" w:color="auto"/>
            </w:tcBorders>
          </w:tcPr>
          <w:p w14:paraId="0703320A" w14:textId="1CD19408"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Very common</w:t>
            </w:r>
          </w:p>
        </w:tc>
        <w:tc>
          <w:tcPr>
            <w:tcW w:w="2551" w:type="dxa"/>
            <w:tcBorders>
              <w:top w:val="single" w:sz="4" w:space="0" w:color="auto"/>
              <w:left w:val="single" w:sz="4" w:space="0" w:color="auto"/>
              <w:right w:val="single" w:sz="4" w:space="0" w:color="auto"/>
            </w:tcBorders>
          </w:tcPr>
          <w:p w14:paraId="20A34B94" w14:textId="40005FD0" w:rsidR="00FB2131" w:rsidRPr="008B6009" w:rsidRDefault="00FB2131">
            <w:pPr>
              <w:keepLines/>
              <w:tabs>
                <w:tab w:val="left" w:pos="720"/>
              </w:tabs>
              <w:spacing w:after="0"/>
              <w:rPr>
                <w:rFonts w:ascii="Arial" w:eastAsia="SimSun" w:hAnsi="Arial" w:cs="Arial"/>
                <w:bCs/>
              </w:rPr>
            </w:pPr>
            <w:proofErr w:type="spellStart"/>
            <w:r w:rsidRPr="008B6009">
              <w:rPr>
                <w:rFonts w:ascii="Arial" w:eastAsia="SimSun" w:hAnsi="Arial" w:cs="Arial"/>
              </w:rPr>
              <w:t>Thrombocytopenia</w:t>
            </w:r>
            <w:r w:rsidRPr="008B6009">
              <w:rPr>
                <w:rFonts w:ascii="Arial" w:eastAsia="SimSun" w:hAnsi="Arial" w:cs="Arial"/>
                <w:vertAlign w:val="superscript"/>
              </w:rPr>
              <w:t>b</w:t>
            </w:r>
            <w:proofErr w:type="spellEnd"/>
          </w:p>
        </w:tc>
        <w:tc>
          <w:tcPr>
            <w:tcW w:w="2915" w:type="dxa"/>
            <w:tcBorders>
              <w:top w:val="single" w:sz="4" w:space="0" w:color="auto"/>
              <w:left w:val="single" w:sz="4" w:space="0" w:color="auto"/>
              <w:right w:val="single" w:sz="4" w:space="0" w:color="auto"/>
            </w:tcBorders>
          </w:tcPr>
          <w:p w14:paraId="681DC055" w14:textId="01B7CBB1" w:rsidR="00FB2131" w:rsidRPr="008B6009" w:rsidRDefault="00020926">
            <w:pPr>
              <w:keepLines/>
              <w:tabs>
                <w:tab w:val="left" w:pos="720"/>
              </w:tabs>
              <w:spacing w:after="0"/>
              <w:rPr>
                <w:rFonts w:ascii="Arial" w:eastAsia="SimSun" w:hAnsi="Arial" w:cs="Arial"/>
              </w:rPr>
            </w:pPr>
            <w:r w:rsidRPr="00020926">
              <w:rPr>
                <w:rFonts w:ascii="Arial" w:eastAsia="SimSun" w:hAnsi="Arial" w:cs="Arial"/>
              </w:rPr>
              <w:t>94 (21.0)</w:t>
            </w:r>
          </w:p>
        </w:tc>
      </w:tr>
      <w:tr w:rsidR="00FB2131" w:rsidRPr="008B6009" w14:paraId="44888FD2" w14:textId="590CE96A" w:rsidTr="008B6246">
        <w:trPr>
          <w:trHeight w:val="165"/>
        </w:trPr>
        <w:tc>
          <w:tcPr>
            <w:tcW w:w="1994" w:type="dxa"/>
            <w:vMerge/>
            <w:tcBorders>
              <w:left w:val="single" w:sz="4" w:space="0" w:color="auto"/>
              <w:bottom w:val="single" w:sz="4" w:space="0" w:color="auto"/>
              <w:right w:val="single" w:sz="4" w:space="0" w:color="auto"/>
            </w:tcBorders>
          </w:tcPr>
          <w:p w14:paraId="495D8971" w14:textId="674ECB3B" w:rsidR="00FB2131" w:rsidRPr="008B6009" w:rsidRDefault="00FB2131">
            <w:pPr>
              <w:keepLines/>
              <w:tabs>
                <w:tab w:val="left" w:pos="720"/>
              </w:tabs>
              <w:spacing w:after="0"/>
              <w:rPr>
                <w:rFonts w:ascii="Arial" w:hAnsi="Arial" w:cs="Arial"/>
              </w:rPr>
            </w:pPr>
          </w:p>
        </w:tc>
        <w:tc>
          <w:tcPr>
            <w:tcW w:w="1404" w:type="dxa"/>
            <w:tcBorders>
              <w:left w:val="single" w:sz="4" w:space="0" w:color="auto"/>
              <w:bottom w:val="single" w:sz="4" w:space="0" w:color="auto"/>
              <w:right w:val="single" w:sz="4" w:space="0" w:color="auto"/>
            </w:tcBorders>
          </w:tcPr>
          <w:p w14:paraId="246E9DB4" w14:textId="69FAA814"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Common</w:t>
            </w:r>
          </w:p>
        </w:tc>
        <w:tc>
          <w:tcPr>
            <w:tcW w:w="2551" w:type="dxa"/>
            <w:tcBorders>
              <w:left w:val="single" w:sz="4" w:space="0" w:color="auto"/>
              <w:bottom w:val="single" w:sz="4" w:space="0" w:color="auto"/>
              <w:right w:val="single" w:sz="4" w:space="0" w:color="auto"/>
            </w:tcBorders>
          </w:tcPr>
          <w:p w14:paraId="42A4BA36" w14:textId="69F8E186"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Neutropenia</w:t>
            </w:r>
            <w:r w:rsidRPr="008B6009">
              <w:rPr>
                <w:rFonts w:ascii="Arial" w:eastAsia="SimSun" w:hAnsi="Arial" w:cs="Arial"/>
                <w:vertAlign w:val="superscript"/>
              </w:rPr>
              <w:t>c</w:t>
            </w:r>
          </w:p>
        </w:tc>
        <w:tc>
          <w:tcPr>
            <w:tcW w:w="2915" w:type="dxa"/>
            <w:tcBorders>
              <w:left w:val="single" w:sz="4" w:space="0" w:color="auto"/>
              <w:bottom w:val="single" w:sz="4" w:space="0" w:color="auto"/>
              <w:right w:val="single" w:sz="4" w:space="0" w:color="auto"/>
            </w:tcBorders>
          </w:tcPr>
          <w:p w14:paraId="5F635C2D" w14:textId="518418C9" w:rsidR="00FB2131" w:rsidRPr="008B6009" w:rsidRDefault="00020926">
            <w:pPr>
              <w:keepLines/>
              <w:tabs>
                <w:tab w:val="left" w:pos="720"/>
              </w:tabs>
              <w:spacing w:after="0"/>
              <w:rPr>
                <w:rFonts w:ascii="Arial" w:eastAsia="SimSun" w:hAnsi="Arial" w:cs="Arial"/>
              </w:rPr>
            </w:pPr>
            <w:r w:rsidRPr="00020926">
              <w:rPr>
                <w:rFonts w:ascii="Arial" w:eastAsia="SimSun" w:hAnsi="Arial" w:cs="Arial"/>
              </w:rPr>
              <w:t>26 (5.8)</w:t>
            </w:r>
          </w:p>
        </w:tc>
      </w:tr>
      <w:tr w:rsidR="00FB2131" w:rsidRPr="008B6009" w14:paraId="67768419" w14:textId="5BF50C59" w:rsidTr="008B6246">
        <w:trPr>
          <w:trHeight w:val="578"/>
        </w:trPr>
        <w:tc>
          <w:tcPr>
            <w:tcW w:w="1994" w:type="dxa"/>
            <w:tcBorders>
              <w:top w:val="single" w:sz="4" w:space="0" w:color="auto"/>
              <w:left w:val="single" w:sz="4" w:space="0" w:color="auto"/>
              <w:bottom w:val="single" w:sz="4" w:space="0" w:color="auto"/>
              <w:right w:val="single" w:sz="4" w:space="0" w:color="auto"/>
            </w:tcBorders>
          </w:tcPr>
          <w:p w14:paraId="46023BD6" w14:textId="436EA35A" w:rsidR="00FB2131" w:rsidRPr="008B6009" w:rsidRDefault="00FB2131">
            <w:pPr>
              <w:keepLines/>
              <w:tabs>
                <w:tab w:val="left" w:pos="720"/>
              </w:tabs>
              <w:spacing w:after="0"/>
              <w:rPr>
                <w:rFonts w:ascii="Arial" w:eastAsia="SimSun" w:hAnsi="Arial" w:cs="Arial"/>
              </w:rPr>
            </w:pPr>
            <w:r w:rsidRPr="008B6009">
              <w:rPr>
                <w:rFonts w:ascii="Arial" w:hAnsi="Arial" w:cs="Arial"/>
              </w:rPr>
              <w:t>Metabolism and nutrition disorders</w:t>
            </w:r>
          </w:p>
        </w:tc>
        <w:tc>
          <w:tcPr>
            <w:tcW w:w="1404" w:type="dxa"/>
            <w:tcBorders>
              <w:top w:val="single" w:sz="4" w:space="0" w:color="auto"/>
              <w:left w:val="single" w:sz="4" w:space="0" w:color="auto"/>
              <w:bottom w:val="single" w:sz="4" w:space="0" w:color="auto"/>
              <w:right w:val="single" w:sz="4" w:space="0" w:color="auto"/>
            </w:tcBorders>
          </w:tcPr>
          <w:p w14:paraId="5EBE64B2" w14:textId="18F0BADA"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Common</w:t>
            </w:r>
          </w:p>
        </w:tc>
        <w:tc>
          <w:tcPr>
            <w:tcW w:w="2551" w:type="dxa"/>
            <w:tcBorders>
              <w:top w:val="single" w:sz="4" w:space="0" w:color="auto"/>
              <w:left w:val="single" w:sz="4" w:space="0" w:color="auto"/>
              <w:bottom w:val="single" w:sz="4" w:space="0" w:color="auto"/>
              <w:right w:val="single" w:sz="4" w:space="0" w:color="auto"/>
            </w:tcBorders>
          </w:tcPr>
          <w:p w14:paraId="4929E657" w14:textId="4ABEAA19"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Vitamin B1 deficiency</w:t>
            </w:r>
          </w:p>
        </w:tc>
        <w:tc>
          <w:tcPr>
            <w:tcW w:w="2915" w:type="dxa"/>
            <w:tcBorders>
              <w:top w:val="single" w:sz="4" w:space="0" w:color="auto"/>
              <w:left w:val="single" w:sz="4" w:space="0" w:color="auto"/>
              <w:bottom w:val="single" w:sz="4" w:space="0" w:color="auto"/>
              <w:right w:val="single" w:sz="4" w:space="0" w:color="auto"/>
            </w:tcBorders>
          </w:tcPr>
          <w:p w14:paraId="62E7A1E6" w14:textId="2CF69E9A" w:rsidR="00FB2131" w:rsidRPr="008B6009" w:rsidRDefault="00020926">
            <w:pPr>
              <w:keepLines/>
              <w:tabs>
                <w:tab w:val="left" w:pos="720"/>
              </w:tabs>
              <w:spacing w:after="0"/>
              <w:rPr>
                <w:rFonts w:ascii="Arial" w:eastAsia="SimSun" w:hAnsi="Arial" w:cs="Arial"/>
              </w:rPr>
            </w:pPr>
            <w:r w:rsidRPr="00020926">
              <w:rPr>
                <w:rFonts w:ascii="Arial" w:eastAsia="SimSun" w:hAnsi="Arial" w:cs="Arial"/>
              </w:rPr>
              <w:t>14 (3.1)</w:t>
            </w:r>
          </w:p>
        </w:tc>
      </w:tr>
      <w:tr w:rsidR="00FB2131" w:rsidRPr="008B6009" w14:paraId="1A45C740" w14:textId="7EEC3355" w:rsidTr="008B6246">
        <w:trPr>
          <w:trHeight w:val="369"/>
        </w:trPr>
        <w:tc>
          <w:tcPr>
            <w:tcW w:w="1994" w:type="dxa"/>
            <w:vMerge w:val="restart"/>
            <w:tcBorders>
              <w:top w:val="single" w:sz="4" w:space="0" w:color="auto"/>
              <w:left w:val="single" w:sz="4" w:space="0" w:color="auto"/>
              <w:right w:val="single" w:sz="4" w:space="0" w:color="auto"/>
            </w:tcBorders>
          </w:tcPr>
          <w:p w14:paraId="48B6B3E2" w14:textId="44FD6096"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Nervous system disorders</w:t>
            </w:r>
          </w:p>
        </w:tc>
        <w:tc>
          <w:tcPr>
            <w:tcW w:w="1404" w:type="dxa"/>
            <w:tcBorders>
              <w:top w:val="single" w:sz="4" w:space="0" w:color="auto"/>
              <w:left w:val="single" w:sz="4" w:space="0" w:color="auto"/>
              <w:bottom w:val="single" w:sz="4" w:space="0" w:color="auto"/>
              <w:right w:val="single" w:sz="4" w:space="0" w:color="auto"/>
            </w:tcBorders>
          </w:tcPr>
          <w:p w14:paraId="241FC829" w14:textId="0E7706BB"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Very common</w:t>
            </w:r>
          </w:p>
        </w:tc>
        <w:tc>
          <w:tcPr>
            <w:tcW w:w="2551" w:type="dxa"/>
            <w:tcBorders>
              <w:top w:val="single" w:sz="4" w:space="0" w:color="auto"/>
              <w:left w:val="single" w:sz="4" w:space="0" w:color="auto"/>
              <w:bottom w:val="single" w:sz="4" w:space="0" w:color="auto"/>
              <w:right w:val="single" w:sz="4" w:space="0" w:color="auto"/>
            </w:tcBorders>
          </w:tcPr>
          <w:p w14:paraId="724E8550" w14:textId="37C9C9A1"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Dizziness</w:t>
            </w:r>
          </w:p>
          <w:p w14:paraId="495D45A6" w14:textId="32330E4B"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Headache</w:t>
            </w:r>
          </w:p>
        </w:tc>
        <w:tc>
          <w:tcPr>
            <w:tcW w:w="2915" w:type="dxa"/>
            <w:tcBorders>
              <w:top w:val="single" w:sz="4" w:space="0" w:color="auto"/>
              <w:left w:val="single" w:sz="4" w:space="0" w:color="auto"/>
              <w:bottom w:val="single" w:sz="4" w:space="0" w:color="auto"/>
              <w:right w:val="single" w:sz="4" w:space="0" w:color="auto"/>
            </w:tcBorders>
          </w:tcPr>
          <w:p w14:paraId="0759FBCF" w14:textId="77777777" w:rsidR="00B45021" w:rsidRDefault="00B45021">
            <w:pPr>
              <w:keepLines/>
              <w:tabs>
                <w:tab w:val="left" w:pos="720"/>
              </w:tabs>
              <w:spacing w:after="0"/>
              <w:rPr>
                <w:rFonts w:ascii="Arial" w:eastAsia="SimSun" w:hAnsi="Arial" w:cs="Arial"/>
              </w:rPr>
            </w:pPr>
            <w:r w:rsidRPr="00B45021">
              <w:rPr>
                <w:rFonts w:ascii="Arial" w:eastAsia="SimSun" w:hAnsi="Arial" w:cs="Arial"/>
              </w:rPr>
              <w:t>58 (12.9)</w:t>
            </w:r>
          </w:p>
          <w:p w14:paraId="467A4B80" w14:textId="78DD11F8" w:rsidR="009D6887" w:rsidRPr="008B6009" w:rsidRDefault="009D6887">
            <w:pPr>
              <w:keepLines/>
              <w:tabs>
                <w:tab w:val="left" w:pos="720"/>
              </w:tabs>
              <w:spacing w:after="0"/>
              <w:rPr>
                <w:rFonts w:ascii="Arial" w:eastAsia="SimSun" w:hAnsi="Arial" w:cs="Arial"/>
              </w:rPr>
            </w:pPr>
            <w:r w:rsidRPr="00B45021">
              <w:rPr>
                <w:rFonts w:ascii="Arial" w:eastAsia="SimSun" w:hAnsi="Arial" w:cs="Arial"/>
              </w:rPr>
              <w:t>60 (13.4)</w:t>
            </w:r>
          </w:p>
        </w:tc>
      </w:tr>
      <w:tr w:rsidR="00FB2131" w:rsidRPr="008B6009" w14:paraId="3624E343" w14:textId="781FCFDD" w:rsidTr="008B6246">
        <w:trPr>
          <w:trHeight w:val="369"/>
        </w:trPr>
        <w:tc>
          <w:tcPr>
            <w:tcW w:w="1994" w:type="dxa"/>
            <w:vMerge/>
            <w:tcBorders>
              <w:left w:val="single" w:sz="4" w:space="0" w:color="auto"/>
              <w:bottom w:val="single" w:sz="4" w:space="0" w:color="auto"/>
              <w:right w:val="single" w:sz="4" w:space="0" w:color="auto"/>
            </w:tcBorders>
          </w:tcPr>
          <w:p w14:paraId="01F9A2D8" w14:textId="11285361" w:rsidR="00FB2131" w:rsidRPr="008B6009" w:rsidRDefault="00FB2131">
            <w:pPr>
              <w:keepLines/>
              <w:tabs>
                <w:tab w:val="left" w:pos="720"/>
              </w:tabs>
              <w:spacing w:after="0"/>
              <w:rPr>
                <w:rFonts w:ascii="Arial" w:eastAsia="SimSun" w:hAnsi="Arial" w:cs="Arial"/>
              </w:rPr>
            </w:pPr>
          </w:p>
        </w:tc>
        <w:tc>
          <w:tcPr>
            <w:tcW w:w="1404" w:type="dxa"/>
            <w:tcBorders>
              <w:top w:val="single" w:sz="4" w:space="0" w:color="auto"/>
              <w:left w:val="single" w:sz="4" w:space="0" w:color="auto"/>
              <w:bottom w:val="single" w:sz="4" w:space="0" w:color="auto"/>
              <w:right w:val="single" w:sz="4" w:space="0" w:color="auto"/>
            </w:tcBorders>
          </w:tcPr>
          <w:p w14:paraId="60E8DB9C" w14:textId="28F3C004"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Common</w:t>
            </w:r>
          </w:p>
        </w:tc>
        <w:tc>
          <w:tcPr>
            <w:tcW w:w="2551" w:type="dxa"/>
            <w:tcBorders>
              <w:top w:val="single" w:sz="4" w:space="0" w:color="auto"/>
              <w:left w:val="single" w:sz="4" w:space="0" w:color="auto"/>
              <w:bottom w:val="single" w:sz="4" w:space="0" w:color="auto"/>
              <w:right w:val="single" w:sz="4" w:space="0" w:color="auto"/>
            </w:tcBorders>
          </w:tcPr>
          <w:p w14:paraId="603DD0C8" w14:textId="4A3FD524"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Syncope</w:t>
            </w:r>
          </w:p>
          <w:p w14:paraId="3E7F62B8" w14:textId="49006824"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 xml:space="preserve">Peripheral </w:t>
            </w:r>
            <w:proofErr w:type="spellStart"/>
            <w:r w:rsidRPr="008B6009">
              <w:rPr>
                <w:rFonts w:ascii="Arial" w:eastAsia="SimSun" w:hAnsi="Arial" w:cs="Arial"/>
              </w:rPr>
              <w:t>neuropathy</w:t>
            </w:r>
            <w:r w:rsidRPr="008B6009">
              <w:rPr>
                <w:rFonts w:ascii="Arial" w:eastAsia="SimSun" w:hAnsi="Arial" w:cs="Arial"/>
                <w:vertAlign w:val="superscript"/>
              </w:rPr>
              <w:t>d</w:t>
            </w:r>
            <w:proofErr w:type="spellEnd"/>
          </w:p>
          <w:p w14:paraId="37FB136C" w14:textId="5E855B5E" w:rsidR="00FB2131" w:rsidRPr="008B6009" w:rsidRDefault="00FB2131">
            <w:pPr>
              <w:keepLines/>
              <w:tabs>
                <w:tab w:val="left" w:pos="720"/>
              </w:tabs>
              <w:spacing w:after="0"/>
              <w:rPr>
                <w:rFonts w:ascii="Arial" w:eastAsia="SimSun" w:hAnsi="Arial" w:cs="Arial"/>
                <w:bCs/>
              </w:rPr>
            </w:pPr>
            <w:proofErr w:type="spellStart"/>
            <w:r w:rsidRPr="008B6009">
              <w:rPr>
                <w:rFonts w:ascii="Arial" w:eastAsia="SimSun" w:hAnsi="Arial" w:cs="Arial"/>
              </w:rPr>
              <w:t>Paresthesia</w:t>
            </w:r>
            <w:proofErr w:type="spellEnd"/>
          </w:p>
        </w:tc>
        <w:tc>
          <w:tcPr>
            <w:tcW w:w="2915" w:type="dxa"/>
            <w:tcBorders>
              <w:top w:val="single" w:sz="4" w:space="0" w:color="auto"/>
              <w:left w:val="single" w:sz="4" w:space="0" w:color="auto"/>
              <w:bottom w:val="single" w:sz="4" w:space="0" w:color="auto"/>
              <w:right w:val="single" w:sz="4" w:space="0" w:color="auto"/>
            </w:tcBorders>
          </w:tcPr>
          <w:p w14:paraId="53F7CA0C" w14:textId="77777777" w:rsidR="00FB2131" w:rsidRDefault="001B5CB2">
            <w:pPr>
              <w:keepLines/>
              <w:tabs>
                <w:tab w:val="left" w:pos="720"/>
              </w:tabs>
              <w:spacing w:after="0"/>
              <w:rPr>
                <w:rFonts w:ascii="Arial" w:eastAsia="SimSun" w:hAnsi="Arial" w:cs="Arial"/>
              </w:rPr>
            </w:pPr>
            <w:r w:rsidRPr="001B5CB2">
              <w:rPr>
                <w:rFonts w:ascii="Arial" w:eastAsia="SimSun" w:hAnsi="Arial" w:cs="Arial"/>
              </w:rPr>
              <w:t>8 (1.8)</w:t>
            </w:r>
          </w:p>
          <w:p w14:paraId="2D5ACA44" w14:textId="77777777" w:rsidR="001B5CB2" w:rsidRDefault="001B5CB2">
            <w:pPr>
              <w:keepLines/>
              <w:tabs>
                <w:tab w:val="left" w:pos="720"/>
              </w:tabs>
              <w:spacing w:after="0"/>
              <w:rPr>
                <w:rFonts w:ascii="Arial" w:eastAsia="SimSun" w:hAnsi="Arial" w:cs="Arial"/>
              </w:rPr>
            </w:pPr>
            <w:r w:rsidRPr="001B5CB2">
              <w:rPr>
                <w:rFonts w:ascii="Arial" w:eastAsia="SimSun" w:hAnsi="Arial" w:cs="Arial"/>
              </w:rPr>
              <w:t>39 (8.7)</w:t>
            </w:r>
          </w:p>
          <w:p w14:paraId="777640C7" w14:textId="4252DFFB" w:rsidR="001B5CB2" w:rsidRPr="008B6009" w:rsidRDefault="001B5CB2">
            <w:pPr>
              <w:keepLines/>
              <w:tabs>
                <w:tab w:val="left" w:pos="720"/>
              </w:tabs>
              <w:spacing w:after="0"/>
              <w:rPr>
                <w:rFonts w:ascii="Arial" w:eastAsia="SimSun" w:hAnsi="Arial" w:cs="Arial"/>
              </w:rPr>
            </w:pPr>
            <w:r w:rsidRPr="001B5CB2">
              <w:rPr>
                <w:rFonts w:ascii="Arial" w:eastAsia="SimSun" w:hAnsi="Arial" w:cs="Arial"/>
              </w:rPr>
              <w:t>31 (6.9)</w:t>
            </w:r>
          </w:p>
        </w:tc>
      </w:tr>
      <w:tr w:rsidR="00FB2131" w:rsidRPr="008B6009" w14:paraId="17841730" w14:textId="41B67DB2" w:rsidTr="008B6246">
        <w:trPr>
          <w:trHeight w:val="289"/>
        </w:trPr>
        <w:tc>
          <w:tcPr>
            <w:tcW w:w="1994" w:type="dxa"/>
            <w:tcBorders>
              <w:top w:val="single" w:sz="4" w:space="0" w:color="auto"/>
              <w:left w:val="single" w:sz="4" w:space="0" w:color="auto"/>
              <w:bottom w:val="single" w:sz="4" w:space="0" w:color="auto"/>
              <w:right w:val="single" w:sz="4" w:space="0" w:color="auto"/>
            </w:tcBorders>
          </w:tcPr>
          <w:p w14:paraId="402F50B0" w14:textId="089E8A86" w:rsidR="00FB2131" w:rsidRPr="008B6009" w:rsidRDefault="00FB2131">
            <w:pPr>
              <w:keepLines/>
              <w:tabs>
                <w:tab w:val="left" w:pos="720"/>
              </w:tabs>
              <w:spacing w:after="0"/>
              <w:rPr>
                <w:rFonts w:ascii="Arial" w:hAnsi="Arial" w:cs="Arial"/>
              </w:rPr>
            </w:pPr>
            <w:r w:rsidRPr="008B6009">
              <w:rPr>
                <w:rFonts w:ascii="Arial" w:hAnsi="Arial" w:cs="Arial"/>
              </w:rPr>
              <w:t>Eye disorders</w:t>
            </w:r>
          </w:p>
        </w:tc>
        <w:tc>
          <w:tcPr>
            <w:tcW w:w="1404" w:type="dxa"/>
            <w:tcBorders>
              <w:top w:val="single" w:sz="4" w:space="0" w:color="auto"/>
              <w:left w:val="single" w:sz="4" w:space="0" w:color="auto"/>
              <w:bottom w:val="single" w:sz="4" w:space="0" w:color="auto"/>
              <w:right w:val="single" w:sz="4" w:space="0" w:color="auto"/>
            </w:tcBorders>
          </w:tcPr>
          <w:p w14:paraId="7237577C" w14:textId="184A4640"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Common</w:t>
            </w:r>
          </w:p>
        </w:tc>
        <w:tc>
          <w:tcPr>
            <w:tcW w:w="2551" w:type="dxa"/>
            <w:tcBorders>
              <w:top w:val="single" w:sz="4" w:space="0" w:color="auto"/>
              <w:left w:val="single" w:sz="4" w:space="0" w:color="auto"/>
              <w:bottom w:val="single" w:sz="4" w:space="0" w:color="auto"/>
              <w:right w:val="single" w:sz="4" w:space="0" w:color="auto"/>
            </w:tcBorders>
          </w:tcPr>
          <w:p w14:paraId="5024314C" w14:textId="66E87EF3"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Blurred vision</w:t>
            </w:r>
          </w:p>
        </w:tc>
        <w:tc>
          <w:tcPr>
            <w:tcW w:w="2915" w:type="dxa"/>
            <w:tcBorders>
              <w:top w:val="single" w:sz="4" w:space="0" w:color="auto"/>
              <w:left w:val="single" w:sz="4" w:space="0" w:color="auto"/>
              <w:bottom w:val="single" w:sz="4" w:space="0" w:color="auto"/>
              <w:right w:val="single" w:sz="4" w:space="0" w:color="auto"/>
            </w:tcBorders>
          </w:tcPr>
          <w:p w14:paraId="1100EF5B" w14:textId="0889C04B" w:rsidR="00FB2131" w:rsidRPr="008B6009" w:rsidRDefault="00971D28">
            <w:pPr>
              <w:keepLines/>
              <w:tabs>
                <w:tab w:val="left" w:pos="720"/>
              </w:tabs>
              <w:spacing w:after="0"/>
              <w:rPr>
                <w:rFonts w:ascii="Arial" w:eastAsia="SimSun" w:hAnsi="Arial" w:cs="Arial"/>
              </w:rPr>
            </w:pPr>
            <w:r w:rsidRPr="00971D28">
              <w:rPr>
                <w:rFonts w:ascii="Arial" w:eastAsia="SimSun" w:hAnsi="Arial" w:cs="Arial"/>
              </w:rPr>
              <w:t>12 (2.7)</w:t>
            </w:r>
          </w:p>
        </w:tc>
      </w:tr>
      <w:tr w:rsidR="00FB2131" w:rsidRPr="008B6009" w14:paraId="2A042051" w14:textId="530910CA" w:rsidTr="008B6246">
        <w:trPr>
          <w:trHeight w:val="588"/>
        </w:trPr>
        <w:tc>
          <w:tcPr>
            <w:tcW w:w="1994" w:type="dxa"/>
            <w:tcBorders>
              <w:top w:val="single" w:sz="4" w:space="0" w:color="auto"/>
              <w:left w:val="single" w:sz="4" w:space="0" w:color="auto"/>
              <w:bottom w:val="single" w:sz="4" w:space="0" w:color="auto"/>
              <w:right w:val="single" w:sz="4" w:space="0" w:color="auto"/>
            </w:tcBorders>
          </w:tcPr>
          <w:p w14:paraId="417A5977" w14:textId="5BBC781A" w:rsidR="00FB2131" w:rsidRPr="008B6009" w:rsidRDefault="00FB2131">
            <w:pPr>
              <w:keepLines/>
              <w:tabs>
                <w:tab w:val="left" w:pos="720"/>
              </w:tabs>
              <w:spacing w:after="0"/>
              <w:rPr>
                <w:rFonts w:ascii="Arial" w:eastAsia="SimSun" w:hAnsi="Arial" w:cs="Arial"/>
              </w:rPr>
            </w:pPr>
            <w:r w:rsidRPr="008B6009">
              <w:rPr>
                <w:rFonts w:ascii="Arial" w:hAnsi="Arial" w:cs="Arial"/>
              </w:rPr>
              <w:t>Ear and labyrinth disorders</w:t>
            </w:r>
          </w:p>
        </w:tc>
        <w:tc>
          <w:tcPr>
            <w:tcW w:w="1404" w:type="dxa"/>
            <w:tcBorders>
              <w:top w:val="single" w:sz="4" w:space="0" w:color="auto"/>
              <w:left w:val="single" w:sz="4" w:space="0" w:color="auto"/>
              <w:bottom w:val="single" w:sz="4" w:space="0" w:color="auto"/>
              <w:right w:val="single" w:sz="4" w:space="0" w:color="auto"/>
            </w:tcBorders>
          </w:tcPr>
          <w:p w14:paraId="0DC6F995" w14:textId="22556375"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Common</w:t>
            </w:r>
          </w:p>
        </w:tc>
        <w:tc>
          <w:tcPr>
            <w:tcW w:w="2551" w:type="dxa"/>
            <w:tcBorders>
              <w:top w:val="single" w:sz="4" w:space="0" w:color="auto"/>
              <w:left w:val="single" w:sz="4" w:space="0" w:color="auto"/>
              <w:bottom w:val="single" w:sz="4" w:space="0" w:color="auto"/>
              <w:right w:val="single" w:sz="4" w:space="0" w:color="auto"/>
            </w:tcBorders>
          </w:tcPr>
          <w:p w14:paraId="25618A52" w14:textId="51955060"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Vertigo</w:t>
            </w:r>
          </w:p>
        </w:tc>
        <w:tc>
          <w:tcPr>
            <w:tcW w:w="2915" w:type="dxa"/>
            <w:tcBorders>
              <w:top w:val="single" w:sz="4" w:space="0" w:color="auto"/>
              <w:left w:val="single" w:sz="4" w:space="0" w:color="auto"/>
              <w:bottom w:val="single" w:sz="4" w:space="0" w:color="auto"/>
              <w:right w:val="single" w:sz="4" w:space="0" w:color="auto"/>
            </w:tcBorders>
          </w:tcPr>
          <w:p w14:paraId="1DD5EF26" w14:textId="42E9B2B1" w:rsidR="00FB2131" w:rsidRPr="008B6009" w:rsidRDefault="00971D28">
            <w:pPr>
              <w:keepLines/>
              <w:tabs>
                <w:tab w:val="left" w:pos="720"/>
              </w:tabs>
              <w:spacing w:after="0"/>
              <w:rPr>
                <w:rFonts w:ascii="Arial" w:eastAsia="SimSun" w:hAnsi="Arial" w:cs="Arial"/>
              </w:rPr>
            </w:pPr>
            <w:r w:rsidRPr="00971D28">
              <w:rPr>
                <w:rFonts w:ascii="Arial" w:eastAsia="SimSun" w:hAnsi="Arial" w:cs="Arial"/>
              </w:rPr>
              <w:t>10 (2.2)</w:t>
            </w:r>
          </w:p>
        </w:tc>
      </w:tr>
      <w:tr w:rsidR="00FB2131" w:rsidRPr="008B6009" w14:paraId="4C642840" w14:textId="62EE1F82" w:rsidTr="008B6246">
        <w:trPr>
          <w:trHeight w:val="868"/>
        </w:trPr>
        <w:tc>
          <w:tcPr>
            <w:tcW w:w="1994" w:type="dxa"/>
            <w:tcBorders>
              <w:top w:val="single" w:sz="4" w:space="0" w:color="auto"/>
              <w:left w:val="single" w:sz="4" w:space="0" w:color="auto"/>
              <w:bottom w:val="single" w:sz="4" w:space="0" w:color="auto"/>
              <w:right w:val="single" w:sz="4" w:space="0" w:color="auto"/>
            </w:tcBorders>
          </w:tcPr>
          <w:p w14:paraId="7B588390" w14:textId="556D3D1C" w:rsidR="00FB2131" w:rsidRPr="008B6009" w:rsidRDefault="00FB2131">
            <w:pPr>
              <w:keepLines/>
              <w:tabs>
                <w:tab w:val="left" w:pos="720"/>
              </w:tabs>
              <w:spacing w:after="0"/>
              <w:rPr>
                <w:rFonts w:ascii="Arial" w:eastAsia="SimSun" w:hAnsi="Arial" w:cs="Arial"/>
                <w:bCs/>
              </w:rPr>
            </w:pPr>
            <w:r w:rsidRPr="008B6009">
              <w:rPr>
                <w:rFonts w:ascii="Arial" w:hAnsi="Arial" w:cs="Arial"/>
              </w:rPr>
              <w:t>Vascular disorders</w:t>
            </w:r>
          </w:p>
        </w:tc>
        <w:tc>
          <w:tcPr>
            <w:tcW w:w="1404" w:type="dxa"/>
            <w:tcBorders>
              <w:top w:val="single" w:sz="4" w:space="0" w:color="auto"/>
              <w:left w:val="single" w:sz="4" w:space="0" w:color="auto"/>
              <w:bottom w:val="single" w:sz="4" w:space="0" w:color="auto"/>
              <w:right w:val="single" w:sz="4" w:space="0" w:color="auto"/>
            </w:tcBorders>
          </w:tcPr>
          <w:p w14:paraId="0DBC17BD" w14:textId="36D6E31A"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Common</w:t>
            </w:r>
          </w:p>
        </w:tc>
        <w:tc>
          <w:tcPr>
            <w:tcW w:w="2551" w:type="dxa"/>
            <w:tcBorders>
              <w:top w:val="single" w:sz="4" w:space="0" w:color="auto"/>
              <w:left w:val="single" w:sz="4" w:space="0" w:color="auto"/>
              <w:bottom w:val="single" w:sz="4" w:space="0" w:color="auto"/>
              <w:right w:val="single" w:sz="4" w:space="0" w:color="auto"/>
            </w:tcBorders>
          </w:tcPr>
          <w:p w14:paraId="03E75AD9" w14:textId="7EFB92FF"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Hypotension</w:t>
            </w:r>
          </w:p>
          <w:p w14:paraId="5D94D840" w14:textId="734947C8"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Haematoma</w:t>
            </w:r>
          </w:p>
          <w:p w14:paraId="3238E98A" w14:textId="6E65E515"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Flushing</w:t>
            </w:r>
          </w:p>
        </w:tc>
        <w:tc>
          <w:tcPr>
            <w:tcW w:w="2915" w:type="dxa"/>
            <w:tcBorders>
              <w:top w:val="single" w:sz="4" w:space="0" w:color="auto"/>
              <w:left w:val="single" w:sz="4" w:space="0" w:color="auto"/>
              <w:bottom w:val="single" w:sz="4" w:space="0" w:color="auto"/>
              <w:right w:val="single" w:sz="4" w:space="0" w:color="auto"/>
            </w:tcBorders>
          </w:tcPr>
          <w:p w14:paraId="27781153" w14:textId="2C3A520F" w:rsidR="009C5668" w:rsidRDefault="00971D28">
            <w:pPr>
              <w:keepLines/>
              <w:tabs>
                <w:tab w:val="left" w:pos="720"/>
              </w:tabs>
              <w:spacing w:after="0"/>
              <w:rPr>
                <w:rFonts w:ascii="Arial" w:eastAsia="SimSun" w:hAnsi="Arial" w:cs="Arial"/>
              </w:rPr>
            </w:pPr>
            <w:r w:rsidRPr="00971D28">
              <w:rPr>
                <w:rFonts w:ascii="Arial" w:eastAsia="SimSun" w:hAnsi="Arial" w:cs="Arial"/>
              </w:rPr>
              <w:t>27 (6)</w:t>
            </w:r>
          </w:p>
          <w:p w14:paraId="30754C54" w14:textId="77777777" w:rsidR="009C5668" w:rsidRDefault="009C5668">
            <w:pPr>
              <w:keepLines/>
              <w:tabs>
                <w:tab w:val="left" w:pos="720"/>
              </w:tabs>
              <w:spacing w:after="0"/>
              <w:rPr>
                <w:rFonts w:ascii="Arial" w:eastAsia="SimSun" w:hAnsi="Arial" w:cs="Arial"/>
              </w:rPr>
            </w:pPr>
            <w:r w:rsidRPr="009C5668">
              <w:rPr>
                <w:rFonts w:ascii="Arial" w:eastAsia="SimSun" w:hAnsi="Arial" w:cs="Arial"/>
              </w:rPr>
              <w:t>10 (2.2)</w:t>
            </w:r>
          </w:p>
          <w:p w14:paraId="643BB3DD" w14:textId="3043F2D7" w:rsidR="009D6887" w:rsidRPr="008B6009" w:rsidRDefault="009D6887">
            <w:pPr>
              <w:keepLines/>
              <w:tabs>
                <w:tab w:val="left" w:pos="720"/>
              </w:tabs>
              <w:spacing w:after="0"/>
              <w:rPr>
                <w:rFonts w:ascii="Arial" w:eastAsia="SimSun" w:hAnsi="Arial" w:cs="Arial"/>
              </w:rPr>
            </w:pPr>
            <w:r w:rsidRPr="009D6887">
              <w:rPr>
                <w:rFonts w:ascii="Arial" w:eastAsia="SimSun" w:hAnsi="Arial" w:cs="Arial"/>
              </w:rPr>
              <w:t>15 (3.3)</w:t>
            </w:r>
          </w:p>
        </w:tc>
      </w:tr>
      <w:tr w:rsidR="00FB2131" w:rsidRPr="008B6009" w14:paraId="1E4034BD" w14:textId="43BFB729" w:rsidTr="008B6246">
        <w:trPr>
          <w:trHeight w:val="578"/>
        </w:trPr>
        <w:tc>
          <w:tcPr>
            <w:tcW w:w="1994" w:type="dxa"/>
            <w:tcBorders>
              <w:top w:val="single" w:sz="4" w:space="0" w:color="auto"/>
              <w:left w:val="single" w:sz="4" w:space="0" w:color="auto"/>
              <w:bottom w:val="single" w:sz="4" w:space="0" w:color="auto"/>
              <w:right w:val="single" w:sz="4" w:space="0" w:color="auto"/>
            </w:tcBorders>
          </w:tcPr>
          <w:p w14:paraId="39690647" w14:textId="4F16B2C4" w:rsidR="00FB2131" w:rsidRPr="008B6009" w:rsidRDefault="00FB2131">
            <w:pPr>
              <w:keepLines/>
              <w:tabs>
                <w:tab w:val="left" w:pos="720"/>
              </w:tabs>
              <w:spacing w:after="0"/>
              <w:rPr>
                <w:rFonts w:ascii="Arial" w:eastAsia="SimSun" w:hAnsi="Arial" w:cs="Arial"/>
              </w:rPr>
            </w:pPr>
            <w:r w:rsidRPr="008B6009">
              <w:rPr>
                <w:rFonts w:ascii="Arial" w:hAnsi="Arial" w:cs="Arial"/>
              </w:rPr>
              <w:t>Respiratory, thoracic and mediastinal disorders</w:t>
            </w:r>
          </w:p>
        </w:tc>
        <w:tc>
          <w:tcPr>
            <w:tcW w:w="1404" w:type="dxa"/>
            <w:tcBorders>
              <w:top w:val="single" w:sz="4" w:space="0" w:color="auto"/>
              <w:left w:val="single" w:sz="4" w:space="0" w:color="auto"/>
              <w:bottom w:val="single" w:sz="4" w:space="0" w:color="auto"/>
              <w:right w:val="single" w:sz="4" w:space="0" w:color="auto"/>
            </w:tcBorders>
          </w:tcPr>
          <w:p w14:paraId="0D22A245" w14:textId="670E238B"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Very common</w:t>
            </w:r>
          </w:p>
        </w:tc>
        <w:tc>
          <w:tcPr>
            <w:tcW w:w="2551" w:type="dxa"/>
            <w:tcBorders>
              <w:top w:val="single" w:sz="4" w:space="0" w:color="auto"/>
              <w:left w:val="single" w:sz="4" w:space="0" w:color="auto"/>
              <w:bottom w:val="single" w:sz="4" w:space="0" w:color="auto"/>
              <w:right w:val="single" w:sz="4" w:space="0" w:color="auto"/>
            </w:tcBorders>
          </w:tcPr>
          <w:p w14:paraId="04B7E7B1" w14:textId="716A3440"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Cough</w:t>
            </w:r>
          </w:p>
        </w:tc>
        <w:tc>
          <w:tcPr>
            <w:tcW w:w="2915" w:type="dxa"/>
            <w:tcBorders>
              <w:top w:val="single" w:sz="4" w:space="0" w:color="auto"/>
              <w:left w:val="single" w:sz="4" w:space="0" w:color="auto"/>
              <w:bottom w:val="single" w:sz="4" w:space="0" w:color="auto"/>
              <w:right w:val="single" w:sz="4" w:space="0" w:color="auto"/>
            </w:tcBorders>
          </w:tcPr>
          <w:p w14:paraId="2CE2697A" w14:textId="288D1E25" w:rsidR="00FB2131" w:rsidRPr="008B6009" w:rsidRDefault="00E753BF">
            <w:pPr>
              <w:keepLines/>
              <w:tabs>
                <w:tab w:val="left" w:pos="720"/>
              </w:tabs>
              <w:spacing w:after="0"/>
              <w:rPr>
                <w:rFonts w:ascii="Arial" w:eastAsia="SimSun" w:hAnsi="Arial" w:cs="Arial"/>
              </w:rPr>
            </w:pPr>
            <w:r w:rsidRPr="00E753BF">
              <w:rPr>
                <w:rFonts w:ascii="Arial" w:eastAsia="SimSun" w:hAnsi="Arial" w:cs="Arial"/>
              </w:rPr>
              <w:t>45 (10)</w:t>
            </w:r>
          </w:p>
        </w:tc>
      </w:tr>
      <w:tr w:rsidR="00FB2131" w:rsidRPr="008B6009" w14:paraId="559F3094" w14:textId="7FF88045" w:rsidTr="008B6246">
        <w:trPr>
          <w:trHeight w:val="868"/>
        </w:trPr>
        <w:tc>
          <w:tcPr>
            <w:tcW w:w="1994" w:type="dxa"/>
            <w:vMerge w:val="restart"/>
            <w:tcBorders>
              <w:top w:val="single" w:sz="4" w:space="0" w:color="auto"/>
              <w:left w:val="single" w:sz="4" w:space="0" w:color="auto"/>
              <w:right w:val="single" w:sz="4" w:space="0" w:color="auto"/>
            </w:tcBorders>
          </w:tcPr>
          <w:p w14:paraId="2033FC6C" w14:textId="5EC89179"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lastRenderedPageBreak/>
              <w:t>Gastrointestinal disorders</w:t>
            </w:r>
          </w:p>
        </w:tc>
        <w:tc>
          <w:tcPr>
            <w:tcW w:w="1404" w:type="dxa"/>
            <w:tcBorders>
              <w:top w:val="single" w:sz="4" w:space="0" w:color="auto"/>
              <w:left w:val="single" w:sz="4" w:space="0" w:color="auto"/>
              <w:bottom w:val="single" w:sz="4" w:space="0" w:color="auto"/>
              <w:right w:val="single" w:sz="4" w:space="0" w:color="auto"/>
            </w:tcBorders>
          </w:tcPr>
          <w:p w14:paraId="056772D6" w14:textId="3DD35929"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Very common</w:t>
            </w:r>
          </w:p>
        </w:tc>
        <w:tc>
          <w:tcPr>
            <w:tcW w:w="2551" w:type="dxa"/>
            <w:tcBorders>
              <w:top w:val="single" w:sz="4" w:space="0" w:color="auto"/>
              <w:left w:val="single" w:sz="4" w:space="0" w:color="auto"/>
              <w:bottom w:val="single" w:sz="4" w:space="0" w:color="auto"/>
              <w:right w:val="single" w:sz="4" w:space="0" w:color="auto"/>
            </w:tcBorders>
          </w:tcPr>
          <w:p w14:paraId="6CAD26AC" w14:textId="3AA604C9"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Diarrhoea</w:t>
            </w:r>
          </w:p>
          <w:p w14:paraId="49B197C2" w14:textId="7088AC64"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Abdominal pain</w:t>
            </w:r>
          </w:p>
          <w:p w14:paraId="3D17D04F" w14:textId="2D7B3F25"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Nausea</w:t>
            </w:r>
          </w:p>
        </w:tc>
        <w:tc>
          <w:tcPr>
            <w:tcW w:w="2915" w:type="dxa"/>
            <w:tcBorders>
              <w:top w:val="single" w:sz="4" w:space="0" w:color="auto"/>
              <w:left w:val="single" w:sz="4" w:space="0" w:color="auto"/>
              <w:bottom w:val="single" w:sz="4" w:space="0" w:color="auto"/>
              <w:right w:val="single" w:sz="4" w:space="0" w:color="auto"/>
            </w:tcBorders>
          </w:tcPr>
          <w:p w14:paraId="5F6E0D97" w14:textId="77777777" w:rsidR="00FB2131" w:rsidRDefault="00B37D4A">
            <w:pPr>
              <w:keepLines/>
              <w:tabs>
                <w:tab w:val="left" w:pos="720"/>
              </w:tabs>
              <w:spacing w:after="0"/>
              <w:rPr>
                <w:rFonts w:ascii="Arial" w:eastAsia="SimSun" w:hAnsi="Arial" w:cs="Arial"/>
              </w:rPr>
            </w:pPr>
            <w:r w:rsidRPr="00B37D4A">
              <w:rPr>
                <w:rFonts w:ascii="Arial" w:eastAsia="SimSun" w:hAnsi="Arial" w:cs="Arial"/>
              </w:rPr>
              <w:t>102 (22.8)</w:t>
            </w:r>
          </w:p>
          <w:p w14:paraId="3CD2A995" w14:textId="77777777" w:rsidR="00B37D4A" w:rsidRDefault="00B37D4A">
            <w:pPr>
              <w:keepLines/>
              <w:tabs>
                <w:tab w:val="left" w:pos="720"/>
              </w:tabs>
              <w:spacing w:after="0"/>
              <w:rPr>
                <w:rFonts w:ascii="Arial" w:eastAsia="SimSun" w:hAnsi="Arial" w:cs="Arial"/>
              </w:rPr>
            </w:pPr>
            <w:r w:rsidRPr="00B37D4A">
              <w:rPr>
                <w:rFonts w:ascii="Arial" w:eastAsia="SimSun" w:hAnsi="Arial" w:cs="Arial"/>
              </w:rPr>
              <w:t>48 (10.7)</w:t>
            </w:r>
          </w:p>
          <w:p w14:paraId="7B5DC61B" w14:textId="087AC2A2" w:rsidR="00B37D4A" w:rsidRPr="008B6009" w:rsidRDefault="00B37D4A">
            <w:pPr>
              <w:keepLines/>
              <w:tabs>
                <w:tab w:val="left" w:pos="720"/>
              </w:tabs>
              <w:spacing w:after="0"/>
              <w:rPr>
                <w:rFonts w:ascii="Arial" w:eastAsia="SimSun" w:hAnsi="Arial" w:cs="Arial"/>
              </w:rPr>
            </w:pPr>
            <w:r w:rsidRPr="00B37D4A">
              <w:rPr>
                <w:rFonts w:ascii="Arial" w:eastAsia="SimSun" w:hAnsi="Arial" w:cs="Arial"/>
              </w:rPr>
              <w:t>75 (16.7)</w:t>
            </w:r>
          </w:p>
        </w:tc>
      </w:tr>
      <w:tr w:rsidR="00FB2131" w:rsidRPr="008B6009" w14:paraId="3FE661B1" w14:textId="225B4D2B" w:rsidTr="008B6246">
        <w:trPr>
          <w:trHeight w:val="143"/>
        </w:trPr>
        <w:tc>
          <w:tcPr>
            <w:tcW w:w="1994" w:type="dxa"/>
            <w:vMerge/>
            <w:tcBorders>
              <w:left w:val="single" w:sz="4" w:space="0" w:color="auto"/>
              <w:bottom w:val="single" w:sz="4" w:space="0" w:color="auto"/>
              <w:right w:val="single" w:sz="4" w:space="0" w:color="auto"/>
            </w:tcBorders>
          </w:tcPr>
          <w:p w14:paraId="57177B5A" w14:textId="5C544EA2" w:rsidR="00FB2131" w:rsidRPr="008B6009" w:rsidRDefault="00FB2131">
            <w:pPr>
              <w:keepLines/>
              <w:tabs>
                <w:tab w:val="left" w:pos="720"/>
              </w:tabs>
              <w:spacing w:after="0"/>
              <w:rPr>
                <w:rFonts w:ascii="Arial" w:eastAsia="SimSun" w:hAnsi="Arial" w:cs="Arial"/>
                <w:bCs/>
              </w:rPr>
            </w:pPr>
          </w:p>
        </w:tc>
        <w:tc>
          <w:tcPr>
            <w:tcW w:w="1404" w:type="dxa"/>
            <w:tcBorders>
              <w:top w:val="single" w:sz="4" w:space="0" w:color="auto"/>
              <w:left w:val="single" w:sz="4" w:space="0" w:color="auto"/>
              <w:bottom w:val="single" w:sz="4" w:space="0" w:color="auto"/>
              <w:right w:val="single" w:sz="4" w:space="0" w:color="auto"/>
            </w:tcBorders>
          </w:tcPr>
          <w:p w14:paraId="3AE40084" w14:textId="6B5011C2"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Common</w:t>
            </w:r>
          </w:p>
        </w:tc>
        <w:tc>
          <w:tcPr>
            <w:tcW w:w="2551" w:type="dxa"/>
            <w:tcBorders>
              <w:top w:val="single" w:sz="4" w:space="0" w:color="auto"/>
              <w:left w:val="single" w:sz="4" w:space="0" w:color="auto"/>
              <w:bottom w:val="single" w:sz="4" w:space="0" w:color="auto"/>
              <w:right w:val="single" w:sz="4" w:space="0" w:color="auto"/>
            </w:tcBorders>
          </w:tcPr>
          <w:p w14:paraId="57F4931B" w14:textId="45018DE8"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Vomiting</w:t>
            </w:r>
          </w:p>
          <w:p w14:paraId="5CBC53C4" w14:textId="13C94A70"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Constipation</w:t>
            </w:r>
          </w:p>
        </w:tc>
        <w:tc>
          <w:tcPr>
            <w:tcW w:w="2915" w:type="dxa"/>
            <w:tcBorders>
              <w:top w:val="single" w:sz="4" w:space="0" w:color="auto"/>
              <w:left w:val="single" w:sz="4" w:space="0" w:color="auto"/>
              <w:bottom w:val="single" w:sz="4" w:space="0" w:color="auto"/>
              <w:right w:val="single" w:sz="4" w:space="0" w:color="auto"/>
            </w:tcBorders>
          </w:tcPr>
          <w:p w14:paraId="72404F66" w14:textId="77777777" w:rsidR="00FB2131" w:rsidRDefault="00171757">
            <w:pPr>
              <w:keepLines/>
              <w:tabs>
                <w:tab w:val="left" w:pos="720"/>
              </w:tabs>
              <w:spacing w:after="0"/>
              <w:rPr>
                <w:rFonts w:ascii="Arial" w:eastAsia="SimSun" w:hAnsi="Arial" w:cs="Arial"/>
              </w:rPr>
            </w:pPr>
            <w:r w:rsidRPr="00171757">
              <w:rPr>
                <w:rFonts w:ascii="Arial" w:eastAsia="SimSun" w:hAnsi="Arial" w:cs="Arial"/>
              </w:rPr>
              <w:t>36 (8)</w:t>
            </w:r>
          </w:p>
          <w:p w14:paraId="23AC33D4" w14:textId="56773079" w:rsidR="00171757" w:rsidRPr="008B6009" w:rsidRDefault="00171757">
            <w:pPr>
              <w:keepLines/>
              <w:tabs>
                <w:tab w:val="left" w:pos="720"/>
              </w:tabs>
              <w:spacing w:after="0"/>
              <w:rPr>
                <w:rFonts w:ascii="Arial" w:eastAsia="SimSun" w:hAnsi="Arial" w:cs="Arial"/>
              </w:rPr>
            </w:pPr>
            <w:r w:rsidRPr="00171757">
              <w:rPr>
                <w:rFonts w:ascii="Arial" w:eastAsia="SimSun" w:hAnsi="Arial" w:cs="Arial"/>
              </w:rPr>
              <w:t>43 (9.6)</w:t>
            </w:r>
          </w:p>
        </w:tc>
      </w:tr>
      <w:tr w:rsidR="00AA0546" w:rsidRPr="008B6009" w14:paraId="73BBF480" w14:textId="77777777" w:rsidTr="008B6246">
        <w:trPr>
          <w:trHeight w:val="868"/>
        </w:trPr>
        <w:tc>
          <w:tcPr>
            <w:tcW w:w="1994" w:type="dxa"/>
            <w:tcBorders>
              <w:top w:val="single" w:sz="4" w:space="0" w:color="auto"/>
              <w:left w:val="single" w:sz="4" w:space="0" w:color="auto"/>
              <w:bottom w:val="single" w:sz="4" w:space="0" w:color="auto"/>
              <w:right w:val="single" w:sz="4" w:space="0" w:color="auto"/>
            </w:tcBorders>
          </w:tcPr>
          <w:p w14:paraId="40265751" w14:textId="0F0A2035" w:rsidR="00AA0546" w:rsidRPr="008B6009" w:rsidRDefault="0097599A">
            <w:pPr>
              <w:keepLines/>
              <w:tabs>
                <w:tab w:val="left" w:pos="720"/>
              </w:tabs>
              <w:spacing w:after="0"/>
              <w:rPr>
                <w:rFonts w:ascii="Arial" w:eastAsia="SimSun" w:hAnsi="Arial" w:cs="Arial"/>
              </w:rPr>
            </w:pPr>
            <w:r w:rsidRPr="0097599A">
              <w:rPr>
                <w:rFonts w:ascii="Arial" w:eastAsia="SimSun" w:hAnsi="Arial" w:cs="Arial"/>
              </w:rPr>
              <w:t>Skin and subcutaneous tissue disorders</w:t>
            </w:r>
          </w:p>
        </w:tc>
        <w:tc>
          <w:tcPr>
            <w:tcW w:w="1404" w:type="dxa"/>
            <w:tcBorders>
              <w:top w:val="single" w:sz="4" w:space="0" w:color="auto"/>
              <w:left w:val="single" w:sz="4" w:space="0" w:color="auto"/>
              <w:bottom w:val="single" w:sz="4" w:space="0" w:color="auto"/>
              <w:right w:val="single" w:sz="4" w:space="0" w:color="auto"/>
            </w:tcBorders>
          </w:tcPr>
          <w:p w14:paraId="19F09233" w14:textId="5115AA6D" w:rsidR="00AA0546" w:rsidRPr="008B6009" w:rsidRDefault="00AF3D0F">
            <w:pPr>
              <w:keepLines/>
              <w:tabs>
                <w:tab w:val="left" w:pos="720"/>
              </w:tabs>
              <w:spacing w:after="0"/>
              <w:rPr>
                <w:rFonts w:ascii="Arial" w:eastAsia="SimSun" w:hAnsi="Arial" w:cs="Arial"/>
                <w:bCs/>
              </w:rPr>
            </w:pPr>
            <w:r>
              <w:rPr>
                <w:rFonts w:ascii="Arial" w:eastAsia="SimSun" w:hAnsi="Arial" w:cs="Arial"/>
                <w:bCs/>
              </w:rPr>
              <w:t>Common</w:t>
            </w:r>
          </w:p>
        </w:tc>
        <w:tc>
          <w:tcPr>
            <w:tcW w:w="2551" w:type="dxa"/>
            <w:tcBorders>
              <w:top w:val="single" w:sz="4" w:space="0" w:color="auto"/>
              <w:left w:val="single" w:sz="4" w:space="0" w:color="auto"/>
              <w:bottom w:val="single" w:sz="4" w:space="0" w:color="auto"/>
              <w:right w:val="single" w:sz="4" w:space="0" w:color="auto"/>
            </w:tcBorders>
          </w:tcPr>
          <w:p w14:paraId="3D2564DA" w14:textId="0D4920BF" w:rsidR="00AA0546" w:rsidRPr="008B6009" w:rsidRDefault="0097599A" w:rsidP="008E3794">
            <w:pPr>
              <w:keepLines/>
              <w:tabs>
                <w:tab w:val="left" w:pos="720"/>
              </w:tabs>
              <w:spacing w:after="0"/>
              <w:rPr>
                <w:rFonts w:ascii="Arial" w:eastAsia="SimSun" w:hAnsi="Arial" w:cs="Arial"/>
              </w:rPr>
            </w:pPr>
            <w:r>
              <w:rPr>
                <w:rFonts w:ascii="Arial" w:eastAsia="SimSun" w:hAnsi="Arial" w:cs="Arial"/>
              </w:rPr>
              <w:t>Rash</w:t>
            </w:r>
          </w:p>
        </w:tc>
        <w:tc>
          <w:tcPr>
            <w:tcW w:w="2915" w:type="dxa"/>
            <w:tcBorders>
              <w:top w:val="single" w:sz="4" w:space="0" w:color="auto"/>
              <w:left w:val="single" w:sz="4" w:space="0" w:color="auto"/>
              <w:bottom w:val="single" w:sz="4" w:space="0" w:color="auto"/>
              <w:right w:val="single" w:sz="4" w:space="0" w:color="auto"/>
            </w:tcBorders>
          </w:tcPr>
          <w:p w14:paraId="5E9ACD1F" w14:textId="33E6846D" w:rsidR="00AA0546" w:rsidRPr="008E3794" w:rsidRDefault="0097599A">
            <w:pPr>
              <w:keepLines/>
              <w:tabs>
                <w:tab w:val="left" w:pos="720"/>
              </w:tabs>
              <w:spacing w:after="0"/>
              <w:rPr>
                <w:rFonts w:ascii="Arial" w:eastAsia="SimSun" w:hAnsi="Arial" w:cs="Arial"/>
              </w:rPr>
            </w:pPr>
            <w:r w:rsidRPr="0097599A">
              <w:rPr>
                <w:rFonts w:ascii="Arial" w:eastAsia="SimSun" w:hAnsi="Arial" w:cs="Arial"/>
              </w:rPr>
              <w:t>25 (5.6)</w:t>
            </w:r>
          </w:p>
        </w:tc>
      </w:tr>
      <w:tr w:rsidR="00FB2131" w:rsidRPr="008B6009" w14:paraId="7F7472DE" w14:textId="371B34E4" w:rsidTr="008B6246">
        <w:trPr>
          <w:trHeight w:val="868"/>
        </w:trPr>
        <w:tc>
          <w:tcPr>
            <w:tcW w:w="1994" w:type="dxa"/>
            <w:tcBorders>
              <w:top w:val="single" w:sz="4" w:space="0" w:color="auto"/>
              <w:left w:val="single" w:sz="4" w:space="0" w:color="auto"/>
              <w:bottom w:val="single" w:sz="4" w:space="0" w:color="auto"/>
              <w:right w:val="single" w:sz="4" w:space="0" w:color="auto"/>
            </w:tcBorders>
          </w:tcPr>
          <w:p w14:paraId="043E94D4" w14:textId="00840948"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Musculoskeletal and connective tissue disorders</w:t>
            </w:r>
          </w:p>
        </w:tc>
        <w:tc>
          <w:tcPr>
            <w:tcW w:w="1404" w:type="dxa"/>
            <w:tcBorders>
              <w:top w:val="single" w:sz="4" w:space="0" w:color="auto"/>
              <w:left w:val="single" w:sz="4" w:space="0" w:color="auto"/>
              <w:bottom w:val="single" w:sz="4" w:space="0" w:color="auto"/>
              <w:right w:val="single" w:sz="4" w:space="0" w:color="auto"/>
            </w:tcBorders>
          </w:tcPr>
          <w:p w14:paraId="6FE02E1A" w14:textId="08A2917E"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Common</w:t>
            </w:r>
          </w:p>
        </w:tc>
        <w:tc>
          <w:tcPr>
            <w:tcW w:w="2551" w:type="dxa"/>
            <w:tcBorders>
              <w:top w:val="single" w:sz="4" w:space="0" w:color="auto"/>
              <w:left w:val="single" w:sz="4" w:space="0" w:color="auto"/>
              <w:bottom w:val="single" w:sz="4" w:space="0" w:color="auto"/>
              <w:right w:val="single" w:sz="4" w:space="0" w:color="auto"/>
            </w:tcBorders>
          </w:tcPr>
          <w:p w14:paraId="06559848" w14:textId="23D3E69A" w:rsidR="00FB2131" w:rsidRPr="008B6009" w:rsidRDefault="00FB2131" w:rsidP="008E3794">
            <w:pPr>
              <w:keepLines/>
              <w:tabs>
                <w:tab w:val="left" w:pos="720"/>
              </w:tabs>
              <w:spacing w:after="0"/>
              <w:rPr>
                <w:rFonts w:ascii="Arial" w:eastAsia="SimSun" w:hAnsi="Arial" w:cs="Arial"/>
              </w:rPr>
            </w:pPr>
            <w:r w:rsidRPr="008B6009">
              <w:rPr>
                <w:rFonts w:ascii="Arial" w:eastAsia="SimSun" w:hAnsi="Arial" w:cs="Arial"/>
              </w:rPr>
              <w:t>Arthralgia</w:t>
            </w:r>
          </w:p>
          <w:p w14:paraId="1CBFA6F3" w14:textId="757D2341" w:rsidR="00FB2131" w:rsidRPr="008E3794" w:rsidRDefault="00FB2131" w:rsidP="008E3794">
            <w:pPr>
              <w:keepLines/>
              <w:tabs>
                <w:tab w:val="left" w:pos="720"/>
              </w:tabs>
              <w:spacing w:after="0"/>
              <w:rPr>
                <w:rFonts w:ascii="Arial" w:eastAsia="SimSun" w:hAnsi="Arial" w:cs="Arial"/>
              </w:rPr>
            </w:pPr>
            <w:r w:rsidRPr="008B6009">
              <w:rPr>
                <w:rFonts w:ascii="Arial" w:eastAsia="SimSun" w:hAnsi="Arial" w:cs="Arial"/>
              </w:rPr>
              <w:t>Pain in extremity</w:t>
            </w:r>
          </w:p>
        </w:tc>
        <w:tc>
          <w:tcPr>
            <w:tcW w:w="2915" w:type="dxa"/>
            <w:tcBorders>
              <w:top w:val="single" w:sz="4" w:space="0" w:color="auto"/>
              <w:left w:val="single" w:sz="4" w:space="0" w:color="auto"/>
              <w:bottom w:val="single" w:sz="4" w:space="0" w:color="auto"/>
              <w:right w:val="single" w:sz="4" w:space="0" w:color="auto"/>
            </w:tcBorders>
          </w:tcPr>
          <w:p w14:paraId="10576FF2" w14:textId="77777777" w:rsidR="00FB2131" w:rsidRDefault="008E3794">
            <w:pPr>
              <w:keepLines/>
              <w:tabs>
                <w:tab w:val="left" w:pos="720"/>
              </w:tabs>
              <w:spacing w:after="0"/>
              <w:rPr>
                <w:rFonts w:ascii="Arial" w:eastAsia="SimSun" w:hAnsi="Arial" w:cs="Arial"/>
              </w:rPr>
            </w:pPr>
            <w:r w:rsidRPr="008E3794">
              <w:rPr>
                <w:rFonts w:ascii="Arial" w:eastAsia="SimSun" w:hAnsi="Arial" w:cs="Arial"/>
              </w:rPr>
              <w:t>34 (7.6)</w:t>
            </w:r>
          </w:p>
          <w:p w14:paraId="29C8E91E" w14:textId="583EFD9F" w:rsidR="00EA14DB" w:rsidRPr="008B6009" w:rsidRDefault="00EA14DB">
            <w:pPr>
              <w:keepLines/>
              <w:tabs>
                <w:tab w:val="left" w:pos="720"/>
              </w:tabs>
              <w:spacing w:after="0"/>
              <w:rPr>
                <w:rFonts w:ascii="Arial" w:eastAsia="SimSun" w:hAnsi="Arial" w:cs="Arial"/>
              </w:rPr>
            </w:pPr>
            <w:r w:rsidRPr="00EA14DB">
              <w:rPr>
                <w:rFonts w:ascii="Arial" w:eastAsia="SimSun" w:hAnsi="Arial" w:cs="Arial"/>
              </w:rPr>
              <w:t>24 (5.4)</w:t>
            </w:r>
          </w:p>
        </w:tc>
      </w:tr>
      <w:tr w:rsidR="00FB2131" w:rsidRPr="008B6009" w14:paraId="7AB296FE" w14:textId="799A4027" w:rsidTr="008B6246">
        <w:trPr>
          <w:trHeight w:val="274"/>
        </w:trPr>
        <w:tc>
          <w:tcPr>
            <w:tcW w:w="1994" w:type="dxa"/>
            <w:vMerge w:val="restart"/>
            <w:tcBorders>
              <w:top w:val="single" w:sz="4" w:space="0" w:color="auto"/>
              <w:left w:val="single" w:sz="4" w:space="0" w:color="auto"/>
              <w:right w:val="single" w:sz="4" w:space="0" w:color="auto"/>
            </w:tcBorders>
          </w:tcPr>
          <w:p w14:paraId="3167B080" w14:textId="3047A210"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General disorders and administration site conditions</w:t>
            </w:r>
          </w:p>
        </w:tc>
        <w:tc>
          <w:tcPr>
            <w:tcW w:w="1404" w:type="dxa"/>
            <w:tcBorders>
              <w:top w:val="single" w:sz="4" w:space="0" w:color="auto"/>
              <w:left w:val="single" w:sz="4" w:space="0" w:color="auto"/>
              <w:right w:val="single" w:sz="4" w:space="0" w:color="auto"/>
            </w:tcBorders>
          </w:tcPr>
          <w:p w14:paraId="71EAF018" w14:textId="5C9FA4CE"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Very common</w:t>
            </w:r>
          </w:p>
        </w:tc>
        <w:tc>
          <w:tcPr>
            <w:tcW w:w="2551" w:type="dxa"/>
            <w:tcBorders>
              <w:top w:val="single" w:sz="4" w:space="0" w:color="auto"/>
              <w:left w:val="single" w:sz="4" w:space="0" w:color="auto"/>
              <w:right w:val="single" w:sz="4" w:space="0" w:color="auto"/>
            </w:tcBorders>
            <w:vAlign w:val="center"/>
          </w:tcPr>
          <w:p w14:paraId="5D09C180" w14:textId="682EE13E"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Asthenia</w:t>
            </w:r>
          </w:p>
          <w:p w14:paraId="5A514435" w14:textId="06BC582E" w:rsidR="00FB2131" w:rsidRPr="008E3794" w:rsidRDefault="00FB2131">
            <w:pPr>
              <w:keepLines/>
              <w:tabs>
                <w:tab w:val="left" w:pos="720"/>
              </w:tabs>
              <w:spacing w:after="0"/>
              <w:rPr>
                <w:rFonts w:ascii="Arial" w:eastAsia="SimSun" w:hAnsi="Arial" w:cs="Arial"/>
              </w:rPr>
            </w:pPr>
            <w:r w:rsidRPr="008B6009">
              <w:rPr>
                <w:rFonts w:ascii="Arial" w:eastAsia="SimSun" w:hAnsi="Arial" w:cs="Arial"/>
              </w:rPr>
              <w:t>Fatigue</w:t>
            </w:r>
          </w:p>
        </w:tc>
        <w:tc>
          <w:tcPr>
            <w:tcW w:w="2915" w:type="dxa"/>
            <w:tcBorders>
              <w:top w:val="single" w:sz="4" w:space="0" w:color="auto"/>
              <w:left w:val="single" w:sz="4" w:space="0" w:color="auto"/>
              <w:right w:val="single" w:sz="4" w:space="0" w:color="auto"/>
            </w:tcBorders>
          </w:tcPr>
          <w:p w14:paraId="075C5660" w14:textId="61F5AB91" w:rsidR="00FB2131" w:rsidRDefault="00D45FE2">
            <w:pPr>
              <w:keepLines/>
              <w:tabs>
                <w:tab w:val="left" w:pos="720"/>
              </w:tabs>
              <w:spacing w:after="0"/>
              <w:rPr>
                <w:rFonts w:ascii="Arial" w:eastAsia="SimSun" w:hAnsi="Arial" w:cs="Arial"/>
              </w:rPr>
            </w:pPr>
            <w:r w:rsidRPr="00D45FE2">
              <w:rPr>
                <w:rFonts w:ascii="Arial" w:eastAsia="SimSun" w:hAnsi="Arial" w:cs="Arial"/>
              </w:rPr>
              <w:t>49 (10.9)</w:t>
            </w:r>
          </w:p>
          <w:p w14:paraId="2D9C1BAB" w14:textId="1980D572" w:rsidR="00D45FE2" w:rsidRPr="008B6009" w:rsidRDefault="00D45FE2">
            <w:pPr>
              <w:keepLines/>
              <w:tabs>
                <w:tab w:val="left" w:pos="720"/>
              </w:tabs>
              <w:spacing w:after="0"/>
              <w:rPr>
                <w:rFonts w:ascii="Arial" w:eastAsia="SimSun" w:hAnsi="Arial" w:cs="Arial"/>
              </w:rPr>
            </w:pPr>
            <w:r w:rsidRPr="00D45FE2">
              <w:rPr>
                <w:rFonts w:ascii="Arial" w:eastAsia="SimSun" w:hAnsi="Arial" w:cs="Arial"/>
              </w:rPr>
              <w:t>55 (12.3)</w:t>
            </w:r>
          </w:p>
        </w:tc>
      </w:tr>
      <w:tr w:rsidR="00FB2131" w:rsidRPr="008B6009" w14:paraId="7CE381E3" w14:textId="36F52045" w:rsidTr="008B6246">
        <w:trPr>
          <w:trHeight w:val="274"/>
        </w:trPr>
        <w:tc>
          <w:tcPr>
            <w:tcW w:w="1994" w:type="dxa"/>
            <w:vMerge/>
            <w:tcBorders>
              <w:left w:val="single" w:sz="4" w:space="0" w:color="auto"/>
              <w:bottom w:val="single" w:sz="4" w:space="0" w:color="auto"/>
              <w:right w:val="single" w:sz="4" w:space="0" w:color="auto"/>
            </w:tcBorders>
          </w:tcPr>
          <w:p w14:paraId="30578423" w14:textId="59B5066F" w:rsidR="00FB2131" w:rsidRPr="008B6009" w:rsidRDefault="00FB2131">
            <w:pPr>
              <w:keepLines/>
              <w:tabs>
                <w:tab w:val="left" w:pos="720"/>
              </w:tabs>
              <w:spacing w:after="0"/>
              <w:rPr>
                <w:rFonts w:ascii="Arial" w:eastAsia="SimSun" w:hAnsi="Arial" w:cs="Arial"/>
              </w:rPr>
            </w:pPr>
          </w:p>
        </w:tc>
        <w:tc>
          <w:tcPr>
            <w:tcW w:w="1404" w:type="dxa"/>
            <w:tcBorders>
              <w:left w:val="single" w:sz="4" w:space="0" w:color="auto"/>
              <w:bottom w:val="single" w:sz="4" w:space="0" w:color="auto"/>
              <w:right w:val="single" w:sz="4" w:space="0" w:color="auto"/>
            </w:tcBorders>
          </w:tcPr>
          <w:p w14:paraId="287501EA" w14:textId="66675769"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Common</w:t>
            </w:r>
          </w:p>
        </w:tc>
        <w:tc>
          <w:tcPr>
            <w:tcW w:w="2551" w:type="dxa"/>
            <w:tcBorders>
              <w:left w:val="single" w:sz="4" w:space="0" w:color="auto"/>
              <w:bottom w:val="single" w:sz="4" w:space="0" w:color="auto"/>
              <w:right w:val="single" w:sz="4" w:space="0" w:color="auto"/>
            </w:tcBorders>
            <w:vAlign w:val="center"/>
          </w:tcPr>
          <w:p w14:paraId="2BD747A0" w14:textId="505E4AB5"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Pyrexia</w:t>
            </w:r>
          </w:p>
        </w:tc>
        <w:tc>
          <w:tcPr>
            <w:tcW w:w="2915" w:type="dxa"/>
            <w:tcBorders>
              <w:left w:val="single" w:sz="4" w:space="0" w:color="auto"/>
              <w:bottom w:val="single" w:sz="4" w:space="0" w:color="auto"/>
              <w:right w:val="single" w:sz="4" w:space="0" w:color="auto"/>
            </w:tcBorders>
          </w:tcPr>
          <w:p w14:paraId="74E3C1B1" w14:textId="46D4BA68" w:rsidR="00FB2131" w:rsidRPr="008B6009" w:rsidRDefault="00D45FE2">
            <w:pPr>
              <w:keepLines/>
              <w:tabs>
                <w:tab w:val="left" w:pos="720"/>
              </w:tabs>
              <w:spacing w:after="0"/>
              <w:rPr>
                <w:rFonts w:ascii="Arial" w:eastAsia="SimSun" w:hAnsi="Arial" w:cs="Arial"/>
              </w:rPr>
            </w:pPr>
            <w:r w:rsidRPr="00D45FE2">
              <w:rPr>
                <w:rFonts w:ascii="Arial" w:eastAsia="SimSun" w:hAnsi="Arial" w:cs="Arial"/>
              </w:rPr>
              <w:t>41 (9.2)</w:t>
            </w:r>
          </w:p>
        </w:tc>
      </w:tr>
      <w:tr w:rsidR="00FB2131" w:rsidRPr="008B6009" w14:paraId="3350BC61" w14:textId="0B8CD6D8" w:rsidTr="008B6246">
        <w:trPr>
          <w:trHeight w:val="1157"/>
        </w:trPr>
        <w:tc>
          <w:tcPr>
            <w:tcW w:w="1994" w:type="dxa"/>
            <w:tcBorders>
              <w:top w:val="single" w:sz="4" w:space="0" w:color="auto"/>
              <w:left w:val="single" w:sz="4" w:space="0" w:color="auto"/>
              <w:bottom w:val="single" w:sz="4" w:space="0" w:color="auto"/>
              <w:right w:val="single" w:sz="4" w:space="0" w:color="auto"/>
            </w:tcBorders>
          </w:tcPr>
          <w:p w14:paraId="3EFAED95" w14:textId="42DF2714" w:rsidR="00FB2131" w:rsidRPr="008B6009" w:rsidRDefault="00FB2131">
            <w:pPr>
              <w:keepLines/>
              <w:tabs>
                <w:tab w:val="left" w:pos="720"/>
              </w:tabs>
              <w:spacing w:after="0"/>
              <w:rPr>
                <w:rFonts w:ascii="Arial" w:hAnsi="Arial" w:cs="Arial"/>
              </w:rPr>
            </w:pPr>
            <w:r w:rsidRPr="008B6009">
              <w:rPr>
                <w:rFonts w:ascii="Arial" w:hAnsi="Arial" w:cs="Arial"/>
              </w:rPr>
              <w:t>Investigations</w:t>
            </w:r>
          </w:p>
        </w:tc>
        <w:tc>
          <w:tcPr>
            <w:tcW w:w="1404" w:type="dxa"/>
            <w:tcBorders>
              <w:top w:val="single" w:sz="4" w:space="0" w:color="auto"/>
              <w:left w:val="single" w:sz="4" w:space="0" w:color="auto"/>
              <w:bottom w:val="single" w:sz="4" w:space="0" w:color="auto"/>
              <w:right w:val="single" w:sz="4" w:space="0" w:color="auto"/>
            </w:tcBorders>
          </w:tcPr>
          <w:p w14:paraId="3B793A61" w14:textId="21577085"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bCs/>
              </w:rPr>
              <w:t>Common</w:t>
            </w:r>
          </w:p>
        </w:tc>
        <w:tc>
          <w:tcPr>
            <w:tcW w:w="2551" w:type="dxa"/>
            <w:tcBorders>
              <w:top w:val="single" w:sz="4" w:space="0" w:color="auto"/>
              <w:left w:val="single" w:sz="4" w:space="0" w:color="auto"/>
              <w:bottom w:val="single" w:sz="4" w:space="0" w:color="auto"/>
              <w:right w:val="single" w:sz="4" w:space="0" w:color="auto"/>
            </w:tcBorders>
          </w:tcPr>
          <w:p w14:paraId="34C17F7E" w14:textId="1DAF3777"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Alanine transaminase (ALT) increased</w:t>
            </w:r>
          </w:p>
          <w:p w14:paraId="7E44DFF5" w14:textId="346DDC75" w:rsidR="00FB2131" w:rsidRPr="008B6009" w:rsidRDefault="00FB2131">
            <w:pPr>
              <w:keepLines/>
              <w:tabs>
                <w:tab w:val="left" w:pos="720"/>
              </w:tabs>
              <w:spacing w:after="0"/>
              <w:rPr>
                <w:rFonts w:ascii="Arial" w:eastAsia="SimSun" w:hAnsi="Arial" w:cs="Arial"/>
                <w:bCs/>
              </w:rPr>
            </w:pPr>
            <w:r w:rsidRPr="008B6009">
              <w:rPr>
                <w:rFonts w:ascii="Arial" w:eastAsia="SimSun" w:hAnsi="Arial" w:cs="Arial"/>
              </w:rPr>
              <w:t>Aspartate transaminase (AST) increased</w:t>
            </w:r>
          </w:p>
        </w:tc>
        <w:tc>
          <w:tcPr>
            <w:tcW w:w="2915" w:type="dxa"/>
            <w:tcBorders>
              <w:top w:val="single" w:sz="4" w:space="0" w:color="auto"/>
              <w:left w:val="single" w:sz="4" w:space="0" w:color="auto"/>
              <w:bottom w:val="single" w:sz="4" w:space="0" w:color="auto"/>
              <w:right w:val="single" w:sz="4" w:space="0" w:color="auto"/>
            </w:tcBorders>
          </w:tcPr>
          <w:p w14:paraId="7518C759" w14:textId="77777777" w:rsidR="00FB2131" w:rsidRDefault="00D45FE2">
            <w:pPr>
              <w:keepLines/>
              <w:tabs>
                <w:tab w:val="left" w:pos="720"/>
              </w:tabs>
              <w:spacing w:after="0"/>
              <w:rPr>
                <w:rFonts w:ascii="Arial" w:eastAsia="SimSun" w:hAnsi="Arial" w:cs="Arial"/>
              </w:rPr>
            </w:pPr>
            <w:r w:rsidRPr="00D45FE2">
              <w:rPr>
                <w:rFonts w:ascii="Arial" w:eastAsia="SimSun" w:hAnsi="Arial" w:cs="Arial"/>
              </w:rPr>
              <w:t>21 (4.7)</w:t>
            </w:r>
          </w:p>
          <w:p w14:paraId="04FA4157" w14:textId="77777777" w:rsidR="00D45FE2" w:rsidRDefault="00D45FE2">
            <w:pPr>
              <w:keepLines/>
              <w:tabs>
                <w:tab w:val="left" w:pos="720"/>
              </w:tabs>
              <w:spacing w:after="0"/>
              <w:rPr>
                <w:rFonts w:ascii="Arial" w:eastAsia="SimSun" w:hAnsi="Arial" w:cs="Arial"/>
              </w:rPr>
            </w:pPr>
          </w:p>
          <w:p w14:paraId="351AD617" w14:textId="1D830E0F" w:rsidR="00D45FE2" w:rsidRPr="008B6009" w:rsidRDefault="00AA0546">
            <w:pPr>
              <w:keepLines/>
              <w:tabs>
                <w:tab w:val="left" w:pos="720"/>
              </w:tabs>
              <w:spacing w:after="0"/>
              <w:rPr>
                <w:rFonts w:ascii="Arial" w:eastAsia="SimSun" w:hAnsi="Arial" w:cs="Arial"/>
              </w:rPr>
            </w:pPr>
            <w:r w:rsidRPr="00AA0546">
              <w:rPr>
                <w:rFonts w:ascii="Arial" w:eastAsia="SimSun" w:hAnsi="Arial" w:cs="Arial"/>
              </w:rPr>
              <w:t>16 (3.6)</w:t>
            </w:r>
          </w:p>
        </w:tc>
      </w:tr>
      <w:tr w:rsidR="00FB2131" w:rsidRPr="008B6009" w14:paraId="19800CAC" w14:textId="1D100BF5" w:rsidTr="008B6246">
        <w:trPr>
          <w:trHeight w:val="538"/>
        </w:trPr>
        <w:tc>
          <w:tcPr>
            <w:tcW w:w="1994" w:type="dxa"/>
            <w:tcBorders>
              <w:left w:val="single" w:sz="4" w:space="0" w:color="auto"/>
              <w:right w:val="single" w:sz="4" w:space="0" w:color="auto"/>
            </w:tcBorders>
          </w:tcPr>
          <w:p w14:paraId="3B57B12D" w14:textId="4D9AB1ED" w:rsidR="00FB2131" w:rsidRPr="008B6009" w:rsidRDefault="00FB2131">
            <w:pPr>
              <w:keepLines/>
              <w:tabs>
                <w:tab w:val="left" w:pos="720"/>
              </w:tabs>
              <w:spacing w:after="0"/>
              <w:rPr>
                <w:rFonts w:ascii="Arial" w:eastAsia="SimSun" w:hAnsi="Arial" w:cs="Arial"/>
              </w:rPr>
            </w:pPr>
            <w:r w:rsidRPr="008B6009">
              <w:rPr>
                <w:rFonts w:ascii="Arial" w:eastAsia="SimSun" w:hAnsi="Arial" w:cs="Arial"/>
              </w:rPr>
              <w:t>Injury, poisoning and procedural complications</w:t>
            </w:r>
          </w:p>
        </w:tc>
        <w:tc>
          <w:tcPr>
            <w:tcW w:w="1404" w:type="dxa"/>
            <w:tcBorders>
              <w:top w:val="single" w:sz="4" w:space="0" w:color="auto"/>
              <w:left w:val="single" w:sz="4" w:space="0" w:color="auto"/>
              <w:right w:val="single" w:sz="4" w:space="0" w:color="auto"/>
            </w:tcBorders>
          </w:tcPr>
          <w:p w14:paraId="2E34E051" w14:textId="5BD2296F" w:rsidR="00FB2131" w:rsidRPr="008B6009" w:rsidRDefault="00FB2131">
            <w:pPr>
              <w:keepLines/>
              <w:tabs>
                <w:tab w:val="left" w:pos="720"/>
              </w:tabs>
              <w:spacing w:after="0"/>
              <w:rPr>
                <w:rFonts w:ascii="Arial" w:hAnsi="Arial" w:cs="Arial"/>
              </w:rPr>
            </w:pPr>
            <w:r w:rsidRPr="008B6009">
              <w:rPr>
                <w:rFonts w:ascii="Arial" w:hAnsi="Arial" w:cs="Arial"/>
              </w:rPr>
              <w:t>Common</w:t>
            </w:r>
          </w:p>
        </w:tc>
        <w:tc>
          <w:tcPr>
            <w:tcW w:w="2551" w:type="dxa"/>
            <w:tcBorders>
              <w:top w:val="single" w:sz="4" w:space="0" w:color="auto"/>
              <w:left w:val="single" w:sz="4" w:space="0" w:color="auto"/>
              <w:right w:val="single" w:sz="4" w:space="0" w:color="auto"/>
            </w:tcBorders>
          </w:tcPr>
          <w:p w14:paraId="3D8E5C84" w14:textId="311B8485" w:rsidR="00FB2131" w:rsidRPr="008B6009" w:rsidRDefault="00FB2131">
            <w:pPr>
              <w:keepLines/>
              <w:tabs>
                <w:tab w:val="left" w:pos="720"/>
              </w:tabs>
              <w:spacing w:after="0"/>
              <w:rPr>
                <w:rFonts w:ascii="Arial" w:hAnsi="Arial" w:cs="Arial"/>
              </w:rPr>
            </w:pPr>
            <w:r w:rsidRPr="008B6009">
              <w:rPr>
                <w:rFonts w:ascii="Arial" w:eastAsia="SimSun" w:hAnsi="Arial" w:cs="Arial"/>
              </w:rPr>
              <w:t>Contusion</w:t>
            </w:r>
          </w:p>
        </w:tc>
        <w:tc>
          <w:tcPr>
            <w:tcW w:w="2915" w:type="dxa"/>
            <w:tcBorders>
              <w:top w:val="single" w:sz="4" w:space="0" w:color="auto"/>
              <w:left w:val="single" w:sz="4" w:space="0" w:color="auto"/>
              <w:right w:val="single" w:sz="4" w:space="0" w:color="auto"/>
            </w:tcBorders>
          </w:tcPr>
          <w:p w14:paraId="0BA76D87" w14:textId="75F07037" w:rsidR="00FB2131" w:rsidRPr="008B6009" w:rsidRDefault="00AA0546">
            <w:pPr>
              <w:keepLines/>
              <w:tabs>
                <w:tab w:val="left" w:pos="720"/>
              </w:tabs>
              <w:spacing w:after="0"/>
              <w:rPr>
                <w:rFonts w:ascii="Arial" w:eastAsia="SimSun" w:hAnsi="Arial" w:cs="Arial"/>
              </w:rPr>
            </w:pPr>
            <w:r w:rsidRPr="00AA0546">
              <w:rPr>
                <w:rFonts w:ascii="Arial" w:eastAsia="SimSun" w:hAnsi="Arial" w:cs="Arial"/>
              </w:rPr>
              <w:t>26 (5.8)</w:t>
            </w:r>
          </w:p>
        </w:tc>
      </w:tr>
    </w:tbl>
    <w:p w14:paraId="6072D85B" w14:textId="4BEE2BE0" w:rsidR="00270AA3" w:rsidRDefault="00270AA3" w:rsidP="00951085">
      <w:pPr>
        <w:keepNext/>
        <w:tabs>
          <w:tab w:val="left" w:pos="567"/>
        </w:tabs>
        <w:spacing w:after="0"/>
        <w:rPr>
          <w:rFonts w:ascii="Arial" w:hAnsi="Arial" w:cs="Arial"/>
          <w:vertAlign w:val="superscript"/>
        </w:rPr>
      </w:pPr>
      <w:proofErr w:type="gramStart"/>
      <w:r w:rsidRPr="00CC1707">
        <w:rPr>
          <w:rFonts w:ascii="Arial" w:hAnsi="Arial" w:cs="Arial"/>
          <w:vertAlign w:val="superscript"/>
        </w:rPr>
        <w:t>a</w:t>
      </w:r>
      <w:r w:rsidR="006C61B5">
        <w:rPr>
          <w:rFonts w:ascii="Arial" w:hAnsi="Arial" w:cs="Arial"/>
        </w:rPr>
        <w:t xml:space="preserve">  </w:t>
      </w:r>
      <w:r w:rsidRPr="008B6246">
        <w:rPr>
          <w:rFonts w:ascii="Arial" w:eastAsia="Times New Roman" w:hAnsi="Arial" w:cs="Arial"/>
          <w:sz w:val="20"/>
          <w:szCs w:val="20"/>
          <w:lang w:val="en-US"/>
        </w:rPr>
        <w:t>Infections</w:t>
      </w:r>
      <w:proofErr w:type="gramEnd"/>
      <w:r w:rsidRPr="008B6246">
        <w:rPr>
          <w:rFonts w:ascii="Arial" w:eastAsia="Times New Roman" w:hAnsi="Arial" w:cs="Arial"/>
          <w:sz w:val="20"/>
          <w:szCs w:val="20"/>
          <w:lang w:val="en-US"/>
        </w:rPr>
        <w:t xml:space="preserve"> includes the preferred terms of the Infections and Infestations SOC such as urinary tract infection, upper respiratory tract infection, COVID-19, herpes zoster; excludes opportunistic infections.</w:t>
      </w:r>
    </w:p>
    <w:p w14:paraId="30E30BE7" w14:textId="16697DB3" w:rsidR="00270AA3" w:rsidRPr="00CC1707" w:rsidRDefault="00270AA3" w:rsidP="00270AA3">
      <w:pPr>
        <w:pStyle w:val="TableFootnote025Hanging"/>
        <w:keepNext/>
        <w:keepLines/>
        <w:ind w:left="180" w:hanging="180"/>
        <w:rPr>
          <w:rFonts w:ascii="Arial" w:hAnsi="Arial" w:cs="Arial"/>
        </w:rPr>
      </w:pPr>
      <w:r w:rsidRPr="00CC1707">
        <w:rPr>
          <w:rFonts w:ascii="Arial" w:hAnsi="Arial" w:cs="Arial"/>
          <w:vertAlign w:val="superscript"/>
        </w:rPr>
        <w:t>b</w:t>
      </w:r>
      <w:r w:rsidRPr="00CC1707">
        <w:rPr>
          <w:rFonts w:ascii="Arial" w:hAnsi="Arial" w:cs="Arial"/>
        </w:rPr>
        <w:tab/>
        <w:t>Thrombocytopenia includes platelet count decreased.</w:t>
      </w:r>
    </w:p>
    <w:p w14:paraId="114C6587" w14:textId="2944DBE8" w:rsidR="00270AA3" w:rsidRPr="00CC1707" w:rsidRDefault="00270AA3" w:rsidP="00270AA3">
      <w:pPr>
        <w:pStyle w:val="TableFootnote025Hanging"/>
        <w:keepNext/>
        <w:keepLines/>
        <w:ind w:left="180" w:hanging="180"/>
        <w:rPr>
          <w:rFonts w:ascii="Arial" w:hAnsi="Arial" w:cs="Arial"/>
        </w:rPr>
      </w:pPr>
      <w:r w:rsidRPr="00CC1707">
        <w:rPr>
          <w:rFonts w:ascii="Arial" w:hAnsi="Arial" w:cs="Arial"/>
          <w:vertAlign w:val="superscript"/>
        </w:rPr>
        <w:t>c</w:t>
      </w:r>
      <w:r w:rsidRPr="00CC1707">
        <w:rPr>
          <w:rFonts w:ascii="Arial" w:hAnsi="Arial" w:cs="Arial"/>
        </w:rPr>
        <w:tab/>
        <w:t>Neutropenia includes neutrophil count decreased.</w:t>
      </w:r>
    </w:p>
    <w:p w14:paraId="3ADF9FE5" w14:textId="791C84D4" w:rsidR="00270AA3" w:rsidRDefault="00270AA3" w:rsidP="00270AA3">
      <w:pPr>
        <w:pStyle w:val="TableFootnote025Hanging"/>
        <w:keepNext/>
        <w:keepLines/>
        <w:ind w:left="180" w:hanging="180"/>
        <w:rPr>
          <w:rFonts w:ascii="Arial" w:hAnsi="Arial" w:cs="Arial"/>
        </w:rPr>
      </w:pPr>
      <w:r w:rsidRPr="00CC1707">
        <w:rPr>
          <w:rFonts w:ascii="Arial" w:hAnsi="Arial" w:cs="Arial"/>
          <w:vertAlign w:val="superscript"/>
        </w:rPr>
        <w:t>d</w:t>
      </w:r>
      <w:r w:rsidRPr="00CC1707">
        <w:rPr>
          <w:rFonts w:ascii="Arial" w:hAnsi="Arial" w:cs="Arial"/>
        </w:rPr>
        <w:tab/>
        <w:t>Peripheral neuropathy includes peripheral sensory neuropathy, peripheral motor neuropathy, neuropathy peripheral, peripheral sensorimotor neuropathy, neuralgia, and polyneuropathy.</w:t>
      </w:r>
    </w:p>
    <w:p w14:paraId="1BBBCBF5" w14:textId="58A1EC4B" w:rsidR="00AF3D0F" w:rsidRPr="00CC1707" w:rsidRDefault="00AF3D0F" w:rsidP="00270AA3">
      <w:pPr>
        <w:pStyle w:val="TableFootnote025Hanging"/>
        <w:keepNext/>
        <w:keepLines/>
        <w:ind w:left="180" w:hanging="180"/>
        <w:rPr>
          <w:rFonts w:ascii="Arial" w:hAnsi="Arial" w:cs="Arial"/>
        </w:rPr>
      </w:pPr>
      <w:proofErr w:type="gramStart"/>
      <w:r>
        <w:rPr>
          <w:rFonts w:ascii="Arial" w:hAnsi="Arial" w:cs="Arial"/>
          <w:vertAlign w:val="superscript"/>
        </w:rPr>
        <w:t>e</w:t>
      </w:r>
      <w:r w:rsidRPr="008B6246">
        <w:rPr>
          <w:rFonts w:ascii="Arial" w:hAnsi="Arial" w:cs="Arial"/>
          <w:vertAlign w:val="superscript"/>
        </w:rPr>
        <w:t xml:space="preserve"> </w:t>
      </w:r>
      <w:r>
        <w:rPr>
          <w:rFonts w:ascii="Arial" w:hAnsi="Arial" w:cs="Arial"/>
          <w:vertAlign w:val="superscript"/>
        </w:rPr>
        <w:t xml:space="preserve"> </w:t>
      </w:r>
      <w:r w:rsidR="00752A96">
        <w:rPr>
          <w:rFonts w:ascii="Arial" w:hAnsi="Arial" w:cs="Arial"/>
          <w:lang w:val="en-AU"/>
        </w:rPr>
        <w:t>Rash</w:t>
      </w:r>
      <w:proofErr w:type="gramEnd"/>
      <w:r w:rsidR="00752A96">
        <w:rPr>
          <w:rFonts w:ascii="Arial" w:hAnsi="Arial" w:cs="Arial"/>
          <w:lang w:val="en-AU"/>
        </w:rPr>
        <w:t xml:space="preserve"> includes</w:t>
      </w:r>
      <w:r w:rsidRPr="00AF3D0F">
        <w:rPr>
          <w:rFonts w:ascii="Arial" w:hAnsi="Arial" w:cs="Arial"/>
          <w:lang w:val="en-AU"/>
        </w:rPr>
        <w:t xml:space="preserve"> rash maculo-papular, rash erythematous, drug eruption, rash follicular, rash macular, and rash pustular</w:t>
      </w:r>
    </w:p>
    <w:p w14:paraId="6F1C82EE" w14:textId="5620A968" w:rsidR="00412867" w:rsidRPr="00412867" w:rsidRDefault="00412867" w:rsidP="00412867">
      <w:pPr>
        <w:pStyle w:val="BodyText"/>
        <w:rPr>
          <w:rFonts w:ascii="Arial" w:hAnsi="Arial" w:cs="Arial"/>
        </w:rPr>
      </w:pPr>
    </w:p>
    <w:p w14:paraId="33D7C724" w14:textId="77777777" w:rsidR="00412867" w:rsidRPr="00412867" w:rsidRDefault="00412867" w:rsidP="00412867">
      <w:pPr>
        <w:keepNext/>
        <w:tabs>
          <w:tab w:val="left" w:pos="567"/>
        </w:tabs>
        <w:spacing w:after="0"/>
        <w:rPr>
          <w:rFonts w:ascii="Arial" w:hAnsi="Arial" w:cs="Arial"/>
          <w:i/>
          <w:iCs/>
          <w:noProof/>
          <w:szCs w:val="24"/>
          <w:u w:val="single"/>
        </w:rPr>
      </w:pPr>
      <w:r w:rsidRPr="00412867">
        <w:rPr>
          <w:rFonts w:ascii="Arial" w:hAnsi="Arial" w:cs="Arial"/>
          <w:i/>
          <w:iCs/>
          <w:noProof/>
          <w:szCs w:val="24"/>
          <w:u w:val="single"/>
        </w:rPr>
        <w:t>Infections</w:t>
      </w:r>
    </w:p>
    <w:p w14:paraId="77FF9275" w14:textId="1713B535" w:rsidR="00412867" w:rsidRPr="00412867" w:rsidRDefault="00412867" w:rsidP="00412867">
      <w:pPr>
        <w:rPr>
          <w:rFonts w:ascii="Arial" w:hAnsi="Arial" w:cs="Arial"/>
          <w:color w:val="000000"/>
        </w:rPr>
      </w:pPr>
      <w:r w:rsidRPr="00412867">
        <w:rPr>
          <w:rFonts w:ascii="Arial" w:hAnsi="Arial" w:cs="Arial"/>
          <w:color w:val="000000"/>
        </w:rPr>
        <w:t xml:space="preserve">In the three randomised clinical studies, 40% (178/448) of patients treated with </w:t>
      </w:r>
      <w:r w:rsidR="003C332B">
        <w:rPr>
          <w:rFonts w:ascii="Arial" w:hAnsi="Arial" w:cs="Arial"/>
          <w:snapToGrid w:val="0"/>
          <w:szCs w:val="24"/>
        </w:rPr>
        <w:t>OMJJARA</w:t>
      </w:r>
      <w:r w:rsidRPr="00412867">
        <w:rPr>
          <w:rFonts w:ascii="Arial" w:hAnsi="Arial" w:cs="Arial"/>
          <w:snapToGrid w:val="0"/>
          <w:szCs w:val="24"/>
        </w:rPr>
        <w:t xml:space="preserve"> </w:t>
      </w:r>
      <w:r w:rsidRPr="00412867">
        <w:rPr>
          <w:rFonts w:ascii="Arial" w:hAnsi="Arial" w:cs="Arial"/>
          <w:color w:val="000000"/>
        </w:rPr>
        <w:t xml:space="preserve">experienced an infection. The most common infections (≥2%) were urinary tract infection (6%), upper respiratory tract infection (5%), pneumonia (3.6%), nasopharyngitis (2.9%), COVID-19 (2.7%), cystitis (2.7%), bronchitis (2.5%), and oral herpes (2.5%). </w:t>
      </w:r>
      <w:proofErr w:type="gramStart"/>
      <w:r w:rsidRPr="00412867">
        <w:rPr>
          <w:rFonts w:ascii="Arial" w:hAnsi="Arial" w:cs="Arial"/>
          <w:color w:val="000000"/>
        </w:rPr>
        <w:t>The majority of</w:t>
      </w:r>
      <w:proofErr w:type="gramEnd"/>
      <w:r w:rsidRPr="00412867">
        <w:rPr>
          <w:rFonts w:ascii="Arial" w:hAnsi="Arial" w:cs="Arial"/>
          <w:color w:val="000000"/>
        </w:rPr>
        <w:t xml:space="preserve"> infections were mild or moderate, while 10% (47/448) of patients experienced a severe infection </w:t>
      </w:r>
      <w:r w:rsidRPr="00412867">
        <w:rPr>
          <w:rFonts w:ascii="Arial" w:hAnsi="Arial" w:cs="Arial"/>
          <w:noProof/>
          <w:color w:val="000000"/>
        </w:rPr>
        <w:t>(≥</w:t>
      </w:r>
      <w:r w:rsidRPr="00412867">
        <w:rPr>
          <w:rFonts w:ascii="Arial" w:hAnsi="Arial" w:cs="Arial"/>
          <w:color w:val="000000"/>
        </w:rPr>
        <w:t> </w:t>
      </w:r>
      <w:r w:rsidRPr="00412867">
        <w:rPr>
          <w:rFonts w:ascii="Arial" w:hAnsi="Arial" w:cs="Arial"/>
          <w:noProof/>
          <w:color w:val="000000"/>
        </w:rPr>
        <w:t>Grade</w:t>
      </w:r>
      <w:r w:rsidRPr="00412867">
        <w:rPr>
          <w:rFonts w:ascii="Arial" w:hAnsi="Arial" w:cs="Arial"/>
          <w:color w:val="000000"/>
        </w:rPr>
        <w:t> </w:t>
      </w:r>
      <w:r w:rsidRPr="00412867">
        <w:rPr>
          <w:rFonts w:ascii="Arial" w:hAnsi="Arial" w:cs="Arial"/>
          <w:noProof/>
          <w:color w:val="000000"/>
        </w:rPr>
        <w:t>3)</w:t>
      </w:r>
      <w:r w:rsidRPr="00412867">
        <w:rPr>
          <w:rFonts w:ascii="Arial" w:hAnsi="Arial" w:cs="Arial"/>
          <w:color w:val="000000"/>
        </w:rPr>
        <w:t xml:space="preserve">. </w:t>
      </w:r>
      <w:r w:rsidRPr="00412867">
        <w:rPr>
          <w:rFonts w:ascii="Arial" w:hAnsi="Arial" w:cs="Arial"/>
          <w:noProof/>
          <w:color w:val="000000"/>
        </w:rPr>
        <w:t xml:space="preserve">The proportion of patients discontinuing treatment due to </w:t>
      </w:r>
      <w:r w:rsidRPr="00412867">
        <w:rPr>
          <w:rFonts w:ascii="Arial" w:hAnsi="Arial" w:cs="Arial"/>
          <w:color w:val="000000"/>
        </w:rPr>
        <w:t>an infection</w:t>
      </w:r>
      <w:r w:rsidRPr="00412867">
        <w:rPr>
          <w:rFonts w:ascii="Arial" w:hAnsi="Arial" w:cs="Arial"/>
          <w:noProof/>
          <w:color w:val="000000"/>
        </w:rPr>
        <w:t xml:space="preserve"> was 2% (9/448). </w:t>
      </w:r>
      <w:r w:rsidRPr="00412867">
        <w:rPr>
          <w:rFonts w:ascii="Arial" w:hAnsi="Arial" w:cs="Arial"/>
          <w:color w:val="000000"/>
        </w:rPr>
        <w:t xml:space="preserve">Fatal infections were reported in 2.2% (10/448) of patients. </w:t>
      </w:r>
      <w:r w:rsidRPr="00412867">
        <w:rPr>
          <w:rFonts w:ascii="Arial" w:hAnsi="Arial" w:cs="Arial"/>
          <w:snapToGrid w:val="0"/>
          <w:szCs w:val="24"/>
        </w:rPr>
        <w:t xml:space="preserve">In the individual studies of MOMENTUM, SIMPLIFY-1, and SIMPLIFY-2, the rates of infections for </w:t>
      </w:r>
      <w:r w:rsidR="003C332B">
        <w:rPr>
          <w:rFonts w:ascii="Arial" w:hAnsi="Arial" w:cs="Arial"/>
          <w:snapToGrid w:val="0"/>
          <w:szCs w:val="24"/>
        </w:rPr>
        <w:t>OMJJARA</w:t>
      </w:r>
      <w:r w:rsidRPr="00412867">
        <w:rPr>
          <w:rFonts w:ascii="Arial" w:hAnsi="Arial" w:cs="Arial"/>
          <w:snapToGrid w:val="0"/>
          <w:szCs w:val="24"/>
        </w:rPr>
        <w:t xml:space="preserve"> were 34%, 36%, and 55%, respectively, compared with 35% for danazol, 43% for </w:t>
      </w:r>
      <w:proofErr w:type="spellStart"/>
      <w:r w:rsidRPr="00412867">
        <w:rPr>
          <w:rFonts w:ascii="Arial" w:hAnsi="Arial" w:cs="Arial"/>
          <w:snapToGrid w:val="0"/>
          <w:szCs w:val="24"/>
        </w:rPr>
        <w:t>ruxolitinib</w:t>
      </w:r>
      <w:proofErr w:type="spellEnd"/>
      <w:r w:rsidRPr="00412867">
        <w:rPr>
          <w:rFonts w:ascii="Arial" w:hAnsi="Arial" w:cs="Arial"/>
          <w:snapToGrid w:val="0"/>
          <w:szCs w:val="24"/>
        </w:rPr>
        <w:t>, and 42% for best available therapy.</w:t>
      </w:r>
    </w:p>
    <w:p w14:paraId="22A27F4D" w14:textId="77777777" w:rsidR="00412867" w:rsidRPr="00412867" w:rsidRDefault="00412867" w:rsidP="00412867">
      <w:pPr>
        <w:keepNext/>
        <w:tabs>
          <w:tab w:val="left" w:pos="567"/>
        </w:tabs>
        <w:spacing w:after="0"/>
        <w:rPr>
          <w:rFonts w:ascii="Arial" w:hAnsi="Arial" w:cs="Arial"/>
          <w:i/>
          <w:iCs/>
          <w:noProof/>
          <w:szCs w:val="24"/>
          <w:u w:val="single"/>
        </w:rPr>
      </w:pPr>
      <w:r w:rsidRPr="00412867">
        <w:rPr>
          <w:rFonts w:ascii="Arial" w:hAnsi="Arial" w:cs="Arial"/>
          <w:i/>
          <w:iCs/>
          <w:noProof/>
          <w:szCs w:val="24"/>
          <w:u w:val="single"/>
        </w:rPr>
        <w:lastRenderedPageBreak/>
        <w:t>Thrombocytopenia</w:t>
      </w:r>
    </w:p>
    <w:p w14:paraId="42462CE0" w14:textId="3C1CBA70" w:rsidR="00E07011" w:rsidRDefault="00412867" w:rsidP="005B2812">
      <w:pPr>
        <w:rPr>
          <w:rFonts w:ascii="Arial" w:hAnsi="Arial" w:cs="Arial"/>
          <w:snapToGrid w:val="0"/>
          <w:szCs w:val="24"/>
        </w:rPr>
      </w:pPr>
      <w:r w:rsidRPr="00412867">
        <w:rPr>
          <w:rFonts w:ascii="Arial" w:hAnsi="Arial" w:cs="Arial"/>
          <w:snapToGrid w:val="0"/>
          <w:szCs w:val="24"/>
        </w:rPr>
        <w:t xml:space="preserve">In the three randomised clinical studies, 21% (94/448) of patients treated with </w:t>
      </w:r>
      <w:r w:rsidR="003C332B">
        <w:rPr>
          <w:rFonts w:ascii="Arial" w:hAnsi="Arial" w:cs="Arial"/>
          <w:snapToGrid w:val="0"/>
          <w:szCs w:val="24"/>
        </w:rPr>
        <w:t>OMJJARA</w:t>
      </w:r>
      <w:r w:rsidRPr="00412867">
        <w:rPr>
          <w:rFonts w:ascii="Arial" w:hAnsi="Arial" w:cs="Arial"/>
          <w:snapToGrid w:val="0"/>
          <w:szCs w:val="24"/>
        </w:rPr>
        <w:t xml:space="preserve"> experienced thrombocytopenia; 12% (54/448) of patients treated with </w:t>
      </w:r>
      <w:r w:rsidR="003C332B">
        <w:rPr>
          <w:rFonts w:ascii="Arial" w:hAnsi="Arial" w:cs="Arial"/>
          <w:snapToGrid w:val="0"/>
          <w:szCs w:val="24"/>
        </w:rPr>
        <w:t>OMJJARA</w:t>
      </w:r>
      <w:r w:rsidRPr="00412867">
        <w:rPr>
          <w:rFonts w:ascii="Arial" w:hAnsi="Arial" w:cs="Arial"/>
          <w:snapToGrid w:val="0"/>
          <w:szCs w:val="24"/>
        </w:rPr>
        <w:t xml:space="preserve"> experienced severe thrombocytopenia (≥ Grade 3). The proportion of patients discontinuing treatment due to thrombocytopenia was 2.5% (11/448). In the individual studies of MOMENTUM, SIMPLIFY-1, and SIMPLIFY-2, the rates of thrombocytopenia for </w:t>
      </w:r>
      <w:r w:rsidR="003C332B">
        <w:rPr>
          <w:rFonts w:ascii="Arial" w:hAnsi="Arial" w:cs="Arial"/>
          <w:snapToGrid w:val="0"/>
          <w:szCs w:val="24"/>
        </w:rPr>
        <w:t>OMJJARA</w:t>
      </w:r>
      <w:r w:rsidRPr="00412867">
        <w:rPr>
          <w:rFonts w:ascii="Arial" w:hAnsi="Arial" w:cs="Arial"/>
          <w:snapToGrid w:val="0"/>
          <w:szCs w:val="24"/>
        </w:rPr>
        <w:t xml:space="preserve"> were 28%, 19%, and 17%, respectively, compared with 15% for danazol, 29% for </w:t>
      </w:r>
      <w:proofErr w:type="spellStart"/>
      <w:r w:rsidRPr="00412867">
        <w:rPr>
          <w:rFonts w:ascii="Arial" w:hAnsi="Arial" w:cs="Arial"/>
          <w:snapToGrid w:val="0"/>
          <w:szCs w:val="24"/>
        </w:rPr>
        <w:t>ruxolitinib</w:t>
      </w:r>
      <w:proofErr w:type="spellEnd"/>
      <w:r w:rsidRPr="00412867">
        <w:rPr>
          <w:rFonts w:ascii="Arial" w:hAnsi="Arial" w:cs="Arial"/>
          <w:snapToGrid w:val="0"/>
          <w:szCs w:val="24"/>
        </w:rPr>
        <w:t>, and 12% for best available therapy.</w:t>
      </w:r>
    </w:p>
    <w:p w14:paraId="5A773993" w14:textId="77777777" w:rsidR="001E31E9" w:rsidRPr="008B6246" w:rsidRDefault="001E31E9" w:rsidP="008B6246">
      <w:pPr>
        <w:spacing w:after="0"/>
        <w:rPr>
          <w:rFonts w:ascii="Arial" w:hAnsi="Arial" w:cs="Arial"/>
          <w:i/>
          <w:iCs/>
          <w:snapToGrid w:val="0"/>
          <w:szCs w:val="24"/>
          <w:u w:val="single"/>
          <w:lang w:val="en-GB"/>
        </w:rPr>
      </w:pPr>
      <w:r w:rsidRPr="008B6246">
        <w:rPr>
          <w:rFonts w:ascii="Arial" w:hAnsi="Arial" w:cs="Arial"/>
          <w:i/>
          <w:iCs/>
          <w:snapToGrid w:val="0"/>
          <w:szCs w:val="24"/>
          <w:u w:val="single"/>
          <w:lang w:val="en-GB"/>
        </w:rPr>
        <w:t>Elevated ALT/AST</w:t>
      </w:r>
    </w:p>
    <w:p w14:paraId="321185C6" w14:textId="43E042A9" w:rsidR="001E31E9" w:rsidRDefault="001E31E9" w:rsidP="005B2812">
      <w:pPr>
        <w:rPr>
          <w:rFonts w:ascii="Arial" w:hAnsi="Arial" w:cs="Arial"/>
          <w:snapToGrid w:val="0"/>
          <w:szCs w:val="24"/>
          <w:lang w:val="en-GB"/>
        </w:rPr>
      </w:pPr>
      <w:r w:rsidRPr="001E31E9">
        <w:rPr>
          <w:rFonts w:ascii="Arial" w:hAnsi="Arial" w:cs="Arial"/>
          <w:snapToGrid w:val="0"/>
          <w:szCs w:val="24"/>
          <w:lang w:val="en-GB"/>
        </w:rPr>
        <w:t xml:space="preserve">In the three randomised clinical trials, new or worsening elevations of ALT and AST (all grades) occurred in 20% (88/448) and 20% (90/448), respectively, of patients treated with </w:t>
      </w:r>
      <w:r>
        <w:rPr>
          <w:rFonts w:ascii="Arial" w:hAnsi="Arial" w:cs="Arial"/>
          <w:snapToGrid w:val="0"/>
          <w:szCs w:val="24"/>
          <w:lang w:val="en-GB"/>
        </w:rPr>
        <w:t>OMJJARA</w:t>
      </w:r>
      <w:r w:rsidRPr="001E31E9">
        <w:rPr>
          <w:rFonts w:ascii="Arial" w:hAnsi="Arial" w:cs="Arial"/>
          <w:snapToGrid w:val="0"/>
          <w:szCs w:val="24"/>
          <w:lang w:val="en-GB"/>
        </w:rPr>
        <w:t xml:space="preserve">; Grade 3 and 4 transaminase elevations occurred in 1.1% (5/448) and 0.2% (1/448) of patients, respectively. Reversible drug-induced liver injury has been reported in patients with myelofibrosis treated with </w:t>
      </w:r>
      <w:r>
        <w:rPr>
          <w:rFonts w:ascii="Arial" w:hAnsi="Arial" w:cs="Arial"/>
          <w:snapToGrid w:val="0"/>
          <w:szCs w:val="24"/>
          <w:lang w:val="en-GB"/>
        </w:rPr>
        <w:t>OMJJARA</w:t>
      </w:r>
      <w:r w:rsidRPr="001E31E9">
        <w:rPr>
          <w:rFonts w:ascii="Arial" w:hAnsi="Arial" w:cs="Arial"/>
          <w:snapToGrid w:val="0"/>
          <w:szCs w:val="24"/>
          <w:lang w:val="en-GB"/>
        </w:rPr>
        <w:t xml:space="preserve"> in clinical trials.</w:t>
      </w:r>
    </w:p>
    <w:p w14:paraId="5C6F3C32" w14:textId="2CDF68DA" w:rsidR="0030352D" w:rsidRPr="008B6246" w:rsidRDefault="0030352D" w:rsidP="005B2812">
      <w:pPr>
        <w:rPr>
          <w:rFonts w:ascii="Arial" w:hAnsi="Arial" w:cs="Arial"/>
          <w:b/>
          <w:bCs/>
          <w:snapToGrid w:val="0"/>
          <w:szCs w:val="24"/>
          <w:lang w:val="en-GB"/>
        </w:rPr>
      </w:pPr>
      <w:r w:rsidRPr="008B6246">
        <w:rPr>
          <w:rFonts w:ascii="Arial" w:hAnsi="Arial" w:cs="Arial"/>
          <w:b/>
          <w:bCs/>
          <w:snapToGrid w:val="0"/>
          <w:szCs w:val="24"/>
          <w:lang w:val="en-GB"/>
        </w:rPr>
        <w:t>Post-marketing data</w:t>
      </w:r>
    </w:p>
    <w:p w14:paraId="5AE9CAC9" w14:textId="1B62A556" w:rsidR="0030352D" w:rsidRDefault="008E304B" w:rsidP="005B2812">
      <w:pPr>
        <w:rPr>
          <w:rFonts w:ascii="Arial" w:hAnsi="Arial" w:cs="Arial"/>
          <w:i/>
          <w:iCs/>
          <w:snapToGrid w:val="0"/>
          <w:szCs w:val="24"/>
          <w:u w:val="single"/>
          <w:lang w:val="en-GB"/>
        </w:rPr>
      </w:pPr>
      <w:r>
        <w:rPr>
          <w:rFonts w:ascii="Arial" w:hAnsi="Arial" w:cs="Arial"/>
          <w:i/>
          <w:iCs/>
          <w:snapToGrid w:val="0"/>
          <w:szCs w:val="24"/>
          <w:u w:val="single"/>
          <w:lang w:val="en-GB"/>
        </w:rPr>
        <w:t>Skin and subcutaneous tissue disorders</w:t>
      </w:r>
    </w:p>
    <w:p w14:paraId="14680E8D" w14:textId="3633CF0E" w:rsidR="008E304B" w:rsidRPr="008B6246" w:rsidRDefault="008E304B" w:rsidP="005B2812">
      <w:pPr>
        <w:rPr>
          <w:rFonts w:ascii="Arial" w:hAnsi="Arial" w:cs="Arial"/>
          <w:snapToGrid w:val="0"/>
          <w:szCs w:val="24"/>
          <w:lang w:val="en-GB"/>
        </w:rPr>
      </w:pPr>
      <w:r>
        <w:rPr>
          <w:rFonts w:ascii="Arial" w:hAnsi="Arial" w:cs="Arial"/>
          <w:snapToGrid w:val="0"/>
          <w:szCs w:val="24"/>
          <w:lang w:val="en-GB"/>
        </w:rPr>
        <w:t>Rash:  Cases of rash requir</w:t>
      </w:r>
      <w:r w:rsidR="009651F7">
        <w:rPr>
          <w:rFonts w:ascii="Arial" w:hAnsi="Arial" w:cs="Arial"/>
          <w:snapToGrid w:val="0"/>
          <w:szCs w:val="24"/>
          <w:lang w:val="en-GB"/>
        </w:rPr>
        <w:t>ing hospitalisation have been reported.</w:t>
      </w:r>
    </w:p>
    <w:p w14:paraId="268E7652" w14:textId="44E200DC" w:rsidR="00E42B91" w:rsidRPr="00270AA3" w:rsidRDefault="00E42B91" w:rsidP="005B2812">
      <w:pPr>
        <w:rPr>
          <w:rFonts w:ascii="Arial" w:hAnsi="Arial" w:cs="Arial"/>
          <w:snapToGrid w:val="0"/>
          <w:szCs w:val="24"/>
        </w:rPr>
      </w:pPr>
      <w:r w:rsidRPr="00E42B91">
        <w:rPr>
          <w:rFonts w:ascii="Arial" w:hAnsi="Arial" w:cs="Arial"/>
          <w:b/>
          <w:lang w:val="en"/>
        </w:rPr>
        <w:t>Reporting suspected adverse effects</w:t>
      </w:r>
    </w:p>
    <w:p w14:paraId="425DF783" w14:textId="77777777" w:rsidR="005B2812" w:rsidRPr="00071855" w:rsidRDefault="005B2812" w:rsidP="005B2812">
      <w:pPr>
        <w:rPr>
          <w:rFonts w:ascii="Arial" w:hAnsi="Arial" w:cs="Arial"/>
        </w:rPr>
      </w:pPr>
      <w:r w:rsidRPr="00071855">
        <w:rPr>
          <w:rFonts w:ascii="Arial" w:hAnsi="Arial"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071855">
          <w:rPr>
            <w:rStyle w:val="Hyperlink"/>
            <w:rFonts w:ascii="Arial" w:hAnsi="Arial" w:cs="Arial"/>
            <w:lang w:val="en"/>
          </w:rPr>
          <w:t>www.tga.gov.au/reporting-problems</w:t>
        </w:r>
      </w:hyperlink>
      <w:r w:rsidRPr="00071855">
        <w:rPr>
          <w:rFonts w:ascii="Arial" w:hAnsi="Arial" w:cs="Arial"/>
          <w:lang w:val="en"/>
        </w:rPr>
        <w:t>.</w:t>
      </w:r>
    </w:p>
    <w:p w14:paraId="29ED409F" w14:textId="6EA3C953"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OVERDOSE</w:t>
      </w:r>
      <w:r w:rsidR="00CE6790">
        <w:rPr>
          <w:rFonts w:ascii="Arial" w:hAnsi="Arial" w:cs="Arial"/>
          <w:smallCaps w:val="0"/>
        </w:rPr>
        <w:fldChar w:fldCharType="begin"/>
      </w:r>
      <w:r w:rsidR="00CE6790">
        <w:rPr>
          <w:rFonts w:ascii="Arial" w:hAnsi="Arial" w:cs="Arial"/>
          <w:smallCaps w:val="0"/>
        </w:rPr>
        <w:instrText xml:space="preserve"> DOCVARIABLE VAULT_ND_c3735149-f4df-4ed4-82a0-fcfc220ea4c3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1BF9ECF3" w14:textId="6D7A75AC" w:rsidR="00F02752" w:rsidRPr="00F02752" w:rsidRDefault="00F02752" w:rsidP="006E595D">
      <w:pPr>
        <w:rPr>
          <w:rFonts w:ascii="Arial" w:hAnsi="Arial" w:cs="Arial"/>
          <w:iCs/>
        </w:rPr>
      </w:pPr>
      <w:r w:rsidRPr="00F02752">
        <w:rPr>
          <w:rFonts w:ascii="Arial" w:hAnsi="Arial" w:cs="Arial"/>
          <w:iCs/>
        </w:rPr>
        <w:t xml:space="preserve">There is currently limited experience of overdosage with </w:t>
      </w:r>
      <w:r w:rsidR="003C332B">
        <w:rPr>
          <w:rFonts w:ascii="Arial" w:hAnsi="Arial" w:cs="Arial"/>
          <w:iCs/>
        </w:rPr>
        <w:t>OMJJARA</w:t>
      </w:r>
      <w:r w:rsidRPr="00F02752">
        <w:rPr>
          <w:rFonts w:ascii="Arial" w:hAnsi="Arial" w:cs="Arial"/>
          <w:iCs/>
        </w:rPr>
        <w:t>. If overdose is suspected, the patient should be monitored for any signs or symptoms of adverse reactions or effects, and appropriate standard of care measures should be instituted immediately. Further management should be as clinically indicated or as recommended by the national poisons centre, where available.</w:t>
      </w:r>
    </w:p>
    <w:p w14:paraId="39BDC05F" w14:textId="77777777" w:rsidR="005B2812" w:rsidRPr="00071855" w:rsidRDefault="005B2812" w:rsidP="005B2812">
      <w:pPr>
        <w:rPr>
          <w:rFonts w:ascii="Arial" w:hAnsi="Arial" w:cs="Arial"/>
        </w:rPr>
      </w:pPr>
      <w:r w:rsidRPr="00071855">
        <w:rPr>
          <w:rFonts w:ascii="Arial" w:hAnsi="Arial" w:cs="Arial"/>
          <w:lang w:val="en"/>
        </w:rPr>
        <w:t>For information on the management of overdose, contact the Poisons Information Centre on 13 11 26 (Australia).</w:t>
      </w:r>
    </w:p>
    <w:p w14:paraId="3F89D753" w14:textId="2EA2E021" w:rsidR="001A3992" w:rsidRPr="005E53D5" w:rsidRDefault="001A3992" w:rsidP="001A3992">
      <w:pPr>
        <w:pStyle w:val="Heading1"/>
        <w:spacing w:before="0" w:after="120"/>
        <w:rPr>
          <w:rFonts w:ascii="Arial" w:hAnsi="Arial" w:cs="Arial"/>
          <w:lang w:val="en-US"/>
        </w:rPr>
      </w:pPr>
      <w:r w:rsidRPr="005E53D5">
        <w:rPr>
          <w:rFonts w:ascii="Arial" w:hAnsi="Arial" w:cs="Arial"/>
          <w:lang w:val="en-US"/>
        </w:rPr>
        <w:t>Pharmacological properties</w:t>
      </w:r>
      <w:r w:rsidR="00CE6790" w:rsidRPr="005E53D5">
        <w:rPr>
          <w:rFonts w:ascii="Arial" w:hAnsi="Arial" w:cs="Arial"/>
          <w:lang w:val="en-US"/>
        </w:rPr>
        <w:fldChar w:fldCharType="begin"/>
      </w:r>
      <w:r w:rsidR="00CE6790" w:rsidRPr="005E53D5">
        <w:rPr>
          <w:rFonts w:ascii="Arial" w:hAnsi="Arial" w:cs="Arial"/>
          <w:lang w:val="en-US"/>
        </w:rPr>
        <w:instrText xml:space="preserve"> DOCVARIABLE VAULT_ND_9600c13c-ddbf-4e44-bc57-c61d186e2703 \* MERGEFORMAT </w:instrText>
      </w:r>
      <w:r w:rsidR="00CE6790" w:rsidRPr="005E53D5">
        <w:rPr>
          <w:rFonts w:ascii="Arial" w:hAnsi="Arial" w:cs="Arial"/>
          <w:lang w:val="en-US"/>
        </w:rPr>
        <w:fldChar w:fldCharType="separate"/>
      </w:r>
      <w:r w:rsidR="00CE6790" w:rsidRPr="005E53D5">
        <w:rPr>
          <w:rFonts w:ascii="Arial" w:hAnsi="Arial" w:cs="Arial"/>
          <w:lang w:val="en-US"/>
        </w:rPr>
        <w:t xml:space="preserve"> </w:t>
      </w:r>
      <w:r w:rsidR="00CE6790" w:rsidRPr="005E53D5">
        <w:rPr>
          <w:rFonts w:ascii="Arial" w:hAnsi="Arial" w:cs="Arial"/>
          <w:lang w:val="en-US"/>
        </w:rPr>
        <w:fldChar w:fldCharType="end"/>
      </w:r>
    </w:p>
    <w:p w14:paraId="26166AB0" w14:textId="3101D35D"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PHARMACODYNAMIC PROPERTIES</w:t>
      </w:r>
      <w:r w:rsidR="00CE6790">
        <w:rPr>
          <w:rFonts w:ascii="Arial" w:hAnsi="Arial" w:cs="Arial"/>
          <w:smallCaps w:val="0"/>
        </w:rPr>
        <w:fldChar w:fldCharType="begin"/>
      </w:r>
      <w:r w:rsidR="00CE6790">
        <w:rPr>
          <w:rFonts w:ascii="Arial" w:hAnsi="Arial" w:cs="Arial"/>
          <w:smallCaps w:val="0"/>
        </w:rPr>
        <w:instrText xml:space="preserve"> DOCVARIABLE VAULT_ND_b41c5eb5-3f68-465e-b742-67135bfc4b2d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56C23B4C" w14:textId="19DEBAB2" w:rsidR="00CF3CD7" w:rsidRDefault="001A3992" w:rsidP="00CF3CD7">
      <w:pPr>
        <w:pStyle w:val="Heading3"/>
        <w:spacing w:before="0" w:after="120"/>
        <w:rPr>
          <w:rFonts w:ascii="Arial" w:hAnsi="Arial" w:cs="Arial"/>
        </w:rPr>
      </w:pPr>
      <w:r w:rsidRPr="00071855">
        <w:rPr>
          <w:rFonts w:ascii="Arial" w:hAnsi="Arial" w:cs="Arial"/>
        </w:rPr>
        <w:t>Mechanism of action</w:t>
      </w:r>
      <w:r w:rsidR="00CE6790">
        <w:rPr>
          <w:rFonts w:ascii="Arial" w:hAnsi="Arial" w:cs="Arial"/>
        </w:rPr>
        <w:fldChar w:fldCharType="begin"/>
      </w:r>
      <w:r w:rsidR="00CE6790">
        <w:rPr>
          <w:rFonts w:ascii="Arial" w:hAnsi="Arial" w:cs="Arial"/>
        </w:rPr>
        <w:instrText xml:space="preserve"> DOCVARIABLE vault_nd_df4e7e72-3c90-4b5b-92bb-0bbf8a917b21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4C5AED5A" w14:textId="1FCE4F09" w:rsidR="00CF3CD7" w:rsidRPr="00CF3CD7" w:rsidRDefault="006911E8" w:rsidP="00CF3CD7">
      <w:pPr>
        <w:rPr>
          <w:rFonts w:ascii="Arial" w:hAnsi="Arial" w:cs="Arial"/>
        </w:rPr>
      </w:pPr>
      <w:r w:rsidRPr="006911E8">
        <w:rPr>
          <w:rFonts w:ascii="Arial" w:hAnsi="Arial" w:cs="Arial"/>
        </w:rPr>
        <w:t>Myelofibrosis is a myeloproliferative neoplasm associated with constitutive activation and dysregulated Janus Kinase (JAK) signalling that contributes to elevated inflammation and hyperactivation of activin A receptor type 1 (ACVR1), also known as activin receptor-like kinase 2 (ALK2)</w:t>
      </w:r>
      <w:r>
        <w:rPr>
          <w:rFonts w:ascii="Arial" w:hAnsi="Arial" w:cs="Arial"/>
        </w:rPr>
        <w:t xml:space="preserve">. </w:t>
      </w:r>
      <w:r w:rsidRPr="006911E8">
        <w:rPr>
          <w:rFonts w:ascii="Arial" w:hAnsi="Arial" w:cs="Arial"/>
        </w:rPr>
        <w:t>Momelotinib and its major circulating metabolite (M21)</w:t>
      </w:r>
      <w:r>
        <w:rPr>
          <w:rFonts w:ascii="Arial" w:hAnsi="Arial" w:cs="Arial"/>
        </w:rPr>
        <w:t xml:space="preserve"> are</w:t>
      </w:r>
      <w:r w:rsidR="00CF3CD7" w:rsidRPr="00CF3CD7">
        <w:rPr>
          <w:rFonts w:ascii="Arial" w:hAnsi="Arial" w:cs="Arial"/>
        </w:rPr>
        <w:t xml:space="preserve"> inhibitor</w:t>
      </w:r>
      <w:r>
        <w:rPr>
          <w:rFonts w:ascii="Arial" w:hAnsi="Arial" w:cs="Arial"/>
        </w:rPr>
        <w:t>s</w:t>
      </w:r>
      <w:r w:rsidR="00CF3CD7" w:rsidRPr="00CF3CD7">
        <w:rPr>
          <w:rFonts w:ascii="Arial" w:hAnsi="Arial" w:cs="Arial"/>
        </w:rPr>
        <w:t xml:space="preserve"> of wild </w:t>
      </w:r>
      <w:r w:rsidR="00CF3CD7" w:rsidRPr="00CF3CD7">
        <w:rPr>
          <w:rFonts w:ascii="Arial" w:hAnsi="Arial" w:cs="Arial"/>
        </w:rPr>
        <w:lastRenderedPageBreak/>
        <w:t>type Janus Kinase 1 and 2 (JAK1/JAK2) and mutant JAK2</w:t>
      </w:r>
      <w:r w:rsidR="00CF3CD7" w:rsidRPr="00CF3CD7">
        <w:rPr>
          <w:rFonts w:ascii="Arial" w:hAnsi="Arial" w:cs="Arial"/>
          <w:vertAlign w:val="superscript"/>
        </w:rPr>
        <w:t>V617F</w:t>
      </w:r>
      <w:r w:rsidR="00CF3CD7" w:rsidRPr="00CF3CD7">
        <w:rPr>
          <w:rFonts w:ascii="Arial" w:hAnsi="Arial" w:cs="Arial"/>
        </w:rPr>
        <w:t xml:space="preserve">, which contribute to signalling of </w:t>
      </w:r>
      <w:proofErr w:type="gramStart"/>
      <w:r w:rsidR="00CF3CD7" w:rsidRPr="00CF3CD7">
        <w:rPr>
          <w:rFonts w:ascii="Arial" w:hAnsi="Arial" w:cs="Arial"/>
        </w:rPr>
        <w:t>a number of</w:t>
      </w:r>
      <w:proofErr w:type="gramEnd"/>
      <w:r w:rsidR="00CF3CD7" w:rsidRPr="00CF3CD7">
        <w:rPr>
          <w:rFonts w:ascii="Arial" w:hAnsi="Arial" w:cs="Arial"/>
        </w:rPr>
        <w:t xml:space="preserve"> cytokines and growth factors that are important for haematopoiesis and immune function. JAK1 and JAK2 recruit and activate STAT (signal transducer and </w:t>
      </w:r>
      <w:r w:rsidR="00341986">
        <w:rPr>
          <w:rFonts w:ascii="Arial" w:hAnsi="Arial" w:cs="Arial"/>
        </w:rPr>
        <w:t>activator</w:t>
      </w:r>
      <w:r w:rsidR="00CF3CD7" w:rsidRPr="00CF3CD7">
        <w:rPr>
          <w:rFonts w:ascii="Arial" w:hAnsi="Arial" w:cs="Arial"/>
        </w:rPr>
        <w:t xml:space="preserve"> of transcription) proteins that control gene transcription impacting inflammation, haematopoiesis, and immune regulation. </w:t>
      </w:r>
      <w:r>
        <w:rPr>
          <w:rFonts w:ascii="Arial" w:hAnsi="Arial" w:cs="Arial"/>
        </w:rPr>
        <w:t>Momelotinib</w:t>
      </w:r>
      <w:r w:rsidRPr="00CF3CD7">
        <w:rPr>
          <w:rFonts w:ascii="Arial" w:hAnsi="Arial" w:cs="Arial"/>
        </w:rPr>
        <w:t xml:space="preserve"> </w:t>
      </w:r>
      <w:r w:rsidR="00CF3CD7" w:rsidRPr="00CF3CD7">
        <w:rPr>
          <w:rFonts w:ascii="Arial" w:hAnsi="Arial" w:cs="Arial"/>
        </w:rPr>
        <w:t xml:space="preserve">and its major human circulating metabolite, M21, additionally inhibit ACVR1 which subsequently down regulates liver hepcidin expression resulting in increased iron availability and red blood cell production. </w:t>
      </w:r>
      <w:r w:rsidR="00A3113D" w:rsidRPr="00A3113D">
        <w:rPr>
          <w:rFonts w:ascii="Arial" w:hAnsi="Arial" w:cs="Arial"/>
        </w:rPr>
        <w:t xml:space="preserve">Momelotinib and M21 potentially inhibit additional kinases, such as other JAK family members, </w:t>
      </w:r>
      <w:proofErr w:type="spellStart"/>
      <w:r w:rsidR="00A3113D" w:rsidRPr="00A3113D">
        <w:rPr>
          <w:rFonts w:ascii="Arial" w:hAnsi="Arial" w:cs="Arial"/>
        </w:rPr>
        <w:t>IκB</w:t>
      </w:r>
      <w:proofErr w:type="spellEnd"/>
      <w:r w:rsidR="00A3113D" w:rsidRPr="00A3113D">
        <w:rPr>
          <w:rFonts w:ascii="Arial" w:hAnsi="Arial" w:cs="Arial"/>
        </w:rPr>
        <w:t xml:space="preserve"> kinase (IKK), interleukin-1 receptor-associated kinase 1 (IRAK1), and others.</w:t>
      </w:r>
      <w:r w:rsidR="00A3113D" w:rsidRPr="00A3113D" w:rsidDel="00A3113D">
        <w:rPr>
          <w:rFonts w:ascii="Arial" w:hAnsi="Arial" w:cs="Arial"/>
        </w:rPr>
        <w:t xml:space="preserve"> </w:t>
      </w:r>
    </w:p>
    <w:p w14:paraId="32867C9D" w14:textId="721DE113" w:rsidR="00F02752" w:rsidRPr="00071855" w:rsidRDefault="00F02752" w:rsidP="00F02752">
      <w:pPr>
        <w:pStyle w:val="Heading3"/>
        <w:spacing w:before="0" w:after="120"/>
        <w:rPr>
          <w:rFonts w:ascii="Arial" w:hAnsi="Arial" w:cs="Arial"/>
        </w:rPr>
      </w:pPr>
      <w:r>
        <w:rPr>
          <w:rFonts w:ascii="Arial" w:hAnsi="Arial" w:cs="Arial"/>
        </w:rPr>
        <w:t>Pharmacodynamic effects</w:t>
      </w:r>
      <w:r w:rsidR="00CE6790">
        <w:rPr>
          <w:rFonts w:ascii="Arial" w:hAnsi="Arial" w:cs="Arial"/>
        </w:rPr>
        <w:fldChar w:fldCharType="begin"/>
      </w:r>
      <w:r w:rsidR="00CE6790">
        <w:rPr>
          <w:rFonts w:ascii="Arial" w:hAnsi="Arial" w:cs="Arial"/>
        </w:rPr>
        <w:instrText xml:space="preserve"> DOCVARIABLE vault_nd_0a8e1e65-c253-44fe-a567-d9e4001a1bdb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6DC17A87" w14:textId="124D263C" w:rsidR="00F02752" w:rsidRDefault="00B52DB1" w:rsidP="00F02752">
      <w:pPr>
        <w:rPr>
          <w:rFonts w:ascii="Arial" w:hAnsi="Arial" w:cs="Arial"/>
        </w:rPr>
      </w:pPr>
      <w:r>
        <w:rPr>
          <w:rFonts w:ascii="Arial" w:hAnsi="Arial" w:cs="Arial"/>
        </w:rPr>
        <w:t>OMJJARA</w:t>
      </w:r>
      <w:r w:rsidR="00CF3CD7" w:rsidRPr="00CF3CD7">
        <w:rPr>
          <w:rFonts w:ascii="Arial" w:hAnsi="Arial" w:cs="Arial"/>
        </w:rPr>
        <w:t xml:space="preserve"> inhibits cytokine-induced STAT3 phosphorylation in whole blood from patients with myelofibrosis. Maximal inhibition of STAT3 phosphorylation occurred 2 hours after </w:t>
      </w:r>
      <w:r>
        <w:rPr>
          <w:rFonts w:ascii="Arial" w:hAnsi="Arial" w:cs="Arial"/>
        </w:rPr>
        <w:t>OMJJARA</w:t>
      </w:r>
      <w:r w:rsidR="00CF3CD7" w:rsidRPr="00CF3CD7">
        <w:rPr>
          <w:rFonts w:ascii="Arial" w:hAnsi="Arial" w:cs="Arial"/>
        </w:rPr>
        <w:t xml:space="preserve"> dosing with inhibition persisting for at least 6 hours. </w:t>
      </w:r>
      <w:r>
        <w:rPr>
          <w:rFonts w:ascii="Arial" w:hAnsi="Arial" w:cs="Arial"/>
        </w:rPr>
        <w:t>OMJJARA</w:t>
      </w:r>
      <w:r w:rsidR="00CF3CD7" w:rsidRPr="00CF3CD7">
        <w:rPr>
          <w:rFonts w:ascii="Arial" w:hAnsi="Arial" w:cs="Arial"/>
        </w:rPr>
        <w:t xml:space="preserve"> also demonstrated both acute and prolonged reduction of circulating hepcidin in patients with myelofibrosis, resulting in increased iron availability and erythropoiesis.</w:t>
      </w:r>
    </w:p>
    <w:p w14:paraId="114A2279" w14:textId="4B1C7DA2" w:rsidR="00CF3CD7" w:rsidRPr="00071855" w:rsidRDefault="00CF3CD7" w:rsidP="00CF3CD7">
      <w:pPr>
        <w:pStyle w:val="Heading3"/>
        <w:spacing w:before="0" w:after="120"/>
        <w:rPr>
          <w:rFonts w:ascii="Arial" w:hAnsi="Arial" w:cs="Arial"/>
        </w:rPr>
      </w:pPr>
      <w:r>
        <w:rPr>
          <w:rFonts w:ascii="Arial" w:hAnsi="Arial" w:cs="Arial"/>
        </w:rPr>
        <w:t>Cardiovascular effects</w:t>
      </w:r>
      <w:r w:rsidR="00CE6790">
        <w:rPr>
          <w:rFonts w:ascii="Arial" w:hAnsi="Arial" w:cs="Arial"/>
        </w:rPr>
        <w:fldChar w:fldCharType="begin"/>
      </w:r>
      <w:r w:rsidR="00CE6790">
        <w:rPr>
          <w:rFonts w:ascii="Arial" w:hAnsi="Arial" w:cs="Arial"/>
        </w:rPr>
        <w:instrText xml:space="preserve"> DOCVARIABLE vault_nd_c91f6482-14de-4fc5-98d6-6e75b11e690d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65049A4B" w14:textId="749904FA" w:rsidR="00620B94" w:rsidRPr="00F02752" w:rsidRDefault="00CF3CD7" w:rsidP="00F02752">
      <w:r w:rsidRPr="00CF3CD7">
        <w:rPr>
          <w:rFonts w:ascii="Arial" w:hAnsi="Arial" w:cs="Arial"/>
        </w:rPr>
        <w:t xml:space="preserve">At a dose of 4 times the highest recommended starting dosage of 200 mg, </w:t>
      </w:r>
      <w:r w:rsidR="00B52DB1">
        <w:rPr>
          <w:rFonts w:ascii="Arial" w:hAnsi="Arial" w:cs="Arial"/>
        </w:rPr>
        <w:t>OMJJARA</w:t>
      </w:r>
      <w:r w:rsidRPr="00CF3CD7">
        <w:rPr>
          <w:rFonts w:ascii="Arial" w:hAnsi="Arial" w:cs="Arial"/>
        </w:rPr>
        <w:t xml:space="preserve"> did not prolong the QT interval to any clinically relevant extent.</w:t>
      </w:r>
    </w:p>
    <w:p w14:paraId="4B118576" w14:textId="6F920CE9" w:rsidR="003C332B" w:rsidRPr="003C332B" w:rsidRDefault="001A3992" w:rsidP="003C332B">
      <w:pPr>
        <w:pStyle w:val="Heading3"/>
        <w:spacing w:before="0" w:after="120"/>
        <w:ind w:left="0"/>
        <w:rPr>
          <w:rFonts w:ascii="Arial" w:hAnsi="Arial" w:cs="Arial"/>
          <w:lang w:val="en-US"/>
        </w:rPr>
      </w:pPr>
      <w:r w:rsidRPr="00071855">
        <w:rPr>
          <w:rFonts w:ascii="Arial" w:hAnsi="Arial" w:cs="Arial"/>
        </w:rPr>
        <w:t>Clinical</w:t>
      </w:r>
      <w:r w:rsidRPr="00071855">
        <w:rPr>
          <w:rFonts w:ascii="Arial" w:hAnsi="Arial" w:cs="Arial"/>
          <w:lang w:val="en-US"/>
        </w:rPr>
        <w:t xml:space="preserve"> trials</w:t>
      </w:r>
      <w:r w:rsidR="00CE6790">
        <w:rPr>
          <w:rFonts w:ascii="Arial" w:hAnsi="Arial" w:cs="Arial"/>
          <w:lang w:val="en-US"/>
        </w:rPr>
        <w:fldChar w:fldCharType="begin"/>
      </w:r>
      <w:r w:rsidR="00CE6790">
        <w:rPr>
          <w:rFonts w:ascii="Arial" w:hAnsi="Arial" w:cs="Arial"/>
          <w:lang w:val="en-US"/>
        </w:rPr>
        <w:instrText xml:space="preserve"> DOCVARIABLE vault_nd_7f6694aa-6a14-4c94-85a9-1abaebb9045e \* MERGEFORMAT </w:instrText>
      </w:r>
      <w:r w:rsidR="00CE6790">
        <w:rPr>
          <w:rFonts w:ascii="Arial" w:hAnsi="Arial" w:cs="Arial"/>
          <w:lang w:val="en-US"/>
        </w:rPr>
        <w:fldChar w:fldCharType="separate"/>
      </w:r>
      <w:r w:rsidR="00CE6790">
        <w:rPr>
          <w:rFonts w:ascii="Arial" w:hAnsi="Arial" w:cs="Arial"/>
          <w:lang w:val="en-US"/>
        </w:rPr>
        <w:t xml:space="preserve"> </w:t>
      </w:r>
      <w:r w:rsidR="00CE6790">
        <w:rPr>
          <w:rFonts w:ascii="Arial" w:hAnsi="Arial" w:cs="Arial"/>
          <w:lang w:val="en-US"/>
        </w:rPr>
        <w:fldChar w:fldCharType="end"/>
      </w:r>
    </w:p>
    <w:p w14:paraId="64404CA9" w14:textId="0AD3E108" w:rsidR="00ED23A7" w:rsidRDefault="00833027" w:rsidP="00071855">
      <w:pPr>
        <w:rPr>
          <w:rFonts w:ascii="Arial" w:hAnsi="Arial" w:cs="Arial"/>
          <w:iCs/>
        </w:rPr>
      </w:pPr>
      <w:r w:rsidRPr="00833027">
        <w:rPr>
          <w:rFonts w:ascii="Arial" w:hAnsi="Arial" w:cs="Arial"/>
          <w:iCs/>
        </w:rPr>
        <w:t xml:space="preserve">The efficacy of </w:t>
      </w:r>
      <w:r w:rsidR="003C332B">
        <w:rPr>
          <w:rFonts w:ascii="Arial" w:hAnsi="Arial" w:cs="Arial"/>
          <w:iCs/>
        </w:rPr>
        <w:t>OMJJARA</w:t>
      </w:r>
      <w:r w:rsidRPr="00833027">
        <w:rPr>
          <w:rFonts w:ascii="Arial" w:hAnsi="Arial" w:cs="Arial"/>
          <w:iCs/>
        </w:rPr>
        <w:t xml:space="preserve"> in the treatment of patients with intermediate</w:t>
      </w:r>
      <w:r>
        <w:rPr>
          <w:rFonts w:ascii="Arial" w:hAnsi="Arial" w:cs="Arial"/>
          <w:iCs/>
        </w:rPr>
        <w:t>-</w:t>
      </w:r>
      <w:r w:rsidRPr="00833027">
        <w:rPr>
          <w:rFonts w:ascii="Arial" w:hAnsi="Arial" w:cs="Arial"/>
          <w:iCs/>
        </w:rPr>
        <w:t>1, intermediate</w:t>
      </w:r>
      <w:r>
        <w:rPr>
          <w:rFonts w:ascii="Arial" w:hAnsi="Arial" w:cs="Arial"/>
          <w:iCs/>
        </w:rPr>
        <w:t>-</w:t>
      </w:r>
      <w:r w:rsidRPr="00833027">
        <w:rPr>
          <w:rFonts w:ascii="Arial" w:hAnsi="Arial" w:cs="Arial"/>
          <w:iCs/>
        </w:rPr>
        <w:t xml:space="preserve">2, or high-risk myelofibrosis, including primary myelofibrosis, post-polycythaemia vera (post-PV) myelofibrosis or post-essential </w:t>
      </w:r>
      <w:proofErr w:type="spellStart"/>
      <w:r w:rsidRPr="00833027">
        <w:rPr>
          <w:rFonts w:ascii="Arial" w:hAnsi="Arial" w:cs="Arial"/>
          <w:iCs/>
        </w:rPr>
        <w:t>thrombocythaemia</w:t>
      </w:r>
      <w:proofErr w:type="spellEnd"/>
      <w:r w:rsidRPr="00833027">
        <w:rPr>
          <w:rFonts w:ascii="Arial" w:hAnsi="Arial" w:cs="Arial"/>
          <w:iCs/>
        </w:rPr>
        <w:t xml:space="preserve"> (post-ET) myelofibrosis, was established in two randomised, active-controlled Phase 3 studies, MOMENTUM and SIMPLIFY</w:t>
      </w:r>
      <w:r>
        <w:rPr>
          <w:rFonts w:ascii="Arial" w:hAnsi="Arial" w:cs="Arial"/>
          <w:iCs/>
        </w:rPr>
        <w:t>-</w:t>
      </w:r>
      <w:r w:rsidRPr="00833027">
        <w:rPr>
          <w:rFonts w:ascii="Arial" w:hAnsi="Arial" w:cs="Arial"/>
          <w:iCs/>
        </w:rPr>
        <w:t xml:space="preserve">1. All patients received a starting dose of </w:t>
      </w:r>
      <w:r w:rsidR="003C332B">
        <w:rPr>
          <w:rFonts w:ascii="Arial" w:hAnsi="Arial" w:cs="Arial"/>
          <w:iCs/>
        </w:rPr>
        <w:t>OMJJARA</w:t>
      </w:r>
      <w:r w:rsidRPr="00833027">
        <w:rPr>
          <w:rFonts w:ascii="Arial" w:hAnsi="Arial" w:cs="Arial"/>
          <w:iCs/>
        </w:rPr>
        <w:t xml:space="preserve"> 200 mg once daily, irrespective of their baseline platelet count (in MOMENTUM study, the minimum platelet count was 25</w:t>
      </w:r>
      <w:r>
        <w:rPr>
          <w:rFonts w:ascii="Arial" w:hAnsi="Arial" w:cs="Arial"/>
          <w:iCs/>
        </w:rPr>
        <w:t xml:space="preserve"> x</w:t>
      </w:r>
      <w:r w:rsidRPr="00833027">
        <w:rPr>
          <w:rFonts w:ascii="Arial" w:hAnsi="Arial" w:cs="Arial"/>
          <w:iCs/>
        </w:rPr>
        <w:t xml:space="preserve"> 10</w:t>
      </w:r>
      <w:r w:rsidRPr="00833027">
        <w:rPr>
          <w:rFonts w:ascii="Arial" w:hAnsi="Arial" w:cs="Arial"/>
          <w:iCs/>
          <w:vertAlign w:val="superscript"/>
        </w:rPr>
        <w:t>9</w:t>
      </w:r>
      <w:r w:rsidRPr="00833027">
        <w:rPr>
          <w:rFonts w:ascii="Arial" w:hAnsi="Arial" w:cs="Arial"/>
          <w:iCs/>
        </w:rPr>
        <w:t xml:space="preserve">/L; in SIMPLIFY 1 study, the minimum platelet count was 50 </w:t>
      </w:r>
      <w:r>
        <w:rPr>
          <w:rFonts w:ascii="Arial" w:hAnsi="Arial" w:cs="Arial"/>
          <w:iCs/>
        </w:rPr>
        <w:t xml:space="preserve">x </w:t>
      </w:r>
      <w:r w:rsidRPr="00833027">
        <w:rPr>
          <w:rFonts w:ascii="Arial" w:hAnsi="Arial" w:cs="Arial"/>
          <w:iCs/>
        </w:rPr>
        <w:t>10</w:t>
      </w:r>
      <w:r w:rsidRPr="00833027">
        <w:rPr>
          <w:rFonts w:ascii="Arial" w:hAnsi="Arial" w:cs="Arial"/>
          <w:iCs/>
          <w:vertAlign w:val="superscript"/>
        </w:rPr>
        <w:t>9</w:t>
      </w:r>
      <w:r w:rsidRPr="00833027">
        <w:rPr>
          <w:rFonts w:ascii="Arial" w:hAnsi="Arial" w:cs="Arial"/>
          <w:iCs/>
        </w:rPr>
        <w:t>/L).</w:t>
      </w:r>
    </w:p>
    <w:p w14:paraId="1C653BE1" w14:textId="77777777" w:rsidR="00833027" w:rsidRPr="008B6246" w:rsidRDefault="00833027" w:rsidP="00833027">
      <w:pPr>
        <w:pStyle w:val="BodyText"/>
        <w:keepNext/>
        <w:rPr>
          <w:rFonts w:ascii="Arial" w:hAnsi="Arial" w:cs="Arial"/>
          <w:u w:val="single"/>
        </w:rPr>
      </w:pPr>
      <w:r w:rsidRPr="008B6246">
        <w:rPr>
          <w:rFonts w:ascii="Arial" w:hAnsi="Arial" w:cs="Arial"/>
          <w:u w:val="single"/>
        </w:rPr>
        <w:t>MOMENTUM</w:t>
      </w:r>
    </w:p>
    <w:p w14:paraId="1320C9C7" w14:textId="3C60287D" w:rsidR="003435F9" w:rsidRPr="008B6246" w:rsidRDefault="003435F9" w:rsidP="00833027">
      <w:pPr>
        <w:rPr>
          <w:rFonts w:ascii="Arial" w:hAnsi="Arial" w:cs="Arial"/>
          <w:i/>
          <w:iCs/>
          <w:noProof/>
        </w:rPr>
      </w:pPr>
      <w:r>
        <w:rPr>
          <w:rFonts w:ascii="Arial" w:hAnsi="Arial" w:cs="Arial"/>
          <w:i/>
          <w:iCs/>
          <w:noProof/>
        </w:rPr>
        <w:t>Myelofibrosis patients who have been treated with ruxolitinib</w:t>
      </w:r>
    </w:p>
    <w:p w14:paraId="6B64FDB0" w14:textId="53843CE4" w:rsidR="00833027" w:rsidRPr="00F016DE" w:rsidRDefault="00833027" w:rsidP="00833027">
      <w:pPr>
        <w:rPr>
          <w:rFonts w:ascii="Arial" w:hAnsi="Arial" w:cs="Arial"/>
        </w:rPr>
      </w:pPr>
      <w:r w:rsidRPr="00F016DE">
        <w:rPr>
          <w:rFonts w:ascii="Arial" w:hAnsi="Arial" w:cs="Arial"/>
          <w:noProof/>
        </w:rPr>
        <w:t xml:space="preserve">MOMENTUM </w:t>
      </w:r>
      <w:r w:rsidRPr="00F016DE">
        <w:rPr>
          <w:rFonts w:ascii="Arial" w:hAnsi="Arial" w:cs="Arial"/>
        </w:rPr>
        <w:t>was a double-blind, 2:1 randomised, active-controlled study in 195 symptomatic and anaemic patients with myelofibrosis who had previously received a JAK inhibitor. The median age was 71 years (range 38 to 86 years); 79% were 65 years or older and 63% were male. Sixty-four percent (64%) of patients had primary myelofibrosis, 19% had post-PV myelofibrosis, and 17% had post-ET myelofibrosis. Five percent (5%) of patients had intermediate-1 risk, 57% had intermediate-2 risk, and 35% had high-risk disease. Patients were symptomatic with a Myelofibrosis Symptom Assessment Form (MFSAF) v4.0 total symptom score (TSS) of ≥10 at screening (mean MFSAF TSS 27 at baseline), and anaemic with haemoglobin (Hgb) &lt;10 g/dL. The MFSAF daily diary captured the core symptoms of myelofibrosis: night sweats, abdominal discomfort, pain under the left rib, fatigue/tiredness, early satiety, pruritus, and</w:t>
      </w:r>
      <w:r w:rsidR="00BB14C2" w:rsidRPr="00F016DE">
        <w:rPr>
          <w:rFonts w:ascii="Arial" w:hAnsi="Arial" w:cs="Arial"/>
        </w:rPr>
        <w:t xml:space="preserve"> bone pain. Within the 8 weeks prior to enrolment, 79% had red blood cell transfusions. At baseline, 13% and 15% of patients were </w:t>
      </w:r>
      <w:r w:rsidR="00BB14C2" w:rsidRPr="00F016DE">
        <w:rPr>
          <w:rFonts w:ascii="Arial" w:hAnsi="Arial" w:cs="Arial"/>
        </w:rPr>
        <w:lastRenderedPageBreak/>
        <w:t xml:space="preserve">transfusion independent in the </w:t>
      </w:r>
      <w:r w:rsidR="003C332B" w:rsidRPr="00F016DE">
        <w:rPr>
          <w:rFonts w:ascii="Arial" w:hAnsi="Arial" w:cs="Arial"/>
        </w:rPr>
        <w:t>OMJJARA</w:t>
      </w:r>
      <w:r w:rsidR="00BB14C2" w:rsidRPr="00F016DE">
        <w:rPr>
          <w:rFonts w:ascii="Arial" w:hAnsi="Arial" w:cs="Arial"/>
        </w:rPr>
        <w:t xml:space="preserve"> and danazol groups, respectively. The baseline median Hgb was 8 g/</w:t>
      </w:r>
      <w:proofErr w:type="gramStart"/>
      <w:r w:rsidR="00BB14C2" w:rsidRPr="00F016DE">
        <w:rPr>
          <w:rFonts w:ascii="Arial" w:hAnsi="Arial" w:cs="Arial"/>
        </w:rPr>
        <w:t>dL</w:t>
      </w:r>
      <w:proofErr w:type="gramEnd"/>
      <w:r w:rsidR="00BB14C2" w:rsidRPr="00F016DE">
        <w:rPr>
          <w:rFonts w:ascii="Arial" w:hAnsi="Arial" w:cs="Arial"/>
        </w:rPr>
        <w:t xml:space="preserve"> and the median platelet count was 96 × 10</w:t>
      </w:r>
      <w:r w:rsidR="00BB14C2" w:rsidRPr="00F016DE">
        <w:rPr>
          <w:rFonts w:ascii="Arial" w:hAnsi="Arial" w:cs="Arial"/>
          <w:vertAlign w:val="superscript"/>
        </w:rPr>
        <w:t>9</w:t>
      </w:r>
      <w:r w:rsidR="00BB14C2" w:rsidRPr="00F016DE">
        <w:rPr>
          <w:rFonts w:ascii="Arial" w:hAnsi="Arial" w:cs="Arial"/>
        </w:rPr>
        <w:t>/L. The baseline median palpable spleen length was 11.0 cm below the left costal margin; the median spleen volume [measured by magnetic resonance imaging (MRI) or computed tomography (CT)] was 2105 cm</w:t>
      </w:r>
      <w:r w:rsidR="00BB14C2" w:rsidRPr="00F016DE">
        <w:rPr>
          <w:rFonts w:ascii="Arial" w:hAnsi="Arial" w:cs="Arial"/>
          <w:vertAlign w:val="superscript"/>
        </w:rPr>
        <w:t>3</w:t>
      </w:r>
      <w:r w:rsidR="00BB14C2" w:rsidRPr="00F016DE">
        <w:rPr>
          <w:rFonts w:ascii="Arial" w:hAnsi="Arial" w:cs="Arial"/>
        </w:rPr>
        <w:t xml:space="preserve"> (range 610 to 9717 cm</w:t>
      </w:r>
      <w:r w:rsidR="00BB14C2" w:rsidRPr="00F016DE">
        <w:rPr>
          <w:rFonts w:ascii="Arial" w:hAnsi="Arial" w:cs="Arial"/>
          <w:vertAlign w:val="superscript"/>
        </w:rPr>
        <w:t>3</w:t>
      </w:r>
      <w:r w:rsidR="00BB14C2" w:rsidRPr="00F016DE">
        <w:rPr>
          <w:rFonts w:ascii="Arial" w:hAnsi="Arial" w:cs="Arial"/>
        </w:rPr>
        <w:t>).</w:t>
      </w:r>
    </w:p>
    <w:p w14:paraId="00C0D874" w14:textId="6606037F" w:rsidR="00451CFA" w:rsidRPr="00F016DE" w:rsidRDefault="00BB14C2" w:rsidP="005F0772">
      <w:pPr>
        <w:pStyle w:val="BodyText"/>
        <w:ind w:right="228"/>
        <w:rPr>
          <w:rFonts w:ascii="Arial" w:hAnsi="Arial" w:cs="Arial"/>
        </w:rPr>
      </w:pPr>
      <w:r w:rsidRPr="00F016DE">
        <w:rPr>
          <w:rFonts w:ascii="Arial" w:hAnsi="Arial" w:cs="Arial"/>
        </w:rPr>
        <w:t xml:space="preserve">Patients were treated with </w:t>
      </w:r>
      <w:r w:rsidR="003C332B" w:rsidRPr="00F016DE">
        <w:rPr>
          <w:rFonts w:ascii="Arial" w:hAnsi="Arial" w:cs="Arial"/>
        </w:rPr>
        <w:t>OMJJARA</w:t>
      </w:r>
      <w:r w:rsidRPr="00F016DE">
        <w:rPr>
          <w:rFonts w:ascii="Arial" w:hAnsi="Arial" w:cs="Arial"/>
        </w:rPr>
        <w:t xml:space="preserve"> 200 mg once daily or danazol 300 mg twice daily for 24 weeks, followed by open-label treatment with </w:t>
      </w:r>
      <w:r w:rsidR="003C332B" w:rsidRPr="00F016DE">
        <w:rPr>
          <w:rFonts w:ascii="Arial" w:hAnsi="Arial" w:cs="Arial"/>
        </w:rPr>
        <w:t>OMJJARA</w:t>
      </w:r>
      <w:r w:rsidRPr="00F016DE">
        <w:rPr>
          <w:rFonts w:ascii="Arial" w:hAnsi="Arial" w:cs="Arial"/>
        </w:rPr>
        <w:t>.</w:t>
      </w:r>
      <w:r w:rsidR="00451CFA" w:rsidRPr="00F016DE">
        <w:rPr>
          <w:rFonts w:ascii="Arial" w:hAnsi="Arial" w:cs="Arial"/>
        </w:rPr>
        <w:t xml:space="preserve"> The two primary efficacy endpoints were</w:t>
      </w:r>
      <w:r w:rsidR="005F0772">
        <w:rPr>
          <w:rFonts w:ascii="Arial" w:hAnsi="Arial" w:cs="Arial"/>
        </w:rPr>
        <w:t xml:space="preserve"> </w:t>
      </w:r>
      <w:r w:rsidR="00451CFA" w:rsidRPr="00F016DE">
        <w:rPr>
          <w:rFonts w:ascii="Arial" w:hAnsi="Arial" w:cs="Arial"/>
        </w:rPr>
        <w:t>percentage of patients with total symptom score (TSS) reduction of 50% or greater from baseline to week 24 (as measured by the Myelofibrosis Symptom Assessment Form [MFSAF] v4.0), and the percentage of patients who were transfusion independent (TI) at week 24 (defined as no transfusions and all haemoglobin values ≥8</w:t>
      </w:r>
      <w:r w:rsidR="002011FA">
        <w:rPr>
          <w:rFonts w:ascii="Arial" w:hAnsi="Arial" w:cs="Arial"/>
        </w:rPr>
        <w:t> </w:t>
      </w:r>
      <w:r w:rsidR="00451CFA" w:rsidRPr="00F016DE">
        <w:rPr>
          <w:rFonts w:ascii="Arial" w:hAnsi="Arial" w:cs="Arial"/>
        </w:rPr>
        <w:t xml:space="preserve">g/dL in the 12 weeks prior to week 24). </w:t>
      </w:r>
    </w:p>
    <w:p w14:paraId="1819D51E" w14:textId="3185BCE9" w:rsidR="00CA5682" w:rsidRDefault="00E62B0A" w:rsidP="00BB14C2">
      <w:pPr>
        <w:pStyle w:val="BodyText"/>
        <w:ind w:right="228"/>
        <w:rPr>
          <w:rFonts w:ascii="Arial" w:hAnsi="Arial" w:cs="Arial"/>
        </w:rPr>
      </w:pPr>
      <w:r>
        <w:rPr>
          <w:rFonts w:ascii="Arial" w:hAnsi="Arial" w:cs="Arial"/>
        </w:rPr>
        <w:t xml:space="preserve">The efficacy of OMJJARA in the treatment of patients with primary </w:t>
      </w:r>
      <w:r w:rsidR="00F519A4">
        <w:rPr>
          <w:rFonts w:ascii="Arial" w:hAnsi="Arial" w:cs="Arial"/>
        </w:rPr>
        <w:t xml:space="preserve">or secondary myelofibrosis and </w:t>
      </w:r>
      <w:r w:rsidR="00822657">
        <w:rPr>
          <w:rFonts w:ascii="Arial" w:hAnsi="Arial" w:cs="Arial"/>
        </w:rPr>
        <w:t xml:space="preserve">anaemia was established based on a significantly higher percentage of patients treated with OMJJARA compared to </w:t>
      </w:r>
      <w:r w:rsidR="003162EE">
        <w:rPr>
          <w:rFonts w:ascii="Arial" w:hAnsi="Arial" w:cs="Arial"/>
        </w:rPr>
        <w:t xml:space="preserve">danazol, achieving a MFSAF v4.0 Total Symptom Score reduction of 50% or more at Week 24 compared with their own baseline score and by establishing non-inferiority of OMJJARA with danazol in transfusion independence in the last 12 weeks of randomised treatment. </w:t>
      </w:r>
    </w:p>
    <w:p w14:paraId="154074B7" w14:textId="1A4F8191" w:rsidR="00BB14C2" w:rsidRPr="00F016DE" w:rsidRDefault="00CA5682" w:rsidP="00BB14C2">
      <w:pPr>
        <w:pStyle w:val="BodyText"/>
        <w:ind w:right="228"/>
        <w:rPr>
          <w:rFonts w:ascii="Arial" w:hAnsi="Arial" w:cs="Arial"/>
        </w:rPr>
      </w:pPr>
      <w:r w:rsidRPr="00F016DE">
        <w:rPr>
          <w:rFonts w:ascii="Arial" w:hAnsi="Arial" w:cs="Arial"/>
        </w:rPr>
        <w:t>A key secondary endpoint measured the percentage of subjects with ≥35% reduction in spleen volume from baseline at week 24.</w:t>
      </w:r>
      <w:r>
        <w:rPr>
          <w:rFonts w:ascii="Arial" w:hAnsi="Arial" w:cs="Arial"/>
        </w:rPr>
        <w:t xml:space="preserve"> At Week 24, a significantly higher percentage of patients treated with OMJJARA achieved a </w:t>
      </w:r>
      <w:r w:rsidR="00451CFA" w:rsidRPr="00F016DE">
        <w:rPr>
          <w:rFonts w:ascii="Arial" w:hAnsi="Arial" w:cs="Arial"/>
        </w:rPr>
        <w:t>spleen volume reduction by 35% or greater from baseline (</w:t>
      </w:r>
      <w:r w:rsidR="005A0003">
        <w:rPr>
          <w:rFonts w:ascii="Arial" w:hAnsi="Arial" w:cs="Arial"/>
        </w:rPr>
        <w:t>T</w:t>
      </w:r>
      <w:r w:rsidR="00451CFA" w:rsidRPr="00F016DE">
        <w:rPr>
          <w:rFonts w:ascii="Arial" w:hAnsi="Arial" w:cs="Arial"/>
        </w:rPr>
        <w:t xml:space="preserve">able </w:t>
      </w:r>
      <w:r w:rsidR="00620018">
        <w:rPr>
          <w:rFonts w:ascii="Arial" w:hAnsi="Arial" w:cs="Arial"/>
        </w:rPr>
        <w:t>4</w:t>
      </w:r>
      <w:r w:rsidR="00451CFA" w:rsidRPr="00F016DE">
        <w:rPr>
          <w:rFonts w:ascii="Arial" w:hAnsi="Arial" w:cs="Arial"/>
        </w:rPr>
        <w:t>).</w:t>
      </w:r>
      <w:r w:rsidR="00BB14C2" w:rsidRPr="00F016DE">
        <w:rPr>
          <w:rFonts w:ascii="Arial" w:hAnsi="Arial" w:cs="Arial"/>
        </w:rPr>
        <w:t xml:space="preserve"> </w:t>
      </w:r>
    </w:p>
    <w:p w14:paraId="250151AE" w14:textId="3EA73E7A" w:rsidR="00BB14C2" w:rsidRPr="00F016DE" w:rsidRDefault="00BB14C2" w:rsidP="00BB14C2">
      <w:pPr>
        <w:pStyle w:val="BodyText"/>
        <w:ind w:right="228"/>
        <w:rPr>
          <w:rFonts w:ascii="Arial" w:hAnsi="Arial" w:cs="Arial"/>
        </w:rPr>
      </w:pPr>
    </w:p>
    <w:p w14:paraId="204D75F0" w14:textId="77777777" w:rsidR="00BB14C2" w:rsidRPr="00F016DE" w:rsidRDefault="00BB14C2">
      <w:pPr>
        <w:rPr>
          <w:rFonts w:ascii="Arial" w:hAnsi="Arial" w:cs="Arial"/>
          <w:b/>
          <w:snapToGrid w:val="0"/>
          <w:color w:val="000000"/>
        </w:rPr>
      </w:pPr>
      <w:bookmarkStart w:id="4" w:name="_Ref104414913"/>
      <w:bookmarkStart w:id="5" w:name="_Hlk115954439"/>
      <w:r w:rsidRPr="00F016DE">
        <w:rPr>
          <w:rFonts w:ascii="Arial" w:hAnsi="Arial" w:cs="Arial"/>
          <w:b/>
          <w:snapToGrid w:val="0"/>
          <w:color w:val="000000"/>
        </w:rPr>
        <w:br w:type="page"/>
      </w:r>
    </w:p>
    <w:p w14:paraId="0030A252" w14:textId="772A538A" w:rsidR="00BB14C2" w:rsidRPr="00BB14C2" w:rsidRDefault="00BB14C2" w:rsidP="00BB14C2">
      <w:pPr>
        <w:keepNext/>
        <w:keepLines/>
        <w:widowControl w:val="0"/>
        <w:spacing w:after="0"/>
        <w:rPr>
          <w:rFonts w:ascii="Arial" w:hAnsi="Arial" w:cs="Arial"/>
          <w:b/>
          <w:snapToGrid w:val="0"/>
          <w:color w:val="000000"/>
        </w:rPr>
      </w:pPr>
      <w:r w:rsidRPr="00F016DE">
        <w:rPr>
          <w:rFonts w:ascii="Arial" w:hAnsi="Arial" w:cs="Arial"/>
          <w:b/>
          <w:snapToGrid w:val="0"/>
          <w:color w:val="000000"/>
        </w:rPr>
        <w:lastRenderedPageBreak/>
        <w:t>Table </w:t>
      </w:r>
      <w:bookmarkEnd w:id="4"/>
      <w:r w:rsidR="00620018">
        <w:rPr>
          <w:rFonts w:ascii="Arial" w:hAnsi="Arial" w:cs="Arial"/>
          <w:b/>
          <w:snapToGrid w:val="0"/>
          <w:color w:val="000000"/>
        </w:rPr>
        <w:t>4</w:t>
      </w:r>
      <w:r w:rsidRPr="00F016DE">
        <w:rPr>
          <w:rFonts w:ascii="Arial" w:hAnsi="Arial" w:cs="Arial"/>
          <w:b/>
          <w:snapToGrid w:val="0"/>
          <w:color w:val="000000"/>
        </w:rPr>
        <w:t xml:space="preserve"> </w:t>
      </w:r>
      <w:r w:rsidRPr="00F016DE">
        <w:rPr>
          <w:rFonts w:ascii="Arial" w:hAnsi="Arial" w:cs="Arial"/>
          <w:b/>
          <w:snapToGrid w:val="0"/>
          <w:color w:val="000000"/>
        </w:rPr>
        <w:tab/>
        <w:t>Efficacy Results of Patients Achieving Symptom Reduction, Transfus</w:t>
      </w:r>
      <w:r w:rsidRPr="00BB14C2">
        <w:rPr>
          <w:rFonts w:ascii="Arial" w:hAnsi="Arial" w:cs="Arial"/>
          <w:b/>
          <w:snapToGrid w:val="0"/>
          <w:color w:val="000000"/>
        </w:rPr>
        <w:t>ion Independence, and Spleen Volume Reduction at Week 24 (MOMENTUM)</w:t>
      </w:r>
    </w:p>
    <w:tbl>
      <w:tblPr>
        <w:tblW w:w="4783" w:type="pct"/>
        <w:tblBorders>
          <w:top w:val="single" w:sz="4" w:space="0" w:color="383A3B"/>
          <w:left w:val="single" w:sz="4" w:space="0" w:color="383A3B"/>
          <w:bottom w:val="single" w:sz="4" w:space="0" w:color="383A3B"/>
          <w:right w:val="single" w:sz="4" w:space="0" w:color="383A3B"/>
          <w:insideH w:val="single" w:sz="4" w:space="0" w:color="383A3B"/>
          <w:insideV w:val="single" w:sz="4" w:space="0" w:color="383A3B"/>
        </w:tblBorders>
        <w:tblLayout w:type="fixed"/>
        <w:tblCellMar>
          <w:left w:w="72" w:type="dxa"/>
          <w:right w:w="72" w:type="dxa"/>
        </w:tblCellMar>
        <w:tblLook w:val="04A0" w:firstRow="1" w:lastRow="0" w:firstColumn="1" w:lastColumn="0" w:noHBand="0" w:noVBand="1"/>
      </w:tblPr>
      <w:tblGrid>
        <w:gridCol w:w="3773"/>
        <w:gridCol w:w="1835"/>
        <w:gridCol w:w="1835"/>
        <w:gridCol w:w="1182"/>
      </w:tblGrid>
      <w:tr w:rsidR="00BB14C2" w:rsidRPr="00BB14C2" w14:paraId="5D479CEB" w14:textId="77777777">
        <w:trPr>
          <w:trHeight w:val="346"/>
          <w:tblHeader/>
        </w:trPr>
        <w:tc>
          <w:tcPr>
            <w:tcW w:w="2187" w:type="pct"/>
            <w:vMerge w:val="restart"/>
            <w:shd w:val="clear" w:color="auto" w:fill="auto"/>
            <w:tcMar>
              <w:top w:w="15" w:type="dxa"/>
              <w:left w:w="108" w:type="dxa"/>
              <w:bottom w:w="0" w:type="dxa"/>
              <w:right w:w="108" w:type="dxa"/>
            </w:tcMar>
            <w:vAlign w:val="bottom"/>
            <w:hideMark/>
          </w:tcPr>
          <w:p w14:paraId="64CFDB3C" w14:textId="77777777" w:rsidR="00BB14C2" w:rsidRPr="00BB14C2" w:rsidRDefault="00BB14C2">
            <w:pPr>
              <w:pStyle w:val="TableHeadCenter"/>
              <w:keepNext/>
              <w:jc w:val="left"/>
              <w:rPr>
                <w:rFonts w:ascii="Arial" w:hAnsi="Arial" w:cs="Arial"/>
                <w:sz w:val="22"/>
                <w:szCs w:val="22"/>
                <w:lang w:val="en-CA"/>
              </w:rPr>
            </w:pPr>
          </w:p>
        </w:tc>
        <w:tc>
          <w:tcPr>
            <w:tcW w:w="1064" w:type="pct"/>
            <w:tcBorders>
              <w:bottom w:val="single" w:sz="4" w:space="0" w:color="auto"/>
            </w:tcBorders>
            <w:shd w:val="clear" w:color="auto" w:fill="auto"/>
            <w:tcMar>
              <w:top w:w="15" w:type="dxa"/>
              <w:left w:w="108" w:type="dxa"/>
              <w:bottom w:w="0" w:type="dxa"/>
              <w:right w:w="108" w:type="dxa"/>
            </w:tcMar>
            <w:vAlign w:val="bottom"/>
            <w:hideMark/>
          </w:tcPr>
          <w:p w14:paraId="151A7686" w14:textId="678036E3" w:rsidR="00BB14C2" w:rsidRPr="00BB14C2" w:rsidRDefault="00B52DB1">
            <w:pPr>
              <w:pStyle w:val="TableHeadCenter"/>
              <w:keepNext/>
              <w:rPr>
                <w:rFonts w:ascii="Arial" w:hAnsi="Arial" w:cs="Arial"/>
                <w:sz w:val="22"/>
                <w:szCs w:val="22"/>
              </w:rPr>
            </w:pPr>
            <w:r>
              <w:rPr>
                <w:rFonts w:ascii="Arial" w:hAnsi="Arial" w:cs="Arial"/>
                <w:sz w:val="22"/>
                <w:szCs w:val="22"/>
              </w:rPr>
              <w:t>OMJJARA</w:t>
            </w:r>
          </w:p>
          <w:p w14:paraId="3341BFDB" w14:textId="77777777" w:rsidR="00BB14C2" w:rsidRPr="00BB14C2" w:rsidRDefault="00BB14C2">
            <w:pPr>
              <w:pStyle w:val="TableHeadCenter"/>
              <w:keepNext/>
              <w:rPr>
                <w:rFonts w:ascii="Arial" w:hAnsi="Arial" w:cs="Arial"/>
                <w:sz w:val="22"/>
                <w:szCs w:val="22"/>
                <w:lang w:val="en-CA"/>
              </w:rPr>
            </w:pPr>
            <w:r w:rsidRPr="00BB14C2">
              <w:rPr>
                <w:rFonts w:ascii="Arial" w:hAnsi="Arial" w:cs="Arial"/>
                <w:sz w:val="22"/>
                <w:szCs w:val="22"/>
                <w:lang w:val="en-CA"/>
              </w:rPr>
              <w:t>n = 130</w:t>
            </w:r>
          </w:p>
        </w:tc>
        <w:tc>
          <w:tcPr>
            <w:tcW w:w="1064" w:type="pct"/>
            <w:shd w:val="clear" w:color="auto" w:fill="auto"/>
            <w:tcMar>
              <w:top w:w="15" w:type="dxa"/>
              <w:left w:w="108" w:type="dxa"/>
              <w:bottom w:w="0" w:type="dxa"/>
              <w:right w:w="108" w:type="dxa"/>
            </w:tcMar>
            <w:vAlign w:val="bottom"/>
            <w:hideMark/>
          </w:tcPr>
          <w:p w14:paraId="7C6A11D7" w14:textId="77777777" w:rsidR="00BB14C2" w:rsidRPr="00BB14C2" w:rsidRDefault="00BB14C2">
            <w:pPr>
              <w:pStyle w:val="TableHeadCenter"/>
              <w:keepNext/>
              <w:rPr>
                <w:rFonts w:ascii="Arial" w:hAnsi="Arial" w:cs="Arial"/>
                <w:sz w:val="22"/>
                <w:szCs w:val="22"/>
              </w:rPr>
            </w:pPr>
            <w:r w:rsidRPr="00BB14C2">
              <w:rPr>
                <w:rFonts w:ascii="Arial" w:hAnsi="Arial" w:cs="Arial"/>
                <w:sz w:val="22"/>
                <w:szCs w:val="22"/>
              </w:rPr>
              <w:t>Danazol</w:t>
            </w:r>
          </w:p>
          <w:p w14:paraId="0C3B6AC8" w14:textId="77777777" w:rsidR="00BB14C2" w:rsidRPr="00BB14C2" w:rsidRDefault="00BB14C2">
            <w:pPr>
              <w:pStyle w:val="TableHeadCenter"/>
              <w:keepNext/>
              <w:rPr>
                <w:rFonts w:ascii="Arial" w:hAnsi="Arial" w:cs="Arial"/>
                <w:sz w:val="22"/>
                <w:szCs w:val="22"/>
              </w:rPr>
            </w:pPr>
            <w:r w:rsidRPr="00BB14C2">
              <w:rPr>
                <w:rFonts w:ascii="Arial" w:hAnsi="Arial" w:cs="Arial"/>
                <w:sz w:val="22"/>
                <w:szCs w:val="22"/>
              </w:rPr>
              <w:t>n = 65</w:t>
            </w:r>
          </w:p>
        </w:tc>
        <w:tc>
          <w:tcPr>
            <w:tcW w:w="685" w:type="pct"/>
            <w:vMerge w:val="restart"/>
            <w:shd w:val="clear" w:color="auto" w:fill="auto"/>
            <w:tcMar>
              <w:top w:w="15" w:type="dxa"/>
              <w:left w:w="108" w:type="dxa"/>
              <w:bottom w:w="0" w:type="dxa"/>
              <w:right w:w="108" w:type="dxa"/>
            </w:tcMar>
            <w:vAlign w:val="bottom"/>
            <w:hideMark/>
          </w:tcPr>
          <w:p w14:paraId="5E7C2FEE" w14:textId="77777777" w:rsidR="00BB14C2" w:rsidRPr="00BB14C2" w:rsidRDefault="00BB14C2">
            <w:pPr>
              <w:pStyle w:val="TableHeadCenter"/>
              <w:keepNext/>
              <w:rPr>
                <w:rFonts w:ascii="Arial" w:hAnsi="Arial" w:cs="Arial"/>
                <w:sz w:val="22"/>
                <w:szCs w:val="22"/>
              </w:rPr>
            </w:pPr>
            <w:r w:rsidRPr="00BB14C2">
              <w:rPr>
                <w:rFonts w:ascii="Arial" w:hAnsi="Arial" w:cs="Arial"/>
                <w:sz w:val="22"/>
                <w:szCs w:val="22"/>
              </w:rPr>
              <w:t>p-value</w:t>
            </w:r>
          </w:p>
        </w:tc>
      </w:tr>
      <w:tr w:rsidR="00BB14C2" w:rsidRPr="00BB14C2" w14:paraId="119802F5" w14:textId="77777777">
        <w:trPr>
          <w:trHeight w:val="346"/>
          <w:tblHeader/>
        </w:trPr>
        <w:tc>
          <w:tcPr>
            <w:tcW w:w="2187" w:type="pct"/>
            <w:vMerge/>
            <w:tcBorders>
              <w:bottom w:val="single" w:sz="4" w:space="0" w:color="auto"/>
            </w:tcBorders>
            <w:shd w:val="clear" w:color="auto" w:fill="auto"/>
            <w:tcMar>
              <w:top w:w="15" w:type="dxa"/>
              <w:left w:w="108" w:type="dxa"/>
              <w:bottom w:w="0" w:type="dxa"/>
              <w:right w:w="108" w:type="dxa"/>
            </w:tcMar>
            <w:vAlign w:val="bottom"/>
          </w:tcPr>
          <w:p w14:paraId="1F5BCCF3" w14:textId="77777777" w:rsidR="00BB14C2" w:rsidRPr="00BB14C2" w:rsidRDefault="00BB14C2">
            <w:pPr>
              <w:pStyle w:val="TableHeadCenter"/>
              <w:keepNext/>
              <w:jc w:val="left"/>
              <w:rPr>
                <w:rFonts w:ascii="Arial" w:hAnsi="Arial" w:cs="Arial"/>
                <w:sz w:val="22"/>
                <w:szCs w:val="22"/>
                <w:lang w:val="en-CA"/>
              </w:rPr>
            </w:pPr>
          </w:p>
        </w:tc>
        <w:tc>
          <w:tcPr>
            <w:tcW w:w="1064" w:type="pct"/>
            <w:tcBorders>
              <w:bottom w:val="single" w:sz="4" w:space="0" w:color="auto"/>
            </w:tcBorders>
            <w:shd w:val="clear" w:color="auto" w:fill="auto"/>
            <w:tcMar>
              <w:top w:w="15" w:type="dxa"/>
              <w:left w:w="108" w:type="dxa"/>
              <w:bottom w:w="0" w:type="dxa"/>
              <w:right w:w="108" w:type="dxa"/>
            </w:tcMar>
            <w:vAlign w:val="bottom"/>
          </w:tcPr>
          <w:p w14:paraId="1FD23722" w14:textId="77777777" w:rsidR="00BB14C2" w:rsidRPr="00BB14C2" w:rsidRDefault="00BB14C2">
            <w:pPr>
              <w:pStyle w:val="TableHeadCenter"/>
              <w:keepNext/>
              <w:rPr>
                <w:rFonts w:ascii="Arial" w:hAnsi="Arial" w:cs="Arial"/>
                <w:sz w:val="22"/>
                <w:szCs w:val="22"/>
                <w:lang w:val="en-CA"/>
              </w:rPr>
            </w:pPr>
            <w:r w:rsidRPr="00BB14C2">
              <w:rPr>
                <w:rFonts w:ascii="Arial" w:hAnsi="Arial" w:cs="Arial"/>
                <w:sz w:val="22"/>
                <w:szCs w:val="22"/>
                <w:lang w:val="en-CA"/>
              </w:rPr>
              <w:t>n</w:t>
            </w:r>
          </w:p>
          <w:p w14:paraId="5E99D74F" w14:textId="77777777" w:rsidR="00BB14C2" w:rsidRPr="00BB14C2" w:rsidRDefault="00BB14C2">
            <w:pPr>
              <w:pStyle w:val="TableHeadCenter"/>
              <w:keepNext/>
              <w:rPr>
                <w:rFonts w:ascii="Arial" w:hAnsi="Arial" w:cs="Arial"/>
                <w:sz w:val="22"/>
                <w:szCs w:val="22"/>
              </w:rPr>
            </w:pPr>
            <w:r w:rsidRPr="00BB14C2">
              <w:rPr>
                <w:rFonts w:ascii="Arial" w:hAnsi="Arial" w:cs="Arial"/>
                <w:sz w:val="22"/>
                <w:szCs w:val="22"/>
                <w:lang w:val="en-CA"/>
              </w:rPr>
              <w:t>%</w:t>
            </w:r>
          </w:p>
        </w:tc>
        <w:tc>
          <w:tcPr>
            <w:tcW w:w="1064" w:type="pct"/>
            <w:tcBorders>
              <w:bottom w:val="single" w:sz="4" w:space="0" w:color="auto"/>
            </w:tcBorders>
            <w:shd w:val="clear" w:color="auto" w:fill="auto"/>
            <w:tcMar>
              <w:top w:w="15" w:type="dxa"/>
              <w:left w:w="108" w:type="dxa"/>
              <w:bottom w:w="0" w:type="dxa"/>
              <w:right w:w="108" w:type="dxa"/>
            </w:tcMar>
            <w:vAlign w:val="bottom"/>
          </w:tcPr>
          <w:p w14:paraId="4EE5E83C" w14:textId="77777777" w:rsidR="00BB14C2" w:rsidRPr="00BB14C2" w:rsidRDefault="00BB14C2">
            <w:pPr>
              <w:pStyle w:val="TableHeadCenter"/>
              <w:keepNext/>
              <w:rPr>
                <w:rFonts w:ascii="Arial" w:hAnsi="Arial" w:cs="Arial"/>
                <w:sz w:val="22"/>
                <w:szCs w:val="22"/>
              </w:rPr>
            </w:pPr>
            <w:r w:rsidRPr="00BB14C2">
              <w:rPr>
                <w:rFonts w:ascii="Arial" w:hAnsi="Arial" w:cs="Arial"/>
                <w:sz w:val="22"/>
                <w:szCs w:val="22"/>
              </w:rPr>
              <w:t>n</w:t>
            </w:r>
          </w:p>
          <w:p w14:paraId="650B2D45" w14:textId="77777777" w:rsidR="00BB14C2" w:rsidRPr="00BB14C2" w:rsidRDefault="00BB14C2">
            <w:pPr>
              <w:pStyle w:val="TableHeadCenter"/>
              <w:keepNext/>
              <w:rPr>
                <w:rFonts w:ascii="Arial" w:hAnsi="Arial" w:cs="Arial"/>
                <w:sz w:val="22"/>
                <w:szCs w:val="22"/>
              </w:rPr>
            </w:pPr>
            <w:r w:rsidRPr="00BB14C2">
              <w:rPr>
                <w:rFonts w:ascii="Arial" w:hAnsi="Arial" w:cs="Arial"/>
                <w:sz w:val="22"/>
                <w:szCs w:val="22"/>
              </w:rPr>
              <w:t>%</w:t>
            </w:r>
          </w:p>
        </w:tc>
        <w:tc>
          <w:tcPr>
            <w:tcW w:w="685" w:type="pct"/>
            <w:vMerge/>
            <w:shd w:val="clear" w:color="auto" w:fill="auto"/>
            <w:tcMar>
              <w:top w:w="15" w:type="dxa"/>
              <w:left w:w="108" w:type="dxa"/>
              <w:bottom w:w="0" w:type="dxa"/>
              <w:right w:w="108" w:type="dxa"/>
            </w:tcMar>
            <w:vAlign w:val="bottom"/>
          </w:tcPr>
          <w:p w14:paraId="78D4AA59" w14:textId="77777777" w:rsidR="00BB14C2" w:rsidRPr="00BB14C2" w:rsidRDefault="00BB14C2">
            <w:pPr>
              <w:pStyle w:val="TableHeadCenter"/>
              <w:keepNext/>
              <w:rPr>
                <w:rFonts w:ascii="Arial" w:hAnsi="Arial" w:cs="Arial"/>
                <w:sz w:val="22"/>
                <w:szCs w:val="22"/>
              </w:rPr>
            </w:pPr>
          </w:p>
        </w:tc>
      </w:tr>
      <w:tr w:rsidR="00BB14C2" w:rsidRPr="00BB14C2" w14:paraId="79F18DD0" w14:textId="77777777">
        <w:trPr>
          <w:trHeight w:val="144"/>
        </w:trPr>
        <w:tc>
          <w:tcPr>
            <w:tcW w:w="2187" w:type="pct"/>
            <w:tcBorders>
              <w:top w:val="single" w:sz="4" w:space="0" w:color="auto"/>
              <w:left w:val="single" w:sz="4" w:space="0" w:color="auto"/>
              <w:bottom w:val="nil"/>
              <w:right w:val="single" w:sz="4" w:space="0" w:color="auto"/>
            </w:tcBorders>
            <w:shd w:val="clear" w:color="auto" w:fill="auto"/>
            <w:tcMar>
              <w:top w:w="15" w:type="dxa"/>
              <w:left w:w="108" w:type="dxa"/>
              <w:bottom w:w="0" w:type="dxa"/>
              <w:right w:w="108" w:type="dxa"/>
            </w:tcMar>
            <w:hideMark/>
          </w:tcPr>
          <w:p w14:paraId="0FB636C4" w14:textId="77777777" w:rsidR="00BB14C2" w:rsidRPr="00BB14C2" w:rsidRDefault="00BB14C2">
            <w:pPr>
              <w:pStyle w:val="TableCellLeft"/>
              <w:keepNext/>
              <w:keepLines/>
              <w:rPr>
                <w:rFonts w:ascii="Arial" w:hAnsi="Arial" w:cs="Arial"/>
                <w:sz w:val="22"/>
                <w:szCs w:val="22"/>
                <w:lang w:val="en-CA"/>
              </w:rPr>
            </w:pPr>
            <w:r w:rsidRPr="00BB14C2">
              <w:rPr>
                <w:rFonts w:ascii="Arial" w:hAnsi="Arial" w:cs="Arial"/>
                <w:sz w:val="22"/>
                <w:szCs w:val="22"/>
              </w:rPr>
              <w:t>Patients with Total Symptom Score Reduction of 50% or greater</w:t>
            </w: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C5FB4CC"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32</w:t>
            </w:r>
          </w:p>
          <w:p w14:paraId="5EA7EDC5"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25%</w:t>
            </w: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B597B7A"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6</w:t>
            </w:r>
          </w:p>
          <w:p w14:paraId="62E2DA26"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9%</w:t>
            </w:r>
          </w:p>
        </w:tc>
        <w:tc>
          <w:tcPr>
            <w:tcW w:w="685" w:type="pct"/>
            <w:vMerge w:val="restart"/>
            <w:tcBorders>
              <w:left w:val="single" w:sz="4" w:space="0" w:color="auto"/>
            </w:tcBorders>
            <w:shd w:val="clear" w:color="auto" w:fill="auto"/>
            <w:tcMar>
              <w:top w:w="15" w:type="dxa"/>
              <w:left w:w="108" w:type="dxa"/>
              <w:bottom w:w="0" w:type="dxa"/>
              <w:right w:w="108" w:type="dxa"/>
            </w:tcMar>
            <w:vAlign w:val="bottom"/>
            <w:hideMark/>
          </w:tcPr>
          <w:p w14:paraId="33D7D420" w14:textId="77777777" w:rsidR="00BB14C2" w:rsidRPr="00BB14C2" w:rsidRDefault="00BB14C2">
            <w:pPr>
              <w:pStyle w:val="TableCellCentered"/>
              <w:keepNext/>
              <w:keepLines/>
              <w:rPr>
                <w:rFonts w:ascii="Arial" w:hAnsi="Arial" w:cs="Arial"/>
                <w:sz w:val="22"/>
                <w:szCs w:val="22"/>
                <w:lang w:val="en-CA"/>
              </w:rPr>
            </w:pPr>
            <w:r w:rsidRPr="00BB14C2">
              <w:rPr>
                <w:rFonts w:ascii="Arial" w:hAnsi="Arial" w:cs="Arial"/>
                <w:sz w:val="22"/>
                <w:szCs w:val="22"/>
              </w:rPr>
              <w:t>0.0095</w:t>
            </w:r>
          </w:p>
        </w:tc>
      </w:tr>
      <w:tr w:rsidR="00BB14C2" w:rsidRPr="00BB14C2" w14:paraId="5C9E8494" w14:textId="77777777">
        <w:trPr>
          <w:trHeight w:val="144"/>
        </w:trPr>
        <w:tc>
          <w:tcPr>
            <w:tcW w:w="2187" w:type="pct"/>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2DA5BA0" w14:textId="77777777" w:rsidR="00BB14C2" w:rsidRPr="00BB14C2" w:rsidRDefault="00BB14C2">
            <w:pPr>
              <w:pStyle w:val="TableCellCentered"/>
              <w:keepNext/>
              <w:keepLines/>
              <w:ind w:left="180" w:hanging="180"/>
              <w:jc w:val="left"/>
              <w:rPr>
                <w:rFonts w:ascii="Arial" w:hAnsi="Arial" w:cs="Arial"/>
                <w:sz w:val="22"/>
                <w:szCs w:val="22"/>
              </w:rPr>
            </w:pPr>
            <w:r w:rsidRPr="00BB14C2">
              <w:rPr>
                <w:rFonts w:ascii="Arial" w:hAnsi="Arial" w:cs="Arial"/>
                <w:sz w:val="22"/>
                <w:szCs w:val="22"/>
              </w:rPr>
              <w:tab/>
              <w:t>Treatment Difference (95% CI)</w:t>
            </w:r>
          </w:p>
        </w:tc>
        <w:tc>
          <w:tcPr>
            <w:tcW w:w="212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DF9D4BA"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16% (6, 26)</w:t>
            </w:r>
          </w:p>
        </w:tc>
        <w:tc>
          <w:tcPr>
            <w:tcW w:w="685" w:type="pct"/>
            <w:vMerge/>
            <w:tcBorders>
              <w:left w:val="single" w:sz="4" w:space="0" w:color="auto"/>
            </w:tcBorders>
            <w:shd w:val="clear" w:color="auto" w:fill="auto"/>
            <w:tcMar>
              <w:top w:w="15" w:type="dxa"/>
              <w:left w:w="108" w:type="dxa"/>
              <w:bottom w:w="0" w:type="dxa"/>
              <w:right w:w="108" w:type="dxa"/>
            </w:tcMar>
            <w:vAlign w:val="bottom"/>
          </w:tcPr>
          <w:p w14:paraId="0462C7FA" w14:textId="77777777" w:rsidR="00BB14C2" w:rsidRPr="00BB14C2" w:rsidRDefault="00BB14C2">
            <w:pPr>
              <w:pStyle w:val="TableCellCentered"/>
              <w:keepNext/>
              <w:keepLines/>
              <w:rPr>
                <w:rFonts w:ascii="Arial" w:hAnsi="Arial" w:cs="Arial"/>
                <w:sz w:val="22"/>
                <w:szCs w:val="22"/>
              </w:rPr>
            </w:pPr>
          </w:p>
        </w:tc>
      </w:tr>
      <w:tr w:rsidR="00BB14C2" w:rsidRPr="00BB14C2" w14:paraId="7BA00CF3" w14:textId="77777777">
        <w:trPr>
          <w:trHeight w:val="144"/>
        </w:trPr>
        <w:tc>
          <w:tcPr>
            <w:tcW w:w="2187" w:type="pct"/>
            <w:tcBorders>
              <w:top w:val="single" w:sz="4" w:space="0" w:color="auto"/>
              <w:left w:val="single" w:sz="4" w:space="0" w:color="auto"/>
              <w:bottom w:val="nil"/>
              <w:right w:val="single" w:sz="4" w:space="0" w:color="auto"/>
            </w:tcBorders>
            <w:shd w:val="clear" w:color="auto" w:fill="auto"/>
            <w:tcMar>
              <w:top w:w="15" w:type="dxa"/>
              <w:left w:w="108" w:type="dxa"/>
              <w:bottom w:w="0" w:type="dxa"/>
              <w:right w:w="108" w:type="dxa"/>
            </w:tcMar>
            <w:hideMark/>
          </w:tcPr>
          <w:p w14:paraId="48511BE6" w14:textId="77777777" w:rsidR="00BB14C2" w:rsidRPr="00BB14C2" w:rsidRDefault="00BB14C2">
            <w:pPr>
              <w:pStyle w:val="TableCellLeft"/>
              <w:keepNext/>
              <w:keepLines/>
              <w:rPr>
                <w:rFonts w:ascii="Arial" w:hAnsi="Arial" w:cs="Arial"/>
                <w:sz w:val="22"/>
                <w:szCs w:val="22"/>
                <w:lang w:val="en-CA"/>
              </w:rPr>
            </w:pPr>
            <w:r w:rsidRPr="00BB14C2">
              <w:rPr>
                <w:rFonts w:ascii="Arial" w:hAnsi="Arial" w:cs="Arial"/>
                <w:sz w:val="22"/>
                <w:szCs w:val="22"/>
              </w:rPr>
              <w:t xml:space="preserve">Patients with Transfusion </w:t>
            </w:r>
            <w:proofErr w:type="spellStart"/>
            <w:r w:rsidRPr="00BB14C2">
              <w:rPr>
                <w:rFonts w:ascii="Arial" w:hAnsi="Arial" w:cs="Arial"/>
                <w:sz w:val="22"/>
                <w:szCs w:val="22"/>
              </w:rPr>
              <w:t>Independence</w:t>
            </w:r>
            <w:r w:rsidRPr="00BB14C2">
              <w:rPr>
                <w:rFonts w:ascii="Arial" w:hAnsi="Arial" w:cs="Arial"/>
                <w:sz w:val="22"/>
                <w:szCs w:val="22"/>
                <w:vertAlign w:val="superscript"/>
              </w:rPr>
              <w:t>a</w:t>
            </w:r>
            <w:proofErr w:type="spellEnd"/>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AA8233D"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39</w:t>
            </w:r>
          </w:p>
          <w:p w14:paraId="4F5CCF73"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30%</w:t>
            </w: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68F4505"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13</w:t>
            </w:r>
          </w:p>
          <w:p w14:paraId="3157AD47"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20%</w:t>
            </w:r>
          </w:p>
        </w:tc>
        <w:tc>
          <w:tcPr>
            <w:tcW w:w="685" w:type="pct"/>
            <w:vMerge w:val="restart"/>
            <w:tcBorders>
              <w:left w:val="single" w:sz="4" w:space="0" w:color="auto"/>
            </w:tcBorders>
            <w:shd w:val="clear" w:color="auto" w:fill="auto"/>
            <w:tcMar>
              <w:top w:w="15" w:type="dxa"/>
              <w:left w:w="108" w:type="dxa"/>
              <w:bottom w:w="0" w:type="dxa"/>
              <w:right w:w="108" w:type="dxa"/>
            </w:tcMar>
            <w:vAlign w:val="bottom"/>
            <w:hideMark/>
          </w:tcPr>
          <w:p w14:paraId="0B9F5C2E" w14:textId="77777777" w:rsidR="00BB14C2" w:rsidRPr="00BB14C2" w:rsidRDefault="00BB14C2">
            <w:pPr>
              <w:pStyle w:val="TableCellCentered"/>
              <w:keepNext/>
              <w:keepLines/>
              <w:rPr>
                <w:rFonts w:ascii="Arial" w:hAnsi="Arial" w:cs="Arial"/>
                <w:sz w:val="22"/>
                <w:szCs w:val="22"/>
                <w:lang w:val="en-CA"/>
              </w:rPr>
            </w:pPr>
            <w:r w:rsidRPr="00BB14C2">
              <w:rPr>
                <w:rFonts w:ascii="Arial" w:hAnsi="Arial" w:cs="Arial"/>
                <w:sz w:val="22"/>
                <w:szCs w:val="22"/>
              </w:rPr>
              <w:t>0.0116</w:t>
            </w:r>
          </w:p>
        </w:tc>
      </w:tr>
      <w:tr w:rsidR="00BB14C2" w:rsidRPr="00BB14C2" w14:paraId="7641B983" w14:textId="77777777">
        <w:trPr>
          <w:trHeight w:val="144"/>
        </w:trPr>
        <w:tc>
          <w:tcPr>
            <w:tcW w:w="2187" w:type="pct"/>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1DC7FA" w14:textId="77777777" w:rsidR="00BB14C2" w:rsidRPr="00BB14C2" w:rsidRDefault="00BB14C2">
            <w:pPr>
              <w:pStyle w:val="TableCellCentered"/>
              <w:keepNext/>
              <w:keepLines/>
              <w:ind w:left="180" w:hanging="180"/>
              <w:jc w:val="left"/>
              <w:rPr>
                <w:rFonts w:ascii="Arial" w:hAnsi="Arial" w:cs="Arial"/>
                <w:sz w:val="22"/>
                <w:szCs w:val="22"/>
              </w:rPr>
            </w:pPr>
            <w:r w:rsidRPr="00BB14C2">
              <w:rPr>
                <w:rFonts w:ascii="Arial" w:hAnsi="Arial" w:cs="Arial"/>
                <w:sz w:val="22"/>
                <w:szCs w:val="22"/>
              </w:rPr>
              <w:tab/>
              <w:t xml:space="preserve">Non-inferiority Treatment </w:t>
            </w:r>
            <w:proofErr w:type="spellStart"/>
            <w:r w:rsidRPr="00BB14C2">
              <w:rPr>
                <w:rFonts w:ascii="Arial" w:hAnsi="Arial" w:cs="Arial"/>
                <w:sz w:val="22"/>
                <w:szCs w:val="22"/>
              </w:rPr>
              <w:t>Difference</w:t>
            </w:r>
            <w:r w:rsidRPr="00BB14C2">
              <w:rPr>
                <w:rFonts w:ascii="Arial" w:hAnsi="Arial" w:cs="Arial"/>
                <w:sz w:val="22"/>
                <w:szCs w:val="22"/>
                <w:vertAlign w:val="superscript"/>
              </w:rPr>
              <w:t>b</w:t>
            </w:r>
            <w:proofErr w:type="spellEnd"/>
            <w:r w:rsidRPr="00BB14C2">
              <w:rPr>
                <w:rFonts w:ascii="Arial" w:hAnsi="Arial" w:cs="Arial"/>
                <w:sz w:val="22"/>
                <w:szCs w:val="22"/>
              </w:rPr>
              <w:t xml:space="preserve"> (95% CI)</w:t>
            </w:r>
          </w:p>
        </w:tc>
        <w:tc>
          <w:tcPr>
            <w:tcW w:w="212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F8DABD7" w14:textId="77777777" w:rsidR="00BB14C2" w:rsidRPr="00BB14C2" w:rsidRDefault="00BB14C2">
            <w:pPr>
              <w:pStyle w:val="TableCellCentered"/>
              <w:keepNext/>
              <w:keepLines/>
              <w:rPr>
                <w:rFonts w:ascii="Arial" w:hAnsi="Arial" w:cs="Arial"/>
                <w:sz w:val="22"/>
                <w:szCs w:val="22"/>
              </w:rPr>
            </w:pPr>
          </w:p>
          <w:p w14:paraId="79065821"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14% (2, 25)</w:t>
            </w:r>
          </w:p>
        </w:tc>
        <w:tc>
          <w:tcPr>
            <w:tcW w:w="685" w:type="pct"/>
            <w:vMerge/>
            <w:tcBorders>
              <w:left w:val="single" w:sz="4" w:space="0" w:color="auto"/>
            </w:tcBorders>
            <w:shd w:val="clear" w:color="auto" w:fill="auto"/>
            <w:tcMar>
              <w:top w:w="15" w:type="dxa"/>
              <w:left w:w="108" w:type="dxa"/>
              <w:bottom w:w="0" w:type="dxa"/>
              <w:right w:w="108" w:type="dxa"/>
            </w:tcMar>
            <w:vAlign w:val="bottom"/>
          </w:tcPr>
          <w:p w14:paraId="036FE21A" w14:textId="77777777" w:rsidR="00BB14C2" w:rsidRPr="00BB14C2" w:rsidRDefault="00BB14C2">
            <w:pPr>
              <w:pStyle w:val="TableCellCentered"/>
              <w:keepNext/>
              <w:keepLines/>
              <w:rPr>
                <w:rFonts w:ascii="Arial" w:hAnsi="Arial" w:cs="Arial"/>
                <w:sz w:val="22"/>
                <w:szCs w:val="22"/>
              </w:rPr>
            </w:pPr>
          </w:p>
        </w:tc>
      </w:tr>
      <w:tr w:rsidR="00BB14C2" w:rsidRPr="00BB14C2" w14:paraId="73BAA5CF" w14:textId="77777777">
        <w:trPr>
          <w:trHeight w:val="144"/>
        </w:trPr>
        <w:tc>
          <w:tcPr>
            <w:tcW w:w="2187" w:type="pct"/>
            <w:tcBorders>
              <w:top w:val="single" w:sz="4" w:space="0" w:color="auto"/>
              <w:left w:val="single" w:sz="4" w:space="0" w:color="auto"/>
              <w:bottom w:val="nil"/>
              <w:right w:val="single" w:sz="4" w:space="0" w:color="auto"/>
            </w:tcBorders>
            <w:shd w:val="clear" w:color="auto" w:fill="auto"/>
            <w:tcMar>
              <w:top w:w="15" w:type="dxa"/>
              <w:left w:w="108" w:type="dxa"/>
              <w:bottom w:w="0" w:type="dxa"/>
              <w:right w:w="108" w:type="dxa"/>
            </w:tcMar>
            <w:hideMark/>
          </w:tcPr>
          <w:p w14:paraId="5276CE06" w14:textId="77777777" w:rsidR="00BB14C2" w:rsidRPr="00BB14C2" w:rsidRDefault="00BB14C2">
            <w:pPr>
              <w:pStyle w:val="TableCellLeft"/>
              <w:keepNext/>
              <w:keepLines/>
              <w:rPr>
                <w:rFonts w:ascii="Arial" w:hAnsi="Arial" w:cs="Arial"/>
                <w:sz w:val="22"/>
                <w:szCs w:val="22"/>
                <w:lang w:val="en-CA"/>
              </w:rPr>
            </w:pPr>
            <w:r w:rsidRPr="00BB14C2">
              <w:rPr>
                <w:rFonts w:ascii="Arial" w:hAnsi="Arial" w:cs="Arial"/>
                <w:sz w:val="22"/>
                <w:szCs w:val="22"/>
              </w:rPr>
              <w:t>Patients with Spleen Volume Reduction by 25% or greater</w:t>
            </w: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2CAAAB3"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51</w:t>
            </w:r>
          </w:p>
          <w:p w14:paraId="24036BCC" w14:textId="77777777" w:rsidR="00BB14C2" w:rsidRPr="00BB14C2" w:rsidRDefault="00BB14C2">
            <w:pPr>
              <w:pStyle w:val="TableCellCentered"/>
              <w:keepNext/>
              <w:keepLines/>
              <w:rPr>
                <w:rFonts w:ascii="Arial" w:hAnsi="Arial" w:cs="Arial"/>
                <w:sz w:val="22"/>
                <w:szCs w:val="22"/>
                <w:lang w:val="en-CA"/>
              </w:rPr>
            </w:pPr>
            <w:r w:rsidRPr="00BB14C2">
              <w:rPr>
                <w:rFonts w:ascii="Arial" w:hAnsi="Arial" w:cs="Arial"/>
                <w:sz w:val="22"/>
                <w:szCs w:val="22"/>
              </w:rPr>
              <w:t>39%</w:t>
            </w: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24B31A0"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4</w:t>
            </w:r>
          </w:p>
          <w:p w14:paraId="09BB89AA"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6%</w:t>
            </w:r>
          </w:p>
        </w:tc>
        <w:tc>
          <w:tcPr>
            <w:tcW w:w="685" w:type="pct"/>
            <w:vMerge w:val="restart"/>
            <w:tcBorders>
              <w:left w:val="single" w:sz="4" w:space="0" w:color="auto"/>
            </w:tcBorders>
            <w:shd w:val="clear" w:color="auto" w:fill="auto"/>
            <w:tcMar>
              <w:top w:w="15" w:type="dxa"/>
              <w:left w:w="108" w:type="dxa"/>
              <w:bottom w:w="0" w:type="dxa"/>
              <w:right w:w="108" w:type="dxa"/>
            </w:tcMar>
            <w:vAlign w:val="bottom"/>
            <w:hideMark/>
          </w:tcPr>
          <w:p w14:paraId="7A9CFD9F" w14:textId="77777777" w:rsidR="00BB14C2" w:rsidRPr="00BB14C2" w:rsidRDefault="00BB14C2">
            <w:pPr>
              <w:pStyle w:val="TableCellCentered"/>
              <w:keepNext/>
              <w:keepLines/>
              <w:rPr>
                <w:rFonts w:ascii="Arial" w:hAnsi="Arial" w:cs="Arial"/>
                <w:sz w:val="22"/>
                <w:szCs w:val="22"/>
                <w:lang w:val="en-CA"/>
              </w:rPr>
            </w:pPr>
            <w:r w:rsidRPr="00BB14C2">
              <w:rPr>
                <w:rFonts w:ascii="Arial" w:hAnsi="Arial" w:cs="Arial"/>
                <w:sz w:val="22"/>
                <w:szCs w:val="22"/>
              </w:rPr>
              <w:t>&lt;0.0001</w:t>
            </w:r>
          </w:p>
        </w:tc>
      </w:tr>
      <w:tr w:rsidR="00BB14C2" w:rsidRPr="00BB14C2" w14:paraId="74EB0AA0" w14:textId="77777777">
        <w:trPr>
          <w:trHeight w:val="144"/>
        </w:trPr>
        <w:tc>
          <w:tcPr>
            <w:tcW w:w="2187" w:type="pct"/>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A77E983" w14:textId="77777777" w:rsidR="00BB14C2" w:rsidRPr="00BB14C2" w:rsidRDefault="00BB14C2">
            <w:pPr>
              <w:pStyle w:val="TableCellCentered"/>
              <w:keepNext/>
              <w:keepLines/>
              <w:ind w:left="180" w:hanging="180"/>
              <w:jc w:val="left"/>
              <w:rPr>
                <w:rFonts w:ascii="Arial" w:hAnsi="Arial" w:cs="Arial"/>
                <w:sz w:val="22"/>
                <w:szCs w:val="22"/>
              </w:rPr>
            </w:pPr>
            <w:r w:rsidRPr="00BB14C2">
              <w:rPr>
                <w:rFonts w:ascii="Arial" w:hAnsi="Arial" w:cs="Arial"/>
                <w:sz w:val="22"/>
                <w:szCs w:val="22"/>
              </w:rPr>
              <w:tab/>
              <w:t>Treatment Difference (95% CI)</w:t>
            </w:r>
          </w:p>
        </w:tc>
        <w:tc>
          <w:tcPr>
            <w:tcW w:w="212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5463569"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33% (23, 44)</w:t>
            </w:r>
          </w:p>
        </w:tc>
        <w:tc>
          <w:tcPr>
            <w:tcW w:w="685" w:type="pct"/>
            <w:vMerge/>
            <w:tcBorders>
              <w:left w:val="single" w:sz="4" w:space="0" w:color="auto"/>
            </w:tcBorders>
            <w:shd w:val="clear" w:color="auto" w:fill="auto"/>
            <w:tcMar>
              <w:top w:w="15" w:type="dxa"/>
              <w:left w:w="108" w:type="dxa"/>
              <w:bottom w:w="0" w:type="dxa"/>
              <w:right w:w="108" w:type="dxa"/>
            </w:tcMar>
            <w:vAlign w:val="bottom"/>
          </w:tcPr>
          <w:p w14:paraId="317BC96C" w14:textId="77777777" w:rsidR="00BB14C2" w:rsidRPr="00BB14C2" w:rsidRDefault="00BB14C2">
            <w:pPr>
              <w:pStyle w:val="TableCellCentered"/>
              <w:keepNext/>
              <w:keepLines/>
              <w:rPr>
                <w:rFonts w:ascii="Arial" w:hAnsi="Arial" w:cs="Arial"/>
                <w:sz w:val="22"/>
                <w:szCs w:val="22"/>
              </w:rPr>
            </w:pPr>
          </w:p>
        </w:tc>
      </w:tr>
      <w:tr w:rsidR="00BB14C2" w:rsidRPr="00BB14C2" w14:paraId="18DFF6E0" w14:textId="77777777">
        <w:trPr>
          <w:trHeight w:val="144"/>
        </w:trPr>
        <w:tc>
          <w:tcPr>
            <w:tcW w:w="2187" w:type="pct"/>
            <w:tcBorders>
              <w:top w:val="single" w:sz="4" w:space="0" w:color="auto"/>
              <w:left w:val="single" w:sz="4" w:space="0" w:color="auto"/>
              <w:bottom w:val="nil"/>
              <w:right w:val="single" w:sz="4" w:space="0" w:color="auto"/>
            </w:tcBorders>
            <w:shd w:val="clear" w:color="auto" w:fill="auto"/>
            <w:tcMar>
              <w:top w:w="15" w:type="dxa"/>
              <w:left w:w="108" w:type="dxa"/>
              <w:bottom w:w="0" w:type="dxa"/>
              <w:right w:w="108" w:type="dxa"/>
            </w:tcMar>
            <w:hideMark/>
          </w:tcPr>
          <w:p w14:paraId="78038685" w14:textId="77777777" w:rsidR="00BB14C2" w:rsidRPr="00BB14C2" w:rsidRDefault="00BB14C2">
            <w:pPr>
              <w:pStyle w:val="TableCellLeft"/>
              <w:keepNext/>
              <w:keepLines/>
              <w:rPr>
                <w:rFonts w:ascii="Arial" w:hAnsi="Arial" w:cs="Arial"/>
                <w:sz w:val="22"/>
                <w:szCs w:val="22"/>
                <w:lang w:val="en-CA"/>
              </w:rPr>
            </w:pPr>
            <w:r w:rsidRPr="00BB14C2">
              <w:rPr>
                <w:rFonts w:ascii="Arial" w:hAnsi="Arial" w:cs="Arial"/>
                <w:sz w:val="22"/>
                <w:szCs w:val="22"/>
              </w:rPr>
              <w:t>Patients with Spleen Volume Reduction by 35% or greater</w:t>
            </w: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A4C99D2"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29</w:t>
            </w:r>
          </w:p>
          <w:p w14:paraId="27B5F0B9"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22%</w:t>
            </w: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9E09E1C"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2</w:t>
            </w:r>
          </w:p>
          <w:p w14:paraId="091E54CB"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3%</w:t>
            </w:r>
          </w:p>
        </w:tc>
        <w:tc>
          <w:tcPr>
            <w:tcW w:w="685" w:type="pct"/>
            <w:vMerge w:val="restart"/>
            <w:tcBorders>
              <w:left w:val="single" w:sz="4" w:space="0" w:color="auto"/>
            </w:tcBorders>
            <w:shd w:val="clear" w:color="auto" w:fill="auto"/>
            <w:tcMar>
              <w:top w:w="15" w:type="dxa"/>
              <w:left w:w="108" w:type="dxa"/>
              <w:bottom w:w="0" w:type="dxa"/>
              <w:right w:w="108" w:type="dxa"/>
            </w:tcMar>
            <w:vAlign w:val="bottom"/>
            <w:hideMark/>
          </w:tcPr>
          <w:p w14:paraId="6BA7A132" w14:textId="77777777" w:rsidR="00BB14C2" w:rsidRPr="00BB14C2" w:rsidRDefault="00BB14C2">
            <w:pPr>
              <w:pStyle w:val="TableCellCentered"/>
              <w:keepNext/>
              <w:keepLines/>
              <w:rPr>
                <w:rFonts w:ascii="Arial" w:hAnsi="Arial" w:cs="Arial"/>
                <w:sz w:val="22"/>
                <w:szCs w:val="22"/>
                <w:lang w:val="en-CA"/>
              </w:rPr>
            </w:pPr>
            <w:r w:rsidRPr="00BB14C2">
              <w:rPr>
                <w:rFonts w:ascii="Arial" w:hAnsi="Arial" w:cs="Arial"/>
                <w:sz w:val="22"/>
                <w:szCs w:val="22"/>
              </w:rPr>
              <w:t>0.0011</w:t>
            </w:r>
          </w:p>
        </w:tc>
      </w:tr>
      <w:tr w:rsidR="00BB14C2" w:rsidRPr="00BB14C2" w14:paraId="6DAD2E80" w14:textId="77777777">
        <w:trPr>
          <w:trHeight w:val="144"/>
        </w:trPr>
        <w:tc>
          <w:tcPr>
            <w:tcW w:w="2187" w:type="pct"/>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30E9EA7" w14:textId="77777777" w:rsidR="00BB14C2" w:rsidRPr="00BB14C2" w:rsidRDefault="00BB14C2">
            <w:pPr>
              <w:pStyle w:val="TableCellCentered"/>
              <w:keepNext/>
              <w:keepLines/>
              <w:ind w:left="180" w:hanging="180"/>
              <w:jc w:val="left"/>
              <w:rPr>
                <w:rFonts w:ascii="Arial" w:hAnsi="Arial" w:cs="Arial"/>
                <w:sz w:val="22"/>
                <w:szCs w:val="22"/>
              </w:rPr>
            </w:pPr>
            <w:r w:rsidRPr="00BB14C2">
              <w:rPr>
                <w:rFonts w:ascii="Arial" w:hAnsi="Arial" w:cs="Arial"/>
                <w:sz w:val="22"/>
                <w:szCs w:val="22"/>
              </w:rPr>
              <w:tab/>
              <w:t>Treatment Difference (95% CI)</w:t>
            </w:r>
          </w:p>
        </w:tc>
        <w:tc>
          <w:tcPr>
            <w:tcW w:w="212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2E95E1C"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18% (10, 27)</w:t>
            </w:r>
          </w:p>
        </w:tc>
        <w:tc>
          <w:tcPr>
            <w:tcW w:w="685" w:type="pct"/>
            <w:vMerge/>
            <w:tcBorders>
              <w:left w:val="single" w:sz="4" w:space="0" w:color="auto"/>
              <w:bottom w:val="single" w:sz="4" w:space="0" w:color="auto"/>
            </w:tcBorders>
            <w:shd w:val="clear" w:color="auto" w:fill="auto"/>
            <w:tcMar>
              <w:top w:w="15" w:type="dxa"/>
              <w:left w:w="108" w:type="dxa"/>
              <w:bottom w:w="0" w:type="dxa"/>
              <w:right w:w="108" w:type="dxa"/>
            </w:tcMar>
            <w:vAlign w:val="bottom"/>
          </w:tcPr>
          <w:p w14:paraId="0DCC322A" w14:textId="77777777" w:rsidR="00BB14C2" w:rsidRPr="00BB14C2" w:rsidRDefault="00BB14C2">
            <w:pPr>
              <w:pStyle w:val="TableCellCentered"/>
              <w:keepNext/>
              <w:keepLines/>
              <w:rPr>
                <w:rFonts w:ascii="Arial" w:hAnsi="Arial" w:cs="Arial"/>
                <w:sz w:val="22"/>
                <w:szCs w:val="22"/>
              </w:rPr>
            </w:pPr>
          </w:p>
        </w:tc>
      </w:tr>
      <w:tr w:rsidR="00BB14C2" w:rsidRPr="00BB14C2" w14:paraId="1ED3CED1" w14:textId="77777777">
        <w:trPr>
          <w:trHeight w:val="144"/>
        </w:trPr>
        <w:tc>
          <w:tcPr>
            <w:tcW w:w="2187" w:type="pct"/>
            <w:tcBorders>
              <w:top w:val="single" w:sz="4" w:space="0" w:color="auto"/>
              <w:left w:val="single" w:sz="4" w:space="0" w:color="auto"/>
              <w:bottom w:val="nil"/>
              <w:right w:val="single" w:sz="4" w:space="0" w:color="auto"/>
            </w:tcBorders>
            <w:shd w:val="clear" w:color="auto" w:fill="auto"/>
            <w:tcMar>
              <w:top w:w="15" w:type="dxa"/>
              <w:left w:w="108" w:type="dxa"/>
              <w:bottom w:w="0" w:type="dxa"/>
              <w:right w:w="108" w:type="dxa"/>
            </w:tcMar>
            <w:hideMark/>
          </w:tcPr>
          <w:p w14:paraId="27DDDC03" w14:textId="77777777" w:rsidR="00BB14C2" w:rsidRPr="00BB14C2" w:rsidRDefault="00BB14C2">
            <w:pPr>
              <w:pStyle w:val="TableCellLeft"/>
              <w:keepNext/>
              <w:keepLines/>
              <w:rPr>
                <w:rFonts w:ascii="Arial" w:hAnsi="Arial" w:cs="Arial"/>
                <w:sz w:val="22"/>
                <w:szCs w:val="22"/>
              </w:rPr>
            </w:pPr>
            <w:r w:rsidRPr="00BB14C2">
              <w:rPr>
                <w:rFonts w:ascii="Arial" w:hAnsi="Arial" w:cs="Arial"/>
                <w:sz w:val="22"/>
                <w:szCs w:val="22"/>
              </w:rPr>
              <w:t xml:space="preserve">Patients with No </w:t>
            </w:r>
            <w:proofErr w:type="spellStart"/>
            <w:r w:rsidRPr="00BB14C2">
              <w:rPr>
                <w:rFonts w:ascii="Arial" w:hAnsi="Arial" w:cs="Arial"/>
                <w:sz w:val="22"/>
                <w:szCs w:val="22"/>
              </w:rPr>
              <w:t>Transfusion</w:t>
            </w:r>
            <w:r w:rsidRPr="00BB14C2">
              <w:rPr>
                <w:rFonts w:ascii="Arial" w:hAnsi="Arial" w:cs="Arial"/>
                <w:sz w:val="22"/>
                <w:szCs w:val="22"/>
                <w:vertAlign w:val="superscript"/>
              </w:rPr>
              <w:t>c</w:t>
            </w:r>
            <w:proofErr w:type="spellEnd"/>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54E2E25" w14:textId="77777777" w:rsidR="00BB14C2" w:rsidRPr="00BB14C2" w:rsidRDefault="00BB14C2">
            <w:pPr>
              <w:pStyle w:val="TableCellLeft"/>
              <w:keepNext/>
              <w:keepLines/>
              <w:jc w:val="center"/>
              <w:rPr>
                <w:rFonts w:ascii="Arial" w:hAnsi="Arial" w:cs="Arial"/>
                <w:sz w:val="22"/>
                <w:szCs w:val="22"/>
              </w:rPr>
            </w:pPr>
            <w:r w:rsidRPr="00BB14C2">
              <w:rPr>
                <w:rFonts w:ascii="Arial" w:hAnsi="Arial" w:cs="Arial"/>
                <w:sz w:val="22"/>
                <w:szCs w:val="22"/>
              </w:rPr>
              <w:t>46</w:t>
            </w:r>
          </w:p>
          <w:p w14:paraId="234CE6C2" w14:textId="77777777" w:rsidR="00BB14C2" w:rsidRPr="00BB14C2" w:rsidRDefault="00BB14C2">
            <w:pPr>
              <w:pStyle w:val="TableCellLeft"/>
              <w:keepNext/>
              <w:keepLines/>
              <w:jc w:val="center"/>
              <w:rPr>
                <w:rFonts w:ascii="Arial" w:hAnsi="Arial" w:cs="Arial"/>
                <w:sz w:val="22"/>
                <w:szCs w:val="22"/>
              </w:rPr>
            </w:pPr>
            <w:r w:rsidRPr="00BB14C2">
              <w:rPr>
                <w:rFonts w:ascii="Arial" w:hAnsi="Arial" w:cs="Arial"/>
                <w:sz w:val="22"/>
                <w:szCs w:val="22"/>
              </w:rPr>
              <w:t>35%</w:t>
            </w: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83D657C" w14:textId="77777777" w:rsidR="00BB14C2" w:rsidRPr="00BB14C2" w:rsidRDefault="00BB14C2">
            <w:pPr>
              <w:pStyle w:val="TableCellLeft"/>
              <w:keepNext/>
              <w:keepLines/>
              <w:jc w:val="center"/>
              <w:rPr>
                <w:rFonts w:ascii="Arial" w:hAnsi="Arial" w:cs="Arial"/>
                <w:sz w:val="22"/>
                <w:szCs w:val="22"/>
              </w:rPr>
            </w:pPr>
            <w:r w:rsidRPr="00BB14C2">
              <w:rPr>
                <w:rFonts w:ascii="Arial" w:hAnsi="Arial" w:cs="Arial"/>
                <w:sz w:val="22"/>
                <w:szCs w:val="22"/>
              </w:rPr>
              <w:t>11</w:t>
            </w:r>
          </w:p>
          <w:p w14:paraId="466B2B0D" w14:textId="77777777" w:rsidR="00BB14C2" w:rsidRPr="00BB14C2" w:rsidRDefault="00BB14C2">
            <w:pPr>
              <w:pStyle w:val="TableCellLeft"/>
              <w:keepNext/>
              <w:keepLines/>
              <w:jc w:val="center"/>
              <w:rPr>
                <w:rFonts w:ascii="Arial" w:hAnsi="Arial" w:cs="Arial"/>
                <w:sz w:val="22"/>
                <w:szCs w:val="22"/>
              </w:rPr>
            </w:pPr>
            <w:r w:rsidRPr="00BB14C2">
              <w:rPr>
                <w:rFonts w:ascii="Arial" w:hAnsi="Arial" w:cs="Arial"/>
                <w:sz w:val="22"/>
                <w:szCs w:val="22"/>
              </w:rPr>
              <w:t>17%</w:t>
            </w:r>
          </w:p>
        </w:tc>
        <w:tc>
          <w:tcPr>
            <w:tcW w:w="685" w:type="pct"/>
            <w:vMerge w:val="restart"/>
            <w:tcBorders>
              <w:left w:val="single" w:sz="4" w:space="0" w:color="auto"/>
            </w:tcBorders>
            <w:shd w:val="clear" w:color="auto" w:fill="auto"/>
            <w:tcMar>
              <w:top w:w="15" w:type="dxa"/>
              <w:left w:w="108" w:type="dxa"/>
              <w:bottom w:w="0" w:type="dxa"/>
              <w:right w:w="108" w:type="dxa"/>
            </w:tcMar>
            <w:vAlign w:val="bottom"/>
            <w:hideMark/>
          </w:tcPr>
          <w:p w14:paraId="185F65DF" w14:textId="77777777" w:rsidR="00BB14C2" w:rsidRPr="00BB14C2" w:rsidRDefault="00BB14C2">
            <w:pPr>
              <w:pStyle w:val="TableCellLeft"/>
              <w:keepNext/>
              <w:keepLines/>
              <w:jc w:val="center"/>
              <w:rPr>
                <w:rFonts w:ascii="Arial" w:hAnsi="Arial" w:cs="Arial"/>
                <w:sz w:val="22"/>
                <w:szCs w:val="22"/>
              </w:rPr>
            </w:pPr>
            <w:r w:rsidRPr="00BB14C2">
              <w:rPr>
                <w:rFonts w:ascii="Arial" w:hAnsi="Arial" w:cs="Arial"/>
                <w:sz w:val="22"/>
                <w:szCs w:val="22"/>
              </w:rPr>
              <w:t>0.0012</w:t>
            </w:r>
          </w:p>
        </w:tc>
      </w:tr>
      <w:tr w:rsidR="00BB14C2" w:rsidRPr="00BB14C2" w14:paraId="2E346C6E" w14:textId="77777777">
        <w:trPr>
          <w:trHeight w:val="144"/>
        </w:trPr>
        <w:tc>
          <w:tcPr>
            <w:tcW w:w="2187" w:type="pct"/>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EB1E13F" w14:textId="77777777" w:rsidR="00BB14C2" w:rsidRPr="00BB14C2" w:rsidRDefault="00BB14C2">
            <w:pPr>
              <w:pStyle w:val="TableCellCentered"/>
              <w:keepNext/>
              <w:keepLines/>
              <w:ind w:left="180" w:hanging="180"/>
              <w:jc w:val="left"/>
              <w:rPr>
                <w:rFonts w:ascii="Arial" w:hAnsi="Arial" w:cs="Arial"/>
                <w:sz w:val="22"/>
                <w:szCs w:val="22"/>
              </w:rPr>
            </w:pPr>
            <w:r w:rsidRPr="00BB14C2">
              <w:rPr>
                <w:rFonts w:ascii="Arial" w:hAnsi="Arial" w:cs="Arial"/>
                <w:sz w:val="22"/>
                <w:szCs w:val="22"/>
              </w:rPr>
              <w:tab/>
              <w:t>Treatment Difference (95% CI)</w:t>
            </w:r>
          </w:p>
        </w:tc>
        <w:tc>
          <w:tcPr>
            <w:tcW w:w="212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91B0601"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17% (8, 26)</w:t>
            </w:r>
          </w:p>
        </w:tc>
        <w:tc>
          <w:tcPr>
            <w:tcW w:w="685" w:type="pct"/>
            <w:vMerge/>
            <w:tcBorders>
              <w:left w:val="single" w:sz="4" w:space="0" w:color="auto"/>
              <w:bottom w:val="single" w:sz="4" w:space="0" w:color="auto"/>
            </w:tcBorders>
            <w:shd w:val="clear" w:color="auto" w:fill="auto"/>
            <w:tcMar>
              <w:top w:w="15" w:type="dxa"/>
              <w:left w:w="108" w:type="dxa"/>
              <w:bottom w:w="0" w:type="dxa"/>
              <w:right w:w="108" w:type="dxa"/>
            </w:tcMar>
          </w:tcPr>
          <w:p w14:paraId="2CC21F38" w14:textId="77777777" w:rsidR="00BB14C2" w:rsidRPr="00BB14C2" w:rsidRDefault="00BB14C2">
            <w:pPr>
              <w:pStyle w:val="TableCellCentered"/>
              <w:keepNext/>
              <w:keepLines/>
              <w:rPr>
                <w:rFonts w:ascii="Arial" w:hAnsi="Arial" w:cs="Arial"/>
                <w:sz w:val="22"/>
                <w:szCs w:val="22"/>
              </w:rPr>
            </w:pPr>
          </w:p>
        </w:tc>
      </w:tr>
      <w:tr w:rsidR="00BB14C2" w:rsidRPr="00BB14C2" w14:paraId="1921AC6F" w14:textId="77777777">
        <w:trPr>
          <w:trHeight w:val="144"/>
        </w:trPr>
        <w:tc>
          <w:tcPr>
            <w:tcW w:w="2187" w:type="pct"/>
            <w:tcBorders>
              <w:top w:val="single" w:sz="4" w:space="0" w:color="auto"/>
              <w:left w:val="single" w:sz="4" w:space="0" w:color="auto"/>
              <w:bottom w:val="nil"/>
              <w:right w:val="single" w:sz="4" w:space="0" w:color="auto"/>
            </w:tcBorders>
            <w:shd w:val="clear" w:color="auto" w:fill="auto"/>
            <w:tcMar>
              <w:top w:w="15" w:type="dxa"/>
              <w:left w:w="108" w:type="dxa"/>
              <w:bottom w:w="0" w:type="dxa"/>
              <w:right w:w="108" w:type="dxa"/>
            </w:tcMar>
          </w:tcPr>
          <w:p w14:paraId="2C307D92" w14:textId="77777777" w:rsidR="00BB14C2" w:rsidRPr="00BB14C2" w:rsidRDefault="00BB14C2">
            <w:pPr>
              <w:pStyle w:val="TableCellLeft"/>
              <w:keepNext/>
              <w:keepLines/>
              <w:rPr>
                <w:rFonts w:ascii="Arial" w:hAnsi="Arial" w:cs="Arial"/>
                <w:sz w:val="22"/>
                <w:szCs w:val="22"/>
              </w:rPr>
            </w:pP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B4E1A10" w14:textId="77777777" w:rsidR="00BB14C2" w:rsidRPr="00BB14C2" w:rsidRDefault="00BB14C2">
            <w:pPr>
              <w:pStyle w:val="TableCellLeft"/>
              <w:keepNext/>
              <w:keepLines/>
              <w:jc w:val="center"/>
              <w:rPr>
                <w:rFonts w:ascii="Arial" w:hAnsi="Arial" w:cs="Arial"/>
                <w:b/>
                <w:bCs/>
                <w:sz w:val="22"/>
                <w:szCs w:val="22"/>
              </w:rPr>
            </w:pPr>
            <w:r w:rsidRPr="00BB14C2">
              <w:rPr>
                <w:rFonts w:ascii="Arial" w:hAnsi="Arial" w:cs="Arial"/>
                <w:b/>
                <w:bCs/>
                <w:sz w:val="22"/>
                <w:szCs w:val="22"/>
              </w:rPr>
              <w:t xml:space="preserve">LS </w:t>
            </w:r>
            <w:proofErr w:type="spellStart"/>
            <w:r w:rsidRPr="00BB14C2">
              <w:rPr>
                <w:rFonts w:ascii="Arial" w:hAnsi="Arial" w:cs="Arial"/>
                <w:b/>
                <w:bCs/>
                <w:sz w:val="22"/>
                <w:szCs w:val="22"/>
              </w:rPr>
              <w:t>Mean</w:t>
            </w:r>
            <w:r w:rsidRPr="00BB14C2">
              <w:rPr>
                <w:rFonts w:ascii="Arial" w:hAnsi="Arial" w:cs="Arial"/>
                <w:b/>
                <w:bCs/>
                <w:sz w:val="22"/>
                <w:szCs w:val="22"/>
                <w:vertAlign w:val="superscript"/>
              </w:rPr>
              <w:t>d</w:t>
            </w:r>
            <w:proofErr w:type="spellEnd"/>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E4AB15A" w14:textId="77777777" w:rsidR="00BB14C2" w:rsidRPr="00BB14C2" w:rsidRDefault="00BB14C2">
            <w:pPr>
              <w:pStyle w:val="TableCellLeft"/>
              <w:keepNext/>
              <w:keepLines/>
              <w:jc w:val="center"/>
              <w:rPr>
                <w:rFonts w:ascii="Arial" w:hAnsi="Arial" w:cs="Arial"/>
                <w:b/>
                <w:bCs/>
                <w:sz w:val="22"/>
                <w:szCs w:val="22"/>
              </w:rPr>
            </w:pPr>
            <w:r w:rsidRPr="00BB14C2">
              <w:rPr>
                <w:rFonts w:ascii="Arial" w:hAnsi="Arial" w:cs="Arial"/>
                <w:b/>
                <w:bCs/>
                <w:sz w:val="22"/>
                <w:szCs w:val="22"/>
              </w:rPr>
              <w:t xml:space="preserve">LS </w:t>
            </w:r>
            <w:proofErr w:type="spellStart"/>
            <w:r w:rsidRPr="00BB14C2">
              <w:rPr>
                <w:rFonts w:ascii="Arial" w:hAnsi="Arial" w:cs="Arial"/>
                <w:b/>
                <w:bCs/>
                <w:sz w:val="22"/>
                <w:szCs w:val="22"/>
              </w:rPr>
              <w:t>Mean</w:t>
            </w:r>
            <w:r w:rsidRPr="00BB14C2">
              <w:rPr>
                <w:rFonts w:ascii="Arial" w:hAnsi="Arial" w:cs="Arial"/>
                <w:b/>
                <w:bCs/>
                <w:sz w:val="22"/>
                <w:szCs w:val="22"/>
                <w:vertAlign w:val="superscript"/>
              </w:rPr>
              <w:t>d</w:t>
            </w:r>
            <w:proofErr w:type="spellEnd"/>
          </w:p>
        </w:tc>
        <w:tc>
          <w:tcPr>
            <w:tcW w:w="685" w:type="pct"/>
            <w:vMerge w:val="restart"/>
            <w:tcBorders>
              <w:left w:val="single" w:sz="4" w:space="0" w:color="auto"/>
            </w:tcBorders>
            <w:shd w:val="clear" w:color="auto" w:fill="auto"/>
            <w:tcMar>
              <w:top w:w="15" w:type="dxa"/>
              <w:left w:w="108" w:type="dxa"/>
              <w:bottom w:w="0" w:type="dxa"/>
              <w:right w:w="108" w:type="dxa"/>
            </w:tcMar>
            <w:vAlign w:val="bottom"/>
          </w:tcPr>
          <w:p w14:paraId="7282A5DB" w14:textId="77777777" w:rsidR="00BB14C2" w:rsidRPr="00BB14C2" w:rsidRDefault="00BB14C2">
            <w:pPr>
              <w:pStyle w:val="TableCellLeft"/>
              <w:keepNext/>
              <w:keepLines/>
              <w:jc w:val="center"/>
              <w:rPr>
                <w:rFonts w:ascii="Arial" w:hAnsi="Arial" w:cs="Arial"/>
                <w:sz w:val="22"/>
                <w:szCs w:val="22"/>
              </w:rPr>
            </w:pPr>
            <w:r w:rsidRPr="00BB14C2">
              <w:rPr>
                <w:rFonts w:ascii="Arial" w:hAnsi="Arial" w:cs="Arial"/>
                <w:sz w:val="22"/>
                <w:szCs w:val="22"/>
              </w:rPr>
              <w:t>0.0014</w:t>
            </w:r>
          </w:p>
        </w:tc>
      </w:tr>
      <w:tr w:rsidR="00BB14C2" w:rsidRPr="00BB14C2" w14:paraId="0FC56CEF" w14:textId="77777777">
        <w:trPr>
          <w:trHeight w:val="144"/>
        </w:trPr>
        <w:tc>
          <w:tcPr>
            <w:tcW w:w="2187" w:type="pct"/>
            <w:tcBorders>
              <w:top w:val="single" w:sz="4" w:space="0" w:color="auto"/>
              <w:left w:val="single" w:sz="4" w:space="0" w:color="auto"/>
              <w:bottom w:val="nil"/>
              <w:right w:val="single" w:sz="4" w:space="0" w:color="auto"/>
            </w:tcBorders>
            <w:shd w:val="clear" w:color="auto" w:fill="auto"/>
            <w:tcMar>
              <w:top w:w="15" w:type="dxa"/>
              <w:left w:w="108" w:type="dxa"/>
              <w:bottom w:w="0" w:type="dxa"/>
              <w:right w:w="108" w:type="dxa"/>
            </w:tcMar>
            <w:hideMark/>
          </w:tcPr>
          <w:p w14:paraId="3BE0EB20" w14:textId="77777777" w:rsidR="00BB14C2" w:rsidRPr="00BB14C2" w:rsidRDefault="00BB14C2">
            <w:pPr>
              <w:pStyle w:val="TableCellLeft"/>
              <w:keepNext/>
              <w:keepLines/>
              <w:rPr>
                <w:rFonts w:ascii="Arial" w:hAnsi="Arial" w:cs="Arial"/>
                <w:sz w:val="22"/>
                <w:szCs w:val="22"/>
              </w:rPr>
            </w:pPr>
            <w:r w:rsidRPr="00BB14C2">
              <w:rPr>
                <w:rFonts w:ascii="Arial" w:hAnsi="Arial" w:cs="Arial"/>
                <w:sz w:val="22"/>
                <w:szCs w:val="22"/>
              </w:rPr>
              <w:t>Change from baseline in Total Symptom Score</w:t>
            </w: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EA90B6F" w14:textId="77777777" w:rsidR="00BB14C2" w:rsidRPr="00BB14C2" w:rsidRDefault="00BB14C2">
            <w:pPr>
              <w:pStyle w:val="TableCellLeft"/>
              <w:keepNext/>
              <w:keepLines/>
              <w:jc w:val="center"/>
              <w:rPr>
                <w:rFonts w:ascii="Arial" w:hAnsi="Arial" w:cs="Arial"/>
                <w:sz w:val="22"/>
                <w:szCs w:val="22"/>
              </w:rPr>
            </w:pPr>
            <w:r w:rsidRPr="00BB14C2">
              <w:rPr>
                <w:rFonts w:ascii="Arial" w:hAnsi="Arial" w:cs="Arial"/>
                <w:sz w:val="22"/>
                <w:szCs w:val="22"/>
              </w:rPr>
              <w:t>-9.4</w:t>
            </w:r>
          </w:p>
        </w:tc>
        <w:tc>
          <w:tcPr>
            <w:tcW w:w="1064"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6286EDF" w14:textId="77777777" w:rsidR="00BB14C2" w:rsidRPr="00BB14C2" w:rsidRDefault="00BB14C2">
            <w:pPr>
              <w:pStyle w:val="TableCellLeft"/>
              <w:keepNext/>
              <w:keepLines/>
              <w:jc w:val="center"/>
              <w:rPr>
                <w:rFonts w:ascii="Arial" w:hAnsi="Arial" w:cs="Arial"/>
                <w:sz w:val="22"/>
                <w:szCs w:val="22"/>
              </w:rPr>
            </w:pPr>
            <w:r w:rsidRPr="00BB14C2">
              <w:rPr>
                <w:rFonts w:ascii="Arial" w:hAnsi="Arial" w:cs="Arial"/>
                <w:sz w:val="22"/>
                <w:szCs w:val="22"/>
              </w:rPr>
              <w:t>-3.1</w:t>
            </w:r>
          </w:p>
        </w:tc>
        <w:tc>
          <w:tcPr>
            <w:tcW w:w="685" w:type="pct"/>
            <w:vMerge/>
            <w:tcBorders>
              <w:left w:val="single" w:sz="4" w:space="0" w:color="auto"/>
            </w:tcBorders>
            <w:shd w:val="clear" w:color="auto" w:fill="auto"/>
            <w:tcMar>
              <w:top w:w="15" w:type="dxa"/>
              <w:left w:w="108" w:type="dxa"/>
              <w:bottom w:w="0" w:type="dxa"/>
              <w:right w:w="108" w:type="dxa"/>
            </w:tcMar>
            <w:vAlign w:val="bottom"/>
            <w:hideMark/>
          </w:tcPr>
          <w:p w14:paraId="08326125" w14:textId="77777777" w:rsidR="00BB14C2" w:rsidRPr="00BB14C2" w:rsidRDefault="00BB14C2">
            <w:pPr>
              <w:pStyle w:val="TableCellLeft"/>
              <w:keepNext/>
              <w:keepLines/>
              <w:jc w:val="center"/>
              <w:rPr>
                <w:rFonts w:ascii="Arial" w:hAnsi="Arial" w:cs="Arial"/>
                <w:sz w:val="22"/>
                <w:szCs w:val="22"/>
              </w:rPr>
            </w:pPr>
          </w:p>
        </w:tc>
      </w:tr>
      <w:tr w:rsidR="00BB14C2" w:rsidRPr="00BB14C2" w14:paraId="42A1C4C1" w14:textId="77777777">
        <w:trPr>
          <w:trHeight w:val="144"/>
        </w:trPr>
        <w:tc>
          <w:tcPr>
            <w:tcW w:w="2187" w:type="pct"/>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3F0D1E9" w14:textId="77777777" w:rsidR="00BB14C2" w:rsidRPr="00BB14C2" w:rsidRDefault="00BB14C2">
            <w:pPr>
              <w:pStyle w:val="TableCellCentered"/>
              <w:keepNext/>
              <w:keepLines/>
              <w:ind w:left="180" w:hanging="180"/>
              <w:jc w:val="left"/>
              <w:rPr>
                <w:rFonts w:ascii="Arial" w:hAnsi="Arial" w:cs="Arial"/>
                <w:sz w:val="22"/>
                <w:szCs w:val="22"/>
              </w:rPr>
            </w:pPr>
            <w:r w:rsidRPr="00BB14C2">
              <w:rPr>
                <w:rFonts w:ascii="Arial" w:hAnsi="Arial" w:cs="Arial"/>
                <w:sz w:val="22"/>
                <w:szCs w:val="22"/>
              </w:rPr>
              <w:tab/>
              <w:t>Treatment Difference (95% CI)</w:t>
            </w:r>
          </w:p>
        </w:tc>
        <w:tc>
          <w:tcPr>
            <w:tcW w:w="212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8B19D40" w14:textId="77777777" w:rsidR="00BB14C2" w:rsidRPr="00BB14C2" w:rsidRDefault="00BB14C2">
            <w:pPr>
              <w:pStyle w:val="TableCellCentered"/>
              <w:keepNext/>
              <w:keepLines/>
              <w:rPr>
                <w:rFonts w:ascii="Arial" w:hAnsi="Arial" w:cs="Arial"/>
                <w:sz w:val="22"/>
                <w:szCs w:val="22"/>
              </w:rPr>
            </w:pPr>
            <w:r w:rsidRPr="00BB14C2">
              <w:rPr>
                <w:rFonts w:ascii="Arial" w:hAnsi="Arial" w:cs="Arial"/>
                <w:sz w:val="22"/>
                <w:szCs w:val="22"/>
              </w:rPr>
              <w:t>-6.22 (-10.0, -2.43)</w:t>
            </w:r>
          </w:p>
        </w:tc>
        <w:tc>
          <w:tcPr>
            <w:tcW w:w="685" w:type="pct"/>
            <w:vMerge/>
            <w:tcBorders>
              <w:left w:val="single" w:sz="4" w:space="0" w:color="auto"/>
              <w:bottom w:val="single" w:sz="4" w:space="0" w:color="auto"/>
            </w:tcBorders>
            <w:shd w:val="clear" w:color="auto" w:fill="auto"/>
            <w:tcMar>
              <w:top w:w="15" w:type="dxa"/>
              <w:left w:w="108" w:type="dxa"/>
              <w:bottom w:w="0" w:type="dxa"/>
              <w:right w:w="108" w:type="dxa"/>
            </w:tcMar>
          </w:tcPr>
          <w:p w14:paraId="00EA96A4" w14:textId="77777777" w:rsidR="00BB14C2" w:rsidRPr="00BB14C2" w:rsidRDefault="00BB14C2">
            <w:pPr>
              <w:pStyle w:val="TableCellCentered"/>
              <w:keepNext/>
              <w:keepLines/>
              <w:rPr>
                <w:rFonts w:ascii="Arial" w:hAnsi="Arial" w:cs="Arial"/>
                <w:sz w:val="22"/>
                <w:szCs w:val="22"/>
              </w:rPr>
            </w:pPr>
          </w:p>
        </w:tc>
      </w:tr>
    </w:tbl>
    <w:p w14:paraId="5305FC47" w14:textId="77777777" w:rsidR="00BB14C2" w:rsidRPr="00CC1707" w:rsidRDefault="00BB14C2" w:rsidP="00BB14C2">
      <w:pPr>
        <w:pStyle w:val="TableFootnote025Hanging"/>
        <w:keepNext/>
        <w:keepLines/>
        <w:ind w:left="180" w:hanging="180"/>
        <w:rPr>
          <w:rFonts w:ascii="Arial" w:hAnsi="Arial" w:cs="Arial"/>
        </w:rPr>
      </w:pPr>
      <w:r w:rsidRPr="00CC1707">
        <w:rPr>
          <w:rFonts w:ascii="Arial" w:hAnsi="Arial" w:cs="Arial"/>
        </w:rPr>
        <w:t>CI = confidence interval; LS = least square.</w:t>
      </w:r>
    </w:p>
    <w:p w14:paraId="27ABFEC5" w14:textId="77777777" w:rsidR="00BB14C2" w:rsidRPr="00CC1707" w:rsidRDefault="00BB14C2" w:rsidP="00BB14C2">
      <w:pPr>
        <w:pStyle w:val="TableFootnote025Hanging"/>
        <w:keepNext/>
        <w:keepLines/>
        <w:ind w:left="180" w:hanging="180"/>
        <w:rPr>
          <w:rFonts w:ascii="Arial" w:hAnsi="Arial" w:cs="Arial"/>
        </w:rPr>
      </w:pPr>
      <w:r w:rsidRPr="00CC1707">
        <w:rPr>
          <w:rFonts w:ascii="Arial" w:hAnsi="Arial" w:cs="Arial"/>
          <w:vertAlign w:val="superscript"/>
        </w:rPr>
        <w:t>a</w:t>
      </w:r>
      <w:r w:rsidRPr="00CC1707">
        <w:rPr>
          <w:rFonts w:ascii="Arial" w:hAnsi="Arial" w:cs="Arial"/>
        </w:rPr>
        <w:tab/>
        <w:t>Defined as no transfusions and all Hgb values ≥8 g/dL in the 12 weeks prior to Week 24.</w:t>
      </w:r>
    </w:p>
    <w:p w14:paraId="0C599047" w14:textId="4EE4E115" w:rsidR="00BB14C2" w:rsidRPr="00CC1707" w:rsidRDefault="00BB14C2" w:rsidP="00BB14C2">
      <w:pPr>
        <w:pStyle w:val="TableFootnote025Hanging"/>
        <w:keepNext/>
        <w:keepLines/>
        <w:ind w:left="180" w:hanging="180"/>
        <w:rPr>
          <w:rFonts w:ascii="Arial" w:hAnsi="Arial" w:cs="Arial"/>
        </w:rPr>
      </w:pPr>
      <w:r w:rsidRPr="00CC1707">
        <w:rPr>
          <w:rFonts w:ascii="Arial" w:hAnsi="Arial" w:cs="Arial"/>
          <w:vertAlign w:val="superscript"/>
        </w:rPr>
        <w:t>b</w:t>
      </w:r>
      <w:r w:rsidRPr="00CC1707">
        <w:rPr>
          <w:rFonts w:ascii="Arial" w:hAnsi="Arial" w:cs="Arial"/>
        </w:rPr>
        <w:tab/>
      </w:r>
      <w:proofErr w:type="gramStart"/>
      <w:r w:rsidRPr="00CC1707">
        <w:rPr>
          <w:rFonts w:ascii="Arial" w:hAnsi="Arial" w:cs="Arial"/>
        </w:rPr>
        <w:t>Non-inferiority</w:t>
      </w:r>
      <w:proofErr w:type="gramEnd"/>
      <w:r w:rsidRPr="00CC1707">
        <w:rPr>
          <w:rFonts w:ascii="Arial" w:hAnsi="Arial" w:cs="Arial"/>
        </w:rPr>
        <w:t xml:space="preserve"> difference between </w:t>
      </w:r>
      <w:r w:rsidR="00B52DB1">
        <w:rPr>
          <w:rFonts w:ascii="Arial" w:hAnsi="Arial" w:cs="Arial"/>
        </w:rPr>
        <w:t>OMJJARA</w:t>
      </w:r>
      <w:r w:rsidRPr="00CC1707">
        <w:rPr>
          <w:rFonts w:ascii="Arial" w:hAnsi="Arial" w:cs="Arial"/>
        </w:rPr>
        <w:t xml:space="preserve"> response rate and 80% of danazol response rate; 1-sided p-value.</w:t>
      </w:r>
    </w:p>
    <w:p w14:paraId="6300BCEC" w14:textId="77777777" w:rsidR="00BB14C2" w:rsidRPr="00CC1707" w:rsidRDefault="00BB14C2" w:rsidP="00BB14C2">
      <w:pPr>
        <w:pStyle w:val="TableFootnote025Hanging"/>
        <w:keepNext/>
        <w:keepLines/>
        <w:ind w:left="180" w:hanging="180"/>
        <w:rPr>
          <w:rFonts w:ascii="Arial" w:hAnsi="Arial" w:cs="Arial"/>
        </w:rPr>
      </w:pPr>
      <w:r w:rsidRPr="00CC1707">
        <w:rPr>
          <w:rFonts w:ascii="Arial" w:hAnsi="Arial" w:cs="Arial"/>
          <w:vertAlign w:val="superscript"/>
        </w:rPr>
        <w:t>c</w:t>
      </w:r>
      <w:r w:rsidRPr="00CC1707">
        <w:rPr>
          <w:rFonts w:ascii="Arial" w:hAnsi="Arial" w:cs="Arial"/>
          <w:vertAlign w:val="superscript"/>
        </w:rPr>
        <w:tab/>
      </w:r>
      <w:r w:rsidRPr="00CC1707">
        <w:rPr>
          <w:rFonts w:ascii="Arial" w:hAnsi="Arial" w:cs="Arial"/>
        </w:rPr>
        <w:t>Percentage of patients with zero red blood cell or whole blood units transfused during the 24-week treatment period.</w:t>
      </w:r>
    </w:p>
    <w:p w14:paraId="2E5C8E5D" w14:textId="77777777" w:rsidR="00BB14C2" w:rsidRPr="00CC1707" w:rsidRDefault="00BB14C2" w:rsidP="00BB14C2">
      <w:pPr>
        <w:pStyle w:val="TableFootnote025Hanging"/>
        <w:keepNext/>
        <w:keepLines/>
        <w:ind w:left="180" w:hanging="180"/>
        <w:rPr>
          <w:rFonts w:ascii="Arial" w:hAnsi="Arial" w:cs="Arial"/>
        </w:rPr>
      </w:pPr>
      <w:bookmarkStart w:id="6" w:name="_Hlk116577955"/>
      <w:r w:rsidRPr="00CC1707">
        <w:rPr>
          <w:rFonts w:ascii="Arial" w:hAnsi="Arial" w:cs="Arial"/>
          <w:vertAlign w:val="superscript"/>
        </w:rPr>
        <w:t>d</w:t>
      </w:r>
      <w:r w:rsidRPr="00CC1707">
        <w:rPr>
          <w:rFonts w:ascii="Arial" w:hAnsi="Arial" w:cs="Arial"/>
          <w:vertAlign w:val="superscript"/>
        </w:rPr>
        <w:tab/>
      </w:r>
      <w:r w:rsidRPr="00CC1707">
        <w:rPr>
          <w:rFonts w:ascii="Arial" w:hAnsi="Arial" w:cs="Arial"/>
        </w:rPr>
        <w:t>Least square mean and difference at Week 24 based on a longitudinal mixed effect model for continuous Total Symptom Score change from baseline on a 70-point scale.</w:t>
      </w:r>
    </w:p>
    <w:bookmarkEnd w:id="5"/>
    <w:bookmarkEnd w:id="6"/>
    <w:p w14:paraId="3114A5FD" w14:textId="7DD26A0F" w:rsidR="00BB14C2" w:rsidRDefault="00BB14C2" w:rsidP="00BB14C2">
      <w:pPr>
        <w:pStyle w:val="BodyText"/>
        <w:ind w:right="228"/>
        <w:rPr>
          <w:rFonts w:ascii="Arial" w:hAnsi="Arial" w:cs="Arial"/>
        </w:rPr>
      </w:pPr>
    </w:p>
    <w:p w14:paraId="111B28BC" w14:textId="77777777" w:rsidR="00BB14C2" w:rsidRDefault="00BB14C2" w:rsidP="00BB14C2">
      <w:pPr>
        <w:pStyle w:val="BodyText"/>
        <w:keepNext/>
        <w:rPr>
          <w:rFonts w:ascii="Arial" w:hAnsi="Arial" w:cs="Arial"/>
          <w:u w:val="single"/>
        </w:rPr>
      </w:pPr>
      <w:r w:rsidRPr="00ED23A7">
        <w:rPr>
          <w:rFonts w:ascii="Arial" w:hAnsi="Arial" w:cs="Arial"/>
          <w:u w:val="single"/>
        </w:rPr>
        <w:t>SIMPLIFY-1</w:t>
      </w:r>
    </w:p>
    <w:p w14:paraId="5A364E44" w14:textId="53D7C6CD" w:rsidR="00ED23A7" w:rsidRPr="008B6246" w:rsidRDefault="00ED23A7" w:rsidP="00BB14C2">
      <w:pPr>
        <w:pStyle w:val="BodyText"/>
        <w:keepNext/>
        <w:rPr>
          <w:rFonts w:ascii="Arial" w:hAnsi="Arial" w:cs="Arial"/>
          <w:i/>
          <w:iCs/>
        </w:rPr>
      </w:pPr>
      <w:r w:rsidRPr="008B6246">
        <w:rPr>
          <w:rFonts w:ascii="Arial" w:hAnsi="Arial" w:cs="Arial"/>
          <w:i/>
          <w:iCs/>
        </w:rPr>
        <w:t xml:space="preserve">Myelofibrosis patients who are JAK inhibitor naïve </w:t>
      </w:r>
    </w:p>
    <w:p w14:paraId="59F67841" w14:textId="77777777" w:rsidR="00BB14C2" w:rsidRPr="008932D5" w:rsidRDefault="00BB14C2" w:rsidP="00BB14C2">
      <w:pPr>
        <w:pStyle w:val="BodyText"/>
        <w:rPr>
          <w:rFonts w:ascii="Arial" w:hAnsi="Arial" w:cs="Arial"/>
        </w:rPr>
      </w:pPr>
      <w:r w:rsidRPr="00BB14C2">
        <w:rPr>
          <w:rFonts w:ascii="Arial" w:hAnsi="Arial" w:cs="Arial"/>
        </w:rPr>
        <w:t xml:space="preserve">SIMPLIFY-1 was a double-blind, randomised, active-controlled study in 432 patients with myelofibrosis who had not previously received a JAK inhibitor. The median age was 66 years (range 25 to 86 years) with 57% of patients older than 65 years and 56% male. Fifty-six percent (56%) of patients had primary myelofibrosis, 23% had post-PV myelofibrosis, and 21% had post-ET myelofibrosis. Twenty-one percent (21%) of patients had intermediate-1 risk, 33% had intermediate-2 risk, and 46% had high-risk disease. TSS response was measured by the modified Myeloproliferative Neoplasm Symptom </w:t>
      </w:r>
      <w:r w:rsidRPr="00BB14C2">
        <w:rPr>
          <w:rFonts w:ascii="Arial" w:hAnsi="Arial" w:cs="Arial"/>
        </w:rPr>
        <w:lastRenderedPageBreak/>
        <w:t>Assessment Form (MPN-SAF) v2.0 diary (mean TSS 19 at baseline). The MPN-SAF daily diary captured the core symptoms of myelofibrosis: night sweats, abdominal discomfort, pain under the left rib, fatigue/tiredness, early satiety, pruritus, and bone pain. Within the 8 weeks prior to enrolment, 25% of patients had red blood cell transfusions. The baseline median Hgb was 10.4 g/</w:t>
      </w:r>
      <w:proofErr w:type="gramStart"/>
      <w:r w:rsidRPr="00BB14C2">
        <w:rPr>
          <w:rFonts w:ascii="Arial" w:hAnsi="Arial" w:cs="Arial"/>
        </w:rPr>
        <w:t>dL</w:t>
      </w:r>
      <w:proofErr w:type="gramEnd"/>
      <w:r w:rsidRPr="00BB14C2">
        <w:rPr>
          <w:rFonts w:ascii="Arial" w:hAnsi="Arial" w:cs="Arial"/>
        </w:rPr>
        <w:t xml:space="preserve"> and the median platelet count was 243.0 × 10</w:t>
      </w:r>
      <w:r w:rsidRPr="00BB14C2">
        <w:rPr>
          <w:rFonts w:ascii="Arial" w:hAnsi="Arial" w:cs="Arial"/>
          <w:vertAlign w:val="superscript"/>
        </w:rPr>
        <w:t>9</w:t>
      </w:r>
      <w:r w:rsidRPr="00BB14C2">
        <w:rPr>
          <w:rFonts w:ascii="Arial" w:hAnsi="Arial" w:cs="Arial"/>
        </w:rPr>
        <w:t xml:space="preserve">/L at baseline. The baseline median palpable spleen length was 12.0 cm below the left costal margin; the median spleen </w:t>
      </w:r>
      <w:r w:rsidRPr="008932D5">
        <w:rPr>
          <w:rFonts w:ascii="Arial" w:hAnsi="Arial" w:cs="Arial"/>
        </w:rPr>
        <w:t>volume (measured by MRI or CT) was 1916 cm</w:t>
      </w:r>
      <w:r w:rsidRPr="008932D5">
        <w:rPr>
          <w:rFonts w:ascii="Arial" w:hAnsi="Arial" w:cs="Arial"/>
          <w:vertAlign w:val="superscript"/>
        </w:rPr>
        <w:t>3</w:t>
      </w:r>
      <w:r w:rsidRPr="008932D5">
        <w:rPr>
          <w:rFonts w:ascii="Arial" w:hAnsi="Arial" w:cs="Arial"/>
        </w:rPr>
        <w:t xml:space="preserve"> (range 206 to 9022 cm</w:t>
      </w:r>
      <w:r w:rsidRPr="008932D5">
        <w:rPr>
          <w:rFonts w:ascii="Arial" w:hAnsi="Arial" w:cs="Arial"/>
          <w:vertAlign w:val="superscript"/>
        </w:rPr>
        <w:t>3</w:t>
      </w:r>
      <w:r w:rsidRPr="008932D5">
        <w:rPr>
          <w:rFonts w:ascii="Arial" w:hAnsi="Arial" w:cs="Arial"/>
        </w:rPr>
        <w:t>).</w:t>
      </w:r>
    </w:p>
    <w:p w14:paraId="41086EAD" w14:textId="373DBD1C" w:rsidR="00BB14C2" w:rsidRPr="008932D5" w:rsidRDefault="00BB14C2" w:rsidP="008B6246">
      <w:pPr>
        <w:pStyle w:val="BodyText"/>
        <w:rPr>
          <w:rFonts w:ascii="Arial" w:hAnsi="Arial" w:cs="Arial"/>
        </w:rPr>
      </w:pPr>
      <w:r w:rsidRPr="008932D5">
        <w:rPr>
          <w:rFonts w:ascii="Arial" w:hAnsi="Arial" w:cs="Arial"/>
        </w:rPr>
        <w:t xml:space="preserve">Patients were treated with </w:t>
      </w:r>
      <w:r w:rsidR="00B52DB1" w:rsidRPr="008932D5">
        <w:rPr>
          <w:rFonts w:ascii="Arial" w:hAnsi="Arial" w:cs="Arial"/>
        </w:rPr>
        <w:t>OMJJARA</w:t>
      </w:r>
      <w:r w:rsidRPr="008932D5">
        <w:rPr>
          <w:rFonts w:ascii="Arial" w:hAnsi="Arial" w:cs="Arial"/>
        </w:rPr>
        <w:t xml:space="preserve"> 200 mg or </w:t>
      </w:r>
      <w:proofErr w:type="spellStart"/>
      <w:r w:rsidRPr="008932D5">
        <w:rPr>
          <w:rFonts w:ascii="Arial" w:hAnsi="Arial" w:cs="Arial"/>
        </w:rPr>
        <w:t>ruxolitinib</w:t>
      </w:r>
      <w:proofErr w:type="spellEnd"/>
      <w:r w:rsidRPr="008932D5">
        <w:rPr>
          <w:rFonts w:ascii="Arial" w:hAnsi="Arial" w:cs="Arial"/>
        </w:rPr>
        <w:t xml:space="preserve"> adjusted dose twice daily for 24 weeks, followed by open-label treatment with </w:t>
      </w:r>
      <w:r w:rsidR="00B52DB1" w:rsidRPr="008932D5">
        <w:rPr>
          <w:rFonts w:ascii="Arial" w:hAnsi="Arial" w:cs="Arial"/>
        </w:rPr>
        <w:t>OMJJARA</w:t>
      </w:r>
      <w:r w:rsidRPr="008932D5">
        <w:rPr>
          <w:rFonts w:ascii="Arial" w:hAnsi="Arial" w:cs="Arial"/>
        </w:rPr>
        <w:t xml:space="preserve"> without tapering of </w:t>
      </w:r>
      <w:proofErr w:type="spellStart"/>
      <w:r w:rsidRPr="008932D5">
        <w:rPr>
          <w:rFonts w:ascii="Arial" w:hAnsi="Arial" w:cs="Arial"/>
        </w:rPr>
        <w:t>ruxolitinib</w:t>
      </w:r>
      <w:proofErr w:type="spellEnd"/>
      <w:r w:rsidRPr="008932D5">
        <w:rPr>
          <w:rFonts w:ascii="Arial" w:hAnsi="Arial" w:cs="Arial"/>
        </w:rPr>
        <w:t xml:space="preserve">. The primary efficacy endpoint was percentage of patients with spleen volume response (reduction by 35% or greater) at Week 24; analyses were also conducted in a subset of patients </w:t>
      </w:r>
      <w:r w:rsidR="00552DBF" w:rsidRPr="008932D5">
        <w:rPr>
          <w:rFonts w:ascii="Arial" w:hAnsi="Arial" w:cs="Arial"/>
        </w:rPr>
        <w:t xml:space="preserve">with moderate to severe anaemia (Hgb &lt; 10 g/dL) </w:t>
      </w:r>
      <w:r w:rsidRPr="008932D5">
        <w:rPr>
          <w:rFonts w:ascii="Arial" w:hAnsi="Arial" w:cs="Arial"/>
        </w:rPr>
        <w:t>(Table </w:t>
      </w:r>
      <w:r w:rsidR="00620018">
        <w:rPr>
          <w:rFonts w:ascii="Arial" w:hAnsi="Arial" w:cs="Arial"/>
        </w:rPr>
        <w:t>5</w:t>
      </w:r>
      <w:r w:rsidRPr="008932D5">
        <w:rPr>
          <w:rFonts w:ascii="Arial" w:hAnsi="Arial" w:cs="Arial"/>
        </w:rPr>
        <w:t xml:space="preserve">). A similar percentage of patients treated with </w:t>
      </w:r>
      <w:r w:rsidR="00B52DB1" w:rsidRPr="008932D5">
        <w:rPr>
          <w:rFonts w:ascii="Arial" w:hAnsi="Arial" w:cs="Arial"/>
        </w:rPr>
        <w:t>OMJJARA</w:t>
      </w:r>
      <w:r w:rsidRPr="008932D5">
        <w:rPr>
          <w:rFonts w:ascii="Arial" w:hAnsi="Arial" w:cs="Arial"/>
        </w:rPr>
        <w:t xml:space="preserve"> or </w:t>
      </w:r>
      <w:proofErr w:type="spellStart"/>
      <w:r w:rsidRPr="008932D5">
        <w:rPr>
          <w:rFonts w:ascii="Arial" w:hAnsi="Arial" w:cs="Arial"/>
        </w:rPr>
        <w:t>ruxolitinib</w:t>
      </w:r>
      <w:proofErr w:type="spellEnd"/>
      <w:r w:rsidRPr="008932D5">
        <w:rPr>
          <w:rFonts w:ascii="Arial" w:hAnsi="Arial" w:cs="Arial"/>
        </w:rPr>
        <w:t xml:space="preserve"> achieved a spleen volume response in both populations. Other endpoints included TSS response</w:t>
      </w:r>
      <w:r w:rsidR="004F11EB" w:rsidRPr="008932D5">
        <w:rPr>
          <w:rFonts w:ascii="Arial" w:hAnsi="Arial" w:cs="Arial"/>
        </w:rPr>
        <w:t xml:space="preserve"> </w:t>
      </w:r>
      <w:r w:rsidRPr="008932D5">
        <w:rPr>
          <w:rFonts w:ascii="Arial" w:hAnsi="Arial" w:cs="Arial"/>
        </w:rPr>
        <w:t>and red blood cell transfusion requirements.</w:t>
      </w:r>
      <w:r w:rsidR="007F5774" w:rsidRPr="008932D5">
        <w:rPr>
          <w:rFonts w:ascii="Arial" w:hAnsi="Arial" w:cs="Arial"/>
        </w:rPr>
        <w:t xml:space="preserve"> </w:t>
      </w:r>
      <w:r w:rsidR="004F11EB" w:rsidRPr="008932D5">
        <w:rPr>
          <w:rFonts w:ascii="Arial" w:hAnsi="Arial" w:cs="Arial"/>
        </w:rPr>
        <w:t xml:space="preserve">Non-inferiority of </w:t>
      </w:r>
      <w:r w:rsidR="008932D5" w:rsidRPr="008932D5">
        <w:rPr>
          <w:rFonts w:ascii="Arial" w:hAnsi="Arial" w:cs="Arial"/>
        </w:rPr>
        <w:t xml:space="preserve">OMJJARA with </w:t>
      </w:r>
      <w:proofErr w:type="spellStart"/>
      <w:r w:rsidR="008932D5" w:rsidRPr="008932D5">
        <w:rPr>
          <w:rFonts w:ascii="Arial" w:hAnsi="Arial" w:cs="Arial"/>
        </w:rPr>
        <w:t>ruxolitinib</w:t>
      </w:r>
      <w:proofErr w:type="spellEnd"/>
      <w:r w:rsidR="008932D5" w:rsidRPr="008932D5">
        <w:rPr>
          <w:rFonts w:ascii="Arial" w:hAnsi="Arial" w:cs="Arial"/>
        </w:rPr>
        <w:t xml:space="preserve"> was not demonstrated for the first of the secondary endpoint</w:t>
      </w:r>
      <w:r w:rsidR="009B3171">
        <w:rPr>
          <w:rFonts w:ascii="Arial" w:hAnsi="Arial" w:cs="Arial"/>
        </w:rPr>
        <w:t>s,</w:t>
      </w:r>
      <w:r w:rsidR="008932D5" w:rsidRPr="008932D5">
        <w:rPr>
          <w:rFonts w:ascii="Arial" w:hAnsi="Arial" w:cs="Arial"/>
        </w:rPr>
        <w:t xml:space="preserve"> </w:t>
      </w:r>
      <w:r w:rsidR="009B3171">
        <w:rPr>
          <w:rFonts w:ascii="Arial" w:hAnsi="Arial" w:cs="Arial"/>
        </w:rPr>
        <w:t>TSS</w:t>
      </w:r>
      <w:r w:rsidR="008932D5" w:rsidRPr="008932D5">
        <w:rPr>
          <w:rFonts w:ascii="Arial" w:hAnsi="Arial" w:cs="Arial"/>
        </w:rPr>
        <w:t xml:space="preserve"> reduction of 50% or greater.</w:t>
      </w:r>
      <w:r w:rsidRPr="008932D5">
        <w:rPr>
          <w:rFonts w:ascii="Arial" w:hAnsi="Arial" w:cs="Arial"/>
        </w:rPr>
        <w:br w:type="page"/>
      </w:r>
    </w:p>
    <w:p w14:paraId="65CE475A" w14:textId="568CB23D" w:rsidR="00BB14C2" w:rsidRPr="00BB14C2" w:rsidRDefault="00BB14C2" w:rsidP="00BB14C2">
      <w:pPr>
        <w:pStyle w:val="BodyText"/>
        <w:rPr>
          <w:rFonts w:ascii="Arial" w:hAnsi="Arial" w:cs="Arial"/>
        </w:rPr>
      </w:pPr>
      <w:r w:rsidRPr="00BB14C2">
        <w:rPr>
          <w:rFonts w:ascii="Arial" w:hAnsi="Arial" w:cs="Arial"/>
          <w:b/>
          <w:snapToGrid w:val="0"/>
          <w:color w:val="000000"/>
        </w:rPr>
        <w:lastRenderedPageBreak/>
        <w:t>Table </w:t>
      </w:r>
      <w:r w:rsidR="00620018">
        <w:rPr>
          <w:rFonts w:ascii="Arial" w:hAnsi="Arial" w:cs="Arial"/>
          <w:b/>
          <w:snapToGrid w:val="0"/>
          <w:color w:val="000000"/>
        </w:rPr>
        <w:t>5</w:t>
      </w:r>
      <w:r w:rsidRPr="00BB14C2">
        <w:rPr>
          <w:rFonts w:ascii="Arial" w:hAnsi="Arial" w:cs="Arial"/>
          <w:b/>
          <w:snapToGrid w:val="0"/>
          <w:color w:val="000000"/>
        </w:rPr>
        <w:t xml:space="preserve"> </w:t>
      </w:r>
      <w:r>
        <w:rPr>
          <w:rFonts w:ascii="Arial" w:hAnsi="Arial" w:cs="Arial"/>
          <w:b/>
          <w:snapToGrid w:val="0"/>
          <w:color w:val="000000"/>
        </w:rPr>
        <w:tab/>
      </w:r>
      <w:r w:rsidRPr="00BB14C2">
        <w:rPr>
          <w:rFonts w:ascii="Arial" w:hAnsi="Arial" w:cs="Arial"/>
          <w:b/>
          <w:snapToGrid w:val="0"/>
          <w:color w:val="000000"/>
        </w:rPr>
        <w:t>Percent of Overall Patients and Anaemic Patients Achieving Symptom Reduction, Spleen Volume Reduction, and Transfusion Independence at Week 24 (SIMPLIFY-1)</w:t>
      </w:r>
    </w:p>
    <w:tbl>
      <w:tblPr>
        <w:tblW w:w="5058" w:type="pct"/>
        <w:jc w:val="center"/>
        <w:tblBorders>
          <w:top w:val="single" w:sz="4" w:space="0" w:color="383A3B"/>
          <w:left w:val="single" w:sz="4" w:space="0" w:color="383A3B"/>
          <w:bottom w:val="single" w:sz="4" w:space="0" w:color="383A3B"/>
          <w:right w:val="single" w:sz="4" w:space="0" w:color="383A3B"/>
          <w:insideH w:val="single" w:sz="4" w:space="0" w:color="383A3B"/>
          <w:insideV w:val="single" w:sz="4" w:space="0" w:color="383A3B"/>
        </w:tblBorders>
        <w:tblLayout w:type="fixed"/>
        <w:tblCellMar>
          <w:left w:w="72" w:type="dxa"/>
          <w:right w:w="72" w:type="dxa"/>
        </w:tblCellMar>
        <w:tblLook w:val="04A0" w:firstRow="1" w:lastRow="0" w:firstColumn="1" w:lastColumn="0" w:noHBand="0" w:noVBand="1"/>
      </w:tblPr>
      <w:tblGrid>
        <w:gridCol w:w="2718"/>
        <w:gridCol w:w="1717"/>
        <w:gridCol w:w="1563"/>
        <w:gridCol w:w="1563"/>
        <w:gridCol w:w="1560"/>
      </w:tblGrid>
      <w:tr w:rsidR="00BB14C2" w:rsidRPr="00BB14C2" w14:paraId="150FDBFF" w14:textId="77777777">
        <w:trPr>
          <w:trHeight w:val="144"/>
          <w:tblHeader/>
          <w:jc w:val="center"/>
        </w:trPr>
        <w:tc>
          <w:tcPr>
            <w:tcW w:w="1490" w:type="pct"/>
            <w:vMerge w:val="restart"/>
            <w:shd w:val="clear" w:color="auto" w:fill="auto"/>
            <w:tcMar>
              <w:top w:w="15" w:type="dxa"/>
              <w:left w:w="108" w:type="dxa"/>
              <w:bottom w:w="0" w:type="dxa"/>
              <w:right w:w="108" w:type="dxa"/>
            </w:tcMar>
            <w:vAlign w:val="bottom"/>
          </w:tcPr>
          <w:p w14:paraId="35943996" w14:textId="77777777" w:rsidR="00BB14C2" w:rsidRPr="00BB14C2" w:rsidRDefault="00BB14C2">
            <w:pPr>
              <w:pStyle w:val="TableHeadCenter"/>
              <w:keepNext/>
              <w:spacing w:before="0" w:after="0"/>
              <w:jc w:val="left"/>
              <w:rPr>
                <w:rFonts w:ascii="Arial" w:hAnsi="Arial" w:cs="Arial"/>
                <w:sz w:val="22"/>
                <w:szCs w:val="22"/>
                <w:lang w:val="en-CA"/>
              </w:rPr>
            </w:pPr>
          </w:p>
        </w:tc>
        <w:tc>
          <w:tcPr>
            <w:tcW w:w="1798" w:type="pct"/>
            <w:gridSpan w:val="2"/>
          </w:tcPr>
          <w:p w14:paraId="12720CEE" w14:textId="77777777" w:rsidR="00BB14C2" w:rsidRPr="00BB14C2" w:rsidRDefault="00BB14C2">
            <w:pPr>
              <w:pStyle w:val="TableHeadCenter"/>
              <w:spacing w:before="0" w:after="0"/>
              <w:rPr>
                <w:rFonts w:ascii="Arial" w:hAnsi="Arial" w:cs="Arial"/>
                <w:snapToGrid w:val="0"/>
                <w:color w:val="000000"/>
                <w:sz w:val="22"/>
                <w:szCs w:val="22"/>
              </w:rPr>
            </w:pPr>
            <w:r w:rsidRPr="00BB14C2">
              <w:rPr>
                <w:rFonts w:ascii="Arial" w:hAnsi="Arial" w:cs="Arial"/>
                <w:sz w:val="22"/>
                <w:szCs w:val="22"/>
              </w:rPr>
              <w:t>Overall Population</w:t>
            </w:r>
          </w:p>
        </w:tc>
        <w:tc>
          <w:tcPr>
            <w:tcW w:w="1712" w:type="pct"/>
            <w:gridSpan w:val="2"/>
          </w:tcPr>
          <w:p w14:paraId="3C66CD58" w14:textId="77777777" w:rsidR="00BB14C2" w:rsidRPr="00BB14C2" w:rsidRDefault="00BB14C2">
            <w:pPr>
              <w:pStyle w:val="TableHeadCenter"/>
              <w:spacing w:before="0" w:after="0"/>
              <w:rPr>
                <w:rFonts w:ascii="Arial" w:hAnsi="Arial" w:cs="Arial"/>
                <w:snapToGrid w:val="0"/>
                <w:color w:val="000000"/>
                <w:sz w:val="22"/>
                <w:szCs w:val="22"/>
              </w:rPr>
            </w:pPr>
            <w:proofErr w:type="spellStart"/>
            <w:r w:rsidRPr="00BB14C2">
              <w:rPr>
                <w:rFonts w:ascii="Arial" w:hAnsi="Arial" w:cs="Arial"/>
                <w:snapToGrid w:val="0"/>
                <w:color w:val="000000"/>
                <w:sz w:val="22"/>
                <w:szCs w:val="22"/>
              </w:rPr>
              <w:t>Anaemic</w:t>
            </w:r>
            <w:proofErr w:type="spellEnd"/>
            <w:r w:rsidRPr="00BB14C2">
              <w:rPr>
                <w:rFonts w:ascii="Arial" w:hAnsi="Arial" w:cs="Arial"/>
                <w:snapToGrid w:val="0"/>
                <w:color w:val="000000"/>
                <w:sz w:val="22"/>
                <w:szCs w:val="22"/>
              </w:rPr>
              <w:t xml:space="preserve"> Population</w:t>
            </w:r>
          </w:p>
          <w:p w14:paraId="4EE07C5D" w14:textId="292D0ABE" w:rsidR="00BB14C2" w:rsidRPr="00BB14C2" w:rsidRDefault="00BB14C2">
            <w:pPr>
              <w:pStyle w:val="TableHeadCenter"/>
              <w:spacing w:before="0" w:after="0"/>
              <w:rPr>
                <w:rFonts w:ascii="Arial" w:hAnsi="Arial" w:cs="Arial"/>
                <w:sz w:val="22"/>
                <w:szCs w:val="22"/>
              </w:rPr>
            </w:pPr>
            <w:r w:rsidRPr="00BB14C2">
              <w:rPr>
                <w:rFonts w:ascii="Arial" w:hAnsi="Arial" w:cs="Arial"/>
                <w:snapToGrid w:val="0"/>
                <w:color w:val="000000"/>
                <w:sz w:val="22"/>
                <w:szCs w:val="22"/>
              </w:rPr>
              <w:t>(</w:t>
            </w:r>
            <w:bookmarkStart w:id="7" w:name="_Hlk175312292"/>
            <w:r w:rsidRPr="00BB14C2">
              <w:rPr>
                <w:rFonts w:ascii="Arial" w:hAnsi="Arial" w:cs="Arial"/>
                <w:snapToGrid w:val="0"/>
                <w:color w:val="000000"/>
                <w:sz w:val="22"/>
                <w:szCs w:val="22"/>
              </w:rPr>
              <w:t>Hgb &lt;</w:t>
            </w:r>
            <w:r w:rsidR="00552DBF">
              <w:rPr>
                <w:rFonts w:ascii="Arial" w:hAnsi="Arial" w:cs="Arial"/>
                <w:snapToGrid w:val="0"/>
                <w:color w:val="000000"/>
                <w:sz w:val="22"/>
                <w:szCs w:val="22"/>
              </w:rPr>
              <w:t>10</w:t>
            </w:r>
            <w:r w:rsidRPr="00BB14C2">
              <w:rPr>
                <w:rFonts w:ascii="Arial" w:hAnsi="Arial" w:cs="Arial"/>
                <w:snapToGrid w:val="0"/>
                <w:color w:val="000000"/>
                <w:sz w:val="22"/>
                <w:szCs w:val="22"/>
              </w:rPr>
              <w:t> g/dL</w:t>
            </w:r>
            <w:bookmarkEnd w:id="7"/>
            <w:r w:rsidRPr="00BB14C2">
              <w:rPr>
                <w:rFonts w:ascii="Arial" w:hAnsi="Arial" w:cs="Arial"/>
                <w:snapToGrid w:val="0"/>
                <w:color w:val="000000"/>
                <w:sz w:val="22"/>
                <w:szCs w:val="22"/>
              </w:rPr>
              <w:t>)</w:t>
            </w:r>
          </w:p>
        </w:tc>
      </w:tr>
      <w:tr w:rsidR="00BB14C2" w:rsidRPr="00BB14C2" w14:paraId="313BC0E0" w14:textId="77777777">
        <w:trPr>
          <w:trHeight w:val="346"/>
          <w:tblHeader/>
          <w:jc w:val="center"/>
        </w:trPr>
        <w:tc>
          <w:tcPr>
            <w:tcW w:w="1490" w:type="pct"/>
            <w:vMerge/>
            <w:shd w:val="clear" w:color="auto" w:fill="auto"/>
            <w:tcMar>
              <w:top w:w="15" w:type="dxa"/>
              <w:left w:w="108" w:type="dxa"/>
              <w:bottom w:w="0" w:type="dxa"/>
              <w:right w:w="108" w:type="dxa"/>
            </w:tcMar>
            <w:vAlign w:val="bottom"/>
          </w:tcPr>
          <w:p w14:paraId="1C7781CE" w14:textId="77777777" w:rsidR="00BB14C2" w:rsidRPr="00BB14C2" w:rsidRDefault="00BB14C2">
            <w:pPr>
              <w:pStyle w:val="TableHeadCenter"/>
              <w:keepNext/>
              <w:spacing w:before="0" w:after="0"/>
              <w:jc w:val="left"/>
              <w:rPr>
                <w:rFonts w:ascii="Arial" w:hAnsi="Arial" w:cs="Arial"/>
                <w:sz w:val="22"/>
                <w:szCs w:val="22"/>
                <w:lang w:val="en-CA"/>
              </w:rPr>
            </w:pPr>
          </w:p>
        </w:tc>
        <w:tc>
          <w:tcPr>
            <w:tcW w:w="941" w:type="pct"/>
          </w:tcPr>
          <w:p w14:paraId="2FBB9035" w14:textId="01F1D4D5" w:rsidR="00BB14C2" w:rsidRPr="00BB14C2" w:rsidRDefault="00B52DB1">
            <w:pPr>
              <w:pStyle w:val="TableHeadCenter"/>
              <w:spacing w:before="0" w:after="0"/>
              <w:rPr>
                <w:rFonts w:ascii="Arial" w:hAnsi="Arial" w:cs="Arial"/>
                <w:sz w:val="22"/>
                <w:szCs w:val="22"/>
              </w:rPr>
            </w:pPr>
            <w:r>
              <w:rPr>
                <w:rFonts w:ascii="Arial" w:hAnsi="Arial" w:cs="Arial"/>
                <w:sz w:val="22"/>
                <w:szCs w:val="22"/>
              </w:rPr>
              <w:t>OMJJARA</w:t>
            </w:r>
          </w:p>
          <w:p w14:paraId="499808F6" w14:textId="77777777" w:rsidR="00BB14C2" w:rsidRPr="00BB14C2" w:rsidRDefault="00BB14C2">
            <w:pPr>
              <w:pStyle w:val="TableHeadCenter"/>
              <w:spacing w:before="0" w:after="0"/>
              <w:rPr>
                <w:rFonts w:ascii="Arial" w:hAnsi="Arial" w:cs="Arial"/>
                <w:sz w:val="22"/>
                <w:szCs w:val="22"/>
                <w:lang w:val="en-CA"/>
              </w:rPr>
            </w:pPr>
            <w:r w:rsidRPr="00BB14C2">
              <w:rPr>
                <w:rFonts w:ascii="Arial" w:hAnsi="Arial" w:cs="Arial"/>
                <w:sz w:val="22"/>
                <w:szCs w:val="22"/>
                <w:lang w:val="en-CA"/>
              </w:rPr>
              <w:t>n = 215</w:t>
            </w:r>
          </w:p>
        </w:tc>
        <w:tc>
          <w:tcPr>
            <w:tcW w:w="857" w:type="pct"/>
          </w:tcPr>
          <w:p w14:paraId="689C98AF" w14:textId="77777777" w:rsidR="00BB14C2" w:rsidRPr="00BB14C2" w:rsidRDefault="00BB14C2">
            <w:pPr>
              <w:pStyle w:val="TableHeadCenter"/>
              <w:spacing w:before="0" w:after="0"/>
              <w:rPr>
                <w:rFonts w:ascii="Arial" w:hAnsi="Arial" w:cs="Arial"/>
                <w:sz w:val="22"/>
                <w:szCs w:val="22"/>
              </w:rPr>
            </w:pPr>
            <w:proofErr w:type="spellStart"/>
            <w:r w:rsidRPr="00BB14C2">
              <w:rPr>
                <w:rFonts w:ascii="Arial" w:hAnsi="Arial" w:cs="Arial"/>
                <w:sz w:val="22"/>
                <w:szCs w:val="22"/>
              </w:rPr>
              <w:t>Ruxolitinib</w:t>
            </w:r>
            <w:proofErr w:type="spellEnd"/>
          </w:p>
          <w:p w14:paraId="5A9A712D" w14:textId="77777777" w:rsidR="00BB14C2" w:rsidRPr="00BB14C2" w:rsidRDefault="00BB14C2">
            <w:pPr>
              <w:pStyle w:val="TableHeadCenter"/>
              <w:spacing w:before="0" w:after="0"/>
              <w:rPr>
                <w:rFonts w:ascii="Arial" w:hAnsi="Arial" w:cs="Arial"/>
                <w:sz w:val="22"/>
                <w:szCs w:val="22"/>
              </w:rPr>
            </w:pPr>
            <w:r w:rsidRPr="00BB14C2">
              <w:rPr>
                <w:rFonts w:ascii="Arial" w:hAnsi="Arial" w:cs="Arial"/>
                <w:sz w:val="22"/>
                <w:szCs w:val="22"/>
              </w:rPr>
              <w:t>n = 217</w:t>
            </w:r>
          </w:p>
        </w:tc>
        <w:tc>
          <w:tcPr>
            <w:tcW w:w="857" w:type="pct"/>
            <w:shd w:val="clear" w:color="auto" w:fill="auto"/>
            <w:tcMar>
              <w:top w:w="15" w:type="dxa"/>
              <w:left w:w="108" w:type="dxa"/>
              <w:bottom w:w="0" w:type="dxa"/>
              <w:right w:w="108" w:type="dxa"/>
            </w:tcMar>
            <w:vAlign w:val="bottom"/>
          </w:tcPr>
          <w:p w14:paraId="71F4B1FF" w14:textId="55320921" w:rsidR="00BB14C2" w:rsidRPr="00BB14C2" w:rsidRDefault="00B52DB1">
            <w:pPr>
              <w:pStyle w:val="TableHeadCenter"/>
              <w:spacing w:before="0" w:after="0"/>
              <w:rPr>
                <w:rFonts w:ascii="Arial" w:hAnsi="Arial" w:cs="Arial"/>
                <w:sz w:val="22"/>
                <w:szCs w:val="22"/>
              </w:rPr>
            </w:pPr>
            <w:r>
              <w:rPr>
                <w:rFonts w:ascii="Arial" w:hAnsi="Arial" w:cs="Arial"/>
                <w:sz w:val="22"/>
                <w:szCs w:val="22"/>
              </w:rPr>
              <w:t>OMJJARA</w:t>
            </w:r>
          </w:p>
          <w:p w14:paraId="535D7DFE" w14:textId="79112357" w:rsidR="00BB14C2" w:rsidRPr="00BB14C2" w:rsidRDefault="00BB14C2">
            <w:pPr>
              <w:pStyle w:val="TableHeadCenter"/>
              <w:spacing w:before="0" w:after="0"/>
              <w:rPr>
                <w:rFonts w:ascii="Arial" w:hAnsi="Arial" w:cs="Arial"/>
                <w:sz w:val="22"/>
                <w:szCs w:val="22"/>
                <w:lang w:val="en-CA"/>
              </w:rPr>
            </w:pPr>
            <w:r w:rsidRPr="00BB14C2">
              <w:rPr>
                <w:rFonts w:ascii="Arial" w:hAnsi="Arial" w:cs="Arial"/>
                <w:sz w:val="22"/>
                <w:szCs w:val="22"/>
                <w:lang w:val="en-CA"/>
              </w:rPr>
              <w:t>n = </w:t>
            </w:r>
            <w:r w:rsidR="00635E32">
              <w:rPr>
                <w:rFonts w:ascii="Arial" w:hAnsi="Arial" w:cs="Arial"/>
                <w:sz w:val="22"/>
                <w:szCs w:val="22"/>
                <w:lang w:val="en-CA"/>
              </w:rPr>
              <w:t>86</w:t>
            </w:r>
          </w:p>
        </w:tc>
        <w:tc>
          <w:tcPr>
            <w:tcW w:w="855" w:type="pct"/>
            <w:shd w:val="clear" w:color="auto" w:fill="auto"/>
            <w:tcMar>
              <w:top w:w="15" w:type="dxa"/>
              <w:left w:w="108" w:type="dxa"/>
              <w:bottom w:w="0" w:type="dxa"/>
              <w:right w:w="108" w:type="dxa"/>
            </w:tcMar>
            <w:vAlign w:val="bottom"/>
          </w:tcPr>
          <w:p w14:paraId="44B76AF1" w14:textId="77777777" w:rsidR="00BB14C2" w:rsidRPr="00BB14C2" w:rsidRDefault="00BB14C2">
            <w:pPr>
              <w:pStyle w:val="TableHeadCenter"/>
              <w:spacing w:before="0" w:after="0"/>
              <w:rPr>
                <w:rFonts w:ascii="Arial" w:hAnsi="Arial" w:cs="Arial"/>
                <w:sz w:val="22"/>
                <w:szCs w:val="22"/>
              </w:rPr>
            </w:pPr>
            <w:proofErr w:type="spellStart"/>
            <w:r w:rsidRPr="00BB14C2">
              <w:rPr>
                <w:rFonts w:ascii="Arial" w:hAnsi="Arial" w:cs="Arial"/>
                <w:sz w:val="22"/>
                <w:szCs w:val="22"/>
              </w:rPr>
              <w:t>Ruxolitinib</w:t>
            </w:r>
            <w:proofErr w:type="spellEnd"/>
          </w:p>
          <w:p w14:paraId="4B8E6815" w14:textId="2185ACF4" w:rsidR="00BB14C2" w:rsidRPr="00BB14C2" w:rsidRDefault="00BB14C2">
            <w:pPr>
              <w:pStyle w:val="TableHeadCenter"/>
              <w:spacing w:before="0" w:after="0"/>
              <w:rPr>
                <w:rFonts w:ascii="Arial" w:hAnsi="Arial" w:cs="Arial"/>
                <w:sz w:val="22"/>
                <w:szCs w:val="22"/>
              </w:rPr>
            </w:pPr>
            <w:r w:rsidRPr="00BB14C2">
              <w:rPr>
                <w:rFonts w:ascii="Arial" w:hAnsi="Arial" w:cs="Arial"/>
                <w:sz w:val="22"/>
                <w:szCs w:val="22"/>
              </w:rPr>
              <w:t>n = </w:t>
            </w:r>
            <w:r w:rsidR="00635E32">
              <w:rPr>
                <w:rFonts w:ascii="Arial" w:hAnsi="Arial" w:cs="Arial"/>
                <w:sz w:val="22"/>
                <w:szCs w:val="22"/>
              </w:rPr>
              <w:t>9</w:t>
            </w:r>
            <w:r w:rsidR="00156B2B">
              <w:rPr>
                <w:rFonts w:ascii="Arial" w:hAnsi="Arial" w:cs="Arial"/>
                <w:sz w:val="22"/>
                <w:szCs w:val="22"/>
              </w:rPr>
              <w:t>5</w:t>
            </w:r>
          </w:p>
        </w:tc>
      </w:tr>
      <w:tr w:rsidR="00BB14C2" w:rsidRPr="00BB14C2" w14:paraId="19A83680" w14:textId="77777777">
        <w:trPr>
          <w:trHeight w:val="346"/>
          <w:tblHeader/>
          <w:jc w:val="center"/>
        </w:trPr>
        <w:tc>
          <w:tcPr>
            <w:tcW w:w="1490" w:type="pct"/>
            <w:vMerge/>
            <w:tcBorders>
              <w:bottom w:val="single" w:sz="4" w:space="0" w:color="383A3B"/>
            </w:tcBorders>
            <w:shd w:val="clear" w:color="auto" w:fill="auto"/>
            <w:tcMar>
              <w:top w:w="15" w:type="dxa"/>
              <w:left w:w="108" w:type="dxa"/>
              <w:bottom w:w="0" w:type="dxa"/>
              <w:right w:w="108" w:type="dxa"/>
            </w:tcMar>
            <w:vAlign w:val="bottom"/>
          </w:tcPr>
          <w:p w14:paraId="5C6323A5" w14:textId="77777777" w:rsidR="00BB14C2" w:rsidRPr="00BB14C2" w:rsidRDefault="00BB14C2">
            <w:pPr>
              <w:pStyle w:val="TableHeadCenter"/>
              <w:keepNext/>
              <w:spacing w:before="0" w:after="0"/>
              <w:jc w:val="left"/>
              <w:rPr>
                <w:rFonts w:ascii="Arial" w:hAnsi="Arial" w:cs="Arial"/>
                <w:sz w:val="22"/>
                <w:szCs w:val="22"/>
                <w:lang w:val="en-CA"/>
              </w:rPr>
            </w:pPr>
          </w:p>
        </w:tc>
        <w:tc>
          <w:tcPr>
            <w:tcW w:w="941" w:type="pct"/>
          </w:tcPr>
          <w:p w14:paraId="625B5BB6" w14:textId="77777777" w:rsidR="00BB14C2" w:rsidRPr="00BB14C2" w:rsidRDefault="00BB14C2">
            <w:pPr>
              <w:pStyle w:val="TableHeadCenter"/>
              <w:spacing w:before="0" w:after="0"/>
              <w:rPr>
                <w:rFonts w:ascii="Arial" w:hAnsi="Arial" w:cs="Arial"/>
                <w:sz w:val="22"/>
                <w:szCs w:val="22"/>
                <w:lang w:val="en-CA"/>
              </w:rPr>
            </w:pPr>
            <w:r w:rsidRPr="00BB14C2">
              <w:rPr>
                <w:rFonts w:ascii="Arial" w:hAnsi="Arial" w:cs="Arial"/>
                <w:sz w:val="22"/>
                <w:szCs w:val="22"/>
                <w:lang w:val="en-CA"/>
              </w:rPr>
              <w:t>n</w:t>
            </w:r>
          </w:p>
          <w:p w14:paraId="65DA4F19" w14:textId="77777777" w:rsidR="00BB14C2" w:rsidRPr="00BB14C2" w:rsidRDefault="00BB14C2">
            <w:pPr>
              <w:pStyle w:val="TableHeadCenter"/>
              <w:spacing w:before="0" w:after="0"/>
              <w:rPr>
                <w:rFonts w:ascii="Arial" w:hAnsi="Arial" w:cs="Arial"/>
                <w:sz w:val="22"/>
                <w:szCs w:val="22"/>
              </w:rPr>
            </w:pPr>
            <w:r w:rsidRPr="00BB14C2">
              <w:rPr>
                <w:rFonts w:ascii="Arial" w:hAnsi="Arial" w:cs="Arial"/>
                <w:sz w:val="22"/>
                <w:szCs w:val="22"/>
                <w:lang w:val="en-CA"/>
              </w:rPr>
              <w:t>%</w:t>
            </w:r>
          </w:p>
        </w:tc>
        <w:tc>
          <w:tcPr>
            <w:tcW w:w="857" w:type="pct"/>
          </w:tcPr>
          <w:p w14:paraId="03196733" w14:textId="77777777" w:rsidR="00BB14C2" w:rsidRPr="00BB14C2" w:rsidRDefault="00BB14C2">
            <w:pPr>
              <w:pStyle w:val="TableHeadCenter"/>
              <w:spacing w:before="0" w:after="0"/>
              <w:rPr>
                <w:rFonts w:ascii="Arial" w:hAnsi="Arial" w:cs="Arial"/>
                <w:sz w:val="22"/>
                <w:szCs w:val="22"/>
              </w:rPr>
            </w:pPr>
            <w:r w:rsidRPr="00BB14C2">
              <w:rPr>
                <w:rFonts w:ascii="Arial" w:hAnsi="Arial" w:cs="Arial"/>
                <w:sz w:val="22"/>
                <w:szCs w:val="22"/>
              </w:rPr>
              <w:t>n</w:t>
            </w:r>
          </w:p>
          <w:p w14:paraId="0098BF56" w14:textId="77777777" w:rsidR="00BB14C2" w:rsidRPr="00BB14C2" w:rsidRDefault="00BB14C2">
            <w:pPr>
              <w:pStyle w:val="TableHeadCenter"/>
              <w:spacing w:before="0" w:after="0"/>
              <w:rPr>
                <w:rFonts w:ascii="Arial" w:hAnsi="Arial" w:cs="Arial"/>
                <w:sz w:val="22"/>
                <w:szCs w:val="22"/>
              </w:rPr>
            </w:pPr>
            <w:r w:rsidRPr="00BB14C2">
              <w:rPr>
                <w:rFonts w:ascii="Arial" w:hAnsi="Arial" w:cs="Arial"/>
                <w:sz w:val="22"/>
                <w:szCs w:val="22"/>
              </w:rPr>
              <w:t>%</w:t>
            </w:r>
          </w:p>
        </w:tc>
        <w:tc>
          <w:tcPr>
            <w:tcW w:w="857" w:type="pct"/>
            <w:shd w:val="clear" w:color="auto" w:fill="auto"/>
            <w:tcMar>
              <w:top w:w="15" w:type="dxa"/>
              <w:left w:w="108" w:type="dxa"/>
              <w:bottom w:w="0" w:type="dxa"/>
              <w:right w:w="108" w:type="dxa"/>
            </w:tcMar>
            <w:vAlign w:val="bottom"/>
          </w:tcPr>
          <w:p w14:paraId="7EF0F55F" w14:textId="77777777" w:rsidR="00BB14C2" w:rsidRPr="00BB14C2" w:rsidRDefault="00BB14C2">
            <w:pPr>
              <w:pStyle w:val="TableHeadCenter"/>
              <w:keepNext/>
              <w:spacing w:before="0" w:after="0"/>
              <w:rPr>
                <w:rFonts w:ascii="Arial" w:hAnsi="Arial" w:cs="Arial"/>
                <w:sz w:val="22"/>
                <w:szCs w:val="22"/>
                <w:lang w:val="en-CA"/>
              </w:rPr>
            </w:pPr>
            <w:r w:rsidRPr="00BB14C2">
              <w:rPr>
                <w:rFonts w:ascii="Arial" w:hAnsi="Arial" w:cs="Arial"/>
                <w:sz w:val="22"/>
                <w:szCs w:val="22"/>
                <w:lang w:val="en-CA"/>
              </w:rPr>
              <w:t>n</w:t>
            </w:r>
          </w:p>
          <w:p w14:paraId="7D023803" w14:textId="77777777" w:rsidR="00BB14C2" w:rsidRPr="00BB14C2" w:rsidRDefault="00BB14C2">
            <w:pPr>
              <w:pStyle w:val="TableHeadCenter"/>
              <w:spacing w:before="0" w:after="0"/>
              <w:rPr>
                <w:rFonts w:ascii="Arial" w:hAnsi="Arial" w:cs="Arial"/>
                <w:sz w:val="22"/>
                <w:szCs w:val="22"/>
              </w:rPr>
            </w:pPr>
            <w:r w:rsidRPr="00BB14C2">
              <w:rPr>
                <w:rFonts w:ascii="Arial" w:hAnsi="Arial" w:cs="Arial"/>
                <w:sz w:val="22"/>
                <w:szCs w:val="22"/>
                <w:lang w:val="en-CA"/>
              </w:rPr>
              <w:t>%</w:t>
            </w:r>
          </w:p>
        </w:tc>
        <w:tc>
          <w:tcPr>
            <w:tcW w:w="855" w:type="pct"/>
            <w:shd w:val="clear" w:color="auto" w:fill="auto"/>
            <w:tcMar>
              <w:top w:w="15" w:type="dxa"/>
              <w:left w:w="108" w:type="dxa"/>
              <w:bottom w:w="0" w:type="dxa"/>
              <w:right w:w="108" w:type="dxa"/>
            </w:tcMar>
            <w:vAlign w:val="bottom"/>
          </w:tcPr>
          <w:p w14:paraId="592BB783" w14:textId="77777777" w:rsidR="00BB14C2" w:rsidRPr="00BB14C2" w:rsidRDefault="00BB14C2">
            <w:pPr>
              <w:pStyle w:val="TableHeadCenter"/>
              <w:keepNext/>
              <w:spacing w:before="0" w:after="0"/>
              <w:rPr>
                <w:rFonts w:ascii="Arial" w:hAnsi="Arial" w:cs="Arial"/>
                <w:sz w:val="22"/>
                <w:szCs w:val="22"/>
              </w:rPr>
            </w:pPr>
            <w:r w:rsidRPr="00BB14C2">
              <w:rPr>
                <w:rFonts w:ascii="Arial" w:hAnsi="Arial" w:cs="Arial"/>
                <w:sz w:val="22"/>
                <w:szCs w:val="22"/>
              </w:rPr>
              <w:t>n</w:t>
            </w:r>
          </w:p>
          <w:p w14:paraId="7D2BF022" w14:textId="77777777" w:rsidR="00BB14C2" w:rsidRPr="00BB14C2" w:rsidRDefault="00BB14C2">
            <w:pPr>
              <w:pStyle w:val="TableHeadCenter"/>
              <w:spacing w:before="0" w:after="0"/>
              <w:rPr>
                <w:rFonts w:ascii="Arial" w:hAnsi="Arial" w:cs="Arial"/>
                <w:sz w:val="22"/>
                <w:szCs w:val="22"/>
              </w:rPr>
            </w:pPr>
            <w:r w:rsidRPr="00BB14C2">
              <w:rPr>
                <w:rFonts w:ascii="Arial" w:hAnsi="Arial" w:cs="Arial"/>
                <w:sz w:val="22"/>
                <w:szCs w:val="22"/>
              </w:rPr>
              <w:t>%</w:t>
            </w:r>
          </w:p>
        </w:tc>
      </w:tr>
      <w:tr w:rsidR="00BB14C2" w:rsidRPr="00BB14C2" w14:paraId="0B17AFD9" w14:textId="77777777">
        <w:trPr>
          <w:trHeight w:val="144"/>
          <w:jc w:val="center"/>
        </w:trPr>
        <w:tc>
          <w:tcPr>
            <w:tcW w:w="1490" w:type="pct"/>
            <w:tcBorders>
              <w:bottom w:val="nil"/>
            </w:tcBorders>
            <w:shd w:val="clear" w:color="auto" w:fill="auto"/>
            <w:tcMar>
              <w:top w:w="15" w:type="dxa"/>
              <w:left w:w="108" w:type="dxa"/>
              <w:bottom w:w="0" w:type="dxa"/>
              <w:right w:w="108" w:type="dxa"/>
            </w:tcMar>
            <w:hideMark/>
          </w:tcPr>
          <w:p w14:paraId="653F8093" w14:textId="77777777" w:rsidR="00BB14C2" w:rsidRPr="00BB14C2" w:rsidRDefault="00BB14C2">
            <w:pPr>
              <w:pStyle w:val="TableCellLeft"/>
              <w:keepNext/>
              <w:keepLines/>
              <w:spacing w:before="0" w:after="0"/>
              <w:rPr>
                <w:rFonts w:ascii="Arial" w:hAnsi="Arial" w:cs="Arial"/>
                <w:sz w:val="22"/>
                <w:szCs w:val="22"/>
              </w:rPr>
            </w:pPr>
            <w:r w:rsidRPr="00BB14C2">
              <w:rPr>
                <w:rFonts w:ascii="Arial" w:hAnsi="Arial" w:cs="Arial"/>
                <w:sz w:val="22"/>
                <w:szCs w:val="22"/>
              </w:rPr>
              <w:t>Patients with Spleen Volume Reduction by 35% or greater</w:t>
            </w:r>
          </w:p>
        </w:tc>
        <w:tc>
          <w:tcPr>
            <w:tcW w:w="941" w:type="pct"/>
          </w:tcPr>
          <w:p w14:paraId="50346A75" w14:textId="77777777" w:rsidR="00BB14C2" w:rsidRPr="00BB14C2" w:rsidRDefault="00BB14C2">
            <w:pPr>
              <w:pStyle w:val="TableCellCentered"/>
              <w:spacing w:before="0" w:after="0"/>
              <w:rPr>
                <w:rFonts w:ascii="Arial" w:hAnsi="Arial" w:cs="Arial"/>
                <w:sz w:val="22"/>
                <w:szCs w:val="22"/>
              </w:rPr>
            </w:pPr>
            <w:r w:rsidRPr="00BB14C2">
              <w:rPr>
                <w:rFonts w:ascii="Arial" w:hAnsi="Arial" w:cs="Arial"/>
                <w:sz w:val="22"/>
                <w:szCs w:val="22"/>
              </w:rPr>
              <w:t>57</w:t>
            </w:r>
          </w:p>
          <w:p w14:paraId="05E4E94B"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27%</w:t>
            </w:r>
          </w:p>
        </w:tc>
        <w:tc>
          <w:tcPr>
            <w:tcW w:w="857" w:type="pct"/>
          </w:tcPr>
          <w:p w14:paraId="39D68D1B" w14:textId="77777777" w:rsidR="00BB14C2" w:rsidRPr="00BB14C2" w:rsidRDefault="00BB14C2">
            <w:pPr>
              <w:pStyle w:val="TableCellCentered"/>
              <w:spacing w:before="0" w:after="0"/>
              <w:rPr>
                <w:rFonts w:ascii="Arial" w:hAnsi="Arial" w:cs="Arial"/>
                <w:sz w:val="22"/>
                <w:szCs w:val="22"/>
              </w:rPr>
            </w:pPr>
            <w:r w:rsidRPr="00BB14C2">
              <w:rPr>
                <w:rFonts w:ascii="Arial" w:hAnsi="Arial" w:cs="Arial"/>
                <w:sz w:val="22"/>
                <w:szCs w:val="22"/>
              </w:rPr>
              <w:t>64</w:t>
            </w:r>
          </w:p>
          <w:p w14:paraId="76F01AC0"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29%</w:t>
            </w:r>
          </w:p>
        </w:tc>
        <w:tc>
          <w:tcPr>
            <w:tcW w:w="857" w:type="pct"/>
            <w:shd w:val="clear" w:color="auto" w:fill="auto"/>
            <w:tcMar>
              <w:top w:w="15" w:type="dxa"/>
              <w:left w:w="108" w:type="dxa"/>
              <w:bottom w:w="0" w:type="dxa"/>
              <w:right w:w="108" w:type="dxa"/>
            </w:tcMar>
            <w:hideMark/>
          </w:tcPr>
          <w:p w14:paraId="743F1EB3" w14:textId="7C278A28" w:rsidR="00BB14C2" w:rsidRPr="00BB14C2" w:rsidRDefault="008D1D58">
            <w:pPr>
              <w:pStyle w:val="TableCellCentered"/>
              <w:keepNext/>
              <w:keepLines/>
              <w:spacing w:before="0" w:after="0"/>
              <w:rPr>
                <w:rFonts w:ascii="Arial" w:hAnsi="Arial" w:cs="Arial"/>
                <w:sz w:val="22"/>
                <w:szCs w:val="22"/>
              </w:rPr>
            </w:pPr>
            <w:r>
              <w:rPr>
                <w:rFonts w:ascii="Arial" w:hAnsi="Arial" w:cs="Arial"/>
                <w:sz w:val="22"/>
                <w:szCs w:val="22"/>
              </w:rPr>
              <w:t>27</w:t>
            </w:r>
          </w:p>
          <w:p w14:paraId="3489A90C" w14:textId="06995475" w:rsidR="00BB14C2" w:rsidRPr="00BB14C2" w:rsidRDefault="008D1D58">
            <w:pPr>
              <w:pStyle w:val="TableCellCentered"/>
              <w:keepNext/>
              <w:keepLines/>
              <w:spacing w:before="0" w:after="0"/>
              <w:rPr>
                <w:rFonts w:ascii="Arial" w:hAnsi="Arial" w:cs="Arial"/>
                <w:sz w:val="22"/>
                <w:szCs w:val="22"/>
                <w:lang w:val="en-CA"/>
              </w:rPr>
            </w:pPr>
            <w:r>
              <w:rPr>
                <w:rFonts w:ascii="Arial" w:hAnsi="Arial" w:cs="Arial"/>
                <w:sz w:val="22"/>
                <w:szCs w:val="22"/>
              </w:rPr>
              <w:t>31</w:t>
            </w:r>
            <w:r w:rsidR="00BB14C2" w:rsidRPr="00BB14C2">
              <w:rPr>
                <w:rFonts w:ascii="Arial" w:hAnsi="Arial" w:cs="Arial"/>
                <w:sz w:val="22"/>
                <w:szCs w:val="22"/>
              </w:rPr>
              <w:t>%</w:t>
            </w:r>
          </w:p>
        </w:tc>
        <w:tc>
          <w:tcPr>
            <w:tcW w:w="855" w:type="pct"/>
            <w:shd w:val="clear" w:color="auto" w:fill="auto"/>
            <w:tcMar>
              <w:top w:w="15" w:type="dxa"/>
              <w:left w:w="108" w:type="dxa"/>
              <w:bottom w:w="0" w:type="dxa"/>
              <w:right w:w="108" w:type="dxa"/>
            </w:tcMar>
            <w:hideMark/>
          </w:tcPr>
          <w:p w14:paraId="2026FA1E" w14:textId="7887FA28" w:rsidR="00BB14C2" w:rsidRPr="00BB14C2" w:rsidRDefault="008D1D58">
            <w:pPr>
              <w:pStyle w:val="TableCellCentered"/>
              <w:keepNext/>
              <w:keepLines/>
              <w:spacing w:before="0" w:after="0"/>
              <w:rPr>
                <w:rFonts w:ascii="Arial" w:hAnsi="Arial" w:cs="Arial"/>
                <w:sz w:val="22"/>
                <w:szCs w:val="22"/>
              </w:rPr>
            </w:pPr>
            <w:r>
              <w:rPr>
                <w:rFonts w:ascii="Arial" w:hAnsi="Arial" w:cs="Arial"/>
                <w:sz w:val="22"/>
                <w:szCs w:val="22"/>
              </w:rPr>
              <w:t>31</w:t>
            </w:r>
          </w:p>
          <w:p w14:paraId="125612B0" w14:textId="79827873" w:rsidR="00BB14C2" w:rsidRPr="00BB14C2" w:rsidRDefault="008D1D58">
            <w:pPr>
              <w:pStyle w:val="TableCellCentered"/>
              <w:keepNext/>
              <w:keepLines/>
              <w:spacing w:before="0" w:after="0"/>
              <w:rPr>
                <w:rFonts w:ascii="Arial" w:hAnsi="Arial" w:cs="Arial"/>
                <w:sz w:val="22"/>
                <w:szCs w:val="22"/>
                <w:lang w:val="en-CA"/>
              </w:rPr>
            </w:pPr>
            <w:r>
              <w:rPr>
                <w:rFonts w:ascii="Arial" w:hAnsi="Arial" w:cs="Arial"/>
                <w:sz w:val="22"/>
                <w:szCs w:val="22"/>
              </w:rPr>
              <w:t>33</w:t>
            </w:r>
            <w:r w:rsidR="00BB14C2" w:rsidRPr="00BB14C2">
              <w:rPr>
                <w:rFonts w:ascii="Arial" w:hAnsi="Arial" w:cs="Arial"/>
                <w:sz w:val="22"/>
                <w:szCs w:val="22"/>
              </w:rPr>
              <w:t>%</w:t>
            </w:r>
          </w:p>
        </w:tc>
      </w:tr>
      <w:tr w:rsidR="00BB14C2" w:rsidRPr="00BB14C2" w14:paraId="5B1994F6" w14:textId="77777777">
        <w:trPr>
          <w:trHeight w:val="144"/>
          <w:jc w:val="center"/>
        </w:trPr>
        <w:tc>
          <w:tcPr>
            <w:tcW w:w="1490" w:type="pct"/>
            <w:tcBorders>
              <w:top w:val="nil"/>
              <w:bottom w:val="single" w:sz="4" w:space="0" w:color="383A3B"/>
            </w:tcBorders>
            <w:shd w:val="clear" w:color="auto" w:fill="auto"/>
            <w:tcMar>
              <w:top w:w="15" w:type="dxa"/>
              <w:left w:w="108" w:type="dxa"/>
              <w:bottom w:w="0" w:type="dxa"/>
              <w:right w:w="108" w:type="dxa"/>
            </w:tcMar>
          </w:tcPr>
          <w:p w14:paraId="26C1DD5E" w14:textId="77777777" w:rsidR="00BB14C2" w:rsidRPr="00BB14C2" w:rsidRDefault="00BB14C2">
            <w:pPr>
              <w:keepNext/>
              <w:keepLines/>
              <w:widowControl w:val="0"/>
              <w:spacing w:after="0"/>
              <w:ind w:left="123" w:hanging="123"/>
              <w:rPr>
                <w:rFonts w:ascii="Arial" w:hAnsi="Arial" w:cs="Arial"/>
                <w:lang w:val="en-GB" w:eastAsia="en-GB"/>
              </w:rPr>
            </w:pPr>
            <w:r w:rsidRPr="00BB14C2">
              <w:rPr>
                <w:rFonts w:ascii="Arial" w:hAnsi="Arial" w:cs="Arial"/>
              </w:rPr>
              <w:tab/>
            </w:r>
            <w:r w:rsidRPr="00BB14C2">
              <w:rPr>
                <w:rFonts w:ascii="Arial" w:hAnsi="Arial" w:cs="Arial"/>
                <w:lang w:val="en-GB" w:eastAsia="en-GB"/>
              </w:rPr>
              <w:t>Non-inferiority Treatment Difference</w:t>
            </w:r>
            <w:r w:rsidRPr="00BB14C2">
              <w:rPr>
                <w:rFonts w:ascii="Arial" w:hAnsi="Arial" w:cs="Arial"/>
                <w:vertAlign w:val="superscript"/>
              </w:rPr>
              <w:t>a</w:t>
            </w:r>
            <w:r w:rsidRPr="00BB14C2">
              <w:rPr>
                <w:rFonts w:ascii="Arial" w:hAnsi="Arial" w:cs="Arial"/>
                <w:lang w:val="en-GB" w:eastAsia="en-GB"/>
              </w:rPr>
              <w:t xml:space="preserve"> (95% CI)</w:t>
            </w:r>
          </w:p>
          <w:p w14:paraId="76562833" w14:textId="77777777" w:rsidR="00BB14C2" w:rsidRPr="00BB14C2" w:rsidRDefault="00BB14C2">
            <w:pPr>
              <w:keepNext/>
              <w:keepLines/>
              <w:widowControl w:val="0"/>
              <w:spacing w:after="0"/>
              <w:ind w:left="123" w:hanging="123"/>
              <w:rPr>
                <w:rFonts w:ascii="Arial" w:hAnsi="Arial" w:cs="Arial"/>
                <w:lang w:val="en-GB" w:eastAsia="en-GB"/>
              </w:rPr>
            </w:pPr>
            <w:r w:rsidRPr="00BB14C2">
              <w:rPr>
                <w:rFonts w:ascii="Arial" w:hAnsi="Arial" w:cs="Arial"/>
                <w:lang w:val="en-GB" w:eastAsia="en-GB"/>
              </w:rPr>
              <w:tab/>
              <w:t>p value</w:t>
            </w:r>
          </w:p>
        </w:tc>
        <w:tc>
          <w:tcPr>
            <w:tcW w:w="1798" w:type="pct"/>
            <w:gridSpan w:val="2"/>
          </w:tcPr>
          <w:p w14:paraId="6251308D" w14:textId="77777777" w:rsidR="00BB14C2" w:rsidRPr="00BB14C2" w:rsidRDefault="00BB14C2">
            <w:pPr>
              <w:pStyle w:val="TableCellCentered"/>
              <w:keepNext/>
              <w:keepLines/>
              <w:spacing w:before="0" w:after="0"/>
              <w:rPr>
                <w:rFonts w:ascii="Arial" w:hAnsi="Arial" w:cs="Arial"/>
                <w:sz w:val="22"/>
                <w:szCs w:val="22"/>
              </w:rPr>
            </w:pPr>
          </w:p>
          <w:p w14:paraId="5FC06D28"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9%</w:t>
            </w:r>
          </w:p>
          <w:p w14:paraId="742892DC"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(2, 16)</w:t>
            </w:r>
          </w:p>
          <w:p w14:paraId="53970160"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p = 0.014</w:t>
            </w:r>
          </w:p>
        </w:tc>
        <w:tc>
          <w:tcPr>
            <w:tcW w:w="1712" w:type="pct"/>
            <w:gridSpan w:val="2"/>
            <w:shd w:val="clear" w:color="auto" w:fill="auto"/>
            <w:tcMar>
              <w:top w:w="15" w:type="dxa"/>
              <w:left w:w="108" w:type="dxa"/>
              <w:bottom w:w="0" w:type="dxa"/>
              <w:right w:w="108" w:type="dxa"/>
            </w:tcMar>
            <w:vAlign w:val="center"/>
          </w:tcPr>
          <w:p w14:paraId="631C98AA"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eastAsia="Calibri" w:hAnsi="Arial" w:cs="Arial"/>
                <w:sz w:val="22"/>
                <w:szCs w:val="22"/>
              </w:rPr>
              <w:t>––</w:t>
            </w:r>
          </w:p>
        </w:tc>
      </w:tr>
      <w:tr w:rsidR="00BB14C2" w:rsidRPr="00BB14C2" w14:paraId="75A99734" w14:textId="77777777">
        <w:trPr>
          <w:trHeight w:val="144"/>
          <w:jc w:val="center"/>
        </w:trPr>
        <w:tc>
          <w:tcPr>
            <w:tcW w:w="1490" w:type="pct"/>
            <w:tcBorders>
              <w:bottom w:val="nil"/>
            </w:tcBorders>
            <w:shd w:val="clear" w:color="auto" w:fill="auto"/>
            <w:tcMar>
              <w:top w:w="15" w:type="dxa"/>
              <w:left w:w="108" w:type="dxa"/>
              <w:bottom w:w="0" w:type="dxa"/>
              <w:right w:w="108" w:type="dxa"/>
            </w:tcMar>
            <w:hideMark/>
          </w:tcPr>
          <w:p w14:paraId="7F748E16" w14:textId="77777777" w:rsidR="00BB14C2" w:rsidRPr="00BB14C2" w:rsidRDefault="00BB14C2">
            <w:pPr>
              <w:pStyle w:val="TableCellLeft"/>
              <w:keepNext/>
              <w:keepLines/>
              <w:spacing w:before="0" w:after="0"/>
              <w:rPr>
                <w:rFonts w:ascii="Arial" w:hAnsi="Arial" w:cs="Arial"/>
                <w:sz w:val="22"/>
                <w:szCs w:val="22"/>
                <w:lang w:val="en-CA"/>
              </w:rPr>
            </w:pPr>
            <w:r w:rsidRPr="00BB14C2">
              <w:rPr>
                <w:rFonts w:ascii="Arial" w:hAnsi="Arial" w:cs="Arial"/>
                <w:sz w:val="22"/>
                <w:szCs w:val="22"/>
              </w:rPr>
              <w:t>Patients with Total Symptom Score Reduction of 50% or greater</w:t>
            </w:r>
          </w:p>
        </w:tc>
        <w:tc>
          <w:tcPr>
            <w:tcW w:w="941" w:type="pct"/>
          </w:tcPr>
          <w:p w14:paraId="357BD156" w14:textId="77777777" w:rsidR="00BB14C2" w:rsidRPr="00BB14C2" w:rsidRDefault="00BB14C2">
            <w:pPr>
              <w:pStyle w:val="TableCellCentered"/>
              <w:spacing w:before="0" w:after="0"/>
              <w:rPr>
                <w:rFonts w:ascii="Arial" w:hAnsi="Arial" w:cs="Arial"/>
                <w:sz w:val="22"/>
                <w:szCs w:val="22"/>
                <w:lang w:val="en-CA"/>
              </w:rPr>
            </w:pPr>
            <w:r w:rsidRPr="00BB14C2">
              <w:rPr>
                <w:rFonts w:ascii="Arial" w:hAnsi="Arial" w:cs="Arial"/>
                <w:sz w:val="22"/>
                <w:szCs w:val="22"/>
                <w:lang w:val="en-CA"/>
              </w:rPr>
              <w:t>60/211</w:t>
            </w:r>
          </w:p>
          <w:p w14:paraId="6A1AA715"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lang w:val="en-CA"/>
              </w:rPr>
              <w:t>28%</w:t>
            </w:r>
          </w:p>
        </w:tc>
        <w:tc>
          <w:tcPr>
            <w:tcW w:w="857" w:type="pct"/>
          </w:tcPr>
          <w:p w14:paraId="1B88BE7A" w14:textId="77777777" w:rsidR="00BB14C2" w:rsidRPr="00BB14C2" w:rsidRDefault="00BB14C2">
            <w:pPr>
              <w:pStyle w:val="TableCellCentered"/>
              <w:spacing w:before="0" w:after="0"/>
              <w:rPr>
                <w:rFonts w:ascii="Arial" w:hAnsi="Arial" w:cs="Arial"/>
                <w:sz w:val="22"/>
                <w:szCs w:val="22"/>
                <w:lang w:val="en-CA"/>
              </w:rPr>
            </w:pPr>
            <w:r w:rsidRPr="00BB14C2">
              <w:rPr>
                <w:rFonts w:ascii="Arial" w:hAnsi="Arial" w:cs="Arial"/>
                <w:sz w:val="22"/>
                <w:szCs w:val="22"/>
                <w:lang w:val="en-CA"/>
              </w:rPr>
              <w:t>89/211</w:t>
            </w:r>
          </w:p>
          <w:p w14:paraId="68000CBC"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lang w:val="en-CA"/>
              </w:rPr>
              <w:t>42%</w:t>
            </w:r>
          </w:p>
        </w:tc>
        <w:tc>
          <w:tcPr>
            <w:tcW w:w="857" w:type="pct"/>
            <w:shd w:val="clear" w:color="auto" w:fill="auto"/>
            <w:tcMar>
              <w:top w:w="15" w:type="dxa"/>
              <w:left w:w="108" w:type="dxa"/>
              <w:bottom w:w="0" w:type="dxa"/>
              <w:right w:w="108" w:type="dxa"/>
            </w:tcMar>
            <w:hideMark/>
          </w:tcPr>
          <w:p w14:paraId="64F56DE6" w14:textId="0404D8BA" w:rsidR="00BB14C2" w:rsidRPr="00BB14C2" w:rsidRDefault="008D1D58">
            <w:pPr>
              <w:pStyle w:val="TableCellCentered"/>
              <w:keepNext/>
              <w:keepLines/>
              <w:spacing w:before="0" w:after="0"/>
              <w:rPr>
                <w:rFonts w:ascii="Arial" w:hAnsi="Arial" w:cs="Arial"/>
                <w:sz w:val="22"/>
                <w:szCs w:val="22"/>
              </w:rPr>
            </w:pPr>
            <w:r>
              <w:rPr>
                <w:rFonts w:ascii="Arial" w:hAnsi="Arial" w:cs="Arial"/>
                <w:sz w:val="22"/>
                <w:szCs w:val="22"/>
              </w:rPr>
              <w:t>21/84</w:t>
            </w:r>
          </w:p>
          <w:p w14:paraId="3685F615" w14:textId="526AAF85" w:rsidR="00BB14C2" w:rsidRPr="00BB14C2" w:rsidRDefault="008D1D58">
            <w:pPr>
              <w:pStyle w:val="TableCellCentered"/>
              <w:keepNext/>
              <w:keepLines/>
              <w:spacing w:before="0" w:after="0"/>
              <w:rPr>
                <w:rFonts w:ascii="Arial" w:hAnsi="Arial" w:cs="Arial"/>
                <w:sz w:val="22"/>
                <w:szCs w:val="22"/>
                <w:lang w:val="en-CA"/>
              </w:rPr>
            </w:pPr>
            <w:r>
              <w:rPr>
                <w:rFonts w:ascii="Arial" w:hAnsi="Arial" w:cs="Arial"/>
                <w:sz w:val="22"/>
                <w:szCs w:val="22"/>
              </w:rPr>
              <w:t>25</w:t>
            </w:r>
            <w:r w:rsidR="00BB14C2" w:rsidRPr="00BB14C2">
              <w:rPr>
                <w:rFonts w:ascii="Arial" w:hAnsi="Arial" w:cs="Arial"/>
                <w:sz w:val="22"/>
                <w:szCs w:val="22"/>
              </w:rPr>
              <w:t>%</w:t>
            </w:r>
          </w:p>
        </w:tc>
        <w:tc>
          <w:tcPr>
            <w:tcW w:w="855" w:type="pct"/>
            <w:shd w:val="clear" w:color="auto" w:fill="auto"/>
            <w:tcMar>
              <w:top w:w="15" w:type="dxa"/>
              <w:left w:w="108" w:type="dxa"/>
              <w:bottom w:w="0" w:type="dxa"/>
              <w:right w:w="108" w:type="dxa"/>
            </w:tcMar>
            <w:hideMark/>
          </w:tcPr>
          <w:p w14:paraId="4C3E6230" w14:textId="675EBFD4" w:rsidR="00BB14C2" w:rsidRPr="00BB14C2" w:rsidRDefault="008D1D58">
            <w:pPr>
              <w:pStyle w:val="TableCellCentered"/>
              <w:keepNext/>
              <w:keepLines/>
              <w:spacing w:before="0" w:after="0"/>
              <w:rPr>
                <w:rFonts w:ascii="Arial" w:hAnsi="Arial" w:cs="Arial"/>
                <w:sz w:val="22"/>
                <w:szCs w:val="22"/>
              </w:rPr>
            </w:pPr>
            <w:r>
              <w:rPr>
                <w:rFonts w:ascii="Arial" w:hAnsi="Arial" w:cs="Arial"/>
                <w:sz w:val="22"/>
                <w:szCs w:val="22"/>
              </w:rPr>
              <w:t>33/93</w:t>
            </w:r>
          </w:p>
          <w:p w14:paraId="1049AE1F" w14:textId="71EBB60E" w:rsidR="00BB14C2" w:rsidRPr="00BB14C2" w:rsidRDefault="008D1D58">
            <w:pPr>
              <w:pStyle w:val="TableCellCentered"/>
              <w:keepNext/>
              <w:keepLines/>
              <w:spacing w:before="0" w:after="0"/>
              <w:rPr>
                <w:rFonts w:ascii="Arial" w:hAnsi="Arial" w:cs="Arial"/>
                <w:sz w:val="22"/>
                <w:szCs w:val="22"/>
                <w:lang w:val="en-CA"/>
              </w:rPr>
            </w:pPr>
            <w:r>
              <w:rPr>
                <w:rFonts w:ascii="Arial" w:hAnsi="Arial" w:cs="Arial"/>
                <w:sz w:val="22"/>
                <w:szCs w:val="22"/>
              </w:rPr>
              <w:t>35</w:t>
            </w:r>
            <w:r w:rsidR="00BB14C2" w:rsidRPr="00BB14C2">
              <w:rPr>
                <w:rFonts w:ascii="Arial" w:hAnsi="Arial" w:cs="Arial"/>
                <w:sz w:val="22"/>
                <w:szCs w:val="22"/>
              </w:rPr>
              <w:t>%</w:t>
            </w:r>
          </w:p>
        </w:tc>
      </w:tr>
      <w:tr w:rsidR="00BB14C2" w:rsidRPr="00BB14C2" w14:paraId="3CE83099" w14:textId="77777777">
        <w:trPr>
          <w:trHeight w:val="144"/>
          <w:jc w:val="center"/>
        </w:trPr>
        <w:tc>
          <w:tcPr>
            <w:tcW w:w="1490" w:type="pct"/>
            <w:tcBorders>
              <w:top w:val="nil"/>
              <w:bottom w:val="single" w:sz="4" w:space="0" w:color="383A3B"/>
            </w:tcBorders>
            <w:shd w:val="clear" w:color="auto" w:fill="auto"/>
            <w:tcMar>
              <w:top w:w="15" w:type="dxa"/>
              <w:left w:w="108" w:type="dxa"/>
              <w:bottom w:w="0" w:type="dxa"/>
              <w:right w:w="108" w:type="dxa"/>
            </w:tcMar>
          </w:tcPr>
          <w:p w14:paraId="061A8BB9" w14:textId="77777777" w:rsidR="00BB14C2" w:rsidRPr="00BB14C2" w:rsidRDefault="00BB14C2">
            <w:pPr>
              <w:keepNext/>
              <w:keepLines/>
              <w:widowControl w:val="0"/>
              <w:spacing w:after="0"/>
              <w:ind w:left="123" w:hanging="123"/>
              <w:rPr>
                <w:rFonts w:ascii="Arial" w:hAnsi="Arial" w:cs="Arial"/>
                <w:lang w:val="en-GB" w:eastAsia="en-GB"/>
              </w:rPr>
            </w:pPr>
            <w:r w:rsidRPr="00BB14C2">
              <w:rPr>
                <w:rFonts w:ascii="Arial" w:hAnsi="Arial" w:cs="Arial"/>
                <w:lang w:val="en-GB" w:eastAsia="en-GB"/>
              </w:rPr>
              <w:tab/>
              <w:t>Non-inferiority Treatment Difference</w:t>
            </w:r>
            <w:r w:rsidRPr="00BB14C2">
              <w:rPr>
                <w:rFonts w:ascii="Arial" w:hAnsi="Arial" w:cs="Arial"/>
                <w:vertAlign w:val="superscript"/>
                <w:lang w:val="en-CA"/>
              </w:rPr>
              <w:t>b</w:t>
            </w:r>
            <w:r w:rsidRPr="00BB14C2">
              <w:rPr>
                <w:rFonts w:ascii="Arial" w:hAnsi="Arial" w:cs="Arial"/>
                <w:lang w:val="en-GB" w:eastAsia="en-GB"/>
              </w:rPr>
              <w:t xml:space="preserve"> (95% CI)</w:t>
            </w:r>
          </w:p>
          <w:p w14:paraId="436EE5FD" w14:textId="77777777" w:rsidR="00BB14C2" w:rsidRPr="00BB14C2" w:rsidRDefault="00BB14C2">
            <w:pPr>
              <w:keepNext/>
              <w:keepLines/>
              <w:widowControl w:val="0"/>
              <w:spacing w:after="0"/>
              <w:ind w:left="123" w:hanging="123"/>
              <w:rPr>
                <w:rFonts w:ascii="Arial" w:hAnsi="Arial" w:cs="Arial"/>
                <w:lang w:val="en-GB" w:eastAsia="en-GB"/>
              </w:rPr>
            </w:pPr>
            <w:r w:rsidRPr="00BB14C2">
              <w:rPr>
                <w:rFonts w:ascii="Arial" w:hAnsi="Arial" w:cs="Arial"/>
                <w:lang w:val="en-GB" w:eastAsia="en-GB"/>
              </w:rPr>
              <w:tab/>
              <w:t>p value</w:t>
            </w:r>
          </w:p>
        </w:tc>
        <w:tc>
          <w:tcPr>
            <w:tcW w:w="1798" w:type="pct"/>
            <w:gridSpan w:val="2"/>
          </w:tcPr>
          <w:p w14:paraId="1079F414" w14:textId="77777777" w:rsidR="00BB14C2" w:rsidRPr="00BB14C2" w:rsidRDefault="00BB14C2">
            <w:pPr>
              <w:pStyle w:val="TableCellCentered"/>
              <w:keepNext/>
              <w:keepLines/>
              <w:spacing w:before="0" w:after="0"/>
              <w:rPr>
                <w:rFonts w:ascii="Arial" w:hAnsi="Arial" w:cs="Arial"/>
                <w:sz w:val="22"/>
                <w:szCs w:val="22"/>
              </w:rPr>
            </w:pPr>
          </w:p>
          <w:p w14:paraId="31955C96"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0%</w:t>
            </w:r>
          </w:p>
          <w:p w14:paraId="4A0DBE9C"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(-8, 8)</w:t>
            </w:r>
          </w:p>
          <w:p w14:paraId="0C563187"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p = 0.98</w:t>
            </w:r>
          </w:p>
        </w:tc>
        <w:tc>
          <w:tcPr>
            <w:tcW w:w="1712" w:type="pct"/>
            <w:gridSpan w:val="2"/>
            <w:shd w:val="clear" w:color="auto" w:fill="auto"/>
            <w:tcMar>
              <w:top w:w="15" w:type="dxa"/>
              <w:left w:w="108" w:type="dxa"/>
              <w:bottom w:w="0" w:type="dxa"/>
              <w:right w:w="108" w:type="dxa"/>
            </w:tcMar>
            <w:vAlign w:val="center"/>
          </w:tcPr>
          <w:p w14:paraId="61B6CD20"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eastAsia="Calibri" w:hAnsi="Arial" w:cs="Arial"/>
                <w:sz w:val="22"/>
                <w:szCs w:val="22"/>
              </w:rPr>
              <w:t>––</w:t>
            </w:r>
          </w:p>
        </w:tc>
      </w:tr>
      <w:tr w:rsidR="00BB14C2" w:rsidRPr="00BB14C2" w14:paraId="62F4E221" w14:textId="77777777">
        <w:trPr>
          <w:trHeight w:val="144"/>
          <w:jc w:val="center"/>
        </w:trPr>
        <w:tc>
          <w:tcPr>
            <w:tcW w:w="1490" w:type="pct"/>
            <w:tcBorders>
              <w:bottom w:val="nil"/>
            </w:tcBorders>
            <w:shd w:val="clear" w:color="auto" w:fill="auto"/>
            <w:tcMar>
              <w:top w:w="15" w:type="dxa"/>
              <w:left w:w="108" w:type="dxa"/>
              <w:bottom w:w="0" w:type="dxa"/>
              <w:right w:w="108" w:type="dxa"/>
            </w:tcMar>
          </w:tcPr>
          <w:p w14:paraId="329D2D9B" w14:textId="77777777" w:rsidR="00BB14C2" w:rsidRPr="00BB14C2" w:rsidRDefault="00BB14C2">
            <w:pPr>
              <w:pStyle w:val="TableCellLeft"/>
              <w:keepNext/>
              <w:keepLines/>
              <w:spacing w:before="0" w:after="0"/>
              <w:rPr>
                <w:rFonts w:ascii="Arial" w:hAnsi="Arial" w:cs="Arial"/>
                <w:sz w:val="22"/>
                <w:szCs w:val="22"/>
              </w:rPr>
            </w:pPr>
            <w:r w:rsidRPr="00BB14C2">
              <w:rPr>
                <w:rFonts w:ascii="Arial" w:hAnsi="Arial" w:cs="Arial"/>
                <w:sz w:val="22"/>
                <w:szCs w:val="22"/>
              </w:rPr>
              <w:t xml:space="preserve">Patients with Transfusion </w:t>
            </w:r>
            <w:proofErr w:type="spellStart"/>
            <w:r w:rsidRPr="00BB14C2">
              <w:rPr>
                <w:rFonts w:ascii="Arial" w:hAnsi="Arial" w:cs="Arial"/>
                <w:sz w:val="22"/>
                <w:szCs w:val="22"/>
              </w:rPr>
              <w:t>Independence</w:t>
            </w:r>
            <w:r w:rsidRPr="00BB14C2">
              <w:rPr>
                <w:rFonts w:ascii="Arial" w:hAnsi="Arial" w:cs="Arial"/>
                <w:sz w:val="22"/>
                <w:szCs w:val="22"/>
                <w:vertAlign w:val="superscript"/>
              </w:rPr>
              <w:t>c</w:t>
            </w:r>
            <w:proofErr w:type="spellEnd"/>
          </w:p>
        </w:tc>
        <w:tc>
          <w:tcPr>
            <w:tcW w:w="941" w:type="pct"/>
          </w:tcPr>
          <w:p w14:paraId="52EB6CD9"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143</w:t>
            </w:r>
          </w:p>
          <w:p w14:paraId="2CBB9CFF"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67%</w:t>
            </w:r>
          </w:p>
        </w:tc>
        <w:tc>
          <w:tcPr>
            <w:tcW w:w="857" w:type="pct"/>
          </w:tcPr>
          <w:p w14:paraId="3482A626"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107</w:t>
            </w:r>
          </w:p>
          <w:p w14:paraId="132CCC89"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49%</w:t>
            </w:r>
          </w:p>
        </w:tc>
        <w:tc>
          <w:tcPr>
            <w:tcW w:w="857" w:type="pct"/>
            <w:shd w:val="clear" w:color="auto" w:fill="auto"/>
            <w:tcMar>
              <w:top w:w="15" w:type="dxa"/>
              <w:left w:w="108" w:type="dxa"/>
              <w:bottom w:w="0" w:type="dxa"/>
              <w:right w:w="108" w:type="dxa"/>
            </w:tcMar>
          </w:tcPr>
          <w:p w14:paraId="38AF573F" w14:textId="363AE71B" w:rsidR="00BB14C2" w:rsidRPr="00BB14C2" w:rsidRDefault="008D1D58">
            <w:pPr>
              <w:pStyle w:val="TableCellCentered"/>
              <w:keepNext/>
              <w:keepLines/>
              <w:spacing w:before="0" w:after="0"/>
              <w:rPr>
                <w:rFonts w:ascii="Arial" w:hAnsi="Arial" w:cs="Arial"/>
                <w:sz w:val="22"/>
                <w:szCs w:val="22"/>
              </w:rPr>
            </w:pPr>
            <w:r>
              <w:rPr>
                <w:rFonts w:ascii="Arial" w:hAnsi="Arial" w:cs="Arial"/>
                <w:sz w:val="22"/>
                <w:szCs w:val="22"/>
              </w:rPr>
              <w:t>40</w:t>
            </w:r>
          </w:p>
          <w:p w14:paraId="39B2DD8F" w14:textId="57C39713" w:rsidR="00BB14C2" w:rsidRPr="00BB14C2" w:rsidRDefault="008D1D58">
            <w:pPr>
              <w:pStyle w:val="TableCellCentered"/>
              <w:keepNext/>
              <w:keepLines/>
              <w:spacing w:before="0" w:after="0"/>
              <w:rPr>
                <w:rFonts w:ascii="Arial" w:hAnsi="Arial" w:cs="Arial"/>
                <w:sz w:val="22"/>
                <w:szCs w:val="22"/>
              </w:rPr>
            </w:pPr>
            <w:r>
              <w:rPr>
                <w:rFonts w:ascii="Arial" w:hAnsi="Arial" w:cs="Arial"/>
                <w:sz w:val="22"/>
                <w:szCs w:val="22"/>
              </w:rPr>
              <w:t>47</w:t>
            </w:r>
            <w:r w:rsidR="00BB14C2" w:rsidRPr="00BB14C2">
              <w:rPr>
                <w:rFonts w:ascii="Arial" w:hAnsi="Arial" w:cs="Arial"/>
                <w:sz w:val="22"/>
                <w:szCs w:val="22"/>
              </w:rPr>
              <w:t>%</w:t>
            </w:r>
          </w:p>
        </w:tc>
        <w:tc>
          <w:tcPr>
            <w:tcW w:w="855" w:type="pct"/>
            <w:shd w:val="clear" w:color="auto" w:fill="auto"/>
            <w:tcMar>
              <w:top w:w="15" w:type="dxa"/>
              <w:left w:w="108" w:type="dxa"/>
              <w:bottom w:w="0" w:type="dxa"/>
              <w:right w:w="108" w:type="dxa"/>
            </w:tcMar>
          </w:tcPr>
          <w:p w14:paraId="1DEA9057" w14:textId="4B989C01" w:rsidR="00BB14C2" w:rsidRPr="00BB14C2" w:rsidRDefault="008D1D58">
            <w:pPr>
              <w:pStyle w:val="TableCellCentered"/>
              <w:keepNext/>
              <w:keepLines/>
              <w:spacing w:before="0" w:after="0"/>
              <w:rPr>
                <w:rFonts w:ascii="Arial" w:hAnsi="Arial" w:cs="Arial"/>
                <w:sz w:val="22"/>
                <w:szCs w:val="22"/>
              </w:rPr>
            </w:pPr>
            <w:r>
              <w:rPr>
                <w:rFonts w:ascii="Arial" w:hAnsi="Arial" w:cs="Arial"/>
                <w:sz w:val="22"/>
                <w:szCs w:val="22"/>
              </w:rPr>
              <w:t>25</w:t>
            </w:r>
          </w:p>
          <w:p w14:paraId="4AB027D5" w14:textId="48BAC849" w:rsidR="00BB14C2" w:rsidRPr="00BB14C2" w:rsidRDefault="008D1D58">
            <w:pPr>
              <w:pStyle w:val="TableCellCentered"/>
              <w:keepNext/>
              <w:keepLines/>
              <w:spacing w:before="0" w:after="0"/>
              <w:rPr>
                <w:rFonts w:ascii="Arial" w:hAnsi="Arial" w:cs="Arial"/>
                <w:sz w:val="22"/>
                <w:szCs w:val="22"/>
              </w:rPr>
            </w:pPr>
            <w:r>
              <w:rPr>
                <w:rFonts w:ascii="Arial" w:hAnsi="Arial" w:cs="Arial"/>
                <w:sz w:val="22"/>
                <w:szCs w:val="22"/>
              </w:rPr>
              <w:t>2</w:t>
            </w:r>
            <w:r w:rsidR="00285A21">
              <w:rPr>
                <w:rFonts w:ascii="Arial" w:hAnsi="Arial" w:cs="Arial"/>
                <w:sz w:val="22"/>
                <w:szCs w:val="22"/>
              </w:rPr>
              <w:t>6</w:t>
            </w:r>
            <w:r w:rsidR="00BB14C2" w:rsidRPr="00BB14C2">
              <w:rPr>
                <w:rFonts w:ascii="Arial" w:hAnsi="Arial" w:cs="Arial"/>
                <w:sz w:val="22"/>
                <w:szCs w:val="22"/>
              </w:rPr>
              <w:t>%</w:t>
            </w:r>
          </w:p>
        </w:tc>
      </w:tr>
      <w:tr w:rsidR="00BB14C2" w:rsidRPr="00BB14C2" w14:paraId="02ABEC34" w14:textId="77777777">
        <w:trPr>
          <w:trHeight w:val="144"/>
          <w:jc w:val="center"/>
        </w:trPr>
        <w:tc>
          <w:tcPr>
            <w:tcW w:w="1490" w:type="pct"/>
            <w:tcBorders>
              <w:top w:val="nil"/>
              <w:bottom w:val="single" w:sz="4" w:space="0" w:color="383A3B"/>
            </w:tcBorders>
            <w:shd w:val="clear" w:color="auto" w:fill="auto"/>
            <w:tcMar>
              <w:top w:w="15" w:type="dxa"/>
              <w:left w:w="108" w:type="dxa"/>
              <w:bottom w:w="0" w:type="dxa"/>
              <w:right w:w="108" w:type="dxa"/>
            </w:tcMar>
          </w:tcPr>
          <w:p w14:paraId="6793FE54" w14:textId="77777777" w:rsidR="00BB14C2" w:rsidRPr="00BB14C2" w:rsidRDefault="00BB14C2">
            <w:pPr>
              <w:keepNext/>
              <w:keepLines/>
              <w:widowControl w:val="0"/>
              <w:spacing w:after="0"/>
              <w:ind w:left="123" w:hanging="123"/>
              <w:rPr>
                <w:rFonts w:ascii="Arial" w:hAnsi="Arial" w:cs="Arial"/>
                <w:lang w:val="en-GB" w:eastAsia="en-GB"/>
              </w:rPr>
            </w:pPr>
            <w:r w:rsidRPr="00BB14C2">
              <w:rPr>
                <w:rFonts w:ascii="Arial" w:hAnsi="Arial" w:cs="Arial"/>
                <w:lang w:val="en-GB" w:eastAsia="en-GB"/>
              </w:rPr>
              <w:tab/>
              <w:t>Treatment Difference (95% CI)</w:t>
            </w:r>
          </w:p>
          <w:p w14:paraId="3390BD66" w14:textId="77777777" w:rsidR="00BB14C2" w:rsidRPr="00BB14C2" w:rsidRDefault="00BB14C2">
            <w:pPr>
              <w:keepNext/>
              <w:keepLines/>
              <w:widowControl w:val="0"/>
              <w:spacing w:after="0"/>
              <w:ind w:left="123" w:hanging="123"/>
              <w:rPr>
                <w:rFonts w:ascii="Arial" w:hAnsi="Arial" w:cs="Arial"/>
                <w:lang w:val="en-GB" w:eastAsia="en-GB"/>
              </w:rPr>
            </w:pPr>
            <w:r w:rsidRPr="00BB14C2">
              <w:rPr>
                <w:rFonts w:ascii="Arial" w:hAnsi="Arial" w:cs="Arial"/>
                <w:lang w:val="en-GB" w:eastAsia="en-GB"/>
              </w:rPr>
              <w:tab/>
              <w:t>p value</w:t>
            </w:r>
          </w:p>
        </w:tc>
        <w:tc>
          <w:tcPr>
            <w:tcW w:w="1798" w:type="pct"/>
            <w:gridSpan w:val="2"/>
          </w:tcPr>
          <w:p w14:paraId="52BEC693"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18%</w:t>
            </w:r>
          </w:p>
          <w:p w14:paraId="7BD4CB0B"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(9, 26)</w:t>
            </w:r>
          </w:p>
          <w:p w14:paraId="2D7E5670"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hAnsi="Arial" w:cs="Arial"/>
                <w:sz w:val="22"/>
                <w:szCs w:val="22"/>
              </w:rPr>
              <w:t>p &lt; 0.001</w:t>
            </w:r>
            <w:r w:rsidRPr="00BB14C2">
              <w:rPr>
                <w:rFonts w:ascii="Arial" w:hAnsi="Arial" w:cs="Arial"/>
                <w:sz w:val="22"/>
                <w:szCs w:val="22"/>
                <w:vertAlign w:val="superscript"/>
              </w:rPr>
              <w:t>d</w:t>
            </w:r>
          </w:p>
        </w:tc>
        <w:tc>
          <w:tcPr>
            <w:tcW w:w="1712" w:type="pct"/>
            <w:gridSpan w:val="2"/>
            <w:shd w:val="clear" w:color="auto" w:fill="auto"/>
            <w:tcMar>
              <w:top w:w="15" w:type="dxa"/>
              <w:left w:w="108" w:type="dxa"/>
              <w:bottom w:w="0" w:type="dxa"/>
              <w:right w:w="108" w:type="dxa"/>
            </w:tcMar>
            <w:vAlign w:val="center"/>
          </w:tcPr>
          <w:p w14:paraId="62C6E0D3" w14:textId="77777777" w:rsidR="00BB14C2" w:rsidRPr="00BB14C2" w:rsidRDefault="00BB14C2">
            <w:pPr>
              <w:pStyle w:val="TableCellCentered"/>
              <w:keepNext/>
              <w:keepLines/>
              <w:spacing w:before="0" w:after="0"/>
              <w:rPr>
                <w:rFonts w:ascii="Arial" w:hAnsi="Arial" w:cs="Arial"/>
                <w:sz w:val="22"/>
                <w:szCs w:val="22"/>
              </w:rPr>
            </w:pPr>
            <w:r w:rsidRPr="00BB14C2">
              <w:rPr>
                <w:rFonts w:ascii="Arial" w:eastAsia="Calibri" w:hAnsi="Arial" w:cs="Arial"/>
                <w:sz w:val="22"/>
                <w:szCs w:val="22"/>
              </w:rPr>
              <w:t>––</w:t>
            </w:r>
          </w:p>
        </w:tc>
      </w:tr>
    </w:tbl>
    <w:p w14:paraId="1891296F" w14:textId="77777777" w:rsidR="00BB14C2" w:rsidRPr="00CC1707" w:rsidRDefault="00BB14C2" w:rsidP="00BB14C2">
      <w:pPr>
        <w:pStyle w:val="TableFootnote025Hanging"/>
        <w:keepNext/>
        <w:keepLines/>
        <w:ind w:left="180" w:hanging="180"/>
        <w:rPr>
          <w:rFonts w:ascii="Arial" w:hAnsi="Arial" w:cs="Arial"/>
        </w:rPr>
      </w:pPr>
      <w:r w:rsidRPr="00CC1707">
        <w:rPr>
          <w:rFonts w:ascii="Arial" w:hAnsi="Arial" w:cs="Arial"/>
        </w:rPr>
        <w:t>CI = confidence interval.</w:t>
      </w:r>
    </w:p>
    <w:p w14:paraId="13EF570E" w14:textId="23682786" w:rsidR="00BB14C2" w:rsidRPr="00CC1707" w:rsidRDefault="00BB14C2" w:rsidP="00BB14C2">
      <w:pPr>
        <w:pStyle w:val="TableFootnote025Hanging"/>
        <w:keepNext/>
        <w:keepLines/>
        <w:ind w:left="180" w:hanging="180"/>
        <w:rPr>
          <w:rFonts w:ascii="Arial" w:hAnsi="Arial" w:cs="Arial"/>
        </w:rPr>
      </w:pPr>
      <w:r w:rsidRPr="00CC1707">
        <w:rPr>
          <w:rFonts w:ascii="Arial" w:hAnsi="Arial" w:cs="Arial"/>
          <w:vertAlign w:val="superscript"/>
        </w:rPr>
        <w:t>a</w:t>
      </w:r>
      <w:r w:rsidRPr="00CC1707">
        <w:rPr>
          <w:rFonts w:ascii="Arial" w:hAnsi="Arial" w:cs="Arial"/>
        </w:rPr>
        <w:tab/>
      </w:r>
      <w:proofErr w:type="gramStart"/>
      <w:r w:rsidRPr="00CC1707">
        <w:rPr>
          <w:rFonts w:ascii="Arial" w:hAnsi="Arial" w:cs="Arial"/>
        </w:rPr>
        <w:t>Non-inferiority</w:t>
      </w:r>
      <w:proofErr w:type="gramEnd"/>
      <w:r w:rsidRPr="00CC1707">
        <w:rPr>
          <w:rFonts w:ascii="Arial" w:hAnsi="Arial" w:cs="Arial"/>
        </w:rPr>
        <w:t xml:space="preserve"> difference between </w:t>
      </w:r>
      <w:r w:rsidR="00B52DB1">
        <w:rPr>
          <w:rFonts w:ascii="Arial" w:hAnsi="Arial" w:cs="Arial"/>
        </w:rPr>
        <w:t>OMJJARA</w:t>
      </w:r>
      <w:r w:rsidRPr="00CC1707">
        <w:rPr>
          <w:rFonts w:ascii="Arial" w:hAnsi="Arial" w:cs="Arial"/>
        </w:rPr>
        <w:t xml:space="preserve"> rate and 60% of </w:t>
      </w:r>
      <w:proofErr w:type="spellStart"/>
      <w:r w:rsidRPr="00CC1707">
        <w:rPr>
          <w:rFonts w:ascii="Arial" w:hAnsi="Arial" w:cs="Arial"/>
        </w:rPr>
        <w:t>ruxolitinib</w:t>
      </w:r>
      <w:proofErr w:type="spellEnd"/>
      <w:r w:rsidRPr="00CC1707">
        <w:rPr>
          <w:rFonts w:ascii="Arial" w:hAnsi="Arial" w:cs="Arial"/>
        </w:rPr>
        <w:t xml:space="preserve"> response rate.</w:t>
      </w:r>
    </w:p>
    <w:p w14:paraId="5FEB6264" w14:textId="1ED2907B" w:rsidR="00BB14C2" w:rsidRPr="00CC1707" w:rsidRDefault="00BB14C2" w:rsidP="00BB14C2">
      <w:pPr>
        <w:pStyle w:val="TableFootnote025Hanging"/>
        <w:keepNext/>
        <w:keepLines/>
        <w:ind w:left="180" w:hanging="180"/>
        <w:rPr>
          <w:rFonts w:ascii="Arial" w:hAnsi="Arial" w:cs="Arial"/>
        </w:rPr>
      </w:pPr>
      <w:r w:rsidRPr="00CC1707">
        <w:rPr>
          <w:rFonts w:ascii="Arial" w:hAnsi="Arial" w:cs="Arial"/>
          <w:vertAlign w:val="superscript"/>
        </w:rPr>
        <w:t>b</w:t>
      </w:r>
      <w:r w:rsidRPr="00CC1707">
        <w:rPr>
          <w:rFonts w:ascii="Arial" w:hAnsi="Arial" w:cs="Arial"/>
        </w:rPr>
        <w:tab/>
      </w:r>
      <w:proofErr w:type="gramStart"/>
      <w:r w:rsidRPr="00CC1707">
        <w:rPr>
          <w:rFonts w:ascii="Arial" w:hAnsi="Arial" w:cs="Arial"/>
        </w:rPr>
        <w:t>Non-inferiority</w:t>
      </w:r>
      <w:proofErr w:type="gramEnd"/>
      <w:r w:rsidRPr="00CC1707">
        <w:rPr>
          <w:rFonts w:ascii="Arial" w:hAnsi="Arial" w:cs="Arial"/>
        </w:rPr>
        <w:t xml:space="preserve"> difference between </w:t>
      </w:r>
      <w:r w:rsidR="00B52DB1">
        <w:rPr>
          <w:rFonts w:ascii="Arial" w:hAnsi="Arial" w:cs="Arial"/>
        </w:rPr>
        <w:t>OMJJARA</w:t>
      </w:r>
      <w:r w:rsidRPr="00CC1707">
        <w:rPr>
          <w:rFonts w:ascii="Arial" w:hAnsi="Arial" w:cs="Arial"/>
        </w:rPr>
        <w:t xml:space="preserve"> rate and 67% of </w:t>
      </w:r>
      <w:proofErr w:type="spellStart"/>
      <w:r w:rsidRPr="00CC1707">
        <w:rPr>
          <w:rFonts w:ascii="Arial" w:hAnsi="Arial" w:cs="Arial"/>
        </w:rPr>
        <w:t>ruxolitinib</w:t>
      </w:r>
      <w:proofErr w:type="spellEnd"/>
      <w:r w:rsidRPr="00CC1707">
        <w:rPr>
          <w:rFonts w:ascii="Arial" w:hAnsi="Arial" w:cs="Arial"/>
        </w:rPr>
        <w:t xml:space="preserve"> response rate.</w:t>
      </w:r>
    </w:p>
    <w:p w14:paraId="642A79E8" w14:textId="77777777" w:rsidR="00BB14C2" w:rsidRPr="00CC1707" w:rsidRDefault="00BB14C2" w:rsidP="00BB14C2">
      <w:pPr>
        <w:pStyle w:val="TableFootnote025Hanging"/>
        <w:keepNext/>
        <w:keepLines/>
        <w:ind w:left="180" w:hanging="180"/>
        <w:rPr>
          <w:rFonts w:ascii="Arial" w:hAnsi="Arial" w:cs="Arial"/>
        </w:rPr>
      </w:pPr>
      <w:r w:rsidRPr="00CC1707">
        <w:rPr>
          <w:rFonts w:ascii="Arial" w:hAnsi="Arial" w:cs="Arial"/>
          <w:vertAlign w:val="superscript"/>
        </w:rPr>
        <w:t>c</w:t>
      </w:r>
      <w:r w:rsidRPr="00CC1707">
        <w:rPr>
          <w:rFonts w:ascii="Arial" w:hAnsi="Arial" w:cs="Arial"/>
        </w:rPr>
        <w:tab/>
        <w:t>Defined as no transfusions and all Hgb values ≥8 g/dL in the 12 weeks prior to Week 24.</w:t>
      </w:r>
    </w:p>
    <w:p w14:paraId="4C93A27B" w14:textId="77777777" w:rsidR="00BB14C2" w:rsidRPr="00CC1707" w:rsidRDefault="00BB14C2" w:rsidP="00BB14C2">
      <w:pPr>
        <w:pStyle w:val="TableFootnote025Hanging"/>
        <w:keepNext/>
        <w:keepLines/>
        <w:ind w:left="180" w:hanging="180"/>
        <w:rPr>
          <w:rFonts w:ascii="Arial" w:hAnsi="Arial" w:cs="Arial"/>
        </w:rPr>
      </w:pPr>
      <w:r w:rsidRPr="00CC1707">
        <w:rPr>
          <w:rFonts w:ascii="Arial" w:hAnsi="Arial" w:cs="Arial"/>
          <w:vertAlign w:val="superscript"/>
        </w:rPr>
        <w:t>d</w:t>
      </w:r>
      <w:r w:rsidRPr="00CC1707">
        <w:rPr>
          <w:rFonts w:ascii="Arial" w:hAnsi="Arial" w:cs="Arial"/>
        </w:rPr>
        <w:tab/>
        <w:t xml:space="preserve"> Nominal p value.</w:t>
      </w:r>
    </w:p>
    <w:p w14:paraId="3341D90B" w14:textId="2F06124B" w:rsidR="001A3992" w:rsidRPr="00071855" w:rsidRDefault="00071855" w:rsidP="00B13828">
      <w:pPr>
        <w:pStyle w:val="Heading2"/>
        <w:spacing w:after="120"/>
        <w:ind w:left="578" w:hanging="578"/>
        <w:rPr>
          <w:rFonts w:ascii="Arial" w:hAnsi="Arial" w:cs="Arial"/>
          <w:smallCaps w:val="0"/>
        </w:rPr>
      </w:pPr>
      <w:r w:rsidRPr="00071855">
        <w:rPr>
          <w:rFonts w:ascii="Arial" w:hAnsi="Arial" w:cs="Arial"/>
          <w:smallCaps w:val="0"/>
        </w:rPr>
        <w:t>PHARMACOKINETIC PROPERTIES</w:t>
      </w:r>
      <w:r w:rsidR="00CE6790">
        <w:rPr>
          <w:rFonts w:ascii="Arial" w:hAnsi="Arial" w:cs="Arial"/>
          <w:smallCaps w:val="0"/>
        </w:rPr>
        <w:fldChar w:fldCharType="begin"/>
      </w:r>
      <w:r w:rsidR="00CE6790">
        <w:rPr>
          <w:rFonts w:ascii="Arial" w:hAnsi="Arial" w:cs="Arial"/>
          <w:smallCaps w:val="0"/>
        </w:rPr>
        <w:instrText xml:space="preserve"> DOCVARIABLE VAULT_ND_4018acbe-9829-4e9b-b6ea-a091532f824c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003050CB" w14:textId="1718BA1E" w:rsidR="001A3992" w:rsidRPr="00071855" w:rsidRDefault="001A3992" w:rsidP="001A3992">
      <w:pPr>
        <w:pStyle w:val="Heading3"/>
        <w:spacing w:before="0" w:after="120"/>
        <w:rPr>
          <w:rFonts w:ascii="Arial" w:hAnsi="Arial" w:cs="Arial"/>
        </w:rPr>
      </w:pPr>
      <w:r w:rsidRPr="00071855">
        <w:rPr>
          <w:rFonts w:ascii="Arial" w:hAnsi="Arial" w:cs="Arial"/>
        </w:rPr>
        <w:t>Absorption</w:t>
      </w:r>
      <w:r w:rsidR="00CE6790">
        <w:rPr>
          <w:rFonts w:ascii="Arial" w:hAnsi="Arial" w:cs="Arial"/>
        </w:rPr>
        <w:fldChar w:fldCharType="begin"/>
      </w:r>
      <w:r w:rsidR="00CE6790">
        <w:rPr>
          <w:rFonts w:ascii="Arial" w:hAnsi="Arial" w:cs="Arial"/>
        </w:rPr>
        <w:instrText xml:space="preserve"> DOCVARIABLE vault_nd_16be3e8f-f9db-43f0-8128-71e2e76f1fbb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127EB944" w14:textId="6293B050" w:rsidR="00833027" w:rsidRPr="00833027" w:rsidRDefault="00B52DB1" w:rsidP="00833027">
      <w:pPr>
        <w:rPr>
          <w:rFonts w:ascii="Arial" w:hAnsi="Arial" w:cs="Arial"/>
          <w:iCs/>
        </w:rPr>
      </w:pPr>
      <w:r>
        <w:rPr>
          <w:rFonts w:ascii="Arial" w:hAnsi="Arial" w:cs="Arial"/>
          <w:iCs/>
        </w:rPr>
        <w:t>Momelotinib</w:t>
      </w:r>
      <w:r w:rsidR="00833027" w:rsidRPr="00833027">
        <w:rPr>
          <w:rFonts w:ascii="Arial" w:hAnsi="Arial" w:cs="Arial"/>
          <w:iCs/>
        </w:rPr>
        <w:t xml:space="preserve"> is rapidly absorbed after oral administration with the maximal plasma concentration (</w:t>
      </w:r>
      <w:proofErr w:type="spellStart"/>
      <w:r w:rsidR="00833027" w:rsidRPr="00833027">
        <w:rPr>
          <w:rFonts w:ascii="Arial" w:hAnsi="Arial" w:cs="Arial"/>
          <w:iCs/>
        </w:rPr>
        <w:t>C</w:t>
      </w:r>
      <w:r w:rsidR="00833027" w:rsidRPr="00833027">
        <w:rPr>
          <w:rFonts w:ascii="Arial" w:hAnsi="Arial" w:cs="Arial"/>
          <w:iCs/>
          <w:vertAlign w:val="subscript"/>
        </w:rPr>
        <w:t>max</w:t>
      </w:r>
      <w:proofErr w:type="spellEnd"/>
      <w:r w:rsidR="00833027" w:rsidRPr="00833027">
        <w:rPr>
          <w:rFonts w:ascii="Arial" w:hAnsi="Arial" w:cs="Arial"/>
          <w:iCs/>
        </w:rPr>
        <w:t xml:space="preserve">) achieved within 3 hours post-dose, with plasma exposures increased in a less than dose proportional manner, especially at doses above </w:t>
      </w:r>
      <w:r w:rsidR="00E24F4D" w:rsidRPr="00863E70">
        <w:rPr>
          <w:rFonts w:ascii="Arial" w:hAnsi="Arial" w:cs="Arial"/>
          <w:iCs/>
        </w:rPr>
        <w:t>3</w:t>
      </w:r>
      <w:r w:rsidR="00833027" w:rsidRPr="00863E70">
        <w:rPr>
          <w:rFonts w:ascii="Arial" w:hAnsi="Arial" w:cs="Arial"/>
          <w:iCs/>
        </w:rPr>
        <w:t>00</w:t>
      </w:r>
      <w:r w:rsidR="00833027" w:rsidRPr="00833027">
        <w:rPr>
          <w:rFonts w:ascii="Arial" w:hAnsi="Arial" w:cs="Arial"/>
          <w:iCs/>
        </w:rPr>
        <w:t xml:space="preserve"> mg. At the dose of 200</w:t>
      </w:r>
      <w:r w:rsidR="00BD5B62">
        <w:rPr>
          <w:rFonts w:ascii="Arial" w:hAnsi="Arial" w:cs="Arial"/>
        </w:rPr>
        <w:t> </w:t>
      </w:r>
      <w:r w:rsidR="00833027" w:rsidRPr="00833027">
        <w:rPr>
          <w:rFonts w:ascii="Arial" w:hAnsi="Arial" w:cs="Arial"/>
          <w:iCs/>
        </w:rPr>
        <w:t xml:space="preserve">mg once daily at steady state, the mean (%CV) </w:t>
      </w:r>
      <w:r>
        <w:rPr>
          <w:rFonts w:ascii="Arial" w:hAnsi="Arial" w:cs="Arial"/>
          <w:iCs/>
        </w:rPr>
        <w:t>momelotinib</w:t>
      </w:r>
      <w:r w:rsidR="00833027" w:rsidRPr="00833027">
        <w:rPr>
          <w:rFonts w:ascii="Arial" w:hAnsi="Arial" w:cs="Arial"/>
          <w:iCs/>
        </w:rPr>
        <w:t xml:space="preserve"> </w:t>
      </w:r>
      <w:proofErr w:type="spellStart"/>
      <w:r w:rsidR="00833027" w:rsidRPr="00833027">
        <w:rPr>
          <w:rFonts w:ascii="Arial" w:hAnsi="Arial" w:cs="Arial"/>
          <w:iCs/>
        </w:rPr>
        <w:t>C</w:t>
      </w:r>
      <w:r w:rsidR="00833027" w:rsidRPr="00833027">
        <w:rPr>
          <w:rFonts w:ascii="Arial" w:hAnsi="Arial" w:cs="Arial"/>
          <w:iCs/>
          <w:vertAlign w:val="subscript"/>
        </w:rPr>
        <w:t>max</w:t>
      </w:r>
      <w:proofErr w:type="spellEnd"/>
      <w:r w:rsidR="00833027" w:rsidRPr="00833027">
        <w:rPr>
          <w:rFonts w:ascii="Arial" w:hAnsi="Arial" w:cs="Arial"/>
          <w:iCs/>
        </w:rPr>
        <w:t xml:space="preserve"> is 479 ng/mL (61%) and AUC</w:t>
      </w:r>
      <w:r w:rsidR="00833027" w:rsidRPr="00833027">
        <w:rPr>
          <w:rFonts w:ascii="Arial" w:hAnsi="Arial" w:cs="Arial"/>
          <w:iCs/>
          <w:vertAlign w:val="subscript"/>
        </w:rPr>
        <w:t>tau</w:t>
      </w:r>
      <w:r w:rsidR="00833027" w:rsidRPr="00833027">
        <w:rPr>
          <w:rFonts w:ascii="Arial" w:hAnsi="Arial" w:cs="Arial"/>
          <w:iCs/>
        </w:rPr>
        <w:t xml:space="preserve"> is 3288 </w:t>
      </w:r>
      <w:proofErr w:type="spellStart"/>
      <w:r w:rsidR="00833027" w:rsidRPr="00833027">
        <w:rPr>
          <w:rFonts w:ascii="Arial" w:hAnsi="Arial" w:cs="Arial"/>
          <w:iCs/>
        </w:rPr>
        <w:t>ng•h</w:t>
      </w:r>
      <w:proofErr w:type="spellEnd"/>
      <w:r w:rsidR="00833027" w:rsidRPr="00833027">
        <w:rPr>
          <w:rFonts w:ascii="Arial" w:hAnsi="Arial" w:cs="Arial"/>
          <w:iCs/>
        </w:rPr>
        <w:t>/mL (60%) in patients with myelofibrosis.</w:t>
      </w:r>
    </w:p>
    <w:p w14:paraId="66900B12" w14:textId="707DC862" w:rsidR="00833027" w:rsidRPr="00833027" w:rsidRDefault="00833027" w:rsidP="00833027">
      <w:pPr>
        <w:rPr>
          <w:rFonts w:ascii="Arial" w:hAnsi="Arial" w:cs="Arial"/>
          <w:iCs/>
        </w:rPr>
      </w:pPr>
      <w:r w:rsidRPr="00833027">
        <w:rPr>
          <w:rFonts w:ascii="Arial" w:hAnsi="Arial" w:cs="Arial"/>
          <w:iCs/>
        </w:rPr>
        <w:t xml:space="preserve">Following low-fat and high-fat meals in healthy volunteers, the </w:t>
      </w:r>
      <w:proofErr w:type="spellStart"/>
      <w:r w:rsidRPr="00833027">
        <w:rPr>
          <w:rFonts w:ascii="Arial" w:hAnsi="Arial" w:cs="Arial"/>
          <w:iCs/>
        </w:rPr>
        <w:t>C</w:t>
      </w:r>
      <w:r w:rsidRPr="00833027">
        <w:rPr>
          <w:rFonts w:ascii="Arial" w:hAnsi="Arial" w:cs="Arial"/>
          <w:iCs/>
          <w:vertAlign w:val="subscript"/>
        </w:rPr>
        <w:t>max</w:t>
      </w:r>
      <w:proofErr w:type="spellEnd"/>
      <w:r w:rsidRPr="00833027">
        <w:rPr>
          <w:rFonts w:ascii="Arial" w:hAnsi="Arial" w:cs="Arial"/>
          <w:iCs/>
        </w:rPr>
        <w:t xml:space="preserve"> of </w:t>
      </w:r>
      <w:r w:rsidR="00B52DB1">
        <w:rPr>
          <w:rFonts w:ascii="Arial" w:hAnsi="Arial" w:cs="Arial"/>
          <w:iCs/>
        </w:rPr>
        <w:t>momelotinib</w:t>
      </w:r>
      <w:r w:rsidRPr="00833027">
        <w:rPr>
          <w:rFonts w:ascii="Arial" w:hAnsi="Arial" w:cs="Arial"/>
          <w:iCs/>
        </w:rPr>
        <w:t xml:space="preserve"> was 38% and 28% higher, respectively, and the AUC was 16% and 28% higher, respectively, as </w:t>
      </w:r>
      <w:r w:rsidRPr="00833027">
        <w:rPr>
          <w:rFonts w:ascii="Arial" w:hAnsi="Arial" w:cs="Arial"/>
          <w:iCs/>
        </w:rPr>
        <w:lastRenderedPageBreak/>
        <w:t>compared with those under fasting conditions. These changes in exposure were not clinically meaningful.</w:t>
      </w:r>
    </w:p>
    <w:p w14:paraId="6138D0CD" w14:textId="6FD292D6" w:rsidR="001A3992" w:rsidRPr="00071855" w:rsidRDefault="001A3992" w:rsidP="001A3992">
      <w:pPr>
        <w:pStyle w:val="Heading3"/>
        <w:spacing w:before="0" w:after="120"/>
        <w:rPr>
          <w:rFonts w:ascii="Arial" w:hAnsi="Arial" w:cs="Arial"/>
        </w:rPr>
      </w:pPr>
      <w:r w:rsidRPr="00071855">
        <w:rPr>
          <w:rFonts w:ascii="Arial" w:hAnsi="Arial" w:cs="Arial"/>
        </w:rPr>
        <w:t>Distribution</w:t>
      </w:r>
      <w:r w:rsidR="00CE6790">
        <w:rPr>
          <w:rFonts w:ascii="Arial" w:hAnsi="Arial" w:cs="Arial"/>
        </w:rPr>
        <w:fldChar w:fldCharType="begin"/>
      </w:r>
      <w:r w:rsidR="00CE6790">
        <w:rPr>
          <w:rFonts w:ascii="Arial" w:hAnsi="Arial" w:cs="Arial"/>
        </w:rPr>
        <w:instrText xml:space="preserve"> DOCVARIABLE vault_nd_51737689-3d62-4689-a05d-99359b97e14e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63A1C522" w14:textId="17353385" w:rsidR="00833027" w:rsidRPr="00833027" w:rsidRDefault="00833027" w:rsidP="00071855">
      <w:pPr>
        <w:rPr>
          <w:rFonts w:ascii="Arial" w:hAnsi="Arial" w:cs="Arial"/>
          <w:iCs/>
        </w:rPr>
      </w:pPr>
      <w:r w:rsidRPr="00833027">
        <w:rPr>
          <w:rFonts w:ascii="Arial" w:hAnsi="Arial" w:cs="Arial"/>
          <w:iCs/>
        </w:rPr>
        <w:t xml:space="preserve">Plasma protein binding of </w:t>
      </w:r>
      <w:r w:rsidR="00B52DB1">
        <w:rPr>
          <w:rFonts w:ascii="Arial" w:hAnsi="Arial" w:cs="Arial"/>
          <w:iCs/>
        </w:rPr>
        <w:t>momelotinib</w:t>
      </w:r>
      <w:r w:rsidRPr="00833027">
        <w:rPr>
          <w:rFonts w:ascii="Arial" w:hAnsi="Arial" w:cs="Arial"/>
          <w:iCs/>
        </w:rPr>
        <w:t xml:space="preserve"> is approximately 91% in human. The mean apparent volume of distribution of </w:t>
      </w:r>
      <w:r w:rsidR="00B52DB1">
        <w:rPr>
          <w:rFonts w:ascii="Arial" w:hAnsi="Arial" w:cs="Arial"/>
          <w:iCs/>
        </w:rPr>
        <w:t>momelotinib</w:t>
      </w:r>
      <w:r w:rsidRPr="00833027">
        <w:rPr>
          <w:rFonts w:ascii="Arial" w:hAnsi="Arial" w:cs="Arial"/>
          <w:iCs/>
        </w:rPr>
        <w:t xml:space="preserve"> at </w:t>
      </w:r>
      <w:proofErr w:type="gramStart"/>
      <w:r w:rsidRPr="00833027">
        <w:rPr>
          <w:rFonts w:ascii="Arial" w:hAnsi="Arial" w:cs="Arial"/>
          <w:iCs/>
        </w:rPr>
        <w:t>steady-state</w:t>
      </w:r>
      <w:proofErr w:type="gramEnd"/>
      <w:r w:rsidRPr="00833027">
        <w:rPr>
          <w:rFonts w:ascii="Arial" w:hAnsi="Arial" w:cs="Arial"/>
          <w:iCs/>
        </w:rPr>
        <w:t xml:space="preserve"> was 984 L in patients with myelofibrosis receiving </w:t>
      </w:r>
      <w:r w:rsidR="00B52DB1">
        <w:rPr>
          <w:rFonts w:ascii="Arial" w:hAnsi="Arial" w:cs="Arial"/>
          <w:iCs/>
        </w:rPr>
        <w:t>momelotinib</w:t>
      </w:r>
      <w:r w:rsidRPr="00833027">
        <w:rPr>
          <w:rFonts w:ascii="Arial" w:hAnsi="Arial" w:cs="Arial"/>
          <w:iCs/>
        </w:rPr>
        <w:t xml:space="preserve"> 200 mg daily suggesting extensive tissue distribution.</w:t>
      </w:r>
    </w:p>
    <w:p w14:paraId="6BE624A6" w14:textId="690B5596" w:rsidR="001A3992" w:rsidRPr="00833027" w:rsidRDefault="001A3992" w:rsidP="001A3992">
      <w:pPr>
        <w:pStyle w:val="Heading3"/>
        <w:spacing w:before="0" w:after="120"/>
        <w:rPr>
          <w:rFonts w:ascii="Arial" w:hAnsi="Arial" w:cs="Arial"/>
        </w:rPr>
      </w:pPr>
      <w:r w:rsidRPr="00833027">
        <w:rPr>
          <w:rFonts w:ascii="Arial" w:hAnsi="Arial" w:cs="Arial"/>
        </w:rPr>
        <w:t>Metabolism</w:t>
      </w:r>
      <w:r w:rsidR="00CE6790">
        <w:rPr>
          <w:rFonts w:ascii="Arial" w:hAnsi="Arial" w:cs="Arial"/>
        </w:rPr>
        <w:fldChar w:fldCharType="begin"/>
      </w:r>
      <w:r w:rsidR="00CE6790">
        <w:rPr>
          <w:rFonts w:ascii="Arial" w:hAnsi="Arial" w:cs="Arial"/>
        </w:rPr>
        <w:instrText xml:space="preserve"> DOCVARIABLE vault_nd_031843c9-9c36-4e56-9911-ef5f929f274e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433E994A" w14:textId="31D85F13" w:rsidR="00833027" w:rsidRPr="00833027" w:rsidRDefault="0097275B" w:rsidP="00071855">
      <w:pPr>
        <w:rPr>
          <w:rFonts w:ascii="Arial" w:hAnsi="Arial" w:cs="Arial"/>
          <w:iCs/>
        </w:rPr>
      </w:pPr>
      <w:r>
        <w:rPr>
          <w:rFonts w:ascii="Arial" w:hAnsi="Arial" w:cs="Arial"/>
          <w:iCs/>
        </w:rPr>
        <w:t>Human metabolism of momelotinib</w:t>
      </w:r>
      <w:r w:rsidR="00833027" w:rsidRPr="00833027">
        <w:rPr>
          <w:rFonts w:ascii="Arial" w:hAnsi="Arial" w:cs="Arial"/>
          <w:iCs/>
        </w:rPr>
        <w:t xml:space="preserve"> is</w:t>
      </w:r>
      <w:r w:rsidR="00D77803">
        <w:rPr>
          <w:rFonts w:ascii="Arial" w:hAnsi="Arial" w:cs="Arial"/>
          <w:iCs/>
        </w:rPr>
        <w:t xml:space="preserve"> predominantly</w:t>
      </w:r>
      <w:r w:rsidR="00833027" w:rsidRPr="00833027">
        <w:rPr>
          <w:rFonts w:ascii="Arial" w:hAnsi="Arial" w:cs="Arial"/>
          <w:iCs/>
        </w:rPr>
        <w:t xml:space="preserve"> </w:t>
      </w:r>
      <w:r>
        <w:rPr>
          <w:rFonts w:ascii="Arial" w:hAnsi="Arial" w:cs="Arial"/>
          <w:iCs/>
        </w:rPr>
        <w:t xml:space="preserve">mediated </w:t>
      </w:r>
      <w:r w:rsidR="00833027" w:rsidRPr="00833027">
        <w:rPr>
          <w:rFonts w:ascii="Arial" w:hAnsi="Arial" w:cs="Arial"/>
          <w:iCs/>
        </w:rPr>
        <w:t>by CYP</w:t>
      </w:r>
      <w:r>
        <w:rPr>
          <w:rFonts w:ascii="Arial" w:hAnsi="Arial" w:cs="Arial"/>
          <w:iCs/>
        </w:rPr>
        <w:t xml:space="preserve"> </w:t>
      </w:r>
      <w:r w:rsidR="00833027" w:rsidRPr="00833027">
        <w:rPr>
          <w:rFonts w:ascii="Arial" w:hAnsi="Arial" w:cs="Arial"/>
          <w:iCs/>
        </w:rPr>
        <w:t xml:space="preserve">enzymes </w:t>
      </w:r>
      <w:r>
        <w:rPr>
          <w:rFonts w:ascii="Arial" w:hAnsi="Arial" w:cs="Arial"/>
          <w:iCs/>
        </w:rPr>
        <w:t xml:space="preserve">with contributions in the following order: </w:t>
      </w:r>
      <w:r w:rsidR="00833027" w:rsidRPr="00833027">
        <w:rPr>
          <w:rFonts w:ascii="Arial" w:hAnsi="Arial" w:cs="Arial"/>
          <w:iCs/>
        </w:rPr>
        <w:t>CYP3A4</w:t>
      </w:r>
      <w:r>
        <w:rPr>
          <w:rFonts w:ascii="Arial" w:hAnsi="Arial" w:cs="Arial"/>
          <w:iCs/>
        </w:rPr>
        <w:t xml:space="preserve"> (36%)</w:t>
      </w:r>
      <w:r w:rsidR="00833027" w:rsidRPr="00833027">
        <w:rPr>
          <w:rFonts w:ascii="Arial" w:hAnsi="Arial" w:cs="Arial"/>
          <w:iCs/>
        </w:rPr>
        <w:t>, CYP2C8</w:t>
      </w:r>
      <w:r>
        <w:rPr>
          <w:rFonts w:ascii="Arial" w:hAnsi="Arial" w:cs="Arial"/>
          <w:iCs/>
        </w:rPr>
        <w:t xml:space="preserve"> (19%)</w:t>
      </w:r>
      <w:r w:rsidR="00833027" w:rsidRPr="00833027">
        <w:rPr>
          <w:rFonts w:ascii="Arial" w:hAnsi="Arial" w:cs="Arial"/>
          <w:iCs/>
        </w:rPr>
        <w:t>, CYP2C</w:t>
      </w:r>
      <w:r>
        <w:rPr>
          <w:rFonts w:ascii="Arial" w:hAnsi="Arial" w:cs="Arial"/>
          <w:iCs/>
        </w:rPr>
        <w:t>1</w:t>
      </w:r>
      <w:r w:rsidR="00833027" w:rsidRPr="00833027">
        <w:rPr>
          <w:rFonts w:ascii="Arial" w:hAnsi="Arial" w:cs="Arial"/>
          <w:iCs/>
        </w:rPr>
        <w:t>9</w:t>
      </w:r>
      <w:r>
        <w:rPr>
          <w:rFonts w:ascii="Arial" w:hAnsi="Arial" w:cs="Arial"/>
          <w:iCs/>
        </w:rPr>
        <w:t xml:space="preserve"> (19%)</w:t>
      </w:r>
      <w:r w:rsidR="00833027" w:rsidRPr="00833027">
        <w:rPr>
          <w:rFonts w:ascii="Arial" w:hAnsi="Arial" w:cs="Arial"/>
          <w:iCs/>
        </w:rPr>
        <w:t>, CYP2C9</w:t>
      </w:r>
      <w:r>
        <w:rPr>
          <w:rFonts w:ascii="Arial" w:hAnsi="Arial" w:cs="Arial"/>
          <w:iCs/>
        </w:rPr>
        <w:t xml:space="preserve"> (17%)</w:t>
      </w:r>
      <w:r w:rsidR="00833027" w:rsidRPr="00833027">
        <w:rPr>
          <w:rFonts w:ascii="Arial" w:hAnsi="Arial" w:cs="Arial"/>
          <w:iCs/>
        </w:rPr>
        <w:t>, and CYP1A2</w:t>
      </w:r>
      <w:r>
        <w:rPr>
          <w:rFonts w:ascii="Arial" w:hAnsi="Arial" w:cs="Arial"/>
          <w:iCs/>
        </w:rPr>
        <w:t xml:space="preserve"> (9%</w:t>
      </w:r>
      <w:r w:rsidR="00833027" w:rsidRPr="00833027">
        <w:rPr>
          <w:rFonts w:ascii="Arial" w:hAnsi="Arial" w:cs="Arial"/>
          <w:iCs/>
        </w:rPr>
        <w:t>). M21</w:t>
      </w:r>
      <w:r>
        <w:rPr>
          <w:rFonts w:ascii="Arial" w:hAnsi="Arial" w:cs="Arial"/>
          <w:iCs/>
        </w:rPr>
        <w:t xml:space="preserve"> is an</w:t>
      </w:r>
      <w:r w:rsidR="00833027" w:rsidRPr="00833027">
        <w:rPr>
          <w:rFonts w:ascii="Arial" w:hAnsi="Arial" w:cs="Arial"/>
          <w:iCs/>
        </w:rPr>
        <w:t xml:space="preserve"> active </w:t>
      </w:r>
      <w:r>
        <w:rPr>
          <w:rFonts w:ascii="Arial" w:hAnsi="Arial" w:cs="Arial"/>
          <w:iCs/>
        </w:rPr>
        <w:t xml:space="preserve">human </w:t>
      </w:r>
      <w:r w:rsidR="00833027" w:rsidRPr="00833027">
        <w:rPr>
          <w:rFonts w:ascii="Arial" w:hAnsi="Arial" w:cs="Arial"/>
          <w:iCs/>
        </w:rPr>
        <w:t>metabolite</w:t>
      </w:r>
      <w:r>
        <w:rPr>
          <w:rFonts w:ascii="Arial" w:hAnsi="Arial" w:cs="Arial"/>
          <w:iCs/>
        </w:rPr>
        <w:t xml:space="preserve"> that has approximately 40% of the pharmacological activity of the parent. M21 Is formed by CYP followed by</w:t>
      </w:r>
      <w:r w:rsidR="00833027" w:rsidRPr="00833027">
        <w:rPr>
          <w:rFonts w:ascii="Arial" w:hAnsi="Arial" w:cs="Arial"/>
          <w:iCs/>
        </w:rPr>
        <w:t xml:space="preserve"> aldehyde oxidase</w:t>
      </w:r>
      <w:r>
        <w:rPr>
          <w:rFonts w:ascii="Arial" w:hAnsi="Arial" w:cs="Arial"/>
          <w:iCs/>
        </w:rPr>
        <w:t xml:space="preserve"> metabolism of momelotinib</w:t>
      </w:r>
      <w:r w:rsidR="00833027" w:rsidRPr="00833027">
        <w:rPr>
          <w:rFonts w:ascii="Arial" w:hAnsi="Arial" w:cs="Arial"/>
          <w:iCs/>
        </w:rPr>
        <w:t>.</w:t>
      </w:r>
      <w:r>
        <w:rPr>
          <w:rFonts w:ascii="Arial" w:hAnsi="Arial" w:cs="Arial"/>
          <w:iCs/>
        </w:rPr>
        <w:t xml:space="preserve"> </w:t>
      </w:r>
      <w:r w:rsidR="00E24F4D">
        <w:rPr>
          <w:rFonts w:ascii="Arial" w:hAnsi="Arial" w:cs="Arial"/>
          <w:iCs/>
        </w:rPr>
        <w:t>The mean M21 to momelotinib ratio for AUC ranged from 1.4 to 2.1.</w:t>
      </w:r>
    </w:p>
    <w:p w14:paraId="1382CFBD" w14:textId="5858CDDE" w:rsidR="001A3992" w:rsidRPr="00071855" w:rsidRDefault="001A3992" w:rsidP="001A3992">
      <w:pPr>
        <w:pStyle w:val="Heading3"/>
        <w:spacing w:before="0" w:after="120"/>
        <w:rPr>
          <w:rFonts w:ascii="Arial" w:hAnsi="Arial" w:cs="Arial"/>
        </w:rPr>
      </w:pPr>
      <w:r w:rsidRPr="00071855">
        <w:rPr>
          <w:rFonts w:ascii="Arial" w:hAnsi="Arial" w:cs="Arial"/>
        </w:rPr>
        <w:t>Excretion</w:t>
      </w:r>
      <w:r w:rsidR="00CE6790">
        <w:rPr>
          <w:rFonts w:ascii="Arial" w:hAnsi="Arial" w:cs="Arial"/>
        </w:rPr>
        <w:fldChar w:fldCharType="begin"/>
      </w:r>
      <w:r w:rsidR="00CE6790">
        <w:rPr>
          <w:rFonts w:ascii="Arial" w:hAnsi="Arial" w:cs="Arial"/>
        </w:rPr>
        <w:instrText xml:space="preserve"> DOCVARIABLE vault_nd_551d7353-7429-4379-8be3-c1581d293784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6946E3CB" w14:textId="73FB5E68" w:rsidR="00833027" w:rsidRPr="00833027" w:rsidRDefault="00833027" w:rsidP="00833027">
      <w:pPr>
        <w:rPr>
          <w:rFonts w:ascii="Arial" w:hAnsi="Arial" w:cs="Arial"/>
          <w:iCs/>
        </w:rPr>
      </w:pPr>
      <w:r w:rsidRPr="00833027">
        <w:rPr>
          <w:rFonts w:ascii="Arial" w:hAnsi="Arial" w:cs="Arial"/>
          <w:iCs/>
        </w:rPr>
        <w:t xml:space="preserve">Following an oral dose of </w:t>
      </w:r>
      <w:r w:rsidR="00531375">
        <w:rPr>
          <w:rFonts w:ascii="Arial" w:hAnsi="Arial" w:cs="Arial"/>
          <w:iCs/>
        </w:rPr>
        <w:t>momelotinib</w:t>
      </w:r>
      <w:r w:rsidRPr="00833027">
        <w:rPr>
          <w:rFonts w:ascii="Arial" w:hAnsi="Arial" w:cs="Arial"/>
          <w:iCs/>
        </w:rPr>
        <w:t xml:space="preserve"> 200 mg, the mean terminal half-life (t½) of </w:t>
      </w:r>
      <w:r w:rsidR="00531375">
        <w:rPr>
          <w:rFonts w:ascii="Arial" w:hAnsi="Arial" w:cs="Arial"/>
          <w:iCs/>
        </w:rPr>
        <w:t>momelotinib</w:t>
      </w:r>
      <w:r w:rsidRPr="00833027">
        <w:rPr>
          <w:rFonts w:ascii="Arial" w:hAnsi="Arial" w:cs="Arial"/>
          <w:iCs/>
        </w:rPr>
        <w:t xml:space="preserve"> was 4 to 8 hours; the half-life of M21 is similar. The apparent total clearance (CL/F) of </w:t>
      </w:r>
      <w:r w:rsidR="00531375">
        <w:rPr>
          <w:rFonts w:ascii="Arial" w:hAnsi="Arial" w:cs="Arial"/>
          <w:iCs/>
        </w:rPr>
        <w:t>momelotinib</w:t>
      </w:r>
      <w:r w:rsidRPr="00833027">
        <w:rPr>
          <w:rFonts w:ascii="Arial" w:hAnsi="Arial" w:cs="Arial"/>
          <w:iCs/>
        </w:rPr>
        <w:t xml:space="preserve"> was 103 L/h in patients with myelofibrosis.</w:t>
      </w:r>
    </w:p>
    <w:p w14:paraId="0C9ED67F" w14:textId="7062C302" w:rsidR="00833027" w:rsidRDefault="00531375" w:rsidP="00833027">
      <w:pPr>
        <w:rPr>
          <w:rFonts w:ascii="Arial" w:hAnsi="Arial" w:cs="Arial"/>
          <w:iCs/>
        </w:rPr>
      </w:pPr>
      <w:r>
        <w:rPr>
          <w:rFonts w:ascii="Arial" w:hAnsi="Arial" w:cs="Arial"/>
          <w:iCs/>
        </w:rPr>
        <w:t>Momelotinib</w:t>
      </w:r>
      <w:r w:rsidR="00833027" w:rsidRPr="00833027">
        <w:rPr>
          <w:rFonts w:ascii="Arial" w:hAnsi="Arial" w:cs="Arial"/>
          <w:iCs/>
        </w:rPr>
        <w:t xml:space="preserve"> is mainly eliminated through metabolism and then excreted to faeces. Following a single oral dose of [</w:t>
      </w:r>
      <w:r w:rsidR="00833027" w:rsidRPr="00833027">
        <w:rPr>
          <w:rFonts w:ascii="Arial" w:hAnsi="Arial" w:cs="Arial"/>
          <w:iCs/>
          <w:vertAlign w:val="superscript"/>
        </w:rPr>
        <w:t>14</w:t>
      </w:r>
      <w:r w:rsidR="00833027" w:rsidRPr="00833027">
        <w:rPr>
          <w:rFonts w:ascii="Arial" w:hAnsi="Arial" w:cs="Arial"/>
          <w:iCs/>
        </w:rPr>
        <w:t xml:space="preserve">C]-labelled </w:t>
      </w:r>
      <w:r>
        <w:rPr>
          <w:rFonts w:ascii="Arial" w:hAnsi="Arial" w:cs="Arial"/>
          <w:iCs/>
        </w:rPr>
        <w:t>momelotinib</w:t>
      </w:r>
      <w:r w:rsidR="00833027" w:rsidRPr="00833027">
        <w:rPr>
          <w:rFonts w:ascii="Arial" w:hAnsi="Arial" w:cs="Arial"/>
          <w:iCs/>
        </w:rPr>
        <w:t xml:space="preserve"> in healthy male subjects, 69% of radioactivity was excreted in the faeces (13% of dose as unchanged </w:t>
      </w:r>
      <w:r>
        <w:rPr>
          <w:rFonts w:ascii="Arial" w:hAnsi="Arial" w:cs="Arial"/>
          <w:iCs/>
        </w:rPr>
        <w:t>momelotinib</w:t>
      </w:r>
      <w:r w:rsidR="00833027" w:rsidRPr="00833027">
        <w:rPr>
          <w:rFonts w:ascii="Arial" w:hAnsi="Arial" w:cs="Arial"/>
          <w:iCs/>
        </w:rPr>
        <w:t xml:space="preserve">), and 28% in the urine (&lt;1% of dose as unchanged </w:t>
      </w:r>
      <w:r>
        <w:rPr>
          <w:rFonts w:ascii="Arial" w:hAnsi="Arial" w:cs="Arial"/>
          <w:iCs/>
        </w:rPr>
        <w:t>momelotinib</w:t>
      </w:r>
      <w:r w:rsidR="00833027" w:rsidRPr="00833027">
        <w:rPr>
          <w:rFonts w:ascii="Arial" w:hAnsi="Arial" w:cs="Arial"/>
          <w:iCs/>
        </w:rPr>
        <w:t>).</w:t>
      </w:r>
    </w:p>
    <w:p w14:paraId="28632FB9" w14:textId="11B14DA2" w:rsidR="00833027" w:rsidRPr="00071855" w:rsidRDefault="00833027" w:rsidP="00833027">
      <w:pPr>
        <w:pStyle w:val="Heading3"/>
        <w:spacing w:before="0" w:after="120"/>
        <w:rPr>
          <w:rFonts w:ascii="Arial" w:hAnsi="Arial" w:cs="Arial"/>
        </w:rPr>
      </w:pPr>
      <w:r>
        <w:rPr>
          <w:rFonts w:ascii="Arial" w:hAnsi="Arial" w:cs="Arial"/>
        </w:rPr>
        <w:t>Special patient populations</w:t>
      </w:r>
      <w:r w:rsidR="00CE6790">
        <w:rPr>
          <w:rFonts w:ascii="Arial" w:hAnsi="Arial" w:cs="Arial"/>
        </w:rPr>
        <w:fldChar w:fldCharType="begin"/>
      </w:r>
      <w:r w:rsidR="00CE6790">
        <w:rPr>
          <w:rFonts w:ascii="Arial" w:hAnsi="Arial" w:cs="Arial"/>
        </w:rPr>
        <w:instrText xml:space="preserve"> DOCVARIABLE vault_nd_6c3a61fe-2994-4d43-9a67-e89e0b76eed7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5C50F210" w14:textId="23022F45" w:rsidR="00833027" w:rsidRPr="00833027" w:rsidRDefault="00833027" w:rsidP="00833027">
      <w:pPr>
        <w:rPr>
          <w:rFonts w:ascii="Arial" w:hAnsi="Arial" w:cs="Arial"/>
          <w:iCs/>
          <w:u w:val="single"/>
        </w:rPr>
      </w:pPr>
      <w:r w:rsidRPr="00833027">
        <w:rPr>
          <w:rFonts w:ascii="Arial" w:hAnsi="Arial" w:cs="Arial"/>
          <w:iCs/>
          <w:u w:val="single"/>
        </w:rPr>
        <w:t>Renal impairment</w:t>
      </w:r>
    </w:p>
    <w:p w14:paraId="25DC2377" w14:textId="54C42807" w:rsidR="00833027" w:rsidRDefault="00B52DB1" w:rsidP="00833027">
      <w:pPr>
        <w:rPr>
          <w:rFonts w:ascii="Arial" w:hAnsi="Arial" w:cs="Arial"/>
          <w:iCs/>
        </w:rPr>
      </w:pPr>
      <w:r>
        <w:rPr>
          <w:rFonts w:ascii="Arial" w:hAnsi="Arial" w:cs="Arial"/>
          <w:iCs/>
        </w:rPr>
        <w:t>Momelotinib</w:t>
      </w:r>
      <w:r w:rsidR="00833027" w:rsidRPr="00833027">
        <w:rPr>
          <w:rFonts w:ascii="Arial" w:hAnsi="Arial" w:cs="Arial"/>
          <w:iCs/>
        </w:rPr>
        <w:t xml:space="preserve"> AUC decreased by 13% in subjects with moderate renal impairment (eGFR 30-59 mL/min/1.73 m</w:t>
      </w:r>
      <w:r w:rsidR="00833027" w:rsidRPr="00833027">
        <w:rPr>
          <w:rFonts w:ascii="Arial" w:hAnsi="Arial" w:cs="Arial"/>
          <w:iCs/>
          <w:vertAlign w:val="superscript"/>
        </w:rPr>
        <w:t>2</w:t>
      </w:r>
      <w:r w:rsidR="00833027" w:rsidRPr="00833027">
        <w:rPr>
          <w:rFonts w:ascii="Arial" w:hAnsi="Arial" w:cs="Arial"/>
          <w:iCs/>
        </w:rPr>
        <w:t>) and AUC decreased by 16% in subjects with severe renal impairment (eGFR 15-29 mL/min/1.73 m</w:t>
      </w:r>
      <w:r w:rsidR="00833027" w:rsidRPr="00833027">
        <w:rPr>
          <w:rFonts w:ascii="Arial" w:hAnsi="Arial" w:cs="Arial"/>
          <w:iCs/>
          <w:vertAlign w:val="superscript"/>
        </w:rPr>
        <w:t>2</w:t>
      </w:r>
      <w:r w:rsidR="00833027" w:rsidRPr="00833027">
        <w:rPr>
          <w:rFonts w:ascii="Arial" w:hAnsi="Arial" w:cs="Arial"/>
          <w:iCs/>
        </w:rPr>
        <w:t>) compared to subjects with normal renal function (eGFR ≥90 mL/min/1.73 m</w:t>
      </w:r>
      <w:r w:rsidR="00833027" w:rsidRPr="00833027">
        <w:rPr>
          <w:rFonts w:ascii="Arial" w:hAnsi="Arial" w:cs="Arial"/>
          <w:iCs/>
          <w:vertAlign w:val="superscript"/>
        </w:rPr>
        <w:t>2</w:t>
      </w:r>
      <w:r w:rsidR="00833027" w:rsidRPr="00833027">
        <w:rPr>
          <w:rFonts w:ascii="Arial" w:hAnsi="Arial" w:cs="Arial"/>
          <w:iCs/>
        </w:rPr>
        <w:t>). The AUC of the active metabolite, M21, increased by 20% and 41%, respectively, in subjects with moderate and severe renal impairment compared to subjects with normal renal function. There are no data in patients with end-stage renal disease (ESRD) receiving dialysis.</w:t>
      </w:r>
    </w:p>
    <w:p w14:paraId="352ABB87" w14:textId="419E0D2F" w:rsidR="00833027" w:rsidRPr="00833027" w:rsidRDefault="00833027" w:rsidP="00833027">
      <w:pPr>
        <w:rPr>
          <w:rFonts w:ascii="Arial" w:hAnsi="Arial" w:cs="Arial"/>
          <w:iCs/>
          <w:u w:val="single"/>
        </w:rPr>
      </w:pPr>
      <w:r w:rsidRPr="00833027">
        <w:rPr>
          <w:rFonts w:ascii="Arial" w:hAnsi="Arial" w:cs="Arial"/>
          <w:iCs/>
          <w:u w:val="single"/>
        </w:rPr>
        <w:t>Hepatic impairment</w:t>
      </w:r>
    </w:p>
    <w:p w14:paraId="676C8975" w14:textId="3C485F02" w:rsidR="00833027" w:rsidRDefault="00FB3FD5" w:rsidP="00833027">
      <w:pPr>
        <w:rPr>
          <w:rFonts w:ascii="Arial" w:hAnsi="Arial" w:cs="Arial"/>
          <w:iCs/>
        </w:rPr>
      </w:pPr>
      <w:r>
        <w:rPr>
          <w:rFonts w:ascii="Arial" w:hAnsi="Arial" w:cs="Arial"/>
          <w:iCs/>
        </w:rPr>
        <w:t>Momelotinib</w:t>
      </w:r>
      <w:r w:rsidR="00833027" w:rsidRPr="00833027">
        <w:rPr>
          <w:rFonts w:ascii="Arial" w:hAnsi="Arial" w:cs="Arial"/>
          <w:iCs/>
        </w:rPr>
        <w:t xml:space="preserve"> AUC increased by 8% and 97% in subjects with moderate (Child-Pugh Class B) and severe (Child-Pugh Class C) hepatic impairment, respectively, compared to subjects with normal hepatic function (see </w:t>
      </w:r>
      <w:r w:rsidR="00833027">
        <w:rPr>
          <w:rFonts w:ascii="Arial" w:hAnsi="Arial" w:cs="Arial"/>
          <w:iCs/>
        </w:rPr>
        <w:t xml:space="preserve">section 4.2 </w:t>
      </w:r>
      <w:r w:rsidR="00833027" w:rsidRPr="00833027">
        <w:rPr>
          <w:rFonts w:ascii="Arial" w:hAnsi="Arial" w:cs="Arial"/>
          <w:iCs/>
        </w:rPr>
        <w:t>DOSE AND METHOD OF ADMINISTRATION).</w:t>
      </w:r>
    </w:p>
    <w:p w14:paraId="716104B9" w14:textId="6898C99F" w:rsidR="00833027" w:rsidRPr="00833027" w:rsidRDefault="00833027" w:rsidP="00B13828">
      <w:pPr>
        <w:keepNext/>
        <w:keepLines/>
        <w:rPr>
          <w:rFonts w:ascii="Arial" w:hAnsi="Arial" w:cs="Arial"/>
          <w:iCs/>
          <w:u w:val="single"/>
        </w:rPr>
      </w:pPr>
      <w:r w:rsidRPr="00833027">
        <w:rPr>
          <w:rFonts w:ascii="Arial" w:hAnsi="Arial" w:cs="Arial"/>
          <w:iCs/>
          <w:u w:val="single"/>
        </w:rPr>
        <w:lastRenderedPageBreak/>
        <w:t>Age, gender, race, and bodyweight</w:t>
      </w:r>
    </w:p>
    <w:p w14:paraId="487BD032" w14:textId="6B775D7F" w:rsidR="00833027" w:rsidRPr="00833027" w:rsidRDefault="00833027" w:rsidP="00B13828">
      <w:pPr>
        <w:keepNext/>
        <w:keepLines/>
        <w:rPr>
          <w:rFonts w:ascii="Arial" w:hAnsi="Arial" w:cs="Arial"/>
          <w:iCs/>
        </w:rPr>
      </w:pPr>
      <w:r w:rsidRPr="00833027">
        <w:rPr>
          <w:rFonts w:ascii="Arial" w:hAnsi="Arial" w:cs="Arial"/>
          <w:iCs/>
        </w:rPr>
        <w:t xml:space="preserve">Age, gender, race, or weight do not have a clinically meaningful effect on the pharmacokinetics of </w:t>
      </w:r>
      <w:r w:rsidR="00FB3FD5">
        <w:rPr>
          <w:rFonts w:ascii="Arial" w:hAnsi="Arial" w:cs="Arial"/>
          <w:iCs/>
        </w:rPr>
        <w:t>momelotinib</w:t>
      </w:r>
      <w:r w:rsidRPr="00833027">
        <w:rPr>
          <w:rFonts w:ascii="Arial" w:hAnsi="Arial" w:cs="Arial"/>
          <w:iCs/>
        </w:rPr>
        <w:t xml:space="preserve"> based on a population pharmacokinetic analysis.</w:t>
      </w:r>
    </w:p>
    <w:p w14:paraId="658743D5" w14:textId="4EA1E953"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PRECLINICAL SAFETY DATA</w:t>
      </w:r>
      <w:r w:rsidR="00CE6790">
        <w:rPr>
          <w:rFonts w:ascii="Arial" w:hAnsi="Arial" w:cs="Arial"/>
          <w:smallCaps w:val="0"/>
        </w:rPr>
        <w:fldChar w:fldCharType="begin"/>
      </w:r>
      <w:r w:rsidR="00CE6790">
        <w:rPr>
          <w:rFonts w:ascii="Arial" w:hAnsi="Arial" w:cs="Arial"/>
          <w:smallCaps w:val="0"/>
        </w:rPr>
        <w:instrText xml:space="preserve"> DOCVARIABLE VAULT_ND_8d7b8e06-30ea-405e-a3e6-04f525292293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1142370C" w14:textId="1D3EB185" w:rsidR="001A3992" w:rsidRPr="00071855" w:rsidRDefault="001A3992" w:rsidP="001A3992">
      <w:pPr>
        <w:pStyle w:val="Heading3"/>
        <w:spacing w:before="0" w:after="120"/>
        <w:rPr>
          <w:rFonts w:ascii="Arial" w:hAnsi="Arial" w:cs="Arial"/>
        </w:rPr>
      </w:pPr>
      <w:r w:rsidRPr="00071855">
        <w:rPr>
          <w:rFonts w:ascii="Arial" w:hAnsi="Arial" w:cs="Arial"/>
        </w:rPr>
        <w:t>Genotoxicity</w:t>
      </w:r>
      <w:r w:rsidR="00CE6790">
        <w:rPr>
          <w:rFonts w:ascii="Arial" w:hAnsi="Arial" w:cs="Arial"/>
        </w:rPr>
        <w:fldChar w:fldCharType="begin"/>
      </w:r>
      <w:r w:rsidR="00CE6790">
        <w:rPr>
          <w:rFonts w:ascii="Arial" w:hAnsi="Arial" w:cs="Arial"/>
        </w:rPr>
        <w:instrText xml:space="preserve"> DOCVARIABLE vault_nd_93448d09-ad20-4b46-abbe-a3bf0a611a85 \* MERGEFORMAT </w:instrText>
      </w:r>
      <w:r w:rsidR="00CE6790">
        <w:rPr>
          <w:rFonts w:ascii="Arial" w:hAnsi="Arial" w:cs="Arial"/>
        </w:rPr>
        <w:fldChar w:fldCharType="separate"/>
      </w:r>
      <w:r w:rsidR="00CE6790">
        <w:rPr>
          <w:rFonts w:ascii="Arial" w:hAnsi="Arial" w:cs="Arial"/>
        </w:rPr>
        <w:t xml:space="preserve"> </w:t>
      </w:r>
      <w:r w:rsidR="00CE6790">
        <w:rPr>
          <w:rFonts w:ascii="Arial" w:hAnsi="Arial" w:cs="Arial"/>
        </w:rPr>
        <w:fldChar w:fldCharType="end"/>
      </w:r>
    </w:p>
    <w:p w14:paraId="32C0E2BB" w14:textId="5F0970FB" w:rsidR="00C40B8B" w:rsidRPr="00C40B8B" w:rsidRDefault="00FB3FD5" w:rsidP="00C40B8B">
      <w:pPr>
        <w:pStyle w:val="BodyText"/>
        <w:rPr>
          <w:rFonts w:ascii="Arial" w:hAnsi="Arial" w:cs="Arial"/>
        </w:rPr>
      </w:pPr>
      <w:r>
        <w:rPr>
          <w:rFonts w:ascii="Arial" w:hAnsi="Arial" w:cs="Arial"/>
        </w:rPr>
        <w:t>Momelotinib</w:t>
      </w:r>
      <w:r w:rsidR="00C40B8B" w:rsidRPr="00C40B8B">
        <w:rPr>
          <w:rFonts w:ascii="Arial" w:hAnsi="Arial" w:cs="Arial"/>
        </w:rPr>
        <w:t xml:space="preserve"> was not mutagenic in a bacterial reverse mutation assay or clastogenic in an </w:t>
      </w:r>
      <w:r w:rsidR="00C40B8B" w:rsidRPr="00C40B8B">
        <w:rPr>
          <w:rFonts w:ascii="Arial" w:hAnsi="Arial" w:cs="Arial"/>
          <w:i/>
        </w:rPr>
        <w:t>in vitro</w:t>
      </w:r>
      <w:r w:rsidR="00C40B8B" w:rsidRPr="00C40B8B">
        <w:rPr>
          <w:rFonts w:ascii="Arial" w:hAnsi="Arial" w:cs="Arial"/>
        </w:rPr>
        <w:t xml:space="preserve"> chromosomal aberration assay with human peripheral blood lymphocytes or </w:t>
      </w:r>
      <w:r w:rsidR="00C40B8B" w:rsidRPr="00C40B8B">
        <w:rPr>
          <w:rFonts w:ascii="Arial" w:hAnsi="Arial" w:cs="Arial"/>
          <w:i/>
        </w:rPr>
        <w:t>in vivo</w:t>
      </w:r>
      <w:r w:rsidR="00C40B8B" w:rsidRPr="00C40B8B">
        <w:rPr>
          <w:rFonts w:ascii="Arial" w:hAnsi="Arial" w:cs="Arial"/>
        </w:rPr>
        <w:t xml:space="preserve"> in a rat bone marrow micronucleus assay.</w:t>
      </w:r>
    </w:p>
    <w:p w14:paraId="0DD221B4" w14:textId="178FA41F" w:rsidR="001A3992" w:rsidRPr="00071855" w:rsidRDefault="001A3992" w:rsidP="001A3992">
      <w:pPr>
        <w:pStyle w:val="Heading3"/>
        <w:spacing w:before="0" w:after="120"/>
        <w:rPr>
          <w:rFonts w:ascii="Arial" w:hAnsi="Arial" w:cs="Arial"/>
          <w:lang w:val="en-US"/>
        </w:rPr>
      </w:pPr>
      <w:proofErr w:type="spellStart"/>
      <w:r w:rsidRPr="00071855">
        <w:rPr>
          <w:rFonts w:ascii="Arial" w:hAnsi="Arial" w:cs="Arial"/>
        </w:rPr>
        <w:t>Carcin</w:t>
      </w:r>
      <w:r w:rsidRPr="00071855">
        <w:rPr>
          <w:rFonts w:ascii="Arial" w:hAnsi="Arial" w:cs="Arial"/>
          <w:lang w:val="en-US"/>
        </w:rPr>
        <w:t>ogenicity</w:t>
      </w:r>
      <w:proofErr w:type="spellEnd"/>
      <w:r w:rsidR="00CE6790">
        <w:rPr>
          <w:rFonts w:ascii="Arial" w:hAnsi="Arial" w:cs="Arial"/>
          <w:lang w:val="en-US"/>
        </w:rPr>
        <w:fldChar w:fldCharType="begin"/>
      </w:r>
      <w:r w:rsidR="00CE6790">
        <w:rPr>
          <w:rFonts w:ascii="Arial" w:hAnsi="Arial" w:cs="Arial"/>
          <w:lang w:val="en-US"/>
        </w:rPr>
        <w:instrText xml:space="preserve"> DOCVARIABLE vault_nd_007ed495-8c42-4013-a84f-bccd08b0b5ae \* MERGEFORMAT </w:instrText>
      </w:r>
      <w:r w:rsidR="00CE6790">
        <w:rPr>
          <w:rFonts w:ascii="Arial" w:hAnsi="Arial" w:cs="Arial"/>
          <w:lang w:val="en-US"/>
        </w:rPr>
        <w:fldChar w:fldCharType="separate"/>
      </w:r>
      <w:r w:rsidR="00CE6790">
        <w:rPr>
          <w:rFonts w:ascii="Arial" w:hAnsi="Arial" w:cs="Arial"/>
          <w:lang w:val="en-US"/>
        </w:rPr>
        <w:t xml:space="preserve"> </w:t>
      </w:r>
      <w:r w:rsidR="00CE6790">
        <w:rPr>
          <w:rFonts w:ascii="Arial" w:hAnsi="Arial" w:cs="Arial"/>
          <w:lang w:val="en-US"/>
        </w:rPr>
        <w:fldChar w:fldCharType="end"/>
      </w:r>
    </w:p>
    <w:p w14:paraId="71C578CA" w14:textId="5B8BAF8F" w:rsidR="00BB14C2" w:rsidRPr="00BB14C2" w:rsidRDefault="00BB14C2" w:rsidP="00BB14C2">
      <w:pPr>
        <w:pStyle w:val="BodyText"/>
        <w:rPr>
          <w:rFonts w:ascii="Arial" w:hAnsi="Arial" w:cs="Arial"/>
        </w:rPr>
      </w:pPr>
      <w:r w:rsidRPr="00BB14C2">
        <w:rPr>
          <w:rFonts w:ascii="Arial" w:hAnsi="Arial" w:cs="Arial"/>
        </w:rPr>
        <w:t xml:space="preserve">The carcinogenic potential of </w:t>
      </w:r>
      <w:r w:rsidR="00FB3FD5">
        <w:rPr>
          <w:rFonts w:ascii="Arial" w:hAnsi="Arial" w:cs="Arial"/>
        </w:rPr>
        <w:t>momelotinib</w:t>
      </w:r>
      <w:r w:rsidRPr="00BB14C2">
        <w:rPr>
          <w:rFonts w:ascii="Arial" w:hAnsi="Arial" w:cs="Arial"/>
        </w:rPr>
        <w:t xml:space="preserve"> was assessed in a 6-month rasH2 transgenic mouse study and a 2</w:t>
      </w:r>
      <w:r w:rsidRPr="00BB14C2">
        <w:rPr>
          <w:rFonts w:ascii="Arial" w:hAnsi="Arial" w:cs="Arial"/>
        </w:rPr>
        <w:noBreakHyphen/>
        <w:t>year rat carcinogenicity study</w:t>
      </w:r>
      <w:r w:rsidR="00E82871" w:rsidRPr="00E82871">
        <w:rPr>
          <w:rFonts w:ascii="Arial" w:hAnsi="Arial" w:cs="Arial"/>
        </w:rPr>
        <w:t>, both conducted by the oral route</w:t>
      </w:r>
      <w:r w:rsidRPr="00BB14C2">
        <w:rPr>
          <w:rFonts w:ascii="Arial" w:hAnsi="Arial" w:cs="Arial"/>
        </w:rPr>
        <w:t>.</w:t>
      </w:r>
    </w:p>
    <w:p w14:paraId="3FB7CEF9" w14:textId="11C11EA2" w:rsidR="00BB14C2" w:rsidRPr="00BB14C2" w:rsidRDefault="00FB3FD5" w:rsidP="00BB14C2">
      <w:pPr>
        <w:pStyle w:val="BodyText"/>
        <w:rPr>
          <w:rFonts w:ascii="Arial" w:hAnsi="Arial" w:cs="Arial"/>
        </w:rPr>
      </w:pPr>
      <w:r>
        <w:rPr>
          <w:rFonts w:ascii="Arial" w:hAnsi="Arial" w:cs="Arial"/>
        </w:rPr>
        <w:t>Momelotinib</w:t>
      </w:r>
      <w:r w:rsidR="00E82871" w:rsidRPr="00E82871">
        <w:t xml:space="preserve"> </w:t>
      </w:r>
      <w:r w:rsidR="00E82871" w:rsidRPr="00E82871">
        <w:rPr>
          <w:rFonts w:ascii="Arial" w:hAnsi="Arial" w:cs="Arial"/>
        </w:rPr>
        <w:t>was not carcinogenic in transgenic mice up to the highest dose level tested (100 mg/kg/day</w:t>
      </w:r>
      <w:r w:rsidR="00BB14C2" w:rsidRPr="00BB14C2">
        <w:rPr>
          <w:rFonts w:ascii="Arial" w:hAnsi="Arial" w:cs="Arial"/>
        </w:rPr>
        <w:t xml:space="preserve">, </w:t>
      </w:r>
      <w:r w:rsidR="00E82871">
        <w:rPr>
          <w:rFonts w:ascii="Arial" w:hAnsi="Arial" w:cs="Arial"/>
        </w:rPr>
        <w:t>yielding</w:t>
      </w:r>
      <w:r w:rsidR="00E82871" w:rsidRPr="00BB14C2">
        <w:rPr>
          <w:rFonts w:ascii="Arial" w:hAnsi="Arial" w:cs="Arial"/>
        </w:rPr>
        <w:t xml:space="preserve"> </w:t>
      </w:r>
      <w:r w:rsidR="00BB14C2" w:rsidRPr="00BB14C2">
        <w:rPr>
          <w:rFonts w:ascii="Arial" w:hAnsi="Arial" w:cs="Arial"/>
        </w:rPr>
        <w:t xml:space="preserve">exposure </w:t>
      </w:r>
      <w:r w:rsidR="00E13588">
        <w:rPr>
          <w:rFonts w:ascii="Arial" w:hAnsi="Arial" w:cs="Arial"/>
        </w:rPr>
        <w:t>levels based on combined</w:t>
      </w:r>
      <w:r w:rsidR="00E82871">
        <w:rPr>
          <w:rFonts w:ascii="Arial" w:hAnsi="Arial" w:cs="Arial"/>
        </w:rPr>
        <w:t xml:space="preserve"> momelotinib and M21</w:t>
      </w:r>
      <w:r w:rsidR="00B43B73">
        <w:rPr>
          <w:rFonts w:ascii="Arial" w:hAnsi="Arial" w:cs="Arial"/>
        </w:rPr>
        <w:t xml:space="preserve"> </w:t>
      </w:r>
      <w:r w:rsidR="006A0BFB">
        <w:rPr>
          <w:rFonts w:ascii="Arial" w:hAnsi="Arial" w:cs="Arial"/>
        </w:rPr>
        <w:t>[</w:t>
      </w:r>
      <w:r w:rsidR="00E13588">
        <w:rPr>
          <w:rFonts w:ascii="Arial" w:hAnsi="Arial" w:cs="Arial"/>
        </w:rPr>
        <w:t>a major active human metabolite</w:t>
      </w:r>
      <w:r w:rsidR="005E75C8">
        <w:rPr>
          <w:rFonts w:ascii="Arial" w:hAnsi="Arial" w:cs="Arial"/>
        </w:rPr>
        <w:t>, minimally produced in mice</w:t>
      </w:r>
      <w:r w:rsidR="006A0BFB">
        <w:rPr>
          <w:rFonts w:ascii="Arial" w:hAnsi="Arial" w:cs="Arial"/>
        </w:rPr>
        <w:t>]</w:t>
      </w:r>
      <w:r w:rsidR="00E13588">
        <w:rPr>
          <w:rFonts w:ascii="Arial" w:hAnsi="Arial" w:cs="Arial"/>
        </w:rPr>
        <w:t xml:space="preserve"> AUC</w:t>
      </w:r>
      <w:r w:rsidR="00CE7B2C">
        <w:rPr>
          <w:rFonts w:ascii="Arial" w:hAnsi="Arial" w:cs="Arial"/>
        </w:rPr>
        <w:t xml:space="preserve"> </w:t>
      </w:r>
      <w:r w:rsidR="00E13588">
        <w:rPr>
          <w:rFonts w:ascii="Arial" w:hAnsi="Arial" w:cs="Arial"/>
        </w:rPr>
        <w:t>12</w:t>
      </w:r>
      <w:r w:rsidR="00B43B73">
        <w:rPr>
          <w:rFonts w:ascii="Arial" w:hAnsi="Arial" w:cs="Arial"/>
        </w:rPr>
        <w:t>-</w:t>
      </w:r>
      <w:r w:rsidR="00BB14C2" w:rsidRPr="00BB14C2">
        <w:rPr>
          <w:rFonts w:ascii="Arial" w:hAnsi="Arial" w:cs="Arial"/>
        </w:rPr>
        <w:t xml:space="preserve">times the </w:t>
      </w:r>
      <w:r w:rsidR="00B43B73">
        <w:rPr>
          <w:rFonts w:ascii="Arial" w:hAnsi="Arial" w:cs="Arial"/>
        </w:rPr>
        <w:t>MRHD</w:t>
      </w:r>
      <w:r w:rsidR="006A0BFB">
        <w:rPr>
          <w:rFonts w:ascii="Arial" w:hAnsi="Arial" w:cs="Arial"/>
        </w:rPr>
        <w:t>)</w:t>
      </w:r>
      <w:r w:rsidR="00BB14C2" w:rsidRPr="00BB14C2">
        <w:rPr>
          <w:rFonts w:ascii="Arial" w:hAnsi="Arial" w:cs="Arial"/>
        </w:rPr>
        <w:t>.</w:t>
      </w:r>
    </w:p>
    <w:p w14:paraId="002E0765" w14:textId="06C77780" w:rsidR="007B2B70" w:rsidRPr="00BB14C2" w:rsidRDefault="007B2B70" w:rsidP="00BB14C2">
      <w:pPr>
        <w:pStyle w:val="BodyText"/>
        <w:rPr>
          <w:rFonts w:ascii="Arial" w:hAnsi="Arial" w:cs="Arial"/>
        </w:rPr>
      </w:pPr>
      <w:r w:rsidRPr="007B2B70">
        <w:rPr>
          <w:rFonts w:ascii="Arial" w:hAnsi="Arial" w:cs="Arial"/>
        </w:rPr>
        <w:t xml:space="preserve">Increased incidence of testicular interstitial (Leydig) cell adenoma was noted in rats at a dose of 15 mg/kg/day (approximately </w:t>
      </w:r>
      <w:r w:rsidR="00CE7B2C">
        <w:rPr>
          <w:rFonts w:ascii="Arial" w:hAnsi="Arial" w:cs="Arial"/>
        </w:rPr>
        <w:t>1</w:t>
      </w:r>
      <w:r w:rsidR="00515304">
        <w:rPr>
          <w:rFonts w:ascii="Arial" w:hAnsi="Arial" w:cs="Arial"/>
        </w:rPr>
        <w:t>5</w:t>
      </w:r>
      <w:r w:rsidRPr="007B2B70">
        <w:rPr>
          <w:rFonts w:ascii="Arial" w:hAnsi="Arial" w:cs="Arial"/>
        </w:rPr>
        <w:t xml:space="preserve">-times the exposure </w:t>
      </w:r>
      <w:r w:rsidR="00A0394B">
        <w:rPr>
          <w:rFonts w:ascii="Arial" w:hAnsi="Arial" w:cs="Arial"/>
        </w:rPr>
        <w:t xml:space="preserve">based on combined momelotinib and M21 </w:t>
      </w:r>
      <w:r w:rsidR="00515304">
        <w:rPr>
          <w:rFonts w:ascii="Arial" w:hAnsi="Arial" w:cs="Arial"/>
        </w:rPr>
        <w:t xml:space="preserve">[minimally produced in rats] </w:t>
      </w:r>
      <w:r w:rsidR="00A0394B">
        <w:rPr>
          <w:rFonts w:ascii="Arial" w:hAnsi="Arial" w:cs="Arial"/>
        </w:rPr>
        <w:t>AUC at the MRHD</w:t>
      </w:r>
      <w:r w:rsidRPr="007B2B70">
        <w:rPr>
          <w:rFonts w:ascii="Arial" w:hAnsi="Arial" w:cs="Arial"/>
        </w:rPr>
        <w:t xml:space="preserve">). The increase </w:t>
      </w:r>
      <w:r w:rsidR="00A52441">
        <w:rPr>
          <w:rFonts w:ascii="Arial" w:hAnsi="Arial" w:cs="Arial"/>
        </w:rPr>
        <w:t xml:space="preserve">in </w:t>
      </w:r>
      <w:r w:rsidRPr="007B2B70">
        <w:rPr>
          <w:rFonts w:ascii="Arial" w:hAnsi="Arial" w:cs="Arial"/>
        </w:rPr>
        <w:t xml:space="preserve">Leydig cell adenomas </w:t>
      </w:r>
      <w:proofErr w:type="gramStart"/>
      <w:r w:rsidRPr="007B2B70">
        <w:rPr>
          <w:rFonts w:ascii="Arial" w:hAnsi="Arial" w:cs="Arial"/>
        </w:rPr>
        <w:t>is considered</w:t>
      </w:r>
      <w:r w:rsidR="00A0394B">
        <w:rPr>
          <w:rFonts w:ascii="Arial" w:hAnsi="Arial" w:cs="Arial"/>
        </w:rPr>
        <w:t xml:space="preserve"> to be</w:t>
      </w:r>
      <w:proofErr w:type="gramEnd"/>
      <w:r w:rsidR="00A0394B">
        <w:rPr>
          <w:rFonts w:ascii="Arial" w:hAnsi="Arial" w:cs="Arial"/>
        </w:rPr>
        <w:t xml:space="preserve"> a species-specific </w:t>
      </w:r>
      <w:r w:rsidR="00EC7772">
        <w:rPr>
          <w:rFonts w:ascii="Arial" w:hAnsi="Arial" w:cs="Arial"/>
        </w:rPr>
        <w:t>effect</w:t>
      </w:r>
      <w:r w:rsidRPr="007B2B70">
        <w:rPr>
          <w:rFonts w:ascii="Arial" w:hAnsi="Arial" w:cs="Arial"/>
        </w:rPr>
        <w:t xml:space="preserve"> secondary to the induction of the prolactin signalling pathway, and, therefore, does not constitute a clinical carcinogenic risk</w:t>
      </w:r>
      <w:r w:rsidR="00D44FAE">
        <w:rPr>
          <w:rFonts w:ascii="Arial" w:hAnsi="Arial" w:cs="Arial"/>
        </w:rPr>
        <w:t>.</w:t>
      </w:r>
    </w:p>
    <w:p w14:paraId="78950E84" w14:textId="5E64FE48" w:rsidR="001A3992" w:rsidRPr="005E53D5" w:rsidRDefault="001A3992" w:rsidP="001A3992">
      <w:pPr>
        <w:pStyle w:val="Heading1"/>
        <w:spacing w:before="0" w:after="120"/>
        <w:rPr>
          <w:rFonts w:ascii="Arial" w:hAnsi="Arial" w:cs="Arial"/>
          <w:lang w:val="en-US"/>
        </w:rPr>
      </w:pPr>
      <w:r w:rsidRPr="005E53D5">
        <w:rPr>
          <w:rFonts w:ascii="Arial" w:hAnsi="Arial" w:cs="Arial"/>
          <w:lang w:val="en-US"/>
        </w:rPr>
        <w:t>Pharmaceutical particulars</w:t>
      </w:r>
      <w:r w:rsidR="00CE6790" w:rsidRPr="005E53D5">
        <w:rPr>
          <w:rFonts w:ascii="Arial" w:hAnsi="Arial" w:cs="Arial"/>
          <w:lang w:val="en-US"/>
        </w:rPr>
        <w:fldChar w:fldCharType="begin"/>
      </w:r>
      <w:r w:rsidR="00CE6790" w:rsidRPr="005E53D5">
        <w:rPr>
          <w:rFonts w:ascii="Arial" w:hAnsi="Arial" w:cs="Arial"/>
          <w:lang w:val="en-US"/>
        </w:rPr>
        <w:instrText xml:space="preserve"> DOCVARIABLE VAULT_ND_f3938570-829b-45c7-9760-d262ae49ad91 \* MERGEFORMAT </w:instrText>
      </w:r>
      <w:r w:rsidR="00CE6790" w:rsidRPr="005E53D5">
        <w:rPr>
          <w:rFonts w:ascii="Arial" w:hAnsi="Arial" w:cs="Arial"/>
          <w:lang w:val="en-US"/>
        </w:rPr>
        <w:fldChar w:fldCharType="separate"/>
      </w:r>
      <w:r w:rsidR="00CE6790" w:rsidRPr="005E53D5">
        <w:rPr>
          <w:rFonts w:ascii="Arial" w:hAnsi="Arial" w:cs="Arial"/>
          <w:lang w:val="en-US"/>
        </w:rPr>
        <w:t xml:space="preserve"> </w:t>
      </w:r>
      <w:r w:rsidR="00CE6790" w:rsidRPr="005E53D5">
        <w:rPr>
          <w:rFonts w:ascii="Arial" w:hAnsi="Arial" w:cs="Arial"/>
          <w:lang w:val="en-US"/>
        </w:rPr>
        <w:fldChar w:fldCharType="end"/>
      </w:r>
    </w:p>
    <w:p w14:paraId="095AC55C" w14:textId="43ADEE84"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LIST OF EXCIPIENTS </w:t>
      </w:r>
      <w:r w:rsidR="00CE6790">
        <w:rPr>
          <w:rFonts w:ascii="Arial" w:hAnsi="Arial" w:cs="Arial"/>
          <w:smallCaps w:val="0"/>
        </w:rPr>
        <w:fldChar w:fldCharType="begin"/>
      </w:r>
      <w:r w:rsidR="00CE6790">
        <w:rPr>
          <w:rFonts w:ascii="Arial" w:hAnsi="Arial" w:cs="Arial"/>
          <w:smallCaps w:val="0"/>
        </w:rPr>
        <w:instrText xml:space="preserve"> DOCVARIABLE VAULT_ND_ba578502-70e3-47eb-abc7-3d9ae563b647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1A60C5FA" w14:textId="5D196287" w:rsidR="0091147C" w:rsidRPr="005532D3" w:rsidRDefault="0091147C" w:rsidP="0091147C">
      <w:pPr>
        <w:widowControl w:val="0"/>
        <w:autoSpaceDE w:val="0"/>
        <w:autoSpaceDN w:val="0"/>
        <w:spacing w:after="0"/>
        <w:rPr>
          <w:rFonts w:ascii="Arial" w:eastAsia="Times New Roman" w:hAnsi="Arial" w:cs="Arial"/>
          <w:spacing w:val="-4"/>
          <w:sz w:val="24"/>
          <w:szCs w:val="24"/>
          <w:lang w:val="en-GB"/>
        </w:rPr>
      </w:pPr>
      <w:r w:rsidRPr="005532D3">
        <w:rPr>
          <w:rFonts w:ascii="Arial" w:eastAsia="Times New Roman" w:hAnsi="Arial" w:cs="Arial"/>
          <w:sz w:val="24"/>
          <w:szCs w:val="24"/>
          <w:lang w:val="en-GB"/>
        </w:rPr>
        <w:t>Microcrystalline</w:t>
      </w:r>
      <w:r w:rsidRPr="005532D3">
        <w:rPr>
          <w:rFonts w:ascii="Arial" w:eastAsia="Times New Roman" w:hAnsi="Arial" w:cs="Arial"/>
          <w:spacing w:val="-5"/>
          <w:sz w:val="24"/>
          <w:szCs w:val="24"/>
          <w:lang w:val="en-GB"/>
        </w:rPr>
        <w:t xml:space="preserve"> </w:t>
      </w:r>
      <w:r w:rsidRPr="005532D3">
        <w:rPr>
          <w:rFonts w:ascii="Arial" w:eastAsia="Times New Roman" w:hAnsi="Arial" w:cs="Arial"/>
          <w:sz w:val="24"/>
          <w:szCs w:val="24"/>
          <w:lang w:val="en-GB"/>
        </w:rPr>
        <w:t>cellulose</w:t>
      </w:r>
    </w:p>
    <w:p w14:paraId="0D97B754" w14:textId="77777777" w:rsidR="0091147C" w:rsidRPr="005532D3" w:rsidRDefault="0091147C" w:rsidP="0091147C">
      <w:pPr>
        <w:widowControl w:val="0"/>
        <w:autoSpaceDE w:val="0"/>
        <w:autoSpaceDN w:val="0"/>
        <w:spacing w:after="0"/>
        <w:rPr>
          <w:rFonts w:ascii="Arial" w:eastAsia="Times New Roman" w:hAnsi="Arial" w:cs="Arial"/>
          <w:spacing w:val="-4"/>
          <w:sz w:val="24"/>
          <w:szCs w:val="24"/>
          <w:lang w:val="en-GB"/>
        </w:rPr>
      </w:pPr>
      <w:r w:rsidRPr="005532D3">
        <w:rPr>
          <w:rFonts w:ascii="Arial" w:eastAsia="Times New Roman" w:hAnsi="Arial" w:cs="Arial"/>
          <w:sz w:val="24"/>
          <w:szCs w:val="24"/>
          <w:lang w:val="en-GB"/>
        </w:rPr>
        <w:t>Lactose</w:t>
      </w:r>
      <w:r w:rsidRPr="005532D3">
        <w:rPr>
          <w:rFonts w:ascii="Arial" w:eastAsia="Times New Roman" w:hAnsi="Arial" w:cs="Arial"/>
          <w:spacing w:val="-5"/>
          <w:sz w:val="24"/>
          <w:szCs w:val="24"/>
          <w:lang w:val="en-GB"/>
        </w:rPr>
        <w:t xml:space="preserve"> </w:t>
      </w:r>
      <w:r w:rsidRPr="005532D3">
        <w:rPr>
          <w:rFonts w:ascii="Arial" w:eastAsia="Times New Roman" w:hAnsi="Arial" w:cs="Arial"/>
          <w:sz w:val="24"/>
          <w:szCs w:val="24"/>
          <w:lang w:val="en-GB"/>
        </w:rPr>
        <w:t>monohydrate</w:t>
      </w:r>
    </w:p>
    <w:p w14:paraId="1060CB24" w14:textId="77777777" w:rsidR="0091147C" w:rsidRPr="00083438" w:rsidRDefault="0091147C" w:rsidP="0091147C">
      <w:pPr>
        <w:widowControl w:val="0"/>
        <w:autoSpaceDE w:val="0"/>
        <w:autoSpaceDN w:val="0"/>
        <w:spacing w:after="0"/>
        <w:rPr>
          <w:rFonts w:ascii="Arial" w:eastAsia="Times New Roman" w:hAnsi="Arial" w:cs="Arial"/>
          <w:spacing w:val="-4"/>
          <w:sz w:val="24"/>
          <w:szCs w:val="24"/>
        </w:rPr>
      </w:pPr>
      <w:r w:rsidRPr="00083438">
        <w:rPr>
          <w:rFonts w:ascii="Arial" w:eastAsia="Times New Roman" w:hAnsi="Arial" w:cs="Arial"/>
          <w:sz w:val="24"/>
          <w:szCs w:val="24"/>
        </w:rPr>
        <w:t>Sodium</w:t>
      </w:r>
      <w:r w:rsidRPr="00083438">
        <w:rPr>
          <w:rFonts w:ascii="Arial" w:eastAsia="Times New Roman" w:hAnsi="Arial" w:cs="Arial"/>
          <w:spacing w:val="-5"/>
          <w:sz w:val="24"/>
          <w:szCs w:val="24"/>
        </w:rPr>
        <w:t xml:space="preserve"> </w:t>
      </w:r>
      <w:r w:rsidRPr="00083438">
        <w:rPr>
          <w:rFonts w:ascii="Arial" w:eastAsia="Times New Roman" w:hAnsi="Arial" w:cs="Arial"/>
          <w:sz w:val="24"/>
          <w:szCs w:val="24"/>
        </w:rPr>
        <w:t>starch</w:t>
      </w:r>
      <w:r w:rsidRPr="00083438">
        <w:rPr>
          <w:rFonts w:ascii="Arial" w:eastAsia="Times New Roman" w:hAnsi="Arial" w:cs="Arial"/>
          <w:spacing w:val="-4"/>
          <w:sz w:val="24"/>
          <w:szCs w:val="24"/>
        </w:rPr>
        <w:t xml:space="preserve"> </w:t>
      </w:r>
      <w:r w:rsidRPr="00083438">
        <w:rPr>
          <w:rFonts w:ascii="Arial" w:eastAsia="Times New Roman" w:hAnsi="Arial" w:cs="Arial"/>
          <w:sz w:val="24"/>
          <w:szCs w:val="24"/>
        </w:rPr>
        <w:t>glycolate (type A)</w:t>
      </w:r>
    </w:p>
    <w:p w14:paraId="6C5DCB57" w14:textId="77777777" w:rsidR="0091147C" w:rsidRPr="005532D3" w:rsidRDefault="0091147C" w:rsidP="0091147C">
      <w:pPr>
        <w:widowControl w:val="0"/>
        <w:autoSpaceDE w:val="0"/>
        <w:autoSpaceDN w:val="0"/>
        <w:spacing w:after="0"/>
        <w:rPr>
          <w:rFonts w:ascii="Arial" w:eastAsia="Times New Roman" w:hAnsi="Arial" w:cs="Arial"/>
          <w:sz w:val="24"/>
          <w:szCs w:val="24"/>
          <w:lang w:val="en-GB"/>
        </w:rPr>
      </w:pPr>
      <w:r w:rsidRPr="005532D3">
        <w:rPr>
          <w:rFonts w:ascii="Arial" w:eastAsia="Times New Roman" w:hAnsi="Arial" w:cs="Arial"/>
          <w:sz w:val="24"/>
          <w:szCs w:val="24"/>
          <w:lang w:val="en-GB"/>
        </w:rPr>
        <w:t>Magnesium stearate</w:t>
      </w:r>
    </w:p>
    <w:p w14:paraId="2E6B753E" w14:textId="77777777" w:rsidR="00EF5E96" w:rsidRDefault="00B152DD" w:rsidP="0091147C">
      <w:pPr>
        <w:tabs>
          <w:tab w:val="left" w:pos="567"/>
        </w:tabs>
        <w:spacing w:after="0"/>
        <w:rPr>
          <w:rFonts w:ascii="Arial" w:eastAsia="Times New Roman" w:hAnsi="Arial" w:cs="Arial"/>
          <w:sz w:val="24"/>
          <w:szCs w:val="24"/>
        </w:rPr>
      </w:pPr>
      <w:r>
        <w:rPr>
          <w:rFonts w:ascii="Arial" w:eastAsia="Times New Roman" w:hAnsi="Arial" w:cs="Arial"/>
          <w:sz w:val="24"/>
          <w:szCs w:val="24"/>
        </w:rPr>
        <w:t>C</w:t>
      </w:r>
      <w:r w:rsidRPr="00B152DD">
        <w:rPr>
          <w:rFonts w:ascii="Arial" w:eastAsia="Times New Roman" w:hAnsi="Arial" w:cs="Arial"/>
          <w:sz w:val="24"/>
          <w:szCs w:val="24"/>
        </w:rPr>
        <w:t>olloidal anhydrous silica</w:t>
      </w:r>
    </w:p>
    <w:p w14:paraId="15C33544" w14:textId="61AC6A00" w:rsidR="0091147C" w:rsidRPr="005532D3" w:rsidRDefault="0091147C" w:rsidP="0091147C">
      <w:pPr>
        <w:tabs>
          <w:tab w:val="left" w:pos="567"/>
        </w:tabs>
        <w:spacing w:after="0"/>
        <w:rPr>
          <w:rFonts w:ascii="Arial" w:eastAsia="Times New Roman" w:hAnsi="Arial" w:cs="Arial"/>
          <w:sz w:val="24"/>
          <w:lang w:val="en-GB"/>
        </w:rPr>
      </w:pPr>
      <w:r w:rsidRPr="005532D3">
        <w:rPr>
          <w:rFonts w:ascii="Arial" w:eastAsia="Times New Roman" w:hAnsi="Arial" w:cs="Arial"/>
          <w:sz w:val="24"/>
          <w:lang w:val="en-GB"/>
        </w:rPr>
        <w:t>Propyl gallate</w:t>
      </w:r>
    </w:p>
    <w:p w14:paraId="690D6589" w14:textId="77777777" w:rsidR="0091147C" w:rsidRPr="005532D3" w:rsidRDefault="0091147C" w:rsidP="0091147C">
      <w:pPr>
        <w:shd w:val="clear" w:color="auto" w:fill="FFFFFF"/>
        <w:tabs>
          <w:tab w:val="left" w:pos="567"/>
        </w:tabs>
        <w:spacing w:after="0"/>
        <w:rPr>
          <w:rFonts w:ascii="Arial" w:eastAsia="Times New Roman" w:hAnsi="Arial" w:cs="Arial"/>
          <w:sz w:val="24"/>
          <w:szCs w:val="24"/>
          <w:lang w:val="en-GB" w:eastAsia="en-GB" w:bidi="en-GB"/>
        </w:rPr>
      </w:pPr>
      <w:r w:rsidRPr="00083438">
        <w:rPr>
          <w:rFonts w:ascii="Arial" w:eastAsia="Times New Roman" w:hAnsi="Arial" w:cs="Arial"/>
          <w:sz w:val="24"/>
        </w:rPr>
        <w:t>Polyvinyl alcohol</w:t>
      </w:r>
    </w:p>
    <w:p w14:paraId="41FD18AE" w14:textId="4CF2F1B1" w:rsidR="0091147C" w:rsidRPr="005532D3" w:rsidRDefault="0091147C" w:rsidP="0091147C">
      <w:pPr>
        <w:shd w:val="clear" w:color="auto" w:fill="FFFFFF"/>
        <w:tabs>
          <w:tab w:val="left" w:pos="567"/>
        </w:tabs>
        <w:spacing w:after="0"/>
        <w:rPr>
          <w:rFonts w:ascii="Arial" w:eastAsia="Times New Roman" w:hAnsi="Arial" w:cs="Arial"/>
          <w:sz w:val="24"/>
          <w:lang w:val="en-GB"/>
        </w:rPr>
      </w:pPr>
      <w:r w:rsidRPr="00083438">
        <w:rPr>
          <w:rFonts w:ascii="Arial" w:eastAsia="Times New Roman" w:hAnsi="Arial" w:cs="Arial"/>
          <w:sz w:val="24"/>
        </w:rPr>
        <w:t>Macrogol</w:t>
      </w:r>
      <w:r w:rsidR="00B152DD">
        <w:rPr>
          <w:rFonts w:ascii="Arial" w:eastAsia="Times New Roman" w:hAnsi="Arial" w:cs="Arial"/>
          <w:sz w:val="24"/>
        </w:rPr>
        <w:t xml:space="preserve"> 3350</w:t>
      </w:r>
    </w:p>
    <w:p w14:paraId="25A891DF" w14:textId="1F2EF708" w:rsidR="0091147C" w:rsidRPr="005532D3" w:rsidRDefault="0091147C" w:rsidP="0091147C">
      <w:pPr>
        <w:shd w:val="clear" w:color="auto" w:fill="FFFFFF"/>
        <w:tabs>
          <w:tab w:val="left" w:pos="567"/>
        </w:tabs>
        <w:spacing w:after="0"/>
        <w:rPr>
          <w:rFonts w:ascii="Arial" w:eastAsia="Times New Roman" w:hAnsi="Arial" w:cs="Arial"/>
          <w:sz w:val="24"/>
          <w:lang w:val="en-GB"/>
        </w:rPr>
      </w:pPr>
      <w:r w:rsidRPr="00083438">
        <w:rPr>
          <w:rFonts w:ascii="Arial" w:eastAsia="Times New Roman" w:hAnsi="Arial" w:cs="Arial"/>
          <w:sz w:val="24"/>
        </w:rPr>
        <w:t xml:space="preserve">Titanium dioxide </w:t>
      </w:r>
    </w:p>
    <w:p w14:paraId="4EF0D680" w14:textId="67C7BEAD" w:rsidR="0091147C" w:rsidRPr="005532D3" w:rsidRDefault="00C71DEF" w:rsidP="0091147C">
      <w:pPr>
        <w:shd w:val="clear" w:color="auto" w:fill="FFFFFF"/>
        <w:tabs>
          <w:tab w:val="left" w:pos="567"/>
        </w:tabs>
        <w:spacing w:after="0"/>
        <w:rPr>
          <w:rFonts w:ascii="Arial" w:eastAsia="Times New Roman" w:hAnsi="Arial" w:cs="Arial"/>
          <w:sz w:val="24"/>
          <w:lang w:val="en-GB"/>
        </w:rPr>
      </w:pPr>
      <w:r>
        <w:rPr>
          <w:rFonts w:ascii="Arial" w:eastAsia="Times New Roman" w:hAnsi="Arial" w:cs="Arial"/>
          <w:sz w:val="24"/>
        </w:rPr>
        <w:t>Purified t</w:t>
      </w:r>
      <w:r w:rsidR="0091147C" w:rsidRPr="00083438">
        <w:rPr>
          <w:rFonts w:ascii="Arial" w:eastAsia="Times New Roman" w:hAnsi="Arial" w:cs="Arial"/>
          <w:sz w:val="24"/>
        </w:rPr>
        <w:t>alc</w:t>
      </w:r>
    </w:p>
    <w:p w14:paraId="0861D913" w14:textId="74EAEBB4" w:rsidR="0091147C" w:rsidRPr="005532D3" w:rsidRDefault="0091147C" w:rsidP="0091147C">
      <w:pPr>
        <w:shd w:val="clear" w:color="auto" w:fill="FFFFFF"/>
        <w:tabs>
          <w:tab w:val="left" w:pos="567"/>
        </w:tabs>
        <w:spacing w:after="0"/>
        <w:rPr>
          <w:rFonts w:ascii="Arial" w:eastAsia="Times New Roman" w:hAnsi="Arial" w:cs="Arial"/>
          <w:sz w:val="24"/>
          <w:lang w:val="en-GB"/>
        </w:rPr>
      </w:pPr>
      <w:r w:rsidRPr="00083438">
        <w:rPr>
          <w:rFonts w:ascii="Arial" w:eastAsia="Times New Roman" w:hAnsi="Arial" w:cs="Arial"/>
          <w:sz w:val="24"/>
        </w:rPr>
        <w:t xml:space="preserve">Iron oxide yellow </w:t>
      </w:r>
    </w:p>
    <w:p w14:paraId="46FF6AEF" w14:textId="73615811" w:rsidR="0091147C" w:rsidRPr="005532D3" w:rsidRDefault="0091147C" w:rsidP="0091147C">
      <w:pPr>
        <w:shd w:val="clear" w:color="auto" w:fill="FFFFFF"/>
        <w:tabs>
          <w:tab w:val="left" w:pos="567"/>
        </w:tabs>
        <w:spacing w:after="0"/>
        <w:rPr>
          <w:rFonts w:ascii="Arial" w:eastAsia="Times New Roman" w:hAnsi="Arial" w:cs="Arial"/>
          <w:sz w:val="24"/>
          <w:lang w:val="it-IT"/>
        </w:rPr>
      </w:pPr>
      <w:r w:rsidRPr="005532D3">
        <w:rPr>
          <w:rFonts w:ascii="Arial" w:eastAsia="Times New Roman" w:hAnsi="Arial" w:cs="Arial"/>
          <w:sz w:val="24"/>
          <w:lang w:val="it-IT"/>
        </w:rPr>
        <w:t xml:space="preserve">Iron oxide red </w:t>
      </w:r>
    </w:p>
    <w:p w14:paraId="14580910" w14:textId="77777777" w:rsidR="0091147C" w:rsidRPr="0091147C" w:rsidRDefault="0091147C" w:rsidP="0091147C">
      <w:pPr>
        <w:shd w:val="clear" w:color="auto" w:fill="FFFFFF"/>
        <w:tabs>
          <w:tab w:val="left" w:pos="567"/>
        </w:tabs>
        <w:spacing w:after="0" w:line="260" w:lineRule="exact"/>
        <w:rPr>
          <w:rFonts w:ascii="Arial" w:eastAsia="Times New Roman" w:hAnsi="Arial" w:cs="Arial"/>
          <w:sz w:val="24"/>
          <w:u w:val="single"/>
          <w:lang w:val="en-GB"/>
        </w:rPr>
      </w:pPr>
    </w:p>
    <w:p w14:paraId="36FD9879" w14:textId="1FACD4B8"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INCOMPATIBILITIES</w:t>
      </w:r>
      <w:r w:rsidR="00CE6790">
        <w:rPr>
          <w:rFonts w:ascii="Arial" w:hAnsi="Arial" w:cs="Arial"/>
          <w:smallCaps w:val="0"/>
        </w:rPr>
        <w:fldChar w:fldCharType="begin"/>
      </w:r>
      <w:r w:rsidR="00CE6790">
        <w:rPr>
          <w:rFonts w:ascii="Arial" w:hAnsi="Arial" w:cs="Arial"/>
          <w:smallCaps w:val="0"/>
        </w:rPr>
        <w:instrText xml:space="preserve"> DOCVARIABLE VAULT_ND_11f9fb44-707c-4589-ac15-0511a56c9b3d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59F50DF5" w14:textId="7AAFB2BD" w:rsidR="005B2812" w:rsidRPr="00071855" w:rsidRDefault="005B2812" w:rsidP="005B2812">
      <w:pPr>
        <w:rPr>
          <w:rFonts w:ascii="Arial" w:hAnsi="Arial" w:cs="Arial"/>
          <w:lang w:val="en-US"/>
        </w:rPr>
      </w:pPr>
      <w:r w:rsidRPr="00071855">
        <w:rPr>
          <w:rFonts w:ascii="Arial" w:hAnsi="Arial" w:cs="Arial"/>
          <w:lang w:val="en"/>
        </w:rPr>
        <w:t xml:space="preserve">Incompatibilities were not identified as part of the registration of this medicine. </w:t>
      </w:r>
    </w:p>
    <w:p w14:paraId="292551C9" w14:textId="47AC03A6"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lastRenderedPageBreak/>
        <w:t>SHELF LIFE</w:t>
      </w:r>
      <w:r w:rsidR="00CE6790">
        <w:rPr>
          <w:rFonts w:ascii="Arial" w:hAnsi="Arial" w:cs="Arial"/>
          <w:smallCaps w:val="0"/>
        </w:rPr>
        <w:fldChar w:fldCharType="begin"/>
      </w:r>
      <w:r w:rsidR="00CE6790">
        <w:rPr>
          <w:rFonts w:ascii="Arial" w:hAnsi="Arial" w:cs="Arial"/>
          <w:smallCaps w:val="0"/>
        </w:rPr>
        <w:instrText xml:space="preserve"> DOCVARIABLE VAULT_ND_c833ae70-564a-496d-a5d4-f41130724e69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17BF676F" w14:textId="77777777" w:rsidR="005B2812" w:rsidRPr="00071855" w:rsidRDefault="005B2812" w:rsidP="005B2812">
      <w:pPr>
        <w:rPr>
          <w:rFonts w:ascii="Arial" w:hAnsi="Arial" w:cs="Arial"/>
          <w:lang w:val="en-US"/>
        </w:rPr>
      </w:pPr>
      <w:r w:rsidRPr="00071855">
        <w:rPr>
          <w:rFonts w:ascii="Arial" w:hAnsi="Arial" w:cs="Arial"/>
          <w:lang w:val="en"/>
        </w:rPr>
        <w:t xml:space="preserve">In Australia, information on the shelf life can be found on the public summary of the Australian Register of Therapeutic Goods (ARTG). The expiry date can be found on the packaging. </w:t>
      </w:r>
    </w:p>
    <w:p w14:paraId="24EFD7E1" w14:textId="66D4ECF3"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SPECIAL PRECAUTIONS FOR STORAGE </w:t>
      </w:r>
      <w:r w:rsidR="00CE6790">
        <w:rPr>
          <w:rFonts w:ascii="Arial" w:hAnsi="Arial" w:cs="Arial"/>
          <w:smallCaps w:val="0"/>
        </w:rPr>
        <w:fldChar w:fldCharType="begin"/>
      </w:r>
      <w:r w:rsidR="00CE6790">
        <w:rPr>
          <w:rFonts w:ascii="Arial" w:hAnsi="Arial" w:cs="Arial"/>
          <w:smallCaps w:val="0"/>
        </w:rPr>
        <w:instrText xml:space="preserve"> DOCVARIABLE VAULT_ND_ecc827fa-1dc9-4fa6-bbfb-49c101951eef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7E916C97" w14:textId="787C71CB" w:rsidR="00C576B5" w:rsidRDefault="00C576B5" w:rsidP="00B13828">
      <w:pPr>
        <w:spacing w:after="0"/>
        <w:rPr>
          <w:rFonts w:ascii="Arial" w:hAnsi="Arial" w:cs="Arial"/>
          <w:iCs/>
        </w:rPr>
      </w:pPr>
      <w:r>
        <w:rPr>
          <w:rFonts w:ascii="Arial" w:hAnsi="Arial" w:cs="Arial"/>
          <w:iCs/>
        </w:rPr>
        <w:t xml:space="preserve">Store below </w:t>
      </w:r>
      <w:r w:rsidR="00362C95" w:rsidRPr="00362C95">
        <w:rPr>
          <w:rFonts w:ascii="Arial" w:hAnsi="Arial" w:cs="Arial"/>
          <w:iCs/>
        </w:rPr>
        <w:t>30°C</w:t>
      </w:r>
      <w:r w:rsidR="00362C95">
        <w:rPr>
          <w:rFonts w:ascii="Arial" w:hAnsi="Arial" w:cs="Arial"/>
          <w:iCs/>
        </w:rPr>
        <w:t>.</w:t>
      </w:r>
    </w:p>
    <w:p w14:paraId="132ECAA7" w14:textId="74CD2F03" w:rsidR="00C576B5" w:rsidRPr="00B13828" w:rsidRDefault="00C40B8B" w:rsidP="00071855">
      <w:pPr>
        <w:rPr>
          <w:rFonts w:ascii="Arial" w:hAnsi="Arial" w:cs="Arial"/>
          <w:iCs/>
        </w:rPr>
      </w:pPr>
      <w:r w:rsidRPr="00C40B8B">
        <w:rPr>
          <w:rFonts w:ascii="Arial" w:hAnsi="Arial" w:cs="Arial"/>
          <w:iCs/>
        </w:rPr>
        <w:t>Store in the original bottle to protect from moisture. Do not remove the desiccant.</w:t>
      </w:r>
    </w:p>
    <w:p w14:paraId="5E14AD27" w14:textId="75860B29" w:rsidR="005B2812" w:rsidRPr="00071855" w:rsidRDefault="00071855" w:rsidP="00B13828">
      <w:pPr>
        <w:pStyle w:val="Heading2"/>
        <w:keepNext/>
        <w:keepLines/>
        <w:spacing w:before="0" w:after="120"/>
        <w:ind w:left="578" w:hanging="578"/>
        <w:rPr>
          <w:rFonts w:ascii="Arial" w:hAnsi="Arial" w:cs="Arial"/>
          <w:smallCaps w:val="0"/>
        </w:rPr>
      </w:pPr>
      <w:r w:rsidRPr="00071855">
        <w:rPr>
          <w:rFonts w:ascii="Arial" w:hAnsi="Arial" w:cs="Arial"/>
          <w:smallCaps w:val="0"/>
        </w:rPr>
        <w:t xml:space="preserve">NATURE AND CONTENTS OF CONTAINER </w:t>
      </w:r>
      <w:r w:rsidR="00CE6790">
        <w:rPr>
          <w:rFonts w:ascii="Arial" w:hAnsi="Arial" w:cs="Arial"/>
          <w:smallCaps w:val="0"/>
        </w:rPr>
        <w:fldChar w:fldCharType="begin"/>
      </w:r>
      <w:r w:rsidR="00CE6790">
        <w:rPr>
          <w:rFonts w:ascii="Arial" w:hAnsi="Arial" w:cs="Arial"/>
          <w:smallCaps w:val="0"/>
        </w:rPr>
        <w:instrText xml:space="preserve"> DOCVARIABLE VAULT_ND_32d351d8-6061-43b0-872b-9010890487ae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08E289BB" w14:textId="77777777" w:rsidR="00861D5E" w:rsidRDefault="00861D5E" w:rsidP="00B13828">
      <w:pPr>
        <w:keepNext/>
        <w:keepLines/>
        <w:jc w:val="both"/>
        <w:rPr>
          <w:rFonts w:ascii="Arial" w:hAnsi="Arial" w:cs="Arial"/>
        </w:rPr>
      </w:pPr>
      <w:r w:rsidRPr="00861D5E">
        <w:rPr>
          <w:rFonts w:ascii="Arial" w:hAnsi="Arial" w:cs="Arial"/>
        </w:rPr>
        <w:t>White, high-density polyethylene (HDPE) bottles with child-resistant polypropylene cap and induction-sealed, aluminium faced liner. Each bottle contains 30 film-coated tablets, silica gel desiccant, and polyester coil packing material.</w:t>
      </w:r>
    </w:p>
    <w:p w14:paraId="70464EB6" w14:textId="1B1A126F" w:rsidR="00071855" w:rsidRPr="006E595D" w:rsidRDefault="006E595D" w:rsidP="006E595D">
      <w:pPr>
        <w:jc w:val="both"/>
        <w:rPr>
          <w:rFonts w:ascii="Arial" w:hAnsi="Arial" w:cs="Arial"/>
          <w:color w:val="0000FF"/>
        </w:rPr>
      </w:pPr>
      <w:r w:rsidRPr="00E8070F">
        <w:rPr>
          <w:rFonts w:ascii="Arial" w:hAnsi="Arial" w:cs="Arial"/>
        </w:rPr>
        <w:t xml:space="preserve">Not all </w:t>
      </w:r>
      <w:r>
        <w:rPr>
          <w:rFonts w:ascii="Arial" w:hAnsi="Arial" w:cs="Arial"/>
        </w:rPr>
        <w:t>strengths, dose forms, pack sizes, container types</w:t>
      </w:r>
      <w:r w:rsidRPr="00E8070F">
        <w:rPr>
          <w:rFonts w:ascii="Arial" w:hAnsi="Arial" w:cs="Arial"/>
        </w:rPr>
        <w:t xml:space="preserve"> may</w:t>
      </w:r>
      <w:r>
        <w:rPr>
          <w:rFonts w:ascii="Arial" w:hAnsi="Arial" w:cs="Arial"/>
        </w:rPr>
        <w:t xml:space="preserve"> </w:t>
      </w:r>
      <w:r w:rsidRPr="00E8070F">
        <w:rPr>
          <w:rFonts w:ascii="Arial" w:hAnsi="Arial" w:cs="Arial"/>
        </w:rPr>
        <w:t xml:space="preserve">be </w:t>
      </w:r>
      <w:r>
        <w:rPr>
          <w:rFonts w:ascii="Arial" w:hAnsi="Arial" w:cs="Arial"/>
        </w:rPr>
        <w:t>distributed in Australia.</w:t>
      </w:r>
    </w:p>
    <w:p w14:paraId="2F5B9BFD" w14:textId="0C11BFDC" w:rsidR="006E595D" w:rsidRPr="00861D5E" w:rsidRDefault="00071855" w:rsidP="006E595D">
      <w:pPr>
        <w:pStyle w:val="Heading2"/>
        <w:spacing w:before="0" w:after="120"/>
        <w:ind w:left="578" w:hanging="578"/>
        <w:rPr>
          <w:rFonts w:ascii="Arial" w:hAnsi="Arial" w:cs="Arial"/>
          <w:smallCaps w:val="0"/>
        </w:rPr>
      </w:pPr>
      <w:r w:rsidRPr="00071855">
        <w:rPr>
          <w:rFonts w:ascii="Arial" w:hAnsi="Arial" w:cs="Arial"/>
          <w:smallCaps w:val="0"/>
        </w:rPr>
        <w:t>SPECIAL PRECAUTIONS FOR DISPOSAL</w:t>
      </w:r>
      <w:r w:rsidR="00CE6790">
        <w:rPr>
          <w:rFonts w:ascii="Arial" w:hAnsi="Arial" w:cs="Arial"/>
          <w:smallCaps w:val="0"/>
        </w:rPr>
        <w:fldChar w:fldCharType="begin"/>
      </w:r>
      <w:r w:rsidR="00CE6790">
        <w:rPr>
          <w:rFonts w:ascii="Arial" w:hAnsi="Arial" w:cs="Arial"/>
          <w:smallCaps w:val="0"/>
        </w:rPr>
        <w:instrText xml:space="preserve"> DOCVARIABLE VAULT_ND_eceb9c8f-7e19-46de-a1ab-8ceedc052417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687C0D47" w14:textId="2392DFD0" w:rsidR="005B2812" w:rsidRPr="00071855" w:rsidRDefault="005B2812" w:rsidP="005B2812">
      <w:pPr>
        <w:rPr>
          <w:rFonts w:ascii="Arial" w:hAnsi="Arial" w:cs="Arial"/>
          <w:lang w:val="en-US"/>
        </w:rPr>
      </w:pPr>
      <w:r w:rsidRPr="00071855">
        <w:rPr>
          <w:rFonts w:ascii="Arial" w:hAnsi="Arial" w:cs="Arial"/>
          <w:lang w:val="en"/>
        </w:rPr>
        <w:t xml:space="preserve">In Australia, any unused medicine or waste material should be disposed of by taking to your local pharmacy. </w:t>
      </w:r>
    </w:p>
    <w:p w14:paraId="7A164ADC" w14:textId="06F47702"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PHYSICOCHEMICAL PROPERTIES</w:t>
      </w:r>
      <w:r w:rsidR="00CE6790">
        <w:rPr>
          <w:rFonts w:ascii="Arial" w:hAnsi="Arial" w:cs="Arial"/>
          <w:smallCaps w:val="0"/>
        </w:rPr>
        <w:fldChar w:fldCharType="begin"/>
      </w:r>
      <w:r w:rsidR="00CE6790">
        <w:rPr>
          <w:rFonts w:ascii="Arial" w:hAnsi="Arial" w:cs="Arial"/>
          <w:smallCaps w:val="0"/>
        </w:rPr>
        <w:instrText xml:space="preserve"> DOCVARIABLE VAULT_ND_8936269c-5f88-4fad-84ce-98c993bc2489 \* MERGEFORMAT </w:instrText>
      </w:r>
      <w:r w:rsidR="00CE6790">
        <w:rPr>
          <w:rFonts w:ascii="Arial" w:hAnsi="Arial" w:cs="Arial"/>
          <w:smallCaps w:val="0"/>
        </w:rPr>
        <w:fldChar w:fldCharType="separate"/>
      </w:r>
      <w:r w:rsidR="00CE6790">
        <w:rPr>
          <w:rFonts w:ascii="Arial" w:hAnsi="Arial" w:cs="Arial"/>
          <w:smallCaps w:val="0"/>
        </w:rPr>
        <w:t xml:space="preserve"> </w:t>
      </w:r>
      <w:r w:rsidR="00CE6790">
        <w:rPr>
          <w:rFonts w:ascii="Arial" w:hAnsi="Arial" w:cs="Arial"/>
          <w:smallCaps w:val="0"/>
        </w:rPr>
        <w:fldChar w:fldCharType="end"/>
      </w:r>
    </w:p>
    <w:p w14:paraId="250CBB75" w14:textId="35F49F03" w:rsidR="005476F5" w:rsidRPr="00CE049C" w:rsidRDefault="00CE049C" w:rsidP="00CE049C">
      <w:pPr>
        <w:rPr>
          <w:rFonts w:ascii="Arial" w:hAnsi="Arial" w:cs="Arial"/>
          <w:lang w:val="en-US"/>
        </w:rPr>
      </w:pPr>
      <w:r w:rsidRPr="00CE049C">
        <w:rPr>
          <w:rFonts w:ascii="Arial" w:hAnsi="Arial" w:cs="Arial"/>
          <w:lang w:val="en-US"/>
        </w:rPr>
        <w:t>M</w:t>
      </w:r>
      <w:r w:rsidR="003603E2" w:rsidRPr="00CE049C">
        <w:rPr>
          <w:rFonts w:ascii="Arial" w:hAnsi="Arial" w:cs="Arial"/>
          <w:lang w:val="en-US"/>
        </w:rPr>
        <w:t>omelotinib dihydrochloride monohydrate</w:t>
      </w:r>
      <w:r w:rsidR="003603E2" w:rsidRPr="00B13828">
        <w:rPr>
          <w:rFonts w:ascii="Arial" w:hAnsi="Arial" w:cs="Arial"/>
          <w:lang w:val="en-US"/>
        </w:rPr>
        <w:t xml:space="preserve"> is a light yellow to brown to reddish-brown solid, very slightly soluble to practically insoluble in water across the physiological pH range. The IUPAC chemical name is N-</w:t>
      </w:r>
      <w:r w:rsidR="000C3D84" w:rsidRPr="00B13828">
        <w:rPr>
          <w:rFonts w:ascii="Arial" w:hAnsi="Arial" w:cs="Arial"/>
          <w:lang w:val="en-US"/>
        </w:rPr>
        <w:t>(cyanomethyl)-4-(2-{</w:t>
      </w:r>
      <w:r w:rsidR="00097812" w:rsidRPr="00B13828">
        <w:rPr>
          <w:rFonts w:ascii="Arial" w:hAnsi="Arial" w:cs="Arial"/>
          <w:lang w:val="en-US"/>
        </w:rPr>
        <w:t>[4-(morpholin-4-</w:t>
      </w:r>
      <w:proofErr w:type="gramStart"/>
      <w:r w:rsidR="00097812" w:rsidRPr="00B13828">
        <w:rPr>
          <w:rFonts w:ascii="Arial" w:hAnsi="Arial" w:cs="Arial"/>
          <w:lang w:val="en-US"/>
        </w:rPr>
        <w:t>yl)phenyl</w:t>
      </w:r>
      <w:proofErr w:type="gramEnd"/>
      <w:r w:rsidR="00097812" w:rsidRPr="00B13828">
        <w:rPr>
          <w:rFonts w:ascii="Arial" w:hAnsi="Arial" w:cs="Arial"/>
          <w:lang w:val="en-US"/>
        </w:rPr>
        <w:t>]amino}</w:t>
      </w:r>
      <w:r w:rsidR="005476F5" w:rsidRPr="00B13828">
        <w:rPr>
          <w:rFonts w:ascii="Arial" w:hAnsi="Arial" w:cs="Arial"/>
          <w:lang w:val="en-US"/>
        </w:rPr>
        <w:t>pyrimidin-4-yl)benzamide dihydrochloride hydrate.</w:t>
      </w:r>
    </w:p>
    <w:p w14:paraId="2DCDA013" w14:textId="7B4144BC" w:rsidR="005476F5" w:rsidRPr="005476F5" w:rsidRDefault="005476F5" w:rsidP="00B13828">
      <w:pPr>
        <w:pStyle w:val="Heading3"/>
        <w:spacing w:after="120"/>
        <w:rPr>
          <w:rFonts w:ascii="Arial" w:hAnsi="Arial" w:cs="Arial"/>
          <w:lang w:val="en-US"/>
        </w:rPr>
      </w:pPr>
      <w:r>
        <w:rPr>
          <w:rFonts w:ascii="Arial" w:hAnsi="Arial" w:cs="Arial"/>
          <w:lang w:val="en-US"/>
        </w:rPr>
        <w:t>Molecular Formula</w:t>
      </w:r>
      <w:r w:rsidR="00B67FB3">
        <w:rPr>
          <w:rFonts w:ascii="Arial" w:hAnsi="Arial" w:cs="Arial"/>
          <w:lang w:val="en-US"/>
        </w:rPr>
        <w:fldChar w:fldCharType="begin"/>
      </w:r>
      <w:r w:rsidR="00B67FB3" w:rsidRPr="00B13828">
        <w:rPr>
          <w:rFonts w:ascii="Arial" w:hAnsi="Arial" w:cs="Arial"/>
          <w:lang w:val="it-IT"/>
        </w:rPr>
        <w:instrText xml:space="preserve"> DOCVARIABLE vault_nd_7deceb23-f599-465b-94b8-db747f32fdef \* MERGEFORMAT </w:instrText>
      </w:r>
      <w:r w:rsidR="00B67FB3">
        <w:rPr>
          <w:rFonts w:ascii="Arial" w:hAnsi="Arial" w:cs="Arial"/>
          <w:lang w:val="en-US"/>
        </w:rPr>
        <w:fldChar w:fldCharType="separate"/>
      </w:r>
      <w:r w:rsidR="00B67FB3">
        <w:rPr>
          <w:rFonts w:ascii="Arial" w:hAnsi="Arial" w:cs="Arial"/>
          <w:lang w:val="en-US"/>
        </w:rPr>
        <w:t xml:space="preserve"> </w:t>
      </w:r>
      <w:r w:rsidR="00B67FB3">
        <w:rPr>
          <w:rFonts w:ascii="Arial" w:hAnsi="Arial" w:cs="Arial"/>
          <w:lang w:val="en-US"/>
        </w:rPr>
        <w:fldChar w:fldCharType="end"/>
      </w:r>
    </w:p>
    <w:p w14:paraId="4681E33C" w14:textId="77777777" w:rsidR="004815EC" w:rsidRPr="004815EC" w:rsidRDefault="004815EC" w:rsidP="00B13828">
      <w:pPr>
        <w:spacing w:after="0"/>
        <w:rPr>
          <w:rFonts w:ascii="Arial" w:hAnsi="Arial" w:cs="Arial"/>
          <w:lang w:val="en-US"/>
        </w:rPr>
      </w:pPr>
      <w:r w:rsidRPr="004815EC">
        <w:rPr>
          <w:rFonts w:ascii="Arial" w:hAnsi="Arial" w:cs="Arial"/>
          <w:lang w:val="en-US"/>
        </w:rPr>
        <w:t>C</w:t>
      </w:r>
      <w:r w:rsidRPr="001522A5">
        <w:rPr>
          <w:rFonts w:ascii="Arial" w:hAnsi="Arial" w:cs="Arial"/>
          <w:vertAlign w:val="subscript"/>
          <w:lang w:val="en-US"/>
        </w:rPr>
        <w:t>23</w:t>
      </w:r>
      <w:r w:rsidRPr="004815EC">
        <w:rPr>
          <w:rFonts w:ascii="Arial" w:hAnsi="Arial" w:cs="Arial"/>
          <w:lang w:val="en-US"/>
        </w:rPr>
        <w:t>H</w:t>
      </w:r>
      <w:r w:rsidRPr="001522A5">
        <w:rPr>
          <w:rFonts w:ascii="Arial" w:hAnsi="Arial" w:cs="Arial"/>
          <w:vertAlign w:val="subscript"/>
          <w:lang w:val="en-US"/>
        </w:rPr>
        <w:t>22</w:t>
      </w:r>
      <w:r w:rsidRPr="004815EC">
        <w:rPr>
          <w:rFonts w:ascii="Arial" w:hAnsi="Arial" w:cs="Arial"/>
          <w:lang w:val="en-US"/>
        </w:rPr>
        <w:t>N</w:t>
      </w:r>
      <w:r w:rsidRPr="001522A5">
        <w:rPr>
          <w:rFonts w:ascii="Arial" w:hAnsi="Arial" w:cs="Arial"/>
          <w:vertAlign w:val="subscript"/>
          <w:lang w:val="en-US"/>
        </w:rPr>
        <w:t>6</w:t>
      </w:r>
      <w:r w:rsidRPr="004815EC">
        <w:rPr>
          <w:rFonts w:ascii="Arial" w:hAnsi="Arial" w:cs="Arial"/>
          <w:lang w:val="en-US"/>
        </w:rPr>
        <w:t>O</w:t>
      </w:r>
      <w:r w:rsidRPr="001522A5">
        <w:rPr>
          <w:rFonts w:ascii="Arial" w:hAnsi="Arial" w:cs="Arial"/>
          <w:vertAlign w:val="subscript"/>
          <w:lang w:val="en-US"/>
        </w:rPr>
        <w:t>2</w:t>
      </w:r>
      <w:r w:rsidRPr="004815EC">
        <w:rPr>
          <w:rFonts w:ascii="Cambria Math" w:hAnsi="Cambria Math" w:cs="Cambria Math"/>
          <w:lang w:val="en-US"/>
        </w:rPr>
        <w:t>⋅</w:t>
      </w:r>
      <w:r w:rsidRPr="004815EC">
        <w:rPr>
          <w:rFonts w:ascii="Arial" w:hAnsi="Arial" w:cs="Arial"/>
          <w:lang w:val="en-US"/>
        </w:rPr>
        <w:t>2HCl</w:t>
      </w:r>
      <w:r w:rsidRPr="004815EC">
        <w:rPr>
          <w:rFonts w:ascii="Cambria Math" w:hAnsi="Cambria Math" w:cs="Cambria Math"/>
          <w:lang w:val="en-US"/>
        </w:rPr>
        <w:t>⋅</w:t>
      </w:r>
      <w:r w:rsidRPr="004815EC">
        <w:rPr>
          <w:rFonts w:ascii="Arial" w:hAnsi="Arial" w:cs="Arial"/>
          <w:lang w:val="en-US"/>
        </w:rPr>
        <w:t>H</w:t>
      </w:r>
      <w:r w:rsidRPr="001522A5">
        <w:rPr>
          <w:rFonts w:ascii="Arial" w:hAnsi="Arial" w:cs="Arial"/>
          <w:vertAlign w:val="subscript"/>
          <w:lang w:val="en-US"/>
        </w:rPr>
        <w:t>2</w:t>
      </w:r>
      <w:r w:rsidRPr="004815EC">
        <w:rPr>
          <w:rFonts w:ascii="Arial" w:hAnsi="Arial" w:cs="Arial"/>
          <w:lang w:val="en-US"/>
        </w:rPr>
        <w:t>O</w:t>
      </w:r>
    </w:p>
    <w:p w14:paraId="54757C1F" w14:textId="7FF75A79" w:rsidR="005476F5" w:rsidRPr="005476F5" w:rsidRDefault="004815EC" w:rsidP="00B13828">
      <w:pPr>
        <w:rPr>
          <w:rFonts w:ascii="Arial" w:hAnsi="Arial" w:cs="Arial"/>
          <w:lang w:val="en-US"/>
        </w:rPr>
      </w:pPr>
      <w:r w:rsidRPr="004815EC">
        <w:rPr>
          <w:rFonts w:ascii="Arial" w:hAnsi="Arial" w:cs="Arial"/>
          <w:lang w:val="en-US"/>
        </w:rPr>
        <w:t>C</w:t>
      </w:r>
      <w:r w:rsidRPr="001522A5">
        <w:rPr>
          <w:rFonts w:ascii="Arial" w:eastAsiaTheme="majorEastAsia" w:hAnsi="Arial" w:cs="Arial"/>
          <w:vertAlign w:val="subscript"/>
          <w:lang w:val="en-US"/>
        </w:rPr>
        <w:t>23</w:t>
      </w:r>
      <w:r w:rsidRPr="004815EC">
        <w:rPr>
          <w:rFonts w:ascii="Arial" w:hAnsi="Arial" w:cs="Arial"/>
          <w:lang w:val="en-US"/>
        </w:rPr>
        <w:t>H</w:t>
      </w:r>
      <w:r w:rsidRPr="001522A5">
        <w:rPr>
          <w:rFonts w:ascii="Arial" w:eastAsiaTheme="majorEastAsia" w:hAnsi="Arial" w:cs="Arial"/>
          <w:vertAlign w:val="subscript"/>
          <w:lang w:val="en-US"/>
        </w:rPr>
        <w:t>22</w:t>
      </w:r>
      <w:r w:rsidRPr="004815EC">
        <w:rPr>
          <w:rFonts w:ascii="Arial" w:hAnsi="Arial" w:cs="Arial"/>
          <w:lang w:val="en-US"/>
        </w:rPr>
        <w:t>N</w:t>
      </w:r>
      <w:r w:rsidRPr="001522A5">
        <w:rPr>
          <w:rFonts w:ascii="Arial" w:eastAsiaTheme="majorEastAsia" w:hAnsi="Arial" w:cs="Arial"/>
          <w:vertAlign w:val="subscript"/>
          <w:lang w:val="en-US"/>
        </w:rPr>
        <w:t>6</w:t>
      </w:r>
      <w:r w:rsidRPr="004815EC">
        <w:rPr>
          <w:rFonts w:ascii="Arial" w:hAnsi="Arial" w:cs="Arial"/>
          <w:lang w:val="en-US"/>
        </w:rPr>
        <w:t>O</w:t>
      </w:r>
      <w:r w:rsidRPr="001522A5">
        <w:rPr>
          <w:rFonts w:ascii="Arial" w:eastAsiaTheme="majorEastAsia" w:hAnsi="Arial" w:cs="Arial"/>
          <w:vertAlign w:val="subscript"/>
          <w:lang w:val="en-US"/>
        </w:rPr>
        <w:t>2</w:t>
      </w:r>
      <w:r w:rsidRPr="004815EC">
        <w:rPr>
          <w:rFonts w:ascii="Arial" w:hAnsi="Arial" w:cs="Arial"/>
          <w:lang w:val="en-US"/>
        </w:rPr>
        <w:t xml:space="preserve"> (free base)</w:t>
      </w:r>
    </w:p>
    <w:p w14:paraId="4442D39B" w14:textId="0CBAC76B" w:rsidR="001A3992" w:rsidRPr="005476F5" w:rsidRDefault="001A3992" w:rsidP="001A3992">
      <w:pPr>
        <w:pStyle w:val="Heading3"/>
        <w:spacing w:before="0" w:after="120"/>
        <w:rPr>
          <w:rFonts w:ascii="Arial" w:hAnsi="Arial" w:cs="Arial"/>
          <w:lang w:val="en-US"/>
        </w:rPr>
      </w:pPr>
      <w:r w:rsidRPr="005476F5">
        <w:rPr>
          <w:rFonts w:ascii="Arial" w:hAnsi="Arial" w:cs="Arial"/>
          <w:lang w:val="en-US"/>
        </w:rPr>
        <w:t>Chemical structure</w:t>
      </w:r>
      <w:r w:rsidR="00CE6790" w:rsidRPr="005476F5">
        <w:rPr>
          <w:rFonts w:ascii="Arial" w:hAnsi="Arial" w:cs="Arial"/>
          <w:lang w:val="en-US"/>
        </w:rPr>
        <w:fldChar w:fldCharType="begin"/>
      </w:r>
      <w:r w:rsidR="00CE6790" w:rsidRPr="005476F5">
        <w:rPr>
          <w:rFonts w:ascii="Arial" w:hAnsi="Arial" w:cs="Arial"/>
          <w:lang w:val="en-US"/>
        </w:rPr>
        <w:instrText xml:space="preserve"> DOCVARIABLE vault_nd_359acad7-a088-4ff6-acee-f46ff9466cb4 \* MERGEFORMAT </w:instrText>
      </w:r>
      <w:r w:rsidR="00CE6790" w:rsidRPr="005476F5">
        <w:rPr>
          <w:rFonts w:ascii="Arial" w:hAnsi="Arial" w:cs="Arial"/>
          <w:lang w:val="en-US"/>
        </w:rPr>
        <w:fldChar w:fldCharType="separate"/>
      </w:r>
      <w:r w:rsidR="00CE6790" w:rsidRPr="005476F5">
        <w:rPr>
          <w:rFonts w:ascii="Arial" w:hAnsi="Arial" w:cs="Arial"/>
          <w:lang w:val="en-US"/>
        </w:rPr>
        <w:t xml:space="preserve"> </w:t>
      </w:r>
      <w:r w:rsidR="00CE6790" w:rsidRPr="005476F5">
        <w:rPr>
          <w:rFonts w:ascii="Arial" w:hAnsi="Arial" w:cs="Arial"/>
          <w:lang w:val="en-US"/>
        </w:rPr>
        <w:fldChar w:fldCharType="end"/>
      </w:r>
    </w:p>
    <w:p w14:paraId="6AD3E5E7" w14:textId="7016B107" w:rsidR="00C40B8B" w:rsidRPr="005476F5" w:rsidRDefault="00C40B8B" w:rsidP="00071855">
      <w:pPr>
        <w:rPr>
          <w:rFonts w:ascii="Arial" w:hAnsi="Arial" w:cs="Arial"/>
          <w:i/>
          <w:color w:val="FF0000"/>
        </w:rPr>
      </w:pPr>
      <w:r w:rsidRPr="00B13828">
        <w:rPr>
          <w:rFonts w:ascii="Arial" w:hAnsi="Arial" w:cs="Arial"/>
          <w:noProof/>
        </w:rPr>
        <w:drawing>
          <wp:inline distT="0" distB="0" distL="0" distR="0" wp14:anchorId="31925434" wp14:editId="55B50FB4">
            <wp:extent cx="3118485" cy="1278890"/>
            <wp:effectExtent l="0" t="0" r="0" b="0"/>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engineering draw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8485" cy="1278890"/>
                    </a:xfrm>
                    <a:prstGeom prst="rect">
                      <a:avLst/>
                    </a:prstGeom>
                    <a:noFill/>
                    <a:ln>
                      <a:noFill/>
                    </a:ln>
                  </pic:spPr>
                </pic:pic>
              </a:graphicData>
            </a:graphic>
          </wp:inline>
        </w:drawing>
      </w:r>
    </w:p>
    <w:p w14:paraId="5C4CCCF8" w14:textId="11C5FEF5" w:rsidR="005476F5" w:rsidRPr="005476F5" w:rsidRDefault="005476F5" w:rsidP="001A3992">
      <w:pPr>
        <w:pStyle w:val="Heading3"/>
        <w:spacing w:before="0" w:after="120"/>
        <w:rPr>
          <w:rFonts w:ascii="Arial" w:hAnsi="Arial" w:cs="Arial"/>
          <w:lang w:val="en-US"/>
        </w:rPr>
      </w:pPr>
      <w:r w:rsidRPr="005476F5">
        <w:rPr>
          <w:rFonts w:ascii="Arial" w:hAnsi="Arial" w:cs="Arial"/>
          <w:lang w:val="en-US"/>
        </w:rPr>
        <w:t>Relative Molecular Mass</w:t>
      </w:r>
      <w:r w:rsidR="00B67FB3">
        <w:rPr>
          <w:rFonts w:ascii="Arial" w:hAnsi="Arial" w:cs="Arial"/>
          <w:lang w:val="en-US"/>
        </w:rPr>
        <w:fldChar w:fldCharType="begin"/>
      </w:r>
      <w:r w:rsidR="00B67FB3">
        <w:rPr>
          <w:rFonts w:ascii="Arial" w:hAnsi="Arial" w:cs="Arial"/>
          <w:lang w:val="en-US"/>
        </w:rPr>
        <w:instrText xml:space="preserve"> DOCVARIABLE vault_nd_82710c1f-47a8-4dbb-91f1-10ec1b0e8aed \* MERGEFORMAT </w:instrText>
      </w:r>
      <w:r w:rsidR="00B67FB3">
        <w:rPr>
          <w:rFonts w:ascii="Arial" w:hAnsi="Arial" w:cs="Arial"/>
          <w:lang w:val="en-US"/>
        </w:rPr>
        <w:fldChar w:fldCharType="separate"/>
      </w:r>
      <w:r w:rsidR="00B67FB3">
        <w:rPr>
          <w:rFonts w:ascii="Arial" w:hAnsi="Arial" w:cs="Arial"/>
          <w:lang w:val="en-US"/>
        </w:rPr>
        <w:t xml:space="preserve"> </w:t>
      </w:r>
      <w:r w:rsidR="00B67FB3">
        <w:rPr>
          <w:rFonts w:ascii="Arial" w:hAnsi="Arial" w:cs="Arial"/>
          <w:lang w:val="en-US"/>
        </w:rPr>
        <w:fldChar w:fldCharType="end"/>
      </w:r>
    </w:p>
    <w:p w14:paraId="28472B29" w14:textId="74C9D48A" w:rsidR="005476F5" w:rsidRPr="00B13828" w:rsidRDefault="005476F5" w:rsidP="00B13828">
      <w:pPr>
        <w:spacing w:after="0"/>
        <w:rPr>
          <w:rFonts w:ascii="Arial" w:hAnsi="Arial" w:cs="Arial"/>
        </w:rPr>
      </w:pPr>
      <w:r w:rsidRPr="00B13828">
        <w:rPr>
          <w:rFonts w:ascii="Arial" w:hAnsi="Arial" w:cs="Arial"/>
        </w:rPr>
        <w:t>Momelotinib dihydrochloride monohydrate = 505.40</w:t>
      </w:r>
    </w:p>
    <w:p w14:paraId="38723AD8" w14:textId="37105457" w:rsidR="005476F5" w:rsidRPr="005476F5" w:rsidRDefault="005476F5" w:rsidP="005476F5">
      <w:pPr>
        <w:spacing w:after="0"/>
        <w:rPr>
          <w:rFonts w:ascii="Arial" w:hAnsi="Arial" w:cs="Arial"/>
        </w:rPr>
      </w:pPr>
      <w:r w:rsidRPr="00B13828">
        <w:rPr>
          <w:rFonts w:ascii="Arial" w:hAnsi="Arial" w:cs="Arial"/>
        </w:rPr>
        <w:t>Momelotinib</w:t>
      </w:r>
      <w:r w:rsidRPr="005476F5">
        <w:rPr>
          <w:rFonts w:ascii="Arial" w:hAnsi="Arial" w:cs="Arial"/>
        </w:rPr>
        <w:t xml:space="preserve"> (free base) = 414.47</w:t>
      </w:r>
    </w:p>
    <w:p w14:paraId="0C74CC5C" w14:textId="77777777" w:rsidR="005476F5" w:rsidRPr="00B13828" w:rsidRDefault="005476F5" w:rsidP="00B13828">
      <w:pPr>
        <w:spacing w:after="0"/>
        <w:rPr>
          <w:rFonts w:ascii="Arial" w:hAnsi="Arial" w:cs="Arial"/>
        </w:rPr>
      </w:pPr>
    </w:p>
    <w:p w14:paraId="2D4D7383" w14:textId="5E401AB0" w:rsidR="001A3992" w:rsidRPr="005476F5" w:rsidRDefault="001A3992" w:rsidP="001A3992">
      <w:pPr>
        <w:pStyle w:val="Heading3"/>
        <w:spacing w:before="0" w:after="120"/>
        <w:rPr>
          <w:rFonts w:ascii="Arial" w:hAnsi="Arial" w:cs="Arial"/>
          <w:lang w:val="en-US"/>
        </w:rPr>
      </w:pPr>
      <w:r w:rsidRPr="005476F5">
        <w:rPr>
          <w:rFonts w:ascii="Arial" w:hAnsi="Arial" w:cs="Arial"/>
          <w:lang w:val="en-US"/>
        </w:rPr>
        <w:lastRenderedPageBreak/>
        <w:t>CAS number</w:t>
      </w:r>
      <w:r w:rsidR="00CE6790" w:rsidRPr="005476F5">
        <w:rPr>
          <w:rFonts w:ascii="Arial" w:hAnsi="Arial" w:cs="Arial"/>
          <w:lang w:val="en-US"/>
        </w:rPr>
        <w:fldChar w:fldCharType="begin"/>
      </w:r>
      <w:r w:rsidR="00CE6790" w:rsidRPr="005476F5">
        <w:rPr>
          <w:rFonts w:ascii="Arial" w:hAnsi="Arial" w:cs="Arial"/>
          <w:lang w:val="en-US"/>
        </w:rPr>
        <w:instrText xml:space="preserve"> DOCVARIABLE vault_nd_cd4f064b-c6a7-4a4a-8850-3088cd4fb3aa \* MERGEFORMAT </w:instrText>
      </w:r>
      <w:r w:rsidR="00CE6790" w:rsidRPr="005476F5">
        <w:rPr>
          <w:rFonts w:ascii="Arial" w:hAnsi="Arial" w:cs="Arial"/>
          <w:lang w:val="en-US"/>
        </w:rPr>
        <w:fldChar w:fldCharType="separate"/>
      </w:r>
      <w:r w:rsidR="00CE6790" w:rsidRPr="005476F5">
        <w:rPr>
          <w:rFonts w:ascii="Arial" w:hAnsi="Arial" w:cs="Arial"/>
          <w:lang w:val="en-US"/>
        </w:rPr>
        <w:t xml:space="preserve"> </w:t>
      </w:r>
      <w:r w:rsidR="00CE6790" w:rsidRPr="005476F5">
        <w:rPr>
          <w:rFonts w:ascii="Arial" w:hAnsi="Arial" w:cs="Arial"/>
          <w:lang w:val="en-US"/>
        </w:rPr>
        <w:fldChar w:fldCharType="end"/>
      </w:r>
    </w:p>
    <w:p w14:paraId="60FC6C2B" w14:textId="59266F0F" w:rsidR="0022673C" w:rsidRDefault="00F522D2" w:rsidP="00B13828">
      <w:pPr>
        <w:spacing w:after="0"/>
        <w:rPr>
          <w:rFonts w:ascii="Arial" w:hAnsi="Arial" w:cs="Arial"/>
        </w:rPr>
      </w:pPr>
      <w:r>
        <w:rPr>
          <w:rFonts w:ascii="Arial" w:hAnsi="Arial" w:cs="Arial"/>
        </w:rPr>
        <w:t>Momelotinib dihydrochloride monohydrate: 1841094-17-4</w:t>
      </w:r>
    </w:p>
    <w:p w14:paraId="0135E43F" w14:textId="385F4AE6" w:rsidR="00F522D2" w:rsidRPr="00C40B8B" w:rsidRDefault="00F522D2" w:rsidP="00237EFE">
      <w:pPr>
        <w:rPr>
          <w:rFonts w:ascii="Arial" w:hAnsi="Arial" w:cs="Arial"/>
        </w:rPr>
      </w:pPr>
      <w:r>
        <w:rPr>
          <w:rFonts w:ascii="Arial" w:hAnsi="Arial" w:cs="Arial"/>
        </w:rPr>
        <w:t>Momelotinib (free base): 1056634-68-4</w:t>
      </w:r>
    </w:p>
    <w:p w14:paraId="540211B8" w14:textId="14C1D184" w:rsidR="001A3992" w:rsidRPr="005E53D5" w:rsidRDefault="001A3992" w:rsidP="00B13828">
      <w:pPr>
        <w:pStyle w:val="Heading1"/>
        <w:spacing w:before="0" w:after="200"/>
        <w:rPr>
          <w:rFonts w:ascii="Arial" w:hAnsi="Arial" w:cs="Arial"/>
          <w:lang w:val="en-US"/>
        </w:rPr>
      </w:pPr>
      <w:r w:rsidRPr="005E53D5">
        <w:rPr>
          <w:rFonts w:ascii="Arial" w:hAnsi="Arial" w:cs="Arial"/>
          <w:lang w:val="en-US"/>
        </w:rPr>
        <w:t>Medicine schedule (Poisons Standard)</w:t>
      </w:r>
      <w:r w:rsidR="00CE6790" w:rsidRPr="005E53D5">
        <w:rPr>
          <w:rFonts w:ascii="Arial" w:hAnsi="Arial" w:cs="Arial"/>
          <w:lang w:val="en-US"/>
        </w:rPr>
        <w:fldChar w:fldCharType="begin"/>
      </w:r>
      <w:r w:rsidR="00CE6790" w:rsidRPr="005E53D5">
        <w:rPr>
          <w:rFonts w:ascii="Arial" w:hAnsi="Arial" w:cs="Arial"/>
          <w:lang w:val="en-US"/>
        </w:rPr>
        <w:instrText xml:space="preserve"> DOCVARIABLE VAULT_ND_494ac62f-4fb5-4a34-8c30-79d4cd1346a2 \* MERGEFORMAT </w:instrText>
      </w:r>
      <w:r w:rsidR="00CE6790" w:rsidRPr="005E53D5">
        <w:rPr>
          <w:rFonts w:ascii="Arial" w:hAnsi="Arial" w:cs="Arial"/>
          <w:lang w:val="en-US"/>
        </w:rPr>
        <w:fldChar w:fldCharType="separate"/>
      </w:r>
      <w:r w:rsidR="00CE6790" w:rsidRPr="005E53D5">
        <w:rPr>
          <w:rFonts w:ascii="Arial" w:hAnsi="Arial" w:cs="Arial"/>
          <w:lang w:val="en-US"/>
        </w:rPr>
        <w:t xml:space="preserve"> </w:t>
      </w:r>
      <w:r w:rsidR="00CE6790" w:rsidRPr="005E53D5">
        <w:rPr>
          <w:rFonts w:ascii="Arial" w:hAnsi="Arial" w:cs="Arial"/>
          <w:lang w:val="en-US"/>
        </w:rPr>
        <w:fldChar w:fldCharType="end"/>
      </w:r>
    </w:p>
    <w:p w14:paraId="6E6EA7C4" w14:textId="48BC5515" w:rsidR="00071855" w:rsidRPr="006E595D" w:rsidRDefault="006E595D" w:rsidP="006E595D">
      <w:pPr>
        <w:spacing w:after="240"/>
        <w:jc w:val="both"/>
        <w:rPr>
          <w:rFonts w:ascii="Arial" w:hAnsi="Arial" w:cs="Arial"/>
          <w:color w:val="000000"/>
        </w:rPr>
      </w:pPr>
      <w:r w:rsidRPr="00571510">
        <w:rPr>
          <w:rFonts w:ascii="Arial" w:hAnsi="Arial" w:cs="Arial"/>
          <w:color w:val="000000"/>
        </w:rPr>
        <w:t>Schedule 4 – Prescription Only Medicine</w:t>
      </w:r>
      <w:r>
        <w:rPr>
          <w:rFonts w:ascii="Arial" w:hAnsi="Arial" w:cs="Arial"/>
          <w:color w:val="000000"/>
        </w:rPr>
        <w:t xml:space="preserve"> </w:t>
      </w:r>
    </w:p>
    <w:p w14:paraId="262707EF" w14:textId="4C505EF6" w:rsidR="00285173" w:rsidRPr="005E53D5" w:rsidRDefault="001A3992" w:rsidP="00285173">
      <w:pPr>
        <w:pStyle w:val="Heading1"/>
        <w:spacing w:before="0" w:after="120"/>
        <w:rPr>
          <w:rFonts w:ascii="Arial" w:hAnsi="Arial" w:cs="Arial"/>
          <w:lang w:val="en-US"/>
        </w:rPr>
      </w:pPr>
      <w:r w:rsidRPr="005E53D5">
        <w:rPr>
          <w:rFonts w:ascii="Arial" w:hAnsi="Arial" w:cs="Arial"/>
          <w:lang w:val="en-US"/>
        </w:rPr>
        <w:t>Sponsor</w:t>
      </w:r>
      <w:r w:rsidR="00CE6790" w:rsidRPr="005E53D5">
        <w:rPr>
          <w:rFonts w:ascii="Arial" w:hAnsi="Arial" w:cs="Arial"/>
          <w:lang w:val="en-US"/>
        </w:rPr>
        <w:fldChar w:fldCharType="begin"/>
      </w:r>
      <w:r w:rsidR="00CE6790" w:rsidRPr="005E53D5">
        <w:rPr>
          <w:rFonts w:ascii="Arial" w:hAnsi="Arial" w:cs="Arial"/>
          <w:lang w:val="en-US"/>
        </w:rPr>
        <w:instrText xml:space="preserve"> DOCVARIABLE VAULT_ND_29546d73-054b-4779-9fdd-b5f1c2fa6cdf \* MERGEFORMAT </w:instrText>
      </w:r>
      <w:r w:rsidR="00CE6790" w:rsidRPr="005E53D5">
        <w:rPr>
          <w:rFonts w:ascii="Arial" w:hAnsi="Arial" w:cs="Arial"/>
          <w:lang w:val="en-US"/>
        </w:rPr>
        <w:fldChar w:fldCharType="separate"/>
      </w:r>
      <w:r w:rsidR="00CE6790" w:rsidRPr="005E53D5">
        <w:rPr>
          <w:rFonts w:ascii="Arial" w:hAnsi="Arial" w:cs="Arial"/>
          <w:lang w:val="en-US"/>
        </w:rPr>
        <w:t xml:space="preserve"> </w:t>
      </w:r>
      <w:r w:rsidR="00CE6790" w:rsidRPr="005E53D5">
        <w:rPr>
          <w:rFonts w:ascii="Arial" w:hAnsi="Arial" w:cs="Arial"/>
          <w:lang w:val="en-US"/>
        </w:rPr>
        <w:fldChar w:fldCharType="end"/>
      </w:r>
    </w:p>
    <w:p w14:paraId="42682DDF" w14:textId="77777777" w:rsidR="006E595D" w:rsidRPr="008F4ADC" w:rsidRDefault="006E595D" w:rsidP="006E595D">
      <w:pPr>
        <w:spacing w:after="120" w:line="240" w:lineRule="auto"/>
        <w:jc w:val="both"/>
        <w:rPr>
          <w:rFonts w:ascii="Arial" w:hAnsi="Arial" w:cs="Arial"/>
        </w:rPr>
      </w:pPr>
      <w:r w:rsidRPr="008F4ADC">
        <w:rPr>
          <w:rFonts w:ascii="Arial" w:hAnsi="Arial" w:cs="Arial"/>
        </w:rPr>
        <w:t>GlaxoSmithKline Australia Pty Ltd</w:t>
      </w:r>
    </w:p>
    <w:p w14:paraId="31B499E1" w14:textId="77777777" w:rsidR="006E595D" w:rsidRPr="008F4ADC" w:rsidRDefault="006E595D" w:rsidP="006E595D">
      <w:pPr>
        <w:spacing w:after="120" w:line="240" w:lineRule="auto"/>
        <w:rPr>
          <w:rStyle w:val="HTMLTypewriter"/>
          <w:rFonts w:ascii="Arial" w:hAnsi="Arial" w:cs="Arial"/>
          <w:color w:val="000000"/>
          <w:sz w:val="22"/>
          <w:szCs w:val="22"/>
        </w:rPr>
      </w:pPr>
      <w:r w:rsidRPr="008F4ADC">
        <w:rPr>
          <w:rStyle w:val="HTMLTypewriter"/>
          <w:rFonts w:ascii="Arial" w:hAnsi="Arial" w:cs="Arial"/>
          <w:color w:val="000000"/>
          <w:sz w:val="22"/>
          <w:szCs w:val="22"/>
        </w:rPr>
        <w:t xml:space="preserve">Level 4, 436 Johnston Street, </w:t>
      </w:r>
    </w:p>
    <w:p w14:paraId="78802CB8" w14:textId="52896888" w:rsidR="006E595D" w:rsidRDefault="006E595D" w:rsidP="00622066">
      <w:pPr>
        <w:spacing w:after="240"/>
        <w:jc w:val="both"/>
        <w:rPr>
          <w:rFonts w:ascii="Arial" w:hAnsi="Arial" w:cs="Arial"/>
        </w:rPr>
      </w:pPr>
      <w:r w:rsidRPr="008F4ADC">
        <w:rPr>
          <w:rFonts w:ascii="Arial" w:hAnsi="Arial" w:cs="Arial"/>
        </w:rPr>
        <w:t>Abbotsford, Victoria, 3067</w:t>
      </w:r>
    </w:p>
    <w:p w14:paraId="4F104B59" w14:textId="55ECFF39" w:rsidR="00D7262B" w:rsidRPr="00D7262B" w:rsidRDefault="009E329C" w:rsidP="00D7262B">
      <w:pPr>
        <w:spacing w:after="240"/>
        <w:jc w:val="both"/>
        <w:rPr>
          <w:rFonts w:ascii="Arial" w:hAnsi="Arial" w:cs="Arial"/>
          <w:color w:val="000000"/>
        </w:rPr>
      </w:pPr>
      <w:r>
        <w:rPr>
          <w:rFonts w:ascii="Arial" w:hAnsi="Arial" w:cs="Arial"/>
          <w:color w:val="000000"/>
        </w:rPr>
        <w:t>Phone</w:t>
      </w:r>
      <w:r w:rsidR="00D7262B" w:rsidRPr="00D7262B">
        <w:rPr>
          <w:rFonts w:ascii="Arial" w:hAnsi="Arial" w:cs="Arial"/>
          <w:color w:val="000000"/>
        </w:rPr>
        <w:t>: 1800 033 109</w:t>
      </w:r>
    </w:p>
    <w:p w14:paraId="059CF2D2" w14:textId="33363A0D" w:rsidR="00557494" w:rsidRDefault="00557494" w:rsidP="00D7262B">
      <w:pPr>
        <w:spacing w:after="240"/>
        <w:jc w:val="both"/>
        <w:rPr>
          <w:rFonts w:ascii="Arial" w:hAnsi="Arial" w:cs="Arial"/>
          <w:color w:val="000000"/>
        </w:rPr>
      </w:pPr>
      <w:hyperlink r:id="rId14" w:history="1">
        <w:r w:rsidRPr="00955618">
          <w:rPr>
            <w:rStyle w:val="Hyperlink"/>
            <w:rFonts w:ascii="Arial" w:hAnsi="Arial" w:cs="Arial"/>
          </w:rPr>
          <w:t>www.gsk.com.au</w:t>
        </w:r>
      </w:hyperlink>
    </w:p>
    <w:p w14:paraId="05ADCA5A" w14:textId="517E6611" w:rsidR="00285173" w:rsidRPr="005E53D5" w:rsidRDefault="00285173" w:rsidP="00285173">
      <w:pPr>
        <w:pStyle w:val="Heading1"/>
        <w:spacing w:before="0" w:after="120"/>
        <w:rPr>
          <w:rFonts w:ascii="Arial" w:hAnsi="Arial" w:cs="Arial"/>
          <w:lang w:val="en-US"/>
        </w:rPr>
      </w:pPr>
      <w:r w:rsidRPr="005E53D5">
        <w:rPr>
          <w:rFonts w:ascii="Arial" w:hAnsi="Arial" w:cs="Arial"/>
          <w:lang w:val="en-US"/>
        </w:rPr>
        <w:t xml:space="preserve">Date of first approval </w:t>
      </w:r>
      <w:r w:rsidR="00CE6790" w:rsidRPr="005E53D5">
        <w:rPr>
          <w:rFonts w:ascii="Arial" w:hAnsi="Arial" w:cs="Arial"/>
          <w:lang w:val="en-US"/>
        </w:rPr>
        <w:fldChar w:fldCharType="begin"/>
      </w:r>
      <w:r w:rsidR="00CE6790" w:rsidRPr="005E53D5">
        <w:rPr>
          <w:rFonts w:ascii="Arial" w:hAnsi="Arial" w:cs="Arial"/>
          <w:lang w:val="en-US"/>
        </w:rPr>
        <w:instrText xml:space="preserve"> DOCVARIABLE VAULT_ND_3feda5f4-d85f-436e-9d78-beedafc7df87 \* MERGEFORMAT </w:instrText>
      </w:r>
      <w:r w:rsidR="00CE6790" w:rsidRPr="005E53D5">
        <w:rPr>
          <w:rFonts w:ascii="Arial" w:hAnsi="Arial" w:cs="Arial"/>
          <w:lang w:val="en-US"/>
        </w:rPr>
        <w:fldChar w:fldCharType="separate"/>
      </w:r>
      <w:r w:rsidR="00CE6790" w:rsidRPr="005E53D5">
        <w:rPr>
          <w:rFonts w:ascii="Arial" w:hAnsi="Arial" w:cs="Arial"/>
          <w:lang w:val="en-US"/>
        </w:rPr>
        <w:t xml:space="preserve"> </w:t>
      </w:r>
      <w:r w:rsidR="00CE6790" w:rsidRPr="005E53D5">
        <w:rPr>
          <w:rFonts w:ascii="Arial" w:hAnsi="Arial" w:cs="Arial"/>
          <w:lang w:val="en-US"/>
        </w:rPr>
        <w:fldChar w:fldCharType="end"/>
      </w:r>
    </w:p>
    <w:p w14:paraId="7738995C" w14:textId="0404C5BC" w:rsidR="00071855" w:rsidRPr="00C40B8B" w:rsidRDefault="008B6246" w:rsidP="00071855">
      <w:pPr>
        <w:rPr>
          <w:rFonts w:ascii="Arial" w:hAnsi="Arial" w:cs="Arial"/>
        </w:rPr>
      </w:pPr>
      <w:r>
        <w:rPr>
          <w:rFonts w:ascii="Arial" w:hAnsi="Arial" w:cs="Arial"/>
        </w:rPr>
        <w:t>18 December 2024</w:t>
      </w:r>
    </w:p>
    <w:p w14:paraId="5160673D" w14:textId="33A1B189" w:rsidR="00285173" w:rsidRPr="005E53D5" w:rsidRDefault="00285173" w:rsidP="00285173">
      <w:pPr>
        <w:pStyle w:val="Heading1"/>
        <w:spacing w:before="0" w:after="120"/>
        <w:rPr>
          <w:rFonts w:ascii="Arial" w:hAnsi="Arial" w:cs="Arial"/>
          <w:lang w:val="en-US"/>
        </w:rPr>
      </w:pPr>
      <w:r w:rsidRPr="005E53D5">
        <w:rPr>
          <w:rFonts w:ascii="Arial" w:hAnsi="Arial" w:cs="Arial"/>
          <w:lang w:val="en-US"/>
        </w:rPr>
        <w:t>Date of revision</w:t>
      </w:r>
      <w:r w:rsidR="00CE6790" w:rsidRPr="005E53D5">
        <w:rPr>
          <w:rFonts w:ascii="Arial" w:hAnsi="Arial" w:cs="Arial"/>
          <w:lang w:val="en-US"/>
        </w:rPr>
        <w:fldChar w:fldCharType="begin"/>
      </w:r>
      <w:r w:rsidR="00CE6790" w:rsidRPr="005E53D5">
        <w:rPr>
          <w:rFonts w:ascii="Arial" w:hAnsi="Arial" w:cs="Arial"/>
          <w:lang w:val="en-US"/>
        </w:rPr>
        <w:instrText xml:space="preserve"> DOCVARIABLE VAULT_ND_b197a435-323a-4268-bc9b-a40c78fffde8 \* MERGEFORMAT </w:instrText>
      </w:r>
      <w:r w:rsidR="00CE6790" w:rsidRPr="005E53D5">
        <w:rPr>
          <w:rFonts w:ascii="Arial" w:hAnsi="Arial" w:cs="Arial"/>
          <w:lang w:val="en-US"/>
        </w:rPr>
        <w:fldChar w:fldCharType="separate"/>
      </w:r>
      <w:r w:rsidR="00CE6790" w:rsidRPr="005E53D5">
        <w:rPr>
          <w:rFonts w:ascii="Arial" w:hAnsi="Arial" w:cs="Arial"/>
          <w:lang w:val="en-US"/>
        </w:rPr>
        <w:t xml:space="preserve"> </w:t>
      </w:r>
      <w:r w:rsidR="00CE6790" w:rsidRPr="005E53D5">
        <w:rPr>
          <w:rFonts w:ascii="Arial" w:hAnsi="Arial" w:cs="Arial"/>
          <w:lang w:val="en-US"/>
        </w:rPr>
        <w:fldChar w:fldCharType="end"/>
      </w:r>
    </w:p>
    <w:p w14:paraId="7A658312" w14:textId="4A1D3F9A" w:rsidR="006E595D" w:rsidRPr="00C40B8B" w:rsidRDefault="00C40B8B" w:rsidP="006E595D">
      <w:pPr>
        <w:rPr>
          <w:rFonts w:ascii="Arial" w:hAnsi="Arial" w:cs="Arial"/>
        </w:rPr>
      </w:pPr>
      <w:r w:rsidRPr="00C40B8B">
        <w:rPr>
          <w:rFonts w:ascii="Arial" w:hAnsi="Arial" w:cs="Arial"/>
        </w:rPr>
        <w:t>Not applicable</w:t>
      </w:r>
    </w:p>
    <w:p w14:paraId="236249AB" w14:textId="77777777" w:rsidR="00071855" w:rsidRPr="00071855" w:rsidRDefault="00071855" w:rsidP="00071855">
      <w:pPr>
        <w:rPr>
          <w:rFonts w:ascii="Arial" w:hAnsi="Arial" w:cs="Arial"/>
          <w:lang w:val="en-US"/>
        </w:rPr>
      </w:pPr>
    </w:p>
    <w:p w14:paraId="0CB0EFFA" w14:textId="5E2E8542" w:rsidR="00285173" w:rsidRPr="00071855" w:rsidRDefault="00071855" w:rsidP="00285173">
      <w:pPr>
        <w:pStyle w:val="Heading2"/>
        <w:numPr>
          <w:ilvl w:val="0"/>
          <w:numId w:val="0"/>
        </w:numPr>
        <w:spacing w:before="0" w:after="120"/>
        <w:rPr>
          <w:rFonts w:ascii="Arial" w:hAnsi="Arial" w:cs="Arial"/>
          <w:smallCaps w:val="0"/>
          <w:lang w:val="en-US"/>
        </w:rPr>
      </w:pPr>
      <w:r w:rsidRPr="00071855">
        <w:rPr>
          <w:rFonts w:ascii="Arial" w:hAnsi="Arial" w:cs="Arial"/>
          <w:smallCaps w:val="0"/>
          <w:lang w:val="en-US"/>
        </w:rPr>
        <w:t>SUMMARY TABLE OF CHANGES</w:t>
      </w:r>
      <w:r w:rsidR="00CE6790">
        <w:rPr>
          <w:rFonts w:ascii="Arial" w:hAnsi="Arial" w:cs="Arial"/>
          <w:smallCaps w:val="0"/>
          <w:lang w:val="en-US"/>
        </w:rPr>
        <w:fldChar w:fldCharType="begin"/>
      </w:r>
      <w:r w:rsidR="00CE6790">
        <w:rPr>
          <w:rFonts w:ascii="Arial" w:hAnsi="Arial" w:cs="Arial"/>
          <w:smallCaps w:val="0"/>
          <w:lang w:val="en-US"/>
        </w:rPr>
        <w:instrText xml:space="preserve"> DOCVARIABLE VAULT_ND_590092ea-a3f1-4ca4-81de-3c575a0e28e6 \* MERGEFORMAT </w:instrText>
      </w:r>
      <w:r w:rsidR="00CE6790">
        <w:rPr>
          <w:rFonts w:ascii="Arial" w:hAnsi="Arial" w:cs="Arial"/>
          <w:smallCaps w:val="0"/>
          <w:lang w:val="en-US"/>
        </w:rPr>
        <w:fldChar w:fldCharType="separate"/>
      </w:r>
      <w:r w:rsidR="00CE6790">
        <w:rPr>
          <w:rFonts w:ascii="Arial" w:hAnsi="Arial" w:cs="Arial"/>
          <w:smallCaps w:val="0"/>
          <w:lang w:val="en-US"/>
        </w:rPr>
        <w:t xml:space="preserve"> </w:t>
      </w:r>
      <w:r w:rsidR="00CE6790">
        <w:rPr>
          <w:rFonts w:ascii="Arial" w:hAnsi="Arial" w:cs="Arial"/>
          <w:smallCaps w:val="0"/>
          <w:lang w:val="en-US"/>
        </w:rPr>
        <w:fldChar w:fldCharType="end"/>
      </w:r>
    </w:p>
    <w:tbl>
      <w:tblPr>
        <w:tblStyle w:val="LightGrid"/>
        <w:tblW w:w="0" w:type="auto"/>
        <w:tblCellMar>
          <w:top w:w="57" w:type="dxa"/>
          <w:bottom w:w="57" w:type="dxa"/>
        </w:tblCellMar>
        <w:tblLook w:val="06A0" w:firstRow="1" w:lastRow="0" w:firstColumn="1" w:lastColumn="0" w:noHBand="1" w:noVBand="1"/>
      </w:tblPr>
      <w:tblGrid>
        <w:gridCol w:w="1376"/>
        <w:gridCol w:w="7630"/>
      </w:tblGrid>
      <w:tr w:rsidR="00285173" w:rsidRPr="00071855" w14:paraId="75F5BDEC" w14:textId="77777777" w:rsidTr="00C40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shd w:val="clear" w:color="auto" w:fill="F2F2F2" w:themeFill="background1" w:themeFillShade="F2"/>
            <w:vAlign w:val="center"/>
          </w:tcPr>
          <w:p w14:paraId="7AF30EE7" w14:textId="77777777" w:rsidR="00285173" w:rsidRPr="00071855" w:rsidRDefault="00285173">
            <w:pPr>
              <w:rPr>
                <w:rFonts w:ascii="Arial" w:hAnsi="Arial" w:cs="Arial"/>
                <w:lang w:val="en-US"/>
              </w:rPr>
            </w:pPr>
            <w:r w:rsidRPr="00071855">
              <w:rPr>
                <w:rFonts w:ascii="Arial" w:hAnsi="Arial" w:cs="Arial"/>
                <w:lang w:val="en-US"/>
              </w:rPr>
              <w:t>Section Changed</w:t>
            </w:r>
          </w:p>
        </w:tc>
        <w:tc>
          <w:tcPr>
            <w:tcW w:w="7630" w:type="dxa"/>
            <w:shd w:val="clear" w:color="auto" w:fill="F2F2F2" w:themeFill="background1" w:themeFillShade="F2"/>
            <w:vAlign w:val="center"/>
          </w:tcPr>
          <w:p w14:paraId="598F9FE3" w14:textId="77777777" w:rsidR="00285173" w:rsidRPr="00071855" w:rsidRDefault="00285173">
            <w:pP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71855">
              <w:rPr>
                <w:rFonts w:ascii="Arial" w:hAnsi="Arial" w:cs="Arial"/>
                <w:lang w:val="en-US"/>
              </w:rPr>
              <w:t>Summary of new information</w:t>
            </w:r>
          </w:p>
        </w:tc>
      </w:tr>
      <w:tr w:rsidR="00285173" w:rsidRPr="00071855" w14:paraId="1127FFA9" w14:textId="77777777" w:rsidTr="00C40B8B">
        <w:tc>
          <w:tcPr>
            <w:cnfStyle w:val="001000000000" w:firstRow="0" w:lastRow="0" w:firstColumn="1" w:lastColumn="0" w:oddVBand="0" w:evenVBand="0" w:oddHBand="0" w:evenHBand="0" w:firstRowFirstColumn="0" w:firstRowLastColumn="0" w:lastRowFirstColumn="0" w:lastRowLastColumn="0"/>
            <w:tcW w:w="1376" w:type="dxa"/>
            <w:vAlign w:val="center"/>
          </w:tcPr>
          <w:p w14:paraId="6F840D9A" w14:textId="493937DB" w:rsidR="00285173" w:rsidRPr="00B13828" w:rsidRDefault="00344F97">
            <w:pPr>
              <w:rPr>
                <w:rFonts w:ascii="Arial" w:hAnsi="Arial" w:cs="Arial"/>
                <w:b w:val="0"/>
                <w:lang w:val="en-US"/>
              </w:rPr>
            </w:pPr>
            <w:r w:rsidRPr="00344F97">
              <w:rPr>
                <w:rFonts w:ascii="Arial" w:hAnsi="Arial" w:cs="Arial"/>
                <w:lang w:val="en-US"/>
              </w:rPr>
              <w:t>N/A</w:t>
            </w:r>
          </w:p>
        </w:tc>
        <w:tc>
          <w:tcPr>
            <w:tcW w:w="7630" w:type="dxa"/>
            <w:vAlign w:val="center"/>
          </w:tcPr>
          <w:p w14:paraId="380ACB5A" w14:textId="38C7709B" w:rsidR="00285173" w:rsidRPr="00B13828" w:rsidRDefault="00344F97">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B13828">
              <w:rPr>
                <w:rFonts w:ascii="Arial" w:hAnsi="Arial" w:cs="Arial"/>
                <w:iCs/>
              </w:rPr>
              <w:t>New Product Information</w:t>
            </w:r>
          </w:p>
        </w:tc>
      </w:tr>
    </w:tbl>
    <w:p w14:paraId="387E069A" w14:textId="77777777" w:rsidR="00285173" w:rsidRDefault="00285173" w:rsidP="00BA64CC">
      <w:pPr>
        <w:spacing w:after="120"/>
        <w:rPr>
          <w:rFonts w:ascii="Arial" w:hAnsi="Arial" w:cs="Arial"/>
          <w:lang w:val="en-US"/>
        </w:rPr>
      </w:pPr>
    </w:p>
    <w:p w14:paraId="55D006BA" w14:textId="77777777" w:rsidR="006E595D" w:rsidRPr="00C40B8B" w:rsidRDefault="006E595D" w:rsidP="006E595D">
      <w:pPr>
        <w:spacing w:after="240"/>
        <w:jc w:val="both"/>
        <w:rPr>
          <w:rFonts w:ascii="Arial" w:hAnsi="Arial" w:cs="Arial"/>
        </w:rPr>
      </w:pPr>
      <w:r w:rsidRPr="00C40B8B">
        <w:rPr>
          <w:rFonts w:ascii="Arial" w:hAnsi="Arial" w:cs="Arial"/>
        </w:rPr>
        <w:t>Version 1.0</w:t>
      </w:r>
    </w:p>
    <w:p w14:paraId="289F0409" w14:textId="2849A98E" w:rsidR="006E595D" w:rsidRPr="00C40B8B" w:rsidRDefault="006E595D" w:rsidP="006E595D">
      <w:pPr>
        <w:spacing w:after="240"/>
        <w:jc w:val="both"/>
        <w:rPr>
          <w:rFonts w:ascii="Arial" w:hAnsi="Arial" w:cs="Arial"/>
        </w:rPr>
      </w:pPr>
      <w:bookmarkStart w:id="8" w:name="_Hlk155781181"/>
      <w:proofErr w:type="spellStart"/>
      <w:proofErr w:type="gramStart"/>
      <w:r w:rsidRPr="00C40B8B">
        <w:rPr>
          <w:rFonts w:ascii="Arial" w:hAnsi="Arial" w:cs="Arial"/>
        </w:rPr>
        <w:t>Trade marks</w:t>
      </w:r>
      <w:proofErr w:type="spellEnd"/>
      <w:proofErr w:type="gramEnd"/>
      <w:r w:rsidRPr="00C40B8B">
        <w:rPr>
          <w:rFonts w:ascii="Arial" w:hAnsi="Arial" w:cs="Arial"/>
        </w:rPr>
        <w:t xml:space="preserve"> are owned by or licensed to the GSK group of companies.</w:t>
      </w:r>
    </w:p>
    <w:p w14:paraId="5B695EB0" w14:textId="0DD149B5" w:rsidR="00E30CAB" w:rsidRPr="00622066" w:rsidRDefault="006E595D" w:rsidP="00622066">
      <w:pPr>
        <w:spacing w:after="240"/>
        <w:jc w:val="both"/>
        <w:rPr>
          <w:rFonts w:ascii="Arial" w:hAnsi="Arial" w:cs="Arial"/>
          <w:color w:val="000000"/>
        </w:rPr>
      </w:pPr>
      <w:r w:rsidRPr="00C40B8B">
        <w:rPr>
          <w:rFonts w:ascii="Arial" w:hAnsi="Arial" w:cs="Arial"/>
        </w:rPr>
        <w:t xml:space="preserve">© </w:t>
      </w:r>
      <w:r w:rsidR="00C40B8B" w:rsidRPr="00C40B8B">
        <w:rPr>
          <w:rFonts w:ascii="Arial" w:hAnsi="Arial" w:cs="Arial"/>
        </w:rPr>
        <w:t>2024</w:t>
      </w:r>
      <w:r w:rsidRPr="00C40B8B">
        <w:rPr>
          <w:rFonts w:ascii="Arial" w:hAnsi="Arial" w:cs="Arial"/>
        </w:rPr>
        <w:t xml:space="preserve"> GSK group </w:t>
      </w:r>
      <w:r w:rsidRPr="00E116C7">
        <w:rPr>
          <w:rFonts w:ascii="Arial" w:hAnsi="Arial" w:cs="Arial"/>
          <w:color w:val="000000"/>
        </w:rPr>
        <w:t>of companies</w:t>
      </w:r>
      <w:r>
        <w:rPr>
          <w:rFonts w:ascii="Arial" w:hAnsi="Arial" w:cs="Arial"/>
          <w:color w:val="000000"/>
        </w:rPr>
        <w:t xml:space="preserve"> or its licensor</w:t>
      </w:r>
      <w:r w:rsidRPr="00E116C7">
        <w:rPr>
          <w:rFonts w:ascii="Arial" w:hAnsi="Arial" w:cs="Arial"/>
          <w:color w:val="000000"/>
        </w:rPr>
        <w:t>.</w:t>
      </w:r>
      <w:bookmarkEnd w:id="8"/>
    </w:p>
    <w:sectPr w:rsidR="00E30CAB" w:rsidRPr="0062206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D54B" w14:textId="77777777" w:rsidR="00336EAB" w:rsidRDefault="00336EAB" w:rsidP="001A3992">
      <w:pPr>
        <w:spacing w:after="0" w:line="240" w:lineRule="auto"/>
      </w:pPr>
      <w:r>
        <w:separator/>
      </w:r>
    </w:p>
  </w:endnote>
  <w:endnote w:type="continuationSeparator" w:id="0">
    <w:p w14:paraId="7D513305" w14:textId="77777777" w:rsidR="00336EAB" w:rsidRDefault="00336EAB" w:rsidP="001A3992">
      <w:pPr>
        <w:spacing w:after="0" w:line="240" w:lineRule="auto"/>
      </w:pPr>
      <w:r>
        <w:continuationSeparator/>
      </w:r>
    </w:p>
  </w:endnote>
  <w:endnote w:type="continuationNotice" w:id="1">
    <w:p w14:paraId="5A59A627" w14:textId="77777777" w:rsidR="00336EAB" w:rsidRDefault="00336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163430"/>
      <w:docPartObj>
        <w:docPartGallery w:val="Page Numbers (Bottom of Page)"/>
        <w:docPartUnique/>
      </w:docPartObj>
    </w:sdtPr>
    <w:sdtEndPr>
      <w:rPr>
        <w:rFonts w:ascii="Arial" w:hAnsi="Arial" w:cs="Arial"/>
        <w:noProof/>
        <w:sz w:val="20"/>
        <w:szCs w:val="20"/>
      </w:rPr>
    </w:sdtEndPr>
    <w:sdtContent>
      <w:p w14:paraId="0D12FDAC" w14:textId="77777777" w:rsidR="00C72ADB" w:rsidRPr="008F4ADC" w:rsidRDefault="00431ACD">
        <w:pPr>
          <w:pStyle w:val="Footer"/>
          <w:jc w:val="right"/>
          <w:rPr>
            <w:rFonts w:ascii="Arial" w:hAnsi="Arial" w:cs="Arial"/>
            <w:sz w:val="20"/>
            <w:szCs w:val="20"/>
          </w:rPr>
        </w:pPr>
        <w:r w:rsidRPr="008F4ADC">
          <w:rPr>
            <w:rFonts w:ascii="Arial" w:hAnsi="Arial" w:cs="Arial"/>
            <w:sz w:val="20"/>
            <w:szCs w:val="20"/>
          </w:rPr>
          <w:fldChar w:fldCharType="begin"/>
        </w:r>
        <w:r w:rsidRPr="008F4ADC">
          <w:rPr>
            <w:rFonts w:ascii="Arial" w:hAnsi="Arial" w:cs="Arial"/>
            <w:sz w:val="20"/>
            <w:szCs w:val="20"/>
          </w:rPr>
          <w:instrText xml:space="preserve"> PAGE   \* MERGEFORMAT </w:instrText>
        </w:r>
        <w:r w:rsidRPr="008F4ADC">
          <w:rPr>
            <w:rFonts w:ascii="Arial" w:hAnsi="Arial" w:cs="Arial"/>
            <w:sz w:val="20"/>
            <w:szCs w:val="20"/>
          </w:rPr>
          <w:fldChar w:fldCharType="separate"/>
        </w:r>
        <w:r w:rsidR="00E42B91">
          <w:rPr>
            <w:rFonts w:ascii="Arial" w:hAnsi="Arial" w:cs="Arial"/>
            <w:noProof/>
            <w:sz w:val="20"/>
            <w:szCs w:val="20"/>
          </w:rPr>
          <w:t>3</w:t>
        </w:r>
        <w:r w:rsidRPr="008F4ADC">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A354" w14:textId="77777777" w:rsidR="00336EAB" w:rsidRDefault="00336EAB" w:rsidP="001A3992">
      <w:pPr>
        <w:spacing w:after="0" w:line="240" w:lineRule="auto"/>
      </w:pPr>
      <w:r>
        <w:separator/>
      </w:r>
    </w:p>
  </w:footnote>
  <w:footnote w:type="continuationSeparator" w:id="0">
    <w:p w14:paraId="7417A47F" w14:textId="77777777" w:rsidR="00336EAB" w:rsidRDefault="00336EAB" w:rsidP="001A3992">
      <w:pPr>
        <w:spacing w:after="0" w:line="240" w:lineRule="auto"/>
      </w:pPr>
      <w:r>
        <w:continuationSeparator/>
      </w:r>
    </w:p>
  </w:footnote>
  <w:footnote w:type="continuationNotice" w:id="1">
    <w:p w14:paraId="2C5A1552" w14:textId="77777777" w:rsidR="00336EAB" w:rsidRDefault="00336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016"/>
    </w:tblGrid>
    <w:tr w:rsidR="006C516D" w:rsidRPr="000B2145" w14:paraId="20FE65A4" w14:textId="77777777" w:rsidTr="008F16B4">
      <w:trPr>
        <w:trHeight w:val="1012"/>
      </w:trPr>
      <w:tc>
        <w:tcPr>
          <w:tcW w:w="9180" w:type="dxa"/>
          <w:shd w:val="clear" w:color="auto" w:fill="E4F2E0"/>
        </w:tcPr>
        <w:p w14:paraId="366D7A6D" w14:textId="77777777" w:rsidR="006C516D" w:rsidRPr="000E4791" w:rsidRDefault="006C516D" w:rsidP="006C516D">
          <w:pPr>
            <w:pStyle w:val="Footer"/>
            <w:rPr>
              <w:b/>
              <w:sz w:val="18"/>
              <w:szCs w:val="18"/>
            </w:rPr>
          </w:pPr>
          <w:bookmarkStart w:id="9" w:name="_Hlk109054010"/>
          <w:r w:rsidRPr="007C692E">
            <w:rPr>
              <w:b/>
              <w:sz w:val="18"/>
              <w:szCs w:val="18"/>
            </w:rPr>
            <w:t>AusPAR - Omjjara – momelotinib dihydrochloride monohydrate - GlaxoSmithKline - PM-2024-00653-1-4 Final April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9"/>
  </w:tbl>
  <w:p w14:paraId="68E82908" w14:textId="77777777" w:rsidR="006C516D" w:rsidRDefault="006C5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088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7894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8490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FECF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B0B2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AEE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6250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900F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F006"/>
    <w:lvl w:ilvl="0">
      <w:start w:val="1"/>
      <w:numFmt w:val="decimal"/>
      <w:pStyle w:val="ListNumber"/>
      <w:lvlText w:val="%1."/>
      <w:lvlJc w:val="left"/>
      <w:pPr>
        <w:tabs>
          <w:tab w:val="num" w:pos="360"/>
        </w:tabs>
        <w:ind w:left="360" w:hanging="360"/>
      </w:pPr>
    </w:lvl>
  </w:abstractNum>
  <w:abstractNum w:abstractNumId="9"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B32A02"/>
    <w:multiLevelType w:val="hybridMultilevel"/>
    <w:tmpl w:val="9D707B7E"/>
    <w:lvl w:ilvl="0" w:tplc="F502E12A">
      <w:start w:val="60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593266">
    <w:abstractNumId w:val="16"/>
  </w:num>
  <w:num w:numId="2" w16cid:durableId="1285579832">
    <w:abstractNumId w:val="10"/>
  </w:num>
  <w:num w:numId="3" w16cid:durableId="1358963451">
    <w:abstractNumId w:val="9"/>
  </w:num>
  <w:num w:numId="4" w16cid:durableId="1637836462">
    <w:abstractNumId w:val="12"/>
  </w:num>
  <w:num w:numId="5" w16cid:durableId="1271165104">
    <w:abstractNumId w:val="19"/>
  </w:num>
  <w:num w:numId="6" w16cid:durableId="601376994">
    <w:abstractNumId w:val="17"/>
  </w:num>
  <w:num w:numId="7" w16cid:durableId="1004164403">
    <w:abstractNumId w:val="15"/>
  </w:num>
  <w:num w:numId="8" w16cid:durableId="1344556512">
    <w:abstractNumId w:val="18"/>
  </w:num>
  <w:num w:numId="9" w16cid:durableId="1975140499">
    <w:abstractNumId w:val="11"/>
  </w:num>
  <w:num w:numId="10" w16cid:durableId="655033116">
    <w:abstractNumId w:val="14"/>
  </w:num>
  <w:num w:numId="11" w16cid:durableId="981884694">
    <w:abstractNumId w:val="16"/>
  </w:num>
  <w:num w:numId="12" w16cid:durableId="300967111">
    <w:abstractNumId w:val="16"/>
  </w:num>
  <w:num w:numId="13" w16cid:durableId="2070229420">
    <w:abstractNumId w:val="16"/>
  </w:num>
  <w:num w:numId="14" w16cid:durableId="1141263232">
    <w:abstractNumId w:val="16"/>
  </w:num>
  <w:num w:numId="15" w16cid:durableId="1056129225">
    <w:abstractNumId w:val="16"/>
  </w:num>
  <w:num w:numId="16" w16cid:durableId="1160075683">
    <w:abstractNumId w:val="16"/>
  </w:num>
  <w:num w:numId="17" w16cid:durableId="1277712848">
    <w:abstractNumId w:val="16"/>
  </w:num>
  <w:num w:numId="18" w16cid:durableId="1907370777">
    <w:abstractNumId w:val="16"/>
  </w:num>
  <w:num w:numId="19" w16cid:durableId="298851764">
    <w:abstractNumId w:val="16"/>
  </w:num>
  <w:num w:numId="20" w16cid:durableId="15620234">
    <w:abstractNumId w:val="16"/>
  </w:num>
  <w:num w:numId="21" w16cid:durableId="299305435">
    <w:abstractNumId w:val="16"/>
  </w:num>
  <w:num w:numId="22" w16cid:durableId="1645230424">
    <w:abstractNumId w:val="16"/>
  </w:num>
  <w:num w:numId="23" w16cid:durableId="1537740873">
    <w:abstractNumId w:val="16"/>
  </w:num>
  <w:num w:numId="24" w16cid:durableId="799419276">
    <w:abstractNumId w:val="16"/>
  </w:num>
  <w:num w:numId="25" w16cid:durableId="862521441">
    <w:abstractNumId w:val="16"/>
  </w:num>
  <w:num w:numId="26" w16cid:durableId="963510775">
    <w:abstractNumId w:val="16"/>
  </w:num>
  <w:num w:numId="27" w16cid:durableId="471563546">
    <w:abstractNumId w:val="16"/>
  </w:num>
  <w:num w:numId="28" w16cid:durableId="474881383">
    <w:abstractNumId w:val="16"/>
  </w:num>
  <w:num w:numId="29" w16cid:durableId="653216457">
    <w:abstractNumId w:val="7"/>
  </w:num>
  <w:num w:numId="30" w16cid:durableId="1395933081">
    <w:abstractNumId w:val="6"/>
  </w:num>
  <w:num w:numId="31" w16cid:durableId="724791770">
    <w:abstractNumId w:val="5"/>
  </w:num>
  <w:num w:numId="32" w16cid:durableId="1175530518">
    <w:abstractNumId w:val="4"/>
  </w:num>
  <w:num w:numId="33" w16cid:durableId="673341503">
    <w:abstractNumId w:val="8"/>
  </w:num>
  <w:num w:numId="34" w16cid:durableId="368185734">
    <w:abstractNumId w:val="3"/>
  </w:num>
  <w:num w:numId="35" w16cid:durableId="128405144">
    <w:abstractNumId w:val="2"/>
  </w:num>
  <w:num w:numId="36" w16cid:durableId="401879783">
    <w:abstractNumId w:val="1"/>
  </w:num>
  <w:num w:numId="37" w16cid:durableId="1363245912">
    <w:abstractNumId w:val="0"/>
  </w:num>
  <w:num w:numId="38" w16cid:durableId="3239029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7ed495-8c42-4013-a84f-bccd08b0b5ae" w:val=" "/>
    <w:docVar w:name="vault_nd_031843c9-9c36-4e56-9911-ef5f929f274e" w:val=" "/>
    <w:docVar w:name="vault_nd_080fd372-21d5-4243-82c0-69bd0e61ea06" w:val=" "/>
    <w:docVar w:name="VAULT_ND_097c80d9-650b-4ea4-b2fd-a0883324db70" w:val=" "/>
    <w:docVar w:name="vault_nd_0a8e1e65-c253-44fe-a567-d9e4001a1bdb" w:val=" "/>
    <w:docVar w:name="vault_nd_0e82fd74-ef82-4235-886e-d5fdf8976cf7" w:val=" "/>
    <w:docVar w:name="VAULT_ND_10d1f3b7-5457-4181-8dae-ba873512dedd" w:val=" "/>
    <w:docVar w:name="vault_nd_1196152f-b446-457e-94ca-b4b36cee58e6" w:val=" "/>
    <w:docVar w:name="VAULT_ND_11f032c0-f625-487e-9620-eea2c22ed6c7" w:val=" "/>
    <w:docVar w:name="VAULT_ND_11f9fb44-707c-4589-ac15-0511a56c9b3d" w:val=" "/>
    <w:docVar w:name="vault_nd_16be3e8f-f9db-43f0-8128-71e2e76f1fbb" w:val=" "/>
    <w:docVar w:name="VAULT_ND_29546d73-054b-4779-9fdd-b5f1c2fa6cdf" w:val=" "/>
    <w:docVar w:name="VAULT_ND_2d7b4980-b757-41ad-bb7c-7ec321ecabd1" w:val=" "/>
    <w:docVar w:name="vault_nd_30e2c449-82ae-48c0-8112-37a952c4046d" w:val=" "/>
    <w:docVar w:name="VAULT_ND_32d351d8-6061-43b0-872b-9010890487ae" w:val=" "/>
    <w:docVar w:name="vault_nd_359acad7-a088-4ff6-acee-f46ff9466cb4" w:val=" "/>
    <w:docVar w:name="VAULT_ND_3feda5f4-d85f-436e-9d78-beedafc7df87" w:val=" "/>
    <w:docVar w:name="VAULT_ND_4018acbe-9829-4e9b-b6ea-a091532f824c" w:val=" "/>
    <w:docVar w:name="vault_nd_406f9555-79df-4dbd-992a-5eca964eb6fe" w:val=" "/>
    <w:docVar w:name="VAULT_ND_4800a35e-0199-43a0-bc9c-ac07a3e5bba0" w:val=" "/>
    <w:docVar w:name="VAULT_ND_494ac62f-4fb5-4a34-8c30-79d4cd1346a2" w:val=" "/>
    <w:docVar w:name="VAULT_ND_4db32b5b-1418-472d-8279-fffc5300148b" w:val=" "/>
    <w:docVar w:name="VAULT_ND_4f84bbbb-dd47-4357-80b4-2ff449cb9add" w:val=" "/>
    <w:docVar w:name="vault_nd_51737689-3d62-4689-a05d-99359b97e14e" w:val=" "/>
    <w:docVar w:name="vault_nd_551d7353-7429-4379-8be3-c1581d293784" w:val=" "/>
    <w:docVar w:name="VAULT_ND_590092ea-a3f1-4ca4-81de-3c575a0e28e6" w:val=" "/>
    <w:docVar w:name="VAULT_ND_5ba3bf49-9461-4237-af0b-21fe1ce61753" w:val=" "/>
    <w:docVar w:name="VAULT_ND_690dfca3-dc71-4042-ba81-272c4326e84e" w:val=" "/>
    <w:docVar w:name="vault_nd_6c3a61fe-2994-4d43-9a67-e89e0b76eed7" w:val=" "/>
    <w:docVar w:name="vault_nd_7192a9ea-5ba8-44fd-9c53-49532adb9e23" w:val=" "/>
    <w:docVar w:name="vault_nd_7deceb23-f599-465b-94b8-db747f32fdef" w:val=" "/>
    <w:docVar w:name="vault_nd_7f6694aa-6a14-4c94-85a9-1abaebb9045e" w:val=" "/>
    <w:docVar w:name="vault_nd_82710c1f-47a8-4dbb-91f1-10ec1b0e8aed" w:val=" "/>
    <w:docVar w:name="VAULT_ND_8936269c-5f88-4fad-84ce-98c993bc2489" w:val=" "/>
    <w:docVar w:name="VAULT_ND_8d7b8e06-30ea-405e-a3e6-04f525292293" w:val=" "/>
    <w:docVar w:name="vault_nd_93448d09-ad20-4b46-abbe-a3bf0a611a85" w:val=" "/>
    <w:docVar w:name="VAULT_ND_9600c13c-ddbf-4e44-bc57-c61d186e2703" w:val=" "/>
    <w:docVar w:name="vault_nd_97241481-1709-40c5-9eb2-7a5dbe73bd21" w:val=" "/>
    <w:docVar w:name="vault_nd_9876c04d-1f26-42dd-b194-bd713513dd18" w:val=" "/>
    <w:docVar w:name="vault_nd_9e32b0e8-6bbe-43b9-a1d4-069f5fb288d1" w:val=" "/>
    <w:docVar w:name="vault_nd_9e976ca3-e52e-472a-aea0-25390ba97100" w:val=" "/>
    <w:docVar w:name="vault_nd_a5d14a03-cc1f-4a88-b2cb-ed1f43b8698d" w:val=" "/>
    <w:docVar w:name="VAULT_ND_b197a435-323a-4268-bc9b-a40c78fffde8" w:val=" "/>
    <w:docVar w:name="vault_nd_b2f8d629-6533-4284-8cd1-32fc1000a7e7" w:val=" "/>
    <w:docVar w:name="VAULT_ND_b41c5eb5-3f68-465e-b742-67135bfc4b2d" w:val=" "/>
    <w:docVar w:name="VAULT_ND_ba578502-70e3-47eb-abc7-3d9ae563b647" w:val=" "/>
    <w:docVar w:name="vault_nd_bf1401f0-1013-44f6-8844-7f0e7b61044a" w:val=" "/>
    <w:docVar w:name="vault_nd_c0e302e3-7535-4ff2-8a8d-f4da5a3eb094" w:val=" "/>
    <w:docVar w:name="VAULT_ND_c3735149-f4df-4ed4-82a0-fcfc220ea4c3" w:val=" "/>
    <w:docVar w:name="vault_nd_c4d64b3e-d694-4c95-9ce1-1b4a5655e026" w:val=" "/>
    <w:docVar w:name="vault_nd_c67aa8ea-93bb-447c-b508-f877b8cfd0bf" w:val=" "/>
    <w:docVar w:name="VAULT_ND_c833ae70-564a-496d-a5d4-f41130724e69" w:val=" "/>
    <w:docVar w:name="vault_nd_c91f6482-14de-4fc5-98d6-6e75b11e690d" w:val=" "/>
    <w:docVar w:name="vault_nd_cd4f064b-c6a7-4a4a-8850-3088cd4fb3aa" w:val=" "/>
    <w:docVar w:name="VAULT_ND_d2f5294a-d875-442a-a12b-b3166a57d0f7" w:val=" "/>
    <w:docVar w:name="vault_nd_df4e7e72-3c90-4b5b-92bb-0bbf8a917b21" w:val=" "/>
    <w:docVar w:name="vault_nd_e50d505b-70d2-45bc-a40e-4ecc018f325e" w:val=" "/>
    <w:docVar w:name="vault_nd_e873deac-e6f7-4a35-bf5d-996e50ede343" w:val=" "/>
    <w:docVar w:name="vault_nd_ebf9f6ec-61d7-442e-8d69-3d0240d8fe0a" w:val=" "/>
    <w:docVar w:name="VAULT_ND_ecc827fa-1dc9-4fa6-bbfb-49c101951eef" w:val=" "/>
    <w:docVar w:name="VAULT_ND_eceb9c8f-7e19-46de-a1ab-8ceedc052417" w:val=" "/>
    <w:docVar w:name="VAULT_ND_f28bbffb-fb7d-4fa0-9b1f-240364df4a8a" w:val=" "/>
    <w:docVar w:name="VAULT_ND_f3938570-829b-45c7-9760-d262ae49ad91" w:val=" "/>
    <w:docVar w:name="VAULT_ND_f3e5b65a-3c2f-498e-95a3-07a4377fe263" w:val=" "/>
    <w:docVar w:name="VAULT_ND_fc27a934-5349-4396-b474-fc343824579f" w:val=" "/>
  </w:docVars>
  <w:rsids>
    <w:rsidRoot w:val="001A3992"/>
    <w:rsid w:val="000021FB"/>
    <w:rsid w:val="000045D4"/>
    <w:rsid w:val="00020926"/>
    <w:rsid w:val="00024B8A"/>
    <w:rsid w:val="00025F29"/>
    <w:rsid w:val="00027ABF"/>
    <w:rsid w:val="00042302"/>
    <w:rsid w:val="00042BE0"/>
    <w:rsid w:val="0004368D"/>
    <w:rsid w:val="000468E0"/>
    <w:rsid w:val="00053953"/>
    <w:rsid w:val="00061F42"/>
    <w:rsid w:val="00071855"/>
    <w:rsid w:val="00071973"/>
    <w:rsid w:val="00082F3B"/>
    <w:rsid w:val="00083438"/>
    <w:rsid w:val="000845BD"/>
    <w:rsid w:val="0008635B"/>
    <w:rsid w:val="00094038"/>
    <w:rsid w:val="00095F6E"/>
    <w:rsid w:val="00097812"/>
    <w:rsid w:val="000A0754"/>
    <w:rsid w:val="000A192C"/>
    <w:rsid w:val="000B2B90"/>
    <w:rsid w:val="000B7686"/>
    <w:rsid w:val="000C3D84"/>
    <w:rsid w:val="000C717C"/>
    <w:rsid w:val="000D0A5B"/>
    <w:rsid w:val="000D7473"/>
    <w:rsid w:val="000D761D"/>
    <w:rsid w:val="000E3415"/>
    <w:rsid w:val="000E47EC"/>
    <w:rsid w:val="000E7CBC"/>
    <w:rsid w:val="000F0D75"/>
    <w:rsid w:val="000F5F06"/>
    <w:rsid w:val="000F77B1"/>
    <w:rsid w:val="00103892"/>
    <w:rsid w:val="00113009"/>
    <w:rsid w:val="00113E2B"/>
    <w:rsid w:val="00120E36"/>
    <w:rsid w:val="0012498A"/>
    <w:rsid w:val="00125E7C"/>
    <w:rsid w:val="00132D5E"/>
    <w:rsid w:val="001522A5"/>
    <w:rsid w:val="00156B2B"/>
    <w:rsid w:val="00166173"/>
    <w:rsid w:val="00171757"/>
    <w:rsid w:val="00175FB9"/>
    <w:rsid w:val="00182135"/>
    <w:rsid w:val="00192B94"/>
    <w:rsid w:val="001A3992"/>
    <w:rsid w:val="001A78D0"/>
    <w:rsid w:val="001B0AA7"/>
    <w:rsid w:val="001B5CB2"/>
    <w:rsid w:val="001C1F96"/>
    <w:rsid w:val="001C5CB0"/>
    <w:rsid w:val="001C61F7"/>
    <w:rsid w:val="001C7089"/>
    <w:rsid w:val="001E31E9"/>
    <w:rsid w:val="001E3868"/>
    <w:rsid w:val="001F5507"/>
    <w:rsid w:val="002011FA"/>
    <w:rsid w:val="00212C32"/>
    <w:rsid w:val="00213A77"/>
    <w:rsid w:val="00214005"/>
    <w:rsid w:val="002205EA"/>
    <w:rsid w:val="0022673C"/>
    <w:rsid w:val="00226D07"/>
    <w:rsid w:val="002347A9"/>
    <w:rsid w:val="00234E25"/>
    <w:rsid w:val="00237EFE"/>
    <w:rsid w:val="00240C03"/>
    <w:rsid w:val="00260B22"/>
    <w:rsid w:val="00261149"/>
    <w:rsid w:val="0026230E"/>
    <w:rsid w:val="00270AA3"/>
    <w:rsid w:val="00277859"/>
    <w:rsid w:val="00285173"/>
    <w:rsid w:val="00285A21"/>
    <w:rsid w:val="00297D17"/>
    <w:rsid w:val="002B566D"/>
    <w:rsid w:val="002C54F7"/>
    <w:rsid w:val="002E060E"/>
    <w:rsid w:val="002E0DAD"/>
    <w:rsid w:val="002E161F"/>
    <w:rsid w:val="002E277D"/>
    <w:rsid w:val="002F1BA6"/>
    <w:rsid w:val="002F2CB2"/>
    <w:rsid w:val="0030352D"/>
    <w:rsid w:val="003162EE"/>
    <w:rsid w:val="00317CE5"/>
    <w:rsid w:val="003212A1"/>
    <w:rsid w:val="00336EAB"/>
    <w:rsid w:val="00341986"/>
    <w:rsid w:val="003435F9"/>
    <w:rsid w:val="00344F97"/>
    <w:rsid w:val="003454D3"/>
    <w:rsid w:val="00351F3C"/>
    <w:rsid w:val="00354C3E"/>
    <w:rsid w:val="0035514A"/>
    <w:rsid w:val="00355CAF"/>
    <w:rsid w:val="00357769"/>
    <w:rsid w:val="003603E2"/>
    <w:rsid w:val="00362C95"/>
    <w:rsid w:val="00367661"/>
    <w:rsid w:val="00375DF3"/>
    <w:rsid w:val="00381DC7"/>
    <w:rsid w:val="00391BB7"/>
    <w:rsid w:val="00391DBC"/>
    <w:rsid w:val="003A20F4"/>
    <w:rsid w:val="003A2EC3"/>
    <w:rsid w:val="003A46FD"/>
    <w:rsid w:val="003B1E43"/>
    <w:rsid w:val="003B3ADF"/>
    <w:rsid w:val="003B5BB2"/>
    <w:rsid w:val="003C0A19"/>
    <w:rsid w:val="003C332B"/>
    <w:rsid w:val="003D7911"/>
    <w:rsid w:val="003E7B76"/>
    <w:rsid w:val="00412867"/>
    <w:rsid w:val="00421587"/>
    <w:rsid w:val="0042567E"/>
    <w:rsid w:val="00427795"/>
    <w:rsid w:val="00431ACD"/>
    <w:rsid w:val="00436810"/>
    <w:rsid w:val="00451CFA"/>
    <w:rsid w:val="004539EB"/>
    <w:rsid w:val="00454020"/>
    <w:rsid w:val="00454FFE"/>
    <w:rsid w:val="00456594"/>
    <w:rsid w:val="004815EC"/>
    <w:rsid w:val="0048684D"/>
    <w:rsid w:val="004925CF"/>
    <w:rsid w:val="00492B91"/>
    <w:rsid w:val="004A4C33"/>
    <w:rsid w:val="004B6B19"/>
    <w:rsid w:val="004B743D"/>
    <w:rsid w:val="004C065E"/>
    <w:rsid w:val="004C11F9"/>
    <w:rsid w:val="004C388E"/>
    <w:rsid w:val="004C5F22"/>
    <w:rsid w:val="004C7193"/>
    <w:rsid w:val="004D3D30"/>
    <w:rsid w:val="004D6D2F"/>
    <w:rsid w:val="004E0391"/>
    <w:rsid w:val="004F11EB"/>
    <w:rsid w:val="004F5F45"/>
    <w:rsid w:val="00501BDE"/>
    <w:rsid w:val="00502780"/>
    <w:rsid w:val="00504101"/>
    <w:rsid w:val="00512A8A"/>
    <w:rsid w:val="00513DC6"/>
    <w:rsid w:val="00514CC3"/>
    <w:rsid w:val="00515304"/>
    <w:rsid w:val="005160D1"/>
    <w:rsid w:val="00516953"/>
    <w:rsid w:val="00517077"/>
    <w:rsid w:val="0051796F"/>
    <w:rsid w:val="00522F0F"/>
    <w:rsid w:val="00531375"/>
    <w:rsid w:val="00541A8D"/>
    <w:rsid w:val="005476F5"/>
    <w:rsid w:val="00547ACF"/>
    <w:rsid w:val="00552D12"/>
    <w:rsid w:val="00552DBF"/>
    <w:rsid w:val="005532D3"/>
    <w:rsid w:val="00555A3C"/>
    <w:rsid w:val="00557494"/>
    <w:rsid w:val="005662D8"/>
    <w:rsid w:val="00586582"/>
    <w:rsid w:val="00591E80"/>
    <w:rsid w:val="00595376"/>
    <w:rsid w:val="00596265"/>
    <w:rsid w:val="00597D67"/>
    <w:rsid w:val="005A0003"/>
    <w:rsid w:val="005A7A19"/>
    <w:rsid w:val="005B1D1E"/>
    <w:rsid w:val="005B2812"/>
    <w:rsid w:val="005B3F93"/>
    <w:rsid w:val="005B5D6D"/>
    <w:rsid w:val="005C50DC"/>
    <w:rsid w:val="005D1BB6"/>
    <w:rsid w:val="005E1E9A"/>
    <w:rsid w:val="005E456A"/>
    <w:rsid w:val="005E4F7D"/>
    <w:rsid w:val="005E53D5"/>
    <w:rsid w:val="005E5E15"/>
    <w:rsid w:val="005E60AF"/>
    <w:rsid w:val="005E6EA5"/>
    <w:rsid w:val="005E75C8"/>
    <w:rsid w:val="005F0772"/>
    <w:rsid w:val="006018AE"/>
    <w:rsid w:val="00606CEB"/>
    <w:rsid w:val="00611740"/>
    <w:rsid w:val="00612D7A"/>
    <w:rsid w:val="0061400E"/>
    <w:rsid w:val="00620018"/>
    <w:rsid w:val="00620B94"/>
    <w:rsid w:val="00621591"/>
    <w:rsid w:val="00622066"/>
    <w:rsid w:val="00624B57"/>
    <w:rsid w:val="00633C14"/>
    <w:rsid w:val="00635E32"/>
    <w:rsid w:val="0064394F"/>
    <w:rsid w:val="006463FE"/>
    <w:rsid w:val="0064762A"/>
    <w:rsid w:val="006911E8"/>
    <w:rsid w:val="006A0BFB"/>
    <w:rsid w:val="006B43F0"/>
    <w:rsid w:val="006B61E7"/>
    <w:rsid w:val="006C1037"/>
    <w:rsid w:val="006C267A"/>
    <w:rsid w:val="006C516D"/>
    <w:rsid w:val="006C61B5"/>
    <w:rsid w:val="006D2F36"/>
    <w:rsid w:val="006D6F1B"/>
    <w:rsid w:val="006E561E"/>
    <w:rsid w:val="006E595D"/>
    <w:rsid w:val="006E7AAA"/>
    <w:rsid w:val="0071264D"/>
    <w:rsid w:val="00723678"/>
    <w:rsid w:val="0074568D"/>
    <w:rsid w:val="007475B7"/>
    <w:rsid w:val="00752A96"/>
    <w:rsid w:val="007546A1"/>
    <w:rsid w:val="00760E64"/>
    <w:rsid w:val="00762A78"/>
    <w:rsid w:val="00763FCC"/>
    <w:rsid w:val="00767165"/>
    <w:rsid w:val="00767416"/>
    <w:rsid w:val="0078234E"/>
    <w:rsid w:val="00784D29"/>
    <w:rsid w:val="0078654C"/>
    <w:rsid w:val="00787A93"/>
    <w:rsid w:val="00795657"/>
    <w:rsid w:val="007B2B70"/>
    <w:rsid w:val="007B32C9"/>
    <w:rsid w:val="007B7596"/>
    <w:rsid w:val="007C1790"/>
    <w:rsid w:val="007C2DE4"/>
    <w:rsid w:val="007C66C8"/>
    <w:rsid w:val="007C7BA0"/>
    <w:rsid w:val="007E0E9F"/>
    <w:rsid w:val="007E657E"/>
    <w:rsid w:val="007F174F"/>
    <w:rsid w:val="007F5774"/>
    <w:rsid w:val="007F6748"/>
    <w:rsid w:val="00822657"/>
    <w:rsid w:val="00831B05"/>
    <w:rsid w:val="008320FE"/>
    <w:rsid w:val="00833027"/>
    <w:rsid w:val="0083392E"/>
    <w:rsid w:val="00834221"/>
    <w:rsid w:val="0084315F"/>
    <w:rsid w:val="00851F3B"/>
    <w:rsid w:val="00854564"/>
    <w:rsid w:val="00861D5E"/>
    <w:rsid w:val="00863E70"/>
    <w:rsid w:val="00865548"/>
    <w:rsid w:val="00872F35"/>
    <w:rsid w:val="0087448D"/>
    <w:rsid w:val="00874A1C"/>
    <w:rsid w:val="00875B09"/>
    <w:rsid w:val="008932D5"/>
    <w:rsid w:val="00894582"/>
    <w:rsid w:val="0089497A"/>
    <w:rsid w:val="008A1F76"/>
    <w:rsid w:val="008A546A"/>
    <w:rsid w:val="008B6009"/>
    <w:rsid w:val="008B6246"/>
    <w:rsid w:val="008C0404"/>
    <w:rsid w:val="008C26BB"/>
    <w:rsid w:val="008C5627"/>
    <w:rsid w:val="008D1D58"/>
    <w:rsid w:val="008D2E76"/>
    <w:rsid w:val="008D3BFB"/>
    <w:rsid w:val="008D3C7B"/>
    <w:rsid w:val="008D3DAF"/>
    <w:rsid w:val="008E304B"/>
    <w:rsid w:val="008E3794"/>
    <w:rsid w:val="008F10B5"/>
    <w:rsid w:val="008F4533"/>
    <w:rsid w:val="008F4ADC"/>
    <w:rsid w:val="00903BDF"/>
    <w:rsid w:val="00905FE6"/>
    <w:rsid w:val="0090713F"/>
    <w:rsid w:val="00911034"/>
    <w:rsid w:val="0091147C"/>
    <w:rsid w:val="00911F56"/>
    <w:rsid w:val="00914882"/>
    <w:rsid w:val="00932806"/>
    <w:rsid w:val="0094029E"/>
    <w:rsid w:val="00947A7B"/>
    <w:rsid w:val="00951085"/>
    <w:rsid w:val="009550AB"/>
    <w:rsid w:val="0096007A"/>
    <w:rsid w:val="00960CD5"/>
    <w:rsid w:val="009651F7"/>
    <w:rsid w:val="00966AA3"/>
    <w:rsid w:val="00966B66"/>
    <w:rsid w:val="00971D28"/>
    <w:rsid w:val="0097275B"/>
    <w:rsid w:val="00973FE3"/>
    <w:rsid w:val="0097599A"/>
    <w:rsid w:val="00975C8F"/>
    <w:rsid w:val="00981612"/>
    <w:rsid w:val="00986C41"/>
    <w:rsid w:val="00991D9D"/>
    <w:rsid w:val="009B03C2"/>
    <w:rsid w:val="009B12AA"/>
    <w:rsid w:val="009B1D4A"/>
    <w:rsid w:val="009B3171"/>
    <w:rsid w:val="009C5668"/>
    <w:rsid w:val="009D6887"/>
    <w:rsid w:val="009D7725"/>
    <w:rsid w:val="009E329C"/>
    <w:rsid w:val="009E6BBF"/>
    <w:rsid w:val="009F124D"/>
    <w:rsid w:val="009F4BA6"/>
    <w:rsid w:val="00A0394B"/>
    <w:rsid w:val="00A06858"/>
    <w:rsid w:val="00A07898"/>
    <w:rsid w:val="00A10ED7"/>
    <w:rsid w:val="00A21DAB"/>
    <w:rsid w:val="00A21EB4"/>
    <w:rsid w:val="00A3113D"/>
    <w:rsid w:val="00A518D9"/>
    <w:rsid w:val="00A52441"/>
    <w:rsid w:val="00A57841"/>
    <w:rsid w:val="00A64655"/>
    <w:rsid w:val="00AA0546"/>
    <w:rsid w:val="00AA2CA8"/>
    <w:rsid w:val="00AA3D67"/>
    <w:rsid w:val="00AA4775"/>
    <w:rsid w:val="00AC00E2"/>
    <w:rsid w:val="00AC425B"/>
    <w:rsid w:val="00AC61B6"/>
    <w:rsid w:val="00AC7732"/>
    <w:rsid w:val="00AD55AD"/>
    <w:rsid w:val="00AE1EBD"/>
    <w:rsid w:val="00AE5D24"/>
    <w:rsid w:val="00AE5FAD"/>
    <w:rsid w:val="00AF238D"/>
    <w:rsid w:val="00AF3D0F"/>
    <w:rsid w:val="00AF6AB0"/>
    <w:rsid w:val="00AF7E25"/>
    <w:rsid w:val="00B00F70"/>
    <w:rsid w:val="00B0207A"/>
    <w:rsid w:val="00B06C5C"/>
    <w:rsid w:val="00B13828"/>
    <w:rsid w:val="00B152DD"/>
    <w:rsid w:val="00B152ED"/>
    <w:rsid w:val="00B154A1"/>
    <w:rsid w:val="00B16C5A"/>
    <w:rsid w:val="00B26A2C"/>
    <w:rsid w:val="00B314D8"/>
    <w:rsid w:val="00B37D4A"/>
    <w:rsid w:val="00B41860"/>
    <w:rsid w:val="00B43B73"/>
    <w:rsid w:val="00B45021"/>
    <w:rsid w:val="00B52DB1"/>
    <w:rsid w:val="00B551D5"/>
    <w:rsid w:val="00B56155"/>
    <w:rsid w:val="00B57FAC"/>
    <w:rsid w:val="00B67FB3"/>
    <w:rsid w:val="00B702FA"/>
    <w:rsid w:val="00B778F1"/>
    <w:rsid w:val="00B91766"/>
    <w:rsid w:val="00B93C26"/>
    <w:rsid w:val="00BA0D6D"/>
    <w:rsid w:val="00BA64CC"/>
    <w:rsid w:val="00BB14C2"/>
    <w:rsid w:val="00BB4C71"/>
    <w:rsid w:val="00BB6E53"/>
    <w:rsid w:val="00BD5B62"/>
    <w:rsid w:val="00BE2A26"/>
    <w:rsid w:val="00BF673C"/>
    <w:rsid w:val="00C05027"/>
    <w:rsid w:val="00C11A03"/>
    <w:rsid w:val="00C12AF3"/>
    <w:rsid w:val="00C13167"/>
    <w:rsid w:val="00C15BF3"/>
    <w:rsid w:val="00C21412"/>
    <w:rsid w:val="00C254BF"/>
    <w:rsid w:val="00C25865"/>
    <w:rsid w:val="00C317E1"/>
    <w:rsid w:val="00C327ED"/>
    <w:rsid w:val="00C40B8B"/>
    <w:rsid w:val="00C576B5"/>
    <w:rsid w:val="00C71DEF"/>
    <w:rsid w:val="00C72ADB"/>
    <w:rsid w:val="00C978C4"/>
    <w:rsid w:val="00CA1763"/>
    <w:rsid w:val="00CA4D06"/>
    <w:rsid w:val="00CA5682"/>
    <w:rsid w:val="00CB2AC2"/>
    <w:rsid w:val="00CB5144"/>
    <w:rsid w:val="00CC1707"/>
    <w:rsid w:val="00CC75FD"/>
    <w:rsid w:val="00CD2506"/>
    <w:rsid w:val="00CD2BD4"/>
    <w:rsid w:val="00CD5A25"/>
    <w:rsid w:val="00CE049C"/>
    <w:rsid w:val="00CE0CD2"/>
    <w:rsid w:val="00CE202F"/>
    <w:rsid w:val="00CE48CA"/>
    <w:rsid w:val="00CE6790"/>
    <w:rsid w:val="00CE7B2C"/>
    <w:rsid w:val="00CF29E2"/>
    <w:rsid w:val="00CF3CD7"/>
    <w:rsid w:val="00D0776D"/>
    <w:rsid w:val="00D14A77"/>
    <w:rsid w:val="00D15367"/>
    <w:rsid w:val="00D209FC"/>
    <w:rsid w:val="00D44FAE"/>
    <w:rsid w:val="00D45FE2"/>
    <w:rsid w:val="00D4606A"/>
    <w:rsid w:val="00D51C01"/>
    <w:rsid w:val="00D7262B"/>
    <w:rsid w:val="00D767D4"/>
    <w:rsid w:val="00D771B3"/>
    <w:rsid w:val="00D77803"/>
    <w:rsid w:val="00D823CD"/>
    <w:rsid w:val="00D83893"/>
    <w:rsid w:val="00D87AF0"/>
    <w:rsid w:val="00D95DF2"/>
    <w:rsid w:val="00DA578B"/>
    <w:rsid w:val="00DB4D83"/>
    <w:rsid w:val="00DD364C"/>
    <w:rsid w:val="00DE059F"/>
    <w:rsid w:val="00DE6327"/>
    <w:rsid w:val="00DF07AB"/>
    <w:rsid w:val="00DF6CBB"/>
    <w:rsid w:val="00E01874"/>
    <w:rsid w:val="00E07011"/>
    <w:rsid w:val="00E110AB"/>
    <w:rsid w:val="00E12279"/>
    <w:rsid w:val="00E13588"/>
    <w:rsid w:val="00E24F4D"/>
    <w:rsid w:val="00E255BC"/>
    <w:rsid w:val="00E30CAB"/>
    <w:rsid w:val="00E4141A"/>
    <w:rsid w:val="00E42B91"/>
    <w:rsid w:val="00E43121"/>
    <w:rsid w:val="00E44ACA"/>
    <w:rsid w:val="00E460C2"/>
    <w:rsid w:val="00E505FE"/>
    <w:rsid w:val="00E601D3"/>
    <w:rsid w:val="00E6110E"/>
    <w:rsid w:val="00E62B0A"/>
    <w:rsid w:val="00E649B0"/>
    <w:rsid w:val="00E72CFE"/>
    <w:rsid w:val="00E74A56"/>
    <w:rsid w:val="00E753BF"/>
    <w:rsid w:val="00E81BFF"/>
    <w:rsid w:val="00E82871"/>
    <w:rsid w:val="00E91EA1"/>
    <w:rsid w:val="00EA14DB"/>
    <w:rsid w:val="00EC1110"/>
    <w:rsid w:val="00EC1A65"/>
    <w:rsid w:val="00EC2CD1"/>
    <w:rsid w:val="00EC7772"/>
    <w:rsid w:val="00ED23A7"/>
    <w:rsid w:val="00ED7CF8"/>
    <w:rsid w:val="00EE3239"/>
    <w:rsid w:val="00EE591B"/>
    <w:rsid w:val="00EF5E96"/>
    <w:rsid w:val="00F016DE"/>
    <w:rsid w:val="00F01F06"/>
    <w:rsid w:val="00F02752"/>
    <w:rsid w:val="00F02FFE"/>
    <w:rsid w:val="00F04E38"/>
    <w:rsid w:val="00F147D2"/>
    <w:rsid w:val="00F23852"/>
    <w:rsid w:val="00F301FF"/>
    <w:rsid w:val="00F3614C"/>
    <w:rsid w:val="00F43267"/>
    <w:rsid w:val="00F4756E"/>
    <w:rsid w:val="00F47FC3"/>
    <w:rsid w:val="00F5199E"/>
    <w:rsid w:val="00F519A4"/>
    <w:rsid w:val="00F522D2"/>
    <w:rsid w:val="00F54052"/>
    <w:rsid w:val="00F55073"/>
    <w:rsid w:val="00F602D1"/>
    <w:rsid w:val="00F60B5D"/>
    <w:rsid w:val="00F654FC"/>
    <w:rsid w:val="00F743AC"/>
    <w:rsid w:val="00F8357D"/>
    <w:rsid w:val="00F853E7"/>
    <w:rsid w:val="00F8580A"/>
    <w:rsid w:val="00F86DC6"/>
    <w:rsid w:val="00F91458"/>
    <w:rsid w:val="00FA2C5F"/>
    <w:rsid w:val="00FA43C2"/>
    <w:rsid w:val="00FB1704"/>
    <w:rsid w:val="00FB2131"/>
    <w:rsid w:val="00FB3FD5"/>
    <w:rsid w:val="00FB59A4"/>
    <w:rsid w:val="00FB681B"/>
    <w:rsid w:val="00FB6AC2"/>
    <w:rsid w:val="00FB6B1B"/>
    <w:rsid w:val="00FC082B"/>
    <w:rsid w:val="00FC1C5C"/>
    <w:rsid w:val="00FC28CA"/>
    <w:rsid w:val="00FE02A2"/>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31BD9"/>
  <w15:docId w15:val="{74780C7E-FC77-4165-AAF8-13AB3D48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AA3"/>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aliases w:val="Annotationmark"/>
    <w:basedOn w:val="DefaultParagraphFont"/>
    <w:uiPriority w:val="99"/>
    <w:unhideWhenUsed/>
    <w:rsid w:val="001A3992"/>
    <w:rPr>
      <w:sz w:val="16"/>
      <w:szCs w:val="16"/>
    </w:rPr>
  </w:style>
  <w:style w:type="paragraph" w:styleId="CommentText">
    <w:name w:val="annotation text"/>
    <w:aliases w:val="Annotationtext,Comment Text Char Char,Comment Text Char1 Char Char,Comment Text Char Char Char Char,Comment Text Char Char1,- H19,Comment Text Char2 Char,Car6,Comment Text Char1 Char,Char1,Char2, Char1, Char Char, Char,Char,Kommentarer"/>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Comment Text Char1 Char Char1"/>
    <w:basedOn w:val="DefaultParagraphFont"/>
    <w:link w:val="CommentText"/>
    <w:uiPriority w:val="99"/>
    <w:qForma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unhideWhenUsed/>
    <w:rsid w:val="00071855"/>
    <w:pPr>
      <w:spacing w:after="120"/>
    </w:pPr>
  </w:style>
  <w:style w:type="character" w:customStyle="1" w:styleId="BodyTextChar">
    <w:name w:val="Body Text Char"/>
    <w:basedOn w:val="DefaultParagraphFont"/>
    <w:link w:val="BodyText"/>
    <w:uiPriority w:val="99"/>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uiPriority w:val="35"/>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iPriority w:val="99"/>
    <w:semiHidden/>
    <w:unhideWhenUsed/>
    <w:rsid w:val="00071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9"/>
      </w:numPr>
      <w:contextualSpacing/>
    </w:pPr>
  </w:style>
  <w:style w:type="paragraph" w:styleId="ListBullet3">
    <w:name w:val="List Bullet 3"/>
    <w:basedOn w:val="Normal"/>
    <w:uiPriority w:val="99"/>
    <w:semiHidden/>
    <w:unhideWhenUsed/>
    <w:rsid w:val="00071855"/>
    <w:pPr>
      <w:numPr>
        <w:numId w:val="30"/>
      </w:numPr>
      <w:contextualSpacing/>
    </w:pPr>
  </w:style>
  <w:style w:type="paragraph" w:styleId="ListBullet4">
    <w:name w:val="List Bullet 4"/>
    <w:basedOn w:val="Normal"/>
    <w:uiPriority w:val="99"/>
    <w:semiHidden/>
    <w:unhideWhenUsed/>
    <w:rsid w:val="00071855"/>
    <w:pPr>
      <w:numPr>
        <w:numId w:val="31"/>
      </w:numPr>
      <w:contextualSpacing/>
    </w:pPr>
  </w:style>
  <w:style w:type="paragraph" w:styleId="ListBullet5">
    <w:name w:val="List Bullet 5"/>
    <w:basedOn w:val="Normal"/>
    <w:uiPriority w:val="99"/>
    <w:semiHidden/>
    <w:unhideWhenUsed/>
    <w:rsid w:val="00071855"/>
    <w:pPr>
      <w:numPr>
        <w:numId w:val="32"/>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33"/>
      </w:numPr>
      <w:contextualSpacing/>
    </w:pPr>
  </w:style>
  <w:style w:type="paragraph" w:styleId="ListNumber2">
    <w:name w:val="List Number 2"/>
    <w:basedOn w:val="Normal"/>
    <w:uiPriority w:val="99"/>
    <w:semiHidden/>
    <w:unhideWhenUsed/>
    <w:rsid w:val="00071855"/>
    <w:pPr>
      <w:numPr>
        <w:numId w:val="34"/>
      </w:numPr>
      <w:contextualSpacing/>
    </w:pPr>
  </w:style>
  <w:style w:type="paragraph" w:styleId="ListNumber3">
    <w:name w:val="List Number 3"/>
    <w:basedOn w:val="Normal"/>
    <w:uiPriority w:val="99"/>
    <w:semiHidden/>
    <w:unhideWhenUsed/>
    <w:rsid w:val="00071855"/>
    <w:pPr>
      <w:numPr>
        <w:numId w:val="35"/>
      </w:numPr>
      <w:contextualSpacing/>
    </w:pPr>
  </w:style>
  <w:style w:type="paragraph" w:styleId="ListNumber4">
    <w:name w:val="List Number 4"/>
    <w:basedOn w:val="Normal"/>
    <w:uiPriority w:val="99"/>
    <w:semiHidden/>
    <w:unhideWhenUsed/>
    <w:rsid w:val="00071855"/>
    <w:pPr>
      <w:numPr>
        <w:numId w:val="36"/>
      </w:numPr>
      <w:contextualSpacing/>
    </w:pPr>
  </w:style>
  <w:style w:type="paragraph" w:styleId="ListNumber5">
    <w:name w:val="List Number 5"/>
    <w:basedOn w:val="Normal"/>
    <w:uiPriority w:val="99"/>
    <w:semiHidden/>
    <w:unhideWhenUsed/>
    <w:rsid w:val="00071855"/>
    <w:pPr>
      <w:numPr>
        <w:numId w:val="37"/>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semiHidden/>
    <w:unhideWhenUsed/>
    <w:rsid w:val="00071855"/>
    <w:rPr>
      <w:rFonts w:ascii="Times New Roman" w:hAnsi="Times New Roman" w:cs="Times New Roman"/>
      <w:sz w:val="24"/>
      <w:szCs w:val="24"/>
    </w:rPr>
  </w:style>
  <w:style w:type="paragraph" w:styleId="NormalIndent">
    <w:name w:val="Normal Indent"/>
    <w:basedOn w:val="Normal"/>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numPr>
        <w:numId w:val="0"/>
      </w:num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character" w:styleId="UnresolvedMention">
    <w:name w:val="Unresolved Mention"/>
    <w:basedOn w:val="DefaultParagraphFont"/>
    <w:uiPriority w:val="99"/>
    <w:semiHidden/>
    <w:unhideWhenUsed/>
    <w:rsid w:val="00D7262B"/>
    <w:rPr>
      <w:color w:val="605E5C"/>
      <w:shd w:val="clear" w:color="auto" w:fill="E1DFDD"/>
    </w:rPr>
  </w:style>
  <w:style w:type="paragraph" w:customStyle="1" w:styleId="NoNumHead3">
    <w:name w:val="NoNum:Head3"/>
    <w:basedOn w:val="Normal"/>
    <w:next w:val="Normal"/>
    <w:rsid w:val="000045D4"/>
    <w:pPr>
      <w:keepNext/>
      <w:spacing w:before="120" w:after="240" w:line="240" w:lineRule="auto"/>
      <w:outlineLvl w:val="0"/>
    </w:pPr>
    <w:rPr>
      <w:rFonts w:ascii="Arial" w:eastAsia="Times New Roman" w:hAnsi="Arial" w:cs="Arial"/>
      <w:b/>
      <w:bCs/>
      <w:sz w:val="24"/>
      <w:szCs w:val="24"/>
      <w:lang w:val="en-US"/>
    </w:rPr>
  </w:style>
  <w:style w:type="paragraph" w:customStyle="1" w:styleId="TableCellLeft">
    <w:name w:val="Table Cell Left"/>
    <w:basedOn w:val="BodyText"/>
    <w:qFormat/>
    <w:rsid w:val="000045D4"/>
    <w:pPr>
      <w:spacing w:before="20" w:after="20" w:line="240" w:lineRule="auto"/>
    </w:pPr>
    <w:rPr>
      <w:rFonts w:ascii="Times New Roman" w:eastAsia="Times New Roman" w:hAnsi="Times New Roman" w:cs="Times New Roman"/>
      <w:sz w:val="20"/>
      <w:szCs w:val="20"/>
      <w:lang w:val="en-US"/>
    </w:rPr>
  </w:style>
  <w:style w:type="paragraph" w:customStyle="1" w:styleId="TableHeadLeft">
    <w:name w:val="Table Head Left"/>
    <w:basedOn w:val="Normal"/>
    <w:rsid w:val="000045D4"/>
    <w:pPr>
      <w:keepLines/>
      <w:spacing w:before="20" w:after="20" w:line="240" w:lineRule="auto"/>
    </w:pPr>
    <w:rPr>
      <w:rFonts w:ascii="Times New Roman" w:eastAsia="Times New Roman" w:hAnsi="Times New Roman" w:cs="Times New Roman"/>
      <w:b/>
      <w:bCs/>
      <w:sz w:val="20"/>
      <w:szCs w:val="20"/>
      <w:lang w:val="en-US"/>
    </w:rPr>
  </w:style>
  <w:style w:type="paragraph" w:customStyle="1" w:styleId="TableFootnote025Hanging">
    <w:name w:val="Table Footnote 0.25 Hanging"/>
    <w:basedOn w:val="Normal"/>
    <w:rsid w:val="000045D4"/>
    <w:pPr>
      <w:spacing w:before="20" w:after="0" w:line="240" w:lineRule="auto"/>
      <w:ind w:left="360" w:hanging="360"/>
    </w:pPr>
    <w:rPr>
      <w:rFonts w:ascii="Times New Roman" w:eastAsia="Times New Roman" w:hAnsi="Times New Roman" w:cs="Times New Roman"/>
      <w:sz w:val="20"/>
      <w:szCs w:val="20"/>
      <w:lang w:val="en-US"/>
    </w:rPr>
  </w:style>
  <w:style w:type="table" w:styleId="TableGrid">
    <w:name w:val="Table Grid"/>
    <w:basedOn w:val="TableNormal"/>
    <w:uiPriority w:val="59"/>
    <w:rsid w:val="0078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Centered">
    <w:name w:val="Table Cell Centered"/>
    <w:basedOn w:val="TableCellLeft"/>
    <w:qFormat/>
    <w:rsid w:val="00BB14C2"/>
    <w:pPr>
      <w:jc w:val="center"/>
    </w:pPr>
  </w:style>
  <w:style w:type="paragraph" w:customStyle="1" w:styleId="TableHeadCenter">
    <w:name w:val="Table Head Center"/>
    <w:basedOn w:val="TableCellLeft"/>
    <w:qFormat/>
    <w:rsid w:val="00BB14C2"/>
    <w:pPr>
      <w:keepLines/>
      <w:jc w:val="center"/>
    </w:pPr>
    <w:rPr>
      <w:b/>
      <w:bCs/>
    </w:rPr>
  </w:style>
  <w:style w:type="character" w:customStyle="1" w:styleId="normaltextrun">
    <w:name w:val="normaltextrun"/>
    <w:basedOn w:val="DefaultParagraphFont"/>
    <w:rsid w:val="00C40B8B"/>
  </w:style>
  <w:style w:type="paragraph" w:styleId="Revision">
    <w:name w:val="Revision"/>
    <w:hidden/>
    <w:uiPriority w:val="99"/>
    <w:semiHidden/>
    <w:rsid w:val="00FA2C5F"/>
    <w:pPr>
      <w:spacing w:after="0" w:line="240" w:lineRule="auto"/>
    </w:pPr>
  </w:style>
  <w:style w:type="paragraph" w:customStyle="1" w:styleId="Default">
    <w:name w:val="Default"/>
    <w:rsid w:val="00421587"/>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EC2CD1"/>
    <w:rPr>
      <w:color w:val="2B579A"/>
      <w:shd w:val="clear" w:color="auto" w:fill="E1DFDD"/>
    </w:rPr>
  </w:style>
  <w:style w:type="character" w:customStyle="1" w:styleId="C-BodyTextChar">
    <w:name w:val="C-Body Text Char"/>
    <w:link w:val="C-BodyText"/>
    <w:locked/>
    <w:rsid w:val="00CE0CD2"/>
    <w:rPr>
      <w:rFonts w:eastAsia="Times New Roman"/>
      <w:sz w:val="24"/>
    </w:rPr>
  </w:style>
  <w:style w:type="paragraph" w:customStyle="1" w:styleId="C-BodyText">
    <w:name w:val="C-Body Text"/>
    <w:link w:val="C-BodyTextChar"/>
    <w:rsid w:val="00CE0CD2"/>
    <w:pPr>
      <w:spacing w:before="120" w:after="120" w:line="280" w:lineRule="atLeast"/>
    </w:pPr>
    <w:rPr>
      <w:rFonts w:eastAsia="Times New Roman"/>
      <w:sz w:val="24"/>
    </w:rPr>
  </w:style>
  <w:style w:type="paragraph" w:customStyle="1" w:styleId="TableParagraph">
    <w:name w:val="Table Paragraph"/>
    <w:basedOn w:val="Normal"/>
    <w:uiPriority w:val="1"/>
    <w:qFormat/>
    <w:rsid w:val="001A78D0"/>
    <w:pPr>
      <w:widowControl w:val="0"/>
      <w:autoSpaceDE w:val="0"/>
      <w:autoSpaceDN w:val="0"/>
      <w:spacing w:before="42" w:after="0" w:line="240" w:lineRule="auto"/>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1833">
      <w:bodyDiv w:val="1"/>
      <w:marLeft w:val="0"/>
      <w:marRight w:val="0"/>
      <w:marTop w:val="0"/>
      <w:marBottom w:val="0"/>
      <w:divBdr>
        <w:top w:val="none" w:sz="0" w:space="0" w:color="auto"/>
        <w:left w:val="none" w:sz="0" w:space="0" w:color="auto"/>
        <w:bottom w:val="none" w:sz="0" w:space="0" w:color="auto"/>
        <w:right w:val="none" w:sz="0" w:space="0" w:color="auto"/>
      </w:divBdr>
    </w:div>
    <w:div w:id="119039715">
      <w:bodyDiv w:val="1"/>
      <w:marLeft w:val="0"/>
      <w:marRight w:val="0"/>
      <w:marTop w:val="0"/>
      <w:marBottom w:val="0"/>
      <w:divBdr>
        <w:top w:val="none" w:sz="0" w:space="0" w:color="auto"/>
        <w:left w:val="none" w:sz="0" w:space="0" w:color="auto"/>
        <w:bottom w:val="none" w:sz="0" w:space="0" w:color="auto"/>
        <w:right w:val="none" w:sz="0" w:space="0" w:color="auto"/>
      </w:divBdr>
    </w:div>
    <w:div w:id="178588713">
      <w:bodyDiv w:val="1"/>
      <w:marLeft w:val="0"/>
      <w:marRight w:val="0"/>
      <w:marTop w:val="0"/>
      <w:marBottom w:val="0"/>
      <w:divBdr>
        <w:top w:val="none" w:sz="0" w:space="0" w:color="auto"/>
        <w:left w:val="none" w:sz="0" w:space="0" w:color="auto"/>
        <w:bottom w:val="none" w:sz="0" w:space="0" w:color="auto"/>
        <w:right w:val="none" w:sz="0" w:space="0" w:color="auto"/>
      </w:divBdr>
    </w:div>
    <w:div w:id="463540990">
      <w:bodyDiv w:val="1"/>
      <w:marLeft w:val="0"/>
      <w:marRight w:val="0"/>
      <w:marTop w:val="0"/>
      <w:marBottom w:val="0"/>
      <w:divBdr>
        <w:top w:val="none" w:sz="0" w:space="0" w:color="auto"/>
        <w:left w:val="none" w:sz="0" w:space="0" w:color="auto"/>
        <w:bottom w:val="none" w:sz="0" w:space="0" w:color="auto"/>
        <w:right w:val="none" w:sz="0" w:space="0" w:color="auto"/>
      </w:divBdr>
    </w:div>
    <w:div w:id="638530651">
      <w:bodyDiv w:val="1"/>
      <w:marLeft w:val="0"/>
      <w:marRight w:val="0"/>
      <w:marTop w:val="0"/>
      <w:marBottom w:val="0"/>
      <w:divBdr>
        <w:top w:val="none" w:sz="0" w:space="0" w:color="auto"/>
        <w:left w:val="none" w:sz="0" w:space="0" w:color="auto"/>
        <w:bottom w:val="none" w:sz="0" w:space="0" w:color="auto"/>
        <w:right w:val="none" w:sz="0" w:space="0" w:color="auto"/>
      </w:divBdr>
    </w:div>
    <w:div w:id="678971900">
      <w:bodyDiv w:val="1"/>
      <w:marLeft w:val="0"/>
      <w:marRight w:val="0"/>
      <w:marTop w:val="0"/>
      <w:marBottom w:val="0"/>
      <w:divBdr>
        <w:top w:val="none" w:sz="0" w:space="0" w:color="auto"/>
        <w:left w:val="none" w:sz="0" w:space="0" w:color="auto"/>
        <w:bottom w:val="none" w:sz="0" w:space="0" w:color="auto"/>
        <w:right w:val="none" w:sz="0" w:space="0" w:color="auto"/>
      </w:divBdr>
    </w:div>
    <w:div w:id="717095156">
      <w:bodyDiv w:val="1"/>
      <w:marLeft w:val="0"/>
      <w:marRight w:val="0"/>
      <w:marTop w:val="0"/>
      <w:marBottom w:val="0"/>
      <w:divBdr>
        <w:top w:val="none" w:sz="0" w:space="0" w:color="auto"/>
        <w:left w:val="none" w:sz="0" w:space="0" w:color="auto"/>
        <w:bottom w:val="none" w:sz="0" w:space="0" w:color="auto"/>
        <w:right w:val="none" w:sz="0" w:space="0" w:color="auto"/>
      </w:divBdr>
    </w:div>
    <w:div w:id="1151558698">
      <w:bodyDiv w:val="1"/>
      <w:marLeft w:val="0"/>
      <w:marRight w:val="0"/>
      <w:marTop w:val="0"/>
      <w:marBottom w:val="0"/>
      <w:divBdr>
        <w:top w:val="none" w:sz="0" w:space="0" w:color="auto"/>
        <w:left w:val="none" w:sz="0" w:space="0" w:color="auto"/>
        <w:bottom w:val="none" w:sz="0" w:space="0" w:color="auto"/>
        <w:right w:val="none" w:sz="0" w:space="0" w:color="auto"/>
      </w:divBdr>
    </w:div>
    <w:div w:id="1526289103">
      <w:bodyDiv w:val="1"/>
      <w:marLeft w:val="0"/>
      <w:marRight w:val="0"/>
      <w:marTop w:val="0"/>
      <w:marBottom w:val="0"/>
      <w:divBdr>
        <w:top w:val="none" w:sz="0" w:space="0" w:color="auto"/>
        <w:left w:val="none" w:sz="0" w:space="0" w:color="auto"/>
        <w:bottom w:val="none" w:sz="0" w:space="0" w:color="auto"/>
        <w:right w:val="none" w:sz="0" w:space="0" w:color="auto"/>
      </w:divBdr>
      <w:divsChild>
        <w:div w:id="1941982042">
          <w:marLeft w:val="0"/>
          <w:marRight w:val="0"/>
          <w:marTop w:val="0"/>
          <w:marBottom w:val="0"/>
          <w:divBdr>
            <w:top w:val="none" w:sz="0" w:space="0" w:color="auto"/>
            <w:left w:val="none" w:sz="0" w:space="0" w:color="auto"/>
            <w:bottom w:val="none" w:sz="0" w:space="0" w:color="auto"/>
            <w:right w:val="none" w:sz="0" w:space="0" w:color="auto"/>
          </w:divBdr>
          <w:divsChild>
            <w:div w:id="293604879">
              <w:marLeft w:val="0"/>
              <w:marRight w:val="0"/>
              <w:marTop w:val="0"/>
              <w:marBottom w:val="0"/>
              <w:divBdr>
                <w:top w:val="none" w:sz="0" w:space="0" w:color="auto"/>
                <w:left w:val="none" w:sz="0" w:space="0" w:color="auto"/>
                <w:bottom w:val="none" w:sz="0" w:space="0" w:color="auto"/>
                <w:right w:val="none" w:sz="0" w:space="0" w:color="auto"/>
              </w:divBdr>
              <w:divsChild>
                <w:div w:id="13349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63989">
      <w:bodyDiv w:val="1"/>
      <w:marLeft w:val="0"/>
      <w:marRight w:val="0"/>
      <w:marTop w:val="0"/>
      <w:marBottom w:val="0"/>
      <w:divBdr>
        <w:top w:val="none" w:sz="0" w:space="0" w:color="auto"/>
        <w:left w:val="none" w:sz="0" w:space="0" w:color="auto"/>
        <w:bottom w:val="none" w:sz="0" w:space="0" w:color="auto"/>
        <w:right w:val="none" w:sz="0" w:space="0" w:color="auto"/>
      </w:divBdr>
    </w:div>
    <w:div w:id="1725178156">
      <w:bodyDiv w:val="1"/>
      <w:marLeft w:val="0"/>
      <w:marRight w:val="0"/>
      <w:marTop w:val="0"/>
      <w:marBottom w:val="0"/>
      <w:divBdr>
        <w:top w:val="none" w:sz="0" w:space="0" w:color="auto"/>
        <w:left w:val="none" w:sz="0" w:space="0" w:color="auto"/>
        <w:bottom w:val="none" w:sz="0" w:space="0" w:color="auto"/>
        <w:right w:val="none" w:sz="0" w:space="0" w:color="auto"/>
      </w:divBdr>
    </w:div>
    <w:div w:id="18137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sk.com.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0F9BCA22A44543A836D48EB5D07BAB" ma:contentTypeVersion="9" ma:contentTypeDescription="Create a new document." ma:contentTypeScope="" ma:versionID="8deb2e5e613f542e113c71c2e78ef3cc">
  <xsd:schema xmlns:xsd="http://www.w3.org/2001/XMLSchema" xmlns:xs="http://www.w3.org/2001/XMLSchema" xmlns:p="http://schemas.microsoft.com/office/2006/metadata/properties" xmlns:ns2="9ab13f10-ea91-4ae4-b716-2fc6226f5bbf" xmlns:ns3="53bfddcd-ed87-4e2f-848a-2186ccceec32" targetNamespace="http://schemas.microsoft.com/office/2006/metadata/properties" ma:root="true" ma:fieldsID="2b91fdeebc90343aae6f9dad3cfb2954" ns2:_="" ns3:_="">
    <xsd:import namespace="9ab13f10-ea91-4ae4-b716-2fc6226f5bbf"/>
    <xsd:import namespace="53bfddcd-ed87-4e2f-848a-2186ccce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13f10-ea91-4ae4-b716-2fc6226f5b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ddcd-ed87-4e2f-848a-2186ccce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Person" ma:index="1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ab13f10-ea91-4ae4-b716-2fc6226f5bbf">
      <UserInfo>
        <DisplayName>Polly McKenzie</DisplayName>
        <AccountId>6015</AccountId>
        <AccountType/>
      </UserInfo>
      <UserInfo>
        <DisplayName>Terence Khoo</DisplayName>
        <AccountId>3447</AccountId>
        <AccountType/>
      </UserInfo>
      <UserInfo>
        <DisplayName>Claire-Anne Charles</DisplayName>
        <AccountId>2591</AccountId>
        <AccountType/>
      </UserInfo>
      <UserInfo>
        <DisplayName>Katrina Vanin</DisplayName>
        <AccountId>1829</AccountId>
        <AccountType/>
      </UserInfo>
    </SharedWithUsers>
    <Person xmlns="53bfddcd-ed87-4e2f-848a-2186ccceec32">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B0D19-8158-4D93-B9FA-A70AA3E8A58C}">
  <ds:schemaRefs>
    <ds:schemaRef ds:uri="http://schemas.microsoft.com/sharepoint/v3/contenttype/forms"/>
  </ds:schemaRefs>
</ds:datastoreItem>
</file>

<file path=customXml/itemProps2.xml><?xml version="1.0" encoding="utf-8"?>
<ds:datastoreItem xmlns:ds="http://schemas.openxmlformats.org/officeDocument/2006/customXml" ds:itemID="{A1507A85-967B-431E-877D-0759D814C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13f10-ea91-4ae4-b716-2fc6226f5bbf"/>
    <ds:schemaRef ds:uri="53bfddcd-ed87-4e2f-848a-2186ccce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CE4B1-0D53-45F9-814F-5CA1CFC2D9EE}">
  <ds:schemaRefs>
    <ds:schemaRef ds:uri="http://purl.org/dc/elements/1.1/"/>
    <ds:schemaRef ds:uri="http://schemas.microsoft.com/office/2006/metadata/properties"/>
    <ds:schemaRef ds:uri="53bfddcd-ed87-4e2f-848a-2186ccceec3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ab13f10-ea91-4ae4-b716-2fc6226f5bbf"/>
    <ds:schemaRef ds:uri="http://www.w3.org/XML/1998/namespace"/>
  </ds:schemaRefs>
</ds:datastoreItem>
</file>

<file path=customXml/itemProps4.xml><?xml version="1.0" encoding="utf-8"?>
<ds:datastoreItem xmlns:ds="http://schemas.openxmlformats.org/officeDocument/2006/customXml" ds:itemID="{A97DA841-940E-4475-87E4-9830ACD4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5676</Words>
  <Characters>37980</Characters>
  <Application>Microsoft Office Word</Application>
  <DocSecurity>0</DocSecurity>
  <Lines>678</Lines>
  <Paragraphs>267</Paragraphs>
  <ScaleCrop>false</ScaleCrop>
  <HeadingPairs>
    <vt:vector size="2" baseType="variant">
      <vt:variant>
        <vt:lpstr>Title</vt:lpstr>
      </vt:variant>
      <vt:variant>
        <vt:i4>1</vt:i4>
      </vt:variant>
    </vt:vector>
  </HeadingPairs>
  <TitlesOfParts>
    <vt:vector size="1" baseType="lpstr">
      <vt:lpstr>Attachment Product information for Omjjara</vt:lpstr>
    </vt:vector>
  </TitlesOfParts>
  <Company>GlaxoSmithKline Australia Pty Ltd</Company>
  <LinksUpToDate>false</LinksUpToDate>
  <CharactersWithSpaces>43389</CharactersWithSpaces>
  <SharedDoc>false</SharedDoc>
  <HLinks>
    <vt:vector size="18" baseType="variant">
      <vt:variant>
        <vt:i4>6750265</vt:i4>
      </vt:variant>
      <vt:variant>
        <vt:i4>168</vt:i4>
      </vt:variant>
      <vt:variant>
        <vt:i4>0</vt:i4>
      </vt:variant>
      <vt:variant>
        <vt:i4>5</vt:i4>
      </vt:variant>
      <vt:variant>
        <vt:lpwstr>http://www.gsk.com.au/</vt:lpwstr>
      </vt:variant>
      <vt:variant>
        <vt:lpwstr/>
      </vt:variant>
      <vt:variant>
        <vt:i4>5898317</vt:i4>
      </vt:variant>
      <vt:variant>
        <vt:i4>78</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Omjjara</dc:title>
  <dc:subject>prescription medicines</dc:subject>
  <dc:creator>GlaxoSmithKline Australia Pty Ltd</dc:creator>
  <cp:keywords>template</cp:keywords>
  <cp:lastModifiedBy>LACK, Janet</cp:lastModifiedBy>
  <cp:revision>2</cp:revision>
  <cp:lastPrinted>2017-11-13T05:13:00Z</cp:lastPrinted>
  <dcterms:created xsi:type="dcterms:W3CDTF">2025-04-10T06:48:00Z</dcterms:created>
  <dcterms:modified xsi:type="dcterms:W3CDTF">2025-04-10T06:48:00Z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0x010100A80F9BCA22A44543A836D48EB5D07BAB</vt:lpwstr>
  </property>
  <property fmtid="{D5CDD505-2E9C-101B-9397-08002B2CF9AE}" pid="3" name="MSIP_Label_bea66b2b-af80-48b6-873b-d341d3035cfa_Enabled">
    <vt:lpwstr>true</vt:lpwstr>
  </property>
  <property fmtid="{D5CDD505-2E9C-101B-9397-08002B2CF9AE}" pid="4" name="MSIP_Label_bea66b2b-af80-48b6-873b-d341d3035cfa_SetDate">
    <vt:lpwstr>2024-06-20T01:56:34Z</vt:lpwstr>
  </property>
  <property fmtid="{D5CDD505-2E9C-101B-9397-08002B2CF9AE}" pid="5" name="MSIP_Label_bea66b2b-af80-48b6-873b-d341d3035cfa_Method">
    <vt:lpwstr>Standard</vt:lpwstr>
  </property>
  <property fmtid="{D5CDD505-2E9C-101B-9397-08002B2CF9AE}" pid="6" name="MSIP_Label_bea66b2b-af80-48b6-873b-d341d3035cfa_Name">
    <vt:lpwstr>Proprietary</vt:lpwstr>
  </property>
  <property fmtid="{D5CDD505-2E9C-101B-9397-08002B2CF9AE}" pid="7" name="MSIP_Label_bea66b2b-af80-48b6-873b-d341d3035cfa_SiteId">
    <vt:lpwstr>63982aff-fb6c-4c22-973b-70e4acfb63e6</vt:lpwstr>
  </property>
  <property fmtid="{D5CDD505-2E9C-101B-9397-08002B2CF9AE}" pid="8" name="MSIP_Label_bea66b2b-af80-48b6-873b-d341d3035cfa_ActionId">
    <vt:lpwstr>86dd0086-bd36-410c-b884-7df1bc9ac55a</vt:lpwstr>
  </property>
  <property fmtid="{D5CDD505-2E9C-101B-9397-08002B2CF9AE}" pid="9" name="MSIP_Label_bea66b2b-af80-48b6-873b-d341d3035cfa_ContentBits">
    <vt:lpwstr>0</vt:lpwstr>
  </property>
</Properties>
</file>