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DBD8" w14:textId="77777777" w:rsidR="009E656D" w:rsidRPr="00DB424B" w:rsidRDefault="009E656D" w:rsidP="00DB424B">
      <w:pPr>
        <w:spacing w:before="60" w:after="120"/>
        <w:ind w:left="142" w:right="142"/>
        <w:rPr>
          <w:rFonts w:ascii="Times New Roman" w:eastAsia="Times New Roman" w:hAnsi="Times New Roman" w:cs="Times New Roman"/>
          <w:spacing w:val="-1"/>
          <w:sz w:val="24"/>
          <w:szCs w:val="24"/>
          <w:lang w:val="en-AU"/>
        </w:rPr>
      </w:pPr>
      <w:r w:rsidRPr="008D79A1">
        <w:rPr>
          <w:rFonts w:eastAsia="Malgun Gothic"/>
          <w:noProof/>
          <w:spacing w:val="-1"/>
          <w:lang w:val="en-AU"/>
        </w:rPr>
        <w:drawing>
          <wp:inline distT="0" distB="0" distL="0" distR="0" wp14:anchorId="2CFF4008" wp14:editId="5748373D">
            <wp:extent cx="292100" cy="292100"/>
            <wp:effectExtent l="0" t="0" r="0" b="0"/>
            <wp:docPr id="1" name="Picture 1" descr="black triang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ack triangle ic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DB424B">
        <w:rPr>
          <w:rFonts w:ascii="Times New Roman" w:eastAsia="Times New Roman" w:hAnsi="Times New Roman" w:cs="Times New Roman"/>
          <w:spacing w:val="-1"/>
          <w:sz w:val="24"/>
          <w:szCs w:val="24"/>
          <w:lang w:val="en-AU"/>
        </w:rPr>
        <w:t>This medicinal product is subject to additional monitoring in Australia. This will allow quick identification of new safety information. Healthcare professionals are asked to report any suspected adverse events at </w:t>
      </w:r>
      <w:hyperlink r:id="rId9" w:history="1">
        <w:r w:rsidRPr="008D79A1">
          <w:rPr>
            <w:rFonts w:eastAsia="Times New Roman"/>
            <w:color w:val="0000FF"/>
            <w:spacing w:val="-1"/>
            <w:u w:val="single"/>
            <w:lang w:val="en-AU"/>
          </w:rPr>
          <w:t>www.tga.gov.au/reporting-problems</w:t>
        </w:r>
      </w:hyperlink>
      <w:r w:rsidRPr="00DB424B">
        <w:rPr>
          <w:rFonts w:ascii="Times New Roman" w:eastAsia="Times New Roman" w:hAnsi="Times New Roman" w:cs="Times New Roman"/>
          <w:spacing w:val="-1"/>
          <w:sz w:val="24"/>
          <w:szCs w:val="24"/>
          <w:lang w:val="en-AU"/>
        </w:rPr>
        <w:t>.</w:t>
      </w:r>
    </w:p>
    <w:p w14:paraId="60A9C80E" w14:textId="77777777" w:rsidR="009E656D" w:rsidRPr="004E0C17" w:rsidRDefault="009E656D" w:rsidP="00A47F15">
      <w:pPr>
        <w:pStyle w:val="Heading1"/>
        <w:numPr>
          <w:ilvl w:val="0"/>
          <w:numId w:val="0"/>
        </w:numPr>
        <w:rPr>
          <w:rFonts w:eastAsia="SimSun"/>
          <w:lang w:val="en-AU"/>
        </w:rPr>
      </w:pPr>
      <w:r w:rsidRPr="004E0C17">
        <w:rPr>
          <w:rFonts w:eastAsia="SimSun"/>
          <w:lang w:val="en-AU"/>
        </w:rPr>
        <w:t>Australian Product Information – eladynos</w:t>
      </w:r>
      <w:r w:rsidRPr="004E0C17">
        <w:rPr>
          <w:rFonts w:eastAsia="SimSun"/>
          <w:vertAlign w:val="superscript"/>
          <w:lang w:val="en-AU"/>
        </w:rPr>
        <w:t>®</w:t>
      </w:r>
      <w:r w:rsidRPr="004E0C17">
        <w:rPr>
          <w:rFonts w:eastAsia="SimSun"/>
          <w:lang w:val="en-AU"/>
        </w:rPr>
        <w:t xml:space="preserve"> (abaloparatide) solution for injection</w:t>
      </w:r>
    </w:p>
    <w:p w14:paraId="6C6CB213" w14:textId="77777777" w:rsidR="009E656D" w:rsidRPr="004E0C17" w:rsidRDefault="009E656D" w:rsidP="00A47F15">
      <w:pPr>
        <w:pStyle w:val="Heading1"/>
        <w:rPr>
          <w:lang w:val="en-AU"/>
        </w:rPr>
      </w:pPr>
      <w:r w:rsidRPr="004E0C17">
        <w:rPr>
          <w:lang w:val="en-AU"/>
        </w:rPr>
        <w:t>Name of the medicine</w:t>
      </w:r>
    </w:p>
    <w:p w14:paraId="784BFA3E" w14:textId="188830A5" w:rsidR="009E656D" w:rsidRPr="004E0C17" w:rsidRDefault="009E656D" w:rsidP="00A47F15">
      <w:pPr>
        <w:rPr>
          <w:lang w:val="en-AU"/>
        </w:rPr>
      </w:pPr>
      <w:r w:rsidRPr="004E0C17">
        <w:rPr>
          <w:lang w:val="en-AU"/>
        </w:rPr>
        <w:t>Abaloparatide</w:t>
      </w:r>
    </w:p>
    <w:p w14:paraId="15CC18C2" w14:textId="77777777" w:rsidR="009E656D" w:rsidRPr="004E0C17" w:rsidRDefault="009E656D" w:rsidP="00A47F15">
      <w:pPr>
        <w:pStyle w:val="Heading1"/>
        <w:rPr>
          <w:lang w:val="en-AU"/>
        </w:rPr>
      </w:pPr>
      <w:r w:rsidRPr="004E0C17">
        <w:rPr>
          <w:lang w:val="en-AU"/>
        </w:rPr>
        <w:t>Qualitative and quantitative composition</w:t>
      </w:r>
    </w:p>
    <w:p w14:paraId="51DE843F" w14:textId="77777777" w:rsidR="009E656D" w:rsidRPr="004E0C17" w:rsidRDefault="009E656D" w:rsidP="00A47F15">
      <w:pPr>
        <w:rPr>
          <w:lang w:val="en-AU"/>
        </w:rPr>
      </w:pPr>
      <w:r w:rsidRPr="004E0C17">
        <w:rPr>
          <w:lang w:val="en-AU"/>
        </w:rPr>
        <w:t xml:space="preserve">Each dose (40 microlitres) contains 80 micrograms of abaloparatide. </w:t>
      </w:r>
    </w:p>
    <w:p w14:paraId="60844073" w14:textId="77777777" w:rsidR="009E656D" w:rsidRPr="004E0C17" w:rsidRDefault="009E656D" w:rsidP="00A47F15">
      <w:pPr>
        <w:rPr>
          <w:lang w:val="en-AU"/>
        </w:rPr>
      </w:pPr>
    </w:p>
    <w:p w14:paraId="4CA95444" w14:textId="77777777" w:rsidR="009E656D" w:rsidRPr="004E0C17" w:rsidRDefault="009E656D" w:rsidP="00A47F15">
      <w:pPr>
        <w:rPr>
          <w:lang w:val="en-AU"/>
        </w:rPr>
      </w:pPr>
      <w:r w:rsidRPr="004E0C17">
        <w:rPr>
          <w:lang w:val="en-AU"/>
        </w:rPr>
        <w:t xml:space="preserve">Each pre-filled pen contains 3 mg of abaloparatide in 1.5 mL of solution (corresponding to 2 mg per mL). </w:t>
      </w:r>
    </w:p>
    <w:p w14:paraId="1712A267" w14:textId="77777777" w:rsidR="009E656D" w:rsidRPr="004E0C17" w:rsidRDefault="009E656D" w:rsidP="00A47F15">
      <w:pPr>
        <w:rPr>
          <w:lang w:val="en-AU"/>
        </w:rPr>
      </w:pPr>
    </w:p>
    <w:p w14:paraId="5E3BB409" w14:textId="3BBEE61C" w:rsidR="009E656D" w:rsidRPr="004E0C17" w:rsidRDefault="009E656D" w:rsidP="00A47F15">
      <w:pPr>
        <w:rPr>
          <w:lang w:val="en-AU"/>
        </w:rPr>
      </w:pPr>
      <w:r w:rsidRPr="004E0C17">
        <w:rPr>
          <w:lang w:val="en-AU"/>
        </w:rPr>
        <w:t>For the full list of excipients, see Section 6.1 List of excipients.</w:t>
      </w:r>
    </w:p>
    <w:p w14:paraId="3376A20D" w14:textId="77777777" w:rsidR="009E656D" w:rsidRPr="004E0C17" w:rsidRDefault="009E656D" w:rsidP="00A47F15">
      <w:pPr>
        <w:pStyle w:val="Heading1"/>
        <w:rPr>
          <w:lang w:val="en-AU"/>
        </w:rPr>
      </w:pPr>
      <w:r w:rsidRPr="004E0C17">
        <w:rPr>
          <w:lang w:val="en-AU"/>
        </w:rPr>
        <w:t>Pharmaceutical form</w:t>
      </w:r>
    </w:p>
    <w:p w14:paraId="798D41E4" w14:textId="258E948B" w:rsidR="009E656D" w:rsidRPr="004E0C17" w:rsidRDefault="009E656D" w:rsidP="00A47F15">
      <w:pPr>
        <w:rPr>
          <w:lang w:val="en-AU"/>
        </w:rPr>
      </w:pPr>
      <w:r w:rsidRPr="004E0C17">
        <w:rPr>
          <w:lang w:val="en-AU"/>
        </w:rPr>
        <w:t>ELADYNOS is a colourless, clear solution for injection</w:t>
      </w:r>
      <w:r>
        <w:rPr>
          <w:lang w:val="en-AU"/>
        </w:rPr>
        <w:t xml:space="preserve"> in a prefilled pen</w:t>
      </w:r>
      <w:r w:rsidRPr="004E0C17">
        <w:rPr>
          <w:lang w:val="en-AU"/>
        </w:rPr>
        <w:t xml:space="preserve">. </w:t>
      </w:r>
    </w:p>
    <w:p w14:paraId="3B25CCC0" w14:textId="77777777" w:rsidR="009E656D" w:rsidRPr="004E0C17" w:rsidRDefault="009E656D" w:rsidP="00A47F15">
      <w:pPr>
        <w:pStyle w:val="Heading1"/>
        <w:rPr>
          <w:lang w:val="en-AU"/>
        </w:rPr>
      </w:pPr>
      <w:r w:rsidRPr="004E0C17">
        <w:rPr>
          <w:lang w:val="en-AU"/>
        </w:rPr>
        <w:t>Clinical particulars</w:t>
      </w:r>
    </w:p>
    <w:p w14:paraId="342CC495" w14:textId="77777777" w:rsidR="009E656D" w:rsidRPr="004E0C17" w:rsidRDefault="009E656D" w:rsidP="00A47F15">
      <w:pPr>
        <w:pStyle w:val="Heading2"/>
        <w:rPr>
          <w:lang w:val="en-AU"/>
        </w:rPr>
      </w:pPr>
      <w:r w:rsidRPr="004E0C17">
        <w:rPr>
          <w:lang w:val="en-AU"/>
        </w:rPr>
        <w:t xml:space="preserve">Therapeutic indications </w:t>
      </w:r>
    </w:p>
    <w:p w14:paraId="347E5202" w14:textId="77777777" w:rsidR="009E656D" w:rsidRPr="004E0C17" w:rsidRDefault="009E656D" w:rsidP="00A47F15">
      <w:pPr>
        <w:rPr>
          <w:lang w:val="en-AU"/>
        </w:rPr>
      </w:pPr>
      <w:r w:rsidRPr="004E0C17">
        <w:rPr>
          <w:lang w:val="en-AU"/>
        </w:rPr>
        <w:t xml:space="preserve">ELADYNOS is indicated for the treatment of osteoporosis in postmenopausal women at increased risk of fracture. </w:t>
      </w:r>
    </w:p>
    <w:p w14:paraId="6D1CF44F" w14:textId="77777777" w:rsidR="009E656D" w:rsidRPr="004E0C17" w:rsidRDefault="009E656D" w:rsidP="00A47F15">
      <w:pPr>
        <w:pStyle w:val="Heading2"/>
        <w:rPr>
          <w:lang w:val="en-AU"/>
        </w:rPr>
      </w:pPr>
      <w:bookmarkStart w:id="0" w:name="_Ref139030034"/>
      <w:r w:rsidRPr="004E0C17">
        <w:rPr>
          <w:lang w:val="en-AU"/>
        </w:rPr>
        <w:t>Dose and method of administration</w:t>
      </w:r>
      <w:bookmarkEnd w:id="0"/>
      <w:r w:rsidRPr="004E0C17">
        <w:rPr>
          <w:lang w:val="en-AU"/>
        </w:rPr>
        <w:t xml:space="preserve"> </w:t>
      </w:r>
    </w:p>
    <w:p w14:paraId="0AD575E3" w14:textId="77777777" w:rsidR="009E656D" w:rsidRPr="004E0C17" w:rsidRDefault="009E656D" w:rsidP="00A47F15">
      <w:pPr>
        <w:pStyle w:val="Heading3"/>
        <w:rPr>
          <w:lang w:val="en-AU"/>
        </w:rPr>
      </w:pPr>
      <w:r w:rsidRPr="004E0C17">
        <w:rPr>
          <w:lang w:val="en-AU"/>
        </w:rPr>
        <w:t>Dosage</w:t>
      </w:r>
    </w:p>
    <w:p w14:paraId="3A182A41" w14:textId="77777777" w:rsidR="009E656D" w:rsidRPr="004E0C17" w:rsidRDefault="009E656D" w:rsidP="00A47F15">
      <w:pPr>
        <w:rPr>
          <w:lang w:val="en-AU"/>
        </w:rPr>
      </w:pPr>
      <w:bookmarkStart w:id="1" w:name="_Hlk139969563"/>
      <w:r w:rsidRPr="004E0C17">
        <w:rPr>
          <w:lang w:val="en-AU"/>
        </w:rPr>
        <w:t xml:space="preserve">The recommended dose of ELADYNOS is 80 micrograms once daily at approximately the same time each day. </w:t>
      </w:r>
    </w:p>
    <w:p w14:paraId="4C19E092" w14:textId="77777777" w:rsidR="009E656D" w:rsidRPr="004E0C17" w:rsidRDefault="009E656D" w:rsidP="00A47F15">
      <w:pPr>
        <w:rPr>
          <w:lang w:val="en-AU"/>
        </w:rPr>
      </w:pPr>
      <w:r w:rsidRPr="004E0C17">
        <w:rPr>
          <w:lang w:val="en-AU"/>
        </w:rPr>
        <w:t xml:space="preserve">The maximum total duration of treatment with abaloparatide should be 18 months (see Sections </w:t>
      </w:r>
      <w:r w:rsidRPr="004E0C17">
        <w:rPr>
          <w:lang w:val="en-AU"/>
        </w:rPr>
        <w:fldChar w:fldCharType="begin"/>
      </w:r>
      <w:r w:rsidRPr="004E0C17">
        <w:rPr>
          <w:lang w:val="en-AU"/>
        </w:rPr>
        <w:instrText xml:space="preserve"> REF _Ref139029665 \r \h </w:instrText>
      </w:r>
      <w:r w:rsidRPr="004E0C17">
        <w:rPr>
          <w:lang w:val="en-AU"/>
        </w:rPr>
      </w:r>
      <w:r w:rsidRPr="004E0C17">
        <w:rPr>
          <w:lang w:val="en-AU"/>
        </w:rPr>
        <w:fldChar w:fldCharType="separate"/>
      </w:r>
      <w:r>
        <w:rPr>
          <w:lang w:val="en-AU"/>
        </w:rPr>
        <w:t>4.4</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_Ref139029665 \h </w:instrText>
      </w:r>
      <w:r w:rsidRPr="004E0C17">
        <w:rPr>
          <w:lang w:val="en-AU"/>
        </w:rPr>
      </w:r>
      <w:r w:rsidRPr="004E0C17">
        <w:rPr>
          <w:lang w:val="en-AU"/>
        </w:rPr>
        <w:fldChar w:fldCharType="separate"/>
      </w:r>
      <w:r w:rsidRPr="004E0C17">
        <w:rPr>
          <w:lang w:val="en-AU"/>
        </w:rPr>
        <w:t>Special warnings and precautions for use</w:t>
      </w:r>
      <w:r w:rsidRPr="004E0C17">
        <w:rPr>
          <w:lang w:val="en-AU"/>
        </w:rPr>
        <w:fldChar w:fldCharType="end"/>
      </w:r>
      <w:r w:rsidRPr="004E0C17">
        <w:rPr>
          <w:lang w:val="en-AU"/>
        </w:rPr>
        <w:t xml:space="preserve"> and </w:t>
      </w:r>
      <w:r w:rsidRPr="004E0C17">
        <w:rPr>
          <w:lang w:val="en-AU"/>
        </w:rPr>
        <w:fldChar w:fldCharType="begin"/>
      </w:r>
      <w:r w:rsidRPr="004E0C17">
        <w:rPr>
          <w:lang w:val="en-AU"/>
        </w:rPr>
        <w:instrText xml:space="preserve"> REF _Ref139029685 \r \h </w:instrText>
      </w:r>
      <w:r w:rsidRPr="004E0C17">
        <w:rPr>
          <w:lang w:val="en-AU"/>
        </w:rPr>
      </w:r>
      <w:r w:rsidRPr="004E0C17">
        <w:rPr>
          <w:lang w:val="en-AU"/>
        </w:rPr>
        <w:fldChar w:fldCharType="separate"/>
      </w:r>
      <w:r>
        <w:rPr>
          <w:lang w:val="en-AU"/>
        </w:rPr>
        <w:t>5.1</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_Ref139029685 \h </w:instrText>
      </w:r>
      <w:r w:rsidRPr="004E0C17">
        <w:rPr>
          <w:lang w:val="en-AU"/>
        </w:rPr>
      </w:r>
      <w:r w:rsidRPr="004E0C17">
        <w:rPr>
          <w:lang w:val="en-AU"/>
        </w:rPr>
        <w:fldChar w:fldCharType="separate"/>
      </w:r>
      <w:r w:rsidRPr="004E0C17">
        <w:rPr>
          <w:lang w:val="en-AU"/>
        </w:rPr>
        <w:t>Pharmacodynamic properties</w:t>
      </w:r>
      <w:r w:rsidRPr="004E0C17">
        <w:rPr>
          <w:lang w:val="en-AU"/>
        </w:rPr>
        <w:fldChar w:fldCharType="end"/>
      </w:r>
      <w:r w:rsidRPr="004E0C17">
        <w:rPr>
          <w:lang w:val="en-AU"/>
        </w:rPr>
        <w:t xml:space="preserve">). </w:t>
      </w:r>
    </w:p>
    <w:p w14:paraId="17C91C87" w14:textId="77777777" w:rsidR="009E656D" w:rsidRPr="004E0C17" w:rsidRDefault="009E656D" w:rsidP="00A47F15">
      <w:pPr>
        <w:rPr>
          <w:lang w:val="en-AU"/>
        </w:rPr>
      </w:pPr>
      <w:r w:rsidRPr="004E0C17">
        <w:rPr>
          <w:lang w:val="en-AU"/>
        </w:rPr>
        <w:t xml:space="preserve">Patients should receive supplemental calcium and vitamin D if dietary intake is inadequate. </w:t>
      </w:r>
    </w:p>
    <w:p w14:paraId="19583891" w14:textId="77777777" w:rsidR="009E656D" w:rsidRPr="004E0C17" w:rsidRDefault="009E656D" w:rsidP="00A47F15">
      <w:pPr>
        <w:rPr>
          <w:lang w:val="en-AU"/>
        </w:rPr>
      </w:pPr>
      <w:r w:rsidRPr="004E0C17">
        <w:rPr>
          <w:lang w:val="en-AU"/>
        </w:rPr>
        <w:t>Following cessation of abaloparatide therapy, patients may be continued on other osteoporosis therapies such as bisphosph</w:t>
      </w:r>
      <w:r>
        <w:rPr>
          <w:lang w:val="en-AU"/>
        </w:rPr>
        <w:t>on</w:t>
      </w:r>
      <w:r w:rsidRPr="004E0C17">
        <w:rPr>
          <w:lang w:val="en-AU"/>
        </w:rPr>
        <w:t xml:space="preserve">ates. </w:t>
      </w:r>
    </w:p>
    <w:p w14:paraId="687EDE20" w14:textId="77777777" w:rsidR="009E656D" w:rsidRPr="004E0C17" w:rsidRDefault="009E656D" w:rsidP="00A47F15">
      <w:pPr>
        <w:rPr>
          <w:lang w:val="en-AU"/>
        </w:rPr>
      </w:pPr>
    </w:p>
    <w:bookmarkEnd w:id="1"/>
    <w:p w14:paraId="661C6E74" w14:textId="77777777" w:rsidR="009E656D" w:rsidRPr="005B0286" w:rsidRDefault="009E656D" w:rsidP="005B0286">
      <w:pPr>
        <w:pStyle w:val="Heading4"/>
      </w:pPr>
      <w:r w:rsidRPr="005B0286">
        <w:t xml:space="preserve">Missed dose </w:t>
      </w:r>
    </w:p>
    <w:p w14:paraId="6BC64981" w14:textId="77777777" w:rsidR="009E656D" w:rsidRPr="004E0C17" w:rsidRDefault="009E656D" w:rsidP="00A47F15">
      <w:pPr>
        <w:rPr>
          <w:lang w:val="en-AU"/>
        </w:rPr>
      </w:pPr>
      <w:r w:rsidRPr="004E0C17">
        <w:rPr>
          <w:lang w:val="en-AU"/>
        </w:rPr>
        <w:t xml:space="preserve">If a patient forgets or cannot administer their dose at the usual time, it can be injected within 12 hours of the normal scheduled time. Patients should not administer more than one injection in the same day and should not try to make up for a missed dose. </w:t>
      </w:r>
    </w:p>
    <w:p w14:paraId="30FED340" w14:textId="77777777" w:rsidR="009E656D" w:rsidRPr="004E0C17" w:rsidRDefault="009E656D" w:rsidP="00A47F15">
      <w:pPr>
        <w:pStyle w:val="Heading3"/>
        <w:rPr>
          <w:lang w:val="en-AU"/>
        </w:rPr>
      </w:pPr>
      <w:r w:rsidRPr="004E0C17">
        <w:rPr>
          <w:lang w:val="en-AU"/>
        </w:rPr>
        <w:lastRenderedPageBreak/>
        <w:t xml:space="preserve">Method of Administration </w:t>
      </w:r>
    </w:p>
    <w:p w14:paraId="3AFAFB9E" w14:textId="77777777" w:rsidR="009E656D" w:rsidRPr="004E0C17" w:rsidRDefault="009E656D" w:rsidP="00A47F15">
      <w:pPr>
        <w:rPr>
          <w:lang w:val="en-AU"/>
        </w:rPr>
      </w:pPr>
      <w:r w:rsidRPr="004E0C17">
        <w:rPr>
          <w:lang w:val="en-AU"/>
        </w:rPr>
        <w:t xml:space="preserve">For subcutaneous use only. </w:t>
      </w:r>
    </w:p>
    <w:p w14:paraId="4993AD2C" w14:textId="77777777" w:rsidR="009E656D" w:rsidRPr="004E0C17" w:rsidRDefault="009E656D" w:rsidP="00A47F15">
      <w:pPr>
        <w:rPr>
          <w:lang w:val="en-AU"/>
        </w:rPr>
      </w:pPr>
    </w:p>
    <w:p w14:paraId="4167437B" w14:textId="77777777" w:rsidR="009E656D" w:rsidRPr="004E0C17" w:rsidRDefault="009E656D" w:rsidP="00A47F15">
      <w:pPr>
        <w:rPr>
          <w:lang w:val="en-AU"/>
        </w:rPr>
      </w:pPr>
      <w:r w:rsidRPr="004E0C17">
        <w:rPr>
          <w:lang w:val="en-AU"/>
        </w:rPr>
        <w:t xml:space="preserve">The first injection(s) administered by the patient or caregiver should be performed under the guidance of an appropriately qualified health care professional (see Section </w:t>
      </w:r>
      <w:r w:rsidRPr="004E0C17">
        <w:rPr>
          <w:lang w:val="en-AU"/>
        </w:rPr>
        <w:fldChar w:fldCharType="begin"/>
      </w:r>
      <w:r w:rsidRPr="004E0C17">
        <w:rPr>
          <w:lang w:val="en-AU"/>
        </w:rPr>
        <w:instrText xml:space="preserve"> REF _Ref139029665 \r \h </w:instrText>
      </w:r>
      <w:r w:rsidRPr="004E0C17">
        <w:rPr>
          <w:lang w:val="en-AU"/>
        </w:rPr>
      </w:r>
      <w:r w:rsidRPr="004E0C17">
        <w:rPr>
          <w:lang w:val="en-AU"/>
        </w:rPr>
        <w:fldChar w:fldCharType="separate"/>
      </w:r>
      <w:r>
        <w:rPr>
          <w:lang w:val="en-AU"/>
        </w:rPr>
        <w:t>4.4</w:t>
      </w:r>
      <w:r w:rsidRPr="004E0C17">
        <w:rPr>
          <w:lang w:val="en-AU"/>
        </w:rPr>
        <w:fldChar w:fldCharType="end"/>
      </w:r>
      <w:r>
        <w:rPr>
          <w:lang w:val="en-AU"/>
        </w:rPr>
        <w:t xml:space="preserve"> </w:t>
      </w:r>
      <w:r w:rsidRPr="004E0C17">
        <w:rPr>
          <w:lang w:val="en-AU"/>
        </w:rPr>
        <w:fldChar w:fldCharType="begin"/>
      </w:r>
      <w:r w:rsidRPr="004E0C17">
        <w:rPr>
          <w:lang w:val="en-AU"/>
        </w:rPr>
        <w:instrText xml:space="preserve"> REF _Ref139029665 \h </w:instrText>
      </w:r>
      <w:r w:rsidRPr="004E0C17">
        <w:rPr>
          <w:lang w:val="en-AU"/>
        </w:rPr>
      </w:r>
      <w:r w:rsidRPr="004E0C17">
        <w:rPr>
          <w:lang w:val="en-AU"/>
        </w:rPr>
        <w:fldChar w:fldCharType="separate"/>
      </w:r>
      <w:r w:rsidRPr="004E0C17">
        <w:rPr>
          <w:lang w:val="en-AU"/>
        </w:rPr>
        <w:t>Special warnings and precautions for use</w:t>
      </w:r>
      <w:r w:rsidRPr="004E0C17">
        <w:rPr>
          <w:lang w:val="en-AU"/>
        </w:rPr>
        <w:fldChar w:fldCharType="end"/>
      </w:r>
      <w:r w:rsidRPr="004E0C17">
        <w:rPr>
          <w:lang w:val="en-AU"/>
        </w:rPr>
        <w:t xml:space="preserve">). Patients and/or caregivers should be trained in the subcutaneous administration of ELADYNOS. </w:t>
      </w:r>
    </w:p>
    <w:p w14:paraId="31949F00" w14:textId="77777777" w:rsidR="009E656D" w:rsidRPr="004E0C17" w:rsidRDefault="009E656D" w:rsidP="00A47F15">
      <w:pPr>
        <w:rPr>
          <w:lang w:val="en-AU"/>
        </w:rPr>
      </w:pPr>
    </w:p>
    <w:p w14:paraId="2DA48A42" w14:textId="77777777" w:rsidR="009E656D" w:rsidRDefault="009E656D" w:rsidP="00A47F15">
      <w:pPr>
        <w:rPr>
          <w:lang w:val="en-AU"/>
        </w:rPr>
      </w:pPr>
      <w:r w:rsidRPr="004E0C17">
        <w:rPr>
          <w:lang w:val="en-AU"/>
        </w:rPr>
        <w:t xml:space="preserve">ELADYNOS should be injected in the lower abdomen. The site of the injection should be rotated every day. Injections should be administered at approximately the same time each day. </w:t>
      </w:r>
    </w:p>
    <w:p w14:paraId="1C58D5DA" w14:textId="77777777" w:rsidR="009E656D" w:rsidRDefault="009E656D" w:rsidP="00A47F15">
      <w:pPr>
        <w:rPr>
          <w:lang w:val="en-AU"/>
        </w:rPr>
      </w:pPr>
    </w:p>
    <w:p w14:paraId="7C339183" w14:textId="05316D45" w:rsidR="009E656D" w:rsidRDefault="009E656D" w:rsidP="00A47F15">
      <w:pPr>
        <w:rPr>
          <w:lang w:val="en-AU"/>
        </w:rPr>
      </w:pPr>
      <w:r>
        <w:rPr>
          <w:lang w:val="en-AU"/>
        </w:rPr>
        <w:t>D</w:t>
      </w:r>
      <w:r w:rsidRPr="004E0C17">
        <w:rPr>
          <w:lang w:val="en-AU"/>
        </w:rPr>
        <w:t>etail</w:t>
      </w:r>
      <w:r>
        <w:rPr>
          <w:lang w:val="en-AU"/>
        </w:rPr>
        <w:t>ed</w:t>
      </w:r>
      <w:r w:rsidRPr="004E0C17">
        <w:rPr>
          <w:lang w:val="en-AU"/>
        </w:rPr>
        <w:t xml:space="preserve"> instruction</w:t>
      </w:r>
      <w:r>
        <w:rPr>
          <w:lang w:val="en-AU"/>
        </w:rPr>
        <w:t>s</w:t>
      </w:r>
      <w:r w:rsidRPr="004E0C17">
        <w:rPr>
          <w:lang w:val="en-AU"/>
        </w:rPr>
        <w:t xml:space="preserve"> for use </w:t>
      </w:r>
      <w:r>
        <w:rPr>
          <w:lang w:val="en-AU"/>
        </w:rPr>
        <w:t xml:space="preserve">are provided below and </w:t>
      </w:r>
      <w:r w:rsidRPr="004E0C17">
        <w:rPr>
          <w:lang w:val="en-AU"/>
        </w:rPr>
        <w:t xml:space="preserve">included in each pack to instruct patients on the correct use of </w:t>
      </w:r>
      <w:r>
        <w:rPr>
          <w:lang w:val="en-AU"/>
        </w:rPr>
        <w:t>ELADYNOS</w:t>
      </w:r>
      <w:r w:rsidRPr="004E0C17">
        <w:rPr>
          <w:lang w:val="en-AU"/>
        </w:rPr>
        <w:t>.</w:t>
      </w:r>
    </w:p>
    <w:p w14:paraId="616237B6" w14:textId="77777777" w:rsidR="009E656D" w:rsidRDefault="009E656D" w:rsidP="00804143">
      <w:pPr>
        <w:pStyle w:val="Heading3"/>
        <w:rPr>
          <w:lang w:val="en-AU"/>
        </w:rPr>
      </w:pPr>
      <w:r w:rsidRPr="00DA60F1">
        <w:rPr>
          <w:lang w:val="en-AU"/>
        </w:rPr>
        <w:t xml:space="preserve">Instructions for Use </w:t>
      </w:r>
    </w:p>
    <w:p w14:paraId="10003B54" w14:textId="77777777" w:rsidR="009E656D" w:rsidRDefault="009E656D" w:rsidP="00A47F15">
      <w:pPr>
        <w:rPr>
          <w:lang w:val="en-AU"/>
        </w:rPr>
      </w:pPr>
      <w:r w:rsidRPr="00DA60F1">
        <w:rPr>
          <w:lang w:val="en-AU"/>
        </w:rPr>
        <w:t xml:space="preserve">Do not inject Eladynos until you or your caregiver receive training from a doctor or pharmacist on how to use the Eladynos pen. </w:t>
      </w:r>
    </w:p>
    <w:p w14:paraId="73F0C2CE" w14:textId="77777777" w:rsidR="009E656D" w:rsidRDefault="009E656D" w:rsidP="00A47F15">
      <w:pPr>
        <w:rPr>
          <w:lang w:val="en-AU"/>
        </w:rPr>
      </w:pPr>
    </w:p>
    <w:p w14:paraId="766E4900" w14:textId="77777777" w:rsidR="009E656D" w:rsidRDefault="009E656D" w:rsidP="00A47F15">
      <w:pPr>
        <w:rPr>
          <w:lang w:val="en-AU"/>
        </w:rPr>
      </w:pPr>
      <w:r w:rsidRPr="00DA60F1">
        <w:rPr>
          <w:lang w:val="en-AU"/>
        </w:rPr>
        <w:t>Follow the instructions carefully whenever using the Eladynos pen. Contact your doctor or pharmacist if you have any questions about how to use the Eladynos pen.</w:t>
      </w:r>
    </w:p>
    <w:p w14:paraId="7FF3820D" w14:textId="77777777" w:rsidR="009E656D" w:rsidRDefault="009E656D" w:rsidP="00A47F15">
      <w:pPr>
        <w:rPr>
          <w:lang w:val="en-AU"/>
        </w:rPr>
      </w:pPr>
    </w:p>
    <w:p w14:paraId="3BD13312" w14:textId="77777777" w:rsidR="009E656D" w:rsidRPr="00804143" w:rsidRDefault="009E656D" w:rsidP="005B0286">
      <w:pPr>
        <w:pStyle w:val="Heading4"/>
      </w:pPr>
      <w:r w:rsidRPr="00804143">
        <w:t>Important information before using ELADYNOS</w:t>
      </w:r>
      <w:r>
        <w:t>:</w:t>
      </w:r>
    </w:p>
    <w:p w14:paraId="63A1073D" w14:textId="77777777" w:rsidR="009E656D" w:rsidRDefault="009E656D" w:rsidP="00DA60F1">
      <w:pPr>
        <w:pStyle w:val="ListParagraph"/>
        <w:numPr>
          <w:ilvl w:val="0"/>
          <w:numId w:val="15"/>
        </w:numPr>
        <w:rPr>
          <w:lang w:val="en-AU"/>
        </w:rPr>
      </w:pPr>
      <w:r w:rsidRPr="00DA60F1">
        <w:rPr>
          <w:lang w:val="en-AU"/>
        </w:rPr>
        <w:t xml:space="preserve">Do not share needles with other people.  </w:t>
      </w:r>
    </w:p>
    <w:p w14:paraId="339F96DD" w14:textId="77777777" w:rsidR="009E656D" w:rsidRDefault="009E656D" w:rsidP="00DA60F1">
      <w:pPr>
        <w:pStyle w:val="ListParagraph"/>
        <w:numPr>
          <w:ilvl w:val="0"/>
          <w:numId w:val="15"/>
        </w:numPr>
        <w:rPr>
          <w:lang w:val="en-AU"/>
        </w:rPr>
      </w:pPr>
      <w:r w:rsidRPr="00DA60F1">
        <w:rPr>
          <w:lang w:val="en-AU"/>
        </w:rPr>
        <w:t xml:space="preserve">Use a new needle for each injection. </w:t>
      </w:r>
    </w:p>
    <w:p w14:paraId="0C6B5EC0" w14:textId="77777777" w:rsidR="009E656D" w:rsidRDefault="009E656D" w:rsidP="00DA60F1">
      <w:pPr>
        <w:rPr>
          <w:lang w:val="en-AU"/>
        </w:rPr>
      </w:pPr>
    </w:p>
    <w:p w14:paraId="0E1EA3A6" w14:textId="77777777" w:rsidR="009E656D" w:rsidRPr="00804143" w:rsidRDefault="009E656D" w:rsidP="005B0286">
      <w:pPr>
        <w:pStyle w:val="Heading4"/>
      </w:pPr>
      <w:r w:rsidRPr="00804143">
        <w:t xml:space="preserve">Supplies required for each injection of ELADYNOS which are not provided in the pack: </w:t>
      </w:r>
    </w:p>
    <w:p w14:paraId="4878DE1D" w14:textId="77777777" w:rsidR="009E656D" w:rsidRDefault="009E656D" w:rsidP="00DA60F1">
      <w:pPr>
        <w:pStyle w:val="ListParagraph"/>
        <w:numPr>
          <w:ilvl w:val="0"/>
          <w:numId w:val="16"/>
        </w:numPr>
        <w:rPr>
          <w:lang w:val="en-AU"/>
        </w:rPr>
      </w:pPr>
      <w:r w:rsidRPr="00DA60F1">
        <w:rPr>
          <w:lang w:val="en-AU"/>
        </w:rPr>
        <w:t xml:space="preserve">1 needle </w:t>
      </w:r>
      <w:r>
        <w:rPr>
          <w:lang w:val="en-AU"/>
        </w:rPr>
        <w:t>(</w:t>
      </w:r>
      <w:r w:rsidRPr="00DA60F1">
        <w:rPr>
          <w:lang w:val="en-AU"/>
        </w:rPr>
        <w:t xml:space="preserve">Needles are not included with </w:t>
      </w:r>
      <w:r>
        <w:rPr>
          <w:lang w:val="en-AU"/>
        </w:rPr>
        <w:t>ELADYNOS)</w:t>
      </w:r>
      <w:r w:rsidRPr="00DA60F1">
        <w:rPr>
          <w:lang w:val="en-AU"/>
        </w:rPr>
        <w:t xml:space="preserve">. The correct needles to use with </w:t>
      </w:r>
      <w:r>
        <w:rPr>
          <w:lang w:val="en-AU"/>
        </w:rPr>
        <w:t xml:space="preserve">ELADYNOS </w:t>
      </w:r>
      <w:r w:rsidRPr="00DA60F1">
        <w:rPr>
          <w:lang w:val="en-AU"/>
        </w:rPr>
        <w:t xml:space="preserve">are 8 mm, 31-gauge needles. </w:t>
      </w:r>
    </w:p>
    <w:p w14:paraId="5FEDCAF6" w14:textId="77777777" w:rsidR="009E656D" w:rsidRDefault="009E656D" w:rsidP="00DA60F1">
      <w:pPr>
        <w:pStyle w:val="ListParagraph"/>
        <w:numPr>
          <w:ilvl w:val="0"/>
          <w:numId w:val="16"/>
        </w:numPr>
        <w:rPr>
          <w:lang w:val="en-AU"/>
        </w:rPr>
      </w:pPr>
      <w:r w:rsidRPr="00DA60F1">
        <w:rPr>
          <w:lang w:val="en-AU"/>
        </w:rPr>
        <w:t>1 alcohol swab</w:t>
      </w:r>
    </w:p>
    <w:p w14:paraId="409023B2" w14:textId="77777777" w:rsidR="009E656D" w:rsidRDefault="009E656D" w:rsidP="00DA60F1">
      <w:pPr>
        <w:pStyle w:val="ListParagraph"/>
        <w:numPr>
          <w:ilvl w:val="0"/>
          <w:numId w:val="16"/>
        </w:numPr>
        <w:rPr>
          <w:lang w:val="en-AU"/>
        </w:rPr>
      </w:pPr>
      <w:r w:rsidRPr="00DA60F1">
        <w:rPr>
          <w:lang w:val="en-AU"/>
        </w:rPr>
        <w:t>1 cotton ball or gauze pad</w:t>
      </w:r>
    </w:p>
    <w:p w14:paraId="74B645D1" w14:textId="77777777" w:rsidR="009E656D" w:rsidRPr="00DA60F1" w:rsidRDefault="009E656D" w:rsidP="00804143">
      <w:pPr>
        <w:pStyle w:val="ListParagraph"/>
        <w:numPr>
          <w:ilvl w:val="0"/>
          <w:numId w:val="16"/>
        </w:numPr>
        <w:rPr>
          <w:lang w:val="en-AU"/>
        </w:rPr>
      </w:pPr>
      <w:r w:rsidRPr="00DA60F1">
        <w:rPr>
          <w:lang w:val="en-AU"/>
        </w:rPr>
        <w:t>1 sharps disposal container for needles</w:t>
      </w:r>
      <w:r>
        <w:rPr>
          <w:lang w:val="en-AU"/>
        </w:rPr>
        <w:t xml:space="preserve"> and the used ELADYNOS pen </w:t>
      </w:r>
      <w:r w:rsidRPr="00DA60F1">
        <w:rPr>
          <w:lang w:val="en-AU"/>
        </w:rPr>
        <w:t xml:space="preserve"> </w:t>
      </w:r>
    </w:p>
    <w:p w14:paraId="0FA1612F" w14:textId="77777777" w:rsidR="009E656D" w:rsidRDefault="009E656D" w:rsidP="00A47F15">
      <w:pPr>
        <w:rPr>
          <w:lang w:val="en-AU"/>
        </w:rPr>
      </w:pPr>
    </w:p>
    <w:p w14:paraId="3D19FE19" w14:textId="77777777" w:rsidR="009E656D" w:rsidRPr="00804143" w:rsidRDefault="009E656D" w:rsidP="005B0286">
      <w:pPr>
        <w:pStyle w:val="Heading4"/>
      </w:pPr>
      <w:r w:rsidRPr="00804143">
        <w:t xml:space="preserve">Parts of the ELADYNOS Pen </w:t>
      </w:r>
    </w:p>
    <w:p w14:paraId="2935DD80" w14:textId="77777777" w:rsidR="009E656D" w:rsidRDefault="009E656D" w:rsidP="00A47F15">
      <w:pPr>
        <w:rPr>
          <w:lang w:val="en-AU"/>
        </w:rPr>
      </w:pPr>
      <w:r w:rsidRPr="00A67833">
        <w:rPr>
          <w:noProof/>
        </w:rPr>
        <w:drawing>
          <wp:inline distT="0" distB="0" distL="0" distR="0" wp14:anchorId="087C122E" wp14:editId="1AD21B39">
            <wp:extent cx="3051175" cy="17100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1175" cy="1710055"/>
                    </a:xfrm>
                    <a:prstGeom prst="rect">
                      <a:avLst/>
                    </a:prstGeom>
                  </pic:spPr>
                </pic:pic>
              </a:graphicData>
            </a:graphic>
          </wp:inline>
        </w:drawing>
      </w:r>
    </w:p>
    <w:p w14:paraId="127F37DE" w14:textId="77777777" w:rsidR="009E656D" w:rsidRDefault="009E656D" w:rsidP="00A47F15">
      <w:pPr>
        <w:rPr>
          <w:lang w:val="en-AU"/>
        </w:rPr>
      </w:pPr>
    </w:p>
    <w:p w14:paraId="358EF440" w14:textId="77777777" w:rsidR="009E656D" w:rsidRPr="00804143" w:rsidRDefault="009E656D" w:rsidP="005B0286">
      <w:pPr>
        <w:pStyle w:val="Heading4"/>
      </w:pPr>
      <w:r w:rsidRPr="00804143">
        <w:t xml:space="preserve">Parts of the needle (not included with ELADYNOS) to use with the ELADYNOS pen </w:t>
      </w:r>
    </w:p>
    <w:p w14:paraId="483D025B" w14:textId="77777777" w:rsidR="009E656D" w:rsidRDefault="009E656D" w:rsidP="00A47F15">
      <w:pPr>
        <w:rPr>
          <w:lang w:val="en-AU"/>
        </w:rPr>
      </w:pPr>
      <w:r w:rsidRPr="00A67833">
        <w:rPr>
          <w:noProof/>
        </w:rPr>
        <w:drawing>
          <wp:inline distT="0" distB="0" distL="0" distR="0" wp14:anchorId="096B0924" wp14:editId="6A4A5CBA">
            <wp:extent cx="3051175" cy="942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1175" cy="942340"/>
                    </a:xfrm>
                    <a:prstGeom prst="rect">
                      <a:avLst/>
                    </a:prstGeom>
                  </pic:spPr>
                </pic:pic>
              </a:graphicData>
            </a:graphic>
          </wp:inline>
        </w:drawing>
      </w:r>
    </w:p>
    <w:p w14:paraId="36F6B0A8" w14:textId="77777777" w:rsidR="005B0286" w:rsidRDefault="005B0286" w:rsidP="00A47F15">
      <w:pPr>
        <w:rPr>
          <w:u w:val="single"/>
          <w:lang w:val="en-AU"/>
        </w:rPr>
      </w:pPr>
    </w:p>
    <w:p w14:paraId="24C1AE45" w14:textId="1EF84EE0" w:rsidR="009E656D" w:rsidRDefault="009E656D" w:rsidP="005B0286">
      <w:pPr>
        <w:pStyle w:val="Heading4"/>
      </w:pPr>
      <w:r w:rsidRPr="00804143">
        <w:t xml:space="preserve">Injecting ELADYNOS </w:t>
      </w:r>
    </w:p>
    <w:p w14:paraId="0AFC753B" w14:textId="77777777" w:rsidR="009E656D" w:rsidRPr="00135C6B" w:rsidRDefault="009E656D" w:rsidP="00135C6B">
      <w:pPr>
        <w:pStyle w:val="Heading6"/>
      </w:pPr>
      <w:r w:rsidRPr="00135C6B">
        <w:t xml:space="preserve">Step 1 – Check the ELADYNOS PEN </w:t>
      </w:r>
    </w:p>
    <w:p w14:paraId="122A08B1" w14:textId="77777777" w:rsidR="009E656D" w:rsidRPr="00A67833" w:rsidRDefault="009E656D" w:rsidP="00915C6A">
      <w:pPr>
        <w:pStyle w:val="ListBullet"/>
      </w:pPr>
      <w:r w:rsidRPr="00A67833">
        <w:t xml:space="preserve">Wash your hands. </w:t>
      </w:r>
    </w:p>
    <w:p w14:paraId="719C20E0" w14:textId="77777777" w:rsidR="009E656D" w:rsidRDefault="009E656D" w:rsidP="00915C6A">
      <w:pPr>
        <w:pStyle w:val="ListBullet"/>
      </w:pPr>
    </w:p>
    <w:p w14:paraId="0DA62285" w14:textId="77777777" w:rsidR="009E656D" w:rsidRPr="00A67833" w:rsidRDefault="009E656D" w:rsidP="00804143">
      <w:pPr>
        <w:pStyle w:val="ListBullet"/>
        <w:ind w:left="22" w:firstLine="0"/>
      </w:pPr>
      <w:r w:rsidRPr="00A67833">
        <w:t>Check the pen label to make sure it is the correct medicine. Check the expiry date (EXP) on the pen to make</w:t>
      </w:r>
      <w:r>
        <w:t xml:space="preserve"> </w:t>
      </w:r>
      <w:r w:rsidRPr="00A67833">
        <w:t xml:space="preserve">sure it has not passed. </w:t>
      </w:r>
    </w:p>
    <w:p w14:paraId="39870695" w14:textId="77777777" w:rsidR="009E656D" w:rsidRDefault="009E656D" w:rsidP="00915C6A">
      <w:pPr>
        <w:pStyle w:val="ListBullet"/>
      </w:pPr>
    </w:p>
    <w:p w14:paraId="0C1459CC" w14:textId="77777777" w:rsidR="009E656D" w:rsidRPr="00A67833" w:rsidRDefault="009E656D" w:rsidP="00915C6A">
      <w:pPr>
        <w:pStyle w:val="ListBullet"/>
      </w:pPr>
      <w:r w:rsidRPr="00A67833">
        <w:t xml:space="preserve">Note the date of Day 1 to ensure </w:t>
      </w:r>
      <w:r>
        <w:t xml:space="preserve">the </w:t>
      </w:r>
      <w:r w:rsidRPr="00A67833">
        <w:t xml:space="preserve">pen </w:t>
      </w:r>
      <w:r>
        <w:t xml:space="preserve">is not used </w:t>
      </w:r>
      <w:r w:rsidRPr="00A67833">
        <w:t xml:space="preserve">for more than 30 consecutive days. </w:t>
      </w:r>
    </w:p>
    <w:p w14:paraId="03C5AE85" w14:textId="77777777" w:rsidR="009E656D" w:rsidRPr="00A67833" w:rsidRDefault="009E656D" w:rsidP="00DA60F1">
      <w:pPr>
        <w:pStyle w:val="ListBullet"/>
        <w:ind w:left="0" w:firstLine="0"/>
      </w:pPr>
    </w:p>
    <w:p w14:paraId="51C4DBC3" w14:textId="77777777" w:rsidR="009E656D" w:rsidRDefault="009E656D" w:rsidP="00DA60F1">
      <w:pPr>
        <w:pStyle w:val="ListBullet"/>
        <w:ind w:left="0" w:firstLine="0"/>
      </w:pPr>
      <w:r w:rsidRPr="00A67833">
        <w:t xml:space="preserve">Pull off the pen cap from </w:t>
      </w:r>
      <w:r>
        <w:t>the</w:t>
      </w:r>
      <w:r w:rsidRPr="00A67833">
        <w:t xml:space="preserve"> pen</w:t>
      </w:r>
      <w:r>
        <w:t xml:space="preserve">. </w:t>
      </w:r>
    </w:p>
    <w:p w14:paraId="082FB191" w14:textId="77777777" w:rsidR="009E656D" w:rsidRDefault="009E656D" w:rsidP="00DA60F1">
      <w:pPr>
        <w:pStyle w:val="ListBullet"/>
        <w:ind w:left="0" w:firstLine="0"/>
      </w:pPr>
    </w:p>
    <w:p w14:paraId="28BBC678" w14:textId="77777777" w:rsidR="009E656D" w:rsidRDefault="009E656D" w:rsidP="00DA60F1">
      <w:pPr>
        <w:pStyle w:val="ListBullet"/>
        <w:ind w:left="0" w:firstLine="0"/>
      </w:pPr>
      <w:r>
        <w:t>C</w:t>
      </w:r>
      <w:r w:rsidRPr="00A67833">
        <w:t xml:space="preserve">heck that the pen, including the medicine cartridge is not damaged. The liquid should be clear, </w:t>
      </w:r>
      <w:proofErr w:type="spellStart"/>
      <w:r w:rsidRPr="00A67833">
        <w:t>colourless</w:t>
      </w:r>
      <w:proofErr w:type="spellEnd"/>
      <w:r>
        <w:t>,</w:t>
      </w:r>
      <w:r w:rsidRPr="00A67833">
        <w:t xml:space="preserve"> and free of particles; if not, do not use. You may see small air bubblies in the liquid. This is normal.</w:t>
      </w:r>
    </w:p>
    <w:p w14:paraId="46B9A550" w14:textId="77777777" w:rsidR="009E656D" w:rsidRDefault="009E656D" w:rsidP="00DA60F1">
      <w:pPr>
        <w:pStyle w:val="ListBullet"/>
        <w:ind w:left="0" w:firstLine="0"/>
      </w:pPr>
      <w:r w:rsidRPr="00A67833">
        <w:rPr>
          <w:noProof/>
        </w:rPr>
        <w:drawing>
          <wp:inline distT="0" distB="0" distL="0" distR="0" wp14:anchorId="41D443AE" wp14:editId="07354A93">
            <wp:extent cx="1603829"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326" r="4849" b="9049"/>
                    <a:stretch/>
                  </pic:blipFill>
                  <pic:spPr bwMode="auto">
                    <a:xfrm>
                      <a:off x="0" y="0"/>
                      <a:ext cx="1611281" cy="813387"/>
                    </a:xfrm>
                    <a:prstGeom prst="rect">
                      <a:avLst/>
                    </a:prstGeom>
                    <a:ln>
                      <a:noFill/>
                    </a:ln>
                    <a:extLst>
                      <a:ext uri="{53640926-AAD7-44D8-BBD7-CCE9431645EC}">
                        <a14:shadowObscured xmlns:a14="http://schemas.microsoft.com/office/drawing/2010/main"/>
                      </a:ext>
                    </a:extLst>
                  </pic:spPr>
                </pic:pic>
              </a:graphicData>
            </a:graphic>
          </wp:inline>
        </w:drawing>
      </w:r>
    </w:p>
    <w:p w14:paraId="5B07BEFC" w14:textId="77777777" w:rsidR="009E656D" w:rsidRPr="005B0286" w:rsidRDefault="009E656D" w:rsidP="00DA60F1">
      <w:pPr>
        <w:pStyle w:val="ListBullet"/>
        <w:ind w:left="0" w:firstLine="0"/>
        <w:rPr>
          <w:i/>
          <w:iCs/>
        </w:rPr>
      </w:pPr>
    </w:p>
    <w:p w14:paraId="5336A9FB" w14:textId="77777777" w:rsidR="009E656D" w:rsidRPr="005B0286" w:rsidRDefault="009E656D" w:rsidP="00135C6B">
      <w:pPr>
        <w:pStyle w:val="Heading6"/>
      </w:pPr>
      <w:r w:rsidRPr="005B0286">
        <w:t>Step 2 – Attach the needle to the ELADYNOS PEN</w:t>
      </w:r>
    </w:p>
    <w:p w14:paraId="7323D341" w14:textId="77777777" w:rsidR="009E656D" w:rsidRPr="00A67833" w:rsidRDefault="009E656D" w:rsidP="00915C6A">
      <w:r w:rsidRPr="00A67833">
        <w:t xml:space="preserve">Remove the protective paper from a new needle. </w:t>
      </w:r>
    </w:p>
    <w:p w14:paraId="406C52FC" w14:textId="77777777" w:rsidR="009E656D" w:rsidRDefault="009E656D" w:rsidP="00915C6A">
      <w:r w:rsidRPr="00A67833">
        <w:rPr>
          <w:noProof/>
        </w:rPr>
        <w:drawing>
          <wp:inline distT="0" distB="0" distL="0" distR="0" wp14:anchorId="227A8D25" wp14:editId="52859091">
            <wp:extent cx="1565218"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65218" cy="900000"/>
                    </a:xfrm>
                    <a:prstGeom prst="rect">
                      <a:avLst/>
                    </a:prstGeom>
                  </pic:spPr>
                </pic:pic>
              </a:graphicData>
            </a:graphic>
          </wp:inline>
        </w:drawing>
      </w:r>
    </w:p>
    <w:p w14:paraId="16B85674" w14:textId="77777777" w:rsidR="009E656D" w:rsidRPr="00A67833" w:rsidRDefault="009E656D" w:rsidP="00915C6A"/>
    <w:p w14:paraId="08A55551" w14:textId="7B52E0AF" w:rsidR="009E656D" w:rsidRPr="00A67833" w:rsidRDefault="009E656D" w:rsidP="00915C6A">
      <w:r w:rsidRPr="00A67833">
        <w:t xml:space="preserve">Push the capped needle straight onto the pen and twist until it is secure. Make sure the needle is straight so that it doesn't bend when inserting. The pen will not work if the needle is not properly attached. Do not over-tighten as this may make the needle difficult to remove. If the needle becomes bent, see below under 'Troubleshooting'. </w:t>
      </w:r>
    </w:p>
    <w:p w14:paraId="49C6CAB5" w14:textId="77777777" w:rsidR="009E656D" w:rsidRDefault="009E656D" w:rsidP="00915C6A">
      <w:r w:rsidRPr="00A67833">
        <w:rPr>
          <w:noProof/>
        </w:rPr>
        <w:drawing>
          <wp:inline distT="0" distB="0" distL="0" distR="0" wp14:anchorId="6907F97E" wp14:editId="71FB4969">
            <wp:extent cx="1876425" cy="1171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0153" b="7006"/>
                    <a:stretch/>
                  </pic:blipFill>
                  <pic:spPr bwMode="auto">
                    <a:xfrm>
                      <a:off x="0" y="0"/>
                      <a:ext cx="1876663" cy="1171724"/>
                    </a:xfrm>
                    <a:prstGeom prst="rect">
                      <a:avLst/>
                    </a:prstGeom>
                    <a:ln>
                      <a:noFill/>
                    </a:ln>
                    <a:extLst>
                      <a:ext uri="{53640926-AAD7-44D8-BBD7-CCE9431645EC}">
                        <a14:shadowObscured xmlns:a14="http://schemas.microsoft.com/office/drawing/2010/main"/>
                      </a:ext>
                    </a:extLst>
                  </pic:spPr>
                </pic:pic>
              </a:graphicData>
            </a:graphic>
          </wp:inline>
        </w:drawing>
      </w:r>
    </w:p>
    <w:p w14:paraId="6A5B6A20" w14:textId="77777777" w:rsidR="009E656D" w:rsidRPr="00A67833" w:rsidRDefault="009E656D" w:rsidP="00915C6A"/>
    <w:p w14:paraId="29F2EE02" w14:textId="358283C0" w:rsidR="009E656D" w:rsidRPr="00A67833" w:rsidRDefault="009E656D" w:rsidP="00915C6A">
      <w:r w:rsidRPr="00A67833">
        <w:t>Pull off the outer needle cap from the needl</w:t>
      </w:r>
      <w:r>
        <w:t>e</w:t>
      </w:r>
      <w:r w:rsidRPr="00A67833">
        <w:t xml:space="preserve"> and keep it to use after </w:t>
      </w:r>
      <w:r>
        <w:t>the</w:t>
      </w:r>
      <w:r w:rsidRPr="00A67833">
        <w:t xml:space="preserve"> injection. </w:t>
      </w:r>
    </w:p>
    <w:p w14:paraId="67A18CE7" w14:textId="77777777" w:rsidR="009E656D" w:rsidRDefault="009E656D" w:rsidP="00915C6A">
      <w:r w:rsidRPr="00A67833">
        <w:rPr>
          <w:noProof/>
        </w:rPr>
        <w:drawing>
          <wp:inline distT="0" distB="0" distL="0" distR="0" wp14:anchorId="503C3DE6" wp14:editId="321F8B07">
            <wp:extent cx="1297059" cy="9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97059" cy="900000"/>
                    </a:xfrm>
                    <a:prstGeom prst="rect">
                      <a:avLst/>
                    </a:prstGeom>
                  </pic:spPr>
                </pic:pic>
              </a:graphicData>
            </a:graphic>
          </wp:inline>
        </w:drawing>
      </w:r>
    </w:p>
    <w:p w14:paraId="3BA77361" w14:textId="77777777" w:rsidR="009E656D" w:rsidRPr="00A67833" w:rsidRDefault="009E656D" w:rsidP="00915C6A"/>
    <w:p w14:paraId="3E857923" w14:textId="77777777" w:rsidR="005B0286" w:rsidRDefault="005B0286" w:rsidP="00915C6A"/>
    <w:p w14:paraId="7537D720" w14:textId="77777777" w:rsidR="005B0286" w:rsidRDefault="005B0286" w:rsidP="00915C6A"/>
    <w:p w14:paraId="22021493" w14:textId="03EEA4E0" w:rsidR="009E656D" w:rsidRPr="00A67833" w:rsidRDefault="009E656D" w:rsidP="00915C6A">
      <w:r w:rsidRPr="00A67833">
        <w:lastRenderedPageBreak/>
        <w:t xml:space="preserve">Carefully pull off the inner needle cap and dispose of it. </w:t>
      </w:r>
    </w:p>
    <w:p w14:paraId="44DC180E" w14:textId="77777777" w:rsidR="009E656D" w:rsidRPr="00A67833" w:rsidRDefault="009E656D" w:rsidP="00915C6A">
      <w:r w:rsidRPr="00A67833">
        <w:rPr>
          <w:noProof/>
        </w:rPr>
        <w:drawing>
          <wp:inline distT="0" distB="0" distL="0" distR="0" wp14:anchorId="7F2569A6" wp14:editId="59530AE7">
            <wp:extent cx="1318605" cy="9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077"/>
                    <a:stretch/>
                  </pic:blipFill>
                  <pic:spPr bwMode="auto">
                    <a:xfrm>
                      <a:off x="0" y="0"/>
                      <a:ext cx="1318605" cy="900000"/>
                    </a:xfrm>
                    <a:prstGeom prst="rect">
                      <a:avLst/>
                    </a:prstGeom>
                    <a:ln>
                      <a:noFill/>
                    </a:ln>
                    <a:extLst>
                      <a:ext uri="{53640926-AAD7-44D8-BBD7-CCE9431645EC}">
                        <a14:shadowObscured xmlns:a14="http://schemas.microsoft.com/office/drawing/2010/main"/>
                      </a:ext>
                    </a:extLst>
                  </pic:spPr>
                </pic:pic>
              </a:graphicData>
            </a:graphic>
          </wp:inline>
        </w:drawing>
      </w:r>
    </w:p>
    <w:p w14:paraId="4A93A3F5" w14:textId="77777777" w:rsidR="009E656D" w:rsidRPr="00A67833" w:rsidRDefault="009E656D" w:rsidP="00DA60F1">
      <w:pPr>
        <w:pStyle w:val="ListBullet"/>
        <w:ind w:left="0" w:firstLine="0"/>
      </w:pPr>
    </w:p>
    <w:p w14:paraId="1D05C3CD" w14:textId="77777777" w:rsidR="009E656D" w:rsidRPr="005B0286" w:rsidRDefault="009E656D" w:rsidP="00135C6B">
      <w:pPr>
        <w:pStyle w:val="Heading6"/>
      </w:pPr>
      <w:r w:rsidRPr="005B0286">
        <w:t xml:space="preserve">Step 3 – Day 1 Only - Testing an ELADYNOS pen prior to first injection </w:t>
      </w:r>
    </w:p>
    <w:p w14:paraId="01354221" w14:textId="77777777" w:rsidR="009E656D" w:rsidRDefault="009E656D" w:rsidP="00915C6A">
      <w:r>
        <w:t xml:space="preserve">The ELADYNOS </w:t>
      </w:r>
      <w:r w:rsidRPr="00A67833">
        <w:t xml:space="preserve">pen has medicine for 30 days plus a small amount to test each pen once to confirm it is working properly. </w:t>
      </w:r>
    </w:p>
    <w:p w14:paraId="7336975E" w14:textId="77777777" w:rsidR="009E656D" w:rsidRPr="00A67833" w:rsidRDefault="009E656D" w:rsidP="00915C6A"/>
    <w:p w14:paraId="1059F7E0" w14:textId="77777777" w:rsidR="009E656D" w:rsidRDefault="009E656D" w:rsidP="00915C6A">
      <w:r w:rsidRPr="00A67833">
        <w:t xml:space="preserve">If the pen </w:t>
      </w:r>
      <w:r>
        <w:t xml:space="preserve">is tested </w:t>
      </w:r>
      <w:r w:rsidRPr="00A67833">
        <w:t>before every injection</w:t>
      </w:r>
      <w:r>
        <w:t xml:space="preserve"> the</w:t>
      </w:r>
      <w:r w:rsidRPr="00A67833">
        <w:t xml:space="preserve"> pen will run out of medicine early. Therefore, perform Step 3 only on Day 1, prior to the first injection with each pen. For day 2 through to Day 30 do not test the pen again; go directly to Step 4 to set the dose for your injection. </w:t>
      </w:r>
    </w:p>
    <w:p w14:paraId="6686FBA7" w14:textId="77777777" w:rsidR="009E656D" w:rsidRPr="00A67833" w:rsidRDefault="009E656D" w:rsidP="00915C6A"/>
    <w:p w14:paraId="6371271C" w14:textId="77777777" w:rsidR="009E656D" w:rsidRPr="00A67833" w:rsidRDefault="009E656D" w:rsidP="00915C6A">
      <w:r w:rsidRPr="00A67833">
        <w:t xml:space="preserve">Holding the pen as illustrated, turn the dose knob on </w:t>
      </w:r>
      <w:r>
        <w:t xml:space="preserve">the </w:t>
      </w:r>
      <w:r w:rsidRPr="00A67833">
        <w:t xml:space="preserve">pen away from you until it stops. </w:t>
      </w:r>
    </w:p>
    <w:p w14:paraId="2EAEFF81" w14:textId="7A44D7D7" w:rsidR="009E656D" w:rsidRPr="00A67833" w:rsidRDefault="009E656D" w:rsidP="00915C6A">
      <w:r w:rsidRPr="00A67833">
        <w:t>"</w:t>
      </w:r>
      <w:r w:rsidRPr="00A67833">
        <w:rPr>
          <w:rStyle w:val="Strong"/>
        </w:rPr>
        <w:t>•80</w:t>
      </w:r>
      <w:r w:rsidRPr="00A67833">
        <w:t xml:space="preserve">" </w:t>
      </w:r>
      <w:r>
        <w:t xml:space="preserve">will be </w:t>
      </w:r>
      <w:r w:rsidRPr="00A67833">
        <w:t xml:space="preserve">lined up in the dose display window. </w:t>
      </w:r>
    </w:p>
    <w:p w14:paraId="0A8CC904" w14:textId="77777777" w:rsidR="009E656D" w:rsidRPr="00A67833" w:rsidRDefault="009E656D" w:rsidP="00915C6A">
      <w:r w:rsidRPr="00A67833">
        <w:rPr>
          <w:noProof/>
        </w:rPr>
        <w:drawing>
          <wp:inline distT="0" distB="0" distL="0" distR="0" wp14:anchorId="61D614A9" wp14:editId="6CE381F1">
            <wp:extent cx="1849408" cy="90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7904"/>
                    <a:stretch/>
                  </pic:blipFill>
                  <pic:spPr bwMode="auto">
                    <a:xfrm>
                      <a:off x="0" y="0"/>
                      <a:ext cx="1849408" cy="900000"/>
                    </a:xfrm>
                    <a:prstGeom prst="rect">
                      <a:avLst/>
                    </a:prstGeom>
                    <a:ln>
                      <a:noFill/>
                    </a:ln>
                    <a:extLst>
                      <a:ext uri="{53640926-AAD7-44D8-BBD7-CCE9431645EC}">
                        <a14:shadowObscured xmlns:a14="http://schemas.microsoft.com/office/drawing/2010/main"/>
                      </a:ext>
                    </a:extLst>
                  </pic:spPr>
                </pic:pic>
              </a:graphicData>
            </a:graphic>
          </wp:inline>
        </w:drawing>
      </w:r>
    </w:p>
    <w:p w14:paraId="56084710" w14:textId="77777777" w:rsidR="009E656D" w:rsidRPr="00804143" w:rsidRDefault="009E656D" w:rsidP="00A47F15">
      <w:pPr>
        <w:rPr>
          <w:b/>
          <w:bCs/>
        </w:rPr>
      </w:pPr>
    </w:p>
    <w:p w14:paraId="57899C98" w14:textId="3E193EA1" w:rsidR="009E656D" w:rsidRPr="00A67833" w:rsidRDefault="009E656D" w:rsidP="00915C6A">
      <w:r w:rsidRPr="00A67833">
        <w:t xml:space="preserve">Hold the pen with the needle pointing up. Press the green injection button until it will not go any further. </w:t>
      </w:r>
      <w:r>
        <w:t>L</w:t>
      </w:r>
      <w:r w:rsidRPr="00A67833">
        <w:t>iquid as a drop or stream</w:t>
      </w:r>
      <w:r>
        <w:t xml:space="preserve"> should</w:t>
      </w:r>
      <w:r w:rsidRPr="00A67833">
        <w:t xml:space="preserve"> come from the needle tip. </w:t>
      </w:r>
    </w:p>
    <w:p w14:paraId="554957D9" w14:textId="77777777" w:rsidR="009E656D" w:rsidRDefault="009E656D" w:rsidP="00915C6A">
      <w:r w:rsidRPr="00A67833">
        <w:rPr>
          <w:noProof/>
        </w:rPr>
        <w:drawing>
          <wp:inline distT="0" distB="0" distL="0" distR="0" wp14:anchorId="6EFCDFA0" wp14:editId="761BFEAC">
            <wp:extent cx="978832" cy="9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8832" cy="900000"/>
                    </a:xfrm>
                    <a:prstGeom prst="rect">
                      <a:avLst/>
                    </a:prstGeom>
                  </pic:spPr>
                </pic:pic>
              </a:graphicData>
            </a:graphic>
          </wp:inline>
        </w:drawing>
      </w:r>
    </w:p>
    <w:p w14:paraId="79BBF77F" w14:textId="77777777" w:rsidR="009E656D" w:rsidRPr="00A67833" w:rsidRDefault="009E656D" w:rsidP="00915C6A"/>
    <w:p w14:paraId="3B12B0E8" w14:textId="77777777" w:rsidR="009E656D" w:rsidRPr="00A67833" w:rsidRDefault="009E656D" w:rsidP="00915C6A">
      <w:r w:rsidRPr="00A67833">
        <w:t>"</w:t>
      </w:r>
      <w:r w:rsidRPr="00A67833">
        <w:rPr>
          <w:rStyle w:val="Strong"/>
        </w:rPr>
        <w:t>•0</w:t>
      </w:r>
      <w:r w:rsidRPr="00A67833">
        <w:t xml:space="preserve">" </w:t>
      </w:r>
      <w:r>
        <w:t xml:space="preserve">should be </w:t>
      </w:r>
      <w:r w:rsidRPr="00A67833">
        <w:t xml:space="preserve">lined up in the dose display window. </w:t>
      </w:r>
    </w:p>
    <w:p w14:paraId="0B0945F4" w14:textId="13DE8613" w:rsidR="009E656D" w:rsidRPr="00A67833" w:rsidRDefault="009E656D" w:rsidP="00915C6A">
      <w:r w:rsidRPr="00A67833">
        <w:t>Note: If liquid does not come from the needle tip, see under "Troubleshooting".</w:t>
      </w:r>
    </w:p>
    <w:p w14:paraId="7DCD5C4E" w14:textId="77777777" w:rsidR="009E656D" w:rsidRPr="00A67833" w:rsidRDefault="009E656D" w:rsidP="00915C6A">
      <w:r w:rsidRPr="00A67833">
        <w:rPr>
          <w:noProof/>
        </w:rPr>
        <w:drawing>
          <wp:inline distT="0" distB="0" distL="0" distR="0" wp14:anchorId="2B060EF0" wp14:editId="2277C9CE">
            <wp:extent cx="1650000" cy="9000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6248" r="3850" b="6283"/>
                    <a:stretch/>
                  </pic:blipFill>
                  <pic:spPr bwMode="auto">
                    <a:xfrm>
                      <a:off x="0" y="0"/>
                      <a:ext cx="1650000" cy="900000"/>
                    </a:xfrm>
                    <a:prstGeom prst="rect">
                      <a:avLst/>
                    </a:prstGeom>
                    <a:ln>
                      <a:noFill/>
                    </a:ln>
                    <a:extLst>
                      <a:ext uri="{53640926-AAD7-44D8-BBD7-CCE9431645EC}">
                        <a14:shadowObscured xmlns:a14="http://schemas.microsoft.com/office/drawing/2010/main"/>
                      </a:ext>
                    </a:extLst>
                  </pic:spPr>
                </pic:pic>
              </a:graphicData>
            </a:graphic>
          </wp:inline>
        </w:drawing>
      </w:r>
    </w:p>
    <w:p w14:paraId="4A5B2528" w14:textId="77777777" w:rsidR="009E656D" w:rsidRPr="004E0C17" w:rsidRDefault="009E656D" w:rsidP="00A47F15">
      <w:pPr>
        <w:rPr>
          <w:lang w:val="en-AU"/>
        </w:rPr>
      </w:pPr>
    </w:p>
    <w:p w14:paraId="25AD3D15" w14:textId="77777777" w:rsidR="009E656D" w:rsidRPr="005B0286" w:rsidRDefault="009E656D" w:rsidP="00135C6B">
      <w:pPr>
        <w:pStyle w:val="Heading6"/>
      </w:pPr>
      <w:r w:rsidRPr="005B0286">
        <w:t xml:space="preserve">Step 4 – Set the dose on the ELADYNOS pen </w:t>
      </w:r>
    </w:p>
    <w:p w14:paraId="4DD37565" w14:textId="5ACA398D" w:rsidR="009E656D" w:rsidRPr="00A67833" w:rsidRDefault="009E656D" w:rsidP="00915C6A">
      <w:r w:rsidRPr="00A67833">
        <w:t xml:space="preserve">Turn the white dose knob on </w:t>
      </w:r>
      <w:r>
        <w:t xml:space="preserve">the </w:t>
      </w:r>
      <w:r w:rsidRPr="00A67833">
        <w:t>pen away from you until the knob stops and "</w:t>
      </w:r>
      <w:r w:rsidRPr="00A67833">
        <w:rPr>
          <w:rStyle w:val="Strong"/>
        </w:rPr>
        <w:t>•80</w:t>
      </w:r>
      <w:r w:rsidRPr="00A67833">
        <w:t xml:space="preserve">" is lined up in the display window. </w:t>
      </w:r>
      <w:r>
        <w:t xml:space="preserve">The ELADYNOS </w:t>
      </w:r>
      <w:r w:rsidRPr="00A67833">
        <w:t xml:space="preserve">pen is now ready for injection. </w:t>
      </w:r>
    </w:p>
    <w:p w14:paraId="444B8134" w14:textId="77777777" w:rsidR="009E656D" w:rsidRDefault="009E656D" w:rsidP="00915C6A">
      <w:r w:rsidRPr="00A67833">
        <w:rPr>
          <w:noProof/>
        </w:rPr>
        <w:drawing>
          <wp:inline distT="0" distB="0" distL="0" distR="0" wp14:anchorId="6885BBA6" wp14:editId="6D7CCB02">
            <wp:extent cx="2217692" cy="90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4808" b="5908"/>
                    <a:stretch/>
                  </pic:blipFill>
                  <pic:spPr bwMode="auto">
                    <a:xfrm>
                      <a:off x="0" y="0"/>
                      <a:ext cx="2217692" cy="900000"/>
                    </a:xfrm>
                    <a:prstGeom prst="rect">
                      <a:avLst/>
                    </a:prstGeom>
                    <a:ln>
                      <a:noFill/>
                    </a:ln>
                    <a:extLst>
                      <a:ext uri="{53640926-AAD7-44D8-BBD7-CCE9431645EC}">
                        <a14:shadowObscured xmlns:a14="http://schemas.microsoft.com/office/drawing/2010/main"/>
                      </a:ext>
                    </a:extLst>
                  </pic:spPr>
                </pic:pic>
              </a:graphicData>
            </a:graphic>
          </wp:inline>
        </w:drawing>
      </w:r>
    </w:p>
    <w:p w14:paraId="1FA88CBF" w14:textId="77777777" w:rsidR="009E656D" w:rsidRPr="00A67833" w:rsidRDefault="009E656D" w:rsidP="00915C6A"/>
    <w:p w14:paraId="220E733D" w14:textId="2A31B14F" w:rsidR="005B0286" w:rsidRPr="00C72BD7" w:rsidRDefault="009E656D" w:rsidP="00804143">
      <w:r w:rsidRPr="00A67833">
        <w:t xml:space="preserve">Note: If </w:t>
      </w:r>
      <w:r>
        <w:t xml:space="preserve">the pen </w:t>
      </w:r>
      <w:r w:rsidRPr="00A67833">
        <w:t xml:space="preserve">cannot </w:t>
      </w:r>
      <w:r>
        <w:t xml:space="preserve">be </w:t>
      </w:r>
      <w:r w:rsidRPr="00A67833">
        <w:t>set to "</w:t>
      </w:r>
      <w:r w:rsidRPr="00A67833">
        <w:rPr>
          <w:rStyle w:val="Strong"/>
        </w:rPr>
        <w:t>•80</w:t>
      </w:r>
      <w:r w:rsidRPr="00A67833">
        <w:t xml:space="preserve">", see below under "Troubleshooting".  </w:t>
      </w:r>
    </w:p>
    <w:p w14:paraId="2FC4EA0F" w14:textId="1B0ECE56" w:rsidR="009E656D" w:rsidRPr="005B0286" w:rsidRDefault="009E656D" w:rsidP="00135C6B">
      <w:pPr>
        <w:pStyle w:val="Heading6"/>
      </w:pPr>
      <w:r w:rsidRPr="005B0286">
        <w:lastRenderedPageBreak/>
        <w:t xml:space="preserve">Step 5 – Choose and clean the injection site </w:t>
      </w:r>
    </w:p>
    <w:p w14:paraId="2673CE60" w14:textId="726FF409" w:rsidR="009E656D" w:rsidRPr="00A67833" w:rsidRDefault="009E656D" w:rsidP="00915C6A">
      <w:r w:rsidRPr="00A67833">
        <w:t xml:space="preserve">Injections should be given in the lower abdomen as shown by the grey shaded area. Avoid the </w:t>
      </w:r>
      <w:r w:rsidR="00C95BA3">
        <w:br/>
      </w:r>
      <w:r w:rsidRPr="00A67833">
        <w:t xml:space="preserve">5 cm around </w:t>
      </w:r>
      <w:r>
        <w:t>the</w:t>
      </w:r>
      <w:r w:rsidRPr="00A67833">
        <w:t xml:space="preserve"> belly button. </w:t>
      </w:r>
    </w:p>
    <w:p w14:paraId="43C0FA36" w14:textId="77777777" w:rsidR="009E656D" w:rsidRDefault="009E656D" w:rsidP="00915C6A">
      <w:r w:rsidRPr="00A67833">
        <w:rPr>
          <w:noProof/>
        </w:rPr>
        <w:drawing>
          <wp:inline distT="0" distB="0" distL="0" distR="0" wp14:anchorId="678507A8" wp14:editId="7583A2A7">
            <wp:extent cx="1168212" cy="90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8426" b="6742"/>
                    <a:stretch/>
                  </pic:blipFill>
                  <pic:spPr bwMode="auto">
                    <a:xfrm>
                      <a:off x="0" y="0"/>
                      <a:ext cx="1168212" cy="900000"/>
                    </a:xfrm>
                    <a:prstGeom prst="rect">
                      <a:avLst/>
                    </a:prstGeom>
                    <a:ln>
                      <a:noFill/>
                    </a:ln>
                    <a:extLst>
                      <a:ext uri="{53640926-AAD7-44D8-BBD7-CCE9431645EC}">
                        <a14:shadowObscured xmlns:a14="http://schemas.microsoft.com/office/drawing/2010/main"/>
                      </a:ext>
                    </a:extLst>
                  </pic:spPr>
                </pic:pic>
              </a:graphicData>
            </a:graphic>
          </wp:inline>
        </w:drawing>
      </w:r>
    </w:p>
    <w:p w14:paraId="5D4BD271" w14:textId="77777777" w:rsidR="009E656D" w:rsidRPr="00A67833" w:rsidRDefault="009E656D" w:rsidP="00915C6A"/>
    <w:p w14:paraId="40D51750" w14:textId="77777777" w:rsidR="009E656D" w:rsidRDefault="009E656D" w:rsidP="00915C6A">
      <w:r w:rsidRPr="00A67833">
        <w:t xml:space="preserve">Select a different injection site on </w:t>
      </w:r>
      <w:r>
        <w:t>the</w:t>
      </w:r>
      <w:r w:rsidRPr="00A67833">
        <w:t xml:space="preserve"> abdomen each day. Only inject into clear skin. Do not inject into areas where the skin is tender, bruised, red, scaly</w:t>
      </w:r>
      <w:r>
        <w:t>,</w:t>
      </w:r>
      <w:r w:rsidRPr="00A67833">
        <w:t xml:space="preserve"> or hard. Avoid areas with scars or stretch marks. </w:t>
      </w:r>
    </w:p>
    <w:p w14:paraId="49EC1EDF" w14:textId="77777777" w:rsidR="009E656D" w:rsidRPr="00A67833" w:rsidRDefault="009E656D" w:rsidP="00915C6A"/>
    <w:p w14:paraId="159B3605" w14:textId="68A1BDD4" w:rsidR="009E656D" w:rsidRPr="00A67833" w:rsidRDefault="009E656D" w:rsidP="00915C6A">
      <w:r w:rsidRPr="00A67833">
        <w:t>Wipe the injection site with an alcohol swab and allow it to dry. Do not touch, fan</w:t>
      </w:r>
      <w:r>
        <w:t>,</w:t>
      </w:r>
      <w:r w:rsidRPr="00A67833">
        <w:t xml:space="preserve"> or blow on the injection site after </w:t>
      </w:r>
      <w:r>
        <w:t xml:space="preserve">it has been </w:t>
      </w:r>
      <w:r w:rsidRPr="00A67833">
        <w:t xml:space="preserve">cleaned. </w:t>
      </w:r>
    </w:p>
    <w:p w14:paraId="7E74199C" w14:textId="77777777" w:rsidR="009E656D" w:rsidRDefault="009E656D" w:rsidP="00915C6A">
      <w:r w:rsidRPr="00A67833">
        <w:rPr>
          <w:noProof/>
        </w:rPr>
        <w:drawing>
          <wp:inline distT="0" distB="0" distL="0" distR="0" wp14:anchorId="5603CCB7" wp14:editId="6AD15F9F">
            <wp:extent cx="1188679" cy="90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4790"/>
                    <a:stretch/>
                  </pic:blipFill>
                  <pic:spPr bwMode="auto">
                    <a:xfrm>
                      <a:off x="0" y="0"/>
                      <a:ext cx="1188679" cy="900000"/>
                    </a:xfrm>
                    <a:prstGeom prst="rect">
                      <a:avLst/>
                    </a:prstGeom>
                    <a:ln>
                      <a:noFill/>
                    </a:ln>
                    <a:extLst>
                      <a:ext uri="{53640926-AAD7-44D8-BBD7-CCE9431645EC}">
                        <a14:shadowObscured xmlns:a14="http://schemas.microsoft.com/office/drawing/2010/main"/>
                      </a:ext>
                    </a:extLst>
                  </pic:spPr>
                </pic:pic>
              </a:graphicData>
            </a:graphic>
          </wp:inline>
        </w:drawing>
      </w:r>
    </w:p>
    <w:p w14:paraId="47076491" w14:textId="77777777" w:rsidR="009E656D" w:rsidRPr="00A67833" w:rsidRDefault="009E656D" w:rsidP="00915C6A"/>
    <w:p w14:paraId="01A9E1ED" w14:textId="77777777" w:rsidR="009E656D" w:rsidRDefault="009E656D" w:rsidP="00915C6A">
      <w:r w:rsidRPr="00A67833">
        <w:t>Note: Your doctor, nurse or pharmacist may recommend that you pinch up the skin at the injection site. Once the needle enters the skin, the pinch can be release</w:t>
      </w:r>
      <w:r>
        <w:t>d</w:t>
      </w:r>
      <w:r w:rsidRPr="00A67833">
        <w:t xml:space="preserve">. </w:t>
      </w:r>
    </w:p>
    <w:p w14:paraId="6D4CED01" w14:textId="77777777" w:rsidR="009E656D" w:rsidRPr="005B0286" w:rsidRDefault="009E656D" w:rsidP="00915C6A">
      <w:pPr>
        <w:rPr>
          <w:i/>
          <w:iCs/>
        </w:rPr>
      </w:pPr>
    </w:p>
    <w:p w14:paraId="3B2D2A23" w14:textId="77777777" w:rsidR="009E656D" w:rsidRPr="005B0286" w:rsidRDefault="009E656D" w:rsidP="00135C6B">
      <w:pPr>
        <w:pStyle w:val="Heading6"/>
      </w:pPr>
      <w:r w:rsidRPr="005B0286">
        <w:t xml:space="preserve">Step 6 – Administering the ELADYNOS injection </w:t>
      </w:r>
    </w:p>
    <w:p w14:paraId="458BC1F2" w14:textId="1FFC5CD6" w:rsidR="009E656D" w:rsidRPr="00A67833" w:rsidRDefault="009E656D" w:rsidP="000B4805">
      <w:r w:rsidRPr="00A67833">
        <w:t xml:space="preserve">Insert the needle straight into </w:t>
      </w:r>
      <w:r>
        <w:t xml:space="preserve">the </w:t>
      </w:r>
      <w:r w:rsidRPr="00A67833">
        <w:t xml:space="preserve">skin. </w:t>
      </w:r>
    </w:p>
    <w:p w14:paraId="1D9C447F" w14:textId="77777777" w:rsidR="009E656D" w:rsidRDefault="009E656D" w:rsidP="000B4805">
      <w:r w:rsidRPr="00A67833">
        <w:rPr>
          <w:noProof/>
        </w:rPr>
        <w:drawing>
          <wp:inline distT="0" distB="0" distL="0" distR="0" wp14:anchorId="7D4E3A1D" wp14:editId="3D186558">
            <wp:extent cx="1605234" cy="90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605234" cy="900000"/>
                    </a:xfrm>
                    <a:prstGeom prst="rect">
                      <a:avLst/>
                    </a:prstGeom>
                  </pic:spPr>
                </pic:pic>
              </a:graphicData>
            </a:graphic>
          </wp:inline>
        </w:drawing>
      </w:r>
    </w:p>
    <w:p w14:paraId="0EFC7EFA" w14:textId="77777777" w:rsidR="009E656D" w:rsidRPr="00A67833" w:rsidRDefault="009E656D" w:rsidP="000B4805"/>
    <w:p w14:paraId="079FF133" w14:textId="77777777" w:rsidR="009E656D" w:rsidRPr="00A67833" w:rsidRDefault="009E656D" w:rsidP="000B4805">
      <w:r w:rsidRPr="00A67833">
        <w:t>Press and HOLD the green button until ALL the below events are complete:</w:t>
      </w:r>
    </w:p>
    <w:p w14:paraId="1DF4E3BB" w14:textId="77777777" w:rsidR="009E656D" w:rsidRPr="00A67833" w:rsidRDefault="009E656D" w:rsidP="00804143">
      <w:pPr>
        <w:pStyle w:val="ListBullet"/>
        <w:numPr>
          <w:ilvl w:val="0"/>
          <w:numId w:val="19"/>
        </w:numPr>
        <w:spacing w:after="120"/>
      </w:pPr>
      <w:r w:rsidRPr="00A67833">
        <w:t>"</w:t>
      </w:r>
      <w:r w:rsidRPr="00A67833">
        <w:rPr>
          <w:rStyle w:val="Strong"/>
        </w:rPr>
        <w:t xml:space="preserve">•0" </w:t>
      </w:r>
      <w:r w:rsidRPr="00A67833">
        <w:t xml:space="preserve">is displayed </w:t>
      </w:r>
    </w:p>
    <w:p w14:paraId="56D14B3C" w14:textId="77777777" w:rsidR="009E656D" w:rsidRPr="00A67833" w:rsidRDefault="009E656D" w:rsidP="00804143">
      <w:pPr>
        <w:pStyle w:val="ListBullet"/>
        <w:numPr>
          <w:ilvl w:val="0"/>
          <w:numId w:val="19"/>
        </w:numPr>
        <w:spacing w:after="120"/>
      </w:pPr>
      <w:r w:rsidRPr="00A67833">
        <w:t xml:space="preserve">Hold for 10 seconds to give full dose </w:t>
      </w:r>
    </w:p>
    <w:p w14:paraId="36400F85" w14:textId="77777777" w:rsidR="009E656D" w:rsidRPr="00A67833" w:rsidRDefault="009E656D" w:rsidP="00804143">
      <w:pPr>
        <w:pStyle w:val="ListBullet"/>
        <w:numPr>
          <w:ilvl w:val="0"/>
          <w:numId w:val="19"/>
        </w:numPr>
        <w:spacing w:after="120"/>
      </w:pPr>
      <w:r w:rsidRPr="00A67833">
        <w:t xml:space="preserve">Withdraw pen from skin </w:t>
      </w:r>
    </w:p>
    <w:p w14:paraId="52A0292C" w14:textId="77777777" w:rsidR="009E656D" w:rsidRDefault="009E656D" w:rsidP="000B4805">
      <w:r w:rsidRPr="00A67833">
        <w:t xml:space="preserve">And THEN release the button. </w:t>
      </w:r>
    </w:p>
    <w:p w14:paraId="65585E3D" w14:textId="77777777" w:rsidR="009E656D" w:rsidRPr="00A67833" w:rsidRDefault="009E656D" w:rsidP="000B4805"/>
    <w:p w14:paraId="2BF272B8" w14:textId="2F824A05" w:rsidR="009E656D" w:rsidRPr="00A67833" w:rsidRDefault="009E656D" w:rsidP="000B4805">
      <w:r w:rsidRPr="00A67833">
        <w:t xml:space="preserve">Do not press the green button without a needle attached. </w:t>
      </w:r>
    </w:p>
    <w:p w14:paraId="0F27C9CC" w14:textId="77777777" w:rsidR="009E656D" w:rsidRDefault="009E656D" w:rsidP="000B4805">
      <w:r w:rsidRPr="00A67833">
        <w:rPr>
          <w:noProof/>
        </w:rPr>
        <w:drawing>
          <wp:inline distT="0" distB="0" distL="0" distR="0" wp14:anchorId="6BF4AFB7" wp14:editId="2505FC03">
            <wp:extent cx="1427228" cy="90000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2701" b="6362"/>
                    <a:stretch/>
                  </pic:blipFill>
                  <pic:spPr bwMode="auto">
                    <a:xfrm>
                      <a:off x="0" y="0"/>
                      <a:ext cx="1427228" cy="900000"/>
                    </a:xfrm>
                    <a:prstGeom prst="rect">
                      <a:avLst/>
                    </a:prstGeom>
                    <a:ln>
                      <a:noFill/>
                    </a:ln>
                    <a:extLst>
                      <a:ext uri="{53640926-AAD7-44D8-BBD7-CCE9431645EC}">
                        <a14:shadowObscured xmlns:a14="http://schemas.microsoft.com/office/drawing/2010/main"/>
                      </a:ext>
                    </a:extLst>
                  </pic:spPr>
                </pic:pic>
              </a:graphicData>
            </a:graphic>
          </wp:inline>
        </w:drawing>
      </w:r>
    </w:p>
    <w:p w14:paraId="04755F7E" w14:textId="77777777" w:rsidR="009E656D" w:rsidRPr="00A67833" w:rsidRDefault="009E656D" w:rsidP="000B4805"/>
    <w:p w14:paraId="25DD2A16" w14:textId="77777777" w:rsidR="009E656D" w:rsidRDefault="009E656D" w:rsidP="000B4805">
      <w:r w:rsidRPr="00A67833">
        <w:t>Note: Do not move the pen after inserting. If the green injection button cannot be pressed down or stops before the "</w:t>
      </w:r>
      <w:r w:rsidRPr="00A67833">
        <w:rPr>
          <w:rStyle w:val="Strong"/>
        </w:rPr>
        <w:t>•0</w:t>
      </w:r>
      <w:r w:rsidRPr="00A67833">
        <w:t xml:space="preserve">", see below under "Troubleshooting". </w:t>
      </w:r>
    </w:p>
    <w:p w14:paraId="30A44225" w14:textId="77777777" w:rsidR="009E656D" w:rsidRPr="00A67833" w:rsidRDefault="009E656D" w:rsidP="000B4805"/>
    <w:p w14:paraId="5C23451B" w14:textId="4414D534" w:rsidR="009E656D" w:rsidRPr="00A67833" w:rsidRDefault="009E656D" w:rsidP="000B4805">
      <w:r w:rsidRPr="00A67833">
        <w:t xml:space="preserve">Slowly remove the pen from the injection site by pulling the pen needle straight out. </w:t>
      </w:r>
    </w:p>
    <w:p w14:paraId="501F14C5" w14:textId="77777777" w:rsidR="009E656D" w:rsidRPr="00A67833" w:rsidRDefault="009E656D" w:rsidP="000B4805">
      <w:r>
        <w:lastRenderedPageBreak/>
        <w:t xml:space="preserve">There may be </w:t>
      </w:r>
      <w:r w:rsidRPr="00A67833">
        <w:t xml:space="preserve">slight bleeding; this is normal. Do not rub the injection site. If slight bleeding occurs, press a cotton ball or gauze pad to the injection site as required. </w:t>
      </w:r>
      <w:r>
        <w:t xml:space="preserve">The area </w:t>
      </w:r>
      <w:r w:rsidRPr="00A67833">
        <w:t xml:space="preserve">may also </w:t>
      </w:r>
      <w:r>
        <w:t xml:space="preserve">be </w:t>
      </w:r>
      <w:r w:rsidRPr="00A67833">
        <w:t>cover</w:t>
      </w:r>
      <w:r>
        <w:t xml:space="preserve">ed </w:t>
      </w:r>
      <w:r w:rsidRPr="00A67833">
        <w:t xml:space="preserve">with a small adhesive bandage. </w:t>
      </w:r>
    </w:p>
    <w:p w14:paraId="536C9BFD" w14:textId="77777777" w:rsidR="009E656D" w:rsidRDefault="009E656D" w:rsidP="00915C6A"/>
    <w:p w14:paraId="08A90B43" w14:textId="77777777" w:rsidR="009E656D" w:rsidRPr="005B0286" w:rsidRDefault="009E656D" w:rsidP="00135C6B">
      <w:pPr>
        <w:pStyle w:val="Heading6"/>
      </w:pPr>
      <w:r w:rsidRPr="005B0286">
        <w:t>Step 7 – Remove the pen needle</w:t>
      </w:r>
    </w:p>
    <w:p w14:paraId="5821AE5A" w14:textId="77777777" w:rsidR="009E656D" w:rsidRDefault="009E656D" w:rsidP="000B4805">
      <w:r w:rsidRPr="00A67833">
        <w:t xml:space="preserve">Caution: To prevent needle stick injury, follow this step carefully. </w:t>
      </w:r>
    </w:p>
    <w:p w14:paraId="1F2AA88F" w14:textId="77777777" w:rsidR="009E656D" w:rsidRPr="00A67833" w:rsidRDefault="009E656D" w:rsidP="000B4805"/>
    <w:p w14:paraId="5A13BC8C" w14:textId="273673A7" w:rsidR="009E656D" w:rsidRPr="00A67833" w:rsidRDefault="009E656D" w:rsidP="000B4805">
      <w:r w:rsidRPr="00A67833">
        <w:t>Carefully place the outer needle cap back on the needle. Then carefully press on the outer needle cap until it snaps into place and is secure.</w:t>
      </w:r>
    </w:p>
    <w:p w14:paraId="42352E1C" w14:textId="77777777" w:rsidR="009E656D" w:rsidRDefault="009E656D" w:rsidP="000B4805">
      <w:r w:rsidRPr="00A67833">
        <w:rPr>
          <w:noProof/>
        </w:rPr>
        <w:drawing>
          <wp:inline distT="0" distB="0" distL="0" distR="0" wp14:anchorId="71A1D4BB" wp14:editId="686AFB5F">
            <wp:extent cx="1604645" cy="771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6816" b="14256"/>
                    <a:stretch/>
                  </pic:blipFill>
                  <pic:spPr bwMode="auto">
                    <a:xfrm>
                      <a:off x="0" y="0"/>
                      <a:ext cx="1605011" cy="771701"/>
                    </a:xfrm>
                    <a:prstGeom prst="rect">
                      <a:avLst/>
                    </a:prstGeom>
                    <a:ln>
                      <a:noFill/>
                    </a:ln>
                    <a:extLst>
                      <a:ext uri="{53640926-AAD7-44D8-BBD7-CCE9431645EC}">
                        <a14:shadowObscured xmlns:a14="http://schemas.microsoft.com/office/drawing/2010/main"/>
                      </a:ext>
                    </a:extLst>
                  </pic:spPr>
                </pic:pic>
              </a:graphicData>
            </a:graphic>
          </wp:inline>
        </w:drawing>
      </w:r>
    </w:p>
    <w:p w14:paraId="0D36CD8E" w14:textId="77777777" w:rsidR="009E656D" w:rsidRPr="00A67833" w:rsidRDefault="009E656D" w:rsidP="000B4805"/>
    <w:p w14:paraId="0A786AD9" w14:textId="77777777" w:rsidR="009E656D" w:rsidRDefault="009E656D" w:rsidP="000B4805">
      <w:r w:rsidRPr="00A67833">
        <w:t xml:space="preserve">Unscrew the capped needle. To unscrew the capped needle, squeeze the cap at the base against the needle, then turn it 8 or more times before gently pulling until the capped needle comes off. </w:t>
      </w:r>
    </w:p>
    <w:p w14:paraId="48A7CB64" w14:textId="77777777" w:rsidR="009E656D" w:rsidRPr="00A67833" w:rsidRDefault="009E656D" w:rsidP="000B4805"/>
    <w:p w14:paraId="78B976F8" w14:textId="6EFFA4CF" w:rsidR="009E656D" w:rsidRPr="00A67833" w:rsidRDefault="009E656D" w:rsidP="000B4805">
      <w:r w:rsidRPr="00A67833">
        <w:t xml:space="preserve">Note: Do not push down on the outer needle cap while unscrewing the needle. </w:t>
      </w:r>
    </w:p>
    <w:p w14:paraId="7E16055F" w14:textId="77777777" w:rsidR="009E656D" w:rsidRDefault="009E656D" w:rsidP="000B4805">
      <w:r w:rsidRPr="00A67833">
        <w:rPr>
          <w:noProof/>
        </w:rPr>
        <w:drawing>
          <wp:inline distT="0" distB="0" distL="0" distR="0" wp14:anchorId="6B3A6C03" wp14:editId="3B4E9CA3">
            <wp:extent cx="1058824" cy="90000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061" t="8380" r="5102" b="6145"/>
                    <a:stretch/>
                  </pic:blipFill>
                  <pic:spPr bwMode="auto">
                    <a:xfrm>
                      <a:off x="0" y="0"/>
                      <a:ext cx="1058824" cy="900000"/>
                    </a:xfrm>
                    <a:prstGeom prst="rect">
                      <a:avLst/>
                    </a:prstGeom>
                    <a:ln>
                      <a:noFill/>
                    </a:ln>
                    <a:extLst>
                      <a:ext uri="{53640926-AAD7-44D8-BBD7-CCE9431645EC}">
                        <a14:shadowObscured xmlns:a14="http://schemas.microsoft.com/office/drawing/2010/main"/>
                      </a:ext>
                    </a:extLst>
                  </pic:spPr>
                </pic:pic>
              </a:graphicData>
            </a:graphic>
          </wp:inline>
        </w:drawing>
      </w:r>
    </w:p>
    <w:p w14:paraId="2DD90254" w14:textId="77777777" w:rsidR="009E656D" w:rsidRPr="00A67833" w:rsidRDefault="009E656D" w:rsidP="000B4805"/>
    <w:p w14:paraId="691D6D0C" w14:textId="60627C8D" w:rsidR="009E656D" w:rsidRPr="00A67833" w:rsidRDefault="009E656D" w:rsidP="000B4805">
      <w:r w:rsidRPr="00A67833">
        <w:t xml:space="preserve">Note: </w:t>
      </w:r>
      <w:r>
        <w:t>A</w:t>
      </w:r>
      <w:r w:rsidRPr="00A67833">
        <w:t xml:space="preserve"> gap widening between the outer needle cap and the pen</w:t>
      </w:r>
      <w:r>
        <w:t xml:space="preserve"> should be seen</w:t>
      </w:r>
      <w:r w:rsidRPr="00A67833">
        <w:t xml:space="preserve"> as </w:t>
      </w:r>
      <w:r>
        <w:t xml:space="preserve">the needle is </w:t>
      </w:r>
      <w:r w:rsidRPr="00A67833">
        <w:t>unscrew</w:t>
      </w:r>
      <w:r>
        <w:t>ed</w:t>
      </w:r>
      <w:r w:rsidRPr="00A67833">
        <w:t xml:space="preserve">. </w:t>
      </w:r>
    </w:p>
    <w:p w14:paraId="28ED4365" w14:textId="77777777" w:rsidR="009E656D" w:rsidRPr="00A67833" w:rsidRDefault="009E656D" w:rsidP="000B4805">
      <w:r w:rsidRPr="00A67833">
        <w:rPr>
          <w:noProof/>
        </w:rPr>
        <w:drawing>
          <wp:inline distT="0" distB="0" distL="0" distR="0" wp14:anchorId="51DBE245" wp14:editId="7B844EB9">
            <wp:extent cx="1387500" cy="90000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87500" cy="900000"/>
                    </a:xfrm>
                    <a:prstGeom prst="rect">
                      <a:avLst/>
                    </a:prstGeom>
                  </pic:spPr>
                </pic:pic>
              </a:graphicData>
            </a:graphic>
          </wp:inline>
        </w:drawing>
      </w:r>
    </w:p>
    <w:p w14:paraId="313F51F5" w14:textId="77777777" w:rsidR="009E656D" w:rsidRDefault="009E656D" w:rsidP="00A47F15"/>
    <w:p w14:paraId="6537FCCB" w14:textId="77777777" w:rsidR="009E656D" w:rsidRPr="005B0286" w:rsidRDefault="009E656D" w:rsidP="00135C6B">
      <w:pPr>
        <w:pStyle w:val="Heading6"/>
      </w:pPr>
      <w:r w:rsidRPr="005B0286">
        <w:t xml:space="preserve">Step 8 – After injection </w:t>
      </w:r>
    </w:p>
    <w:p w14:paraId="2FE9DAF4" w14:textId="77777777" w:rsidR="009E656D" w:rsidRDefault="009E656D" w:rsidP="000B4805">
      <w:r w:rsidRPr="00A67833">
        <w:t xml:space="preserve">Firmly replace the pen cap onto the </w:t>
      </w:r>
      <w:r>
        <w:t>ELADYNOS</w:t>
      </w:r>
      <w:r w:rsidRPr="00A67833">
        <w:t xml:space="preserve"> pen. </w:t>
      </w:r>
    </w:p>
    <w:p w14:paraId="39818900" w14:textId="77777777" w:rsidR="009E656D" w:rsidRPr="00A67833" w:rsidRDefault="009E656D" w:rsidP="000B4805"/>
    <w:p w14:paraId="5460ACE0" w14:textId="3D512808" w:rsidR="009E656D" w:rsidRPr="00A67833" w:rsidRDefault="009E656D" w:rsidP="000B4805">
      <w:r w:rsidRPr="00A67833">
        <w:t xml:space="preserve">Keep the cap on </w:t>
      </w:r>
      <w:r>
        <w:t xml:space="preserve">the </w:t>
      </w:r>
      <w:r w:rsidRPr="00A67833">
        <w:t xml:space="preserve">pen between injections. </w:t>
      </w:r>
    </w:p>
    <w:p w14:paraId="1BD4ED49" w14:textId="77777777" w:rsidR="009E656D" w:rsidRDefault="009E656D" w:rsidP="000B4805">
      <w:r w:rsidRPr="00A67833">
        <w:rPr>
          <w:noProof/>
        </w:rPr>
        <w:drawing>
          <wp:inline distT="0" distB="0" distL="0" distR="0" wp14:anchorId="1DCD115C" wp14:editId="5F1FBD87">
            <wp:extent cx="1462500" cy="9000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62500" cy="900000"/>
                    </a:xfrm>
                    <a:prstGeom prst="rect">
                      <a:avLst/>
                    </a:prstGeom>
                  </pic:spPr>
                </pic:pic>
              </a:graphicData>
            </a:graphic>
          </wp:inline>
        </w:drawing>
      </w:r>
    </w:p>
    <w:p w14:paraId="529FD02D" w14:textId="77777777" w:rsidR="009E656D" w:rsidRPr="00A67833" w:rsidRDefault="009E656D" w:rsidP="000B4805"/>
    <w:p w14:paraId="58023333" w14:textId="77777777" w:rsidR="009E656D" w:rsidRDefault="009E656D" w:rsidP="007C5F2C">
      <w:pPr>
        <w:pStyle w:val="Heading4"/>
      </w:pPr>
      <w:r w:rsidRPr="00804143">
        <w:t>Troubleshooting</w:t>
      </w:r>
    </w:p>
    <w:p w14:paraId="4570587D" w14:textId="77777777" w:rsidR="009E656D" w:rsidRPr="007C5F2C" w:rsidRDefault="009E656D" w:rsidP="00135C6B">
      <w:pPr>
        <w:pStyle w:val="Heading6"/>
        <w:rPr>
          <w:rStyle w:val="Strong"/>
          <w:b/>
          <w:bCs/>
        </w:rPr>
      </w:pPr>
      <w:r w:rsidRPr="007C5F2C">
        <w:rPr>
          <w:rStyle w:val="Strong"/>
          <w:b/>
          <w:bCs/>
        </w:rPr>
        <w:t xml:space="preserve">What if the needle is bent?  </w:t>
      </w:r>
    </w:p>
    <w:p w14:paraId="01FF9259" w14:textId="77777777" w:rsidR="009E656D" w:rsidRPr="00A67833" w:rsidRDefault="009E656D" w:rsidP="00804143">
      <w:pPr>
        <w:pStyle w:val="ListBullet"/>
        <w:numPr>
          <w:ilvl w:val="0"/>
          <w:numId w:val="20"/>
        </w:numPr>
        <w:spacing w:after="120"/>
      </w:pPr>
      <w:r w:rsidRPr="00A67833">
        <w:t xml:space="preserve">Carefully remove the bent needle and follow Step 2 to attach a new needle to the pen. The pen needle has a visible portion which goes into </w:t>
      </w:r>
      <w:r>
        <w:t>the</w:t>
      </w:r>
      <w:r w:rsidRPr="00A67833">
        <w:t xml:space="preserve"> skin and there is a hidden inner needle portion and goes into the pen's septum. </w:t>
      </w:r>
    </w:p>
    <w:p w14:paraId="449E1921" w14:textId="77777777" w:rsidR="009E656D" w:rsidRPr="00A67833" w:rsidRDefault="009E656D" w:rsidP="00804143">
      <w:pPr>
        <w:pStyle w:val="ListBullet"/>
        <w:numPr>
          <w:ilvl w:val="0"/>
          <w:numId w:val="20"/>
        </w:numPr>
        <w:spacing w:after="120"/>
      </w:pPr>
      <w:r w:rsidRPr="00A67833">
        <w:lastRenderedPageBreak/>
        <w:t xml:space="preserve">Review the parts of the pen needle, paying close attention to the inner needle portion. The visible portion of the needle may look straight, but the inner needle can become bent when attaching the needle to the pen. </w:t>
      </w:r>
    </w:p>
    <w:p w14:paraId="0036D4B2" w14:textId="77777777" w:rsidR="009E656D" w:rsidRPr="00A67833" w:rsidRDefault="009E656D" w:rsidP="00804143">
      <w:pPr>
        <w:pStyle w:val="ListBullet"/>
        <w:numPr>
          <w:ilvl w:val="0"/>
          <w:numId w:val="20"/>
        </w:numPr>
        <w:spacing w:after="120"/>
      </w:pPr>
      <w:r w:rsidRPr="00A67833">
        <w:t xml:space="preserve">Be sure to keep the entire pen needle straight when attaching it to the pen to avoid bending the inner needle. </w:t>
      </w:r>
    </w:p>
    <w:p w14:paraId="528A62A4" w14:textId="77777777" w:rsidR="009E656D" w:rsidRPr="007C5F2C" w:rsidRDefault="009E656D" w:rsidP="00135C6B">
      <w:pPr>
        <w:pStyle w:val="Heading6"/>
        <w:rPr>
          <w:rStyle w:val="Strong"/>
          <w:b/>
          <w:bCs/>
        </w:rPr>
      </w:pPr>
      <w:r w:rsidRPr="007C5F2C">
        <w:rPr>
          <w:rStyle w:val="Strong"/>
          <w:b/>
          <w:bCs/>
        </w:rPr>
        <w:t xml:space="preserve">What if liquid does not come out of the needle tip when testing the pen on Day 1? </w:t>
      </w:r>
    </w:p>
    <w:p w14:paraId="21F70D57" w14:textId="77777777" w:rsidR="009E656D" w:rsidRPr="00A67833" w:rsidRDefault="009E656D" w:rsidP="00804143">
      <w:pPr>
        <w:pStyle w:val="ListBullet"/>
        <w:numPr>
          <w:ilvl w:val="0"/>
          <w:numId w:val="21"/>
        </w:numPr>
        <w:spacing w:after="120"/>
      </w:pPr>
      <w:r w:rsidRPr="00A67833">
        <w:t xml:space="preserve">If </w:t>
      </w:r>
      <w:r>
        <w:t xml:space="preserve">there is no </w:t>
      </w:r>
      <w:r w:rsidRPr="00A67833">
        <w:t>liquid com</w:t>
      </w:r>
      <w:r>
        <w:t xml:space="preserve">ing </w:t>
      </w:r>
      <w:r w:rsidRPr="00A67833">
        <w:t>out of the needle, the pen setup is not comp</w:t>
      </w:r>
      <w:r>
        <w:t>l</w:t>
      </w:r>
      <w:r w:rsidRPr="00A67833">
        <w:t>ete. The needle may be blocked, bent</w:t>
      </w:r>
      <w:r>
        <w:t>,</w:t>
      </w:r>
      <w:r w:rsidRPr="00A67833">
        <w:t xml:space="preserve"> or improperly attached. </w:t>
      </w:r>
    </w:p>
    <w:p w14:paraId="1DC789B7" w14:textId="77777777" w:rsidR="009E656D" w:rsidRPr="00A67833" w:rsidRDefault="009E656D" w:rsidP="00804143">
      <w:pPr>
        <w:pStyle w:val="ListBullet"/>
        <w:numPr>
          <w:ilvl w:val="0"/>
          <w:numId w:val="21"/>
        </w:numPr>
        <w:spacing w:after="120"/>
      </w:pPr>
      <w:r w:rsidRPr="00A67833">
        <w:t>Follow Step 2 to attach a new needle to the pen and repeat Step 3 "Testing an E</w:t>
      </w:r>
      <w:r>
        <w:t>LADYNOS</w:t>
      </w:r>
      <w:r w:rsidRPr="00A67833">
        <w:t xml:space="preserve"> pen prior to first injection". </w:t>
      </w:r>
    </w:p>
    <w:p w14:paraId="0AFAF36C" w14:textId="77777777" w:rsidR="009E656D" w:rsidRPr="00A67833" w:rsidRDefault="009E656D" w:rsidP="00804143">
      <w:pPr>
        <w:pStyle w:val="ListBullet"/>
        <w:numPr>
          <w:ilvl w:val="0"/>
          <w:numId w:val="21"/>
        </w:numPr>
        <w:spacing w:after="120"/>
      </w:pPr>
      <w:r w:rsidRPr="00A67833">
        <w:t xml:space="preserve">If </w:t>
      </w:r>
      <w:r>
        <w:t xml:space="preserve">there is </w:t>
      </w:r>
      <w:r w:rsidRPr="00A67833">
        <w:t>still no drop of liquid contact your pharmacist</w:t>
      </w:r>
      <w:r>
        <w:t xml:space="preserve"> </w:t>
      </w:r>
      <w:r w:rsidRPr="00A67833">
        <w:t xml:space="preserve">or doctor. </w:t>
      </w:r>
    </w:p>
    <w:p w14:paraId="585923B7" w14:textId="77777777" w:rsidR="009E656D" w:rsidRPr="007C5F2C" w:rsidRDefault="009E656D" w:rsidP="00135C6B">
      <w:pPr>
        <w:pStyle w:val="Heading6"/>
        <w:rPr>
          <w:rStyle w:val="Strong"/>
          <w:b/>
          <w:bCs/>
        </w:rPr>
      </w:pPr>
      <w:r w:rsidRPr="007C5F2C">
        <w:rPr>
          <w:rStyle w:val="Strong"/>
          <w:b/>
          <w:bCs/>
        </w:rPr>
        <w:t xml:space="preserve">What if the white dose knob cannot be turned to set the ELADYNOS pen to "•80"? </w:t>
      </w:r>
    </w:p>
    <w:p w14:paraId="6EBC0722" w14:textId="77777777" w:rsidR="009E656D" w:rsidRPr="00A67833" w:rsidRDefault="009E656D" w:rsidP="00804143">
      <w:pPr>
        <w:pStyle w:val="ListBullet"/>
        <w:numPr>
          <w:ilvl w:val="0"/>
          <w:numId w:val="22"/>
        </w:numPr>
        <w:spacing w:after="120"/>
      </w:pPr>
      <w:r w:rsidRPr="00A67833">
        <w:t xml:space="preserve">There is not enough medicine in the pen to give a full dose. </w:t>
      </w:r>
      <w:r>
        <w:t xml:space="preserve">A new ELADYNOS pen will be required. </w:t>
      </w:r>
    </w:p>
    <w:p w14:paraId="3E6A9385" w14:textId="77777777" w:rsidR="009E656D" w:rsidRPr="007C5F2C" w:rsidRDefault="009E656D" w:rsidP="00135C6B">
      <w:pPr>
        <w:pStyle w:val="Heading6"/>
        <w:rPr>
          <w:rStyle w:val="Strong"/>
          <w:b/>
          <w:bCs/>
        </w:rPr>
      </w:pPr>
      <w:r w:rsidRPr="007C5F2C">
        <w:rPr>
          <w:rStyle w:val="Strong"/>
          <w:b/>
          <w:bCs/>
        </w:rPr>
        <w:t xml:space="preserve">What if the green injection button is difficult to press? </w:t>
      </w:r>
    </w:p>
    <w:p w14:paraId="19AA2C03" w14:textId="77777777" w:rsidR="009E656D" w:rsidRPr="00A67833" w:rsidRDefault="009E656D" w:rsidP="00804143">
      <w:pPr>
        <w:pStyle w:val="ListBullet"/>
        <w:numPr>
          <w:ilvl w:val="0"/>
          <w:numId w:val="22"/>
        </w:numPr>
        <w:spacing w:after="120"/>
      </w:pPr>
      <w:r w:rsidRPr="00A67833">
        <w:t>If the green injection button cannot be pressed down or stops before the "</w:t>
      </w:r>
      <w:r w:rsidRPr="00A67833">
        <w:rPr>
          <w:rStyle w:val="Strong"/>
        </w:rPr>
        <w:t>•0</w:t>
      </w:r>
      <w:r w:rsidRPr="00A67833">
        <w:t>" in the dose display wind</w:t>
      </w:r>
      <w:r>
        <w:t>ow</w:t>
      </w:r>
      <w:r w:rsidRPr="00A67833">
        <w:t xml:space="preserve">, the new pen test is not complete. The needle may be blocked or improperly attached. </w:t>
      </w:r>
    </w:p>
    <w:p w14:paraId="306728A3" w14:textId="77777777" w:rsidR="009E656D" w:rsidRPr="00A67833" w:rsidRDefault="009E656D" w:rsidP="00804143">
      <w:pPr>
        <w:pStyle w:val="ListBullet"/>
        <w:numPr>
          <w:ilvl w:val="0"/>
          <w:numId w:val="22"/>
        </w:numPr>
        <w:spacing w:after="120"/>
      </w:pPr>
      <w:r w:rsidRPr="00A67833">
        <w:t xml:space="preserve">Follow Step 2 to attach a new needle to the pen. </w:t>
      </w:r>
    </w:p>
    <w:p w14:paraId="7ECA3EDD" w14:textId="78C04CF8" w:rsidR="009E656D" w:rsidRPr="00804143" w:rsidRDefault="009E656D" w:rsidP="00A47F15">
      <w:pPr>
        <w:pStyle w:val="ListBullet"/>
        <w:numPr>
          <w:ilvl w:val="0"/>
          <w:numId w:val="22"/>
        </w:numPr>
        <w:spacing w:after="120"/>
      </w:pPr>
      <w:r w:rsidRPr="00A67833">
        <w:t>If the green injection button still cannot be pressed down or stops before the "</w:t>
      </w:r>
      <w:r w:rsidRPr="00A67833">
        <w:rPr>
          <w:rStyle w:val="Strong"/>
        </w:rPr>
        <w:t>•0</w:t>
      </w:r>
      <w:r w:rsidRPr="00A67833">
        <w:t>" is in the display window, contact your pharmacist</w:t>
      </w:r>
      <w:r>
        <w:t xml:space="preserve"> </w:t>
      </w:r>
      <w:r w:rsidRPr="00A67833">
        <w:t xml:space="preserve">or doctor. </w:t>
      </w:r>
    </w:p>
    <w:p w14:paraId="2FDA90DC" w14:textId="77777777" w:rsidR="009E656D" w:rsidRPr="004E0C17" w:rsidRDefault="009E656D" w:rsidP="00A47F15">
      <w:pPr>
        <w:pStyle w:val="Heading2"/>
        <w:rPr>
          <w:lang w:val="en-AU"/>
        </w:rPr>
      </w:pPr>
      <w:bookmarkStart w:id="2" w:name="_Ref139029726"/>
      <w:r w:rsidRPr="004E0C17">
        <w:rPr>
          <w:lang w:val="en-AU"/>
        </w:rPr>
        <w:t>Contraindications</w:t>
      </w:r>
      <w:bookmarkEnd w:id="2"/>
    </w:p>
    <w:p w14:paraId="6EF40E94" w14:textId="77777777" w:rsidR="009E656D" w:rsidRPr="004E0C17" w:rsidRDefault="009E656D" w:rsidP="00A47F15">
      <w:pPr>
        <w:rPr>
          <w:lang w:val="en-AU"/>
        </w:rPr>
      </w:pPr>
      <w:r w:rsidRPr="004E0C17">
        <w:rPr>
          <w:lang w:val="en-AU"/>
        </w:rPr>
        <w:t>ELADYNOS i</w:t>
      </w:r>
      <w:r>
        <w:rPr>
          <w:lang w:val="en-AU"/>
        </w:rPr>
        <w:t>s</w:t>
      </w:r>
      <w:r w:rsidRPr="004E0C17">
        <w:rPr>
          <w:lang w:val="en-AU"/>
        </w:rPr>
        <w:t xml:space="preserve"> contraindicated in women who: </w:t>
      </w:r>
    </w:p>
    <w:p w14:paraId="23E0289F" w14:textId="77777777" w:rsidR="009E656D" w:rsidRPr="004E0C17" w:rsidRDefault="009E656D" w:rsidP="00A47F15">
      <w:pPr>
        <w:pStyle w:val="ListParagraph"/>
        <w:numPr>
          <w:ilvl w:val="0"/>
          <w:numId w:val="14"/>
        </w:numPr>
        <w:rPr>
          <w:lang w:val="en-AU"/>
        </w:rPr>
      </w:pPr>
      <w:r w:rsidRPr="004E0C17">
        <w:rPr>
          <w:lang w:val="en-AU"/>
        </w:rPr>
        <w:t xml:space="preserve">Have hypersensitivity to the active substance or to any of the excipients listed in Section </w:t>
      </w:r>
      <w:r w:rsidRPr="004E0C17">
        <w:rPr>
          <w:lang w:val="en-AU"/>
        </w:rPr>
        <w:fldChar w:fldCharType="begin"/>
      </w:r>
      <w:r w:rsidRPr="004E0C17">
        <w:rPr>
          <w:lang w:val="en-AU"/>
        </w:rPr>
        <w:instrText xml:space="preserve"> REF _Ref139029902 \r \h  \* MERGEFORMAT </w:instrText>
      </w:r>
      <w:r w:rsidRPr="004E0C17">
        <w:rPr>
          <w:lang w:val="en-AU"/>
        </w:rPr>
      </w:r>
      <w:r w:rsidRPr="004E0C17">
        <w:rPr>
          <w:lang w:val="en-AU"/>
        </w:rPr>
        <w:fldChar w:fldCharType="separate"/>
      </w:r>
      <w:r>
        <w:rPr>
          <w:lang w:val="en-AU"/>
        </w:rPr>
        <w:t>6.1</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_Ref139029902 \h  \* MERGEFORMAT </w:instrText>
      </w:r>
      <w:r w:rsidRPr="004E0C17">
        <w:rPr>
          <w:lang w:val="en-AU"/>
        </w:rPr>
      </w:r>
      <w:r w:rsidRPr="004E0C17">
        <w:rPr>
          <w:lang w:val="en-AU"/>
        </w:rPr>
        <w:fldChar w:fldCharType="separate"/>
      </w:r>
      <w:r w:rsidRPr="004E0C17">
        <w:rPr>
          <w:lang w:val="en-AU"/>
        </w:rPr>
        <w:t>List of excipients</w:t>
      </w:r>
      <w:r w:rsidRPr="004E0C17">
        <w:rPr>
          <w:lang w:val="en-AU"/>
        </w:rPr>
        <w:fldChar w:fldCharType="end"/>
      </w:r>
    </w:p>
    <w:p w14:paraId="6983221E" w14:textId="77777777" w:rsidR="009E656D" w:rsidRPr="004E0C17" w:rsidRDefault="009E656D" w:rsidP="00A47F15">
      <w:pPr>
        <w:pStyle w:val="ListParagraph"/>
        <w:numPr>
          <w:ilvl w:val="0"/>
          <w:numId w:val="14"/>
        </w:numPr>
        <w:rPr>
          <w:lang w:val="en-AU"/>
        </w:rPr>
      </w:pPr>
      <w:r w:rsidRPr="004E0C17">
        <w:rPr>
          <w:lang w:val="en-AU"/>
        </w:rPr>
        <w:t xml:space="preserve">Are pregnant or breastfeeding (see Section </w:t>
      </w:r>
      <w:r w:rsidRPr="004E0C17">
        <w:rPr>
          <w:lang w:val="en-AU"/>
        </w:rPr>
        <w:fldChar w:fldCharType="begin"/>
      </w:r>
      <w:r w:rsidRPr="004E0C17">
        <w:rPr>
          <w:lang w:val="en-AU"/>
        </w:rPr>
        <w:instrText xml:space="preserve"> REF _Ref139029813 \r \h  \* MERGEFORMAT </w:instrText>
      </w:r>
      <w:r w:rsidRPr="004E0C17">
        <w:rPr>
          <w:lang w:val="en-AU"/>
        </w:rPr>
      </w:r>
      <w:r w:rsidRPr="004E0C17">
        <w:rPr>
          <w:lang w:val="en-AU"/>
        </w:rPr>
        <w:fldChar w:fldCharType="separate"/>
      </w:r>
      <w:r>
        <w:rPr>
          <w:lang w:val="en-AU"/>
        </w:rPr>
        <w:t>4.6</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_Ref139029813 \h  \* MERGEFORMAT </w:instrText>
      </w:r>
      <w:r w:rsidRPr="004E0C17">
        <w:rPr>
          <w:lang w:val="en-AU"/>
        </w:rPr>
      </w:r>
      <w:r w:rsidRPr="004E0C17">
        <w:rPr>
          <w:lang w:val="en-AU"/>
        </w:rPr>
        <w:fldChar w:fldCharType="separate"/>
      </w:r>
      <w:r w:rsidRPr="004E0C17">
        <w:rPr>
          <w:lang w:val="en-AU"/>
        </w:rPr>
        <w:t>Fertility, pregnancy and lactation</w:t>
      </w:r>
      <w:r w:rsidRPr="004E0C17">
        <w:rPr>
          <w:lang w:val="en-AU"/>
        </w:rPr>
        <w:fldChar w:fldCharType="end"/>
      </w:r>
      <w:r w:rsidRPr="004E0C17">
        <w:rPr>
          <w:lang w:val="en-AU"/>
        </w:rPr>
        <w:t>)</w:t>
      </w:r>
    </w:p>
    <w:p w14:paraId="66C0C83D" w14:textId="77777777" w:rsidR="009E656D" w:rsidRPr="004E0C17" w:rsidRDefault="009E656D" w:rsidP="00A47F15">
      <w:pPr>
        <w:pStyle w:val="ListParagraph"/>
        <w:numPr>
          <w:ilvl w:val="0"/>
          <w:numId w:val="14"/>
        </w:numPr>
        <w:rPr>
          <w:lang w:val="en-AU"/>
        </w:rPr>
      </w:pPr>
      <w:r w:rsidRPr="004E0C17">
        <w:rPr>
          <w:lang w:val="en-AU"/>
        </w:rPr>
        <w:t xml:space="preserve">Are of childbearing potential  (see Section </w:t>
      </w:r>
      <w:r w:rsidRPr="004E0C17">
        <w:rPr>
          <w:lang w:val="en-AU"/>
        </w:rPr>
        <w:fldChar w:fldCharType="begin"/>
      </w:r>
      <w:r w:rsidRPr="004E0C17">
        <w:rPr>
          <w:lang w:val="en-AU"/>
        </w:rPr>
        <w:instrText xml:space="preserve"> REF _Ref139029813 \r \h  \* MERGEFORMAT </w:instrText>
      </w:r>
      <w:r w:rsidRPr="004E0C17">
        <w:rPr>
          <w:lang w:val="en-AU"/>
        </w:rPr>
      </w:r>
      <w:r w:rsidRPr="004E0C17">
        <w:rPr>
          <w:lang w:val="en-AU"/>
        </w:rPr>
        <w:fldChar w:fldCharType="separate"/>
      </w:r>
      <w:r>
        <w:rPr>
          <w:lang w:val="en-AU"/>
        </w:rPr>
        <w:t>4.6</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_Ref139029813 \h  \* MERGEFORMAT </w:instrText>
      </w:r>
      <w:r w:rsidRPr="004E0C17">
        <w:rPr>
          <w:lang w:val="en-AU"/>
        </w:rPr>
      </w:r>
      <w:r w:rsidRPr="004E0C17">
        <w:rPr>
          <w:lang w:val="en-AU"/>
        </w:rPr>
        <w:fldChar w:fldCharType="separate"/>
      </w:r>
      <w:r w:rsidRPr="004E0C17">
        <w:rPr>
          <w:lang w:val="en-AU"/>
        </w:rPr>
        <w:t>Fertility, pregnancy and lactation</w:t>
      </w:r>
      <w:r w:rsidRPr="004E0C17">
        <w:rPr>
          <w:lang w:val="en-AU"/>
        </w:rPr>
        <w:fldChar w:fldCharType="end"/>
      </w:r>
      <w:r w:rsidRPr="004E0C17">
        <w:rPr>
          <w:lang w:val="en-AU"/>
        </w:rPr>
        <w:t>)</w:t>
      </w:r>
    </w:p>
    <w:p w14:paraId="0CCEC938" w14:textId="77777777" w:rsidR="009E656D" w:rsidRPr="004E0C17" w:rsidRDefault="009E656D" w:rsidP="00A47F15">
      <w:pPr>
        <w:pStyle w:val="ListParagraph"/>
        <w:numPr>
          <w:ilvl w:val="0"/>
          <w:numId w:val="14"/>
        </w:numPr>
        <w:rPr>
          <w:lang w:val="en-AU"/>
        </w:rPr>
      </w:pPr>
      <w:r w:rsidRPr="004E0C17">
        <w:rPr>
          <w:lang w:val="en-AU"/>
        </w:rPr>
        <w:t xml:space="preserve">Have pre-existing hypercalcaemia </w:t>
      </w:r>
    </w:p>
    <w:p w14:paraId="740A22E3" w14:textId="77777777" w:rsidR="009E656D" w:rsidRPr="004E0C17" w:rsidRDefault="009E656D" w:rsidP="00A47F15">
      <w:pPr>
        <w:pStyle w:val="ListParagraph"/>
        <w:numPr>
          <w:ilvl w:val="0"/>
          <w:numId w:val="14"/>
        </w:numPr>
        <w:rPr>
          <w:lang w:val="en-AU"/>
        </w:rPr>
      </w:pPr>
      <w:r w:rsidRPr="004E0C17">
        <w:rPr>
          <w:lang w:val="en-AU"/>
        </w:rPr>
        <w:t xml:space="preserve">Have severe renal impairment (see Section </w:t>
      </w:r>
      <w:r w:rsidRPr="004E0C17">
        <w:rPr>
          <w:lang w:val="en-AU"/>
        </w:rPr>
        <w:fldChar w:fldCharType="begin"/>
      </w:r>
      <w:r w:rsidRPr="004E0C17">
        <w:rPr>
          <w:lang w:val="en-AU"/>
        </w:rPr>
        <w:instrText xml:space="preserve"> REF _Ref139030034 \r \h  \* MERGEFORMAT </w:instrText>
      </w:r>
      <w:r w:rsidRPr="004E0C17">
        <w:rPr>
          <w:lang w:val="en-AU"/>
        </w:rPr>
      </w:r>
      <w:r w:rsidRPr="004E0C17">
        <w:rPr>
          <w:lang w:val="en-AU"/>
        </w:rPr>
        <w:fldChar w:fldCharType="separate"/>
      </w:r>
      <w:r>
        <w:rPr>
          <w:lang w:val="en-AU"/>
        </w:rPr>
        <w:t>4.2</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_Ref139030034 \h  \* MERGEFORMAT </w:instrText>
      </w:r>
      <w:r w:rsidRPr="004E0C17">
        <w:rPr>
          <w:lang w:val="en-AU"/>
        </w:rPr>
      </w:r>
      <w:r w:rsidRPr="004E0C17">
        <w:rPr>
          <w:lang w:val="en-AU"/>
        </w:rPr>
        <w:fldChar w:fldCharType="separate"/>
      </w:r>
      <w:r w:rsidRPr="004E0C17">
        <w:rPr>
          <w:lang w:val="en-AU"/>
        </w:rPr>
        <w:t>Dose and method of administration</w:t>
      </w:r>
      <w:r w:rsidRPr="004E0C17">
        <w:rPr>
          <w:lang w:val="en-AU"/>
        </w:rPr>
        <w:fldChar w:fldCharType="end"/>
      </w:r>
      <w:r w:rsidRPr="004E0C17">
        <w:rPr>
          <w:lang w:val="en-AU"/>
        </w:rPr>
        <w:t xml:space="preserve"> and </w:t>
      </w:r>
      <w:r w:rsidRPr="004E0C17">
        <w:rPr>
          <w:lang w:val="en-AU"/>
        </w:rPr>
        <w:fldChar w:fldCharType="begin"/>
      </w:r>
      <w:r w:rsidRPr="004E0C17">
        <w:rPr>
          <w:lang w:val="en-AU"/>
        </w:rPr>
        <w:instrText xml:space="preserve"> REF _Ref139029704 \r \h  \* MERGEFORMAT </w:instrText>
      </w:r>
      <w:r w:rsidRPr="004E0C17">
        <w:rPr>
          <w:lang w:val="en-AU"/>
        </w:rPr>
      </w:r>
      <w:r w:rsidRPr="004E0C17">
        <w:rPr>
          <w:lang w:val="en-AU"/>
        </w:rPr>
        <w:fldChar w:fldCharType="separate"/>
      </w:r>
      <w:r>
        <w:rPr>
          <w:lang w:val="en-AU"/>
        </w:rPr>
        <w:t>5.2</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_Ref139029704 \h  \* MERGEFORMAT </w:instrText>
      </w:r>
      <w:r w:rsidRPr="004E0C17">
        <w:rPr>
          <w:lang w:val="en-AU"/>
        </w:rPr>
      </w:r>
      <w:r w:rsidRPr="004E0C17">
        <w:rPr>
          <w:lang w:val="en-AU"/>
        </w:rPr>
        <w:fldChar w:fldCharType="separate"/>
      </w:r>
      <w:r w:rsidRPr="004E0C17">
        <w:rPr>
          <w:lang w:val="en-AU"/>
        </w:rPr>
        <w:t>Pharmacokinetic properties</w:t>
      </w:r>
      <w:r w:rsidRPr="004E0C17">
        <w:rPr>
          <w:lang w:val="en-AU"/>
        </w:rPr>
        <w:fldChar w:fldCharType="end"/>
      </w:r>
      <w:r w:rsidRPr="004E0C17">
        <w:rPr>
          <w:lang w:val="en-AU"/>
        </w:rPr>
        <w:t>)</w:t>
      </w:r>
    </w:p>
    <w:p w14:paraId="43E94B7C" w14:textId="77777777" w:rsidR="009E656D" w:rsidRPr="004E0C17" w:rsidRDefault="009E656D" w:rsidP="00A47F15">
      <w:pPr>
        <w:pStyle w:val="ListParagraph"/>
        <w:numPr>
          <w:ilvl w:val="0"/>
          <w:numId w:val="14"/>
        </w:numPr>
        <w:rPr>
          <w:lang w:val="en-AU"/>
        </w:rPr>
      </w:pPr>
      <w:r w:rsidRPr="004E0C17">
        <w:rPr>
          <w:lang w:val="en-AU"/>
        </w:rPr>
        <w:t xml:space="preserve">Have unexplained elevations of serum alkaline phosphatase </w:t>
      </w:r>
    </w:p>
    <w:p w14:paraId="6801B8F9" w14:textId="77777777" w:rsidR="009E656D" w:rsidRPr="004E0C17" w:rsidRDefault="009E656D" w:rsidP="00A47F15">
      <w:pPr>
        <w:pStyle w:val="ListParagraph"/>
        <w:numPr>
          <w:ilvl w:val="0"/>
          <w:numId w:val="14"/>
        </w:numPr>
        <w:rPr>
          <w:lang w:val="en-AU"/>
        </w:rPr>
      </w:pPr>
      <w:r w:rsidRPr="004E0C17">
        <w:rPr>
          <w:lang w:val="en-AU"/>
        </w:rPr>
        <w:t xml:space="preserve">Have known risks for osteosarcoma such as those who have received prior external beam or implant radiation therapy involving the skeleton (see Section </w:t>
      </w:r>
      <w:r w:rsidRPr="004E0C17">
        <w:rPr>
          <w:lang w:val="en-AU"/>
        </w:rPr>
        <w:fldChar w:fldCharType="begin"/>
      </w:r>
      <w:r w:rsidRPr="004E0C17">
        <w:rPr>
          <w:lang w:val="en-AU"/>
        </w:rPr>
        <w:instrText xml:space="preserve"> REF _Ref139029784 \r \h  \* MERGEFORMAT </w:instrText>
      </w:r>
      <w:r w:rsidRPr="004E0C17">
        <w:rPr>
          <w:lang w:val="en-AU"/>
        </w:rPr>
      </w:r>
      <w:r w:rsidRPr="004E0C17">
        <w:rPr>
          <w:lang w:val="en-AU"/>
        </w:rPr>
        <w:fldChar w:fldCharType="separate"/>
      </w:r>
      <w:r>
        <w:rPr>
          <w:lang w:val="en-AU"/>
        </w:rPr>
        <w:t>5.3</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_Ref139029784 \h  \* MERGEFORMAT </w:instrText>
      </w:r>
      <w:r w:rsidRPr="004E0C17">
        <w:rPr>
          <w:lang w:val="en-AU"/>
        </w:rPr>
      </w:r>
      <w:r w:rsidRPr="004E0C17">
        <w:rPr>
          <w:lang w:val="en-AU"/>
        </w:rPr>
        <w:fldChar w:fldCharType="separate"/>
      </w:r>
      <w:r w:rsidRPr="004E0C17">
        <w:rPr>
          <w:lang w:val="en-AU"/>
        </w:rPr>
        <w:t>Preclinical safety data</w:t>
      </w:r>
      <w:r w:rsidRPr="004E0C17">
        <w:rPr>
          <w:lang w:val="en-AU"/>
        </w:rPr>
        <w:fldChar w:fldCharType="end"/>
      </w:r>
      <w:r w:rsidRPr="004E0C17">
        <w:rPr>
          <w:lang w:val="en-AU"/>
        </w:rPr>
        <w:t>)</w:t>
      </w:r>
    </w:p>
    <w:p w14:paraId="2898E2ED" w14:textId="3A14D5C5" w:rsidR="009E656D" w:rsidRPr="005B0286" w:rsidRDefault="009E656D" w:rsidP="005B0286">
      <w:pPr>
        <w:pStyle w:val="ListParagraph"/>
        <w:numPr>
          <w:ilvl w:val="0"/>
          <w:numId w:val="14"/>
        </w:numPr>
        <w:rPr>
          <w:lang w:val="en-AU"/>
        </w:rPr>
      </w:pPr>
      <w:r w:rsidRPr="004E0C17">
        <w:rPr>
          <w:lang w:val="en-AU"/>
        </w:rPr>
        <w:t xml:space="preserve">Have skeletal malignancies or bone metastases </w:t>
      </w:r>
    </w:p>
    <w:p w14:paraId="0C46570C" w14:textId="77777777" w:rsidR="009E656D" w:rsidRPr="004E0C17" w:rsidRDefault="009E656D" w:rsidP="00A47F15">
      <w:pPr>
        <w:pStyle w:val="Heading2"/>
        <w:rPr>
          <w:lang w:val="en-AU"/>
        </w:rPr>
      </w:pPr>
      <w:bookmarkStart w:id="3" w:name="_Ref139029665"/>
      <w:r w:rsidRPr="004E0C17">
        <w:rPr>
          <w:lang w:val="en-AU"/>
        </w:rPr>
        <w:t>Special warnings and precautions for use</w:t>
      </w:r>
      <w:bookmarkEnd w:id="3"/>
    </w:p>
    <w:p w14:paraId="01861CA3" w14:textId="77777777" w:rsidR="009E656D" w:rsidRPr="004E0C17" w:rsidRDefault="009E656D" w:rsidP="00543400">
      <w:pPr>
        <w:pStyle w:val="Heading3"/>
        <w:rPr>
          <w:lang w:val="en-AU"/>
        </w:rPr>
      </w:pPr>
      <w:r>
        <w:rPr>
          <w:lang w:val="en-AU"/>
        </w:rPr>
        <w:t xml:space="preserve">Risk of Osteosarcoma </w:t>
      </w:r>
    </w:p>
    <w:p w14:paraId="11055250" w14:textId="77777777" w:rsidR="009E656D" w:rsidRPr="004E0C17" w:rsidRDefault="009E656D" w:rsidP="00804143">
      <w:pPr>
        <w:rPr>
          <w:lang w:val="en-AU"/>
        </w:rPr>
      </w:pPr>
      <w:r w:rsidRPr="004E0C17">
        <w:rPr>
          <w:lang w:val="en-AU"/>
        </w:rPr>
        <w:t>The maximum total duration of treatment with ELADYNOS should be 18 months. Studies in rats indicate an increased incidence of osteosarcoma with long-term administration of abaloparatide (see section 5.3</w:t>
      </w:r>
      <w:r>
        <w:rPr>
          <w:lang w:val="en-AU"/>
        </w:rPr>
        <w:t xml:space="preserve"> Preclinical safety data</w:t>
      </w:r>
      <w:r w:rsidRPr="004E0C17">
        <w:rPr>
          <w:lang w:val="en-AU"/>
        </w:rPr>
        <w:t xml:space="preserve">). </w:t>
      </w:r>
    </w:p>
    <w:p w14:paraId="14338A47" w14:textId="77777777" w:rsidR="009E656D" w:rsidRPr="004E0C17" w:rsidRDefault="009E656D" w:rsidP="00543400">
      <w:pPr>
        <w:pStyle w:val="Heading3"/>
        <w:keepNext w:val="0"/>
        <w:keepLines w:val="0"/>
        <w:rPr>
          <w:lang w:val="en-AU"/>
        </w:rPr>
      </w:pPr>
      <w:r w:rsidRPr="004E0C17">
        <w:rPr>
          <w:lang w:val="en-AU"/>
        </w:rPr>
        <w:t>Orthostatic hypotension and increased heart rate</w:t>
      </w:r>
    </w:p>
    <w:p w14:paraId="184C8227" w14:textId="77777777" w:rsidR="009E656D" w:rsidRPr="004E0C17" w:rsidRDefault="009E656D" w:rsidP="00543400">
      <w:pPr>
        <w:rPr>
          <w:lang w:val="en-AU"/>
        </w:rPr>
      </w:pPr>
      <w:r w:rsidRPr="004E0C17">
        <w:rPr>
          <w:lang w:val="en-AU"/>
        </w:rPr>
        <w:t xml:space="preserve">Orthostatic hypotension and transient episodes of increase in heart rate may occur with abaloparatide, typically within 4 hours of injection. Symptoms may include dizziness, palpitations, tachycardia, or nausea, and may resolve by having the patient lie down. The first injection(s) of ELADYNOS should be performed under the guidance of an appropriately </w:t>
      </w:r>
      <w:r w:rsidRPr="004E0C17">
        <w:rPr>
          <w:lang w:val="en-AU"/>
        </w:rPr>
        <w:lastRenderedPageBreak/>
        <w:t xml:space="preserve">qualified health care professional who may observe the patient during the first hour after injection. ELADYNOS should always be administered where the patient can sit or lie down if necessary. </w:t>
      </w:r>
    </w:p>
    <w:p w14:paraId="4A29BE6A" w14:textId="77777777" w:rsidR="009E656D" w:rsidRPr="004E0C17" w:rsidRDefault="009E656D" w:rsidP="00543400">
      <w:pPr>
        <w:rPr>
          <w:lang w:val="en-AU"/>
        </w:rPr>
      </w:pPr>
    </w:p>
    <w:p w14:paraId="3E7AB918" w14:textId="77777777" w:rsidR="009E656D" w:rsidRPr="004E0C17" w:rsidRDefault="009E656D" w:rsidP="00543400">
      <w:pPr>
        <w:rPr>
          <w:lang w:val="en-AU"/>
        </w:rPr>
      </w:pPr>
      <w:r w:rsidRPr="004E0C17">
        <w:rPr>
          <w:lang w:val="en-AU"/>
        </w:rPr>
        <w:t xml:space="preserve">Abaloparatide may have vasodilating effect on vascular smooth muscle and positive chronotropic/inotropic effects on cardiac muscle. Individual benefit risk assessment is important. Blood pressure, cardiac status and ECG should be assessed prior to beginning treatment with abaloparatide. Patients with cardiac disease should be monitored for worsening of their disease. If severe orthostatic hypotension or severe cardiovascular symptoms occur, the treatment should be discontinued.  </w:t>
      </w:r>
    </w:p>
    <w:p w14:paraId="051BA1F1" w14:textId="77777777" w:rsidR="009E656D" w:rsidRPr="004E0C17" w:rsidRDefault="009E656D" w:rsidP="00543400">
      <w:pPr>
        <w:pStyle w:val="Heading3"/>
        <w:rPr>
          <w:lang w:val="en-AU"/>
        </w:rPr>
      </w:pPr>
      <w:r w:rsidRPr="004E0C17">
        <w:rPr>
          <w:lang w:val="en-AU"/>
        </w:rPr>
        <w:t>Hypercalcaemia</w:t>
      </w:r>
    </w:p>
    <w:p w14:paraId="10205453" w14:textId="4BF1F5FB" w:rsidR="009E656D" w:rsidRPr="004E0C17" w:rsidRDefault="009E656D" w:rsidP="00543400">
      <w:pPr>
        <w:rPr>
          <w:lang w:val="en-AU"/>
        </w:rPr>
      </w:pPr>
      <w:r w:rsidRPr="004E0C17">
        <w:rPr>
          <w:lang w:val="en-AU"/>
        </w:rPr>
        <w:t xml:space="preserve">In </w:t>
      </w:r>
      <w:proofErr w:type="spellStart"/>
      <w:r w:rsidRPr="004E0C17">
        <w:rPr>
          <w:lang w:val="en-AU"/>
        </w:rPr>
        <w:t>normocalcaemic</w:t>
      </w:r>
      <w:proofErr w:type="spellEnd"/>
      <w:r w:rsidRPr="004E0C17">
        <w:rPr>
          <w:lang w:val="en-AU"/>
        </w:rPr>
        <w:t xml:space="preserve"> patients, transient elevations of serum calcium concentrations have been observed following ELADYNOS injection. Serum calcium concentrations reach a maximum at approximately 4 hours and return to baseline by 24 hours after each dose. Therefore, if blood samples for serum calcium measurements are taken, this should be done approximately </w:t>
      </w:r>
      <w:r w:rsidR="00C95BA3">
        <w:rPr>
          <w:lang w:val="en-AU"/>
        </w:rPr>
        <w:br/>
      </w:r>
      <w:r w:rsidRPr="004E0C17">
        <w:rPr>
          <w:lang w:val="en-AU"/>
        </w:rPr>
        <w:t>24 hours after the most recent injection. Routine calcium monitoring during therapy is not required in patients without additional risk factors for hypercalcaemia.</w:t>
      </w:r>
    </w:p>
    <w:p w14:paraId="434FA95A" w14:textId="77777777" w:rsidR="009E656D" w:rsidRPr="004E0C17" w:rsidRDefault="009E656D" w:rsidP="00543400">
      <w:pPr>
        <w:pStyle w:val="Heading3"/>
        <w:rPr>
          <w:lang w:val="en-AU"/>
        </w:rPr>
      </w:pPr>
      <w:r w:rsidRPr="004E0C17">
        <w:rPr>
          <w:lang w:val="en-AU"/>
        </w:rPr>
        <w:t xml:space="preserve">Hypercalciuria and urolithiasis </w:t>
      </w:r>
    </w:p>
    <w:p w14:paraId="1C938AC6" w14:textId="4C59C6A0" w:rsidR="009E656D" w:rsidRPr="004E0C17" w:rsidRDefault="009E656D" w:rsidP="00543400">
      <w:pPr>
        <w:rPr>
          <w:lang w:val="en-AU"/>
        </w:rPr>
      </w:pPr>
      <w:r w:rsidRPr="004E0C17">
        <w:rPr>
          <w:lang w:val="en-AU"/>
        </w:rPr>
        <w:t>Abaloparatide may cause hypercalciuria. It is unknown whether abaloparatide may exacerbate urolithiasis in patients with active or a history of urolithiasis. If active urolithiasis or pre-existing hypercalciuria is suspected, measurement of urinary calcium excretion should be considered</w:t>
      </w:r>
      <w:r>
        <w:rPr>
          <w:lang w:val="en-AU"/>
        </w:rPr>
        <w:t xml:space="preserve"> </w:t>
      </w:r>
      <w:r w:rsidRPr="004E0C17">
        <w:rPr>
          <w:lang w:val="en-AU"/>
        </w:rPr>
        <w:t xml:space="preserve">(see section </w:t>
      </w:r>
      <w:r>
        <w:rPr>
          <w:lang w:val="en-AU"/>
        </w:rPr>
        <w:fldChar w:fldCharType="begin"/>
      </w:r>
      <w:r>
        <w:rPr>
          <w:lang w:val="en-AU"/>
        </w:rPr>
        <w:instrText xml:space="preserve"> REF _Ref139033351 \r \h </w:instrText>
      </w:r>
      <w:r>
        <w:rPr>
          <w:lang w:val="en-AU"/>
        </w:rPr>
      </w:r>
      <w:r>
        <w:rPr>
          <w:lang w:val="en-AU"/>
        </w:rPr>
        <w:fldChar w:fldCharType="separate"/>
      </w:r>
      <w:r>
        <w:rPr>
          <w:lang w:val="en-AU"/>
        </w:rPr>
        <w:t>4.8</w:t>
      </w:r>
      <w:r>
        <w:rPr>
          <w:lang w:val="en-AU"/>
        </w:rPr>
        <w:fldChar w:fldCharType="end"/>
      </w:r>
      <w:r>
        <w:rPr>
          <w:lang w:val="en-AU"/>
        </w:rPr>
        <w:t xml:space="preserve"> </w:t>
      </w:r>
      <w:r>
        <w:rPr>
          <w:lang w:val="en-AU"/>
        </w:rPr>
        <w:fldChar w:fldCharType="begin"/>
      </w:r>
      <w:r>
        <w:rPr>
          <w:lang w:val="en-AU"/>
        </w:rPr>
        <w:instrText xml:space="preserve"> REF _Ref139033351 \h </w:instrText>
      </w:r>
      <w:r>
        <w:rPr>
          <w:lang w:val="en-AU"/>
        </w:rPr>
      </w:r>
      <w:r>
        <w:rPr>
          <w:lang w:val="en-AU"/>
        </w:rPr>
        <w:fldChar w:fldCharType="separate"/>
      </w:r>
      <w:r w:rsidRPr="004E0C17">
        <w:rPr>
          <w:lang w:val="en-AU"/>
        </w:rPr>
        <w:t>Adverse effects (Undesirable effects)</w:t>
      </w:r>
      <w:r>
        <w:rPr>
          <w:lang w:val="en-AU"/>
        </w:rPr>
        <w:fldChar w:fldCharType="end"/>
      </w:r>
      <w:r w:rsidRPr="004E0C17">
        <w:rPr>
          <w:lang w:val="en-AU"/>
        </w:rPr>
        <w:t>).</w:t>
      </w:r>
    </w:p>
    <w:p w14:paraId="633F7E68" w14:textId="77777777" w:rsidR="009E656D" w:rsidRPr="004E0C17" w:rsidRDefault="009E656D" w:rsidP="00543400">
      <w:pPr>
        <w:pStyle w:val="Heading3"/>
        <w:rPr>
          <w:lang w:val="en-AU"/>
        </w:rPr>
      </w:pPr>
      <w:r w:rsidRPr="004E0C17">
        <w:rPr>
          <w:lang w:val="en-AU"/>
        </w:rPr>
        <w:t>Use in renal impairment</w:t>
      </w:r>
    </w:p>
    <w:p w14:paraId="15E149A1" w14:textId="77777777" w:rsidR="009E656D" w:rsidRPr="004E0C17" w:rsidRDefault="009E656D" w:rsidP="00543400">
      <w:pPr>
        <w:rPr>
          <w:rFonts w:cstheme="minorBidi"/>
          <w:lang w:val="en-AU"/>
        </w:rPr>
      </w:pPr>
      <w:r w:rsidRPr="004E0C17">
        <w:rPr>
          <w:lang w:val="en-AU"/>
        </w:rPr>
        <w:t xml:space="preserve">ELADYNOS must not be used in patients with severe renal impairment including patients with end-stage renal disease (see Section </w:t>
      </w:r>
      <w:r w:rsidRPr="004E0C17">
        <w:rPr>
          <w:lang w:val="en-AU"/>
        </w:rPr>
        <w:fldChar w:fldCharType="begin"/>
      </w:r>
      <w:r w:rsidRPr="004E0C17">
        <w:rPr>
          <w:lang w:val="en-AU"/>
        </w:rPr>
        <w:instrText xml:space="preserve"> REF _Ref139029726 \r \h </w:instrText>
      </w:r>
      <w:r w:rsidRPr="004E0C17">
        <w:rPr>
          <w:lang w:val="en-AU"/>
        </w:rPr>
      </w:r>
      <w:r w:rsidRPr="004E0C17">
        <w:rPr>
          <w:lang w:val="en-AU"/>
        </w:rPr>
        <w:fldChar w:fldCharType="separate"/>
      </w:r>
      <w:r>
        <w:rPr>
          <w:lang w:val="en-AU"/>
        </w:rPr>
        <w:t>4.3</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_Ref139029726 \h </w:instrText>
      </w:r>
      <w:r w:rsidRPr="004E0C17">
        <w:rPr>
          <w:lang w:val="en-AU"/>
        </w:rPr>
      </w:r>
      <w:r w:rsidRPr="004E0C17">
        <w:rPr>
          <w:lang w:val="en-AU"/>
        </w:rPr>
        <w:fldChar w:fldCharType="separate"/>
      </w:r>
      <w:r w:rsidRPr="004E0C17">
        <w:rPr>
          <w:lang w:val="en-AU"/>
        </w:rPr>
        <w:t>Contraindications</w:t>
      </w:r>
      <w:r w:rsidRPr="004E0C17">
        <w:rPr>
          <w:lang w:val="en-AU"/>
        </w:rPr>
        <w:fldChar w:fldCharType="end"/>
      </w:r>
      <w:r w:rsidRPr="004E0C17">
        <w:rPr>
          <w:lang w:val="en-AU"/>
        </w:rPr>
        <w:t xml:space="preserve">). In patients with mild to moderate renal impairment, dose-based adjustment is not required (see Section </w:t>
      </w:r>
      <w:r w:rsidRPr="004E0C17">
        <w:rPr>
          <w:lang w:val="en-AU"/>
        </w:rPr>
        <w:fldChar w:fldCharType="begin"/>
      </w:r>
      <w:r w:rsidRPr="004E0C17">
        <w:rPr>
          <w:lang w:val="en-AU"/>
        </w:rPr>
        <w:instrText xml:space="preserve"> REF _Ref139029704 \r \h </w:instrText>
      </w:r>
      <w:r w:rsidRPr="004E0C17">
        <w:rPr>
          <w:lang w:val="en-AU"/>
        </w:rPr>
      </w:r>
      <w:r w:rsidRPr="004E0C17">
        <w:rPr>
          <w:lang w:val="en-AU"/>
        </w:rPr>
        <w:fldChar w:fldCharType="separate"/>
      </w:r>
      <w:r>
        <w:rPr>
          <w:lang w:val="en-AU"/>
        </w:rPr>
        <w:t>5.2</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_Ref139029704 \h </w:instrText>
      </w:r>
      <w:r w:rsidRPr="004E0C17">
        <w:rPr>
          <w:lang w:val="en-AU"/>
        </w:rPr>
      </w:r>
      <w:r w:rsidRPr="004E0C17">
        <w:rPr>
          <w:lang w:val="en-AU"/>
        </w:rPr>
        <w:fldChar w:fldCharType="separate"/>
      </w:r>
      <w:r w:rsidRPr="004E0C17">
        <w:rPr>
          <w:lang w:val="en-AU"/>
        </w:rPr>
        <w:t>Pharmacokinetic properties</w:t>
      </w:r>
      <w:r w:rsidRPr="004E0C17">
        <w:rPr>
          <w:lang w:val="en-AU"/>
        </w:rPr>
        <w:fldChar w:fldCharType="end"/>
      </w:r>
      <w:r w:rsidRPr="004E0C17">
        <w:rPr>
          <w:lang w:val="en-AU"/>
        </w:rPr>
        <w:t xml:space="preserve">). </w:t>
      </w:r>
    </w:p>
    <w:p w14:paraId="7ED263E6" w14:textId="77777777" w:rsidR="009E656D" w:rsidRPr="004E0C17" w:rsidRDefault="009E656D" w:rsidP="00543400">
      <w:pPr>
        <w:pStyle w:val="Heading3"/>
        <w:rPr>
          <w:lang w:val="en-AU"/>
        </w:rPr>
      </w:pPr>
      <w:r w:rsidRPr="004E0C17">
        <w:rPr>
          <w:lang w:val="en-AU"/>
        </w:rPr>
        <w:t>Use in hepatic impairment</w:t>
      </w:r>
    </w:p>
    <w:p w14:paraId="684F7A85" w14:textId="77777777" w:rsidR="009E656D" w:rsidRPr="004E0C17" w:rsidRDefault="009E656D" w:rsidP="00543400">
      <w:pPr>
        <w:rPr>
          <w:rFonts w:cstheme="minorBidi"/>
          <w:lang w:val="en-AU"/>
        </w:rPr>
      </w:pPr>
      <w:r w:rsidRPr="004E0C17">
        <w:rPr>
          <w:lang w:val="en-AU"/>
        </w:rPr>
        <w:t xml:space="preserve">No data are available in patients with impaired hepatic function. Dose adjustment is not required for these patients, as it is unlikely that hepatic impairment will have a significant effect on abaloparatide exposure (see Section </w:t>
      </w:r>
      <w:r w:rsidRPr="004E0C17">
        <w:rPr>
          <w:lang w:val="en-AU"/>
        </w:rPr>
        <w:fldChar w:fldCharType="begin"/>
      </w:r>
      <w:r w:rsidRPr="004E0C17">
        <w:rPr>
          <w:lang w:val="en-AU"/>
        </w:rPr>
        <w:instrText xml:space="preserve"> REF _Ref139029704 \r \h </w:instrText>
      </w:r>
      <w:r w:rsidRPr="004E0C17">
        <w:rPr>
          <w:lang w:val="en-AU"/>
        </w:rPr>
      </w:r>
      <w:r w:rsidRPr="004E0C17">
        <w:rPr>
          <w:lang w:val="en-AU"/>
        </w:rPr>
        <w:fldChar w:fldCharType="separate"/>
      </w:r>
      <w:r>
        <w:rPr>
          <w:lang w:val="en-AU"/>
        </w:rPr>
        <w:t>5.2</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_Ref139029704 \h </w:instrText>
      </w:r>
      <w:r w:rsidRPr="004E0C17">
        <w:rPr>
          <w:lang w:val="en-AU"/>
        </w:rPr>
      </w:r>
      <w:r w:rsidRPr="004E0C17">
        <w:rPr>
          <w:lang w:val="en-AU"/>
        </w:rPr>
        <w:fldChar w:fldCharType="separate"/>
      </w:r>
      <w:r w:rsidRPr="004E0C17">
        <w:rPr>
          <w:lang w:val="en-AU"/>
        </w:rPr>
        <w:t>Pharmacokinetic properties</w:t>
      </w:r>
      <w:r w:rsidRPr="004E0C17">
        <w:rPr>
          <w:lang w:val="en-AU"/>
        </w:rPr>
        <w:fldChar w:fldCharType="end"/>
      </w:r>
      <w:r w:rsidRPr="004E0C17">
        <w:rPr>
          <w:lang w:val="en-AU"/>
        </w:rPr>
        <w:t xml:space="preserve">). </w:t>
      </w:r>
    </w:p>
    <w:p w14:paraId="4C1C25D8" w14:textId="77777777" w:rsidR="009E656D" w:rsidRPr="004E0C17" w:rsidRDefault="009E656D" w:rsidP="00543400">
      <w:pPr>
        <w:pStyle w:val="Heading3"/>
        <w:rPr>
          <w:lang w:val="en-AU"/>
        </w:rPr>
      </w:pPr>
      <w:r w:rsidRPr="004E0C17">
        <w:rPr>
          <w:lang w:val="en-AU"/>
        </w:rPr>
        <w:t>Use in the elderly</w:t>
      </w:r>
    </w:p>
    <w:p w14:paraId="6EE4AE07" w14:textId="77777777" w:rsidR="009E656D" w:rsidRPr="004E0C17" w:rsidRDefault="009E656D" w:rsidP="00543400">
      <w:pPr>
        <w:rPr>
          <w:lang w:val="en-AU"/>
        </w:rPr>
      </w:pPr>
      <w:r w:rsidRPr="004E0C17">
        <w:rPr>
          <w:lang w:val="en-AU"/>
        </w:rPr>
        <w:t xml:space="preserve">Dose adjustment based on age is not required (see Section </w:t>
      </w:r>
      <w:r w:rsidRPr="004E0C17">
        <w:rPr>
          <w:lang w:val="en-AU"/>
        </w:rPr>
        <w:fldChar w:fldCharType="begin"/>
      </w:r>
      <w:r w:rsidRPr="004E0C17">
        <w:rPr>
          <w:lang w:val="en-AU"/>
        </w:rPr>
        <w:instrText xml:space="preserve"> REF _Ref139029704 \r \h </w:instrText>
      </w:r>
      <w:r w:rsidRPr="004E0C17">
        <w:rPr>
          <w:lang w:val="en-AU"/>
        </w:rPr>
      </w:r>
      <w:r w:rsidRPr="004E0C17">
        <w:rPr>
          <w:lang w:val="en-AU"/>
        </w:rPr>
        <w:fldChar w:fldCharType="separate"/>
      </w:r>
      <w:r>
        <w:rPr>
          <w:lang w:val="en-AU"/>
        </w:rPr>
        <w:t>5.2</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_Ref139029704 \h </w:instrText>
      </w:r>
      <w:r w:rsidRPr="004E0C17">
        <w:rPr>
          <w:lang w:val="en-AU"/>
        </w:rPr>
      </w:r>
      <w:r w:rsidRPr="004E0C17">
        <w:rPr>
          <w:lang w:val="en-AU"/>
        </w:rPr>
        <w:fldChar w:fldCharType="separate"/>
      </w:r>
      <w:r w:rsidRPr="004E0C17">
        <w:rPr>
          <w:lang w:val="en-AU"/>
        </w:rPr>
        <w:t>Pharmacokinetic properties</w:t>
      </w:r>
      <w:r w:rsidRPr="004E0C17">
        <w:rPr>
          <w:lang w:val="en-AU"/>
        </w:rPr>
        <w:fldChar w:fldCharType="end"/>
      </w:r>
      <w:r w:rsidRPr="004E0C17">
        <w:rPr>
          <w:lang w:val="en-AU"/>
        </w:rPr>
        <w:t>).</w:t>
      </w:r>
    </w:p>
    <w:p w14:paraId="55F52539" w14:textId="77777777" w:rsidR="009E656D" w:rsidRPr="004E0C17" w:rsidRDefault="009E656D" w:rsidP="00543400">
      <w:pPr>
        <w:pStyle w:val="Heading3"/>
        <w:rPr>
          <w:lang w:val="en-AU"/>
        </w:rPr>
      </w:pPr>
      <w:r w:rsidRPr="004E0C17">
        <w:rPr>
          <w:lang w:val="en-AU"/>
        </w:rPr>
        <w:t>Paediatric use</w:t>
      </w:r>
    </w:p>
    <w:p w14:paraId="38A1DE17" w14:textId="61BF85F8" w:rsidR="009E656D" w:rsidRPr="004E0C17" w:rsidRDefault="009E656D" w:rsidP="00543400">
      <w:pPr>
        <w:rPr>
          <w:lang w:val="en-AU"/>
        </w:rPr>
      </w:pPr>
      <w:r>
        <w:rPr>
          <w:lang w:val="en-AU"/>
        </w:rPr>
        <w:t>The safety and efficacy of E</w:t>
      </w:r>
      <w:r w:rsidR="005B0286">
        <w:rPr>
          <w:lang w:val="en-AU"/>
        </w:rPr>
        <w:t>LADYNOS</w:t>
      </w:r>
      <w:r>
        <w:rPr>
          <w:lang w:val="en-AU"/>
        </w:rPr>
        <w:t xml:space="preserve"> has not been studied in paediatric populations. </w:t>
      </w:r>
      <w:r w:rsidRPr="004E0C17">
        <w:rPr>
          <w:lang w:val="en-AU"/>
        </w:rPr>
        <w:t xml:space="preserve">ELADYNOS should not be used </w:t>
      </w:r>
      <w:r>
        <w:rPr>
          <w:lang w:val="en-AU"/>
        </w:rPr>
        <w:t>paediatric patients or young adults with open epiphyses</w:t>
      </w:r>
      <w:r w:rsidRPr="004E0C17">
        <w:rPr>
          <w:lang w:val="en-AU"/>
        </w:rPr>
        <w:t xml:space="preserve"> because of concerns </w:t>
      </w:r>
      <w:r w:rsidR="001F3460">
        <w:rPr>
          <w:lang w:val="en-AU"/>
        </w:rPr>
        <w:t>of osteosarcoma</w:t>
      </w:r>
      <w:r>
        <w:rPr>
          <w:lang w:val="en-AU"/>
        </w:rPr>
        <w:t xml:space="preserve"> </w:t>
      </w:r>
      <w:r w:rsidRPr="004E0C17">
        <w:rPr>
          <w:lang w:val="en-AU"/>
        </w:rPr>
        <w:t xml:space="preserve">(see Section </w:t>
      </w:r>
      <w:r w:rsidRPr="004E0C17">
        <w:rPr>
          <w:lang w:val="en-AU"/>
        </w:rPr>
        <w:fldChar w:fldCharType="begin"/>
      </w:r>
      <w:r w:rsidRPr="004E0C17">
        <w:rPr>
          <w:lang w:val="en-AU"/>
        </w:rPr>
        <w:instrText xml:space="preserve"> REF _Ref139029784 \r \h </w:instrText>
      </w:r>
      <w:r w:rsidRPr="004E0C17">
        <w:rPr>
          <w:lang w:val="en-AU"/>
        </w:rPr>
      </w:r>
      <w:r w:rsidRPr="004E0C17">
        <w:rPr>
          <w:lang w:val="en-AU"/>
        </w:rPr>
        <w:fldChar w:fldCharType="separate"/>
      </w:r>
      <w:r>
        <w:rPr>
          <w:lang w:val="en-AU"/>
        </w:rPr>
        <w:t>5.3</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_Ref139029784 \h </w:instrText>
      </w:r>
      <w:r w:rsidRPr="004E0C17">
        <w:rPr>
          <w:lang w:val="en-AU"/>
        </w:rPr>
      </w:r>
      <w:r w:rsidRPr="004E0C17">
        <w:rPr>
          <w:lang w:val="en-AU"/>
        </w:rPr>
        <w:fldChar w:fldCharType="separate"/>
      </w:r>
      <w:r w:rsidRPr="004E0C17">
        <w:rPr>
          <w:lang w:val="en-AU"/>
        </w:rPr>
        <w:t>Preclinical safety data</w:t>
      </w:r>
      <w:r w:rsidRPr="004E0C17">
        <w:rPr>
          <w:lang w:val="en-AU"/>
        </w:rPr>
        <w:fldChar w:fldCharType="end"/>
      </w:r>
      <w:r w:rsidRPr="004E0C17">
        <w:rPr>
          <w:lang w:val="en-AU"/>
        </w:rPr>
        <w:t xml:space="preserve">). </w:t>
      </w:r>
    </w:p>
    <w:p w14:paraId="34D1DECA" w14:textId="77777777" w:rsidR="009E656D" w:rsidRPr="004E0C17" w:rsidRDefault="009E656D" w:rsidP="00543400">
      <w:pPr>
        <w:pStyle w:val="Heading3"/>
        <w:rPr>
          <w:lang w:val="en-AU"/>
        </w:rPr>
      </w:pPr>
      <w:r w:rsidRPr="004E0C17">
        <w:rPr>
          <w:lang w:val="en-AU"/>
        </w:rPr>
        <w:t>Effects on laboratory tests</w:t>
      </w:r>
    </w:p>
    <w:p w14:paraId="725CBB54" w14:textId="77777777" w:rsidR="009E656D" w:rsidRPr="004E0C17" w:rsidRDefault="009E656D" w:rsidP="007C5F2C">
      <w:pPr>
        <w:pStyle w:val="Heading4"/>
      </w:pPr>
      <w:r w:rsidRPr="004E0C17">
        <w:t xml:space="preserve">Serum calcium </w:t>
      </w:r>
    </w:p>
    <w:p w14:paraId="6A8B7E73" w14:textId="77777777" w:rsidR="009E656D" w:rsidRDefault="009E656D" w:rsidP="00543400">
      <w:pPr>
        <w:rPr>
          <w:lang w:val="en-AU"/>
        </w:rPr>
      </w:pPr>
      <w:r w:rsidRPr="004E0C17">
        <w:rPr>
          <w:lang w:val="en-AU"/>
        </w:rPr>
        <w:t>ELADYNOS can cause transient increases in serum calcium levels measured 4 hours post-dose</w:t>
      </w:r>
      <w:r>
        <w:rPr>
          <w:lang w:val="en-AU"/>
        </w:rPr>
        <w:t xml:space="preserve">, </w:t>
      </w:r>
      <w:r w:rsidRPr="004E0C17">
        <w:rPr>
          <w:lang w:val="en-AU"/>
        </w:rPr>
        <w:t xml:space="preserve">see section </w:t>
      </w:r>
      <w:r>
        <w:rPr>
          <w:lang w:val="en-AU"/>
        </w:rPr>
        <w:fldChar w:fldCharType="begin"/>
      </w:r>
      <w:r>
        <w:rPr>
          <w:lang w:val="en-AU"/>
        </w:rPr>
        <w:instrText xml:space="preserve"> REF _Ref139033351 \r \h </w:instrText>
      </w:r>
      <w:r>
        <w:rPr>
          <w:lang w:val="en-AU"/>
        </w:rPr>
      </w:r>
      <w:r>
        <w:rPr>
          <w:lang w:val="en-AU"/>
        </w:rPr>
        <w:fldChar w:fldCharType="separate"/>
      </w:r>
      <w:r>
        <w:rPr>
          <w:lang w:val="en-AU"/>
        </w:rPr>
        <w:t>4.8</w:t>
      </w:r>
      <w:r>
        <w:rPr>
          <w:lang w:val="en-AU"/>
        </w:rPr>
        <w:fldChar w:fldCharType="end"/>
      </w:r>
      <w:r>
        <w:rPr>
          <w:lang w:val="en-AU"/>
        </w:rPr>
        <w:t xml:space="preserve"> </w:t>
      </w:r>
      <w:r>
        <w:rPr>
          <w:lang w:val="en-AU"/>
        </w:rPr>
        <w:fldChar w:fldCharType="begin"/>
      </w:r>
      <w:r>
        <w:rPr>
          <w:lang w:val="en-AU"/>
        </w:rPr>
        <w:instrText xml:space="preserve"> REF _Ref139033351 \h </w:instrText>
      </w:r>
      <w:r>
        <w:rPr>
          <w:lang w:val="en-AU"/>
        </w:rPr>
      </w:r>
      <w:r>
        <w:rPr>
          <w:lang w:val="en-AU"/>
        </w:rPr>
        <w:fldChar w:fldCharType="separate"/>
      </w:r>
      <w:r w:rsidRPr="004E0C17">
        <w:rPr>
          <w:lang w:val="en-AU"/>
        </w:rPr>
        <w:t>Adverse effects (Undesirable effects)</w:t>
      </w:r>
      <w:r>
        <w:rPr>
          <w:lang w:val="en-AU"/>
        </w:rPr>
        <w:fldChar w:fldCharType="end"/>
      </w:r>
      <w:r w:rsidRPr="004E0C17">
        <w:rPr>
          <w:lang w:val="en-AU"/>
        </w:rPr>
        <w:t>).</w:t>
      </w:r>
    </w:p>
    <w:p w14:paraId="047EE237" w14:textId="77777777" w:rsidR="009E656D" w:rsidRDefault="009E656D" w:rsidP="00543400">
      <w:pPr>
        <w:rPr>
          <w:lang w:val="en-AU"/>
        </w:rPr>
      </w:pPr>
    </w:p>
    <w:p w14:paraId="12B902B1" w14:textId="77777777" w:rsidR="009E656D" w:rsidRPr="004E0C17" w:rsidRDefault="009E656D" w:rsidP="007C5F2C">
      <w:pPr>
        <w:pStyle w:val="Heading4"/>
      </w:pPr>
      <w:r w:rsidRPr="004E0C17">
        <w:t xml:space="preserve">Serum uric acid </w:t>
      </w:r>
    </w:p>
    <w:p w14:paraId="15B08788" w14:textId="2B25BCB8" w:rsidR="009E656D" w:rsidRPr="004E0C17" w:rsidRDefault="009E656D" w:rsidP="00543400">
      <w:pPr>
        <w:rPr>
          <w:lang w:val="en-AU"/>
        </w:rPr>
      </w:pPr>
      <w:r w:rsidRPr="004E0C17">
        <w:rPr>
          <w:lang w:val="en-AU"/>
        </w:rPr>
        <w:t>ELADYNOS increased serum uric acid concentrations</w:t>
      </w:r>
      <w:r>
        <w:rPr>
          <w:lang w:val="en-AU"/>
        </w:rPr>
        <w:t xml:space="preserve">, </w:t>
      </w:r>
      <w:r w:rsidRPr="004E0C17">
        <w:rPr>
          <w:lang w:val="en-AU"/>
        </w:rPr>
        <w:t xml:space="preserve">see section </w:t>
      </w:r>
      <w:r>
        <w:rPr>
          <w:lang w:val="en-AU"/>
        </w:rPr>
        <w:fldChar w:fldCharType="begin"/>
      </w:r>
      <w:r>
        <w:rPr>
          <w:lang w:val="en-AU"/>
        </w:rPr>
        <w:instrText xml:space="preserve"> REF _Ref139033351 \r \h </w:instrText>
      </w:r>
      <w:r>
        <w:rPr>
          <w:lang w:val="en-AU"/>
        </w:rPr>
      </w:r>
      <w:r>
        <w:rPr>
          <w:lang w:val="en-AU"/>
        </w:rPr>
        <w:fldChar w:fldCharType="separate"/>
      </w:r>
      <w:r>
        <w:rPr>
          <w:lang w:val="en-AU"/>
        </w:rPr>
        <w:t>4.8</w:t>
      </w:r>
      <w:r>
        <w:rPr>
          <w:lang w:val="en-AU"/>
        </w:rPr>
        <w:fldChar w:fldCharType="end"/>
      </w:r>
      <w:r>
        <w:rPr>
          <w:lang w:val="en-AU"/>
        </w:rPr>
        <w:t xml:space="preserve"> </w:t>
      </w:r>
      <w:r>
        <w:rPr>
          <w:lang w:val="en-AU"/>
        </w:rPr>
        <w:fldChar w:fldCharType="begin"/>
      </w:r>
      <w:r>
        <w:rPr>
          <w:lang w:val="en-AU"/>
        </w:rPr>
        <w:instrText xml:space="preserve"> REF _Ref139033351 \h </w:instrText>
      </w:r>
      <w:r>
        <w:rPr>
          <w:lang w:val="en-AU"/>
        </w:rPr>
      </w:r>
      <w:r>
        <w:rPr>
          <w:lang w:val="en-AU"/>
        </w:rPr>
        <w:fldChar w:fldCharType="separate"/>
      </w:r>
      <w:r w:rsidRPr="004E0C17">
        <w:rPr>
          <w:lang w:val="en-AU"/>
        </w:rPr>
        <w:t>Adverse effects (Undesirable effects)</w:t>
      </w:r>
      <w:r>
        <w:rPr>
          <w:lang w:val="en-AU"/>
        </w:rPr>
        <w:fldChar w:fldCharType="end"/>
      </w:r>
      <w:r w:rsidRPr="004E0C17">
        <w:rPr>
          <w:lang w:val="en-AU"/>
        </w:rPr>
        <w:t xml:space="preserve">). </w:t>
      </w:r>
    </w:p>
    <w:p w14:paraId="304C352A" w14:textId="77777777" w:rsidR="009E656D" w:rsidRPr="004E0C17" w:rsidRDefault="009E656D" w:rsidP="00543400">
      <w:pPr>
        <w:pStyle w:val="Heading2"/>
        <w:rPr>
          <w:lang w:val="en-AU"/>
        </w:rPr>
      </w:pPr>
      <w:r w:rsidRPr="004E0C17">
        <w:rPr>
          <w:lang w:val="en-AU"/>
        </w:rPr>
        <w:lastRenderedPageBreak/>
        <w:t>Interactions with other medicines and other forms of interactions</w:t>
      </w:r>
    </w:p>
    <w:p w14:paraId="76A04E0B" w14:textId="77777777" w:rsidR="009E656D" w:rsidRPr="004E0C17" w:rsidRDefault="009E656D" w:rsidP="00543400">
      <w:pPr>
        <w:rPr>
          <w:lang w:val="en-AU"/>
        </w:rPr>
      </w:pPr>
      <w:r w:rsidRPr="004E0C17">
        <w:rPr>
          <w:lang w:val="en-AU"/>
        </w:rPr>
        <w:t xml:space="preserve">No dedicated clinical drug-drug interaction studies have been performed with ELADYNOS. The interaction potential of abaloparatide </w:t>
      </w:r>
      <w:proofErr w:type="gramStart"/>
      <w:r w:rsidRPr="004E0C17">
        <w:rPr>
          <w:lang w:val="en-AU"/>
        </w:rPr>
        <w:t xml:space="preserve">is </w:t>
      </w:r>
      <w:r>
        <w:rPr>
          <w:lang w:val="en-AU"/>
        </w:rPr>
        <w:t>considered to be</w:t>
      </w:r>
      <w:proofErr w:type="gramEnd"/>
      <w:r>
        <w:rPr>
          <w:lang w:val="en-AU"/>
        </w:rPr>
        <w:t xml:space="preserve"> </w:t>
      </w:r>
      <w:r w:rsidRPr="004E0C17">
        <w:rPr>
          <w:lang w:val="en-AU"/>
        </w:rPr>
        <w:t xml:space="preserve">low </w:t>
      </w:r>
      <w:r>
        <w:rPr>
          <w:lang w:val="en-AU"/>
        </w:rPr>
        <w:t xml:space="preserve">based on </w:t>
      </w:r>
      <w:r w:rsidRPr="0092799B">
        <w:rPr>
          <w:i/>
          <w:iCs/>
          <w:lang w:val="en-AU"/>
        </w:rPr>
        <w:t>in vitro</w:t>
      </w:r>
      <w:r>
        <w:rPr>
          <w:lang w:val="en-AU"/>
        </w:rPr>
        <w:t xml:space="preserve"> data</w:t>
      </w:r>
      <w:r w:rsidRPr="004E0C17">
        <w:rPr>
          <w:lang w:val="en-AU"/>
        </w:rPr>
        <w:t>.</w:t>
      </w:r>
      <w:r>
        <w:rPr>
          <w:lang w:val="en-AU"/>
        </w:rPr>
        <w:t xml:space="preserve"> </w:t>
      </w:r>
      <w:r w:rsidRPr="0092799B">
        <w:rPr>
          <w:lang w:val="en-AU"/>
        </w:rPr>
        <w:t>Abaloparatide was shown to not inhibit or induce cytochrome P450 enzymes at clinically relevant concentrations, to not be a substrate of the renal transporters P-</w:t>
      </w:r>
      <w:proofErr w:type="spellStart"/>
      <w:r w:rsidRPr="0092799B">
        <w:rPr>
          <w:lang w:val="en-AU"/>
        </w:rPr>
        <w:t>gp</w:t>
      </w:r>
      <w:proofErr w:type="spellEnd"/>
      <w:r w:rsidRPr="0092799B">
        <w:rPr>
          <w:lang w:val="en-AU"/>
        </w:rPr>
        <w:t>, OAT1, OAT3, OCT2, MATE1 or MATE2K, and to not inhibit P-</w:t>
      </w:r>
      <w:proofErr w:type="spellStart"/>
      <w:r w:rsidRPr="0092799B">
        <w:rPr>
          <w:lang w:val="en-AU"/>
        </w:rPr>
        <w:t>gp</w:t>
      </w:r>
      <w:proofErr w:type="spellEnd"/>
      <w:r w:rsidRPr="0092799B">
        <w:rPr>
          <w:lang w:val="en-AU"/>
        </w:rPr>
        <w:t>, BCRP, OAT1, OAT3, OCT2, OATP1B1 or OATP1B3 transporters at clinically relevant concentrations.</w:t>
      </w:r>
      <w:r w:rsidRPr="004E0C17">
        <w:rPr>
          <w:lang w:val="en-AU"/>
        </w:rPr>
        <w:t xml:space="preserve"> </w:t>
      </w:r>
    </w:p>
    <w:p w14:paraId="7EDEE844" w14:textId="77777777" w:rsidR="009E656D" w:rsidRPr="004E0C17" w:rsidRDefault="009E656D" w:rsidP="00543400">
      <w:pPr>
        <w:rPr>
          <w:lang w:val="en-AU"/>
        </w:rPr>
      </w:pPr>
    </w:p>
    <w:p w14:paraId="488164AD" w14:textId="77777777" w:rsidR="009E656D" w:rsidRPr="004E0C17" w:rsidRDefault="009E656D" w:rsidP="00543400">
      <w:pPr>
        <w:rPr>
          <w:lang w:val="en-AU"/>
        </w:rPr>
      </w:pPr>
      <w:r w:rsidRPr="004E0C17">
        <w:rPr>
          <w:lang w:val="en-AU"/>
        </w:rPr>
        <w:t xml:space="preserve">There is no data on efficacy of ELADYNOS in patients with prior or concomitant bisphosphonate or glucocorticoid treatment. </w:t>
      </w:r>
    </w:p>
    <w:p w14:paraId="270010F3" w14:textId="77777777" w:rsidR="009E656D" w:rsidRPr="004E0C17" w:rsidRDefault="009E656D" w:rsidP="00543400">
      <w:pPr>
        <w:rPr>
          <w:lang w:val="en-AU"/>
        </w:rPr>
      </w:pPr>
    </w:p>
    <w:p w14:paraId="4896F46C" w14:textId="77777777" w:rsidR="009E656D" w:rsidRPr="004E0C17" w:rsidRDefault="009E656D" w:rsidP="00543400">
      <w:pPr>
        <w:rPr>
          <w:lang w:val="en-AU"/>
        </w:rPr>
      </w:pPr>
      <w:r w:rsidRPr="004E0C17">
        <w:rPr>
          <w:lang w:val="en-AU"/>
        </w:rPr>
        <w:t xml:space="preserve">Concomitant use of vasoactive medicinal products may predispose to orthostatic hypotension since the blood pressure lowering effect of abaloparatide may be increased, see Section </w:t>
      </w:r>
      <w:r w:rsidRPr="004E0C17">
        <w:rPr>
          <w:lang w:val="en-AU"/>
        </w:rPr>
        <w:fldChar w:fldCharType="begin"/>
      </w:r>
      <w:r w:rsidRPr="004E0C17">
        <w:rPr>
          <w:lang w:val="en-AU"/>
        </w:rPr>
        <w:instrText xml:space="preserve"> REF _Ref139029665 \r \h </w:instrText>
      </w:r>
      <w:r w:rsidRPr="004E0C17">
        <w:rPr>
          <w:lang w:val="en-AU"/>
        </w:rPr>
      </w:r>
      <w:r w:rsidRPr="004E0C17">
        <w:rPr>
          <w:lang w:val="en-AU"/>
        </w:rPr>
        <w:fldChar w:fldCharType="separate"/>
      </w:r>
      <w:r>
        <w:rPr>
          <w:lang w:val="en-AU"/>
        </w:rPr>
        <w:t>4.4</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_Ref139029665 \h </w:instrText>
      </w:r>
      <w:r w:rsidRPr="004E0C17">
        <w:rPr>
          <w:lang w:val="en-AU"/>
        </w:rPr>
      </w:r>
      <w:r w:rsidRPr="004E0C17">
        <w:rPr>
          <w:lang w:val="en-AU"/>
        </w:rPr>
        <w:fldChar w:fldCharType="separate"/>
      </w:r>
      <w:r w:rsidRPr="004E0C17">
        <w:rPr>
          <w:lang w:val="en-AU"/>
        </w:rPr>
        <w:t>Special warnings and precautions for use</w:t>
      </w:r>
      <w:r w:rsidRPr="004E0C17">
        <w:rPr>
          <w:lang w:val="en-AU"/>
        </w:rPr>
        <w:fldChar w:fldCharType="end"/>
      </w:r>
      <w:r w:rsidRPr="004E0C17">
        <w:rPr>
          <w:lang w:val="en-AU"/>
        </w:rPr>
        <w:t xml:space="preserve">. </w:t>
      </w:r>
    </w:p>
    <w:p w14:paraId="622BAB46" w14:textId="77777777" w:rsidR="009E656D" w:rsidRPr="004E0C17" w:rsidRDefault="009E656D" w:rsidP="00543400">
      <w:pPr>
        <w:rPr>
          <w:lang w:val="en-AU"/>
        </w:rPr>
      </w:pPr>
    </w:p>
    <w:p w14:paraId="405686AE" w14:textId="77777777" w:rsidR="009E656D" w:rsidRPr="004E0C17" w:rsidRDefault="009E656D" w:rsidP="00543400">
      <w:pPr>
        <w:rPr>
          <w:lang w:val="en-AU"/>
        </w:rPr>
      </w:pPr>
      <w:r w:rsidRPr="004E0C17">
        <w:rPr>
          <w:lang w:val="en-AU"/>
        </w:rPr>
        <w:t>Sporadic case reports have suggested that hypercalcaemia may predispose patients to digitalis toxicity. Because abaloparatide has been shown to increase serum calcium, it should be used with caution in patients taking digitalis.</w:t>
      </w:r>
    </w:p>
    <w:p w14:paraId="52798A6A" w14:textId="77777777" w:rsidR="009E656D" w:rsidRPr="004E0C17" w:rsidRDefault="009E656D" w:rsidP="00543400">
      <w:pPr>
        <w:pStyle w:val="Heading2"/>
        <w:rPr>
          <w:lang w:val="en-AU"/>
        </w:rPr>
      </w:pPr>
      <w:bookmarkStart w:id="4" w:name="_Ref139029813"/>
      <w:r w:rsidRPr="004E0C17">
        <w:rPr>
          <w:lang w:val="en-AU"/>
        </w:rPr>
        <w:t>Fertility, pregnancy and lactation</w:t>
      </w:r>
      <w:bookmarkEnd w:id="4"/>
      <w:r w:rsidRPr="004E0C17">
        <w:rPr>
          <w:lang w:val="en-AU"/>
        </w:rPr>
        <w:t xml:space="preserve"> </w:t>
      </w:r>
    </w:p>
    <w:p w14:paraId="1BBFF01B" w14:textId="77777777" w:rsidR="009E656D" w:rsidRPr="004E0C17" w:rsidRDefault="009E656D" w:rsidP="00543400">
      <w:pPr>
        <w:pStyle w:val="Heading3"/>
        <w:rPr>
          <w:lang w:val="en-AU"/>
        </w:rPr>
      </w:pPr>
      <w:r w:rsidRPr="004E0C17">
        <w:rPr>
          <w:lang w:val="en-AU"/>
        </w:rPr>
        <w:t>Effects on fertility</w:t>
      </w:r>
    </w:p>
    <w:p w14:paraId="2D6B0F5B" w14:textId="323190FD" w:rsidR="009E656D" w:rsidRPr="004E0C17" w:rsidRDefault="009E656D" w:rsidP="00543400">
      <w:pPr>
        <w:rPr>
          <w:lang w:val="en-AU"/>
        </w:rPr>
      </w:pPr>
      <w:r w:rsidRPr="004E0C17">
        <w:rPr>
          <w:lang w:val="en-AU"/>
        </w:rPr>
        <w:t xml:space="preserve">ELADYNOS is </w:t>
      </w:r>
      <w:r>
        <w:rPr>
          <w:lang w:val="en-AU"/>
        </w:rPr>
        <w:t>contra</w:t>
      </w:r>
      <w:r w:rsidRPr="004E0C17">
        <w:rPr>
          <w:lang w:val="en-AU"/>
        </w:rPr>
        <w:t xml:space="preserve">indicated in women of childbearing potential. No data </w:t>
      </w:r>
      <w:r>
        <w:rPr>
          <w:lang w:val="en-AU"/>
        </w:rPr>
        <w:t>are</w:t>
      </w:r>
      <w:r w:rsidRPr="004E0C17">
        <w:rPr>
          <w:lang w:val="en-AU"/>
        </w:rPr>
        <w:t xml:space="preserve"> available on the effect of ELADYNOS on human fertility</w:t>
      </w:r>
      <w:r>
        <w:rPr>
          <w:lang w:val="en-AU"/>
        </w:rPr>
        <w:t>, and no fertility study has been performed with abaloparatide in female animals</w:t>
      </w:r>
      <w:r w:rsidRPr="004E0C17">
        <w:rPr>
          <w:lang w:val="en-AU"/>
        </w:rPr>
        <w:t xml:space="preserve">. </w:t>
      </w:r>
      <w:r>
        <w:rPr>
          <w:lang w:val="en-AU"/>
        </w:rPr>
        <w:t xml:space="preserve"> </w:t>
      </w:r>
      <w:r w:rsidRPr="0092799B">
        <w:rPr>
          <w:lang w:val="en-AU"/>
        </w:rPr>
        <w:t>Fertility was unaffected in male rats receiving abaloparatide at subcutaneous doses up to 70 µg/kg/day (yielding systemic exposure [plasma AUC] 27 times higher than in patients at the recommended human dose of 80 µg/day).</w:t>
      </w:r>
    </w:p>
    <w:p w14:paraId="7F38DDD6" w14:textId="77777777" w:rsidR="009E656D" w:rsidRPr="009E656D" w:rsidRDefault="009E656D" w:rsidP="00543400">
      <w:pPr>
        <w:pStyle w:val="Heading3"/>
      </w:pPr>
      <w:r w:rsidRPr="004E0C17">
        <w:rPr>
          <w:lang w:val="en-AU"/>
        </w:rPr>
        <w:t xml:space="preserve">Use in pregnancy – Pregnancy Category </w:t>
      </w:r>
      <w:r>
        <w:rPr>
          <w:lang w:val="en-AU"/>
        </w:rPr>
        <w:t>B3</w:t>
      </w:r>
    </w:p>
    <w:p w14:paraId="43A35B65" w14:textId="610AD94E" w:rsidR="009E656D" w:rsidRPr="004E0C17" w:rsidRDefault="009E656D" w:rsidP="00543400">
      <w:pPr>
        <w:rPr>
          <w:lang w:val="en-AU"/>
        </w:rPr>
      </w:pPr>
      <w:r w:rsidRPr="004E0C17">
        <w:rPr>
          <w:lang w:val="en-AU"/>
        </w:rPr>
        <w:t xml:space="preserve">ELADYNOS is contraindicated during pregnancy </w:t>
      </w:r>
      <w:r>
        <w:rPr>
          <w:lang w:val="en-AU"/>
        </w:rPr>
        <w:t>and in women of childbearing potential</w:t>
      </w:r>
      <w:r w:rsidR="005B0286">
        <w:rPr>
          <w:lang w:val="en-AU"/>
        </w:rPr>
        <w:t xml:space="preserve"> </w:t>
      </w:r>
      <w:r w:rsidRPr="004E0C17">
        <w:rPr>
          <w:lang w:val="en-AU"/>
        </w:rPr>
        <w:t xml:space="preserve">(see Section </w:t>
      </w:r>
      <w:r w:rsidRPr="004E0C17">
        <w:rPr>
          <w:lang w:val="en-AU"/>
        </w:rPr>
        <w:fldChar w:fldCharType="begin"/>
      </w:r>
      <w:r w:rsidRPr="004E0C17">
        <w:rPr>
          <w:lang w:val="en-AU"/>
        </w:rPr>
        <w:instrText xml:space="preserve"> REF _Ref139029726 \r \h </w:instrText>
      </w:r>
      <w:r w:rsidRPr="004E0C17">
        <w:rPr>
          <w:lang w:val="en-AU"/>
        </w:rPr>
      </w:r>
      <w:r w:rsidRPr="004E0C17">
        <w:rPr>
          <w:lang w:val="en-AU"/>
        </w:rPr>
        <w:fldChar w:fldCharType="separate"/>
      </w:r>
      <w:r>
        <w:rPr>
          <w:lang w:val="en-AU"/>
        </w:rPr>
        <w:t>4.3</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_Ref139029726 \h </w:instrText>
      </w:r>
      <w:r w:rsidRPr="004E0C17">
        <w:rPr>
          <w:lang w:val="en-AU"/>
        </w:rPr>
      </w:r>
      <w:r w:rsidRPr="004E0C17">
        <w:rPr>
          <w:lang w:val="en-AU"/>
        </w:rPr>
        <w:fldChar w:fldCharType="separate"/>
      </w:r>
      <w:r w:rsidRPr="004E0C17">
        <w:rPr>
          <w:lang w:val="en-AU"/>
        </w:rPr>
        <w:t>Contraindications</w:t>
      </w:r>
      <w:r w:rsidRPr="004E0C17">
        <w:rPr>
          <w:lang w:val="en-AU"/>
        </w:rPr>
        <w:fldChar w:fldCharType="end"/>
      </w:r>
      <w:r w:rsidRPr="004E0C17">
        <w:rPr>
          <w:lang w:val="en-AU"/>
        </w:rPr>
        <w:t xml:space="preserve">). </w:t>
      </w:r>
      <w:r w:rsidRPr="0092799B">
        <w:rPr>
          <w:lang w:val="en-AU"/>
        </w:rPr>
        <w:t xml:space="preserve">No embryofetal development studies have been conducted with abaloparatide in animals. </w:t>
      </w:r>
      <w:r>
        <w:rPr>
          <w:lang w:val="en-AU"/>
        </w:rPr>
        <w:t>ELADYNOS</w:t>
      </w:r>
      <w:r w:rsidRPr="004E0C17">
        <w:rPr>
          <w:lang w:val="en-AU"/>
        </w:rPr>
        <w:t xml:space="preserve"> is not to be used in women who are, or may be, pregnant. </w:t>
      </w:r>
    </w:p>
    <w:p w14:paraId="6CF606E2" w14:textId="77777777" w:rsidR="009E656D" w:rsidRPr="004E0C17" w:rsidRDefault="009E656D" w:rsidP="00543400">
      <w:pPr>
        <w:pStyle w:val="Heading3"/>
        <w:rPr>
          <w:lang w:val="en-AU"/>
        </w:rPr>
      </w:pPr>
      <w:r w:rsidRPr="004E0C17">
        <w:rPr>
          <w:lang w:val="en-AU"/>
        </w:rPr>
        <w:t xml:space="preserve">Use in lactation. </w:t>
      </w:r>
    </w:p>
    <w:p w14:paraId="3572FA19" w14:textId="77777777" w:rsidR="009E656D" w:rsidRPr="004E0C17" w:rsidRDefault="009E656D" w:rsidP="00543400">
      <w:pPr>
        <w:rPr>
          <w:lang w:val="en-AU"/>
        </w:rPr>
      </w:pPr>
      <w:r w:rsidRPr="004E0C17">
        <w:rPr>
          <w:lang w:val="en-AU"/>
        </w:rPr>
        <w:t xml:space="preserve">It is unknown whether </w:t>
      </w:r>
      <w:r>
        <w:rPr>
          <w:lang w:val="en-AU"/>
        </w:rPr>
        <w:t>abaloparatide</w:t>
      </w:r>
      <w:r w:rsidRPr="004E0C17">
        <w:rPr>
          <w:lang w:val="en-AU"/>
        </w:rPr>
        <w:t xml:space="preserve"> is excreted in milk. A risk to the newborn/infant cannot be excluded. ELADYNOS is contraindicated during breast-feeding (see Section </w:t>
      </w:r>
      <w:r w:rsidRPr="004E0C17">
        <w:rPr>
          <w:lang w:val="en-AU"/>
        </w:rPr>
        <w:fldChar w:fldCharType="begin"/>
      </w:r>
      <w:r w:rsidRPr="004E0C17">
        <w:rPr>
          <w:lang w:val="en-AU"/>
        </w:rPr>
        <w:instrText xml:space="preserve"> REF _Ref139029726 \r \h </w:instrText>
      </w:r>
      <w:r w:rsidRPr="004E0C17">
        <w:rPr>
          <w:lang w:val="en-AU"/>
        </w:rPr>
      </w:r>
      <w:r w:rsidRPr="004E0C17">
        <w:rPr>
          <w:lang w:val="en-AU"/>
        </w:rPr>
        <w:fldChar w:fldCharType="separate"/>
      </w:r>
      <w:r>
        <w:rPr>
          <w:lang w:val="en-AU"/>
        </w:rPr>
        <w:t>4.3</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_Ref139029726 \h </w:instrText>
      </w:r>
      <w:r w:rsidRPr="004E0C17">
        <w:rPr>
          <w:lang w:val="en-AU"/>
        </w:rPr>
      </w:r>
      <w:r w:rsidRPr="004E0C17">
        <w:rPr>
          <w:lang w:val="en-AU"/>
        </w:rPr>
        <w:fldChar w:fldCharType="separate"/>
      </w:r>
      <w:r w:rsidRPr="004E0C17">
        <w:rPr>
          <w:lang w:val="en-AU"/>
        </w:rPr>
        <w:t>Contraindications</w:t>
      </w:r>
      <w:r w:rsidRPr="004E0C17">
        <w:rPr>
          <w:lang w:val="en-AU"/>
        </w:rPr>
        <w:fldChar w:fldCharType="end"/>
      </w:r>
      <w:r w:rsidRPr="004E0C17">
        <w:rPr>
          <w:lang w:val="en-AU"/>
        </w:rPr>
        <w:t>).</w:t>
      </w:r>
    </w:p>
    <w:p w14:paraId="16F15D70" w14:textId="77777777" w:rsidR="009E656D" w:rsidRPr="004E0C17" w:rsidRDefault="009E656D" w:rsidP="00543400">
      <w:pPr>
        <w:pStyle w:val="Heading2"/>
        <w:rPr>
          <w:lang w:val="en-AU"/>
        </w:rPr>
      </w:pPr>
      <w:r w:rsidRPr="004E0C17">
        <w:rPr>
          <w:lang w:val="en-AU"/>
        </w:rPr>
        <w:t xml:space="preserve">Effects on ability to drive and use machines </w:t>
      </w:r>
    </w:p>
    <w:p w14:paraId="449A48AF" w14:textId="77777777" w:rsidR="009E656D" w:rsidRPr="004E0C17" w:rsidRDefault="009E656D" w:rsidP="00543400">
      <w:pPr>
        <w:rPr>
          <w:lang w:val="en-AU"/>
        </w:rPr>
      </w:pPr>
      <w:r w:rsidRPr="004E0C17">
        <w:rPr>
          <w:lang w:val="en-AU"/>
        </w:rPr>
        <w:t xml:space="preserve">ELADYNOS has no or negligible influence on the ability to drive and use machines. Transient orthostatic hypotension or dizziness may occur following administration of ELADYNOS (see Section </w:t>
      </w:r>
      <w:r w:rsidRPr="004E0C17">
        <w:rPr>
          <w:lang w:val="en-AU"/>
        </w:rPr>
        <w:fldChar w:fldCharType="begin"/>
      </w:r>
      <w:r w:rsidRPr="004E0C17">
        <w:rPr>
          <w:lang w:val="en-AU"/>
        </w:rPr>
        <w:instrText xml:space="preserve"> REF _Ref139033351 \r \h </w:instrText>
      </w:r>
      <w:r w:rsidRPr="004E0C17">
        <w:rPr>
          <w:lang w:val="en-AU"/>
        </w:rPr>
      </w:r>
      <w:r w:rsidRPr="004E0C17">
        <w:rPr>
          <w:lang w:val="en-AU"/>
        </w:rPr>
        <w:fldChar w:fldCharType="separate"/>
      </w:r>
      <w:r>
        <w:rPr>
          <w:lang w:val="en-AU"/>
        </w:rPr>
        <w:t>4.8</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_Ref139033351 \h </w:instrText>
      </w:r>
      <w:r w:rsidRPr="004E0C17">
        <w:rPr>
          <w:lang w:val="en-AU"/>
        </w:rPr>
      </w:r>
      <w:r w:rsidRPr="004E0C17">
        <w:rPr>
          <w:lang w:val="en-AU"/>
        </w:rPr>
        <w:fldChar w:fldCharType="separate"/>
      </w:r>
      <w:r w:rsidRPr="004E0C17">
        <w:rPr>
          <w:lang w:val="en-AU"/>
        </w:rPr>
        <w:t>Adverse effects (Undesirable effects)</w:t>
      </w:r>
      <w:r w:rsidRPr="004E0C17">
        <w:rPr>
          <w:lang w:val="en-AU"/>
        </w:rPr>
        <w:fldChar w:fldCharType="end"/>
      </w:r>
      <w:r w:rsidRPr="004E0C17">
        <w:rPr>
          <w:lang w:val="en-AU"/>
        </w:rPr>
        <w:t>). These patients should refrain from driving or the use of machines until symptoms have subsided.</w:t>
      </w:r>
    </w:p>
    <w:p w14:paraId="6DE347D9" w14:textId="77777777" w:rsidR="009E656D" w:rsidRPr="004E0C17" w:rsidRDefault="009E656D" w:rsidP="00543400">
      <w:pPr>
        <w:pStyle w:val="Heading2"/>
        <w:rPr>
          <w:lang w:val="en-AU"/>
        </w:rPr>
      </w:pPr>
      <w:bookmarkStart w:id="5" w:name="_Ref139033351"/>
      <w:r w:rsidRPr="004E0C17">
        <w:rPr>
          <w:lang w:val="en-AU"/>
        </w:rPr>
        <w:t>Adverse effects (Undesirable effects)</w:t>
      </w:r>
      <w:bookmarkEnd w:id="5"/>
    </w:p>
    <w:p w14:paraId="43484DB6" w14:textId="77777777" w:rsidR="009E656D" w:rsidRPr="004E0C17" w:rsidRDefault="009E656D" w:rsidP="00543400">
      <w:pPr>
        <w:pStyle w:val="Heading3"/>
        <w:keepNext w:val="0"/>
        <w:keepLines w:val="0"/>
        <w:rPr>
          <w:lang w:val="en-AU"/>
        </w:rPr>
      </w:pPr>
      <w:r w:rsidRPr="004E0C17">
        <w:rPr>
          <w:lang w:val="en-AU"/>
        </w:rPr>
        <w:t xml:space="preserve">Clinical Trial Adverse Effects </w:t>
      </w:r>
    </w:p>
    <w:p w14:paraId="224B1D7E" w14:textId="2B3DCB11" w:rsidR="009E656D" w:rsidRPr="00742DED" w:rsidRDefault="009E656D" w:rsidP="00543400">
      <w:pPr>
        <w:rPr>
          <w:b/>
          <w:bCs/>
        </w:rPr>
      </w:pPr>
      <w:r w:rsidRPr="004E0C17">
        <w:rPr>
          <w:lang w:val="en-AU"/>
        </w:rPr>
        <w:t>T</w:t>
      </w:r>
      <w:r>
        <w:rPr>
          <w:lang w:val="en-AU"/>
        </w:rPr>
        <w:t xml:space="preserve">reatment-emergent adverse event </w:t>
      </w:r>
      <w:r w:rsidRPr="004E0C17">
        <w:rPr>
          <w:lang w:val="en-AU"/>
        </w:rPr>
        <w:t xml:space="preserve">data for ELADYNOS </w:t>
      </w:r>
      <w:r>
        <w:rPr>
          <w:lang w:val="en-AU"/>
        </w:rPr>
        <w:t xml:space="preserve">from a randomised, double blind, placebo-controlled, multicentre phase 3 safety and efficacy study (ACTIVE) is presented in </w:t>
      </w:r>
      <w:r w:rsidRPr="002B5A3D">
        <w:rPr>
          <w:lang w:val="en-AU"/>
        </w:rPr>
        <w:fldChar w:fldCharType="begin"/>
      </w:r>
      <w:r w:rsidRPr="002B5A3D">
        <w:rPr>
          <w:lang w:val="en-AU"/>
        </w:rPr>
        <w:instrText xml:space="preserve"> REF _Ref170471180 \h </w:instrText>
      </w:r>
      <w:r w:rsidRPr="00C541B9">
        <w:rPr>
          <w:lang w:val="en-AU"/>
        </w:rPr>
        <w:instrText xml:space="preserve"> \* MERGEFORMAT </w:instrText>
      </w:r>
      <w:r w:rsidRPr="002B5A3D">
        <w:rPr>
          <w:lang w:val="en-AU"/>
        </w:rPr>
      </w:r>
      <w:r w:rsidRPr="002B5A3D">
        <w:rPr>
          <w:lang w:val="en-AU"/>
        </w:rPr>
        <w:fldChar w:fldCharType="separate"/>
      </w:r>
      <w:r w:rsidRPr="00C541B9">
        <w:t xml:space="preserve">Table </w:t>
      </w:r>
      <w:r w:rsidRPr="00C541B9">
        <w:rPr>
          <w:noProof/>
        </w:rPr>
        <w:t>1</w:t>
      </w:r>
      <w:r w:rsidRPr="002B5A3D">
        <w:rPr>
          <w:lang w:val="en-AU"/>
        </w:rPr>
        <w:fldChar w:fldCharType="end"/>
      </w:r>
      <w:r>
        <w:rPr>
          <w:lang w:val="en-AU"/>
        </w:rPr>
        <w:t xml:space="preserve">. This study included 1381 postmenopausal women with osteoporosis of whom 694 received abaloparatide and 687 received placebo daily for 18 months. Pooling of safety data from other studies was not possible due to differences in treatment duration. </w:t>
      </w:r>
      <w:r w:rsidRPr="004E0C17">
        <w:rPr>
          <w:lang w:val="en-AU"/>
        </w:rPr>
        <w:t xml:space="preserve"> </w:t>
      </w:r>
      <w:r w:rsidR="005B0286">
        <w:rPr>
          <w:lang w:val="en-AU"/>
        </w:rPr>
        <w:br/>
      </w:r>
      <w:bookmarkStart w:id="6" w:name="_Ref170471180"/>
      <w:r w:rsidRPr="00742DED">
        <w:rPr>
          <w:b/>
          <w:bCs/>
        </w:rPr>
        <w:lastRenderedPageBreak/>
        <w:t xml:space="preserve">Table </w:t>
      </w:r>
      <w:r w:rsidRPr="00742DED">
        <w:rPr>
          <w:b/>
          <w:bCs/>
        </w:rPr>
        <w:fldChar w:fldCharType="begin"/>
      </w:r>
      <w:r w:rsidRPr="00742DED">
        <w:rPr>
          <w:b/>
          <w:bCs/>
        </w:rPr>
        <w:instrText xml:space="preserve"> SEQ Table \* ARABIC </w:instrText>
      </w:r>
      <w:r w:rsidRPr="00742DED">
        <w:rPr>
          <w:b/>
          <w:bCs/>
        </w:rPr>
        <w:fldChar w:fldCharType="separate"/>
      </w:r>
      <w:r>
        <w:rPr>
          <w:b/>
          <w:bCs/>
          <w:noProof/>
        </w:rPr>
        <w:t>1</w:t>
      </w:r>
      <w:r w:rsidRPr="00742DED">
        <w:rPr>
          <w:b/>
          <w:bCs/>
        </w:rPr>
        <w:fldChar w:fldCharType="end"/>
      </w:r>
      <w:bookmarkEnd w:id="6"/>
      <w:r w:rsidRPr="00742DED">
        <w:rPr>
          <w:b/>
          <w:bCs/>
        </w:rPr>
        <w:t xml:space="preserve"> – Frequent (incidence </w:t>
      </w:r>
      <w:r>
        <w:rPr>
          <w:b/>
          <w:bCs/>
        </w:rPr>
        <w:t>≥</w:t>
      </w:r>
      <w:r w:rsidRPr="00742DED">
        <w:rPr>
          <w:b/>
          <w:bCs/>
        </w:rPr>
        <w:t>2%) treatment-emergent adverse events in the ELADYNOS group</w:t>
      </w:r>
      <w:r>
        <w:rPr>
          <w:b/>
          <w:bCs/>
        </w:rPr>
        <w:t xml:space="preserve"> of </w:t>
      </w:r>
      <w:r w:rsidRPr="00742DED">
        <w:rPr>
          <w:b/>
          <w:bCs/>
        </w:rPr>
        <w:t xml:space="preserve">the ACTIVE </w:t>
      </w:r>
      <w:r>
        <w:rPr>
          <w:b/>
          <w:bCs/>
        </w:rPr>
        <w:t xml:space="preserve">study </w:t>
      </w:r>
      <w:r w:rsidRPr="00742DED">
        <w:rPr>
          <w:b/>
          <w:bCs/>
        </w:rPr>
        <w:t>with a greater incidence than placebo</w:t>
      </w:r>
    </w:p>
    <w:tbl>
      <w:tblPr>
        <w:tblStyle w:val="TableGrid"/>
        <w:tblW w:w="0" w:type="auto"/>
        <w:tblLook w:val="04A0" w:firstRow="1" w:lastRow="0" w:firstColumn="1" w:lastColumn="0" w:noHBand="0" w:noVBand="1"/>
      </w:tblPr>
      <w:tblGrid>
        <w:gridCol w:w="5817"/>
        <w:gridCol w:w="1574"/>
        <w:gridCol w:w="1625"/>
      </w:tblGrid>
      <w:tr w:rsidR="009E656D" w14:paraId="6DE2B724" w14:textId="77777777" w:rsidTr="00677771">
        <w:trPr>
          <w:tblHeader/>
        </w:trPr>
        <w:tc>
          <w:tcPr>
            <w:tcW w:w="6538" w:type="dxa"/>
          </w:tcPr>
          <w:p w14:paraId="36B7309C" w14:textId="77777777" w:rsidR="009E656D" w:rsidRPr="009E656D" w:rsidRDefault="009E656D" w:rsidP="00543400">
            <w:pPr>
              <w:rPr>
                <w:b/>
                <w:bCs/>
                <w:lang w:val="en-AU"/>
              </w:rPr>
            </w:pPr>
            <w:r w:rsidRPr="009E656D">
              <w:rPr>
                <w:b/>
                <w:bCs/>
                <w:lang w:val="en-AU"/>
              </w:rPr>
              <w:t xml:space="preserve">System Organ Class </w:t>
            </w:r>
          </w:p>
          <w:p w14:paraId="2CD08F3D" w14:textId="77777777" w:rsidR="009E656D" w:rsidRDefault="009E656D" w:rsidP="00543400">
            <w:pPr>
              <w:rPr>
                <w:lang w:val="en-AU"/>
              </w:rPr>
            </w:pPr>
            <w:r>
              <w:rPr>
                <w:lang w:val="en-AU"/>
              </w:rPr>
              <w:t xml:space="preserve">    Preferred Term</w:t>
            </w:r>
          </w:p>
        </w:tc>
        <w:tc>
          <w:tcPr>
            <w:tcW w:w="1686" w:type="dxa"/>
            <w:vAlign w:val="center"/>
          </w:tcPr>
          <w:p w14:paraId="5813E456" w14:textId="77777777" w:rsidR="009E656D" w:rsidRPr="00742DED" w:rsidRDefault="009E656D" w:rsidP="00543400">
            <w:pPr>
              <w:jc w:val="center"/>
              <w:rPr>
                <w:b/>
                <w:bCs/>
                <w:lang w:val="en-AU"/>
              </w:rPr>
            </w:pPr>
            <w:r w:rsidRPr="00742DED">
              <w:rPr>
                <w:b/>
                <w:bCs/>
                <w:lang w:val="en-AU"/>
              </w:rPr>
              <w:t>Placebo</w:t>
            </w:r>
          </w:p>
          <w:p w14:paraId="0E2B9488" w14:textId="77777777" w:rsidR="009E656D" w:rsidRDefault="009E656D" w:rsidP="00543400">
            <w:pPr>
              <w:jc w:val="center"/>
              <w:rPr>
                <w:lang w:val="en-AU"/>
              </w:rPr>
            </w:pPr>
            <w:r>
              <w:rPr>
                <w:lang w:val="en-AU"/>
              </w:rPr>
              <w:t>n = 687</w:t>
            </w:r>
          </w:p>
          <w:p w14:paraId="38EDDE5A" w14:textId="77777777" w:rsidR="009E656D" w:rsidRDefault="009E656D" w:rsidP="00543400">
            <w:pPr>
              <w:jc w:val="center"/>
              <w:rPr>
                <w:lang w:val="en-AU"/>
              </w:rPr>
            </w:pPr>
            <w:r>
              <w:rPr>
                <w:lang w:val="en-AU"/>
              </w:rPr>
              <w:t>n (%)</w:t>
            </w:r>
          </w:p>
        </w:tc>
        <w:tc>
          <w:tcPr>
            <w:tcW w:w="1687" w:type="dxa"/>
            <w:vAlign w:val="center"/>
          </w:tcPr>
          <w:p w14:paraId="1877FE56" w14:textId="77777777" w:rsidR="009E656D" w:rsidRPr="00742DED" w:rsidRDefault="009E656D" w:rsidP="00543400">
            <w:pPr>
              <w:jc w:val="center"/>
              <w:rPr>
                <w:b/>
                <w:bCs/>
                <w:lang w:val="en-AU"/>
              </w:rPr>
            </w:pPr>
            <w:r w:rsidRPr="00742DED">
              <w:rPr>
                <w:b/>
                <w:bCs/>
                <w:lang w:val="en-AU"/>
              </w:rPr>
              <w:t>ELADYNOS</w:t>
            </w:r>
          </w:p>
          <w:p w14:paraId="4E64E256" w14:textId="77777777" w:rsidR="009E656D" w:rsidRDefault="009E656D" w:rsidP="00543400">
            <w:pPr>
              <w:jc w:val="center"/>
              <w:rPr>
                <w:lang w:val="en-AU"/>
              </w:rPr>
            </w:pPr>
            <w:r>
              <w:rPr>
                <w:lang w:val="en-AU"/>
              </w:rPr>
              <w:t>n = 694</w:t>
            </w:r>
          </w:p>
          <w:p w14:paraId="0F4BE6D2" w14:textId="77777777" w:rsidR="009E656D" w:rsidRDefault="009E656D" w:rsidP="00543400">
            <w:pPr>
              <w:jc w:val="center"/>
              <w:rPr>
                <w:lang w:val="en-AU"/>
              </w:rPr>
            </w:pPr>
            <w:r>
              <w:rPr>
                <w:lang w:val="en-AU"/>
              </w:rPr>
              <w:t>n (%)</w:t>
            </w:r>
          </w:p>
        </w:tc>
      </w:tr>
      <w:tr w:rsidR="009E656D" w14:paraId="0FF4CBB1" w14:textId="77777777" w:rsidTr="00D16F96">
        <w:trPr>
          <w:trHeight w:val="340"/>
        </w:trPr>
        <w:tc>
          <w:tcPr>
            <w:tcW w:w="6538" w:type="dxa"/>
            <w:vAlign w:val="center"/>
          </w:tcPr>
          <w:p w14:paraId="2D98CA67" w14:textId="77777777" w:rsidR="009E656D" w:rsidRPr="009E656D" w:rsidRDefault="009E656D" w:rsidP="00543400">
            <w:pPr>
              <w:rPr>
                <w:b/>
                <w:bCs/>
                <w:lang w:val="en-AU"/>
              </w:rPr>
            </w:pPr>
            <w:r w:rsidRPr="009E656D">
              <w:rPr>
                <w:b/>
                <w:bCs/>
                <w:lang w:val="en-AU"/>
              </w:rPr>
              <w:t>Blood and lymphatic system disorders</w:t>
            </w:r>
          </w:p>
        </w:tc>
        <w:tc>
          <w:tcPr>
            <w:tcW w:w="1686" w:type="dxa"/>
            <w:vAlign w:val="center"/>
          </w:tcPr>
          <w:p w14:paraId="5999A1AA" w14:textId="77777777" w:rsidR="009E656D" w:rsidRDefault="009E656D" w:rsidP="00543400">
            <w:pPr>
              <w:jc w:val="center"/>
              <w:rPr>
                <w:lang w:val="en-AU"/>
              </w:rPr>
            </w:pPr>
          </w:p>
        </w:tc>
        <w:tc>
          <w:tcPr>
            <w:tcW w:w="1687" w:type="dxa"/>
            <w:vAlign w:val="center"/>
          </w:tcPr>
          <w:p w14:paraId="75DBE533" w14:textId="77777777" w:rsidR="009E656D" w:rsidRDefault="009E656D" w:rsidP="00543400">
            <w:pPr>
              <w:jc w:val="center"/>
              <w:rPr>
                <w:lang w:val="en-AU"/>
              </w:rPr>
            </w:pPr>
          </w:p>
        </w:tc>
      </w:tr>
      <w:tr w:rsidR="009E656D" w14:paraId="51309E1F" w14:textId="77777777" w:rsidTr="00D16F96">
        <w:trPr>
          <w:trHeight w:val="340"/>
        </w:trPr>
        <w:tc>
          <w:tcPr>
            <w:tcW w:w="6538" w:type="dxa"/>
            <w:vAlign w:val="center"/>
          </w:tcPr>
          <w:p w14:paraId="3D370A03" w14:textId="77777777" w:rsidR="009E656D" w:rsidRDefault="009E656D" w:rsidP="00543400">
            <w:pPr>
              <w:ind w:left="186"/>
              <w:rPr>
                <w:lang w:val="en-AU"/>
              </w:rPr>
            </w:pPr>
            <w:r>
              <w:rPr>
                <w:lang w:val="en-AU"/>
              </w:rPr>
              <w:t>Anaemia</w:t>
            </w:r>
          </w:p>
        </w:tc>
        <w:tc>
          <w:tcPr>
            <w:tcW w:w="1686" w:type="dxa"/>
            <w:vAlign w:val="center"/>
          </w:tcPr>
          <w:p w14:paraId="0387DE39" w14:textId="77777777" w:rsidR="009E656D" w:rsidRDefault="009E656D" w:rsidP="00543400">
            <w:pPr>
              <w:jc w:val="center"/>
              <w:rPr>
                <w:lang w:val="en-AU"/>
              </w:rPr>
            </w:pPr>
            <w:r>
              <w:rPr>
                <w:lang w:val="en-AU"/>
              </w:rPr>
              <w:t>12 (1.7)</w:t>
            </w:r>
          </w:p>
        </w:tc>
        <w:tc>
          <w:tcPr>
            <w:tcW w:w="1687" w:type="dxa"/>
            <w:vAlign w:val="center"/>
          </w:tcPr>
          <w:p w14:paraId="0E64EEFA" w14:textId="77777777" w:rsidR="009E656D" w:rsidRDefault="009E656D" w:rsidP="00543400">
            <w:pPr>
              <w:jc w:val="center"/>
              <w:rPr>
                <w:lang w:val="en-AU"/>
              </w:rPr>
            </w:pPr>
            <w:r>
              <w:rPr>
                <w:lang w:val="en-AU"/>
              </w:rPr>
              <w:t>21 (3.0)</w:t>
            </w:r>
          </w:p>
        </w:tc>
      </w:tr>
      <w:tr w:rsidR="009E656D" w14:paraId="08CD5B0C" w14:textId="77777777" w:rsidTr="00D16F96">
        <w:trPr>
          <w:trHeight w:val="340"/>
        </w:trPr>
        <w:tc>
          <w:tcPr>
            <w:tcW w:w="6538" w:type="dxa"/>
            <w:vAlign w:val="center"/>
          </w:tcPr>
          <w:p w14:paraId="512EF908" w14:textId="77777777" w:rsidR="009E656D" w:rsidRPr="009E656D" w:rsidRDefault="009E656D" w:rsidP="00543400">
            <w:pPr>
              <w:rPr>
                <w:b/>
                <w:bCs/>
                <w:lang w:val="en-AU"/>
              </w:rPr>
            </w:pPr>
            <w:r w:rsidRPr="009E656D">
              <w:rPr>
                <w:b/>
                <w:bCs/>
                <w:lang w:val="en-AU"/>
              </w:rPr>
              <w:t>Cardiac disorders</w:t>
            </w:r>
          </w:p>
        </w:tc>
        <w:tc>
          <w:tcPr>
            <w:tcW w:w="1686" w:type="dxa"/>
            <w:vAlign w:val="center"/>
          </w:tcPr>
          <w:p w14:paraId="121485B8" w14:textId="77777777" w:rsidR="009E656D" w:rsidRDefault="009E656D" w:rsidP="00543400">
            <w:pPr>
              <w:jc w:val="center"/>
              <w:rPr>
                <w:lang w:val="en-AU"/>
              </w:rPr>
            </w:pPr>
          </w:p>
        </w:tc>
        <w:tc>
          <w:tcPr>
            <w:tcW w:w="1687" w:type="dxa"/>
            <w:vAlign w:val="center"/>
          </w:tcPr>
          <w:p w14:paraId="385AA735" w14:textId="77777777" w:rsidR="009E656D" w:rsidRDefault="009E656D" w:rsidP="00543400">
            <w:pPr>
              <w:jc w:val="center"/>
              <w:rPr>
                <w:lang w:val="en-AU"/>
              </w:rPr>
            </w:pPr>
          </w:p>
        </w:tc>
      </w:tr>
      <w:tr w:rsidR="009E656D" w14:paraId="30C5AC16" w14:textId="77777777" w:rsidTr="00D16F96">
        <w:trPr>
          <w:trHeight w:val="340"/>
        </w:trPr>
        <w:tc>
          <w:tcPr>
            <w:tcW w:w="6538" w:type="dxa"/>
            <w:vAlign w:val="center"/>
          </w:tcPr>
          <w:p w14:paraId="492A9714" w14:textId="77777777" w:rsidR="009E656D" w:rsidRDefault="009E656D" w:rsidP="00543400">
            <w:pPr>
              <w:ind w:left="186"/>
              <w:rPr>
                <w:lang w:val="en-AU"/>
              </w:rPr>
            </w:pPr>
            <w:r>
              <w:rPr>
                <w:lang w:val="en-AU"/>
              </w:rPr>
              <w:t>Palpitations</w:t>
            </w:r>
          </w:p>
        </w:tc>
        <w:tc>
          <w:tcPr>
            <w:tcW w:w="1686" w:type="dxa"/>
            <w:vAlign w:val="center"/>
          </w:tcPr>
          <w:p w14:paraId="01F2AB31" w14:textId="77777777" w:rsidR="009E656D" w:rsidRDefault="009E656D" w:rsidP="00543400">
            <w:pPr>
              <w:jc w:val="center"/>
              <w:rPr>
                <w:lang w:val="en-AU"/>
              </w:rPr>
            </w:pPr>
            <w:r>
              <w:rPr>
                <w:lang w:val="en-AU"/>
              </w:rPr>
              <w:t>3 (0.4)</w:t>
            </w:r>
          </w:p>
        </w:tc>
        <w:tc>
          <w:tcPr>
            <w:tcW w:w="1687" w:type="dxa"/>
            <w:vAlign w:val="center"/>
          </w:tcPr>
          <w:p w14:paraId="559E30DF" w14:textId="77777777" w:rsidR="009E656D" w:rsidRDefault="009E656D" w:rsidP="00543400">
            <w:pPr>
              <w:jc w:val="center"/>
              <w:rPr>
                <w:lang w:val="en-AU"/>
              </w:rPr>
            </w:pPr>
            <w:r>
              <w:rPr>
                <w:lang w:val="en-AU"/>
              </w:rPr>
              <w:t>39 (5.6)</w:t>
            </w:r>
          </w:p>
        </w:tc>
      </w:tr>
      <w:tr w:rsidR="009E656D" w14:paraId="62C26AC0" w14:textId="77777777" w:rsidTr="00D16F96">
        <w:trPr>
          <w:trHeight w:val="340"/>
        </w:trPr>
        <w:tc>
          <w:tcPr>
            <w:tcW w:w="6538" w:type="dxa"/>
            <w:vAlign w:val="center"/>
          </w:tcPr>
          <w:p w14:paraId="2A67A701" w14:textId="77777777" w:rsidR="009E656D" w:rsidRPr="009E656D" w:rsidRDefault="009E656D" w:rsidP="00543400">
            <w:pPr>
              <w:rPr>
                <w:b/>
                <w:bCs/>
                <w:lang w:val="en-AU"/>
              </w:rPr>
            </w:pPr>
            <w:r w:rsidRPr="009E656D">
              <w:rPr>
                <w:b/>
                <w:bCs/>
                <w:lang w:val="en-AU"/>
              </w:rPr>
              <w:t>Ear and labyrinth disorders</w:t>
            </w:r>
          </w:p>
        </w:tc>
        <w:tc>
          <w:tcPr>
            <w:tcW w:w="1686" w:type="dxa"/>
            <w:vAlign w:val="center"/>
          </w:tcPr>
          <w:p w14:paraId="657E9120" w14:textId="77777777" w:rsidR="009E656D" w:rsidRDefault="009E656D" w:rsidP="00543400">
            <w:pPr>
              <w:jc w:val="center"/>
              <w:rPr>
                <w:lang w:val="en-AU"/>
              </w:rPr>
            </w:pPr>
          </w:p>
        </w:tc>
        <w:tc>
          <w:tcPr>
            <w:tcW w:w="1687" w:type="dxa"/>
            <w:vAlign w:val="center"/>
          </w:tcPr>
          <w:p w14:paraId="43926891" w14:textId="77777777" w:rsidR="009E656D" w:rsidRDefault="009E656D" w:rsidP="00543400">
            <w:pPr>
              <w:jc w:val="center"/>
              <w:rPr>
                <w:lang w:val="en-AU"/>
              </w:rPr>
            </w:pPr>
          </w:p>
        </w:tc>
      </w:tr>
      <w:tr w:rsidR="009E656D" w14:paraId="121ACA93" w14:textId="77777777" w:rsidTr="00D16F96">
        <w:trPr>
          <w:trHeight w:val="340"/>
        </w:trPr>
        <w:tc>
          <w:tcPr>
            <w:tcW w:w="6538" w:type="dxa"/>
            <w:vAlign w:val="center"/>
          </w:tcPr>
          <w:p w14:paraId="57862D0D" w14:textId="77777777" w:rsidR="009E656D" w:rsidRDefault="009E656D" w:rsidP="00543400">
            <w:pPr>
              <w:ind w:left="186"/>
              <w:rPr>
                <w:lang w:val="en-AU"/>
              </w:rPr>
            </w:pPr>
            <w:r>
              <w:rPr>
                <w:lang w:val="en-AU"/>
              </w:rPr>
              <w:t>Vertigo</w:t>
            </w:r>
          </w:p>
        </w:tc>
        <w:tc>
          <w:tcPr>
            <w:tcW w:w="1686" w:type="dxa"/>
            <w:vAlign w:val="center"/>
          </w:tcPr>
          <w:p w14:paraId="517B3BBD" w14:textId="77777777" w:rsidR="009E656D" w:rsidRDefault="009E656D" w:rsidP="00543400">
            <w:pPr>
              <w:jc w:val="center"/>
              <w:rPr>
                <w:lang w:val="en-AU"/>
              </w:rPr>
            </w:pPr>
            <w:r>
              <w:rPr>
                <w:lang w:val="en-AU"/>
              </w:rPr>
              <w:t>9 (1.3)</w:t>
            </w:r>
          </w:p>
        </w:tc>
        <w:tc>
          <w:tcPr>
            <w:tcW w:w="1687" w:type="dxa"/>
            <w:vAlign w:val="center"/>
          </w:tcPr>
          <w:p w14:paraId="7FAFB0B3" w14:textId="77777777" w:rsidR="009E656D" w:rsidRDefault="009E656D" w:rsidP="00543400">
            <w:pPr>
              <w:jc w:val="center"/>
              <w:rPr>
                <w:lang w:val="en-AU"/>
              </w:rPr>
            </w:pPr>
            <w:r>
              <w:rPr>
                <w:lang w:val="en-AU"/>
              </w:rPr>
              <w:t>14 (2.0)</w:t>
            </w:r>
          </w:p>
        </w:tc>
      </w:tr>
      <w:tr w:rsidR="009E656D" w14:paraId="4679313B" w14:textId="77777777" w:rsidTr="00D16F96">
        <w:trPr>
          <w:trHeight w:val="340"/>
        </w:trPr>
        <w:tc>
          <w:tcPr>
            <w:tcW w:w="6538" w:type="dxa"/>
            <w:vAlign w:val="center"/>
          </w:tcPr>
          <w:p w14:paraId="28DA3382" w14:textId="77777777" w:rsidR="009E656D" w:rsidRPr="009E656D" w:rsidRDefault="009E656D" w:rsidP="00543400">
            <w:pPr>
              <w:rPr>
                <w:b/>
                <w:bCs/>
                <w:lang w:val="en-AU"/>
              </w:rPr>
            </w:pPr>
            <w:r w:rsidRPr="009E656D">
              <w:rPr>
                <w:b/>
                <w:bCs/>
                <w:lang w:val="en-AU"/>
              </w:rPr>
              <w:t>Gastrointestinal disorders</w:t>
            </w:r>
          </w:p>
        </w:tc>
        <w:tc>
          <w:tcPr>
            <w:tcW w:w="1686" w:type="dxa"/>
            <w:vAlign w:val="center"/>
          </w:tcPr>
          <w:p w14:paraId="55F6CE5A" w14:textId="77777777" w:rsidR="009E656D" w:rsidRDefault="009E656D" w:rsidP="00543400">
            <w:pPr>
              <w:jc w:val="center"/>
              <w:rPr>
                <w:lang w:val="en-AU"/>
              </w:rPr>
            </w:pPr>
          </w:p>
        </w:tc>
        <w:tc>
          <w:tcPr>
            <w:tcW w:w="1687" w:type="dxa"/>
            <w:vAlign w:val="center"/>
          </w:tcPr>
          <w:p w14:paraId="78574183" w14:textId="77777777" w:rsidR="009E656D" w:rsidRDefault="009E656D" w:rsidP="00543400">
            <w:pPr>
              <w:jc w:val="center"/>
              <w:rPr>
                <w:lang w:val="en-AU"/>
              </w:rPr>
            </w:pPr>
          </w:p>
        </w:tc>
      </w:tr>
      <w:tr w:rsidR="009E656D" w14:paraId="0F549A0D" w14:textId="77777777" w:rsidTr="00D16F96">
        <w:trPr>
          <w:trHeight w:val="340"/>
        </w:trPr>
        <w:tc>
          <w:tcPr>
            <w:tcW w:w="6538" w:type="dxa"/>
            <w:vAlign w:val="center"/>
          </w:tcPr>
          <w:p w14:paraId="32627AFA" w14:textId="77777777" w:rsidR="009E656D" w:rsidRDefault="009E656D" w:rsidP="00543400">
            <w:pPr>
              <w:ind w:left="186"/>
              <w:rPr>
                <w:lang w:val="en-AU"/>
              </w:rPr>
            </w:pPr>
            <w:r>
              <w:rPr>
                <w:lang w:val="en-AU"/>
              </w:rPr>
              <w:t>Nausea</w:t>
            </w:r>
          </w:p>
        </w:tc>
        <w:tc>
          <w:tcPr>
            <w:tcW w:w="1686" w:type="dxa"/>
            <w:vAlign w:val="center"/>
          </w:tcPr>
          <w:p w14:paraId="07149ACC" w14:textId="77777777" w:rsidR="009E656D" w:rsidRDefault="009E656D" w:rsidP="00543400">
            <w:pPr>
              <w:jc w:val="center"/>
              <w:rPr>
                <w:lang w:val="en-AU"/>
              </w:rPr>
            </w:pPr>
            <w:r>
              <w:rPr>
                <w:lang w:val="en-AU"/>
              </w:rPr>
              <w:t>21 (3.1)</w:t>
            </w:r>
          </w:p>
        </w:tc>
        <w:tc>
          <w:tcPr>
            <w:tcW w:w="1687" w:type="dxa"/>
            <w:vAlign w:val="center"/>
          </w:tcPr>
          <w:p w14:paraId="3C832CA5" w14:textId="77777777" w:rsidR="009E656D" w:rsidRDefault="009E656D" w:rsidP="00543400">
            <w:pPr>
              <w:jc w:val="center"/>
              <w:rPr>
                <w:lang w:val="en-AU"/>
              </w:rPr>
            </w:pPr>
            <w:r>
              <w:rPr>
                <w:lang w:val="en-AU"/>
              </w:rPr>
              <w:t>59 (8.5)</w:t>
            </w:r>
          </w:p>
        </w:tc>
      </w:tr>
      <w:tr w:rsidR="009E656D" w14:paraId="534A6A9B" w14:textId="77777777" w:rsidTr="00D16F96">
        <w:trPr>
          <w:trHeight w:val="340"/>
        </w:trPr>
        <w:tc>
          <w:tcPr>
            <w:tcW w:w="6538" w:type="dxa"/>
            <w:vAlign w:val="center"/>
          </w:tcPr>
          <w:p w14:paraId="3BA68B9C" w14:textId="77777777" w:rsidR="009E656D" w:rsidRDefault="009E656D" w:rsidP="00543400">
            <w:pPr>
              <w:ind w:left="186"/>
              <w:rPr>
                <w:lang w:val="en-AU"/>
              </w:rPr>
            </w:pPr>
            <w:r>
              <w:rPr>
                <w:lang w:val="en-AU"/>
              </w:rPr>
              <w:t>Abdominal pain upper</w:t>
            </w:r>
          </w:p>
        </w:tc>
        <w:tc>
          <w:tcPr>
            <w:tcW w:w="1686" w:type="dxa"/>
            <w:vAlign w:val="center"/>
          </w:tcPr>
          <w:p w14:paraId="7F46C3EC" w14:textId="77777777" w:rsidR="009E656D" w:rsidRDefault="009E656D" w:rsidP="00543400">
            <w:pPr>
              <w:jc w:val="center"/>
              <w:rPr>
                <w:lang w:val="en-AU"/>
              </w:rPr>
            </w:pPr>
            <w:r>
              <w:rPr>
                <w:lang w:val="en-AU"/>
              </w:rPr>
              <w:t>16 (2.3)</w:t>
            </w:r>
          </w:p>
        </w:tc>
        <w:tc>
          <w:tcPr>
            <w:tcW w:w="1687" w:type="dxa"/>
            <w:vAlign w:val="center"/>
          </w:tcPr>
          <w:p w14:paraId="58D73649" w14:textId="77777777" w:rsidR="009E656D" w:rsidRDefault="009E656D" w:rsidP="00543400">
            <w:pPr>
              <w:jc w:val="center"/>
              <w:rPr>
                <w:lang w:val="en-AU"/>
              </w:rPr>
            </w:pPr>
            <w:r>
              <w:rPr>
                <w:lang w:val="en-AU"/>
              </w:rPr>
              <w:t>7 (2.4)</w:t>
            </w:r>
          </w:p>
        </w:tc>
      </w:tr>
      <w:tr w:rsidR="009E656D" w14:paraId="3069C2E1" w14:textId="77777777" w:rsidTr="00D16F96">
        <w:trPr>
          <w:trHeight w:val="340"/>
        </w:trPr>
        <w:tc>
          <w:tcPr>
            <w:tcW w:w="6538" w:type="dxa"/>
            <w:vAlign w:val="center"/>
          </w:tcPr>
          <w:p w14:paraId="68E89F36" w14:textId="77777777" w:rsidR="009E656D" w:rsidRDefault="009E656D" w:rsidP="00543400">
            <w:pPr>
              <w:ind w:left="186"/>
              <w:rPr>
                <w:lang w:val="en-AU"/>
              </w:rPr>
            </w:pPr>
            <w:r>
              <w:rPr>
                <w:lang w:val="en-AU"/>
              </w:rPr>
              <w:t>Dyspepsia</w:t>
            </w:r>
          </w:p>
        </w:tc>
        <w:tc>
          <w:tcPr>
            <w:tcW w:w="1686" w:type="dxa"/>
            <w:vAlign w:val="center"/>
          </w:tcPr>
          <w:p w14:paraId="3F30D1D4" w14:textId="77777777" w:rsidR="009E656D" w:rsidRDefault="009E656D" w:rsidP="00543400">
            <w:pPr>
              <w:jc w:val="center"/>
              <w:rPr>
                <w:lang w:val="en-AU"/>
              </w:rPr>
            </w:pPr>
            <w:r>
              <w:rPr>
                <w:lang w:val="en-AU"/>
              </w:rPr>
              <w:t>12 (1.7)</w:t>
            </w:r>
          </w:p>
        </w:tc>
        <w:tc>
          <w:tcPr>
            <w:tcW w:w="1687" w:type="dxa"/>
            <w:vAlign w:val="center"/>
          </w:tcPr>
          <w:p w14:paraId="4EEE8B7B" w14:textId="77777777" w:rsidR="009E656D" w:rsidRDefault="009E656D" w:rsidP="00543400">
            <w:pPr>
              <w:jc w:val="center"/>
              <w:rPr>
                <w:lang w:val="en-AU"/>
              </w:rPr>
            </w:pPr>
            <w:r>
              <w:rPr>
                <w:lang w:val="en-AU"/>
              </w:rPr>
              <w:t>14 (2.0)</w:t>
            </w:r>
          </w:p>
        </w:tc>
      </w:tr>
      <w:tr w:rsidR="009E656D" w14:paraId="5EC2F438" w14:textId="77777777" w:rsidTr="00D16F96">
        <w:trPr>
          <w:trHeight w:val="340"/>
        </w:trPr>
        <w:tc>
          <w:tcPr>
            <w:tcW w:w="6538" w:type="dxa"/>
            <w:vAlign w:val="center"/>
          </w:tcPr>
          <w:p w14:paraId="6465F95E" w14:textId="77777777" w:rsidR="009E656D" w:rsidRPr="009E656D" w:rsidRDefault="009E656D" w:rsidP="00543400">
            <w:pPr>
              <w:rPr>
                <w:b/>
                <w:bCs/>
                <w:lang w:val="en-AU"/>
              </w:rPr>
            </w:pPr>
            <w:r w:rsidRPr="009E656D">
              <w:rPr>
                <w:b/>
                <w:bCs/>
                <w:lang w:val="en-AU"/>
              </w:rPr>
              <w:t xml:space="preserve">General disorders and administration site conditions </w:t>
            </w:r>
          </w:p>
        </w:tc>
        <w:tc>
          <w:tcPr>
            <w:tcW w:w="1686" w:type="dxa"/>
            <w:vAlign w:val="center"/>
          </w:tcPr>
          <w:p w14:paraId="371C7DDD" w14:textId="77777777" w:rsidR="009E656D" w:rsidRDefault="009E656D" w:rsidP="00543400">
            <w:pPr>
              <w:jc w:val="center"/>
              <w:rPr>
                <w:lang w:val="en-AU"/>
              </w:rPr>
            </w:pPr>
          </w:p>
        </w:tc>
        <w:tc>
          <w:tcPr>
            <w:tcW w:w="1687" w:type="dxa"/>
            <w:vAlign w:val="center"/>
          </w:tcPr>
          <w:p w14:paraId="5B1564A5" w14:textId="77777777" w:rsidR="009E656D" w:rsidRDefault="009E656D" w:rsidP="00543400">
            <w:pPr>
              <w:jc w:val="center"/>
              <w:rPr>
                <w:lang w:val="en-AU"/>
              </w:rPr>
            </w:pPr>
          </w:p>
        </w:tc>
      </w:tr>
      <w:tr w:rsidR="009E656D" w14:paraId="5203882D" w14:textId="77777777" w:rsidTr="00D16F96">
        <w:trPr>
          <w:trHeight w:val="340"/>
        </w:trPr>
        <w:tc>
          <w:tcPr>
            <w:tcW w:w="6538" w:type="dxa"/>
            <w:vAlign w:val="center"/>
          </w:tcPr>
          <w:p w14:paraId="781FDFDB" w14:textId="77777777" w:rsidR="009E656D" w:rsidRDefault="009E656D" w:rsidP="00543400">
            <w:pPr>
              <w:ind w:left="186"/>
              <w:rPr>
                <w:lang w:val="en-AU"/>
              </w:rPr>
            </w:pPr>
            <w:r>
              <w:rPr>
                <w:lang w:val="en-AU"/>
              </w:rPr>
              <w:t>Fatigue</w:t>
            </w:r>
          </w:p>
        </w:tc>
        <w:tc>
          <w:tcPr>
            <w:tcW w:w="1686" w:type="dxa"/>
            <w:vAlign w:val="center"/>
          </w:tcPr>
          <w:p w14:paraId="79DBDAC1" w14:textId="77777777" w:rsidR="009E656D" w:rsidRDefault="009E656D" w:rsidP="00543400">
            <w:pPr>
              <w:jc w:val="center"/>
              <w:rPr>
                <w:lang w:val="en-AU"/>
              </w:rPr>
            </w:pPr>
            <w:r>
              <w:rPr>
                <w:lang w:val="en-AU"/>
              </w:rPr>
              <w:t>9 (1.3)</w:t>
            </w:r>
          </w:p>
        </w:tc>
        <w:tc>
          <w:tcPr>
            <w:tcW w:w="1687" w:type="dxa"/>
            <w:vAlign w:val="center"/>
          </w:tcPr>
          <w:p w14:paraId="0264043F" w14:textId="77777777" w:rsidR="009E656D" w:rsidRDefault="009E656D" w:rsidP="00543400">
            <w:pPr>
              <w:jc w:val="center"/>
              <w:rPr>
                <w:lang w:val="en-AU"/>
              </w:rPr>
            </w:pPr>
            <w:r>
              <w:rPr>
                <w:lang w:val="en-AU"/>
              </w:rPr>
              <w:t>18 (2.6)</w:t>
            </w:r>
          </w:p>
        </w:tc>
      </w:tr>
      <w:tr w:rsidR="009E656D" w14:paraId="206C625B" w14:textId="77777777" w:rsidTr="00D16F96">
        <w:trPr>
          <w:trHeight w:val="340"/>
        </w:trPr>
        <w:tc>
          <w:tcPr>
            <w:tcW w:w="6538" w:type="dxa"/>
            <w:vAlign w:val="center"/>
          </w:tcPr>
          <w:p w14:paraId="6C8C1564" w14:textId="77777777" w:rsidR="009E656D" w:rsidRDefault="009E656D" w:rsidP="00543400">
            <w:pPr>
              <w:ind w:left="186"/>
              <w:rPr>
                <w:lang w:val="en-AU"/>
              </w:rPr>
            </w:pPr>
            <w:r>
              <w:rPr>
                <w:lang w:val="en-AU"/>
              </w:rPr>
              <w:t>Injection site erythema</w:t>
            </w:r>
          </w:p>
        </w:tc>
        <w:tc>
          <w:tcPr>
            <w:tcW w:w="1686" w:type="dxa"/>
            <w:vAlign w:val="center"/>
          </w:tcPr>
          <w:p w14:paraId="551D9583" w14:textId="77777777" w:rsidR="009E656D" w:rsidRDefault="009E656D" w:rsidP="00543400">
            <w:pPr>
              <w:jc w:val="center"/>
              <w:rPr>
                <w:lang w:val="en-AU"/>
              </w:rPr>
            </w:pPr>
            <w:r>
              <w:rPr>
                <w:lang w:val="en-AU"/>
              </w:rPr>
              <w:t>13 (1.9)</w:t>
            </w:r>
          </w:p>
        </w:tc>
        <w:tc>
          <w:tcPr>
            <w:tcW w:w="1687" w:type="dxa"/>
            <w:vAlign w:val="center"/>
          </w:tcPr>
          <w:p w14:paraId="6AFDA9EA" w14:textId="77777777" w:rsidR="009E656D" w:rsidRDefault="009E656D" w:rsidP="00543400">
            <w:pPr>
              <w:jc w:val="center"/>
              <w:rPr>
                <w:lang w:val="en-AU"/>
              </w:rPr>
            </w:pPr>
            <w:r>
              <w:rPr>
                <w:lang w:val="en-AU"/>
              </w:rPr>
              <w:t>14 (2.0)</w:t>
            </w:r>
          </w:p>
        </w:tc>
      </w:tr>
      <w:tr w:rsidR="009E656D" w14:paraId="584FFA38" w14:textId="77777777" w:rsidTr="00D16F96">
        <w:trPr>
          <w:trHeight w:val="340"/>
        </w:trPr>
        <w:tc>
          <w:tcPr>
            <w:tcW w:w="6538" w:type="dxa"/>
            <w:vAlign w:val="center"/>
          </w:tcPr>
          <w:p w14:paraId="790609B5" w14:textId="77777777" w:rsidR="009E656D" w:rsidRPr="009E656D" w:rsidRDefault="009E656D" w:rsidP="00543400">
            <w:pPr>
              <w:rPr>
                <w:b/>
                <w:bCs/>
                <w:lang w:val="en-AU"/>
              </w:rPr>
            </w:pPr>
            <w:r w:rsidRPr="009E656D">
              <w:rPr>
                <w:b/>
                <w:bCs/>
                <w:lang w:val="en-AU"/>
              </w:rPr>
              <w:t xml:space="preserve">Infections and infestations </w:t>
            </w:r>
          </w:p>
        </w:tc>
        <w:tc>
          <w:tcPr>
            <w:tcW w:w="1686" w:type="dxa"/>
            <w:vAlign w:val="center"/>
          </w:tcPr>
          <w:p w14:paraId="77AF5DFC" w14:textId="77777777" w:rsidR="009E656D" w:rsidRDefault="009E656D" w:rsidP="00543400">
            <w:pPr>
              <w:jc w:val="center"/>
              <w:rPr>
                <w:lang w:val="en-AU"/>
              </w:rPr>
            </w:pPr>
          </w:p>
        </w:tc>
        <w:tc>
          <w:tcPr>
            <w:tcW w:w="1687" w:type="dxa"/>
            <w:vAlign w:val="center"/>
          </w:tcPr>
          <w:p w14:paraId="1DB588DB" w14:textId="77777777" w:rsidR="009E656D" w:rsidRDefault="009E656D" w:rsidP="00543400">
            <w:pPr>
              <w:jc w:val="center"/>
              <w:rPr>
                <w:lang w:val="en-AU"/>
              </w:rPr>
            </w:pPr>
          </w:p>
        </w:tc>
      </w:tr>
      <w:tr w:rsidR="009E656D" w14:paraId="6E2782FC" w14:textId="77777777" w:rsidTr="00D16F96">
        <w:trPr>
          <w:trHeight w:val="340"/>
        </w:trPr>
        <w:tc>
          <w:tcPr>
            <w:tcW w:w="6538" w:type="dxa"/>
            <w:vAlign w:val="center"/>
          </w:tcPr>
          <w:p w14:paraId="0F3F2D2F" w14:textId="77777777" w:rsidR="009E656D" w:rsidRDefault="009E656D" w:rsidP="00543400">
            <w:pPr>
              <w:ind w:left="186"/>
              <w:rPr>
                <w:lang w:val="en-AU"/>
              </w:rPr>
            </w:pPr>
            <w:r>
              <w:rPr>
                <w:lang w:val="en-AU"/>
              </w:rPr>
              <w:t>Upper respiratory tract infection</w:t>
            </w:r>
          </w:p>
        </w:tc>
        <w:tc>
          <w:tcPr>
            <w:tcW w:w="1686" w:type="dxa"/>
            <w:vAlign w:val="center"/>
          </w:tcPr>
          <w:p w14:paraId="05B51AB3" w14:textId="77777777" w:rsidR="009E656D" w:rsidRDefault="009E656D" w:rsidP="00543400">
            <w:pPr>
              <w:jc w:val="center"/>
              <w:rPr>
                <w:lang w:val="en-AU"/>
              </w:rPr>
            </w:pPr>
            <w:r>
              <w:rPr>
                <w:lang w:val="en-AU"/>
              </w:rPr>
              <w:t>61 (8.9)</w:t>
            </w:r>
          </w:p>
        </w:tc>
        <w:tc>
          <w:tcPr>
            <w:tcW w:w="1687" w:type="dxa"/>
            <w:vAlign w:val="center"/>
          </w:tcPr>
          <w:p w14:paraId="0FCE0877" w14:textId="77777777" w:rsidR="009E656D" w:rsidRDefault="009E656D" w:rsidP="00543400">
            <w:pPr>
              <w:jc w:val="center"/>
              <w:rPr>
                <w:lang w:val="en-AU"/>
              </w:rPr>
            </w:pPr>
            <w:r>
              <w:rPr>
                <w:lang w:val="en-AU"/>
              </w:rPr>
              <w:t>65 (9.4)</w:t>
            </w:r>
          </w:p>
        </w:tc>
      </w:tr>
      <w:tr w:rsidR="009E656D" w14:paraId="03DD1F29" w14:textId="77777777" w:rsidTr="00D16F96">
        <w:trPr>
          <w:trHeight w:val="340"/>
        </w:trPr>
        <w:tc>
          <w:tcPr>
            <w:tcW w:w="6538" w:type="dxa"/>
            <w:vAlign w:val="center"/>
          </w:tcPr>
          <w:p w14:paraId="7CD901DE" w14:textId="77777777" w:rsidR="009E656D" w:rsidRDefault="009E656D" w:rsidP="00543400">
            <w:pPr>
              <w:ind w:left="186"/>
              <w:rPr>
                <w:lang w:val="en-AU"/>
              </w:rPr>
            </w:pPr>
            <w:r>
              <w:rPr>
                <w:lang w:val="en-AU"/>
              </w:rPr>
              <w:t>Influenza</w:t>
            </w:r>
          </w:p>
        </w:tc>
        <w:tc>
          <w:tcPr>
            <w:tcW w:w="1686" w:type="dxa"/>
            <w:vAlign w:val="center"/>
          </w:tcPr>
          <w:p w14:paraId="2C299976" w14:textId="77777777" w:rsidR="009E656D" w:rsidRDefault="009E656D" w:rsidP="00543400">
            <w:pPr>
              <w:jc w:val="center"/>
              <w:rPr>
                <w:lang w:val="en-AU"/>
              </w:rPr>
            </w:pPr>
            <w:r>
              <w:rPr>
                <w:lang w:val="en-AU"/>
              </w:rPr>
              <w:t>21 (3.1)</w:t>
            </w:r>
          </w:p>
        </w:tc>
        <w:tc>
          <w:tcPr>
            <w:tcW w:w="1687" w:type="dxa"/>
            <w:vAlign w:val="center"/>
          </w:tcPr>
          <w:p w14:paraId="52F1086D" w14:textId="77777777" w:rsidR="009E656D" w:rsidRDefault="009E656D" w:rsidP="00543400">
            <w:pPr>
              <w:jc w:val="center"/>
              <w:rPr>
                <w:lang w:val="en-AU"/>
              </w:rPr>
            </w:pPr>
            <w:r>
              <w:rPr>
                <w:lang w:val="en-AU"/>
              </w:rPr>
              <w:t>43 (6.2)</w:t>
            </w:r>
          </w:p>
        </w:tc>
      </w:tr>
      <w:tr w:rsidR="009E656D" w14:paraId="0CF92825" w14:textId="77777777" w:rsidTr="00D16F96">
        <w:trPr>
          <w:trHeight w:val="340"/>
        </w:trPr>
        <w:tc>
          <w:tcPr>
            <w:tcW w:w="6538" w:type="dxa"/>
            <w:vAlign w:val="center"/>
          </w:tcPr>
          <w:p w14:paraId="5501080A" w14:textId="77777777" w:rsidR="009E656D" w:rsidRDefault="009E656D" w:rsidP="00543400">
            <w:pPr>
              <w:ind w:left="186"/>
              <w:rPr>
                <w:lang w:val="en-AU"/>
              </w:rPr>
            </w:pPr>
            <w:r>
              <w:rPr>
                <w:lang w:val="en-AU"/>
              </w:rPr>
              <w:t>Urinary tract infection</w:t>
            </w:r>
          </w:p>
        </w:tc>
        <w:tc>
          <w:tcPr>
            <w:tcW w:w="1686" w:type="dxa"/>
            <w:vAlign w:val="center"/>
          </w:tcPr>
          <w:p w14:paraId="239E3E8D" w14:textId="77777777" w:rsidR="009E656D" w:rsidRDefault="009E656D" w:rsidP="00543400">
            <w:pPr>
              <w:jc w:val="center"/>
              <w:rPr>
                <w:lang w:val="en-AU"/>
              </w:rPr>
            </w:pPr>
            <w:r>
              <w:rPr>
                <w:lang w:val="en-AU"/>
              </w:rPr>
              <w:t>36 (5.2)</w:t>
            </w:r>
          </w:p>
        </w:tc>
        <w:tc>
          <w:tcPr>
            <w:tcW w:w="1687" w:type="dxa"/>
            <w:vAlign w:val="center"/>
          </w:tcPr>
          <w:p w14:paraId="08D275AD" w14:textId="77777777" w:rsidR="009E656D" w:rsidRDefault="009E656D" w:rsidP="00543400">
            <w:pPr>
              <w:jc w:val="center"/>
              <w:rPr>
                <w:lang w:val="en-AU"/>
              </w:rPr>
            </w:pPr>
            <w:r>
              <w:rPr>
                <w:lang w:val="en-AU"/>
              </w:rPr>
              <w:t>37 (5.3)</w:t>
            </w:r>
          </w:p>
        </w:tc>
      </w:tr>
      <w:tr w:rsidR="009E656D" w14:paraId="6B2D7709" w14:textId="77777777" w:rsidTr="00D16F96">
        <w:trPr>
          <w:trHeight w:val="340"/>
        </w:trPr>
        <w:tc>
          <w:tcPr>
            <w:tcW w:w="6538" w:type="dxa"/>
            <w:vAlign w:val="center"/>
          </w:tcPr>
          <w:p w14:paraId="4D85D30E" w14:textId="77777777" w:rsidR="009E656D" w:rsidRDefault="009E656D" w:rsidP="00543400">
            <w:pPr>
              <w:ind w:left="186"/>
              <w:rPr>
                <w:lang w:val="en-AU"/>
              </w:rPr>
            </w:pPr>
            <w:r>
              <w:rPr>
                <w:lang w:val="en-AU"/>
              </w:rPr>
              <w:t>Cystitis</w:t>
            </w:r>
          </w:p>
        </w:tc>
        <w:tc>
          <w:tcPr>
            <w:tcW w:w="1686" w:type="dxa"/>
            <w:vAlign w:val="center"/>
          </w:tcPr>
          <w:p w14:paraId="21FEA218" w14:textId="77777777" w:rsidR="009E656D" w:rsidRDefault="009E656D" w:rsidP="00543400">
            <w:pPr>
              <w:jc w:val="center"/>
              <w:rPr>
                <w:lang w:val="en-AU"/>
              </w:rPr>
            </w:pPr>
            <w:r>
              <w:rPr>
                <w:lang w:val="en-AU"/>
              </w:rPr>
              <w:t>20 (2.9)</w:t>
            </w:r>
          </w:p>
        </w:tc>
        <w:tc>
          <w:tcPr>
            <w:tcW w:w="1687" w:type="dxa"/>
            <w:vAlign w:val="center"/>
          </w:tcPr>
          <w:p w14:paraId="409D3CAC" w14:textId="77777777" w:rsidR="009E656D" w:rsidRDefault="009E656D" w:rsidP="00543400">
            <w:pPr>
              <w:jc w:val="center"/>
              <w:rPr>
                <w:lang w:val="en-AU"/>
              </w:rPr>
            </w:pPr>
            <w:r>
              <w:rPr>
                <w:lang w:val="en-AU"/>
              </w:rPr>
              <w:t>23 (3.3)</w:t>
            </w:r>
          </w:p>
        </w:tc>
      </w:tr>
      <w:tr w:rsidR="009E656D" w14:paraId="04FDDB1F" w14:textId="77777777" w:rsidTr="00D16F96">
        <w:trPr>
          <w:trHeight w:val="340"/>
        </w:trPr>
        <w:tc>
          <w:tcPr>
            <w:tcW w:w="6538" w:type="dxa"/>
            <w:vAlign w:val="center"/>
          </w:tcPr>
          <w:p w14:paraId="4A3C8B55" w14:textId="77777777" w:rsidR="009E656D" w:rsidRPr="009E656D" w:rsidRDefault="009E656D" w:rsidP="00543400">
            <w:pPr>
              <w:rPr>
                <w:b/>
                <w:bCs/>
                <w:lang w:val="en-AU"/>
              </w:rPr>
            </w:pPr>
            <w:r w:rsidRPr="009E656D">
              <w:rPr>
                <w:b/>
                <w:bCs/>
                <w:lang w:val="en-AU"/>
              </w:rPr>
              <w:t xml:space="preserve">Injury, poisoning and procedural complications </w:t>
            </w:r>
          </w:p>
        </w:tc>
        <w:tc>
          <w:tcPr>
            <w:tcW w:w="1686" w:type="dxa"/>
            <w:vAlign w:val="center"/>
          </w:tcPr>
          <w:p w14:paraId="0FBA077C" w14:textId="77777777" w:rsidR="009E656D" w:rsidRDefault="009E656D" w:rsidP="00543400">
            <w:pPr>
              <w:jc w:val="center"/>
              <w:rPr>
                <w:lang w:val="en-AU"/>
              </w:rPr>
            </w:pPr>
          </w:p>
        </w:tc>
        <w:tc>
          <w:tcPr>
            <w:tcW w:w="1687" w:type="dxa"/>
            <w:vAlign w:val="center"/>
          </w:tcPr>
          <w:p w14:paraId="6EBDDE16" w14:textId="77777777" w:rsidR="009E656D" w:rsidRDefault="009E656D" w:rsidP="00543400">
            <w:pPr>
              <w:jc w:val="center"/>
              <w:rPr>
                <w:lang w:val="en-AU"/>
              </w:rPr>
            </w:pPr>
          </w:p>
        </w:tc>
      </w:tr>
      <w:tr w:rsidR="009E656D" w14:paraId="79225A11" w14:textId="77777777" w:rsidTr="00D16F96">
        <w:trPr>
          <w:trHeight w:val="340"/>
        </w:trPr>
        <w:tc>
          <w:tcPr>
            <w:tcW w:w="6538" w:type="dxa"/>
            <w:vAlign w:val="center"/>
          </w:tcPr>
          <w:p w14:paraId="19CBE1BF" w14:textId="77777777" w:rsidR="009E656D" w:rsidRDefault="009E656D" w:rsidP="00543400">
            <w:pPr>
              <w:ind w:left="186"/>
              <w:rPr>
                <w:lang w:val="en-AU"/>
              </w:rPr>
            </w:pPr>
            <w:r>
              <w:rPr>
                <w:lang w:val="en-AU"/>
              </w:rPr>
              <w:t>Contusion</w:t>
            </w:r>
          </w:p>
        </w:tc>
        <w:tc>
          <w:tcPr>
            <w:tcW w:w="1686" w:type="dxa"/>
            <w:vAlign w:val="center"/>
          </w:tcPr>
          <w:p w14:paraId="3DA019AE" w14:textId="77777777" w:rsidR="009E656D" w:rsidRDefault="009E656D" w:rsidP="00543400">
            <w:pPr>
              <w:jc w:val="center"/>
              <w:rPr>
                <w:lang w:val="en-AU"/>
              </w:rPr>
            </w:pPr>
            <w:r>
              <w:rPr>
                <w:lang w:val="en-AU"/>
              </w:rPr>
              <w:t>20 (2.9)</w:t>
            </w:r>
          </w:p>
        </w:tc>
        <w:tc>
          <w:tcPr>
            <w:tcW w:w="1687" w:type="dxa"/>
            <w:vAlign w:val="center"/>
          </w:tcPr>
          <w:p w14:paraId="4205F204" w14:textId="77777777" w:rsidR="009E656D" w:rsidRDefault="009E656D" w:rsidP="00543400">
            <w:pPr>
              <w:jc w:val="center"/>
              <w:rPr>
                <w:lang w:val="en-AU"/>
              </w:rPr>
            </w:pPr>
            <w:r>
              <w:rPr>
                <w:lang w:val="en-AU"/>
              </w:rPr>
              <w:t>21 (.3.0)</w:t>
            </w:r>
          </w:p>
        </w:tc>
      </w:tr>
      <w:tr w:rsidR="009E656D" w14:paraId="010DE2F5" w14:textId="77777777" w:rsidTr="00D16F96">
        <w:trPr>
          <w:trHeight w:val="340"/>
        </w:trPr>
        <w:tc>
          <w:tcPr>
            <w:tcW w:w="6538" w:type="dxa"/>
            <w:vAlign w:val="center"/>
          </w:tcPr>
          <w:p w14:paraId="35E63D7B" w14:textId="77777777" w:rsidR="009E656D" w:rsidRPr="009E656D" w:rsidRDefault="009E656D" w:rsidP="00543400">
            <w:pPr>
              <w:rPr>
                <w:b/>
                <w:bCs/>
                <w:lang w:val="en-AU"/>
              </w:rPr>
            </w:pPr>
            <w:r w:rsidRPr="009E656D">
              <w:rPr>
                <w:b/>
                <w:bCs/>
                <w:lang w:val="en-AU"/>
              </w:rPr>
              <w:t xml:space="preserve">Investigations </w:t>
            </w:r>
          </w:p>
        </w:tc>
        <w:tc>
          <w:tcPr>
            <w:tcW w:w="1686" w:type="dxa"/>
            <w:vAlign w:val="center"/>
          </w:tcPr>
          <w:p w14:paraId="5CD16289" w14:textId="77777777" w:rsidR="009E656D" w:rsidRDefault="009E656D" w:rsidP="00543400">
            <w:pPr>
              <w:jc w:val="center"/>
              <w:rPr>
                <w:lang w:val="en-AU"/>
              </w:rPr>
            </w:pPr>
          </w:p>
        </w:tc>
        <w:tc>
          <w:tcPr>
            <w:tcW w:w="1687" w:type="dxa"/>
            <w:vAlign w:val="center"/>
          </w:tcPr>
          <w:p w14:paraId="67BE0D37" w14:textId="77777777" w:rsidR="009E656D" w:rsidRDefault="009E656D" w:rsidP="00543400">
            <w:pPr>
              <w:jc w:val="center"/>
              <w:rPr>
                <w:lang w:val="en-AU"/>
              </w:rPr>
            </w:pPr>
          </w:p>
        </w:tc>
      </w:tr>
      <w:tr w:rsidR="009E656D" w14:paraId="04A51B98" w14:textId="77777777" w:rsidTr="00D16F96">
        <w:trPr>
          <w:trHeight w:val="340"/>
        </w:trPr>
        <w:tc>
          <w:tcPr>
            <w:tcW w:w="6538" w:type="dxa"/>
            <w:vAlign w:val="center"/>
          </w:tcPr>
          <w:p w14:paraId="0CC87AAB" w14:textId="77777777" w:rsidR="009E656D" w:rsidRDefault="009E656D" w:rsidP="00543400">
            <w:pPr>
              <w:ind w:left="186"/>
              <w:rPr>
                <w:lang w:val="en-AU"/>
              </w:rPr>
            </w:pPr>
            <w:r>
              <w:rPr>
                <w:lang w:val="en-AU"/>
              </w:rPr>
              <w:t>Creatinine renal clearance decreased</w:t>
            </w:r>
          </w:p>
        </w:tc>
        <w:tc>
          <w:tcPr>
            <w:tcW w:w="1686" w:type="dxa"/>
            <w:vAlign w:val="center"/>
          </w:tcPr>
          <w:p w14:paraId="0216A54D" w14:textId="77777777" w:rsidR="009E656D" w:rsidRDefault="009E656D" w:rsidP="00543400">
            <w:pPr>
              <w:jc w:val="center"/>
              <w:rPr>
                <w:lang w:val="en-AU"/>
              </w:rPr>
            </w:pPr>
            <w:r>
              <w:rPr>
                <w:lang w:val="en-AU"/>
              </w:rPr>
              <w:t>4 (0.6)</w:t>
            </w:r>
          </w:p>
        </w:tc>
        <w:tc>
          <w:tcPr>
            <w:tcW w:w="1687" w:type="dxa"/>
            <w:vAlign w:val="center"/>
          </w:tcPr>
          <w:p w14:paraId="39D03C46" w14:textId="77777777" w:rsidR="009E656D" w:rsidRDefault="009E656D" w:rsidP="00543400">
            <w:pPr>
              <w:jc w:val="center"/>
              <w:rPr>
                <w:lang w:val="en-AU"/>
              </w:rPr>
            </w:pPr>
            <w:r>
              <w:rPr>
                <w:lang w:val="en-AU"/>
              </w:rPr>
              <w:t>16 (2.3)</w:t>
            </w:r>
          </w:p>
        </w:tc>
      </w:tr>
      <w:tr w:rsidR="009E656D" w14:paraId="6AEEA801" w14:textId="77777777" w:rsidTr="00D16F96">
        <w:trPr>
          <w:trHeight w:val="340"/>
        </w:trPr>
        <w:tc>
          <w:tcPr>
            <w:tcW w:w="6538" w:type="dxa"/>
            <w:vAlign w:val="center"/>
          </w:tcPr>
          <w:p w14:paraId="4D2053F6" w14:textId="77777777" w:rsidR="009E656D" w:rsidRDefault="009E656D" w:rsidP="00543400">
            <w:pPr>
              <w:ind w:left="186"/>
              <w:rPr>
                <w:lang w:val="en-AU"/>
              </w:rPr>
            </w:pPr>
            <w:r>
              <w:rPr>
                <w:lang w:val="en-AU"/>
              </w:rPr>
              <w:t>Urine calcium/creatinine ratio increased</w:t>
            </w:r>
          </w:p>
        </w:tc>
        <w:tc>
          <w:tcPr>
            <w:tcW w:w="1686" w:type="dxa"/>
            <w:vAlign w:val="center"/>
          </w:tcPr>
          <w:p w14:paraId="6C41D19E" w14:textId="77777777" w:rsidR="009E656D" w:rsidRDefault="009E656D" w:rsidP="00543400">
            <w:pPr>
              <w:jc w:val="center"/>
              <w:rPr>
                <w:lang w:val="en-AU"/>
              </w:rPr>
            </w:pPr>
            <w:r>
              <w:rPr>
                <w:lang w:val="en-AU"/>
              </w:rPr>
              <w:t>12 (1.7)</w:t>
            </w:r>
          </w:p>
        </w:tc>
        <w:tc>
          <w:tcPr>
            <w:tcW w:w="1687" w:type="dxa"/>
            <w:vAlign w:val="center"/>
          </w:tcPr>
          <w:p w14:paraId="34137EA7" w14:textId="77777777" w:rsidR="009E656D" w:rsidRDefault="009E656D" w:rsidP="00543400">
            <w:pPr>
              <w:jc w:val="center"/>
              <w:rPr>
                <w:lang w:val="en-AU"/>
              </w:rPr>
            </w:pPr>
            <w:r>
              <w:rPr>
                <w:lang w:val="en-AU"/>
              </w:rPr>
              <w:t>15 (2.2)</w:t>
            </w:r>
          </w:p>
        </w:tc>
      </w:tr>
      <w:tr w:rsidR="009E656D" w14:paraId="148633FF" w14:textId="77777777" w:rsidTr="00D16F96">
        <w:trPr>
          <w:trHeight w:val="340"/>
        </w:trPr>
        <w:tc>
          <w:tcPr>
            <w:tcW w:w="6538" w:type="dxa"/>
            <w:vAlign w:val="center"/>
          </w:tcPr>
          <w:p w14:paraId="60B0184F" w14:textId="77777777" w:rsidR="009E656D" w:rsidRDefault="009E656D" w:rsidP="00543400">
            <w:pPr>
              <w:ind w:left="186"/>
              <w:rPr>
                <w:lang w:val="en-AU"/>
              </w:rPr>
            </w:pPr>
            <w:r>
              <w:rPr>
                <w:lang w:val="en-AU"/>
              </w:rPr>
              <w:t>Blood urea increased</w:t>
            </w:r>
          </w:p>
        </w:tc>
        <w:tc>
          <w:tcPr>
            <w:tcW w:w="1686" w:type="dxa"/>
            <w:vAlign w:val="center"/>
          </w:tcPr>
          <w:p w14:paraId="5EA188E8" w14:textId="77777777" w:rsidR="009E656D" w:rsidRDefault="009E656D" w:rsidP="00543400">
            <w:pPr>
              <w:jc w:val="center"/>
              <w:rPr>
                <w:lang w:val="en-AU"/>
              </w:rPr>
            </w:pPr>
            <w:r>
              <w:rPr>
                <w:lang w:val="en-AU"/>
              </w:rPr>
              <w:t>8 (1.2)</w:t>
            </w:r>
          </w:p>
        </w:tc>
        <w:tc>
          <w:tcPr>
            <w:tcW w:w="1687" w:type="dxa"/>
            <w:vAlign w:val="center"/>
          </w:tcPr>
          <w:p w14:paraId="760E0FEF" w14:textId="77777777" w:rsidR="009E656D" w:rsidRDefault="009E656D" w:rsidP="00543400">
            <w:pPr>
              <w:jc w:val="center"/>
              <w:rPr>
                <w:lang w:val="en-AU"/>
              </w:rPr>
            </w:pPr>
            <w:r>
              <w:rPr>
                <w:lang w:val="en-AU"/>
              </w:rPr>
              <w:t>14 (2.0)</w:t>
            </w:r>
          </w:p>
        </w:tc>
      </w:tr>
      <w:tr w:rsidR="009E656D" w14:paraId="0C88F0A7" w14:textId="77777777" w:rsidTr="00D16F96">
        <w:trPr>
          <w:trHeight w:val="340"/>
        </w:trPr>
        <w:tc>
          <w:tcPr>
            <w:tcW w:w="6538" w:type="dxa"/>
            <w:vAlign w:val="center"/>
          </w:tcPr>
          <w:p w14:paraId="7B856DF6" w14:textId="77777777" w:rsidR="009E656D" w:rsidRPr="009E656D" w:rsidRDefault="009E656D" w:rsidP="00543400">
            <w:pPr>
              <w:rPr>
                <w:b/>
                <w:bCs/>
                <w:lang w:val="en-AU"/>
              </w:rPr>
            </w:pPr>
            <w:r w:rsidRPr="009E656D">
              <w:rPr>
                <w:b/>
                <w:bCs/>
                <w:lang w:val="en-AU"/>
              </w:rPr>
              <w:t xml:space="preserve">Musculoskeletal and connective tissue disorders </w:t>
            </w:r>
          </w:p>
        </w:tc>
        <w:tc>
          <w:tcPr>
            <w:tcW w:w="1686" w:type="dxa"/>
            <w:vAlign w:val="center"/>
          </w:tcPr>
          <w:p w14:paraId="48D87CA3" w14:textId="77777777" w:rsidR="009E656D" w:rsidRDefault="009E656D" w:rsidP="00543400">
            <w:pPr>
              <w:jc w:val="center"/>
              <w:rPr>
                <w:lang w:val="en-AU"/>
              </w:rPr>
            </w:pPr>
          </w:p>
        </w:tc>
        <w:tc>
          <w:tcPr>
            <w:tcW w:w="1687" w:type="dxa"/>
            <w:vAlign w:val="center"/>
          </w:tcPr>
          <w:p w14:paraId="3432663D" w14:textId="77777777" w:rsidR="009E656D" w:rsidRDefault="009E656D" w:rsidP="00543400">
            <w:pPr>
              <w:jc w:val="center"/>
              <w:rPr>
                <w:lang w:val="en-AU"/>
              </w:rPr>
            </w:pPr>
          </w:p>
        </w:tc>
      </w:tr>
      <w:tr w:rsidR="009E656D" w14:paraId="0CB80905" w14:textId="77777777" w:rsidTr="00D16F96">
        <w:trPr>
          <w:trHeight w:val="340"/>
        </w:trPr>
        <w:tc>
          <w:tcPr>
            <w:tcW w:w="6538" w:type="dxa"/>
            <w:vAlign w:val="center"/>
          </w:tcPr>
          <w:p w14:paraId="7C84FCDF" w14:textId="77777777" w:rsidR="009E656D" w:rsidRDefault="009E656D" w:rsidP="00543400">
            <w:pPr>
              <w:ind w:left="186"/>
              <w:rPr>
                <w:lang w:val="en-AU"/>
              </w:rPr>
            </w:pPr>
            <w:r>
              <w:rPr>
                <w:lang w:val="en-AU"/>
              </w:rPr>
              <w:t>Osteoarthritis</w:t>
            </w:r>
          </w:p>
        </w:tc>
        <w:tc>
          <w:tcPr>
            <w:tcW w:w="1686" w:type="dxa"/>
            <w:vAlign w:val="center"/>
          </w:tcPr>
          <w:p w14:paraId="14E5FEC9" w14:textId="77777777" w:rsidR="009E656D" w:rsidRDefault="009E656D" w:rsidP="00543400">
            <w:pPr>
              <w:jc w:val="center"/>
              <w:rPr>
                <w:lang w:val="en-AU"/>
              </w:rPr>
            </w:pPr>
            <w:r>
              <w:rPr>
                <w:lang w:val="en-AU"/>
              </w:rPr>
              <w:t>25 (3.6)</w:t>
            </w:r>
          </w:p>
        </w:tc>
        <w:tc>
          <w:tcPr>
            <w:tcW w:w="1687" w:type="dxa"/>
            <w:vAlign w:val="center"/>
          </w:tcPr>
          <w:p w14:paraId="566C1D97" w14:textId="77777777" w:rsidR="009E656D" w:rsidRDefault="009E656D" w:rsidP="00543400">
            <w:pPr>
              <w:jc w:val="center"/>
              <w:rPr>
                <w:lang w:val="en-AU"/>
              </w:rPr>
            </w:pPr>
            <w:r>
              <w:rPr>
                <w:lang w:val="en-AU"/>
              </w:rPr>
              <w:t>32 (4.6)</w:t>
            </w:r>
          </w:p>
        </w:tc>
      </w:tr>
      <w:tr w:rsidR="009E656D" w14:paraId="61E7AC4A" w14:textId="77777777" w:rsidTr="00D16F96">
        <w:trPr>
          <w:trHeight w:val="340"/>
        </w:trPr>
        <w:tc>
          <w:tcPr>
            <w:tcW w:w="6538" w:type="dxa"/>
            <w:vAlign w:val="center"/>
          </w:tcPr>
          <w:p w14:paraId="0B3EAC28" w14:textId="77777777" w:rsidR="009E656D" w:rsidRDefault="009E656D" w:rsidP="00543400">
            <w:pPr>
              <w:ind w:left="186"/>
              <w:rPr>
                <w:lang w:val="en-AU"/>
              </w:rPr>
            </w:pPr>
            <w:r>
              <w:rPr>
                <w:lang w:val="en-AU"/>
              </w:rPr>
              <w:t>Muscle spasms</w:t>
            </w:r>
          </w:p>
        </w:tc>
        <w:tc>
          <w:tcPr>
            <w:tcW w:w="1686" w:type="dxa"/>
            <w:vAlign w:val="center"/>
          </w:tcPr>
          <w:p w14:paraId="7E5F3BDE" w14:textId="77777777" w:rsidR="009E656D" w:rsidRDefault="009E656D" w:rsidP="00543400">
            <w:pPr>
              <w:jc w:val="center"/>
              <w:rPr>
                <w:lang w:val="en-AU"/>
              </w:rPr>
            </w:pPr>
            <w:r>
              <w:rPr>
                <w:lang w:val="en-AU"/>
              </w:rPr>
              <w:t>15 (2.2)</w:t>
            </w:r>
          </w:p>
        </w:tc>
        <w:tc>
          <w:tcPr>
            <w:tcW w:w="1687" w:type="dxa"/>
            <w:vAlign w:val="center"/>
          </w:tcPr>
          <w:p w14:paraId="26889C7A" w14:textId="77777777" w:rsidR="009E656D" w:rsidRDefault="009E656D" w:rsidP="00543400">
            <w:pPr>
              <w:jc w:val="center"/>
              <w:rPr>
                <w:lang w:val="en-AU"/>
              </w:rPr>
            </w:pPr>
            <w:r>
              <w:rPr>
                <w:lang w:val="en-AU"/>
              </w:rPr>
              <w:t>21 (3.0)</w:t>
            </w:r>
          </w:p>
        </w:tc>
      </w:tr>
      <w:tr w:rsidR="009E656D" w14:paraId="5029DA62" w14:textId="77777777" w:rsidTr="00D16F96">
        <w:trPr>
          <w:trHeight w:val="340"/>
        </w:trPr>
        <w:tc>
          <w:tcPr>
            <w:tcW w:w="6538" w:type="dxa"/>
            <w:vAlign w:val="center"/>
          </w:tcPr>
          <w:p w14:paraId="0FC98706" w14:textId="77777777" w:rsidR="009E656D" w:rsidRPr="009E656D" w:rsidRDefault="009E656D" w:rsidP="009E656D">
            <w:pPr>
              <w:rPr>
                <w:b/>
                <w:bCs/>
                <w:lang w:val="en-AU"/>
              </w:rPr>
            </w:pPr>
            <w:r w:rsidRPr="009E656D">
              <w:rPr>
                <w:b/>
                <w:bCs/>
                <w:lang w:val="en-AU"/>
              </w:rPr>
              <w:t>Nervous system disorders</w:t>
            </w:r>
          </w:p>
        </w:tc>
        <w:tc>
          <w:tcPr>
            <w:tcW w:w="1686" w:type="dxa"/>
            <w:vAlign w:val="center"/>
          </w:tcPr>
          <w:p w14:paraId="414DB97C" w14:textId="77777777" w:rsidR="009E656D" w:rsidRDefault="009E656D" w:rsidP="00543400">
            <w:pPr>
              <w:jc w:val="center"/>
              <w:rPr>
                <w:lang w:val="en-AU"/>
              </w:rPr>
            </w:pPr>
          </w:p>
        </w:tc>
        <w:tc>
          <w:tcPr>
            <w:tcW w:w="1687" w:type="dxa"/>
            <w:vAlign w:val="center"/>
          </w:tcPr>
          <w:p w14:paraId="5DD1AEC0" w14:textId="77777777" w:rsidR="009E656D" w:rsidRDefault="009E656D" w:rsidP="00543400">
            <w:pPr>
              <w:jc w:val="center"/>
              <w:rPr>
                <w:lang w:val="en-AU"/>
              </w:rPr>
            </w:pPr>
          </w:p>
        </w:tc>
      </w:tr>
      <w:tr w:rsidR="009E656D" w14:paraId="36042776" w14:textId="77777777" w:rsidTr="00D16F96">
        <w:trPr>
          <w:trHeight w:val="340"/>
        </w:trPr>
        <w:tc>
          <w:tcPr>
            <w:tcW w:w="6538" w:type="dxa"/>
            <w:vAlign w:val="center"/>
          </w:tcPr>
          <w:p w14:paraId="70ABCB3F" w14:textId="77777777" w:rsidR="009E656D" w:rsidRDefault="009E656D" w:rsidP="00543400">
            <w:pPr>
              <w:ind w:left="186"/>
              <w:rPr>
                <w:lang w:val="en-AU"/>
              </w:rPr>
            </w:pPr>
            <w:r>
              <w:rPr>
                <w:lang w:val="en-AU"/>
              </w:rPr>
              <w:t>Dizziness</w:t>
            </w:r>
          </w:p>
        </w:tc>
        <w:tc>
          <w:tcPr>
            <w:tcW w:w="1686" w:type="dxa"/>
            <w:vAlign w:val="center"/>
          </w:tcPr>
          <w:p w14:paraId="09A13470" w14:textId="77777777" w:rsidR="009E656D" w:rsidRDefault="009E656D" w:rsidP="00543400">
            <w:pPr>
              <w:jc w:val="center"/>
              <w:rPr>
                <w:lang w:val="en-AU"/>
              </w:rPr>
            </w:pPr>
            <w:r>
              <w:rPr>
                <w:lang w:val="en-AU"/>
              </w:rPr>
              <w:t>49 (7.1)</w:t>
            </w:r>
          </w:p>
        </w:tc>
        <w:tc>
          <w:tcPr>
            <w:tcW w:w="1687" w:type="dxa"/>
            <w:vAlign w:val="center"/>
          </w:tcPr>
          <w:p w14:paraId="08656C9B" w14:textId="77777777" w:rsidR="009E656D" w:rsidRDefault="009E656D" w:rsidP="00543400">
            <w:pPr>
              <w:jc w:val="center"/>
              <w:rPr>
                <w:lang w:val="en-AU"/>
              </w:rPr>
            </w:pPr>
            <w:r>
              <w:rPr>
                <w:lang w:val="en-AU"/>
              </w:rPr>
              <w:t>77 (11.1)</w:t>
            </w:r>
          </w:p>
        </w:tc>
      </w:tr>
      <w:tr w:rsidR="009E656D" w14:paraId="0EB0365C" w14:textId="77777777" w:rsidTr="00D16F96">
        <w:trPr>
          <w:trHeight w:val="340"/>
        </w:trPr>
        <w:tc>
          <w:tcPr>
            <w:tcW w:w="6538" w:type="dxa"/>
            <w:vAlign w:val="center"/>
          </w:tcPr>
          <w:p w14:paraId="586AB9B3" w14:textId="77777777" w:rsidR="009E656D" w:rsidRDefault="009E656D" w:rsidP="00543400">
            <w:pPr>
              <w:ind w:left="186"/>
              <w:rPr>
                <w:lang w:val="en-AU"/>
              </w:rPr>
            </w:pPr>
            <w:r>
              <w:rPr>
                <w:lang w:val="en-AU"/>
              </w:rPr>
              <w:t xml:space="preserve">Headache </w:t>
            </w:r>
          </w:p>
        </w:tc>
        <w:tc>
          <w:tcPr>
            <w:tcW w:w="1686" w:type="dxa"/>
            <w:vAlign w:val="center"/>
          </w:tcPr>
          <w:p w14:paraId="1162EE15" w14:textId="77777777" w:rsidR="009E656D" w:rsidRDefault="009E656D" w:rsidP="00543400">
            <w:pPr>
              <w:jc w:val="center"/>
              <w:rPr>
                <w:lang w:val="en-AU"/>
              </w:rPr>
            </w:pPr>
            <w:r>
              <w:rPr>
                <w:lang w:val="en-AU"/>
              </w:rPr>
              <w:t>40 (5.8)</w:t>
            </w:r>
          </w:p>
        </w:tc>
        <w:tc>
          <w:tcPr>
            <w:tcW w:w="1687" w:type="dxa"/>
            <w:vAlign w:val="center"/>
          </w:tcPr>
          <w:p w14:paraId="1B545E3E" w14:textId="77777777" w:rsidR="009E656D" w:rsidRDefault="009E656D" w:rsidP="00543400">
            <w:pPr>
              <w:jc w:val="center"/>
              <w:rPr>
                <w:lang w:val="en-AU"/>
              </w:rPr>
            </w:pPr>
            <w:r>
              <w:rPr>
                <w:lang w:val="en-AU"/>
              </w:rPr>
              <w:t>59 (8.5)</w:t>
            </w:r>
          </w:p>
        </w:tc>
      </w:tr>
      <w:tr w:rsidR="009E656D" w14:paraId="548BD01A" w14:textId="77777777" w:rsidTr="00D16F96">
        <w:trPr>
          <w:trHeight w:val="340"/>
        </w:trPr>
        <w:tc>
          <w:tcPr>
            <w:tcW w:w="6538" w:type="dxa"/>
            <w:vAlign w:val="center"/>
          </w:tcPr>
          <w:p w14:paraId="192225FD" w14:textId="77777777" w:rsidR="009E656D" w:rsidRDefault="009E656D" w:rsidP="00543400">
            <w:pPr>
              <w:ind w:left="186"/>
              <w:rPr>
                <w:lang w:val="en-AU"/>
              </w:rPr>
            </w:pPr>
            <w:r>
              <w:rPr>
                <w:lang w:val="en-AU"/>
              </w:rPr>
              <w:t>Sciatica</w:t>
            </w:r>
          </w:p>
        </w:tc>
        <w:tc>
          <w:tcPr>
            <w:tcW w:w="1686" w:type="dxa"/>
            <w:vAlign w:val="center"/>
          </w:tcPr>
          <w:p w14:paraId="4E182816" w14:textId="77777777" w:rsidR="009E656D" w:rsidRDefault="009E656D" w:rsidP="00543400">
            <w:pPr>
              <w:jc w:val="center"/>
              <w:rPr>
                <w:lang w:val="en-AU"/>
              </w:rPr>
            </w:pPr>
            <w:r>
              <w:rPr>
                <w:lang w:val="en-AU"/>
              </w:rPr>
              <w:t>11 (1.6)</w:t>
            </w:r>
          </w:p>
        </w:tc>
        <w:tc>
          <w:tcPr>
            <w:tcW w:w="1687" w:type="dxa"/>
            <w:vAlign w:val="center"/>
          </w:tcPr>
          <w:p w14:paraId="0FC6B148" w14:textId="77777777" w:rsidR="009E656D" w:rsidRDefault="009E656D" w:rsidP="00543400">
            <w:pPr>
              <w:jc w:val="center"/>
              <w:rPr>
                <w:lang w:val="en-AU"/>
              </w:rPr>
            </w:pPr>
            <w:r>
              <w:rPr>
                <w:lang w:val="en-AU"/>
              </w:rPr>
              <w:t>16 (2.3)</w:t>
            </w:r>
          </w:p>
        </w:tc>
      </w:tr>
      <w:tr w:rsidR="009E656D" w14:paraId="1E1954E5" w14:textId="77777777" w:rsidTr="00D16F96">
        <w:trPr>
          <w:trHeight w:val="340"/>
        </w:trPr>
        <w:tc>
          <w:tcPr>
            <w:tcW w:w="6538" w:type="dxa"/>
            <w:vAlign w:val="center"/>
          </w:tcPr>
          <w:p w14:paraId="12BB5116" w14:textId="77777777" w:rsidR="009E656D" w:rsidRPr="009E656D" w:rsidRDefault="009E656D" w:rsidP="00543400">
            <w:pPr>
              <w:rPr>
                <w:b/>
                <w:bCs/>
                <w:lang w:val="en-AU"/>
              </w:rPr>
            </w:pPr>
            <w:r w:rsidRPr="009E656D">
              <w:rPr>
                <w:b/>
                <w:bCs/>
                <w:lang w:val="en-AU"/>
              </w:rPr>
              <w:t xml:space="preserve">Renal and urinary disorders </w:t>
            </w:r>
          </w:p>
        </w:tc>
        <w:tc>
          <w:tcPr>
            <w:tcW w:w="1686" w:type="dxa"/>
            <w:vAlign w:val="center"/>
          </w:tcPr>
          <w:p w14:paraId="37227217" w14:textId="77777777" w:rsidR="009E656D" w:rsidRDefault="009E656D" w:rsidP="00543400">
            <w:pPr>
              <w:jc w:val="center"/>
              <w:rPr>
                <w:lang w:val="en-AU"/>
              </w:rPr>
            </w:pPr>
          </w:p>
        </w:tc>
        <w:tc>
          <w:tcPr>
            <w:tcW w:w="1687" w:type="dxa"/>
            <w:vAlign w:val="center"/>
          </w:tcPr>
          <w:p w14:paraId="3F7F9F91" w14:textId="77777777" w:rsidR="009E656D" w:rsidRDefault="009E656D" w:rsidP="00543400">
            <w:pPr>
              <w:jc w:val="center"/>
              <w:rPr>
                <w:lang w:val="en-AU"/>
              </w:rPr>
            </w:pPr>
          </w:p>
        </w:tc>
      </w:tr>
      <w:tr w:rsidR="009E656D" w14:paraId="0FBD6BA0" w14:textId="77777777" w:rsidTr="00D16F96">
        <w:trPr>
          <w:trHeight w:val="340"/>
        </w:trPr>
        <w:tc>
          <w:tcPr>
            <w:tcW w:w="6538" w:type="dxa"/>
            <w:vAlign w:val="center"/>
          </w:tcPr>
          <w:p w14:paraId="4CDA9927" w14:textId="77777777" w:rsidR="009E656D" w:rsidRPr="00422DBD" w:rsidRDefault="009E656D" w:rsidP="00543400">
            <w:pPr>
              <w:ind w:left="186"/>
              <w:rPr>
                <w:lang w:val="en-AU"/>
              </w:rPr>
            </w:pPr>
            <w:r w:rsidRPr="00422DBD">
              <w:rPr>
                <w:lang w:val="en-AU"/>
              </w:rPr>
              <w:t>Hypercalciuria</w:t>
            </w:r>
          </w:p>
        </w:tc>
        <w:tc>
          <w:tcPr>
            <w:tcW w:w="1686" w:type="dxa"/>
            <w:vAlign w:val="center"/>
          </w:tcPr>
          <w:p w14:paraId="79323D57" w14:textId="77777777" w:rsidR="009E656D" w:rsidRDefault="009E656D" w:rsidP="00543400">
            <w:pPr>
              <w:jc w:val="center"/>
              <w:rPr>
                <w:lang w:val="en-AU"/>
              </w:rPr>
            </w:pPr>
            <w:r>
              <w:rPr>
                <w:lang w:val="en-AU"/>
              </w:rPr>
              <w:t>73 (10.6)</w:t>
            </w:r>
          </w:p>
        </w:tc>
        <w:tc>
          <w:tcPr>
            <w:tcW w:w="1687" w:type="dxa"/>
            <w:vAlign w:val="center"/>
          </w:tcPr>
          <w:p w14:paraId="17681A16" w14:textId="77777777" w:rsidR="009E656D" w:rsidRDefault="009E656D" w:rsidP="00543400">
            <w:pPr>
              <w:jc w:val="center"/>
              <w:rPr>
                <w:lang w:val="en-AU"/>
              </w:rPr>
            </w:pPr>
            <w:r>
              <w:rPr>
                <w:lang w:val="en-AU"/>
              </w:rPr>
              <w:t>93 (13.4)</w:t>
            </w:r>
          </w:p>
        </w:tc>
      </w:tr>
      <w:tr w:rsidR="009E656D" w14:paraId="58A67AD4" w14:textId="77777777" w:rsidTr="00D16F96">
        <w:trPr>
          <w:trHeight w:val="340"/>
        </w:trPr>
        <w:tc>
          <w:tcPr>
            <w:tcW w:w="6538" w:type="dxa"/>
            <w:vAlign w:val="center"/>
          </w:tcPr>
          <w:p w14:paraId="70D6A45A" w14:textId="77777777" w:rsidR="009E656D" w:rsidRPr="009E656D" w:rsidRDefault="009E656D" w:rsidP="002B5A3D">
            <w:pPr>
              <w:rPr>
                <w:b/>
                <w:bCs/>
                <w:lang w:val="en-AU"/>
              </w:rPr>
            </w:pPr>
            <w:r w:rsidRPr="009E656D">
              <w:rPr>
                <w:b/>
                <w:bCs/>
                <w:lang w:val="en-AU"/>
              </w:rPr>
              <w:t>Vascular disorders</w:t>
            </w:r>
          </w:p>
        </w:tc>
        <w:tc>
          <w:tcPr>
            <w:tcW w:w="1686" w:type="dxa"/>
            <w:vAlign w:val="center"/>
          </w:tcPr>
          <w:p w14:paraId="756BF89E" w14:textId="77777777" w:rsidR="009E656D" w:rsidRDefault="009E656D" w:rsidP="00543400">
            <w:pPr>
              <w:jc w:val="center"/>
              <w:rPr>
                <w:lang w:val="en-AU"/>
              </w:rPr>
            </w:pPr>
          </w:p>
        </w:tc>
        <w:tc>
          <w:tcPr>
            <w:tcW w:w="1687" w:type="dxa"/>
            <w:vAlign w:val="center"/>
          </w:tcPr>
          <w:p w14:paraId="4A2DC334" w14:textId="77777777" w:rsidR="009E656D" w:rsidRDefault="009E656D" w:rsidP="00543400">
            <w:pPr>
              <w:jc w:val="center"/>
              <w:rPr>
                <w:lang w:val="en-AU"/>
              </w:rPr>
            </w:pPr>
          </w:p>
        </w:tc>
      </w:tr>
      <w:tr w:rsidR="009E656D" w14:paraId="095D76F1" w14:textId="77777777" w:rsidTr="00D16F96">
        <w:trPr>
          <w:trHeight w:val="340"/>
        </w:trPr>
        <w:tc>
          <w:tcPr>
            <w:tcW w:w="6538" w:type="dxa"/>
            <w:vAlign w:val="center"/>
          </w:tcPr>
          <w:p w14:paraId="05C30829" w14:textId="77777777" w:rsidR="009E656D" w:rsidRDefault="009E656D" w:rsidP="00543400">
            <w:pPr>
              <w:ind w:left="186"/>
              <w:rPr>
                <w:lang w:val="en-AU"/>
              </w:rPr>
            </w:pPr>
            <w:r>
              <w:rPr>
                <w:lang w:val="en-AU"/>
              </w:rPr>
              <w:lastRenderedPageBreak/>
              <w:t>Hypertension</w:t>
            </w:r>
          </w:p>
        </w:tc>
        <w:tc>
          <w:tcPr>
            <w:tcW w:w="1686" w:type="dxa"/>
            <w:vAlign w:val="center"/>
          </w:tcPr>
          <w:p w14:paraId="261CCB03" w14:textId="77777777" w:rsidR="009E656D" w:rsidRDefault="009E656D" w:rsidP="00543400">
            <w:pPr>
              <w:jc w:val="center"/>
              <w:rPr>
                <w:lang w:val="en-AU"/>
              </w:rPr>
            </w:pPr>
            <w:r>
              <w:rPr>
                <w:lang w:val="en-AU"/>
              </w:rPr>
              <w:t>37 (5.4)</w:t>
            </w:r>
          </w:p>
        </w:tc>
        <w:tc>
          <w:tcPr>
            <w:tcW w:w="1687" w:type="dxa"/>
            <w:vAlign w:val="center"/>
          </w:tcPr>
          <w:p w14:paraId="39A4FBD2" w14:textId="77777777" w:rsidR="009E656D" w:rsidRDefault="009E656D" w:rsidP="00543400">
            <w:pPr>
              <w:jc w:val="center"/>
              <w:rPr>
                <w:lang w:val="en-AU"/>
              </w:rPr>
            </w:pPr>
            <w:r>
              <w:rPr>
                <w:lang w:val="en-AU"/>
              </w:rPr>
              <w:t>47 (6.8)</w:t>
            </w:r>
          </w:p>
        </w:tc>
      </w:tr>
    </w:tbl>
    <w:p w14:paraId="61A8B23F" w14:textId="77777777" w:rsidR="009E656D" w:rsidRPr="00527A71" w:rsidRDefault="009E656D" w:rsidP="00543400">
      <w:pPr>
        <w:rPr>
          <w:lang w:val="en-AU"/>
        </w:rPr>
      </w:pPr>
    </w:p>
    <w:p w14:paraId="65ACCDC6" w14:textId="77777777" w:rsidR="00677771" w:rsidRDefault="00677771">
      <w:pPr>
        <w:spacing w:after="200" w:line="276" w:lineRule="auto"/>
        <w:rPr>
          <w:rFonts w:eastAsiaTheme="majorEastAsia" w:cstheme="majorBidi"/>
          <w:b/>
          <w:bCs/>
          <w:lang w:val="en-AU"/>
        </w:rPr>
      </w:pPr>
      <w:r>
        <w:rPr>
          <w:lang w:val="en-AU"/>
        </w:rPr>
        <w:br w:type="page"/>
      </w:r>
    </w:p>
    <w:p w14:paraId="1FCB0BA8" w14:textId="232BE2E9" w:rsidR="009E656D" w:rsidRPr="004E0C17" w:rsidRDefault="009E656D" w:rsidP="00527A71">
      <w:pPr>
        <w:pStyle w:val="Heading3"/>
        <w:rPr>
          <w:lang w:val="en-AU"/>
        </w:rPr>
      </w:pPr>
      <w:r>
        <w:rPr>
          <w:lang w:val="en-AU"/>
        </w:rPr>
        <w:lastRenderedPageBreak/>
        <w:t>L</w:t>
      </w:r>
      <w:r w:rsidRPr="004E0C17">
        <w:rPr>
          <w:lang w:val="en-AU"/>
        </w:rPr>
        <w:t xml:space="preserve">ist of Adverse Reactions </w:t>
      </w:r>
    </w:p>
    <w:p w14:paraId="4B8AEDAB" w14:textId="77777777" w:rsidR="009E656D" w:rsidRDefault="009E656D" w:rsidP="00527A71">
      <w:pPr>
        <w:rPr>
          <w:lang w:val="en-AU"/>
        </w:rPr>
      </w:pPr>
      <w:r>
        <w:rPr>
          <w:lang w:val="en-AU"/>
        </w:rPr>
        <w:t>A</w:t>
      </w:r>
      <w:r w:rsidRPr="004E0C17">
        <w:rPr>
          <w:lang w:val="en-AU"/>
        </w:rPr>
        <w:t xml:space="preserve">dverse reactions associated with the use of ELADYNOS in osteoporosis in the </w:t>
      </w:r>
      <w:r w:rsidRPr="00FA68CC">
        <w:rPr>
          <w:lang w:val="en-AU"/>
        </w:rPr>
        <w:t>ACTIVE s</w:t>
      </w:r>
      <w:r w:rsidRPr="004E0C17">
        <w:rPr>
          <w:lang w:val="en-AU"/>
        </w:rPr>
        <w:t xml:space="preserve">tudy are summarised below. </w:t>
      </w:r>
    </w:p>
    <w:p w14:paraId="2BCC9775" w14:textId="77777777" w:rsidR="009E656D" w:rsidRDefault="009E656D" w:rsidP="00527A71">
      <w:pPr>
        <w:rPr>
          <w:lang w:val="en-AU"/>
        </w:rPr>
      </w:pPr>
    </w:p>
    <w:p w14:paraId="62DB3147" w14:textId="77777777" w:rsidR="009E656D" w:rsidRDefault="009E656D" w:rsidP="00527A71">
      <w:pPr>
        <w:rPr>
          <w:lang w:val="en-AU"/>
        </w:rPr>
      </w:pPr>
      <w:r w:rsidRPr="004E0C17">
        <w:rPr>
          <w:lang w:val="en-AU"/>
        </w:rPr>
        <w:t>The following MedDRA convention has been used for the classification of the adverse reactions: very common (≥1/10), common (≥1/100 to &lt;1/10), uncommon (≥1/1 000 to &lt;1/100), rare (≥1/10 000 to &lt;1/1 000), very rare (&lt;1/10 000), and frequency not known (cannot be estimated from the available data).</w:t>
      </w:r>
    </w:p>
    <w:p w14:paraId="0DFE5F77" w14:textId="77777777" w:rsidR="009E656D" w:rsidRDefault="009E656D" w:rsidP="00527A71">
      <w:pPr>
        <w:rPr>
          <w:lang w:val="en-AU"/>
        </w:rPr>
      </w:pPr>
    </w:p>
    <w:p w14:paraId="72A11691" w14:textId="77777777" w:rsidR="009E656D" w:rsidRPr="000D7D2E" w:rsidRDefault="009E656D" w:rsidP="007C5F2C">
      <w:pPr>
        <w:pStyle w:val="Heading4"/>
      </w:pPr>
      <w:r w:rsidRPr="000D7D2E">
        <w:t>Metabolism and nutrition disorders</w:t>
      </w:r>
    </w:p>
    <w:p w14:paraId="28EBBDAD" w14:textId="77777777" w:rsidR="009E656D" w:rsidRPr="00622BAB" w:rsidRDefault="009E656D" w:rsidP="000C2E47">
      <w:pPr>
        <w:ind w:left="306"/>
        <w:rPr>
          <w:lang w:val="en-AU"/>
        </w:rPr>
      </w:pPr>
      <w:r w:rsidRPr="00622BAB">
        <w:rPr>
          <w:lang w:val="en-AU"/>
        </w:rPr>
        <w:t>Common: Hypercalcaemia; Hyperuricaemia</w:t>
      </w:r>
    </w:p>
    <w:p w14:paraId="76D85935" w14:textId="77777777" w:rsidR="009E656D" w:rsidRPr="000D7D2E" w:rsidRDefault="009E656D" w:rsidP="000C2E47">
      <w:pPr>
        <w:rPr>
          <w:lang w:val="en-AU"/>
        </w:rPr>
      </w:pPr>
    </w:p>
    <w:p w14:paraId="64E32B68" w14:textId="77777777" w:rsidR="009E656D" w:rsidRPr="000D7D2E" w:rsidRDefault="009E656D" w:rsidP="007C5F2C">
      <w:pPr>
        <w:pStyle w:val="Heading4"/>
      </w:pPr>
      <w:r w:rsidRPr="000D7D2E">
        <w:t>Cardiac disorders</w:t>
      </w:r>
    </w:p>
    <w:p w14:paraId="7A051702" w14:textId="77777777" w:rsidR="009E656D" w:rsidRPr="000D7D2E" w:rsidRDefault="009E656D" w:rsidP="000C2E47">
      <w:pPr>
        <w:ind w:left="306"/>
        <w:rPr>
          <w:lang w:val="en-AU"/>
        </w:rPr>
      </w:pPr>
      <w:r w:rsidRPr="00622BAB">
        <w:rPr>
          <w:lang w:val="en-AU"/>
        </w:rPr>
        <w:t>Common: Tachycardia (including sinus tachycardia)</w:t>
      </w:r>
    </w:p>
    <w:p w14:paraId="3050ACF3" w14:textId="77777777" w:rsidR="009E656D" w:rsidRPr="000D7D2E" w:rsidRDefault="009E656D" w:rsidP="000C2E47">
      <w:pPr>
        <w:rPr>
          <w:lang w:val="en-AU"/>
        </w:rPr>
      </w:pPr>
    </w:p>
    <w:p w14:paraId="2207BE9F" w14:textId="77777777" w:rsidR="009E656D" w:rsidRPr="000D7D2E" w:rsidRDefault="009E656D" w:rsidP="007C5F2C">
      <w:pPr>
        <w:pStyle w:val="Heading4"/>
      </w:pPr>
      <w:r w:rsidRPr="000D7D2E">
        <w:t>Investigations</w:t>
      </w:r>
    </w:p>
    <w:p w14:paraId="1E289329" w14:textId="77777777" w:rsidR="009E656D" w:rsidRPr="000D7D2E" w:rsidRDefault="009E656D" w:rsidP="000C2E47">
      <w:pPr>
        <w:ind w:left="306"/>
        <w:rPr>
          <w:lang w:val="en-AU"/>
        </w:rPr>
      </w:pPr>
      <w:r w:rsidRPr="000D7D2E">
        <w:rPr>
          <w:lang w:val="en-AU"/>
        </w:rPr>
        <w:t>Common: Blood uric acid increased</w:t>
      </w:r>
    </w:p>
    <w:p w14:paraId="15A2449E" w14:textId="77777777" w:rsidR="009E656D" w:rsidRPr="000D7D2E" w:rsidRDefault="009E656D" w:rsidP="000C2E47">
      <w:pPr>
        <w:rPr>
          <w:lang w:val="en-AU"/>
        </w:rPr>
      </w:pPr>
    </w:p>
    <w:p w14:paraId="0D2F2822" w14:textId="77777777" w:rsidR="009E656D" w:rsidRPr="000D7D2E" w:rsidRDefault="009E656D" w:rsidP="007C5F2C">
      <w:pPr>
        <w:pStyle w:val="Heading4"/>
      </w:pPr>
      <w:r w:rsidRPr="000D7D2E">
        <w:t>Vascular disorders</w:t>
      </w:r>
    </w:p>
    <w:p w14:paraId="1A059EA7" w14:textId="7AB2D914" w:rsidR="009E656D" w:rsidRDefault="009E656D" w:rsidP="005B0286">
      <w:pPr>
        <w:ind w:left="306"/>
        <w:rPr>
          <w:lang w:val="en-AU"/>
        </w:rPr>
      </w:pPr>
      <w:r>
        <w:rPr>
          <w:lang w:val="en-AU"/>
        </w:rPr>
        <w:t>C</w:t>
      </w:r>
      <w:r w:rsidRPr="00622BAB">
        <w:rPr>
          <w:lang w:val="en-AU"/>
        </w:rPr>
        <w:t>ommon: Orthostatic hypotension</w:t>
      </w:r>
    </w:p>
    <w:p w14:paraId="20FA9D05" w14:textId="77777777" w:rsidR="009E656D" w:rsidRPr="004E0C17" w:rsidRDefault="009E656D" w:rsidP="005B0286">
      <w:pPr>
        <w:pStyle w:val="Heading3"/>
        <w:rPr>
          <w:lang w:val="en-AU"/>
        </w:rPr>
      </w:pPr>
      <w:r w:rsidRPr="004E0C17">
        <w:rPr>
          <w:lang w:val="en-AU"/>
        </w:rPr>
        <w:t xml:space="preserve">Description of </w:t>
      </w:r>
      <w:r w:rsidRPr="005B0286">
        <w:t>selected</w:t>
      </w:r>
      <w:r w:rsidRPr="004E0C17">
        <w:rPr>
          <w:lang w:val="en-AU"/>
        </w:rPr>
        <w:t xml:space="preserve"> adverse reactions </w:t>
      </w:r>
    </w:p>
    <w:p w14:paraId="49669757" w14:textId="77777777" w:rsidR="009E656D" w:rsidRPr="004E0C17" w:rsidRDefault="009E656D" w:rsidP="007C5F2C">
      <w:pPr>
        <w:pStyle w:val="Heading4"/>
      </w:pPr>
      <w:r w:rsidRPr="004E0C17">
        <w:t>Increased heart rate</w:t>
      </w:r>
    </w:p>
    <w:p w14:paraId="7FC8CC3A" w14:textId="77777777" w:rsidR="009E656D" w:rsidRPr="004E0C17" w:rsidRDefault="009E656D" w:rsidP="00527A71">
      <w:pPr>
        <w:rPr>
          <w:lang w:val="en-AU"/>
        </w:rPr>
      </w:pPr>
      <w:r w:rsidRPr="004E0C17">
        <w:rPr>
          <w:lang w:val="en-AU"/>
        </w:rPr>
        <w:t xml:space="preserve">In the QT study, the placebo-adjusted mean heart rate increase was 14.5 beats per minute (bpm) 15 minutes after administration. This increase in heart rate was most prominent during the first hour post dose but was seen up to 6 hours in some subjects. </w:t>
      </w:r>
    </w:p>
    <w:p w14:paraId="554FD54A" w14:textId="77777777" w:rsidR="009E656D" w:rsidRPr="004E0C17" w:rsidRDefault="009E656D" w:rsidP="00527A71">
      <w:pPr>
        <w:rPr>
          <w:lang w:val="en-AU"/>
        </w:rPr>
      </w:pPr>
    </w:p>
    <w:p w14:paraId="72B65A69" w14:textId="77777777" w:rsidR="009E656D" w:rsidRPr="004E0C17" w:rsidRDefault="009E656D" w:rsidP="00527A71">
      <w:pPr>
        <w:rPr>
          <w:lang w:val="en-AU"/>
        </w:rPr>
      </w:pPr>
      <w:r w:rsidRPr="00C541B9">
        <w:rPr>
          <w:lang w:val="en-AU"/>
        </w:rPr>
        <w:t>In the ACTIVE study, heart rate was measured one hour post dose of every study visit, with median heart rate increase from pre-dose of 14 bpm in abaloparatide treated patients as compared to 7 bpm in placebo treated patients. Patients with &gt;20 bpm increase in heart rate at 1 hour after the first dose were more likely to experience palpitations and/or increases in heart rate &gt;20 bpm during subsequent treatment.</w:t>
      </w:r>
      <w:r w:rsidRPr="005D0E8B">
        <w:rPr>
          <w:lang w:val="en-AU"/>
        </w:rPr>
        <w:t xml:space="preserve"> Adverse</w:t>
      </w:r>
      <w:r w:rsidRPr="004E0C17">
        <w:rPr>
          <w:lang w:val="en-AU"/>
        </w:rPr>
        <w:t xml:space="preserve"> reactions of tachycardia and sinus tachycardia were reported in 1.6% of patients receiving abaloparatide and 0.4% of patients in the placebo group.</w:t>
      </w:r>
    </w:p>
    <w:p w14:paraId="58B768E0" w14:textId="77777777" w:rsidR="009E656D" w:rsidRPr="004E0C17" w:rsidRDefault="009E656D" w:rsidP="00527A71">
      <w:pPr>
        <w:rPr>
          <w:u w:val="single"/>
          <w:lang w:val="en-AU"/>
        </w:rPr>
      </w:pPr>
    </w:p>
    <w:p w14:paraId="0F3F4799" w14:textId="77777777" w:rsidR="009E656D" w:rsidRPr="004E0C17" w:rsidRDefault="009E656D" w:rsidP="007C5F2C">
      <w:pPr>
        <w:pStyle w:val="Heading4"/>
      </w:pPr>
      <w:r w:rsidRPr="004E0C17">
        <w:t xml:space="preserve">Orthostatic hypotension </w:t>
      </w:r>
    </w:p>
    <w:p w14:paraId="09AA737B" w14:textId="77777777" w:rsidR="009E656D" w:rsidRPr="004E0C17" w:rsidRDefault="009E656D" w:rsidP="00527A71">
      <w:pPr>
        <w:rPr>
          <w:rFonts w:ascii="Arial" w:hAnsi="Arial" w:cs="Arial"/>
          <w:sz w:val="16"/>
          <w:szCs w:val="16"/>
          <w:lang w:val="en-AU"/>
        </w:rPr>
      </w:pPr>
      <w:r w:rsidRPr="004E0C17">
        <w:rPr>
          <w:lang w:val="en-AU"/>
        </w:rPr>
        <w:t>In women with postmenopausal osteoporosis, adverse reactions of orthostatic hypotension were reported in 1% of patients receiving abaloparatide and 0.6% of patients in the placebo group.</w:t>
      </w:r>
    </w:p>
    <w:p w14:paraId="6B1CE051" w14:textId="77777777" w:rsidR="009E656D" w:rsidRPr="004E0C17" w:rsidRDefault="009E656D" w:rsidP="00527A71">
      <w:pPr>
        <w:rPr>
          <w:u w:val="single"/>
          <w:lang w:val="en-AU"/>
        </w:rPr>
      </w:pPr>
    </w:p>
    <w:p w14:paraId="4DD66AD4" w14:textId="77777777" w:rsidR="009E656D" w:rsidRPr="004E0C17" w:rsidRDefault="009E656D" w:rsidP="007C5F2C">
      <w:pPr>
        <w:pStyle w:val="Heading4"/>
      </w:pPr>
      <w:r w:rsidRPr="004E0C17">
        <w:t xml:space="preserve">Injection site reactions </w:t>
      </w:r>
    </w:p>
    <w:p w14:paraId="35CD13F8" w14:textId="77777777" w:rsidR="009E656D" w:rsidRDefault="009E656D" w:rsidP="00527A71">
      <w:pPr>
        <w:rPr>
          <w:lang w:val="en-AU"/>
        </w:rPr>
      </w:pPr>
      <w:r w:rsidRPr="004E0C17">
        <w:rPr>
          <w:lang w:val="en-AU"/>
        </w:rPr>
        <w:t xml:space="preserve">ELADYNOS can cause injection site reactions </w:t>
      </w:r>
      <w:r w:rsidRPr="004A0B4F">
        <w:rPr>
          <w:lang w:val="en-AU"/>
        </w:rPr>
        <w:t>including injection site bruising, erythema, haemorrhage, hypersensitivity, pain, rash, and swelling. The overall incidence in the abaloparatide arm was 5.0% compared to 3.9% in the placebo group.</w:t>
      </w:r>
    </w:p>
    <w:p w14:paraId="1783D97A" w14:textId="77777777" w:rsidR="009E656D" w:rsidRDefault="009E656D" w:rsidP="00527A71">
      <w:pPr>
        <w:rPr>
          <w:u w:val="single"/>
          <w:lang w:val="en-AU"/>
        </w:rPr>
      </w:pPr>
    </w:p>
    <w:p w14:paraId="383AE2A1" w14:textId="77777777" w:rsidR="009E656D" w:rsidRDefault="009E656D" w:rsidP="007C5F2C">
      <w:pPr>
        <w:pStyle w:val="Heading4"/>
      </w:pPr>
      <w:r>
        <w:t xml:space="preserve">Laboratory findings </w:t>
      </w:r>
    </w:p>
    <w:p w14:paraId="46151500" w14:textId="77777777" w:rsidR="009E656D" w:rsidRPr="00655D62" w:rsidRDefault="009E656D" w:rsidP="007C5F2C">
      <w:pPr>
        <w:pStyle w:val="Heading5"/>
      </w:pPr>
      <w:r w:rsidRPr="00655D62">
        <w:t xml:space="preserve">Serum calcium </w:t>
      </w:r>
    </w:p>
    <w:p w14:paraId="31D38B06" w14:textId="1C7669A4" w:rsidR="009E656D" w:rsidRDefault="009E656D" w:rsidP="00527A71">
      <w:pPr>
        <w:rPr>
          <w:lang w:val="en-AU"/>
        </w:rPr>
      </w:pPr>
      <w:r w:rsidRPr="004E0C17">
        <w:rPr>
          <w:lang w:val="en-AU"/>
        </w:rPr>
        <w:t xml:space="preserve">ELADYNOS can cause transient increases in serum calcium levels measured 4 hours post-dose. The overall incidence of hypercalcaemia, defined as albumin-corrected serum calcium </w:t>
      </w:r>
      <w:r w:rsidR="00C95BA3">
        <w:rPr>
          <w:lang w:val="en-AU"/>
        </w:rPr>
        <w:br/>
      </w:r>
      <w:r w:rsidRPr="004E0C17">
        <w:rPr>
          <w:lang w:val="en-AU"/>
        </w:rPr>
        <w:t xml:space="preserve">≥2.67 mmol/L (or ≥10.7 mg/dL) in the abaloparatide arm was higher (3.3%) compared to the placebo group (0.4%). </w:t>
      </w:r>
    </w:p>
    <w:p w14:paraId="1B893FD8" w14:textId="77777777" w:rsidR="009E656D" w:rsidRPr="00655D62" w:rsidRDefault="009E656D" w:rsidP="00527A71">
      <w:pPr>
        <w:rPr>
          <w:i/>
          <w:iCs/>
          <w:lang w:val="en-AU"/>
        </w:rPr>
      </w:pPr>
    </w:p>
    <w:p w14:paraId="7B631310" w14:textId="37F208AD" w:rsidR="009E656D" w:rsidRPr="00655D62" w:rsidRDefault="009E656D" w:rsidP="007C5F2C">
      <w:pPr>
        <w:pStyle w:val="Heading5"/>
      </w:pPr>
      <w:r w:rsidRPr="00655D62">
        <w:lastRenderedPageBreak/>
        <w:t xml:space="preserve">Serum uric acid </w:t>
      </w:r>
    </w:p>
    <w:p w14:paraId="22DF4599" w14:textId="77777777" w:rsidR="009E656D" w:rsidRDefault="009E656D" w:rsidP="00527A71">
      <w:pPr>
        <w:rPr>
          <w:lang w:val="en-AU"/>
        </w:rPr>
      </w:pPr>
      <w:r w:rsidRPr="004E0C17">
        <w:rPr>
          <w:lang w:val="en-AU"/>
        </w:rPr>
        <w:t xml:space="preserve">ELADYNOS increased serum uric acid concentrations. In the ACTIVE study, 25% of patients in the abaloparatide group had normal baseline uric acid concentrations which were increased above the normal range at post-baseline, compared with 5% in the placebo group. </w:t>
      </w:r>
    </w:p>
    <w:p w14:paraId="6A7DD0ED" w14:textId="77777777" w:rsidR="009E656D" w:rsidRPr="00655D62" w:rsidRDefault="009E656D" w:rsidP="00527A71">
      <w:pPr>
        <w:rPr>
          <w:i/>
          <w:iCs/>
          <w:lang w:val="en-AU"/>
        </w:rPr>
      </w:pPr>
    </w:p>
    <w:p w14:paraId="77C505D6" w14:textId="77777777" w:rsidR="009E656D" w:rsidRPr="00655D62" w:rsidRDefault="009E656D" w:rsidP="007C5F2C">
      <w:pPr>
        <w:pStyle w:val="Heading5"/>
      </w:pPr>
      <w:r w:rsidRPr="00655D62">
        <w:t xml:space="preserve">Hypercalciuria and urolithiasis </w:t>
      </w:r>
    </w:p>
    <w:p w14:paraId="5C7DD89A" w14:textId="77777777" w:rsidR="009E656D" w:rsidRPr="004E0C17" w:rsidRDefault="009E656D" w:rsidP="00527A71">
      <w:pPr>
        <w:rPr>
          <w:lang w:val="en-AU"/>
        </w:rPr>
      </w:pPr>
      <w:r w:rsidRPr="004E0C17">
        <w:rPr>
          <w:lang w:val="en-AU"/>
        </w:rPr>
        <w:t>In the clinical trial of women with postmenopausal osteoporosis, the overall incidence of urine calcium: creatinine ratio &gt;0.00113 mmol/</w:t>
      </w:r>
      <w:proofErr w:type="spellStart"/>
      <w:r w:rsidRPr="004E0C17">
        <w:rPr>
          <w:lang w:val="en-AU"/>
        </w:rPr>
        <w:t>μmol</w:t>
      </w:r>
      <w:proofErr w:type="spellEnd"/>
      <w:r w:rsidRPr="004E0C17">
        <w:rPr>
          <w:lang w:val="en-AU"/>
        </w:rPr>
        <w:t xml:space="preserve"> (or &gt;400 mg/g) was higher with abaloparatide than with placebo (20% vs 15%, respectively). Urolithiasis was reported in 1.4% of abaloparatide-treated patients and 1.2% of placebo-treated patients.</w:t>
      </w:r>
    </w:p>
    <w:p w14:paraId="62EB8182" w14:textId="77777777" w:rsidR="009E656D" w:rsidRPr="004E0C17" w:rsidRDefault="009E656D" w:rsidP="00527A71">
      <w:pPr>
        <w:rPr>
          <w:u w:val="single"/>
          <w:lang w:val="en-AU"/>
        </w:rPr>
      </w:pPr>
    </w:p>
    <w:p w14:paraId="7FD431D6" w14:textId="77777777" w:rsidR="009E656D" w:rsidRPr="004E0C17" w:rsidRDefault="009E656D" w:rsidP="007C5F2C">
      <w:pPr>
        <w:pStyle w:val="Heading4"/>
      </w:pPr>
      <w:r w:rsidRPr="004E0C17">
        <w:t xml:space="preserve">Immunogenicity </w:t>
      </w:r>
    </w:p>
    <w:p w14:paraId="0A88E83D" w14:textId="77777777" w:rsidR="009E656D" w:rsidRPr="004E0C17" w:rsidRDefault="009E656D" w:rsidP="00527A71">
      <w:pPr>
        <w:rPr>
          <w:lang w:val="en-AU"/>
        </w:rPr>
      </w:pPr>
      <w:r w:rsidRPr="004E0C17">
        <w:rPr>
          <w:lang w:val="en-AU"/>
        </w:rPr>
        <w:t xml:space="preserve">Of the patients receiving abaloparatide for 18 months, 42.9% developed anti-abaloparatide antibodies and 28.5% developed </w:t>
      </w:r>
      <w:r w:rsidRPr="004E0C17">
        <w:rPr>
          <w:i/>
          <w:iCs/>
          <w:lang w:val="en-AU"/>
        </w:rPr>
        <w:t xml:space="preserve">in vitro </w:t>
      </w:r>
      <w:r w:rsidRPr="004E0C17">
        <w:rPr>
          <w:lang w:val="en-AU"/>
        </w:rPr>
        <w:t xml:space="preserve">neutralising antibodies. Formation of anti-abaloparatide antibodies is associated with increased clearance of abaloparatide. These changes in clearance could be related to anti-abaloparatide antibodies interfering with the accurate measurement of abaloparatide plasma concentrations. Compared to antibody negative patients, no clinically relevant differences in safety or efficacy were observed for patients who were antibody positive or who were positive for </w:t>
      </w:r>
      <w:r w:rsidRPr="004E0C17">
        <w:rPr>
          <w:i/>
          <w:iCs/>
          <w:lang w:val="en-AU"/>
        </w:rPr>
        <w:t xml:space="preserve">in vitro </w:t>
      </w:r>
      <w:r w:rsidRPr="004E0C17">
        <w:rPr>
          <w:lang w:val="en-AU"/>
        </w:rPr>
        <w:t>neutralising antibodies.</w:t>
      </w:r>
    </w:p>
    <w:p w14:paraId="41422BA0" w14:textId="77777777" w:rsidR="009E656D" w:rsidRPr="004347AF" w:rsidRDefault="009E656D" w:rsidP="000C2E47">
      <w:pPr>
        <w:pStyle w:val="Heading3"/>
        <w:rPr>
          <w:lang w:val="en-AU"/>
        </w:rPr>
      </w:pPr>
      <w:r w:rsidRPr="004347AF">
        <w:rPr>
          <w:lang w:val="en-AU"/>
        </w:rPr>
        <w:t>Post</w:t>
      </w:r>
      <w:r>
        <w:rPr>
          <w:lang w:val="en-AU"/>
        </w:rPr>
        <w:t>-</w:t>
      </w:r>
      <w:r w:rsidRPr="004347AF">
        <w:rPr>
          <w:lang w:val="en-AU"/>
        </w:rPr>
        <w:t>marketing data</w:t>
      </w:r>
    </w:p>
    <w:p w14:paraId="22906D32" w14:textId="77777777" w:rsidR="009E656D" w:rsidRDefault="009E656D" w:rsidP="00600BEC">
      <w:pPr>
        <w:rPr>
          <w:lang w:val="en-AU"/>
        </w:rPr>
      </w:pPr>
      <w:r>
        <w:rPr>
          <w:lang w:val="en-AU"/>
        </w:rPr>
        <w:t>The following additional adverse reactions have been identified during the post-approval use of abaloparatide. Because these reactions are reported voluntarily from a population of uncertain size, it is not possible to reliably estimate their frequency.</w:t>
      </w:r>
    </w:p>
    <w:p w14:paraId="19B9E95D" w14:textId="77777777" w:rsidR="009E656D" w:rsidRDefault="009E656D" w:rsidP="00600BEC">
      <w:pPr>
        <w:rPr>
          <w:b/>
          <w:bCs/>
          <w:lang w:val="en-AU"/>
        </w:rPr>
      </w:pPr>
    </w:p>
    <w:p w14:paraId="0C3A523B" w14:textId="77777777" w:rsidR="009E656D" w:rsidRDefault="009E656D" w:rsidP="007C5F2C">
      <w:pPr>
        <w:pStyle w:val="Heading4"/>
      </w:pPr>
      <w:r>
        <w:t>Immune system disorders</w:t>
      </w:r>
    </w:p>
    <w:p w14:paraId="347152D0" w14:textId="77777777" w:rsidR="009E656D" w:rsidRDefault="009E656D" w:rsidP="00C541B9">
      <w:pPr>
        <w:ind w:left="720"/>
        <w:rPr>
          <w:lang w:val="en-AU"/>
        </w:rPr>
      </w:pPr>
      <w:r>
        <w:rPr>
          <w:lang w:val="en-AU"/>
        </w:rPr>
        <w:t>Anaphylactic reaction</w:t>
      </w:r>
    </w:p>
    <w:p w14:paraId="7A82C3EF" w14:textId="77777777" w:rsidR="009E656D" w:rsidRDefault="009E656D" w:rsidP="00C541B9">
      <w:pPr>
        <w:ind w:left="720"/>
        <w:rPr>
          <w:lang w:val="en-AU"/>
        </w:rPr>
      </w:pPr>
      <w:r>
        <w:rPr>
          <w:lang w:val="en-AU"/>
        </w:rPr>
        <w:t>Dyspnoea (in the context of allergic reactions)</w:t>
      </w:r>
    </w:p>
    <w:p w14:paraId="05A3A7E1" w14:textId="77777777" w:rsidR="009E656D" w:rsidRDefault="009E656D" w:rsidP="00C541B9">
      <w:pPr>
        <w:ind w:left="720"/>
        <w:rPr>
          <w:lang w:val="en-AU"/>
        </w:rPr>
      </w:pPr>
      <w:r>
        <w:rPr>
          <w:lang w:val="en-AU"/>
        </w:rPr>
        <w:t>Hypersensitivity reaction</w:t>
      </w:r>
    </w:p>
    <w:p w14:paraId="726C268C" w14:textId="77777777" w:rsidR="009E656D" w:rsidRDefault="009E656D" w:rsidP="00600BEC">
      <w:pPr>
        <w:rPr>
          <w:b/>
          <w:bCs/>
          <w:u w:val="single"/>
          <w:lang w:val="en-AU"/>
        </w:rPr>
      </w:pPr>
    </w:p>
    <w:p w14:paraId="3A0FB176" w14:textId="77777777" w:rsidR="009E656D" w:rsidRPr="00C541B9" w:rsidRDefault="009E656D" w:rsidP="007C5F2C">
      <w:pPr>
        <w:pStyle w:val="Heading4"/>
      </w:pPr>
      <w:r w:rsidRPr="00C541B9">
        <w:t>Metabolism and nutrition disorders</w:t>
      </w:r>
    </w:p>
    <w:p w14:paraId="0717C53A" w14:textId="77777777" w:rsidR="009E656D" w:rsidRPr="007C5F2C" w:rsidRDefault="009E656D" w:rsidP="00C541B9">
      <w:pPr>
        <w:ind w:left="720"/>
        <w:rPr>
          <w:lang w:val="en-AU"/>
        </w:rPr>
      </w:pPr>
      <w:r w:rsidRPr="007C5F2C">
        <w:rPr>
          <w:lang w:val="en-AU"/>
        </w:rPr>
        <w:t>Decreased appetite</w:t>
      </w:r>
    </w:p>
    <w:p w14:paraId="35F5EEE1" w14:textId="77777777" w:rsidR="009E656D" w:rsidRPr="005D0E8B" w:rsidRDefault="009E656D" w:rsidP="00600BEC">
      <w:pPr>
        <w:rPr>
          <w:b/>
          <w:bCs/>
          <w:u w:val="single"/>
          <w:lang w:val="en-AU"/>
        </w:rPr>
      </w:pPr>
    </w:p>
    <w:p w14:paraId="36D9F90B" w14:textId="77777777" w:rsidR="009E656D" w:rsidRPr="005D0E8B" w:rsidRDefault="009E656D" w:rsidP="007C5F2C">
      <w:pPr>
        <w:pStyle w:val="Heading4"/>
      </w:pPr>
      <w:r w:rsidRPr="005D0E8B">
        <w:t>Psychiatric disorders</w:t>
      </w:r>
    </w:p>
    <w:p w14:paraId="6333E386" w14:textId="77777777" w:rsidR="009E656D" w:rsidRPr="005D0E8B" w:rsidRDefault="009E656D" w:rsidP="00C541B9">
      <w:pPr>
        <w:ind w:left="720"/>
        <w:rPr>
          <w:lang w:val="en-AU"/>
        </w:rPr>
      </w:pPr>
      <w:r w:rsidRPr="005D0E8B">
        <w:rPr>
          <w:lang w:val="en-AU"/>
        </w:rPr>
        <w:t>Insomnia</w:t>
      </w:r>
    </w:p>
    <w:p w14:paraId="58AC854A" w14:textId="77777777" w:rsidR="009E656D" w:rsidRPr="005D0E8B" w:rsidRDefault="009E656D" w:rsidP="00600BEC">
      <w:pPr>
        <w:rPr>
          <w:b/>
          <w:bCs/>
          <w:lang w:val="en-AU"/>
        </w:rPr>
      </w:pPr>
    </w:p>
    <w:p w14:paraId="6D823A27" w14:textId="77777777" w:rsidR="009E656D" w:rsidRPr="00C541B9" w:rsidRDefault="009E656D" w:rsidP="007C5F2C">
      <w:pPr>
        <w:pStyle w:val="Heading4"/>
      </w:pPr>
      <w:r w:rsidRPr="005D0E8B">
        <w:t>Nervous system disorders</w:t>
      </w:r>
    </w:p>
    <w:p w14:paraId="37FDD4F1" w14:textId="77777777" w:rsidR="009E656D" w:rsidRPr="005D0E8B" w:rsidRDefault="009E656D" w:rsidP="00C541B9">
      <w:pPr>
        <w:ind w:left="720"/>
        <w:rPr>
          <w:lang w:val="en-AU"/>
        </w:rPr>
      </w:pPr>
      <w:r w:rsidRPr="005D0E8B">
        <w:rPr>
          <w:lang w:val="en-AU"/>
        </w:rPr>
        <w:t>Lethargy</w:t>
      </w:r>
    </w:p>
    <w:p w14:paraId="1FDEF53F" w14:textId="77777777" w:rsidR="009E656D" w:rsidRPr="005D0E8B" w:rsidRDefault="009E656D" w:rsidP="00600BEC">
      <w:pPr>
        <w:rPr>
          <w:b/>
          <w:bCs/>
          <w:lang w:val="en-AU"/>
        </w:rPr>
      </w:pPr>
    </w:p>
    <w:p w14:paraId="4773479B" w14:textId="77777777" w:rsidR="009E656D" w:rsidRPr="00C541B9" w:rsidRDefault="009E656D" w:rsidP="007C5F2C">
      <w:pPr>
        <w:pStyle w:val="Heading4"/>
      </w:pPr>
      <w:r w:rsidRPr="00C541B9">
        <w:t>Cardiac disorders</w:t>
      </w:r>
    </w:p>
    <w:p w14:paraId="2C8ED75B" w14:textId="77777777" w:rsidR="009E656D" w:rsidRPr="00C541B9" w:rsidRDefault="009E656D" w:rsidP="00C541B9">
      <w:pPr>
        <w:ind w:left="720"/>
        <w:rPr>
          <w:lang w:val="en-AU"/>
        </w:rPr>
      </w:pPr>
      <w:r w:rsidRPr="00C541B9">
        <w:rPr>
          <w:lang w:val="en-AU"/>
        </w:rPr>
        <w:t>Blood pressure increased</w:t>
      </w:r>
    </w:p>
    <w:p w14:paraId="7EE893EC" w14:textId="77777777" w:rsidR="009E656D" w:rsidRPr="00C541B9" w:rsidRDefault="009E656D" w:rsidP="00600BEC">
      <w:pPr>
        <w:rPr>
          <w:b/>
          <w:bCs/>
          <w:u w:val="single"/>
          <w:lang w:val="en-AU"/>
        </w:rPr>
      </w:pPr>
    </w:p>
    <w:p w14:paraId="3B7FCB15" w14:textId="77777777" w:rsidR="009E656D" w:rsidRPr="00C541B9" w:rsidRDefault="009E656D" w:rsidP="007C5F2C">
      <w:pPr>
        <w:pStyle w:val="Heading4"/>
      </w:pPr>
      <w:r w:rsidRPr="00C541B9">
        <w:t>Vascular disorders</w:t>
      </w:r>
    </w:p>
    <w:p w14:paraId="309EB255" w14:textId="77777777" w:rsidR="009E656D" w:rsidRPr="007C5F2C" w:rsidRDefault="009E656D" w:rsidP="00C541B9">
      <w:pPr>
        <w:ind w:left="720"/>
        <w:rPr>
          <w:lang w:val="en-AU"/>
        </w:rPr>
      </w:pPr>
      <w:r w:rsidRPr="007C5F2C">
        <w:rPr>
          <w:lang w:val="en-AU"/>
        </w:rPr>
        <w:t>Hot flush</w:t>
      </w:r>
    </w:p>
    <w:p w14:paraId="532C2837" w14:textId="77777777" w:rsidR="009E656D" w:rsidRPr="005D0E8B" w:rsidRDefault="009E656D" w:rsidP="00600BEC">
      <w:pPr>
        <w:rPr>
          <w:b/>
          <w:bCs/>
          <w:u w:val="single"/>
          <w:lang w:val="en-AU"/>
        </w:rPr>
      </w:pPr>
    </w:p>
    <w:p w14:paraId="600FAECE" w14:textId="77777777" w:rsidR="009E656D" w:rsidRPr="005D0E8B" w:rsidRDefault="009E656D" w:rsidP="007C5F2C">
      <w:pPr>
        <w:pStyle w:val="Heading4"/>
      </w:pPr>
      <w:r w:rsidRPr="005D0E8B">
        <w:t>Gastrointestinal disorders</w:t>
      </w:r>
    </w:p>
    <w:p w14:paraId="54B1F318" w14:textId="77777777" w:rsidR="009E656D" w:rsidRPr="005D0E8B" w:rsidRDefault="009E656D" w:rsidP="00C541B9">
      <w:pPr>
        <w:ind w:left="720"/>
        <w:rPr>
          <w:lang w:val="en-AU"/>
        </w:rPr>
      </w:pPr>
      <w:r w:rsidRPr="005D0E8B">
        <w:rPr>
          <w:lang w:val="en-AU"/>
        </w:rPr>
        <w:t>Abdominal distension</w:t>
      </w:r>
    </w:p>
    <w:p w14:paraId="49C7CCE4" w14:textId="77777777" w:rsidR="009E656D" w:rsidRPr="005D0E8B" w:rsidRDefault="009E656D" w:rsidP="00C541B9">
      <w:pPr>
        <w:ind w:left="720"/>
        <w:rPr>
          <w:lang w:val="en-AU"/>
        </w:rPr>
      </w:pPr>
      <w:r w:rsidRPr="00C541B9">
        <w:rPr>
          <w:lang w:val="en-AU"/>
        </w:rPr>
        <w:t>Abdominal discomfort</w:t>
      </w:r>
    </w:p>
    <w:p w14:paraId="110C1342" w14:textId="77777777" w:rsidR="009E656D" w:rsidRPr="005D0E8B" w:rsidRDefault="009E656D" w:rsidP="00C541B9">
      <w:pPr>
        <w:ind w:left="720"/>
        <w:rPr>
          <w:lang w:val="en-AU"/>
        </w:rPr>
      </w:pPr>
      <w:r w:rsidRPr="005D0E8B">
        <w:rPr>
          <w:lang w:val="en-AU"/>
        </w:rPr>
        <w:t>Abdominal pain</w:t>
      </w:r>
    </w:p>
    <w:p w14:paraId="174B88F2" w14:textId="77777777" w:rsidR="009E656D" w:rsidRPr="005D0E8B" w:rsidRDefault="009E656D" w:rsidP="00C541B9">
      <w:pPr>
        <w:ind w:left="720"/>
        <w:rPr>
          <w:lang w:val="en-AU"/>
        </w:rPr>
      </w:pPr>
      <w:r w:rsidRPr="005D0E8B">
        <w:rPr>
          <w:lang w:val="en-AU"/>
        </w:rPr>
        <w:t>Constipation</w:t>
      </w:r>
    </w:p>
    <w:p w14:paraId="47D167B5" w14:textId="77777777" w:rsidR="009E656D" w:rsidRPr="005D0E8B" w:rsidRDefault="009E656D" w:rsidP="00C541B9">
      <w:pPr>
        <w:ind w:left="720"/>
        <w:rPr>
          <w:lang w:val="en-AU"/>
        </w:rPr>
      </w:pPr>
      <w:r w:rsidRPr="005D0E8B">
        <w:rPr>
          <w:lang w:val="en-AU"/>
        </w:rPr>
        <w:t>Diarrhea</w:t>
      </w:r>
    </w:p>
    <w:p w14:paraId="3CC93041" w14:textId="35D01389" w:rsidR="009E656D" w:rsidRPr="00FF7664" w:rsidRDefault="009E656D" w:rsidP="00FF7664">
      <w:pPr>
        <w:ind w:left="720"/>
        <w:rPr>
          <w:lang w:val="en-AU"/>
        </w:rPr>
      </w:pPr>
      <w:r w:rsidRPr="005D0E8B">
        <w:rPr>
          <w:lang w:val="en-AU"/>
        </w:rPr>
        <w:t>Vomiting</w:t>
      </w:r>
    </w:p>
    <w:p w14:paraId="0D4CFF10" w14:textId="77777777" w:rsidR="009E656D" w:rsidRDefault="009E656D" w:rsidP="007C5F2C">
      <w:pPr>
        <w:pStyle w:val="Heading4"/>
      </w:pPr>
      <w:r>
        <w:lastRenderedPageBreak/>
        <w:t>Skin and subcutaneous tissue disorders</w:t>
      </w:r>
    </w:p>
    <w:p w14:paraId="5DE1CD4C" w14:textId="77777777" w:rsidR="009E656D" w:rsidRDefault="009E656D" w:rsidP="00C541B9">
      <w:pPr>
        <w:ind w:left="720"/>
        <w:rPr>
          <w:lang w:val="en-AU"/>
        </w:rPr>
      </w:pPr>
      <w:r>
        <w:rPr>
          <w:lang w:val="en-AU"/>
        </w:rPr>
        <w:t>Pruritus</w:t>
      </w:r>
    </w:p>
    <w:p w14:paraId="3A8DB733" w14:textId="77777777" w:rsidR="009E656D" w:rsidRDefault="009E656D" w:rsidP="00C541B9">
      <w:pPr>
        <w:ind w:left="720"/>
        <w:rPr>
          <w:lang w:val="en-AU"/>
        </w:rPr>
      </w:pPr>
      <w:r>
        <w:rPr>
          <w:lang w:val="en-AU"/>
        </w:rPr>
        <w:t>Rash</w:t>
      </w:r>
    </w:p>
    <w:p w14:paraId="69B9EA27" w14:textId="77777777" w:rsidR="009E656D" w:rsidRDefault="009E656D" w:rsidP="00600BEC">
      <w:pPr>
        <w:rPr>
          <w:lang w:val="en-AU"/>
        </w:rPr>
      </w:pPr>
    </w:p>
    <w:p w14:paraId="1C58D713" w14:textId="77777777" w:rsidR="009E656D" w:rsidRDefault="009E656D" w:rsidP="007C5F2C">
      <w:pPr>
        <w:pStyle w:val="Heading4"/>
        <w:rPr>
          <w:highlight w:val="yellow"/>
        </w:rPr>
      </w:pPr>
      <w:r>
        <w:t>Musculoskeletal and connective tissue disorders</w:t>
      </w:r>
    </w:p>
    <w:p w14:paraId="173FC5E0" w14:textId="77777777" w:rsidR="009E656D" w:rsidRDefault="009E656D" w:rsidP="00C541B9">
      <w:pPr>
        <w:ind w:left="720"/>
        <w:rPr>
          <w:lang w:val="en-AU"/>
        </w:rPr>
      </w:pPr>
      <w:r>
        <w:rPr>
          <w:lang w:val="en-AU"/>
        </w:rPr>
        <w:t>Arthralgia</w:t>
      </w:r>
    </w:p>
    <w:p w14:paraId="0496F147" w14:textId="77777777" w:rsidR="009E656D" w:rsidRDefault="009E656D" w:rsidP="00C541B9">
      <w:pPr>
        <w:ind w:left="720"/>
        <w:rPr>
          <w:lang w:val="en-AU"/>
        </w:rPr>
      </w:pPr>
      <w:r>
        <w:rPr>
          <w:lang w:val="en-AU"/>
        </w:rPr>
        <w:t>Back pain</w:t>
      </w:r>
    </w:p>
    <w:p w14:paraId="2DB2EE89" w14:textId="77777777" w:rsidR="009E656D" w:rsidRDefault="009E656D" w:rsidP="00C541B9">
      <w:pPr>
        <w:ind w:left="720"/>
        <w:rPr>
          <w:lang w:val="en-AU"/>
        </w:rPr>
      </w:pPr>
      <w:r>
        <w:rPr>
          <w:lang w:val="en-AU"/>
        </w:rPr>
        <w:t>Bone pain</w:t>
      </w:r>
    </w:p>
    <w:p w14:paraId="4475CB05" w14:textId="77777777" w:rsidR="009E656D" w:rsidRDefault="009E656D" w:rsidP="00C541B9">
      <w:pPr>
        <w:ind w:left="720"/>
        <w:rPr>
          <w:lang w:val="en-AU"/>
        </w:rPr>
      </w:pPr>
      <w:r>
        <w:rPr>
          <w:lang w:val="en-AU"/>
        </w:rPr>
        <w:t>Muscle spasms (leg and back)</w:t>
      </w:r>
    </w:p>
    <w:p w14:paraId="75FA6311" w14:textId="77777777" w:rsidR="009E656D" w:rsidRDefault="009E656D" w:rsidP="00C541B9">
      <w:pPr>
        <w:ind w:left="720"/>
        <w:rPr>
          <w:lang w:val="en-AU"/>
        </w:rPr>
      </w:pPr>
      <w:r>
        <w:rPr>
          <w:lang w:val="en-AU"/>
        </w:rPr>
        <w:t>Pain in extremity</w:t>
      </w:r>
    </w:p>
    <w:p w14:paraId="21B784BB" w14:textId="77777777" w:rsidR="009E656D" w:rsidRDefault="009E656D" w:rsidP="00600BEC">
      <w:pPr>
        <w:rPr>
          <w:b/>
          <w:bCs/>
          <w:lang w:val="en-AU"/>
        </w:rPr>
      </w:pPr>
    </w:p>
    <w:p w14:paraId="186BAFA9" w14:textId="77777777" w:rsidR="009E656D" w:rsidRDefault="009E656D" w:rsidP="007C5F2C">
      <w:pPr>
        <w:pStyle w:val="Heading4"/>
      </w:pPr>
      <w:r>
        <w:t>General disorders and administration site conditions</w:t>
      </w:r>
    </w:p>
    <w:p w14:paraId="763EA2EF" w14:textId="77777777" w:rsidR="009E656D" w:rsidRDefault="009E656D" w:rsidP="00C541B9">
      <w:pPr>
        <w:ind w:left="720"/>
        <w:rPr>
          <w:lang w:val="en-AU"/>
        </w:rPr>
      </w:pPr>
      <w:r>
        <w:rPr>
          <w:lang w:val="en-AU"/>
        </w:rPr>
        <w:t>Asthenia</w:t>
      </w:r>
    </w:p>
    <w:p w14:paraId="5BFDA209" w14:textId="77777777" w:rsidR="009E656D" w:rsidRPr="005D0E8B" w:rsidRDefault="009E656D" w:rsidP="00FF4CCB">
      <w:pPr>
        <w:ind w:left="720"/>
        <w:rPr>
          <w:lang w:val="en-AU"/>
        </w:rPr>
      </w:pPr>
      <w:r w:rsidRPr="006B25BE">
        <w:rPr>
          <w:lang w:val="en-AU"/>
        </w:rPr>
        <w:t>Feeling abnormal</w:t>
      </w:r>
    </w:p>
    <w:p w14:paraId="2C3E0CCF" w14:textId="77777777" w:rsidR="009E656D" w:rsidRDefault="009E656D" w:rsidP="00C541B9">
      <w:pPr>
        <w:ind w:left="720"/>
        <w:rPr>
          <w:lang w:val="en-AU"/>
        </w:rPr>
      </w:pPr>
      <w:r>
        <w:rPr>
          <w:lang w:val="en-AU"/>
        </w:rPr>
        <w:t>Injection site bruising</w:t>
      </w:r>
    </w:p>
    <w:p w14:paraId="637E3D5C" w14:textId="77777777" w:rsidR="009E656D" w:rsidRDefault="009E656D" w:rsidP="00C541B9">
      <w:pPr>
        <w:ind w:left="720"/>
        <w:rPr>
          <w:lang w:val="en-AU"/>
        </w:rPr>
      </w:pPr>
      <w:r>
        <w:rPr>
          <w:lang w:val="en-AU"/>
        </w:rPr>
        <w:t xml:space="preserve">Injection site </w:t>
      </w:r>
      <w:proofErr w:type="spellStart"/>
      <w:r>
        <w:rPr>
          <w:lang w:val="en-AU"/>
        </w:rPr>
        <w:t>hemorrhage</w:t>
      </w:r>
      <w:proofErr w:type="spellEnd"/>
    </w:p>
    <w:p w14:paraId="7D04DC4B" w14:textId="77777777" w:rsidR="009E656D" w:rsidRDefault="009E656D" w:rsidP="00C541B9">
      <w:pPr>
        <w:ind w:left="720"/>
        <w:rPr>
          <w:lang w:val="en-AU"/>
        </w:rPr>
      </w:pPr>
      <w:r>
        <w:rPr>
          <w:lang w:val="en-AU"/>
        </w:rPr>
        <w:t>Injection site pruritis</w:t>
      </w:r>
    </w:p>
    <w:p w14:paraId="3E841C56" w14:textId="77777777" w:rsidR="009E656D" w:rsidRDefault="009E656D" w:rsidP="00C541B9">
      <w:pPr>
        <w:ind w:left="720"/>
        <w:rPr>
          <w:lang w:val="en-AU"/>
        </w:rPr>
      </w:pPr>
      <w:r>
        <w:rPr>
          <w:lang w:val="en-AU"/>
        </w:rPr>
        <w:t>Injection site rash</w:t>
      </w:r>
    </w:p>
    <w:p w14:paraId="6D3FE914" w14:textId="77777777" w:rsidR="009E656D" w:rsidRDefault="009E656D" w:rsidP="00C541B9">
      <w:pPr>
        <w:ind w:left="720"/>
        <w:rPr>
          <w:lang w:val="en-AU"/>
        </w:rPr>
      </w:pPr>
      <w:r>
        <w:rPr>
          <w:lang w:val="en-AU"/>
        </w:rPr>
        <w:t>Malaise</w:t>
      </w:r>
    </w:p>
    <w:p w14:paraId="47DD9C4D" w14:textId="77777777" w:rsidR="009E656D" w:rsidRPr="004E0C17" w:rsidRDefault="009E656D" w:rsidP="00C541B9">
      <w:pPr>
        <w:ind w:left="720"/>
        <w:rPr>
          <w:lang w:val="en-AU"/>
        </w:rPr>
      </w:pPr>
      <w:r>
        <w:rPr>
          <w:lang w:val="en-AU"/>
        </w:rPr>
        <w:t>Pain</w:t>
      </w:r>
    </w:p>
    <w:p w14:paraId="1BC20F84" w14:textId="77777777" w:rsidR="009E656D" w:rsidRPr="004E0C17" w:rsidRDefault="009E656D" w:rsidP="00543400">
      <w:pPr>
        <w:pStyle w:val="Heading3"/>
        <w:rPr>
          <w:lang w:val="en-AU"/>
        </w:rPr>
      </w:pPr>
      <w:r w:rsidRPr="004E0C17">
        <w:rPr>
          <w:lang w:val="en-AU"/>
        </w:rPr>
        <w:t>Reporting suspected adverse effects</w:t>
      </w:r>
    </w:p>
    <w:p w14:paraId="7ED9F0C0" w14:textId="77777777" w:rsidR="009E656D" w:rsidRPr="004E0C17" w:rsidRDefault="009E656D" w:rsidP="00543400">
      <w:pPr>
        <w:rPr>
          <w:lang w:val="en-AU"/>
        </w:rPr>
      </w:pPr>
      <w:r w:rsidRPr="004E0C17">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29" w:history="1">
        <w:r w:rsidRPr="004E0C17">
          <w:rPr>
            <w:rStyle w:val="Hyperlink"/>
            <w:lang w:val="en-AU"/>
          </w:rPr>
          <w:t>www.tga.gov.au/reporting-problems</w:t>
        </w:r>
      </w:hyperlink>
      <w:r w:rsidRPr="004E0C17">
        <w:rPr>
          <w:lang w:val="en-AU"/>
        </w:rPr>
        <w:t>.</w:t>
      </w:r>
    </w:p>
    <w:p w14:paraId="09F5DFA1" w14:textId="77777777" w:rsidR="009E656D" w:rsidRPr="004E0C17" w:rsidRDefault="009E656D" w:rsidP="00543400">
      <w:pPr>
        <w:pStyle w:val="Heading2"/>
        <w:rPr>
          <w:lang w:val="en-AU"/>
        </w:rPr>
      </w:pPr>
      <w:r w:rsidRPr="004E0C17">
        <w:rPr>
          <w:lang w:val="en-AU"/>
        </w:rPr>
        <w:t>Overdose</w:t>
      </w:r>
    </w:p>
    <w:p w14:paraId="3890C9ED" w14:textId="77777777" w:rsidR="009E656D" w:rsidRPr="004E0C17" w:rsidRDefault="009E656D" w:rsidP="00543400">
      <w:pPr>
        <w:pStyle w:val="Heading3"/>
        <w:keepNext w:val="0"/>
        <w:keepLines w:val="0"/>
        <w:rPr>
          <w:lang w:val="en-AU"/>
        </w:rPr>
      </w:pPr>
      <w:r w:rsidRPr="004E0C17">
        <w:rPr>
          <w:lang w:val="en-AU"/>
        </w:rPr>
        <w:t xml:space="preserve">Signs and symptoms </w:t>
      </w:r>
    </w:p>
    <w:p w14:paraId="259F69E8" w14:textId="05BF68B0" w:rsidR="009E656D" w:rsidRPr="004E0C17" w:rsidRDefault="009E656D" w:rsidP="00543400">
      <w:pPr>
        <w:rPr>
          <w:lang w:val="en-AU"/>
        </w:rPr>
      </w:pPr>
      <w:r w:rsidRPr="004E0C17">
        <w:rPr>
          <w:lang w:val="en-AU"/>
        </w:rPr>
        <w:t xml:space="preserve">In clinical trials, ELADYNOS has been administered subcutaneously in single doses of up to </w:t>
      </w:r>
      <w:r w:rsidR="00C95BA3">
        <w:rPr>
          <w:lang w:val="en-AU"/>
        </w:rPr>
        <w:br/>
      </w:r>
      <w:r w:rsidRPr="004E0C17">
        <w:rPr>
          <w:lang w:val="en-AU"/>
        </w:rPr>
        <w:t xml:space="preserve">320 micrograms and in repeated doses of up to 120 micrograms/day for 7 days. The primary dose-limiting adverse effect was postural dizziness. </w:t>
      </w:r>
    </w:p>
    <w:p w14:paraId="6FAEB6D4" w14:textId="77777777" w:rsidR="009E656D" w:rsidRPr="004E0C17" w:rsidRDefault="009E656D" w:rsidP="00543400">
      <w:pPr>
        <w:rPr>
          <w:lang w:val="en-AU"/>
        </w:rPr>
      </w:pPr>
    </w:p>
    <w:p w14:paraId="1CA8E325" w14:textId="77777777" w:rsidR="009E656D" w:rsidRPr="004E0C17" w:rsidRDefault="009E656D" w:rsidP="00543400">
      <w:pPr>
        <w:rPr>
          <w:lang w:val="en-AU"/>
        </w:rPr>
      </w:pPr>
      <w:r w:rsidRPr="004E0C17">
        <w:rPr>
          <w:lang w:val="en-AU"/>
        </w:rPr>
        <w:t xml:space="preserve">The effects of overdose that might be expected include transient </w:t>
      </w:r>
      <w:proofErr w:type="spellStart"/>
      <w:r w:rsidRPr="004E0C17">
        <w:rPr>
          <w:lang w:val="en-AU"/>
        </w:rPr>
        <w:t>hypecalciuria</w:t>
      </w:r>
      <w:proofErr w:type="spellEnd"/>
      <w:r w:rsidRPr="004E0C17">
        <w:rPr>
          <w:lang w:val="en-AU"/>
        </w:rPr>
        <w:t xml:space="preserve">, hypercalcaemia, nausea, vomiting, dizziness, palpitations, orthostatic hypotension and headache. </w:t>
      </w:r>
    </w:p>
    <w:p w14:paraId="161ECD4C" w14:textId="77777777" w:rsidR="009E656D" w:rsidRPr="004E0C17" w:rsidRDefault="009E656D" w:rsidP="00543400">
      <w:pPr>
        <w:rPr>
          <w:lang w:val="en-AU"/>
        </w:rPr>
      </w:pPr>
    </w:p>
    <w:p w14:paraId="1765EF46" w14:textId="00E99DEB" w:rsidR="009E656D" w:rsidRPr="004E0C17" w:rsidRDefault="009E656D" w:rsidP="00543400">
      <w:pPr>
        <w:rPr>
          <w:lang w:val="en-AU"/>
        </w:rPr>
      </w:pPr>
      <w:r w:rsidRPr="004E0C17">
        <w:rPr>
          <w:lang w:val="en-AU"/>
        </w:rPr>
        <w:t xml:space="preserve">In the clinical programme with an earlier pen design, accidental overdose was reported in a patient who received 400 micrograms in one day (5 times the recommended clinical dose). The patient experienced asthenia, headache, nausea, and vertigo. Serum calcium was not assessed on the day of the overdose, but on the following day the patient’s serum calcium was within the normal range. </w:t>
      </w:r>
    </w:p>
    <w:p w14:paraId="3C992074" w14:textId="77777777" w:rsidR="009E656D" w:rsidRPr="004E0C17" w:rsidRDefault="009E656D" w:rsidP="00543400">
      <w:pPr>
        <w:pStyle w:val="Heading3"/>
        <w:keepNext w:val="0"/>
        <w:keepLines w:val="0"/>
        <w:rPr>
          <w:lang w:val="en-AU"/>
        </w:rPr>
      </w:pPr>
      <w:r w:rsidRPr="004E0C17">
        <w:rPr>
          <w:lang w:val="en-AU"/>
        </w:rPr>
        <w:t xml:space="preserve">Overdose management </w:t>
      </w:r>
    </w:p>
    <w:p w14:paraId="597EDBAE" w14:textId="77777777" w:rsidR="009E656D" w:rsidRPr="004E0C17" w:rsidRDefault="009E656D" w:rsidP="00543400">
      <w:pPr>
        <w:rPr>
          <w:lang w:val="en-AU"/>
        </w:rPr>
      </w:pPr>
      <w:r w:rsidRPr="004E0C17">
        <w:rPr>
          <w:lang w:val="en-AU"/>
        </w:rPr>
        <w:t>There is no specific antidote for ELADYNOS. Treatment of suspected overdose may include transitory discontinuation of treatment, monitoring of serum calcium and implementation of appropriate supportive measures, such as hydration.</w:t>
      </w:r>
    </w:p>
    <w:p w14:paraId="72BE7E5F" w14:textId="77777777" w:rsidR="009E656D" w:rsidRPr="004E0C17" w:rsidRDefault="009E656D" w:rsidP="00543400">
      <w:pPr>
        <w:rPr>
          <w:lang w:val="en-AU"/>
        </w:rPr>
      </w:pPr>
    </w:p>
    <w:p w14:paraId="1102EC63" w14:textId="77777777" w:rsidR="009E656D" w:rsidRPr="004E0C17" w:rsidRDefault="009E656D" w:rsidP="00543400">
      <w:pPr>
        <w:rPr>
          <w:lang w:val="en-AU"/>
        </w:rPr>
      </w:pPr>
      <w:r w:rsidRPr="004E0C17">
        <w:rPr>
          <w:lang w:val="en-AU"/>
        </w:rPr>
        <w:t>For information on the management of overdose, contact the Poisons Information Centre on 13 11 26 (Australia).</w:t>
      </w:r>
    </w:p>
    <w:p w14:paraId="38335EC4" w14:textId="77777777" w:rsidR="009E656D" w:rsidRPr="004E0C17" w:rsidRDefault="009E656D" w:rsidP="00543400">
      <w:pPr>
        <w:pStyle w:val="Heading1"/>
        <w:rPr>
          <w:lang w:val="en-AU"/>
        </w:rPr>
      </w:pPr>
      <w:r w:rsidRPr="004E0C17">
        <w:rPr>
          <w:lang w:val="en-AU"/>
        </w:rPr>
        <w:lastRenderedPageBreak/>
        <w:t>Pharmacological properties</w:t>
      </w:r>
    </w:p>
    <w:p w14:paraId="25C76603" w14:textId="77777777" w:rsidR="009E656D" w:rsidRPr="004E0C17" w:rsidRDefault="009E656D" w:rsidP="00543400">
      <w:pPr>
        <w:pStyle w:val="Heading2"/>
        <w:rPr>
          <w:lang w:val="en-AU"/>
        </w:rPr>
      </w:pPr>
      <w:bookmarkStart w:id="7" w:name="_Ref139029685"/>
      <w:r w:rsidRPr="004E0C17">
        <w:rPr>
          <w:lang w:val="en-AU"/>
        </w:rPr>
        <w:t>Pharmacodynamic properties</w:t>
      </w:r>
      <w:bookmarkEnd w:id="7"/>
      <w:r w:rsidRPr="004E0C17">
        <w:rPr>
          <w:lang w:val="en-AU"/>
        </w:rPr>
        <w:t xml:space="preserve"> </w:t>
      </w:r>
    </w:p>
    <w:p w14:paraId="6DA14EA3" w14:textId="77777777" w:rsidR="009E656D" w:rsidRPr="004E0C17" w:rsidRDefault="009E656D" w:rsidP="00543400">
      <w:pPr>
        <w:rPr>
          <w:lang w:val="en-AU"/>
        </w:rPr>
      </w:pPr>
      <w:r w:rsidRPr="004E0C17">
        <w:rPr>
          <w:lang w:val="en-AU"/>
        </w:rPr>
        <w:t>Pharmacotherapeutic group: Calcium homeostasis, parathyroid hormones and analogues, ATC code: H05AA04</w:t>
      </w:r>
    </w:p>
    <w:p w14:paraId="6052C357" w14:textId="77777777" w:rsidR="009E656D" w:rsidRPr="004E0C17" w:rsidRDefault="009E656D" w:rsidP="00543400">
      <w:pPr>
        <w:pStyle w:val="Heading3"/>
        <w:keepNext w:val="0"/>
        <w:keepLines w:val="0"/>
        <w:rPr>
          <w:lang w:val="en-AU"/>
        </w:rPr>
      </w:pPr>
      <w:r w:rsidRPr="004E0C17">
        <w:rPr>
          <w:lang w:val="en-AU"/>
        </w:rPr>
        <w:t>Mechanism of action</w:t>
      </w:r>
    </w:p>
    <w:p w14:paraId="621CD1D2" w14:textId="77777777" w:rsidR="009E656D" w:rsidRPr="004E0C17" w:rsidRDefault="009E656D" w:rsidP="00543400">
      <w:pPr>
        <w:rPr>
          <w:lang w:val="en-AU"/>
        </w:rPr>
      </w:pPr>
      <w:r w:rsidRPr="0092799B">
        <w:rPr>
          <w:lang w:val="en-AU"/>
        </w:rPr>
        <w:t>Abaloparatide is an agonist of the parathyroid hormone receptor 1 (PTHR1). It shares sequence homology with the first 34 amino acids of parathyroid hormone related peptide [</w:t>
      </w:r>
      <w:proofErr w:type="spellStart"/>
      <w:proofErr w:type="gramStart"/>
      <w:r w:rsidRPr="0092799B">
        <w:rPr>
          <w:lang w:val="en-AU"/>
        </w:rPr>
        <w:t>PTHrP</w:t>
      </w:r>
      <w:proofErr w:type="spellEnd"/>
      <w:r w:rsidRPr="0092799B">
        <w:rPr>
          <w:lang w:val="en-AU"/>
        </w:rPr>
        <w:t>(</w:t>
      </w:r>
      <w:proofErr w:type="gramEnd"/>
      <w:r w:rsidRPr="0092799B">
        <w:rPr>
          <w:lang w:val="en-AU"/>
        </w:rPr>
        <w:t xml:space="preserve">1–34)] (76% homology) and of parathyroid hormone [PTH(1–34)] (41% homology). </w:t>
      </w:r>
      <w:r w:rsidRPr="004E0C17">
        <w:rPr>
          <w:lang w:val="en-AU"/>
        </w:rPr>
        <w:t xml:space="preserve">Abaloparatide stimulates new bone formation on trabecular and cortical bone surfaces by stimulation of osteoblastic activity. </w:t>
      </w:r>
    </w:p>
    <w:p w14:paraId="06AA50BD" w14:textId="77777777" w:rsidR="009E656D" w:rsidRPr="004E0C17" w:rsidRDefault="009E656D" w:rsidP="00543400">
      <w:pPr>
        <w:rPr>
          <w:lang w:val="en-AU"/>
        </w:rPr>
      </w:pPr>
    </w:p>
    <w:p w14:paraId="4EE82845" w14:textId="77777777" w:rsidR="009E656D" w:rsidRPr="004E0C17" w:rsidRDefault="009E656D" w:rsidP="00543400">
      <w:pPr>
        <w:rPr>
          <w:lang w:val="en-AU"/>
        </w:rPr>
      </w:pPr>
      <w:r w:rsidRPr="004E0C17">
        <w:rPr>
          <w:lang w:val="en-AU"/>
        </w:rPr>
        <w:t>Abaloparatide causes transient and limited increases in bone resorption and increases bone density.</w:t>
      </w:r>
    </w:p>
    <w:p w14:paraId="3B5DAF17" w14:textId="77777777" w:rsidR="009E656D" w:rsidRPr="009A5818" w:rsidRDefault="009E656D" w:rsidP="00543400">
      <w:pPr>
        <w:pStyle w:val="Heading3"/>
        <w:rPr>
          <w:lang w:val="en-AU"/>
        </w:rPr>
      </w:pPr>
      <w:r w:rsidRPr="009A5818">
        <w:rPr>
          <w:lang w:val="en-AU"/>
        </w:rPr>
        <w:t>Clinical trials</w:t>
      </w:r>
    </w:p>
    <w:p w14:paraId="1412DEE6" w14:textId="5D3AD5CD" w:rsidR="009E656D" w:rsidRPr="004E0C17" w:rsidRDefault="009E656D" w:rsidP="00543400">
      <w:pPr>
        <w:rPr>
          <w:lang w:val="en-AU"/>
        </w:rPr>
      </w:pPr>
      <w:r w:rsidRPr="009A5818">
        <w:rPr>
          <w:lang w:val="en-AU"/>
        </w:rPr>
        <w:t xml:space="preserve">The efficacy and safety of once daily abaloparatide was evaluated in a randomised, multicentre, double-blind, placebo- and open-label active comparator-controlled (teriparatide) clinical study (ACTIVE study) for 18 months of treatment with 1 month follow-up in 2070 postmenopausal women aged 50 to 86 years (mean age of 69; 15% were &lt;65 years of age, 65% were 65 to </w:t>
      </w:r>
      <w:r w:rsidR="007C5F2C">
        <w:rPr>
          <w:lang w:val="en-AU"/>
        </w:rPr>
        <w:br/>
      </w:r>
      <w:r w:rsidRPr="009A5818">
        <w:rPr>
          <w:lang w:val="en-AU"/>
        </w:rPr>
        <w:t>˂75 years of age, and 20% were ≥75 years of age) who were enrolled and randomised to receive abaloparatide 80 micrograms (N=696), placebo (N=688), or 20 micrograms teriparatide (N=686). Approximately 76% of patients were Caucasian, 19% were Asian, and 4% were Black. Of the total study population, 28% were Hispanic. W</w:t>
      </w:r>
      <w:r w:rsidRPr="004E0C17">
        <w:rPr>
          <w:lang w:val="en-AU"/>
        </w:rPr>
        <w:t xml:space="preserve">omen took daily supplemental calcium (500 to 1 000 mg) and vitamin D (400 to 800 IU) per day. The primary endpoint in ACTIVE was the incidence of new vertebral fractures in abaloparatide-treated patients versus placebo. </w:t>
      </w:r>
    </w:p>
    <w:p w14:paraId="32FDD35B" w14:textId="77777777" w:rsidR="009E656D" w:rsidRPr="004E0C17" w:rsidRDefault="009E656D" w:rsidP="00543400">
      <w:pPr>
        <w:rPr>
          <w:lang w:val="en-AU"/>
        </w:rPr>
      </w:pPr>
    </w:p>
    <w:p w14:paraId="4EA20D92" w14:textId="77777777" w:rsidR="009E656D" w:rsidRPr="004E0C17" w:rsidRDefault="009E656D" w:rsidP="00543400">
      <w:pPr>
        <w:rPr>
          <w:lang w:val="en-AU"/>
        </w:rPr>
      </w:pPr>
      <w:r w:rsidRPr="004E0C17">
        <w:rPr>
          <w:lang w:val="en-AU"/>
        </w:rPr>
        <w:t>At baseline, the mean T-scores were -2.9 at the lumbar spine, -2.2 at the femoral neck, and -1.9 at the total hip. At baseline, 42% of patients had no prior fracture, 23% of patients had at least one prevalent vertebral fracture, and 43% had at least one prior non-vertebral fracture.</w:t>
      </w:r>
    </w:p>
    <w:p w14:paraId="39EF66C4" w14:textId="77777777" w:rsidR="009E656D" w:rsidRPr="004E0C17" w:rsidRDefault="009E656D" w:rsidP="00543400">
      <w:pPr>
        <w:pStyle w:val="Default"/>
        <w:rPr>
          <w:i/>
          <w:iCs/>
          <w:sz w:val="22"/>
          <w:szCs w:val="22"/>
        </w:rPr>
      </w:pPr>
    </w:p>
    <w:p w14:paraId="3046470B" w14:textId="77777777" w:rsidR="009E656D" w:rsidRPr="004E0C17" w:rsidRDefault="009E656D" w:rsidP="007C5F2C">
      <w:pPr>
        <w:pStyle w:val="Heading4"/>
      </w:pPr>
      <w:r w:rsidRPr="004E0C17">
        <w:t xml:space="preserve">Effect on new vertebral fractures </w:t>
      </w:r>
    </w:p>
    <w:p w14:paraId="132042AC" w14:textId="77777777" w:rsidR="009E656D" w:rsidRPr="004E0C17" w:rsidRDefault="009E656D" w:rsidP="00543400">
      <w:pPr>
        <w:rPr>
          <w:lang w:val="en-AU"/>
        </w:rPr>
      </w:pPr>
      <w:r w:rsidRPr="004E0C17">
        <w:rPr>
          <w:lang w:val="en-AU"/>
        </w:rPr>
        <w:t xml:space="preserve">In the ACTIVE study at 18 months, abaloparatide and teriparatide significantly reduced the absolute risk of new vertebral fractures versus placebo in postmenopausal patients with osteoporosis (p&lt;0.0001; see </w:t>
      </w:r>
      <w:r w:rsidRPr="004E0C17">
        <w:rPr>
          <w:lang w:val="en-AU"/>
        </w:rPr>
        <w:fldChar w:fldCharType="begin"/>
      </w:r>
      <w:r w:rsidRPr="004E0C17">
        <w:rPr>
          <w:lang w:val="en-AU"/>
        </w:rPr>
        <w:instrText xml:space="preserve"> REF _Ref139035699 \h  \* MERGEFORMAT </w:instrText>
      </w:r>
      <w:r w:rsidRPr="004E0C17">
        <w:rPr>
          <w:lang w:val="en-AU"/>
        </w:rPr>
      </w:r>
      <w:r w:rsidRPr="004E0C17">
        <w:rPr>
          <w:lang w:val="en-AU"/>
        </w:rPr>
        <w:fldChar w:fldCharType="separate"/>
      </w:r>
      <w:r w:rsidRPr="00C541B9">
        <w:rPr>
          <w:lang w:val="en-AU"/>
        </w:rPr>
        <w:t>Table 2</w:t>
      </w:r>
      <w:r w:rsidRPr="004E0C17">
        <w:rPr>
          <w:lang w:val="en-AU"/>
        </w:rPr>
        <w:fldChar w:fldCharType="end"/>
      </w:r>
      <w:r w:rsidRPr="004E0C17">
        <w:rPr>
          <w:lang w:val="en-AU"/>
        </w:rPr>
        <w:t>).</w:t>
      </w:r>
    </w:p>
    <w:p w14:paraId="57AA7382" w14:textId="77777777" w:rsidR="009E656D" w:rsidRPr="004E0C17" w:rsidRDefault="009E656D" w:rsidP="00543400">
      <w:pPr>
        <w:rPr>
          <w:lang w:val="en-AU"/>
        </w:rPr>
      </w:pPr>
    </w:p>
    <w:p w14:paraId="411E36D1" w14:textId="77777777" w:rsidR="009E656D" w:rsidRPr="004E0C17" w:rsidRDefault="009E656D" w:rsidP="00543400">
      <w:pPr>
        <w:rPr>
          <w:b/>
          <w:bCs/>
          <w:lang w:val="en-AU"/>
        </w:rPr>
      </w:pPr>
      <w:bookmarkStart w:id="8" w:name="_Ref139035699"/>
      <w:r w:rsidRPr="004E0C17">
        <w:rPr>
          <w:b/>
          <w:bCs/>
          <w:lang w:val="en-AU"/>
        </w:rPr>
        <w:t xml:space="preserve">Table </w:t>
      </w:r>
      <w:r w:rsidRPr="004E0C17">
        <w:rPr>
          <w:b/>
          <w:bCs/>
          <w:lang w:val="en-AU"/>
        </w:rPr>
        <w:fldChar w:fldCharType="begin"/>
      </w:r>
      <w:r w:rsidRPr="004E0C17">
        <w:rPr>
          <w:b/>
          <w:bCs/>
          <w:lang w:val="en-AU"/>
        </w:rPr>
        <w:instrText xml:space="preserve"> SEQ Table \* ARABIC </w:instrText>
      </w:r>
      <w:r w:rsidRPr="004E0C17">
        <w:rPr>
          <w:b/>
          <w:bCs/>
          <w:lang w:val="en-AU"/>
        </w:rPr>
        <w:fldChar w:fldCharType="separate"/>
      </w:r>
      <w:r>
        <w:rPr>
          <w:b/>
          <w:bCs/>
          <w:noProof/>
          <w:lang w:val="en-AU"/>
        </w:rPr>
        <w:t>2</w:t>
      </w:r>
      <w:r w:rsidRPr="004E0C17">
        <w:rPr>
          <w:b/>
          <w:bCs/>
          <w:lang w:val="en-AU"/>
        </w:rPr>
        <w:fldChar w:fldCharType="end"/>
      </w:r>
      <w:bookmarkEnd w:id="8"/>
      <w:r w:rsidRPr="004E0C17">
        <w:rPr>
          <w:b/>
          <w:bCs/>
          <w:lang w:val="en-AU"/>
        </w:rPr>
        <w:t xml:space="preserve"> - ACTIVE Trial: the effect* of abaloparatide on the risk of new vertebral fracture at 18 months</w:t>
      </w:r>
    </w:p>
    <w:tbl>
      <w:tblPr>
        <w:tblStyle w:val="TableGrid"/>
        <w:tblW w:w="0" w:type="auto"/>
        <w:tblLook w:val="04A0" w:firstRow="1" w:lastRow="0" w:firstColumn="1" w:lastColumn="0" w:noHBand="0" w:noVBand="1"/>
      </w:tblPr>
      <w:tblGrid>
        <w:gridCol w:w="4102"/>
        <w:gridCol w:w="1638"/>
        <w:gridCol w:w="1638"/>
        <w:gridCol w:w="1638"/>
      </w:tblGrid>
      <w:tr w:rsidR="009E656D" w:rsidRPr="004E0C17" w14:paraId="141E38F2" w14:textId="77777777" w:rsidTr="00BD0B62">
        <w:tc>
          <w:tcPr>
            <w:tcW w:w="4837" w:type="dxa"/>
          </w:tcPr>
          <w:p w14:paraId="3F29BBAE" w14:textId="77777777" w:rsidR="009E656D" w:rsidRPr="004E0C17" w:rsidRDefault="009E656D" w:rsidP="00543400">
            <w:pPr>
              <w:rPr>
                <w:b/>
                <w:bCs/>
                <w:lang w:val="en-AU"/>
              </w:rPr>
            </w:pPr>
            <w:r w:rsidRPr="004E0C17">
              <w:rPr>
                <w:b/>
                <w:bCs/>
                <w:lang w:val="en-AU"/>
              </w:rPr>
              <w:t>Parameter</w:t>
            </w:r>
          </w:p>
        </w:tc>
        <w:tc>
          <w:tcPr>
            <w:tcW w:w="1788" w:type="dxa"/>
          </w:tcPr>
          <w:p w14:paraId="3F11CE30" w14:textId="77777777" w:rsidR="009E656D" w:rsidRPr="004E0C17" w:rsidRDefault="009E656D" w:rsidP="00543400">
            <w:pPr>
              <w:jc w:val="center"/>
              <w:rPr>
                <w:b/>
                <w:bCs/>
                <w:lang w:val="en-AU"/>
              </w:rPr>
            </w:pPr>
            <w:r w:rsidRPr="004E0C17">
              <w:rPr>
                <w:b/>
                <w:bCs/>
                <w:lang w:val="en-AU"/>
              </w:rPr>
              <w:t>PBO</w:t>
            </w:r>
          </w:p>
          <w:p w14:paraId="291FE852" w14:textId="77777777" w:rsidR="009E656D" w:rsidRPr="004E0C17" w:rsidRDefault="009E656D" w:rsidP="00543400">
            <w:pPr>
              <w:jc w:val="center"/>
              <w:rPr>
                <w:b/>
                <w:bCs/>
                <w:lang w:val="en-AU"/>
              </w:rPr>
            </w:pPr>
            <w:r w:rsidRPr="004E0C17">
              <w:rPr>
                <w:b/>
                <w:bCs/>
                <w:lang w:val="en-AU"/>
              </w:rPr>
              <w:t>(N=600)</w:t>
            </w:r>
          </w:p>
        </w:tc>
        <w:tc>
          <w:tcPr>
            <w:tcW w:w="1788" w:type="dxa"/>
          </w:tcPr>
          <w:p w14:paraId="4820664F" w14:textId="77777777" w:rsidR="009E656D" w:rsidRPr="004E0C17" w:rsidRDefault="009E656D" w:rsidP="00543400">
            <w:pPr>
              <w:jc w:val="center"/>
              <w:rPr>
                <w:b/>
                <w:bCs/>
                <w:lang w:val="en-AU"/>
              </w:rPr>
            </w:pPr>
            <w:r w:rsidRPr="004E0C17">
              <w:rPr>
                <w:b/>
                <w:bCs/>
                <w:lang w:val="en-AU"/>
              </w:rPr>
              <w:t>ABL</w:t>
            </w:r>
          </w:p>
          <w:p w14:paraId="1E01BA58" w14:textId="77777777" w:rsidR="009E656D" w:rsidRPr="004E0C17" w:rsidRDefault="009E656D" w:rsidP="00543400">
            <w:pPr>
              <w:jc w:val="center"/>
              <w:rPr>
                <w:b/>
                <w:bCs/>
                <w:lang w:val="en-AU"/>
              </w:rPr>
            </w:pPr>
            <w:r w:rsidRPr="004E0C17">
              <w:rPr>
                <w:b/>
                <w:bCs/>
                <w:lang w:val="en-AU"/>
              </w:rPr>
              <w:t>(N=583)</w:t>
            </w:r>
          </w:p>
        </w:tc>
        <w:tc>
          <w:tcPr>
            <w:tcW w:w="1788" w:type="dxa"/>
          </w:tcPr>
          <w:p w14:paraId="43568D0C" w14:textId="77777777" w:rsidR="009E656D" w:rsidRPr="004E0C17" w:rsidRDefault="009E656D" w:rsidP="00543400">
            <w:pPr>
              <w:jc w:val="center"/>
              <w:rPr>
                <w:b/>
                <w:bCs/>
                <w:lang w:val="en-AU"/>
              </w:rPr>
            </w:pPr>
            <w:r w:rsidRPr="004E0C17">
              <w:rPr>
                <w:b/>
                <w:bCs/>
                <w:lang w:val="en-AU"/>
              </w:rPr>
              <w:t>TER</w:t>
            </w:r>
          </w:p>
          <w:p w14:paraId="6A6DDF59" w14:textId="77777777" w:rsidR="009E656D" w:rsidRPr="004E0C17" w:rsidRDefault="009E656D" w:rsidP="00543400">
            <w:pPr>
              <w:jc w:val="center"/>
              <w:rPr>
                <w:b/>
                <w:bCs/>
                <w:lang w:val="en-AU"/>
              </w:rPr>
            </w:pPr>
            <w:r w:rsidRPr="004E0C17">
              <w:rPr>
                <w:b/>
                <w:bCs/>
                <w:lang w:val="en-AU"/>
              </w:rPr>
              <w:t>(N=600)</w:t>
            </w:r>
          </w:p>
        </w:tc>
      </w:tr>
      <w:tr w:rsidR="009E656D" w:rsidRPr="004E0C17" w14:paraId="658FC488" w14:textId="77777777" w:rsidTr="00BD0B62">
        <w:tc>
          <w:tcPr>
            <w:tcW w:w="4837" w:type="dxa"/>
          </w:tcPr>
          <w:p w14:paraId="667B46B2" w14:textId="77777777" w:rsidR="009E656D" w:rsidRPr="004E0C17" w:rsidRDefault="009E656D" w:rsidP="00543400">
            <w:pPr>
              <w:rPr>
                <w:lang w:val="en-AU"/>
              </w:rPr>
            </w:pPr>
            <w:r w:rsidRPr="004E0C17">
              <w:rPr>
                <w:lang w:val="en-AU"/>
              </w:rPr>
              <w:t>Number of women with vertebral fracture, n (%)</w:t>
            </w:r>
          </w:p>
        </w:tc>
        <w:tc>
          <w:tcPr>
            <w:tcW w:w="1788" w:type="dxa"/>
          </w:tcPr>
          <w:p w14:paraId="22541001" w14:textId="77777777" w:rsidR="009E656D" w:rsidRPr="004E0C17" w:rsidRDefault="009E656D" w:rsidP="00543400">
            <w:pPr>
              <w:jc w:val="center"/>
              <w:rPr>
                <w:lang w:val="en-AU"/>
              </w:rPr>
            </w:pPr>
            <w:r w:rsidRPr="004E0C17">
              <w:rPr>
                <w:lang w:val="en-AU"/>
              </w:rPr>
              <w:t>25 (4.2)</w:t>
            </w:r>
          </w:p>
        </w:tc>
        <w:tc>
          <w:tcPr>
            <w:tcW w:w="1788" w:type="dxa"/>
          </w:tcPr>
          <w:p w14:paraId="0DF6BB13" w14:textId="77777777" w:rsidR="009E656D" w:rsidRPr="004E0C17" w:rsidRDefault="009E656D" w:rsidP="00543400">
            <w:pPr>
              <w:jc w:val="center"/>
              <w:rPr>
                <w:lang w:val="en-AU"/>
              </w:rPr>
            </w:pPr>
            <w:r w:rsidRPr="004E0C17">
              <w:rPr>
                <w:lang w:val="en-AU"/>
              </w:rPr>
              <w:t>3 (0.5)</w:t>
            </w:r>
          </w:p>
        </w:tc>
        <w:tc>
          <w:tcPr>
            <w:tcW w:w="1788" w:type="dxa"/>
          </w:tcPr>
          <w:p w14:paraId="4D739108" w14:textId="77777777" w:rsidR="009E656D" w:rsidRPr="004E0C17" w:rsidRDefault="009E656D" w:rsidP="00543400">
            <w:pPr>
              <w:jc w:val="center"/>
              <w:rPr>
                <w:lang w:val="en-AU"/>
              </w:rPr>
            </w:pPr>
            <w:r w:rsidRPr="004E0C17">
              <w:rPr>
                <w:lang w:val="en-AU"/>
              </w:rPr>
              <w:t>4 (0.7)</w:t>
            </w:r>
          </w:p>
        </w:tc>
      </w:tr>
      <w:tr w:rsidR="009E656D" w:rsidRPr="004E0C17" w14:paraId="4DAE8924" w14:textId="77777777" w:rsidTr="00BD0B62">
        <w:tc>
          <w:tcPr>
            <w:tcW w:w="4837" w:type="dxa"/>
          </w:tcPr>
          <w:p w14:paraId="5773936F" w14:textId="77777777" w:rsidR="009E656D" w:rsidRPr="004E0C17" w:rsidRDefault="009E656D" w:rsidP="00543400">
            <w:pPr>
              <w:rPr>
                <w:lang w:val="en-AU"/>
              </w:rPr>
            </w:pPr>
            <w:r w:rsidRPr="004E0C17">
              <w:rPr>
                <w:lang w:val="en-AU"/>
              </w:rPr>
              <w:t xml:space="preserve">Absolute risk difference vs </w:t>
            </w:r>
            <w:proofErr w:type="spellStart"/>
            <w:r w:rsidRPr="004E0C17">
              <w:rPr>
                <w:lang w:val="en-AU"/>
              </w:rPr>
              <w:t>placebo</w:t>
            </w:r>
            <w:r w:rsidRPr="004E0C17">
              <w:rPr>
                <w:vertAlign w:val="superscript"/>
                <w:lang w:val="en-AU"/>
              </w:rPr>
              <w:t>ǂ</w:t>
            </w:r>
            <w:proofErr w:type="spellEnd"/>
            <w:r w:rsidRPr="004E0C17">
              <w:rPr>
                <w:lang w:val="en-AU"/>
              </w:rPr>
              <w:t xml:space="preserve"> (%)</w:t>
            </w:r>
          </w:p>
          <w:p w14:paraId="07EBF719" w14:textId="77777777" w:rsidR="009E656D" w:rsidRPr="004E0C17" w:rsidRDefault="009E656D" w:rsidP="00543400">
            <w:pPr>
              <w:rPr>
                <w:lang w:val="en-AU"/>
              </w:rPr>
            </w:pPr>
            <w:r w:rsidRPr="004E0C17">
              <w:rPr>
                <w:lang w:val="en-AU"/>
              </w:rPr>
              <w:t>(95% CI)</w:t>
            </w:r>
          </w:p>
        </w:tc>
        <w:tc>
          <w:tcPr>
            <w:tcW w:w="1788" w:type="dxa"/>
          </w:tcPr>
          <w:p w14:paraId="02733188" w14:textId="77777777" w:rsidR="009E656D" w:rsidRPr="004E0C17" w:rsidRDefault="009E656D" w:rsidP="00543400">
            <w:pPr>
              <w:jc w:val="center"/>
              <w:rPr>
                <w:lang w:val="en-AU"/>
              </w:rPr>
            </w:pPr>
            <w:r w:rsidRPr="004E0C17">
              <w:rPr>
                <w:lang w:val="en-AU"/>
              </w:rPr>
              <w:t>n/a</w:t>
            </w:r>
          </w:p>
        </w:tc>
        <w:tc>
          <w:tcPr>
            <w:tcW w:w="1788" w:type="dxa"/>
          </w:tcPr>
          <w:p w14:paraId="183FF1C5" w14:textId="77777777" w:rsidR="009E656D" w:rsidRPr="004E0C17" w:rsidRDefault="009E656D" w:rsidP="00543400">
            <w:pPr>
              <w:jc w:val="center"/>
              <w:rPr>
                <w:lang w:val="en-AU"/>
              </w:rPr>
            </w:pPr>
            <w:r w:rsidRPr="004E0C17">
              <w:rPr>
                <w:lang w:val="en-AU"/>
              </w:rPr>
              <w:t>3.7 (2.0, 5.6)</w:t>
            </w:r>
          </w:p>
        </w:tc>
        <w:tc>
          <w:tcPr>
            <w:tcW w:w="1788" w:type="dxa"/>
          </w:tcPr>
          <w:p w14:paraId="682AD15B" w14:textId="77777777" w:rsidR="009E656D" w:rsidRPr="004E0C17" w:rsidRDefault="009E656D" w:rsidP="00543400">
            <w:pPr>
              <w:jc w:val="center"/>
              <w:rPr>
                <w:lang w:val="en-AU"/>
              </w:rPr>
            </w:pPr>
            <w:r w:rsidRPr="004E0C17">
              <w:rPr>
                <w:lang w:val="en-AU"/>
              </w:rPr>
              <w:t>3.5 (1.8, 5.5)</w:t>
            </w:r>
          </w:p>
        </w:tc>
      </w:tr>
    </w:tbl>
    <w:p w14:paraId="3BD0184C" w14:textId="77777777" w:rsidR="009E656D" w:rsidRPr="004E0C17" w:rsidRDefault="009E656D" w:rsidP="00543400">
      <w:pPr>
        <w:rPr>
          <w:sz w:val="20"/>
          <w:szCs w:val="20"/>
          <w:lang w:val="en-AU"/>
        </w:rPr>
      </w:pPr>
      <w:r w:rsidRPr="004E0C17">
        <w:rPr>
          <w:sz w:val="20"/>
          <w:szCs w:val="20"/>
          <w:lang w:val="en-AU"/>
        </w:rPr>
        <w:t xml:space="preserve">*Based on Modified Intent to Treat Population (patients with baseline and post-baseline spine radiographs) </w:t>
      </w:r>
    </w:p>
    <w:p w14:paraId="3940FCDE" w14:textId="77777777" w:rsidR="009E656D" w:rsidRPr="004E0C17" w:rsidRDefault="009E656D" w:rsidP="00543400">
      <w:pPr>
        <w:rPr>
          <w:sz w:val="20"/>
          <w:szCs w:val="20"/>
          <w:lang w:val="en-AU"/>
        </w:rPr>
      </w:pPr>
      <w:r w:rsidRPr="004E0C17">
        <w:rPr>
          <w:sz w:val="20"/>
          <w:szCs w:val="20"/>
          <w:vertAlign w:val="superscript"/>
          <w:lang w:val="en-AU"/>
        </w:rPr>
        <w:t xml:space="preserve">ǂ </w:t>
      </w:r>
      <w:r w:rsidRPr="004E0C17">
        <w:rPr>
          <w:sz w:val="20"/>
          <w:szCs w:val="20"/>
          <w:lang w:val="en-AU"/>
        </w:rPr>
        <w:t xml:space="preserve">Absolute risk difference was calculated as (PBO – ABL) and (PBO – TER). </w:t>
      </w:r>
    </w:p>
    <w:p w14:paraId="0D31A1A6" w14:textId="77777777" w:rsidR="009E656D" w:rsidRPr="004E0C17" w:rsidRDefault="009E656D" w:rsidP="00543400">
      <w:pPr>
        <w:rPr>
          <w:sz w:val="20"/>
          <w:szCs w:val="20"/>
          <w:lang w:val="en-AU"/>
        </w:rPr>
      </w:pPr>
      <w:r w:rsidRPr="004E0C17">
        <w:rPr>
          <w:sz w:val="20"/>
          <w:szCs w:val="20"/>
          <w:lang w:val="en-AU"/>
        </w:rPr>
        <w:t xml:space="preserve">PBO=placebo, ABL=abaloparatide, TER=teriparatide, CI=Confidence Interval </w:t>
      </w:r>
    </w:p>
    <w:p w14:paraId="44131E58" w14:textId="77777777" w:rsidR="009E656D" w:rsidRPr="004E0C17" w:rsidRDefault="009E656D" w:rsidP="00543400">
      <w:pPr>
        <w:rPr>
          <w:lang w:val="en-AU"/>
        </w:rPr>
      </w:pPr>
    </w:p>
    <w:p w14:paraId="2C7FE2EC" w14:textId="77777777" w:rsidR="009E656D" w:rsidRPr="004E0C17" w:rsidRDefault="009E656D" w:rsidP="007C5F2C">
      <w:pPr>
        <w:pStyle w:val="Heading4"/>
      </w:pPr>
      <w:r w:rsidRPr="004E0C17">
        <w:lastRenderedPageBreak/>
        <w:t xml:space="preserve">Effect on non-vertebral fractures </w:t>
      </w:r>
    </w:p>
    <w:p w14:paraId="4131401E" w14:textId="77777777" w:rsidR="009E656D" w:rsidRPr="004E0C17" w:rsidRDefault="009E656D" w:rsidP="00543400">
      <w:pPr>
        <w:rPr>
          <w:lang w:val="en-AU"/>
        </w:rPr>
      </w:pPr>
      <w:r w:rsidRPr="004E0C17">
        <w:rPr>
          <w:lang w:val="en-AU"/>
        </w:rPr>
        <w:t xml:space="preserve">In the ACTIVE study at 19 months, the incidence of non-vertebral fractures was similar between the abaloparatide (2.7%) and teriparatide (2.0%) groups, and not statistically different compared to placebo (3.6%) (see </w:t>
      </w:r>
      <w:r w:rsidRPr="004E0C17">
        <w:rPr>
          <w:lang w:val="en-AU"/>
        </w:rPr>
        <w:fldChar w:fldCharType="begin"/>
      </w:r>
      <w:r w:rsidRPr="004E0C17">
        <w:rPr>
          <w:lang w:val="en-AU"/>
        </w:rPr>
        <w:instrText xml:space="preserve"> REF _Ref139462827 \h  \* MERGEFORMAT </w:instrText>
      </w:r>
      <w:r w:rsidRPr="004E0C17">
        <w:rPr>
          <w:lang w:val="en-AU"/>
        </w:rPr>
      </w:r>
      <w:r w:rsidRPr="004E0C17">
        <w:rPr>
          <w:lang w:val="en-AU"/>
        </w:rPr>
        <w:fldChar w:fldCharType="separate"/>
      </w:r>
      <w:r w:rsidRPr="00C541B9">
        <w:rPr>
          <w:lang w:val="en-AU"/>
        </w:rPr>
        <w:t>Table 3</w:t>
      </w:r>
      <w:r w:rsidRPr="004E0C17">
        <w:rPr>
          <w:lang w:val="en-AU"/>
        </w:rPr>
        <w:fldChar w:fldCharType="end"/>
      </w:r>
      <w:r w:rsidRPr="004E0C17">
        <w:rPr>
          <w:lang w:val="en-AU"/>
        </w:rPr>
        <w:t>).</w:t>
      </w:r>
    </w:p>
    <w:p w14:paraId="19758436" w14:textId="77777777" w:rsidR="009E656D" w:rsidRPr="004E0C17" w:rsidRDefault="009E656D" w:rsidP="00543400">
      <w:pPr>
        <w:rPr>
          <w:b/>
          <w:bCs/>
          <w:lang w:val="en-AU"/>
        </w:rPr>
      </w:pPr>
    </w:p>
    <w:p w14:paraId="4C5DBFC4" w14:textId="77777777" w:rsidR="009E656D" w:rsidRPr="004E0C17" w:rsidRDefault="009E656D" w:rsidP="00543400">
      <w:pPr>
        <w:pStyle w:val="Caption"/>
        <w:keepNext/>
        <w:spacing w:after="0"/>
        <w:rPr>
          <w:b/>
          <w:bCs/>
          <w:i w:val="0"/>
          <w:iCs w:val="0"/>
          <w:color w:val="auto"/>
          <w:sz w:val="22"/>
          <w:szCs w:val="22"/>
          <w:lang w:val="en-AU"/>
        </w:rPr>
      </w:pPr>
      <w:bookmarkStart w:id="9" w:name="_Ref139462827"/>
      <w:r w:rsidRPr="004E0C17">
        <w:rPr>
          <w:b/>
          <w:bCs/>
          <w:i w:val="0"/>
          <w:iCs w:val="0"/>
          <w:color w:val="auto"/>
          <w:sz w:val="22"/>
          <w:szCs w:val="22"/>
          <w:lang w:val="en-AU"/>
        </w:rPr>
        <w:t xml:space="preserve">Table </w:t>
      </w:r>
      <w:r w:rsidRPr="004E0C17">
        <w:rPr>
          <w:b/>
          <w:bCs/>
          <w:i w:val="0"/>
          <w:iCs w:val="0"/>
          <w:color w:val="auto"/>
          <w:sz w:val="22"/>
          <w:szCs w:val="22"/>
          <w:lang w:val="en-AU"/>
        </w:rPr>
        <w:fldChar w:fldCharType="begin"/>
      </w:r>
      <w:r w:rsidRPr="004E0C17">
        <w:rPr>
          <w:b/>
          <w:bCs/>
          <w:i w:val="0"/>
          <w:iCs w:val="0"/>
          <w:color w:val="auto"/>
          <w:sz w:val="22"/>
          <w:szCs w:val="22"/>
          <w:lang w:val="en-AU"/>
        </w:rPr>
        <w:instrText xml:space="preserve"> SEQ Table \* ARABIC </w:instrText>
      </w:r>
      <w:r w:rsidRPr="004E0C17">
        <w:rPr>
          <w:b/>
          <w:bCs/>
          <w:i w:val="0"/>
          <w:iCs w:val="0"/>
          <w:color w:val="auto"/>
          <w:sz w:val="22"/>
          <w:szCs w:val="22"/>
          <w:lang w:val="en-AU"/>
        </w:rPr>
        <w:fldChar w:fldCharType="separate"/>
      </w:r>
      <w:r>
        <w:rPr>
          <w:b/>
          <w:bCs/>
          <w:i w:val="0"/>
          <w:iCs w:val="0"/>
          <w:noProof/>
          <w:color w:val="auto"/>
          <w:sz w:val="22"/>
          <w:szCs w:val="22"/>
          <w:lang w:val="en-AU"/>
        </w:rPr>
        <w:t>3</w:t>
      </w:r>
      <w:r w:rsidRPr="004E0C17">
        <w:rPr>
          <w:b/>
          <w:bCs/>
          <w:i w:val="0"/>
          <w:iCs w:val="0"/>
          <w:color w:val="auto"/>
          <w:sz w:val="22"/>
          <w:szCs w:val="22"/>
          <w:lang w:val="en-AU"/>
        </w:rPr>
        <w:fldChar w:fldCharType="end"/>
      </w:r>
      <w:bookmarkEnd w:id="9"/>
      <w:r w:rsidRPr="004E0C17">
        <w:rPr>
          <w:b/>
          <w:bCs/>
          <w:i w:val="0"/>
          <w:iCs w:val="0"/>
          <w:color w:val="auto"/>
          <w:sz w:val="22"/>
          <w:szCs w:val="22"/>
          <w:lang w:val="en-AU"/>
        </w:rPr>
        <w:t xml:space="preserve"> - ACTIVE Trial: time-to-event of non-vertebral fracture at 19 months</w:t>
      </w:r>
    </w:p>
    <w:tbl>
      <w:tblPr>
        <w:tblStyle w:val="TableGrid"/>
        <w:tblW w:w="0" w:type="auto"/>
        <w:tblLook w:val="04A0" w:firstRow="1" w:lastRow="0" w:firstColumn="1" w:lastColumn="0" w:noHBand="0" w:noVBand="1"/>
      </w:tblPr>
      <w:tblGrid>
        <w:gridCol w:w="4105"/>
        <w:gridCol w:w="1637"/>
        <w:gridCol w:w="1637"/>
        <w:gridCol w:w="1637"/>
      </w:tblGrid>
      <w:tr w:rsidR="009E656D" w:rsidRPr="004E0C17" w14:paraId="477BFE03" w14:textId="77777777" w:rsidTr="00197932">
        <w:tc>
          <w:tcPr>
            <w:tcW w:w="4837" w:type="dxa"/>
          </w:tcPr>
          <w:p w14:paraId="4392AC3A" w14:textId="77777777" w:rsidR="009E656D" w:rsidRPr="004E0C17" w:rsidRDefault="009E656D" w:rsidP="00543400">
            <w:pPr>
              <w:rPr>
                <w:b/>
                <w:bCs/>
                <w:lang w:val="en-AU"/>
              </w:rPr>
            </w:pPr>
            <w:r w:rsidRPr="004E0C17">
              <w:rPr>
                <w:b/>
                <w:bCs/>
                <w:lang w:val="en-AU"/>
              </w:rPr>
              <w:t>Parameter</w:t>
            </w:r>
          </w:p>
        </w:tc>
        <w:tc>
          <w:tcPr>
            <w:tcW w:w="1788" w:type="dxa"/>
          </w:tcPr>
          <w:p w14:paraId="6CE607BB" w14:textId="77777777" w:rsidR="009E656D" w:rsidRPr="004E0C17" w:rsidRDefault="009E656D" w:rsidP="00543400">
            <w:pPr>
              <w:jc w:val="center"/>
              <w:rPr>
                <w:b/>
                <w:bCs/>
                <w:lang w:val="en-AU"/>
              </w:rPr>
            </w:pPr>
            <w:r w:rsidRPr="004E0C17">
              <w:rPr>
                <w:b/>
                <w:bCs/>
                <w:lang w:val="en-AU"/>
              </w:rPr>
              <w:t>PBO</w:t>
            </w:r>
          </w:p>
          <w:p w14:paraId="4FC388E5" w14:textId="77777777" w:rsidR="009E656D" w:rsidRPr="004E0C17" w:rsidRDefault="009E656D" w:rsidP="00543400">
            <w:pPr>
              <w:jc w:val="center"/>
              <w:rPr>
                <w:b/>
                <w:bCs/>
                <w:lang w:val="en-AU"/>
              </w:rPr>
            </w:pPr>
            <w:r w:rsidRPr="004E0C17">
              <w:rPr>
                <w:b/>
                <w:bCs/>
                <w:lang w:val="en-AU"/>
              </w:rPr>
              <w:t>(N=688)</w:t>
            </w:r>
          </w:p>
        </w:tc>
        <w:tc>
          <w:tcPr>
            <w:tcW w:w="1788" w:type="dxa"/>
          </w:tcPr>
          <w:p w14:paraId="1B678BB1" w14:textId="77777777" w:rsidR="009E656D" w:rsidRPr="004E0C17" w:rsidRDefault="009E656D" w:rsidP="00543400">
            <w:pPr>
              <w:jc w:val="center"/>
              <w:rPr>
                <w:b/>
                <w:bCs/>
                <w:lang w:val="en-AU"/>
              </w:rPr>
            </w:pPr>
            <w:r w:rsidRPr="004E0C17">
              <w:rPr>
                <w:b/>
                <w:bCs/>
                <w:lang w:val="en-AU"/>
              </w:rPr>
              <w:t>ABL</w:t>
            </w:r>
          </w:p>
          <w:p w14:paraId="6E66B840" w14:textId="77777777" w:rsidR="009E656D" w:rsidRPr="004E0C17" w:rsidRDefault="009E656D" w:rsidP="00543400">
            <w:pPr>
              <w:jc w:val="center"/>
              <w:rPr>
                <w:b/>
                <w:bCs/>
                <w:lang w:val="en-AU"/>
              </w:rPr>
            </w:pPr>
            <w:r w:rsidRPr="004E0C17">
              <w:rPr>
                <w:b/>
                <w:bCs/>
                <w:lang w:val="en-AU"/>
              </w:rPr>
              <w:t>(N=696)</w:t>
            </w:r>
          </w:p>
        </w:tc>
        <w:tc>
          <w:tcPr>
            <w:tcW w:w="1788" w:type="dxa"/>
          </w:tcPr>
          <w:p w14:paraId="75B75CDE" w14:textId="77777777" w:rsidR="009E656D" w:rsidRPr="004E0C17" w:rsidRDefault="009E656D" w:rsidP="00543400">
            <w:pPr>
              <w:jc w:val="center"/>
              <w:rPr>
                <w:b/>
                <w:bCs/>
                <w:lang w:val="en-AU"/>
              </w:rPr>
            </w:pPr>
            <w:r w:rsidRPr="004E0C17">
              <w:rPr>
                <w:b/>
                <w:bCs/>
                <w:lang w:val="en-AU"/>
              </w:rPr>
              <w:t>TER</w:t>
            </w:r>
          </w:p>
          <w:p w14:paraId="1672A6F7" w14:textId="77777777" w:rsidR="009E656D" w:rsidRPr="004E0C17" w:rsidRDefault="009E656D" w:rsidP="00543400">
            <w:pPr>
              <w:jc w:val="center"/>
              <w:rPr>
                <w:b/>
                <w:bCs/>
                <w:lang w:val="en-AU"/>
              </w:rPr>
            </w:pPr>
            <w:r w:rsidRPr="004E0C17">
              <w:rPr>
                <w:b/>
                <w:bCs/>
                <w:lang w:val="en-AU"/>
              </w:rPr>
              <w:t>(N=686)</w:t>
            </w:r>
          </w:p>
        </w:tc>
      </w:tr>
      <w:tr w:rsidR="009E656D" w:rsidRPr="004E0C17" w14:paraId="2F736A12" w14:textId="77777777" w:rsidTr="00197932">
        <w:tc>
          <w:tcPr>
            <w:tcW w:w="4837" w:type="dxa"/>
          </w:tcPr>
          <w:p w14:paraId="7ACCA056" w14:textId="77777777" w:rsidR="009E656D" w:rsidRPr="004E0C17" w:rsidRDefault="009E656D" w:rsidP="00543400">
            <w:pPr>
              <w:rPr>
                <w:lang w:val="en-AU"/>
              </w:rPr>
            </w:pPr>
            <w:r w:rsidRPr="004E0C17">
              <w:rPr>
                <w:lang w:val="en-AU"/>
              </w:rPr>
              <w:t>K-M estimated event rate (%)</w:t>
            </w:r>
          </w:p>
          <w:p w14:paraId="17300EFC" w14:textId="77777777" w:rsidR="009E656D" w:rsidRPr="004E0C17" w:rsidRDefault="009E656D" w:rsidP="00543400">
            <w:pPr>
              <w:rPr>
                <w:lang w:val="en-AU"/>
              </w:rPr>
            </w:pPr>
            <w:r w:rsidRPr="004E0C17">
              <w:rPr>
                <w:lang w:val="en-AU"/>
              </w:rPr>
              <w:t>(95% CI)</w:t>
            </w:r>
          </w:p>
        </w:tc>
        <w:tc>
          <w:tcPr>
            <w:tcW w:w="1788" w:type="dxa"/>
          </w:tcPr>
          <w:p w14:paraId="29BBAA3F" w14:textId="77777777" w:rsidR="009E656D" w:rsidRPr="004E0C17" w:rsidRDefault="009E656D" w:rsidP="00543400">
            <w:pPr>
              <w:jc w:val="center"/>
              <w:rPr>
                <w:lang w:val="en-AU"/>
              </w:rPr>
            </w:pPr>
            <w:r w:rsidRPr="004E0C17">
              <w:rPr>
                <w:lang w:val="en-AU"/>
              </w:rPr>
              <w:t>3.6</w:t>
            </w:r>
          </w:p>
          <w:p w14:paraId="1F7EFE6B" w14:textId="77777777" w:rsidR="009E656D" w:rsidRPr="004E0C17" w:rsidRDefault="009E656D" w:rsidP="00543400">
            <w:pPr>
              <w:jc w:val="center"/>
              <w:rPr>
                <w:lang w:val="en-AU"/>
              </w:rPr>
            </w:pPr>
            <w:r w:rsidRPr="004E0C17">
              <w:rPr>
                <w:lang w:val="en-AU"/>
              </w:rPr>
              <w:t>(2.3, 5.4)</w:t>
            </w:r>
          </w:p>
        </w:tc>
        <w:tc>
          <w:tcPr>
            <w:tcW w:w="1788" w:type="dxa"/>
          </w:tcPr>
          <w:p w14:paraId="65F305F1" w14:textId="77777777" w:rsidR="009E656D" w:rsidRPr="004E0C17" w:rsidRDefault="009E656D" w:rsidP="00543400">
            <w:pPr>
              <w:jc w:val="center"/>
              <w:rPr>
                <w:lang w:val="en-AU"/>
              </w:rPr>
            </w:pPr>
            <w:r w:rsidRPr="004E0C17">
              <w:rPr>
                <w:lang w:val="en-AU"/>
              </w:rPr>
              <w:t>2.7</w:t>
            </w:r>
          </w:p>
          <w:p w14:paraId="3737DBCC" w14:textId="77777777" w:rsidR="009E656D" w:rsidRPr="004E0C17" w:rsidRDefault="009E656D" w:rsidP="00543400">
            <w:pPr>
              <w:jc w:val="center"/>
              <w:rPr>
                <w:lang w:val="en-AU"/>
              </w:rPr>
            </w:pPr>
            <w:r w:rsidRPr="004E0C17">
              <w:rPr>
                <w:lang w:val="en-AU"/>
              </w:rPr>
              <w:t>(1.6, 4.4)</w:t>
            </w:r>
          </w:p>
        </w:tc>
        <w:tc>
          <w:tcPr>
            <w:tcW w:w="1788" w:type="dxa"/>
          </w:tcPr>
          <w:p w14:paraId="74F7F480" w14:textId="77777777" w:rsidR="009E656D" w:rsidRPr="004E0C17" w:rsidRDefault="009E656D" w:rsidP="00543400">
            <w:pPr>
              <w:jc w:val="center"/>
              <w:rPr>
                <w:lang w:val="en-AU"/>
              </w:rPr>
            </w:pPr>
            <w:r w:rsidRPr="004E0C17">
              <w:rPr>
                <w:lang w:val="en-AU"/>
              </w:rPr>
              <w:t xml:space="preserve">2.0 </w:t>
            </w:r>
          </w:p>
          <w:p w14:paraId="676BD912" w14:textId="77777777" w:rsidR="009E656D" w:rsidRPr="004E0C17" w:rsidRDefault="009E656D" w:rsidP="00543400">
            <w:pPr>
              <w:jc w:val="center"/>
              <w:rPr>
                <w:lang w:val="en-AU"/>
              </w:rPr>
            </w:pPr>
            <w:r w:rsidRPr="004E0C17">
              <w:rPr>
                <w:lang w:val="en-AU"/>
              </w:rPr>
              <w:t>(1.1, 3.4)</w:t>
            </w:r>
          </w:p>
        </w:tc>
      </w:tr>
      <w:tr w:rsidR="009E656D" w:rsidRPr="004E0C17" w14:paraId="394EBCD7" w14:textId="77777777" w:rsidTr="00197932">
        <w:tc>
          <w:tcPr>
            <w:tcW w:w="4837" w:type="dxa"/>
          </w:tcPr>
          <w:p w14:paraId="79B908E8" w14:textId="77777777" w:rsidR="009E656D" w:rsidRPr="004E0C17" w:rsidRDefault="009E656D" w:rsidP="00543400">
            <w:pPr>
              <w:rPr>
                <w:lang w:val="en-AU"/>
              </w:rPr>
            </w:pPr>
            <w:r w:rsidRPr="004E0C17">
              <w:rPr>
                <w:lang w:val="en-AU"/>
              </w:rPr>
              <w:t>Number of patients with event</w:t>
            </w:r>
          </w:p>
          <w:p w14:paraId="4A979A5A" w14:textId="77777777" w:rsidR="009E656D" w:rsidRPr="004E0C17" w:rsidRDefault="009E656D" w:rsidP="00543400">
            <w:pPr>
              <w:rPr>
                <w:lang w:val="en-AU"/>
              </w:rPr>
            </w:pPr>
            <w:r w:rsidRPr="004E0C17">
              <w:rPr>
                <w:lang w:val="en-AU"/>
              </w:rPr>
              <w:t>n (%)</w:t>
            </w:r>
          </w:p>
        </w:tc>
        <w:tc>
          <w:tcPr>
            <w:tcW w:w="1788" w:type="dxa"/>
          </w:tcPr>
          <w:p w14:paraId="35094217" w14:textId="77777777" w:rsidR="009E656D" w:rsidRPr="004E0C17" w:rsidRDefault="009E656D" w:rsidP="00543400">
            <w:pPr>
              <w:jc w:val="center"/>
              <w:rPr>
                <w:lang w:val="en-AU"/>
              </w:rPr>
            </w:pPr>
            <w:r w:rsidRPr="004E0C17">
              <w:rPr>
                <w:lang w:val="en-AU"/>
              </w:rPr>
              <w:t>21 (3.1)</w:t>
            </w:r>
          </w:p>
        </w:tc>
        <w:tc>
          <w:tcPr>
            <w:tcW w:w="1788" w:type="dxa"/>
          </w:tcPr>
          <w:p w14:paraId="3F394C90" w14:textId="77777777" w:rsidR="009E656D" w:rsidRPr="004E0C17" w:rsidRDefault="009E656D" w:rsidP="00543400">
            <w:pPr>
              <w:jc w:val="center"/>
              <w:rPr>
                <w:lang w:val="en-AU"/>
              </w:rPr>
            </w:pPr>
            <w:r w:rsidRPr="004E0C17">
              <w:rPr>
                <w:lang w:val="en-AU"/>
              </w:rPr>
              <w:t>15 (2.2)</w:t>
            </w:r>
          </w:p>
        </w:tc>
        <w:tc>
          <w:tcPr>
            <w:tcW w:w="1788" w:type="dxa"/>
          </w:tcPr>
          <w:p w14:paraId="143B12D9" w14:textId="77777777" w:rsidR="009E656D" w:rsidRPr="004E0C17" w:rsidRDefault="009E656D" w:rsidP="00543400">
            <w:pPr>
              <w:jc w:val="center"/>
              <w:rPr>
                <w:lang w:val="en-AU"/>
              </w:rPr>
            </w:pPr>
            <w:r w:rsidRPr="004E0C17">
              <w:rPr>
                <w:lang w:val="en-AU"/>
              </w:rPr>
              <w:t>12 (1.7)</w:t>
            </w:r>
          </w:p>
        </w:tc>
      </w:tr>
      <w:tr w:rsidR="009E656D" w:rsidRPr="004E0C17" w14:paraId="187F18DE" w14:textId="77777777" w:rsidTr="00197932">
        <w:tc>
          <w:tcPr>
            <w:tcW w:w="4837" w:type="dxa"/>
          </w:tcPr>
          <w:p w14:paraId="1CAF4BD0" w14:textId="77777777" w:rsidR="009E656D" w:rsidRPr="004E0C17" w:rsidRDefault="009E656D" w:rsidP="00543400">
            <w:pPr>
              <w:rPr>
                <w:lang w:val="en-AU"/>
              </w:rPr>
            </w:pPr>
            <w:r w:rsidRPr="004E0C17">
              <w:rPr>
                <w:lang w:val="en-AU"/>
              </w:rPr>
              <w:t>Absolute risk difference vs placebo* (%)</w:t>
            </w:r>
          </w:p>
          <w:p w14:paraId="0BFC3DE3" w14:textId="77777777" w:rsidR="009E656D" w:rsidRPr="004E0C17" w:rsidRDefault="009E656D" w:rsidP="00543400">
            <w:pPr>
              <w:rPr>
                <w:lang w:val="en-AU"/>
              </w:rPr>
            </w:pPr>
            <w:r w:rsidRPr="004E0C17">
              <w:rPr>
                <w:lang w:val="en-AU"/>
              </w:rPr>
              <w:t>(95% CI)</w:t>
            </w:r>
          </w:p>
        </w:tc>
        <w:tc>
          <w:tcPr>
            <w:tcW w:w="1788" w:type="dxa"/>
          </w:tcPr>
          <w:p w14:paraId="66DEE057" w14:textId="77777777" w:rsidR="009E656D" w:rsidRPr="004E0C17" w:rsidRDefault="009E656D" w:rsidP="00543400">
            <w:pPr>
              <w:jc w:val="center"/>
              <w:rPr>
                <w:lang w:val="en-AU"/>
              </w:rPr>
            </w:pPr>
            <w:r w:rsidRPr="004E0C17">
              <w:rPr>
                <w:lang w:val="en-AU"/>
              </w:rPr>
              <w:t>n/a</w:t>
            </w:r>
          </w:p>
        </w:tc>
        <w:tc>
          <w:tcPr>
            <w:tcW w:w="1788" w:type="dxa"/>
          </w:tcPr>
          <w:p w14:paraId="0F515043" w14:textId="77777777" w:rsidR="009E656D" w:rsidRPr="004E0C17" w:rsidRDefault="009E656D" w:rsidP="00543400">
            <w:pPr>
              <w:jc w:val="center"/>
              <w:rPr>
                <w:lang w:val="en-AU"/>
              </w:rPr>
            </w:pPr>
            <w:r w:rsidRPr="004E0C17">
              <w:rPr>
                <w:lang w:val="en-AU"/>
              </w:rPr>
              <w:t>0.9</w:t>
            </w:r>
          </w:p>
          <w:p w14:paraId="3D80C7F9" w14:textId="77777777" w:rsidR="009E656D" w:rsidRPr="004E0C17" w:rsidRDefault="009E656D" w:rsidP="00543400">
            <w:pPr>
              <w:jc w:val="center"/>
              <w:rPr>
                <w:lang w:val="en-AU"/>
              </w:rPr>
            </w:pPr>
            <w:r w:rsidRPr="004E0C17">
              <w:rPr>
                <w:lang w:val="en-AU"/>
              </w:rPr>
              <w:t>(-1.1, 2.9)</w:t>
            </w:r>
          </w:p>
        </w:tc>
        <w:tc>
          <w:tcPr>
            <w:tcW w:w="1788" w:type="dxa"/>
          </w:tcPr>
          <w:p w14:paraId="108466B0" w14:textId="77777777" w:rsidR="009E656D" w:rsidRPr="004E0C17" w:rsidRDefault="009E656D" w:rsidP="00543400">
            <w:pPr>
              <w:jc w:val="center"/>
              <w:rPr>
                <w:lang w:val="en-AU"/>
              </w:rPr>
            </w:pPr>
            <w:r w:rsidRPr="004E0C17">
              <w:rPr>
                <w:lang w:val="en-AU"/>
              </w:rPr>
              <w:t>1.6</w:t>
            </w:r>
          </w:p>
          <w:p w14:paraId="42642F80" w14:textId="77777777" w:rsidR="009E656D" w:rsidRPr="004E0C17" w:rsidRDefault="009E656D" w:rsidP="00543400">
            <w:pPr>
              <w:jc w:val="center"/>
              <w:rPr>
                <w:lang w:val="en-AU"/>
              </w:rPr>
            </w:pPr>
            <w:r w:rsidRPr="004E0C17">
              <w:rPr>
                <w:lang w:val="en-AU"/>
              </w:rPr>
              <w:t>(-0.3, 3.5)</w:t>
            </w:r>
          </w:p>
        </w:tc>
      </w:tr>
      <w:tr w:rsidR="009E656D" w:rsidRPr="004E0C17" w14:paraId="3A0F88A3" w14:textId="77777777" w:rsidTr="00197932">
        <w:tc>
          <w:tcPr>
            <w:tcW w:w="4837" w:type="dxa"/>
          </w:tcPr>
          <w:p w14:paraId="5EE9CE8B" w14:textId="77777777" w:rsidR="009E656D" w:rsidRPr="004E0C17" w:rsidRDefault="009E656D" w:rsidP="000C2E47">
            <w:pPr>
              <w:rPr>
                <w:lang w:val="en-AU"/>
              </w:rPr>
            </w:pPr>
            <w:r>
              <w:rPr>
                <w:lang w:val="en-AU"/>
              </w:rPr>
              <w:t>p-value vs placebo</w:t>
            </w:r>
          </w:p>
        </w:tc>
        <w:tc>
          <w:tcPr>
            <w:tcW w:w="1788" w:type="dxa"/>
          </w:tcPr>
          <w:p w14:paraId="4AA598CA" w14:textId="77777777" w:rsidR="009E656D" w:rsidRPr="004E0C17" w:rsidRDefault="009E656D" w:rsidP="000C2E47">
            <w:pPr>
              <w:jc w:val="center"/>
              <w:rPr>
                <w:lang w:val="en-AU"/>
              </w:rPr>
            </w:pPr>
          </w:p>
        </w:tc>
        <w:tc>
          <w:tcPr>
            <w:tcW w:w="1788" w:type="dxa"/>
          </w:tcPr>
          <w:p w14:paraId="4DE3659C" w14:textId="77777777" w:rsidR="009E656D" w:rsidRPr="004E0C17" w:rsidRDefault="009E656D" w:rsidP="000C2E47">
            <w:pPr>
              <w:jc w:val="center"/>
              <w:rPr>
                <w:lang w:val="en-AU"/>
              </w:rPr>
            </w:pPr>
            <w:r>
              <w:rPr>
                <w:lang w:val="en-AU"/>
              </w:rPr>
              <w:t>0.3675</w:t>
            </w:r>
          </w:p>
        </w:tc>
        <w:tc>
          <w:tcPr>
            <w:tcW w:w="1788" w:type="dxa"/>
          </w:tcPr>
          <w:p w14:paraId="27BDDE8D" w14:textId="77777777" w:rsidR="009E656D" w:rsidRPr="004E0C17" w:rsidRDefault="009E656D" w:rsidP="000C2E47">
            <w:pPr>
              <w:jc w:val="center"/>
              <w:rPr>
                <w:lang w:val="en-AU"/>
              </w:rPr>
            </w:pPr>
            <w:r>
              <w:rPr>
                <w:lang w:val="en-AU"/>
              </w:rPr>
              <w:t>0.1095</w:t>
            </w:r>
          </w:p>
        </w:tc>
      </w:tr>
      <w:tr w:rsidR="009E656D" w:rsidRPr="004E0C17" w14:paraId="707BC27F" w14:textId="77777777" w:rsidTr="00197932">
        <w:tc>
          <w:tcPr>
            <w:tcW w:w="4837" w:type="dxa"/>
          </w:tcPr>
          <w:p w14:paraId="00F99EA6" w14:textId="77777777" w:rsidR="009E656D" w:rsidRPr="004E0C17" w:rsidRDefault="009E656D" w:rsidP="000C2E47">
            <w:pPr>
              <w:rPr>
                <w:lang w:val="en-AU"/>
              </w:rPr>
            </w:pPr>
            <w:r>
              <w:rPr>
                <w:lang w:val="en-AU"/>
              </w:rPr>
              <w:t>p-value vs teriparatide</w:t>
            </w:r>
          </w:p>
        </w:tc>
        <w:tc>
          <w:tcPr>
            <w:tcW w:w="1788" w:type="dxa"/>
          </w:tcPr>
          <w:p w14:paraId="0347FA16" w14:textId="77777777" w:rsidR="009E656D" w:rsidRPr="004E0C17" w:rsidRDefault="009E656D" w:rsidP="000C2E47">
            <w:pPr>
              <w:jc w:val="center"/>
              <w:rPr>
                <w:lang w:val="en-AU"/>
              </w:rPr>
            </w:pPr>
          </w:p>
        </w:tc>
        <w:tc>
          <w:tcPr>
            <w:tcW w:w="1788" w:type="dxa"/>
          </w:tcPr>
          <w:p w14:paraId="7B51BECF" w14:textId="77777777" w:rsidR="009E656D" w:rsidRPr="004E0C17" w:rsidRDefault="009E656D" w:rsidP="000C2E47">
            <w:pPr>
              <w:jc w:val="center"/>
              <w:rPr>
                <w:lang w:val="en-AU"/>
              </w:rPr>
            </w:pPr>
            <w:r>
              <w:rPr>
                <w:lang w:val="en-AU"/>
              </w:rPr>
              <w:t>0.4919</w:t>
            </w:r>
          </w:p>
        </w:tc>
        <w:tc>
          <w:tcPr>
            <w:tcW w:w="1788" w:type="dxa"/>
          </w:tcPr>
          <w:p w14:paraId="0A1205F8" w14:textId="77777777" w:rsidR="009E656D" w:rsidRPr="004E0C17" w:rsidRDefault="009E656D" w:rsidP="000C2E47">
            <w:pPr>
              <w:jc w:val="center"/>
              <w:rPr>
                <w:lang w:val="en-AU"/>
              </w:rPr>
            </w:pPr>
          </w:p>
        </w:tc>
      </w:tr>
    </w:tbl>
    <w:p w14:paraId="56E1864F" w14:textId="77777777" w:rsidR="009E656D" w:rsidRPr="004E0C17" w:rsidRDefault="009E656D" w:rsidP="00543400">
      <w:pPr>
        <w:rPr>
          <w:sz w:val="20"/>
          <w:szCs w:val="20"/>
          <w:lang w:val="en-AU"/>
        </w:rPr>
      </w:pPr>
      <w:r w:rsidRPr="004E0C17">
        <w:rPr>
          <w:sz w:val="20"/>
          <w:szCs w:val="20"/>
          <w:lang w:val="en-AU"/>
        </w:rPr>
        <w:t>*</w:t>
      </w:r>
      <w:r w:rsidRPr="004E0C17">
        <w:rPr>
          <w:sz w:val="20"/>
          <w:szCs w:val="20"/>
          <w:vertAlign w:val="superscript"/>
          <w:lang w:val="en-AU"/>
        </w:rPr>
        <w:t xml:space="preserve"> </w:t>
      </w:r>
      <w:r w:rsidRPr="004E0C17">
        <w:rPr>
          <w:sz w:val="20"/>
          <w:szCs w:val="20"/>
          <w:lang w:val="en-AU"/>
        </w:rPr>
        <w:t xml:space="preserve">Absolute risk difference was calculated as (PBO – ABL) and (PBO – TER). </w:t>
      </w:r>
    </w:p>
    <w:p w14:paraId="24EA6E6D" w14:textId="77777777" w:rsidR="009E656D" w:rsidRPr="004E0C17" w:rsidRDefault="009E656D" w:rsidP="00543400">
      <w:pPr>
        <w:rPr>
          <w:sz w:val="20"/>
          <w:szCs w:val="20"/>
          <w:lang w:val="en-AU"/>
        </w:rPr>
      </w:pPr>
      <w:r w:rsidRPr="004E0C17">
        <w:rPr>
          <w:sz w:val="20"/>
          <w:szCs w:val="20"/>
          <w:lang w:val="en-AU"/>
        </w:rPr>
        <w:t xml:space="preserve">PBO=placebo, ABL=abaloparatide, TER=teriparatide, K-M=Kaplan Meier, CI=Confidence Interval </w:t>
      </w:r>
    </w:p>
    <w:p w14:paraId="509B0A63" w14:textId="77777777" w:rsidR="009E656D" w:rsidRPr="004E0C17" w:rsidRDefault="009E656D" w:rsidP="00543400">
      <w:pPr>
        <w:autoSpaceDE w:val="0"/>
        <w:autoSpaceDN w:val="0"/>
        <w:adjustRightInd w:val="0"/>
        <w:rPr>
          <w:rFonts w:ascii="Times New Roman" w:hAnsi="Times New Roman" w:cs="Times New Roman"/>
          <w:i/>
          <w:iCs/>
          <w:color w:val="000000"/>
          <w:lang w:val="en-AU"/>
        </w:rPr>
      </w:pPr>
    </w:p>
    <w:p w14:paraId="66EA5A0B" w14:textId="77777777" w:rsidR="009E656D" w:rsidRPr="004E0C17" w:rsidRDefault="009E656D" w:rsidP="007C5F2C">
      <w:pPr>
        <w:pStyle w:val="Heading4"/>
      </w:pPr>
      <w:r w:rsidRPr="004E0C17">
        <w:t xml:space="preserve">Effect on bone mineral density (BMD) </w:t>
      </w:r>
    </w:p>
    <w:p w14:paraId="478D4F48" w14:textId="2DF81CCA" w:rsidR="009E656D" w:rsidRPr="004E0C17" w:rsidRDefault="009E656D" w:rsidP="00543400">
      <w:pPr>
        <w:rPr>
          <w:lang w:val="en-AU"/>
        </w:rPr>
      </w:pPr>
      <w:r w:rsidRPr="004E0C17">
        <w:rPr>
          <w:lang w:val="en-AU"/>
        </w:rPr>
        <w:t xml:space="preserve">In the ACTIVE study, abaloparatide significantly increased BMD at all anatomical sites measured, versus placebo at 6, 12 and 18 months. The mean percent change in BMD at </w:t>
      </w:r>
      <w:r w:rsidR="00C95BA3">
        <w:rPr>
          <w:lang w:val="en-AU"/>
        </w:rPr>
        <w:br/>
      </w:r>
      <w:r w:rsidRPr="004E0C17">
        <w:rPr>
          <w:lang w:val="en-AU"/>
        </w:rPr>
        <w:t>18 months was 9.1% vs 0.5% at the lumbar spine, 3.3% vs 0% at the total hip, and</w:t>
      </w:r>
      <w:r>
        <w:rPr>
          <w:lang w:val="en-AU"/>
        </w:rPr>
        <w:t xml:space="preserve"> 2.7</w:t>
      </w:r>
      <w:r w:rsidRPr="004E0C17">
        <w:rPr>
          <w:lang w:val="en-AU"/>
        </w:rPr>
        <w:t xml:space="preserve">% vs </w:t>
      </w:r>
      <w:r w:rsidR="00C95BA3">
        <w:rPr>
          <w:lang w:val="en-AU"/>
        </w:rPr>
        <w:br/>
      </w:r>
      <w:r w:rsidRPr="004E0C17">
        <w:rPr>
          <w:lang w:val="en-AU"/>
        </w:rPr>
        <w:t xml:space="preserve">-0.4% at the femoral neck for abaloparatide versus placebo groups, respectively (all p&lt;0.0001). At the ultra-distal radius, the mean percent change in BMD at 18 months was 1.2% vs -1.0% for abaloparatide versus placebo groups. </w:t>
      </w:r>
    </w:p>
    <w:p w14:paraId="13275D98" w14:textId="77777777" w:rsidR="009E656D" w:rsidRPr="004E0C17" w:rsidRDefault="009E656D" w:rsidP="00543400">
      <w:pPr>
        <w:rPr>
          <w:lang w:val="en-AU"/>
        </w:rPr>
      </w:pPr>
    </w:p>
    <w:p w14:paraId="683E3AED" w14:textId="77777777" w:rsidR="009E656D" w:rsidRPr="004E0C17" w:rsidRDefault="009E656D" w:rsidP="00543400">
      <w:pPr>
        <w:rPr>
          <w:lang w:val="en-AU"/>
        </w:rPr>
      </w:pPr>
      <w:r w:rsidRPr="004E0C17">
        <w:rPr>
          <w:lang w:val="en-AU"/>
        </w:rPr>
        <w:t xml:space="preserve">Abaloparatide demonstrated consistent increases in BMD measurements regardless of age, years since menopause, race, geographic region, presence or absence of prior fracture (vertebral, non-vertebral), severity of disease, and BMD at baseline. </w:t>
      </w:r>
    </w:p>
    <w:p w14:paraId="261CF65B" w14:textId="77777777" w:rsidR="009E656D" w:rsidRPr="004E0C17" w:rsidRDefault="009E656D" w:rsidP="00543400">
      <w:pPr>
        <w:rPr>
          <w:rFonts w:cs="Times New Roman"/>
          <w:color w:val="000000"/>
          <w:lang w:val="en-AU"/>
        </w:rPr>
      </w:pPr>
    </w:p>
    <w:p w14:paraId="4023C2D9" w14:textId="77777777" w:rsidR="009E656D" w:rsidRPr="004E0C17" w:rsidRDefault="009E656D" w:rsidP="007C5F2C">
      <w:pPr>
        <w:pStyle w:val="Heading4"/>
      </w:pPr>
      <w:r w:rsidRPr="004E0C17">
        <w:t xml:space="preserve">Post treatment management </w:t>
      </w:r>
    </w:p>
    <w:p w14:paraId="36F6C4BE" w14:textId="77777777" w:rsidR="009E656D" w:rsidRPr="004E0C17" w:rsidRDefault="009E656D" w:rsidP="007C5F2C">
      <w:pPr>
        <w:pStyle w:val="Heading5"/>
      </w:pPr>
      <w:r w:rsidRPr="004E0C17">
        <w:t xml:space="preserve">Extension study </w:t>
      </w:r>
    </w:p>
    <w:p w14:paraId="33E6728F" w14:textId="77777777" w:rsidR="009E656D" w:rsidRPr="004E0C17" w:rsidRDefault="009E656D" w:rsidP="00543400">
      <w:pPr>
        <w:rPr>
          <w:lang w:val="en-AU"/>
        </w:rPr>
      </w:pPr>
      <w:r w:rsidRPr="004E0C17">
        <w:rPr>
          <w:lang w:val="en-AU"/>
        </w:rPr>
        <w:t xml:space="preserve">Upon completion of the ACTIVE trial, 963 patients, enrolled in the </w:t>
      </w:r>
      <w:proofErr w:type="spellStart"/>
      <w:r w:rsidRPr="004E0C17">
        <w:rPr>
          <w:lang w:val="en-AU"/>
        </w:rPr>
        <w:t>ACTIVExtend</w:t>
      </w:r>
      <w:proofErr w:type="spellEnd"/>
      <w:r w:rsidRPr="004E0C17">
        <w:rPr>
          <w:lang w:val="en-AU"/>
        </w:rPr>
        <w:t xml:space="preserve"> trial, an open-label extension study, where all patients received up to 24 months of treatment with 70 mg alendronate (ALN) weekly and calcium and vitamin D supplements. This included 494 patients who had previously received placebo and 469 patients who had previously received abaloparatide. Patients who received teriparatide during the ACTIVE trial were not eligible to participate in the </w:t>
      </w:r>
      <w:proofErr w:type="spellStart"/>
      <w:r w:rsidRPr="004E0C17">
        <w:rPr>
          <w:lang w:val="en-AU"/>
        </w:rPr>
        <w:t>ACTIVExtend</w:t>
      </w:r>
      <w:proofErr w:type="spellEnd"/>
      <w:r w:rsidRPr="004E0C17">
        <w:rPr>
          <w:lang w:val="en-AU"/>
        </w:rPr>
        <w:t xml:space="preserve"> trial. Results for vertebral fracture risk reduction at 43 months since randomisation are presented in </w:t>
      </w:r>
      <w:r w:rsidRPr="004E0C17">
        <w:rPr>
          <w:lang w:val="en-AU"/>
        </w:rPr>
        <w:fldChar w:fldCharType="begin"/>
      </w:r>
      <w:r w:rsidRPr="004E0C17">
        <w:rPr>
          <w:lang w:val="en-AU"/>
        </w:rPr>
        <w:instrText xml:space="preserve"> REF _Ref139463640 \h  \* MERGEFORMAT </w:instrText>
      </w:r>
      <w:r w:rsidRPr="004E0C17">
        <w:rPr>
          <w:lang w:val="en-AU"/>
        </w:rPr>
      </w:r>
      <w:r w:rsidRPr="004E0C17">
        <w:rPr>
          <w:lang w:val="en-AU"/>
        </w:rPr>
        <w:fldChar w:fldCharType="separate"/>
      </w:r>
      <w:r w:rsidRPr="00C541B9">
        <w:rPr>
          <w:lang w:val="en-AU"/>
        </w:rPr>
        <w:t>Table 4</w:t>
      </w:r>
      <w:r w:rsidRPr="004E0C17">
        <w:rPr>
          <w:lang w:val="en-AU"/>
        </w:rPr>
        <w:fldChar w:fldCharType="end"/>
      </w:r>
      <w:r w:rsidRPr="004E0C17">
        <w:rPr>
          <w:lang w:val="en-AU"/>
        </w:rPr>
        <w:t xml:space="preserve">. </w:t>
      </w:r>
    </w:p>
    <w:p w14:paraId="2AC5A102" w14:textId="77777777" w:rsidR="009E656D" w:rsidRPr="004E0C17" w:rsidRDefault="009E656D" w:rsidP="00543400">
      <w:pPr>
        <w:rPr>
          <w:rFonts w:cs="Arial"/>
          <w:sz w:val="16"/>
          <w:szCs w:val="16"/>
          <w:lang w:val="en-AU"/>
        </w:rPr>
      </w:pPr>
    </w:p>
    <w:p w14:paraId="7ABE8105" w14:textId="77777777" w:rsidR="009E656D" w:rsidRPr="004E0C17" w:rsidRDefault="009E656D" w:rsidP="007C5F2C">
      <w:pPr>
        <w:pStyle w:val="Heading5"/>
      </w:pPr>
      <w:r w:rsidRPr="004E0C17">
        <w:t xml:space="preserve">Effect on new vertebral fractures – Extension study </w:t>
      </w:r>
    </w:p>
    <w:p w14:paraId="79689EF7" w14:textId="77777777" w:rsidR="009E656D" w:rsidRPr="004E0C17" w:rsidRDefault="009E656D" w:rsidP="00543400">
      <w:pPr>
        <w:rPr>
          <w:lang w:val="en-AU"/>
        </w:rPr>
      </w:pPr>
      <w:r w:rsidRPr="004E0C17">
        <w:rPr>
          <w:lang w:val="en-AU"/>
        </w:rPr>
        <w:t xml:space="preserve">In the </w:t>
      </w:r>
      <w:proofErr w:type="spellStart"/>
      <w:r w:rsidRPr="004E0C17">
        <w:rPr>
          <w:lang w:val="en-AU"/>
        </w:rPr>
        <w:t>ACTIVExtend</w:t>
      </w:r>
      <w:proofErr w:type="spellEnd"/>
      <w:r w:rsidRPr="004E0C17">
        <w:rPr>
          <w:lang w:val="en-AU"/>
        </w:rPr>
        <w:t xml:space="preserve"> study at 43 months, abaloparatide/ALN significantly reduced the absolute risk of new vertebral fractures vs placebo/ALN (p&lt;0.0001; see </w:t>
      </w:r>
      <w:r w:rsidRPr="004E0C17">
        <w:rPr>
          <w:lang w:val="en-AU"/>
        </w:rPr>
        <w:fldChar w:fldCharType="begin"/>
      </w:r>
      <w:r w:rsidRPr="004E0C17">
        <w:rPr>
          <w:lang w:val="en-AU"/>
        </w:rPr>
        <w:instrText xml:space="preserve"> REF _Ref139463640 \h  \* MERGEFORMAT </w:instrText>
      </w:r>
      <w:r w:rsidRPr="004E0C17">
        <w:rPr>
          <w:lang w:val="en-AU"/>
        </w:rPr>
      </w:r>
      <w:r w:rsidRPr="004E0C17">
        <w:rPr>
          <w:lang w:val="en-AU"/>
        </w:rPr>
        <w:fldChar w:fldCharType="separate"/>
      </w:r>
      <w:r w:rsidRPr="00C541B9">
        <w:rPr>
          <w:lang w:val="en-AU"/>
        </w:rPr>
        <w:t>Table 4</w:t>
      </w:r>
      <w:r w:rsidRPr="004E0C17">
        <w:rPr>
          <w:lang w:val="en-AU"/>
        </w:rPr>
        <w:fldChar w:fldCharType="end"/>
      </w:r>
      <w:r w:rsidRPr="004E0C17">
        <w:rPr>
          <w:lang w:val="en-AU"/>
        </w:rPr>
        <w:t>). Teriparatide followed by alendronate has not been studied.</w:t>
      </w:r>
    </w:p>
    <w:p w14:paraId="3DA75734" w14:textId="77777777" w:rsidR="009E656D" w:rsidRPr="004E0C17" w:rsidRDefault="009E656D" w:rsidP="00543400">
      <w:pPr>
        <w:rPr>
          <w:lang w:val="en-AU"/>
        </w:rPr>
      </w:pPr>
    </w:p>
    <w:p w14:paraId="57C927E7" w14:textId="77777777" w:rsidR="009E656D" w:rsidRPr="004E0C17" w:rsidRDefault="009E656D" w:rsidP="00543400">
      <w:pPr>
        <w:rPr>
          <w:b/>
          <w:bCs/>
          <w:lang w:val="en-AU"/>
        </w:rPr>
      </w:pPr>
      <w:bookmarkStart w:id="10" w:name="_Ref139463640"/>
      <w:r w:rsidRPr="004E0C17">
        <w:rPr>
          <w:b/>
          <w:bCs/>
          <w:lang w:val="en-AU"/>
        </w:rPr>
        <w:t xml:space="preserve">Table </w:t>
      </w:r>
      <w:r w:rsidRPr="004E0C17">
        <w:rPr>
          <w:b/>
          <w:bCs/>
          <w:lang w:val="en-AU"/>
        </w:rPr>
        <w:fldChar w:fldCharType="begin"/>
      </w:r>
      <w:r w:rsidRPr="004E0C17">
        <w:rPr>
          <w:b/>
          <w:bCs/>
          <w:lang w:val="en-AU"/>
        </w:rPr>
        <w:instrText xml:space="preserve"> SEQ Table \* ARABIC </w:instrText>
      </w:r>
      <w:r w:rsidRPr="004E0C17">
        <w:rPr>
          <w:b/>
          <w:bCs/>
          <w:lang w:val="en-AU"/>
        </w:rPr>
        <w:fldChar w:fldCharType="separate"/>
      </w:r>
      <w:r>
        <w:rPr>
          <w:b/>
          <w:bCs/>
          <w:noProof/>
          <w:lang w:val="en-AU"/>
        </w:rPr>
        <w:t>4</w:t>
      </w:r>
      <w:r w:rsidRPr="004E0C17">
        <w:rPr>
          <w:b/>
          <w:bCs/>
          <w:lang w:val="en-AU"/>
        </w:rPr>
        <w:fldChar w:fldCharType="end"/>
      </w:r>
      <w:bookmarkEnd w:id="10"/>
      <w:r w:rsidRPr="004E0C17">
        <w:rPr>
          <w:b/>
          <w:bCs/>
          <w:lang w:val="en-AU"/>
        </w:rPr>
        <w:t xml:space="preserve"> - </w:t>
      </w:r>
      <w:proofErr w:type="spellStart"/>
      <w:r w:rsidRPr="004E0C17">
        <w:rPr>
          <w:b/>
          <w:bCs/>
          <w:lang w:val="en-AU"/>
        </w:rPr>
        <w:t>ACTIVExtend</w:t>
      </w:r>
      <w:proofErr w:type="spellEnd"/>
      <w:r w:rsidRPr="004E0C17">
        <w:rPr>
          <w:b/>
          <w:bCs/>
          <w:lang w:val="en-AU"/>
        </w:rPr>
        <w:t xml:space="preserve"> trial: the effect* of abaloparatide/ALN on the risk of new cerebral fractures at 43 months</w:t>
      </w:r>
      <w:r w:rsidRPr="004E0C17">
        <w:rPr>
          <w:b/>
          <w:bCs/>
          <w:vertAlign w:val="superscript"/>
          <w:lang w:val="en-AU"/>
        </w:rPr>
        <w:t>†</w:t>
      </w:r>
    </w:p>
    <w:tbl>
      <w:tblPr>
        <w:tblStyle w:val="TableGrid"/>
        <w:tblW w:w="0" w:type="auto"/>
        <w:tblLook w:val="04A0" w:firstRow="1" w:lastRow="0" w:firstColumn="1" w:lastColumn="0" w:noHBand="0" w:noVBand="1"/>
      </w:tblPr>
      <w:tblGrid>
        <w:gridCol w:w="4796"/>
        <w:gridCol w:w="1949"/>
        <w:gridCol w:w="2271"/>
      </w:tblGrid>
      <w:tr w:rsidR="009E656D" w:rsidRPr="004E0C17" w14:paraId="655A0C06" w14:textId="77777777" w:rsidTr="009A372A">
        <w:trPr>
          <w:trHeight w:val="340"/>
        </w:trPr>
        <w:tc>
          <w:tcPr>
            <w:tcW w:w="5545" w:type="dxa"/>
            <w:vAlign w:val="center"/>
          </w:tcPr>
          <w:p w14:paraId="5B0CA3BB" w14:textId="77777777" w:rsidR="009E656D" w:rsidRPr="004E0C17" w:rsidRDefault="009E656D" w:rsidP="00543400">
            <w:pPr>
              <w:rPr>
                <w:b/>
                <w:bCs/>
                <w:lang w:val="en-AU"/>
              </w:rPr>
            </w:pPr>
            <w:r w:rsidRPr="004E0C17">
              <w:rPr>
                <w:b/>
                <w:bCs/>
                <w:lang w:val="en-AU"/>
              </w:rPr>
              <w:t>Parameter</w:t>
            </w:r>
          </w:p>
        </w:tc>
        <w:tc>
          <w:tcPr>
            <w:tcW w:w="2127" w:type="dxa"/>
            <w:vAlign w:val="center"/>
          </w:tcPr>
          <w:p w14:paraId="0EF21C78" w14:textId="77777777" w:rsidR="009E656D" w:rsidRPr="004E0C17" w:rsidRDefault="009E656D" w:rsidP="00543400">
            <w:pPr>
              <w:jc w:val="center"/>
              <w:rPr>
                <w:b/>
                <w:bCs/>
                <w:lang w:val="en-AU"/>
              </w:rPr>
            </w:pPr>
            <w:r w:rsidRPr="004E0C17">
              <w:rPr>
                <w:b/>
                <w:bCs/>
                <w:lang w:val="en-AU"/>
              </w:rPr>
              <w:t>PBO/ALN</w:t>
            </w:r>
          </w:p>
        </w:tc>
        <w:tc>
          <w:tcPr>
            <w:tcW w:w="2529" w:type="dxa"/>
            <w:vAlign w:val="center"/>
          </w:tcPr>
          <w:p w14:paraId="793AF1C5" w14:textId="77777777" w:rsidR="009E656D" w:rsidRPr="004E0C17" w:rsidRDefault="009E656D" w:rsidP="00543400">
            <w:pPr>
              <w:jc w:val="center"/>
              <w:rPr>
                <w:b/>
                <w:bCs/>
                <w:lang w:val="en-AU"/>
              </w:rPr>
            </w:pPr>
            <w:r w:rsidRPr="004E0C17">
              <w:rPr>
                <w:b/>
                <w:bCs/>
                <w:lang w:val="en-AU"/>
              </w:rPr>
              <w:t>ABL/ALN</w:t>
            </w:r>
          </w:p>
        </w:tc>
      </w:tr>
      <w:tr w:rsidR="009E656D" w:rsidRPr="004E0C17" w14:paraId="7E4B7D98" w14:textId="77777777" w:rsidTr="009A372A">
        <w:trPr>
          <w:trHeight w:val="340"/>
        </w:trPr>
        <w:tc>
          <w:tcPr>
            <w:tcW w:w="5545" w:type="dxa"/>
            <w:vAlign w:val="center"/>
          </w:tcPr>
          <w:p w14:paraId="4A8C2CF4" w14:textId="77777777" w:rsidR="009E656D" w:rsidRPr="004E0C17" w:rsidRDefault="009E656D" w:rsidP="00543400">
            <w:pPr>
              <w:rPr>
                <w:lang w:val="en-AU"/>
              </w:rPr>
            </w:pPr>
            <w:r w:rsidRPr="004E0C17">
              <w:rPr>
                <w:lang w:val="en-AU"/>
              </w:rPr>
              <w:t>Number of women with vertebral fracture, n (%)</w:t>
            </w:r>
          </w:p>
        </w:tc>
        <w:tc>
          <w:tcPr>
            <w:tcW w:w="2127" w:type="dxa"/>
            <w:vAlign w:val="center"/>
          </w:tcPr>
          <w:p w14:paraId="7EA56042" w14:textId="77777777" w:rsidR="009E656D" w:rsidRPr="004E0C17" w:rsidRDefault="009E656D" w:rsidP="00543400">
            <w:pPr>
              <w:jc w:val="center"/>
              <w:rPr>
                <w:lang w:val="en-AU"/>
              </w:rPr>
            </w:pPr>
            <w:r w:rsidRPr="004E0C17">
              <w:rPr>
                <w:lang w:val="en-AU"/>
              </w:rPr>
              <w:t>26 (5.3)</w:t>
            </w:r>
          </w:p>
        </w:tc>
        <w:tc>
          <w:tcPr>
            <w:tcW w:w="2529" w:type="dxa"/>
            <w:vAlign w:val="center"/>
          </w:tcPr>
          <w:p w14:paraId="296AB917" w14:textId="77777777" w:rsidR="009E656D" w:rsidRPr="004E0C17" w:rsidRDefault="009E656D" w:rsidP="00543400">
            <w:pPr>
              <w:jc w:val="center"/>
              <w:rPr>
                <w:lang w:val="en-AU"/>
              </w:rPr>
            </w:pPr>
            <w:r w:rsidRPr="004E0C17">
              <w:rPr>
                <w:lang w:val="en-AU"/>
              </w:rPr>
              <w:t>4 (0.9)</w:t>
            </w:r>
          </w:p>
        </w:tc>
      </w:tr>
      <w:tr w:rsidR="009E656D" w:rsidRPr="004E0C17" w14:paraId="270FCCBD" w14:textId="77777777" w:rsidTr="009A372A">
        <w:tc>
          <w:tcPr>
            <w:tcW w:w="5545" w:type="dxa"/>
            <w:vAlign w:val="center"/>
          </w:tcPr>
          <w:p w14:paraId="311E330B" w14:textId="77777777" w:rsidR="009E656D" w:rsidRPr="004E0C17" w:rsidRDefault="009E656D" w:rsidP="00543400">
            <w:pPr>
              <w:rPr>
                <w:lang w:val="en-AU"/>
              </w:rPr>
            </w:pPr>
            <w:r w:rsidRPr="004E0C17">
              <w:rPr>
                <w:lang w:val="en-AU"/>
              </w:rPr>
              <w:lastRenderedPageBreak/>
              <w:t>Absolute risk difference vs placebo/ALN</w:t>
            </w:r>
            <w:r w:rsidRPr="004E0C17">
              <w:rPr>
                <w:vertAlign w:val="superscript"/>
                <w:lang w:val="en-AU"/>
              </w:rPr>
              <w:t>‡</w:t>
            </w:r>
            <w:r w:rsidRPr="004E0C17">
              <w:rPr>
                <w:lang w:val="en-AU"/>
              </w:rPr>
              <w:t xml:space="preserve"> (%)</w:t>
            </w:r>
          </w:p>
          <w:p w14:paraId="6E990C87" w14:textId="77777777" w:rsidR="009E656D" w:rsidRPr="004E0C17" w:rsidRDefault="009E656D" w:rsidP="00543400">
            <w:pPr>
              <w:rPr>
                <w:lang w:val="en-AU"/>
              </w:rPr>
            </w:pPr>
            <w:r w:rsidRPr="004E0C17">
              <w:rPr>
                <w:lang w:val="en-AU"/>
              </w:rPr>
              <w:t>(95% CI)</w:t>
            </w:r>
          </w:p>
        </w:tc>
        <w:tc>
          <w:tcPr>
            <w:tcW w:w="2127" w:type="dxa"/>
            <w:vAlign w:val="center"/>
          </w:tcPr>
          <w:p w14:paraId="00828797" w14:textId="77777777" w:rsidR="009E656D" w:rsidRPr="004E0C17" w:rsidRDefault="009E656D" w:rsidP="00543400">
            <w:pPr>
              <w:jc w:val="center"/>
              <w:rPr>
                <w:lang w:val="en-AU"/>
              </w:rPr>
            </w:pPr>
            <w:r w:rsidRPr="004E0C17">
              <w:rPr>
                <w:lang w:val="en-AU"/>
              </w:rPr>
              <w:t>n/a</w:t>
            </w:r>
          </w:p>
        </w:tc>
        <w:tc>
          <w:tcPr>
            <w:tcW w:w="2529" w:type="dxa"/>
            <w:vAlign w:val="center"/>
          </w:tcPr>
          <w:p w14:paraId="2A9858BD" w14:textId="77777777" w:rsidR="009E656D" w:rsidRPr="004E0C17" w:rsidRDefault="009E656D" w:rsidP="00543400">
            <w:pPr>
              <w:jc w:val="center"/>
              <w:rPr>
                <w:lang w:val="en-AU"/>
              </w:rPr>
            </w:pPr>
            <w:r w:rsidRPr="004E0C17">
              <w:rPr>
                <w:lang w:val="en-AU"/>
              </w:rPr>
              <w:t>4.4</w:t>
            </w:r>
          </w:p>
          <w:p w14:paraId="31911CEF" w14:textId="77777777" w:rsidR="009E656D" w:rsidRPr="004E0C17" w:rsidRDefault="009E656D" w:rsidP="00543400">
            <w:pPr>
              <w:jc w:val="center"/>
              <w:rPr>
                <w:lang w:val="en-AU"/>
              </w:rPr>
            </w:pPr>
            <w:r w:rsidRPr="004E0C17">
              <w:rPr>
                <w:lang w:val="en-AU"/>
              </w:rPr>
              <w:t>(2.3, 6.9)</w:t>
            </w:r>
          </w:p>
        </w:tc>
      </w:tr>
    </w:tbl>
    <w:p w14:paraId="242E2A91" w14:textId="77777777" w:rsidR="009E656D" w:rsidRPr="004E0C17" w:rsidRDefault="009E656D" w:rsidP="00543400">
      <w:pPr>
        <w:rPr>
          <w:sz w:val="20"/>
          <w:szCs w:val="20"/>
          <w:lang w:val="en-AU"/>
        </w:rPr>
      </w:pPr>
      <w:r w:rsidRPr="004E0C17">
        <w:rPr>
          <w:sz w:val="20"/>
          <w:szCs w:val="20"/>
          <w:lang w:val="en-AU"/>
        </w:rPr>
        <w:t>* Based on Modified Intent to Treat Population (patients with baseline and post-baseline spine radiographs)</w:t>
      </w:r>
    </w:p>
    <w:p w14:paraId="1A23CBD7" w14:textId="77777777" w:rsidR="009E656D" w:rsidRPr="004E0C17" w:rsidRDefault="009E656D" w:rsidP="00543400">
      <w:pPr>
        <w:rPr>
          <w:sz w:val="20"/>
          <w:szCs w:val="20"/>
          <w:lang w:val="en-AU"/>
        </w:rPr>
      </w:pPr>
      <w:r w:rsidRPr="004E0C17">
        <w:rPr>
          <w:sz w:val="20"/>
          <w:szCs w:val="20"/>
          <w:vertAlign w:val="superscript"/>
          <w:lang w:val="en-AU"/>
        </w:rPr>
        <w:t>†</w:t>
      </w:r>
      <w:r w:rsidRPr="004E0C17">
        <w:rPr>
          <w:sz w:val="20"/>
          <w:szCs w:val="20"/>
          <w:lang w:val="en-AU"/>
        </w:rPr>
        <w:t xml:space="preserve"> Alendronate stated at 19 months </w:t>
      </w:r>
    </w:p>
    <w:p w14:paraId="6A4FBA0D" w14:textId="77777777" w:rsidR="009E656D" w:rsidRPr="004E0C17" w:rsidRDefault="009E656D" w:rsidP="00543400">
      <w:pPr>
        <w:rPr>
          <w:sz w:val="20"/>
          <w:szCs w:val="20"/>
          <w:lang w:val="en-AU"/>
        </w:rPr>
      </w:pPr>
      <w:r w:rsidRPr="004E0C17">
        <w:rPr>
          <w:sz w:val="20"/>
          <w:szCs w:val="20"/>
          <w:vertAlign w:val="superscript"/>
          <w:lang w:val="en-AU"/>
        </w:rPr>
        <w:t>‡</w:t>
      </w:r>
      <w:r w:rsidRPr="004E0C17">
        <w:rPr>
          <w:sz w:val="20"/>
          <w:szCs w:val="20"/>
          <w:lang w:val="en-AU"/>
        </w:rPr>
        <w:t xml:space="preserve"> Absolute risk difference was calculated as (PBO/ALN – ABL/ALN)</w:t>
      </w:r>
    </w:p>
    <w:p w14:paraId="0FA17D19" w14:textId="77777777" w:rsidR="009E656D" w:rsidRPr="004E0C17" w:rsidRDefault="009E656D" w:rsidP="00543400">
      <w:pPr>
        <w:rPr>
          <w:sz w:val="20"/>
          <w:szCs w:val="20"/>
          <w:lang w:val="en-AU"/>
        </w:rPr>
      </w:pPr>
      <w:r w:rsidRPr="004E0C17">
        <w:rPr>
          <w:sz w:val="20"/>
          <w:szCs w:val="20"/>
          <w:lang w:val="en-AU"/>
        </w:rPr>
        <w:t xml:space="preserve">PBO=placebo, ABL=abaloparatide, ALN=alendronate, CI=confidence interval </w:t>
      </w:r>
    </w:p>
    <w:p w14:paraId="4148E752" w14:textId="77777777" w:rsidR="009E656D" w:rsidRPr="004E0C17" w:rsidRDefault="009E656D" w:rsidP="00543400">
      <w:pPr>
        <w:rPr>
          <w:lang w:val="en-AU"/>
        </w:rPr>
      </w:pPr>
    </w:p>
    <w:p w14:paraId="24DF1A52" w14:textId="77777777" w:rsidR="009E656D" w:rsidRPr="004E0C17" w:rsidRDefault="009E656D" w:rsidP="007C5F2C">
      <w:pPr>
        <w:pStyle w:val="Heading5"/>
      </w:pPr>
      <w:r w:rsidRPr="004E0C17">
        <w:t xml:space="preserve">Effect on non-vertebral fractures – Extension study </w:t>
      </w:r>
    </w:p>
    <w:p w14:paraId="1E0173FD" w14:textId="77777777" w:rsidR="009E656D" w:rsidRPr="004E0C17" w:rsidRDefault="009E656D" w:rsidP="00543400">
      <w:pPr>
        <w:rPr>
          <w:lang w:val="en-AU"/>
        </w:rPr>
      </w:pPr>
      <w:r w:rsidRPr="004E0C17">
        <w:rPr>
          <w:lang w:val="en-AU"/>
        </w:rPr>
        <w:t xml:space="preserve">In the </w:t>
      </w:r>
      <w:proofErr w:type="spellStart"/>
      <w:r w:rsidRPr="004E0C17">
        <w:rPr>
          <w:lang w:val="en-AU"/>
        </w:rPr>
        <w:t>ACTIVExtend</w:t>
      </w:r>
      <w:proofErr w:type="spellEnd"/>
      <w:r w:rsidRPr="004E0C17">
        <w:rPr>
          <w:lang w:val="en-AU"/>
        </w:rPr>
        <w:t xml:space="preserve"> study at 43 months, abaloparatide/ALN numerically reduced the risk of non-vertebral fractures versus placebo/ALN. The incidence of non-vertebral fractures with abaloparatide/ALN (4.2%) was not statistically different compared to placebo (6.7%) (see </w:t>
      </w:r>
      <w:r w:rsidRPr="004E0C17">
        <w:rPr>
          <w:lang w:val="en-AU"/>
        </w:rPr>
        <w:fldChar w:fldCharType="begin"/>
      </w:r>
      <w:r w:rsidRPr="004E0C17">
        <w:rPr>
          <w:lang w:val="en-AU"/>
        </w:rPr>
        <w:instrText xml:space="preserve"> REF _Ref139463799 \h  \* MERGEFORMAT </w:instrText>
      </w:r>
      <w:r w:rsidRPr="004E0C17">
        <w:rPr>
          <w:lang w:val="en-AU"/>
        </w:rPr>
      </w:r>
      <w:r w:rsidRPr="004E0C17">
        <w:rPr>
          <w:lang w:val="en-AU"/>
        </w:rPr>
        <w:fldChar w:fldCharType="separate"/>
      </w:r>
      <w:r w:rsidRPr="00C541B9">
        <w:rPr>
          <w:lang w:val="en-AU"/>
        </w:rPr>
        <w:t>Table 5</w:t>
      </w:r>
      <w:r w:rsidRPr="004E0C17">
        <w:rPr>
          <w:lang w:val="en-AU"/>
        </w:rPr>
        <w:fldChar w:fldCharType="end"/>
      </w:r>
      <w:r w:rsidRPr="004E0C17">
        <w:rPr>
          <w:lang w:val="en-AU"/>
        </w:rPr>
        <w:t>).</w:t>
      </w:r>
    </w:p>
    <w:p w14:paraId="38CB6D3A" w14:textId="77777777" w:rsidR="009E656D" w:rsidRPr="004E0C17" w:rsidRDefault="009E656D" w:rsidP="00543400">
      <w:pPr>
        <w:rPr>
          <w:rFonts w:ascii="Times New Roman" w:hAnsi="Times New Roman" w:cs="Times New Roman"/>
          <w:color w:val="000000"/>
          <w:lang w:val="en-AU"/>
        </w:rPr>
      </w:pPr>
    </w:p>
    <w:p w14:paraId="6F2A2C60" w14:textId="77777777" w:rsidR="009E656D" w:rsidRPr="004E0C17" w:rsidRDefault="009E656D" w:rsidP="00543400">
      <w:pPr>
        <w:rPr>
          <w:b/>
          <w:bCs/>
          <w:lang w:val="en-AU"/>
        </w:rPr>
      </w:pPr>
      <w:bookmarkStart w:id="11" w:name="_Ref139463799"/>
      <w:r w:rsidRPr="004E0C17">
        <w:rPr>
          <w:b/>
          <w:bCs/>
          <w:lang w:val="en-AU"/>
        </w:rPr>
        <w:t xml:space="preserve">Table </w:t>
      </w:r>
      <w:r w:rsidRPr="004E0C17">
        <w:rPr>
          <w:b/>
          <w:bCs/>
          <w:lang w:val="en-AU"/>
        </w:rPr>
        <w:fldChar w:fldCharType="begin"/>
      </w:r>
      <w:r w:rsidRPr="004E0C17">
        <w:rPr>
          <w:b/>
          <w:bCs/>
          <w:lang w:val="en-AU"/>
        </w:rPr>
        <w:instrText xml:space="preserve"> SEQ Table \* ARABIC </w:instrText>
      </w:r>
      <w:r w:rsidRPr="004E0C17">
        <w:rPr>
          <w:b/>
          <w:bCs/>
          <w:lang w:val="en-AU"/>
        </w:rPr>
        <w:fldChar w:fldCharType="separate"/>
      </w:r>
      <w:r>
        <w:rPr>
          <w:b/>
          <w:bCs/>
          <w:noProof/>
          <w:lang w:val="en-AU"/>
        </w:rPr>
        <w:t>5</w:t>
      </w:r>
      <w:r w:rsidRPr="004E0C17">
        <w:rPr>
          <w:b/>
          <w:bCs/>
          <w:lang w:val="en-AU"/>
        </w:rPr>
        <w:fldChar w:fldCharType="end"/>
      </w:r>
      <w:bookmarkEnd w:id="11"/>
      <w:r w:rsidRPr="004E0C17">
        <w:rPr>
          <w:b/>
          <w:bCs/>
          <w:lang w:val="en-AU"/>
        </w:rPr>
        <w:t xml:space="preserve"> - </w:t>
      </w:r>
      <w:proofErr w:type="spellStart"/>
      <w:r w:rsidRPr="004E0C17">
        <w:rPr>
          <w:b/>
          <w:bCs/>
          <w:lang w:val="en-AU"/>
        </w:rPr>
        <w:t>ACTIVExtend</w:t>
      </w:r>
      <w:proofErr w:type="spellEnd"/>
      <w:r w:rsidRPr="004E0C17">
        <w:rPr>
          <w:b/>
          <w:bCs/>
          <w:lang w:val="en-AU"/>
        </w:rPr>
        <w:t xml:space="preserve"> trial: time-to-event of non-vertebral fracture at 43 months*</w:t>
      </w:r>
    </w:p>
    <w:tbl>
      <w:tblPr>
        <w:tblStyle w:val="TableGrid"/>
        <w:tblW w:w="0" w:type="auto"/>
        <w:tblLook w:val="04A0" w:firstRow="1" w:lastRow="0" w:firstColumn="1" w:lastColumn="0" w:noHBand="0" w:noVBand="1"/>
      </w:tblPr>
      <w:tblGrid>
        <w:gridCol w:w="4796"/>
        <w:gridCol w:w="1949"/>
        <w:gridCol w:w="2271"/>
      </w:tblGrid>
      <w:tr w:rsidR="009E656D" w:rsidRPr="004E0C17" w14:paraId="7B13D981" w14:textId="77777777" w:rsidTr="009A372A">
        <w:trPr>
          <w:trHeight w:val="340"/>
        </w:trPr>
        <w:tc>
          <w:tcPr>
            <w:tcW w:w="5545" w:type="dxa"/>
            <w:vAlign w:val="center"/>
          </w:tcPr>
          <w:p w14:paraId="3FF544B4" w14:textId="77777777" w:rsidR="009E656D" w:rsidRPr="004E0C17" w:rsidRDefault="009E656D" w:rsidP="00543400">
            <w:pPr>
              <w:rPr>
                <w:b/>
                <w:bCs/>
                <w:lang w:val="en-AU"/>
              </w:rPr>
            </w:pPr>
            <w:r w:rsidRPr="004E0C17">
              <w:rPr>
                <w:b/>
                <w:bCs/>
                <w:lang w:val="en-AU"/>
              </w:rPr>
              <w:t>Parameter</w:t>
            </w:r>
          </w:p>
        </w:tc>
        <w:tc>
          <w:tcPr>
            <w:tcW w:w="2127" w:type="dxa"/>
            <w:vAlign w:val="center"/>
          </w:tcPr>
          <w:p w14:paraId="3F598189" w14:textId="77777777" w:rsidR="009E656D" w:rsidRPr="004E0C17" w:rsidRDefault="009E656D" w:rsidP="00543400">
            <w:pPr>
              <w:jc w:val="center"/>
              <w:rPr>
                <w:b/>
                <w:bCs/>
                <w:lang w:val="en-AU"/>
              </w:rPr>
            </w:pPr>
            <w:r w:rsidRPr="004E0C17">
              <w:rPr>
                <w:b/>
                <w:bCs/>
                <w:lang w:val="en-AU"/>
              </w:rPr>
              <w:t>PBO/ALN</w:t>
            </w:r>
          </w:p>
        </w:tc>
        <w:tc>
          <w:tcPr>
            <w:tcW w:w="2529" w:type="dxa"/>
            <w:vAlign w:val="center"/>
          </w:tcPr>
          <w:p w14:paraId="67CB3DEF" w14:textId="77777777" w:rsidR="009E656D" w:rsidRPr="004E0C17" w:rsidRDefault="009E656D" w:rsidP="00543400">
            <w:pPr>
              <w:jc w:val="center"/>
              <w:rPr>
                <w:b/>
                <w:bCs/>
                <w:lang w:val="en-AU"/>
              </w:rPr>
            </w:pPr>
            <w:r w:rsidRPr="004E0C17">
              <w:rPr>
                <w:b/>
                <w:bCs/>
                <w:lang w:val="en-AU"/>
              </w:rPr>
              <w:t>ABL/ALN</w:t>
            </w:r>
          </w:p>
        </w:tc>
      </w:tr>
      <w:tr w:rsidR="009E656D" w:rsidRPr="004E0C17" w14:paraId="054150D6" w14:textId="77777777" w:rsidTr="009A372A">
        <w:trPr>
          <w:trHeight w:val="340"/>
        </w:trPr>
        <w:tc>
          <w:tcPr>
            <w:tcW w:w="5545" w:type="dxa"/>
            <w:vAlign w:val="center"/>
          </w:tcPr>
          <w:p w14:paraId="438C2858" w14:textId="77777777" w:rsidR="009E656D" w:rsidRPr="004E0C17" w:rsidRDefault="009E656D" w:rsidP="00543400">
            <w:pPr>
              <w:rPr>
                <w:lang w:val="en-AU"/>
              </w:rPr>
            </w:pPr>
            <w:r w:rsidRPr="004E0C17">
              <w:rPr>
                <w:lang w:val="en-AU"/>
              </w:rPr>
              <w:t>K-M estimated event rate (%)</w:t>
            </w:r>
          </w:p>
          <w:p w14:paraId="72F482D2" w14:textId="77777777" w:rsidR="009E656D" w:rsidRPr="004E0C17" w:rsidRDefault="009E656D" w:rsidP="00543400">
            <w:pPr>
              <w:rPr>
                <w:lang w:val="en-AU"/>
              </w:rPr>
            </w:pPr>
            <w:r w:rsidRPr="004E0C17">
              <w:rPr>
                <w:lang w:val="en-AU"/>
              </w:rPr>
              <w:t>(95% CI)</w:t>
            </w:r>
          </w:p>
        </w:tc>
        <w:tc>
          <w:tcPr>
            <w:tcW w:w="2127" w:type="dxa"/>
            <w:vAlign w:val="center"/>
          </w:tcPr>
          <w:p w14:paraId="294B9DBD" w14:textId="77777777" w:rsidR="009E656D" w:rsidRPr="004E0C17" w:rsidRDefault="009E656D" w:rsidP="00543400">
            <w:pPr>
              <w:jc w:val="center"/>
              <w:rPr>
                <w:lang w:val="en-AU"/>
              </w:rPr>
            </w:pPr>
            <w:r w:rsidRPr="004E0C17">
              <w:rPr>
                <w:lang w:val="en-AU"/>
              </w:rPr>
              <w:t>6.7</w:t>
            </w:r>
          </w:p>
          <w:p w14:paraId="54EF216B" w14:textId="77777777" w:rsidR="009E656D" w:rsidRPr="004E0C17" w:rsidRDefault="009E656D" w:rsidP="00543400">
            <w:pPr>
              <w:jc w:val="center"/>
              <w:rPr>
                <w:lang w:val="en-AU"/>
              </w:rPr>
            </w:pPr>
            <w:r w:rsidRPr="004E0C17">
              <w:rPr>
                <w:lang w:val="en-AU"/>
              </w:rPr>
              <w:t>(4.8, 9.3)</w:t>
            </w:r>
          </w:p>
        </w:tc>
        <w:tc>
          <w:tcPr>
            <w:tcW w:w="2529" w:type="dxa"/>
            <w:vAlign w:val="center"/>
          </w:tcPr>
          <w:p w14:paraId="74E1E3D4" w14:textId="77777777" w:rsidR="009E656D" w:rsidRPr="004E0C17" w:rsidRDefault="009E656D" w:rsidP="00543400">
            <w:pPr>
              <w:jc w:val="center"/>
              <w:rPr>
                <w:lang w:val="en-AU"/>
              </w:rPr>
            </w:pPr>
            <w:r w:rsidRPr="004E0C17">
              <w:rPr>
                <w:lang w:val="en-AU"/>
              </w:rPr>
              <w:t>4.2</w:t>
            </w:r>
          </w:p>
          <w:p w14:paraId="18EE33AE" w14:textId="77777777" w:rsidR="009E656D" w:rsidRPr="004E0C17" w:rsidRDefault="009E656D" w:rsidP="00543400">
            <w:pPr>
              <w:jc w:val="center"/>
              <w:rPr>
                <w:lang w:val="en-AU"/>
              </w:rPr>
            </w:pPr>
            <w:r w:rsidRPr="004E0C17">
              <w:rPr>
                <w:lang w:val="en-AU"/>
              </w:rPr>
              <w:t>(2.7, 6.4)</w:t>
            </w:r>
          </w:p>
        </w:tc>
      </w:tr>
      <w:tr w:rsidR="009E656D" w:rsidRPr="004E0C17" w14:paraId="0E451B04" w14:textId="77777777" w:rsidTr="009A372A">
        <w:trPr>
          <w:trHeight w:val="340"/>
        </w:trPr>
        <w:tc>
          <w:tcPr>
            <w:tcW w:w="5545" w:type="dxa"/>
            <w:vAlign w:val="center"/>
          </w:tcPr>
          <w:p w14:paraId="35C6E52E" w14:textId="77777777" w:rsidR="009E656D" w:rsidRPr="004E0C17" w:rsidRDefault="009E656D" w:rsidP="00543400">
            <w:pPr>
              <w:rPr>
                <w:lang w:val="en-AU"/>
              </w:rPr>
            </w:pPr>
            <w:r w:rsidRPr="004E0C17">
              <w:rPr>
                <w:lang w:val="en-AU"/>
              </w:rPr>
              <w:t xml:space="preserve">Number of patients with event </w:t>
            </w:r>
          </w:p>
          <w:p w14:paraId="2A52DB79" w14:textId="77777777" w:rsidR="009E656D" w:rsidRPr="004E0C17" w:rsidRDefault="009E656D" w:rsidP="00543400">
            <w:pPr>
              <w:rPr>
                <w:lang w:val="en-AU"/>
              </w:rPr>
            </w:pPr>
            <w:r w:rsidRPr="004E0C17">
              <w:rPr>
                <w:lang w:val="en-AU"/>
              </w:rPr>
              <w:t>n (%)</w:t>
            </w:r>
          </w:p>
        </w:tc>
        <w:tc>
          <w:tcPr>
            <w:tcW w:w="2127" w:type="dxa"/>
            <w:vAlign w:val="center"/>
          </w:tcPr>
          <w:p w14:paraId="47BA688E" w14:textId="77777777" w:rsidR="009E656D" w:rsidRPr="004E0C17" w:rsidRDefault="009E656D" w:rsidP="00543400">
            <w:pPr>
              <w:jc w:val="center"/>
              <w:rPr>
                <w:lang w:val="en-AU"/>
              </w:rPr>
            </w:pPr>
            <w:r w:rsidRPr="004E0C17">
              <w:rPr>
                <w:lang w:val="en-AU"/>
              </w:rPr>
              <w:t>32 (6.5)</w:t>
            </w:r>
          </w:p>
        </w:tc>
        <w:tc>
          <w:tcPr>
            <w:tcW w:w="2529" w:type="dxa"/>
            <w:vAlign w:val="center"/>
          </w:tcPr>
          <w:p w14:paraId="5549E0E2" w14:textId="77777777" w:rsidR="009E656D" w:rsidRPr="004E0C17" w:rsidRDefault="009E656D" w:rsidP="00543400">
            <w:pPr>
              <w:jc w:val="center"/>
              <w:rPr>
                <w:lang w:val="en-AU"/>
              </w:rPr>
            </w:pPr>
            <w:r w:rsidRPr="004E0C17">
              <w:rPr>
                <w:lang w:val="en-AU"/>
              </w:rPr>
              <w:t>19 (4.1)</w:t>
            </w:r>
          </w:p>
        </w:tc>
      </w:tr>
      <w:tr w:rsidR="009E656D" w:rsidRPr="004E0C17" w14:paraId="668DF51D" w14:textId="77777777" w:rsidTr="009A372A">
        <w:tc>
          <w:tcPr>
            <w:tcW w:w="5545" w:type="dxa"/>
            <w:vAlign w:val="center"/>
          </w:tcPr>
          <w:p w14:paraId="0C2A24EC" w14:textId="77777777" w:rsidR="009E656D" w:rsidRPr="004E0C17" w:rsidRDefault="009E656D" w:rsidP="00543400">
            <w:pPr>
              <w:rPr>
                <w:lang w:val="en-AU"/>
              </w:rPr>
            </w:pPr>
            <w:r w:rsidRPr="004E0C17">
              <w:rPr>
                <w:lang w:val="en-AU"/>
              </w:rPr>
              <w:t>Absolute risk difference vs placebo/ALN</w:t>
            </w:r>
            <w:r w:rsidRPr="004E0C17">
              <w:rPr>
                <w:vertAlign w:val="superscript"/>
                <w:lang w:val="en-AU"/>
              </w:rPr>
              <w:t>‡</w:t>
            </w:r>
            <w:r w:rsidRPr="004E0C17">
              <w:rPr>
                <w:lang w:val="en-AU"/>
              </w:rPr>
              <w:t xml:space="preserve"> (%)</w:t>
            </w:r>
          </w:p>
          <w:p w14:paraId="47D73B9D" w14:textId="77777777" w:rsidR="009E656D" w:rsidRPr="004E0C17" w:rsidRDefault="009E656D" w:rsidP="00543400">
            <w:pPr>
              <w:rPr>
                <w:lang w:val="en-AU"/>
              </w:rPr>
            </w:pPr>
            <w:r w:rsidRPr="004E0C17">
              <w:rPr>
                <w:lang w:val="en-AU"/>
              </w:rPr>
              <w:t>(95% CI)</w:t>
            </w:r>
          </w:p>
        </w:tc>
        <w:tc>
          <w:tcPr>
            <w:tcW w:w="2127" w:type="dxa"/>
            <w:vAlign w:val="center"/>
          </w:tcPr>
          <w:p w14:paraId="2716D39F" w14:textId="77777777" w:rsidR="009E656D" w:rsidRPr="004E0C17" w:rsidRDefault="009E656D" w:rsidP="00543400">
            <w:pPr>
              <w:jc w:val="center"/>
              <w:rPr>
                <w:lang w:val="en-AU"/>
              </w:rPr>
            </w:pPr>
            <w:r w:rsidRPr="004E0C17">
              <w:rPr>
                <w:lang w:val="en-AU"/>
              </w:rPr>
              <w:t>n/a</w:t>
            </w:r>
          </w:p>
        </w:tc>
        <w:tc>
          <w:tcPr>
            <w:tcW w:w="2529" w:type="dxa"/>
            <w:vAlign w:val="center"/>
          </w:tcPr>
          <w:p w14:paraId="31C14F95" w14:textId="77777777" w:rsidR="009E656D" w:rsidRPr="004E0C17" w:rsidRDefault="009E656D" w:rsidP="00543400">
            <w:pPr>
              <w:jc w:val="center"/>
              <w:rPr>
                <w:lang w:val="en-AU"/>
              </w:rPr>
            </w:pPr>
            <w:r w:rsidRPr="004E0C17">
              <w:rPr>
                <w:lang w:val="en-AU"/>
              </w:rPr>
              <w:t>2.5</w:t>
            </w:r>
          </w:p>
          <w:p w14:paraId="6016D248" w14:textId="77777777" w:rsidR="009E656D" w:rsidRPr="004E0C17" w:rsidRDefault="009E656D" w:rsidP="00543400">
            <w:pPr>
              <w:jc w:val="center"/>
              <w:rPr>
                <w:lang w:val="en-AU"/>
              </w:rPr>
            </w:pPr>
            <w:r w:rsidRPr="004E0C17">
              <w:rPr>
                <w:lang w:val="en-AU"/>
              </w:rPr>
              <w:t>(-0.4, 5.4)</w:t>
            </w:r>
          </w:p>
        </w:tc>
      </w:tr>
      <w:tr w:rsidR="009E656D" w:rsidRPr="004E0C17" w14:paraId="120520F0" w14:textId="77777777" w:rsidTr="009A372A">
        <w:tc>
          <w:tcPr>
            <w:tcW w:w="5545" w:type="dxa"/>
            <w:vAlign w:val="center"/>
          </w:tcPr>
          <w:p w14:paraId="6F013505" w14:textId="77777777" w:rsidR="009E656D" w:rsidRPr="004E0C17" w:rsidRDefault="009E656D" w:rsidP="008E301C">
            <w:pPr>
              <w:rPr>
                <w:lang w:val="en-AU"/>
              </w:rPr>
            </w:pPr>
            <w:r>
              <w:rPr>
                <w:lang w:val="en-AU"/>
              </w:rPr>
              <w:t>p-value vs placebo</w:t>
            </w:r>
          </w:p>
        </w:tc>
        <w:tc>
          <w:tcPr>
            <w:tcW w:w="2127" w:type="dxa"/>
            <w:vAlign w:val="center"/>
          </w:tcPr>
          <w:p w14:paraId="1C5BF8B4" w14:textId="77777777" w:rsidR="009E656D" w:rsidRPr="004E0C17" w:rsidRDefault="009E656D" w:rsidP="008E301C">
            <w:pPr>
              <w:jc w:val="center"/>
              <w:rPr>
                <w:lang w:val="en-AU"/>
              </w:rPr>
            </w:pPr>
          </w:p>
        </w:tc>
        <w:tc>
          <w:tcPr>
            <w:tcW w:w="2529" w:type="dxa"/>
            <w:vAlign w:val="center"/>
          </w:tcPr>
          <w:p w14:paraId="0F60DCD9" w14:textId="77777777" w:rsidR="009E656D" w:rsidRPr="004E0C17" w:rsidRDefault="009E656D" w:rsidP="008E301C">
            <w:pPr>
              <w:jc w:val="center"/>
              <w:rPr>
                <w:lang w:val="en-AU"/>
              </w:rPr>
            </w:pPr>
            <w:r>
              <w:rPr>
                <w:lang w:val="en-AU"/>
              </w:rPr>
              <w:t>0.0877</w:t>
            </w:r>
          </w:p>
        </w:tc>
      </w:tr>
    </w:tbl>
    <w:p w14:paraId="69CD6230" w14:textId="77777777" w:rsidR="009E656D" w:rsidRPr="004E0C17" w:rsidRDefault="009E656D" w:rsidP="00543400">
      <w:pPr>
        <w:rPr>
          <w:lang w:val="en-AU"/>
        </w:rPr>
      </w:pPr>
      <w:r w:rsidRPr="004E0C17">
        <w:rPr>
          <w:lang w:val="en-AU"/>
        </w:rPr>
        <w:t xml:space="preserve">* </w:t>
      </w:r>
      <w:r w:rsidRPr="004E0C17">
        <w:rPr>
          <w:sz w:val="20"/>
          <w:szCs w:val="20"/>
          <w:lang w:val="en-AU"/>
        </w:rPr>
        <w:t xml:space="preserve">Alendronate stated at 19 months </w:t>
      </w:r>
    </w:p>
    <w:p w14:paraId="073CC4D3" w14:textId="77777777" w:rsidR="009E656D" w:rsidRPr="004E0C17" w:rsidRDefault="009E656D" w:rsidP="00543400">
      <w:pPr>
        <w:rPr>
          <w:sz w:val="20"/>
          <w:szCs w:val="20"/>
          <w:lang w:val="en-AU"/>
        </w:rPr>
      </w:pPr>
      <w:r w:rsidRPr="004E0C17">
        <w:rPr>
          <w:sz w:val="20"/>
          <w:szCs w:val="20"/>
          <w:vertAlign w:val="superscript"/>
          <w:lang w:val="en-AU"/>
        </w:rPr>
        <w:t>‡</w:t>
      </w:r>
      <w:r w:rsidRPr="004E0C17">
        <w:rPr>
          <w:sz w:val="20"/>
          <w:szCs w:val="20"/>
          <w:lang w:val="en-AU"/>
        </w:rPr>
        <w:t xml:space="preserve"> Absolute risk difference was calculated as (PBO/ALN – ABL/ALN)</w:t>
      </w:r>
    </w:p>
    <w:p w14:paraId="41579005" w14:textId="77777777" w:rsidR="009E656D" w:rsidRPr="004E0C17" w:rsidRDefault="009E656D" w:rsidP="00543400">
      <w:pPr>
        <w:rPr>
          <w:sz w:val="20"/>
          <w:szCs w:val="20"/>
          <w:lang w:val="en-AU"/>
        </w:rPr>
      </w:pPr>
      <w:r w:rsidRPr="004E0C17">
        <w:rPr>
          <w:sz w:val="20"/>
          <w:szCs w:val="20"/>
          <w:lang w:val="en-AU"/>
        </w:rPr>
        <w:t xml:space="preserve">PBO=placebo, ABL=abaloparatide, ALN=alendronate, K-M=Kaplan Meier, CI=confidence interval </w:t>
      </w:r>
    </w:p>
    <w:p w14:paraId="573CE097" w14:textId="77777777" w:rsidR="009E656D" w:rsidRPr="004E0C17" w:rsidRDefault="009E656D" w:rsidP="00543400">
      <w:pPr>
        <w:rPr>
          <w:sz w:val="20"/>
          <w:szCs w:val="20"/>
          <w:lang w:val="en-AU"/>
        </w:rPr>
      </w:pPr>
    </w:p>
    <w:p w14:paraId="5580D35A" w14:textId="77777777" w:rsidR="009E656D" w:rsidRPr="004E0C17" w:rsidRDefault="009E656D" w:rsidP="007C5F2C">
      <w:pPr>
        <w:pStyle w:val="Heading5"/>
      </w:pPr>
      <w:r w:rsidRPr="004E0C17">
        <w:t xml:space="preserve">Effect on bone mineral density (BMD) – Extension study </w:t>
      </w:r>
    </w:p>
    <w:p w14:paraId="4A38FD02" w14:textId="77777777" w:rsidR="009E656D" w:rsidRPr="004B2444" w:rsidRDefault="009E656D" w:rsidP="00543400">
      <w:pPr>
        <w:rPr>
          <w:sz w:val="20"/>
          <w:szCs w:val="20"/>
          <w:lang w:val="en-AU"/>
        </w:rPr>
      </w:pPr>
      <w:r w:rsidRPr="004E0C17">
        <w:rPr>
          <w:lang w:val="en-AU"/>
        </w:rPr>
        <w:t>The mean percent change in BMD through 43 months was 14.7% vs 6.8% at the lumbar spine, 6.3% vs 2.9% at the total hip, 5.0% vs 1.6% at the femoral neck, and 1.1% vs 1.1% at the ultra-distal radius for abaloparatide/ALN versus placebo/ALN groups, respectively.</w:t>
      </w:r>
    </w:p>
    <w:p w14:paraId="074F235A" w14:textId="77777777" w:rsidR="009E656D" w:rsidRPr="004E0C17" w:rsidRDefault="009E656D" w:rsidP="00543400">
      <w:pPr>
        <w:pStyle w:val="Heading2"/>
        <w:rPr>
          <w:lang w:val="en-AU"/>
        </w:rPr>
      </w:pPr>
      <w:bookmarkStart w:id="12" w:name="_Ref139029704"/>
      <w:r w:rsidRPr="004E0C17">
        <w:rPr>
          <w:lang w:val="en-AU"/>
        </w:rPr>
        <w:t>Pharmacokinetic properties</w:t>
      </w:r>
      <w:bookmarkEnd w:id="12"/>
      <w:r w:rsidRPr="004E0C17">
        <w:rPr>
          <w:lang w:val="en-AU"/>
        </w:rPr>
        <w:t xml:space="preserve"> </w:t>
      </w:r>
    </w:p>
    <w:p w14:paraId="020BDD36" w14:textId="77777777" w:rsidR="009E656D" w:rsidRPr="004E0C17" w:rsidRDefault="009E656D" w:rsidP="00543400">
      <w:pPr>
        <w:pStyle w:val="Heading3"/>
        <w:keepNext w:val="0"/>
        <w:keepLines w:val="0"/>
        <w:rPr>
          <w:lang w:val="en-AU"/>
        </w:rPr>
      </w:pPr>
      <w:r w:rsidRPr="004E0C17">
        <w:rPr>
          <w:lang w:val="en-AU"/>
        </w:rPr>
        <w:t xml:space="preserve">Absorption </w:t>
      </w:r>
    </w:p>
    <w:p w14:paraId="1C3205DC" w14:textId="77777777" w:rsidR="009E656D" w:rsidRPr="004E0C17" w:rsidRDefault="009E656D" w:rsidP="00543400">
      <w:pPr>
        <w:rPr>
          <w:lang w:val="en-AU"/>
        </w:rPr>
      </w:pPr>
      <w:r w:rsidRPr="004E0C17">
        <w:rPr>
          <w:lang w:val="en-AU"/>
        </w:rPr>
        <w:t>The median (range) time to peak concentration of abaloparatide 80 micrograms was 0.5 h (0.25 to 0.52 h) following subcutaneous administration. The absolute bioavailability of abaloparatide in healthy subjects after subcutaneous administration of 80 micrograms dose was about 39%.</w:t>
      </w:r>
    </w:p>
    <w:p w14:paraId="461786F7" w14:textId="77777777" w:rsidR="009E656D" w:rsidRPr="004E0C17" w:rsidRDefault="009E656D" w:rsidP="00543400">
      <w:pPr>
        <w:pStyle w:val="Heading3"/>
        <w:keepNext w:val="0"/>
        <w:keepLines w:val="0"/>
        <w:rPr>
          <w:lang w:val="en-AU"/>
        </w:rPr>
      </w:pPr>
      <w:r w:rsidRPr="004E0C17">
        <w:rPr>
          <w:lang w:val="en-AU"/>
        </w:rPr>
        <w:t>Distribution</w:t>
      </w:r>
    </w:p>
    <w:p w14:paraId="0FA18B7F" w14:textId="77777777" w:rsidR="009E656D" w:rsidRPr="004E0C17" w:rsidRDefault="009E656D" w:rsidP="00543400">
      <w:pPr>
        <w:rPr>
          <w:lang w:val="en-AU"/>
        </w:rPr>
      </w:pPr>
      <w:r w:rsidRPr="004E0C17">
        <w:rPr>
          <w:lang w:val="en-AU"/>
        </w:rPr>
        <w:t xml:space="preserve">The </w:t>
      </w:r>
      <w:r w:rsidRPr="004E0C17">
        <w:rPr>
          <w:i/>
          <w:iCs/>
          <w:lang w:val="en-AU"/>
        </w:rPr>
        <w:t xml:space="preserve">in vitro </w:t>
      </w:r>
      <w:r w:rsidRPr="004E0C17">
        <w:rPr>
          <w:lang w:val="en-AU"/>
        </w:rPr>
        <w:t>plasma protein binding of abaloparatide was approximately 70%. The volume of distribution was approximately 45 L.</w:t>
      </w:r>
    </w:p>
    <w:p w14:paraId="437151D7" w14:textId="77777777" w:rsidR="009E656D" w:rsidRPr="004E0C17" w:rsidRDefault="009E656D" w:rsidP="00543400">
      <w:pPr>
        <w:pStyle w:val="Heading3"/>
        <w:keepNext w:val="0"/>
        <w:keepLines w:val="0"/>
        <w:rPr>
          <w:lang w:val="en-AU"/>
        </w:rPr>
      </w:pPr>
      <w:r w:rsidRPr="004E0C17">
        <w:rPr>
          <w:lang w:val="en-AU"/>
        </w:rPr>
        <w:t xml:space="preserve">Metabolism </w:t>
      </w:r>
    </w:p>
    <w:p w14:paraId="6D5D829D" w14:textId="77777777" w:rsidR="009E656D" w:rsidRPr="004E0C17" w:rsidRDefault="009E656D" w:rsidP="00543400">
      <w:pPr>
        <w:rPr>
          <w:lang w:val="en-AU"/>
        </w:rPr>
      </w:pPr>
      <w:r w:rsidRPr="004E0C17">
        <w:rPr>
          <w:lang w:val="en-AU"/>
        </w:rPr>
        <w:t xml:space="preserve">No specific metabolism or excretion studies have been performed with abaloparatide. The metabolism of abaloparatide is consistent with non-specific proteolytic degradation into smaller peptide fragments, followed by elimination by renal clearance. </w:t>
      </w:r>
    </w:p>
    <w:p w14:paraId="3768B540" w14:textId="77777777" w:rsidR="009E656D" w:rsidRPr="004E0C17" w:rsidRDefault="009E656D" w:rsidP="00543400">
      <w:pPr>
        <w:rPr>
          <w:lang w:val="en-AU"/>
        </w:rPr>
      </w:pPr>
    </w:p>
    <w:p w14:paraId="46FE2799" w14:textId="77777777" w:rsidR="009E656D" w:rsidRPr="004E0C17" w:rsidRDefault="009E656D" w:rsidP="007C5F2C">
      <w:pPr>
        <w:pStyle w:val="Heading4"/>
      </w:pPr>
      <w:r w:rsidRPr="004E0C17">
        <w:t xml:space="preserve">Linearity </w:t>
      </w:r>
    </w:p>
    <w:p w14:paraId="1F420023" w14:textId="77777777" w:rsidR="009E656D" w:rsidRPr="004E0C17" w:rsidRDefault="009E656D" w:rsidP="00543400">
      <w:pPr>
        <w:rPr>
          <w:lang w:val="en-AU"/>
        </w:rPr>
      </w:pPr>
      <w:r w:rsidRPr="004E0C17">
        <w:rPr>
          <w:lang w:val="en-AU"/>
        </w:rPr>
        <w:t xml:space="preserve">Abaloparatide systemic exposure was generally increasing with the increase of its subcutaneous doses from 5 micrograms up to 240 micrograms. There was a general tendency towards less </w:t>
      </w:r>
      <w:r w:rsidRPr="004E0C17">
        <w:rPr>
          <w:lang w:val="en-AU"/>
        </w:rPr>
        <w:lastRenderedPageBreak/>
        <w:t xml:space="preserve">than dose-proportional increases, and no further increase in abaloparatide systemic exposure was observed as its dose increased to 280 micrograms and 320 micrograms. </w:t>
      </w:r>
    </w:p>
    <w:p w14:paraId="420BF33D" w14:textId="77777777" w:rsidR="009E656D" w:rsidRPr="004E0C17" w:rsidRDefault="009E656D" w:rsidP="00543400">
      <w:pPr>
        <w:rPr>
          <w:lang w:val="en-AU"/>
        </w:rPr>
      </w:pPr>
    </w:p>
    <w:p w14:paraId="5F7F51A9" w14:textId="77777777" w:rsidR="009E656D" w:rsidRPr="004E0C17" w:rsidRDefault="009E656D" w:rsidP="007C5F2C">
      <w:pPr>
        <w:pStyle w:val="Heading4"/>
      </w:pPr>
      <w:r w:rsidRPr="004E0C17">
        <w:t xml:space="preserve">Renal impairment </w:t>
      </w:r>
    </w:p>
    <w:p w14:paraId="326CACD1" w14:textId="77777777" w:rsidR="009E656D" w:rsidRPr="004E0C17" w:rsidRDefault="009E656D" w:rsidP="00543400">
      <w:pPr>
        <w:rPr>
          <w:lang w:val="en-AU"/>
        </w:rPr>
      </w:pPr>
      <w:r w:rsidRPr="004E0C17">
        <w:rPr>
          <w:lang w:val="en-AU"/>
        </w:rPr>
        <w:t xml:space="preserve">Abaloparatide exposure increased with decreasing </w:t>
      </w:r>
      <w:proofErr w:type="spellStart"/>
      <w:r w:rsidRPr="004E0C17">
        <w:rPr>
          <w:lang w:val="en-AU"/>
        </w:rPr>
        <w:t>CrCl</w:t>
      </w:r>
      <w:proofErr w:type="spellEnd"/>
      <w:r w:rsidRPr="004E0C17">
        <w:rPr>
          <w:lang w:val="en-AU"/>
        </w:rPr>
        <w:t xml:space="preserve">. Subjects with mild, moderate and severe renal impairment had </w:t>
      </w:r>
      <w:proofErr w:type="spellStart"/>
      <w:r w:rsidRPr="004E0C17">
        <w:rPr>
          <w:lang w:val="en-AU"/>
        </w:rPr>
        <w:t>C</w:t>
      </w:r>
      <w:r w:rsidRPr="004E0C17">
        <w:rPr>
          <w:sz w:val="14"/>
          <w:szCs w:val="14"/>
          <w:lang w:val="en-AU"/>
        </w:rPr>
        <w:t>max</w:t>
      </w:r>
      <w:proofErr w:type="spellEnd"/>
      <w:r w:rsidRPr="004E0C17">
        <w:rPr>
          <w:sz w:val="14"/>
          <w:szCs w:val="14"/>
          <w:lang w:val="en-AU"/>
        </w:rPr>
        <w:t xml:space="preserve"> </w:t>
      </w:r>
      <w:r w:rsidRPr="004E0C17">
        <w:rPr>
          <w:lang w:val="en-AU"/>
        </w:rPr>
        <w:t xml:space="preserve">increases of 3%, 28% and 44%, respectively, and AUC increases of 17%, 68% and 113%, respectively, compared to subjects with normal renal function (see Section </w:t>
      </w:r>
      <w:r w:rsidRPr="004E0C17">
        <w:rPr>
          <w:lang w:val="en-AU"/>
        </w:rPr>
        <w:fldChar w:fldCharType="begin"/>
      </w:r>
      <w:r w:rsidRPr="004E0C17">
        <w:rPr>
          <w:lang w:val="en-AU"/>
        </w:rPr>
        <w:instrText xml:space="preserve"> REF _Ref139030034 \r \h </w:instrText>
      </w:r>
      <w:r w:rsidRPr="004E0C17">
        <w:rPr>
          <w:lang w:val="en-AU"/>
        </w:rPr>
      </w:r>
      <w:r w:rsidRPr="004E0C17">
        <w:rPr>
          <w:lang w:val="en-AU"/>
        </w:rPr>
        <w:fldChar w:fldCharType="separate"/>
      </w:r>
      <w:r>
        <w:rPr>
          <w:lang w:val="en-AU"/>
        </w:rPr>
        <w:t>4.2</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_Ref139030034 \h </w:instrText>
      </w:r>
      <w:r w:rsidRPr="004E0C17">
        <w:rPr>
          <w:lang w:val="en-AU"/>
        </w:rPr>
      </w:r>
      <w:r w:rsidRPr="004E0C17">
        <w:rPr>
          <w:lang w:val="en-AU"/>
        </w:rPr>
        <w:fldChar w:fldCharType="separate"/>
      </w:r>
      <w:r w:rsidRPr="004E0C17">
        <w:rPr>
          <w:lang w:val="en-AU"/>
        </w:rPr>
        <w:t>Dose and method of administration</w:t>
      </w:r>
      <w:r w:rsidRPr="004E0C17">
        <w:rPr>
          <w:lang w:val="en-AU"/>
        </w:rPr>
        <w:fldChar w:fldCharType="end"/>
      </w:r>
      <w:r w:rsidRPr="004E0C17">
        <w:rPr>
          <w:lang w:val="en-AU"/>
        </w:rPr>
        <w:t xml:space="preserve"> and </w:t>
      </w:r>
      <w:r w:rsidRPr="004E0C17">
        <w:rPr>
          <w:lang w:val="en-AU"/>
        </w:rPr>
        <w:fldChar w:fldCharType="begin"/>
      </w:r>
      <w:r w:rsidRPr="004E0C17">
        <w:rPr>
          <w:lang w:val="en-AU"/>
        </w:rPr>
        <w:instrText xml:space="preserve"> REF _Ref139029726 \r \h </w:instrText>
      </w:r>
      <w:r w:rsidRPr="004E0C17">
        <w:rPr>
          <w:lang w:val="en-AU"/>
        </w:rPr>
      </w:r>
      <w:r w:rsidRPr="004E0C17">
        <w:rPr>
          <w:lang w:val="en-AU"/>
        </w:rPr>
        <w:fldChar w:fldCharType="separate"/>
      </w:r>
      <w:r>
        <w:rPr>
          <w:lang w:val="en-AU"/>
        </w:rPr>
        <w:t>4.3</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_Ref139029726 \h </w:instrText>
      </w:r>
      <w:r w:rsidRPr="004E0C17">
        <w:rPr>
          <w:lang w:val="en-AU"/>
        </w:rPr>
      </w:r>
      <w:r w:rsidRPr="004E0C17">
        <w:rPr>
          <w:lang w:val="en-AU"/>
        </w:rPr>
        <w:fldChar w:fldCharType="separate"/>
      </w:r>
      <w:r w:rsidRPr="004E0C17">
        <w:rPr>
          <w:lang w:val="en-AU"/>
        </w:rPr>
        <w:t>Contraindications</w:t>
      </w:r>
      <w:r w:rsidRPr="004E0C17">
        <w:rPr>
          <w:lang w:val="en-AU"/>
        </w:rPr>
        <w:fldChar w:fldCharType="end"/>
      </w:r>
      <w:r w:rsidRPr="004E0C17">
        <w:rPr>
          <w:lang w:val="en-AU"/>
        </w:rPr>
        <w:t xml:space="preserve">). </w:t>
      </w:r>
    </w:p>
    <w:p w14:paraId="0E2EA166" w14:textId="77777777" w:rsidR="009E656D" w:rsidRPr="004E0C17" w:rsidRDefault="009E656D" w:rsidP="00543400">
      <w:pPr>
        <w:rPr>
          <w:lang w:val="en-AU"/>
        </w:rPr>
      </w:pPr>
    </w:p>
    <w:p w14:paraId="2DF286DE" w14:textId="77777777" w:rsidR="009E656D" w:rsidRPr="004E0C17" w:rsidRDefault="009E656D" w:rsidP="00543400">
      <w:pPr>
        <w:rPr>
          <w:lang w:val="en-AU"/>
        </w:rPr>
      </w:pPr>
      <w:r w:rsidRPr="004E0C17">
        <w:rPr>
          <w:lang w:val="en-AU"/>
        </w:rPr>
        <w:t xml:space="preserve">No studies have been performed in patients undergoing dialysis for chronic renal failure. </w:t>
      </w:r>
    </w:p>
    <w:p w14:paraId="4C2CD10F" w14:textId="77777777" w:rsidR="009E656D" w:rsidRPr="004E0C17" w:rsidRDefault="009E656D" w:rsidP="00543400">
      <w:pPr>
        <w:rPr>
          <w:u w:val="single"/>
          <w:lang w:val="en-AU"/>
        </w:rPr>
      </w:pPr>
    </w:p>
    <w:p w14:paraId="6E5D0131" w14:textId="77777777" w:rsidR="009E656D" w:rsidRPr="004E0C17" w:rsidRDefault="009E656D" w:rsidP="007C5F2C">
      <w:pPr>
        <w:pStyle w:val="Heading4"/>
      </w:pPr>
      <w:r w:rsidRPr="004E0C17">
        <w:t xml:space="preserve">Hepatic impairment </w:t>
      </w:r>
    </w:p>
    <w:p w14:paraId="01039F5A" w14:textId="77777777" w:rsidR="009E656D" w:rsidRPr="004E0C17" w:rsidRDefault="009E656D" w:rsidP="00543400">
      <w:pPr>
        <w:rPr>
          <w:rFonts w:ascii="Arial" w:hAnsi="Arial" w:cs="Arial"/>
          <w:sz w:val="16"/>
          <w:szCs w:val="16"/>
          <w:lang w:val="en-AU"/>
        </w:rPr>
      </w:pPr>
      <w:r w:rsidRPr="004E0C17">
        <w:rPr>
          <w:lang w:val="en-AU"/>
        </w:rPr>
        <w:t xml:space="preserve">No studies have been performed in patients with hepatic impairment. Abaloparatide is a peptide and not an inhibitor or an inducer of hepatic drug metabolising enzymes. The elimination is through proteolytic degradation and renal excretion, and it is unlikely that hepatic impairment will have any significant effect on abaloparatide exposure. No dose adjustment is needed for these patients (see Section </w:t>
      </w:r>
      <w:r w:rsidRPr="004E0C17">
        <w:rPr>
          <w:lang w:val="en-AU"/>
        </w:rPr>
        <w:fldChar w:fldCharType="begin"/>
      </w:r>
      <w:r w:rsidRPr="004E0C17">
        <w:rPr>
          <w:lang w:val="en-AU"/>
        </w:rPr>
        <w:instrText xml:space="preserve"> REF _Ref139030034 \r \h </w:instrText>
      </w:r>
      <w:r w:rsidRPr="004E0C17">
        <w:rPr>
          <w:lang w:val="en-AU"/>
        </w:rPr>
      </w:r>
      <w:r w:rsidRPr="004E0C17">
        <w:rPr>
          <w:lang w:val="en-AU"/>
        </w:rPr>
        <w:fldChar w:fldCharType="separate"/>
      </w:r>
      <w:r>
        <w:rPr>
          <w:lang w:val="en-AU"/>
        </w:rPr>
        <w:t>4.2</w:t>
      </w:r>
      <w:r w:rsidRPr="004E0C17">
        <w:rPr>
          <w:lang w:val="en-AU"/>
        </w:rPr>
        <w:fldChar w:fldCharType="end"/>
      </w:r>
      <w:r w:rsidRPr="004E0C17">
        <w:rPr>
          <w:lang w:val="en-AU"/>
        </w:rPr>
        <w:t xml:space="preserve"> </w:t>
      </w:r>
      <w:r w:rsidRPr="004E0C17">
        <w:rPr>
          <w:lang w:val="en-AU"/>
        </w:rPr>
        <w:fldChar w:fldCharType="begin"/>
      </w:r>
      <w:r w:rsidRPr="004E0C17">
        <w:rPr>
          <w:lang w:val="en-AU"/>
        </w:rPr>
        <w:instrText xml:space="preserve"> REF _Ref139030034 \h </w:instrText>
      </w:r>
      <w:r w:rsidRPr="004E0C17">
        <w:rPr>
          <w:lang w:val="en-AU"/>
        </w:rPr>
      </w:r>
      <w:r w:rsidRPr="004E0C17">
        <w:rPr>
          <w:lang w:val="en-AU"/>
        </w:rPr>
        <w:fldChar w:fldCharType="separate"/>
      </w:r>
      <w:r w:rsidRPr="004E0C17">
        <w:rPr>
          <w:lang w:val="en-AU"/>
        </w:rPr>
        <w:t>Dose and method of administration</w:t>
      </w:r>
      <w:r w:rsidRPr="004E0C17">
        <w:rPr>
          <w:lang w:val="en-AU"/>
        </w:rPr>
        <w:fldChar w:fldCharType="end"/>
      </w:r>
      <w:r w:rsidRPr="004E0C17">
        <w:rPr>
          <w:lang w:val="en-AU"/>
        </w:rPr>
        <w:t>).</w:t>
      </w:r>
      <w:r w:rsidRPr="004E0C17">
        <w:rPr>
          <w:rFonts w:ascii="Arial" w:hAnsi="Arial" w:cs="Arial"/>
          <w:sz w:val="16"/>
          <w:szCs w:val="16"/>
          <w:lang w:val="en-AU"/>
        </w:rPr>
        <w:t xml:space="preserve"> </w:t>
      </w:r>
    </w:p>
    <w:p w14:paraId="0304FE90" w14:textId="77777777" w:rsidR="009E656D" w:rsidRPr="004E0C17" w:rsidRDefault="009E656D" w:rsidP="00543400">
      <w:pPr>
        <w:rPr>
          <w:sz w:val="24"/>
          <w:szCs w:val="24"/>
          <w:lang w:val="en-AU"/>
        </w:rPr>
      </w:pPr>
    </w:p>
    <w:p w14:paraId="71A69CFF" w14:textId="77777777" w:rsidR="009E656D" w:rsidRPr="004E0C17" w:rsidRDefault="009E656D" w:rsidP="007C5F2C">
      <w:pPr>
        <w:pStyle w:val="Heading4"/>
      </w:pPr>
      <w:r w:rsidRPr="004E0C17">
        <w:t xml:space="preserve">Elderly </w:t>
      </w:r>
    </w:p>
    <w:p w14:paraId="1FE1E14E" w14:textId="77777777" w:rsidR="009E656D" w:rsidRPr="004E0C17" w:rsidRDefault="009E656D" w:rsidP="00543400">
      <w:pPr>
        <w:rPr>
          <w:lang w:val="en-AU"/>
        </w:rPr>
      </w:pPr>
      <w:r w:rsidRPr="004E0C17">
        <w:rPr>
          <w:lang w:val="en-AU"/>
        </w:rPr>
        <w:t>No age-related differences in abaloparatide pharmacokinetics were detected during clinical studies, including postmenopausal women ranging from 49 to 86 years of age.</w:t>
      </w:r>
    </w:p>
    <w:p w14:paraId="378D1F77" w14:textId="77777777" w:rsidR="009E656D" w:rsidRPr="00623732" w:rsidRDefault="009E656D" w:rsidP="00153EC4">
      <w:pPr>
        <w:pStyle w:val="Heading3"/>
        <w:rPr>
          <w:lang w:val="en-AU"/>
        </w:rPr>
      </w:pPr>
      <w:r w:rsidRPr="00153EC4">
        <w:t>Excretion</w:t>
      </w:r>
      <w:r w:rsidRPr="00623732">
        <w:rPr>
          <w:lang w:val="en-AU"/>
        </w:rPr>
        <w:t xml:space="preserve"> </w:t>
      </w:r>
    </w:p>
    <w:p w14:paraId="3DA3BC03" w14:textId="34B6FF48" w:rsidR="009E656D" w:rsidRPr="004E0C17" w:rsidRDefault="009E656D" w:rsidP="00543400">
      <w:pPr>
        <w:rPr>
          <w:lang w:val="en-AU"/>
        </w:rPr>
      </w:pPr>
      <w:r w:rsidRPr="00623732">
        <w:rPr>
          <w:lang w:val="en-AU"/>
        </w:rPr>
        <w:t xml:space="preserve">The mean apparent total plasma clearance for subcutaneous administration is 168 L/h in healthy subjects, and the mean half-life of abaloparatide is about 1 h. The peptide fragments are primarily eliminated through renal excretion. Active secretion of abaloparatide in the kidneys cannot be ruled out. </w:t>
      </w:r>
    </w:p>
    <w:p w14:paraId="4D70A405" w14:textId="77777777" w:rsidR="009E656D" w:rsidRPr="004E0C17" w:rsidRDefault="009E656D" w:rsidP="00543400">
      <w:pPr>
        <w:pStyle w:val="Heading2"/>
        <w:rPr>
          <w:lang w:val="en-AU"/>
        </w:rPr>
      </w:pPr>
      <w:bookmarkStart w:id="13" w:name="_Ref139029784"/>
      <w:r w:rsidRPr="004E0C17">
        <w:rPr>
          <w:lang w:val="en-AU"/>
        </w:rPr>
        <w:t>Preclinical safety data</w:t>
      </w:r>
      <w:bookmarkEnd w:id="13"/>
    </w:p>
    <w:p w14:paraId="755120FD" w14:textId="77777777" w:rsidR="009E656D" w:rsidRPr="004E0C17" w:rsidRDefault="009E656D" w:rsidP="00543400">
      <w:pPr>
        <w:pStyle w:val="Heading3"/>
        <w:keepNext w:val="0"/>
        <w:keepLines w:val="0"/>
        <w:rPr>
          <w:lang w:val="en-AU"/>
        </w:rPr>
      </w:pPr>
      <w:r w:rsidRPr="004E0C17">
        <w:rPr>
          <w:lang w:val="en-AU"/>
        </w:rPr>
        <w:t>Genotoxicity</w:t>
      </w:r>
    </w:p>
    <w:p w14:paraId="446B8D8F" w14:textId="77777777" w:rsidR="009E656D" w:rsidRPr="004E0C17" w:rsidRDefault="009E656D" w:rsidP="00543400">
      <w:pPr>
        <w:rPr>
          <w:lang w:val="en-AU"/>
        </w:rPr>
      </w:pPr>
      <w:r w:rsidRPr="004E0C17">
        <w:rPr>
          <w:lang w:val="en-AU"/>
        </w:rPr>
        <w:t xml:space="preserve">Abaloparatide was not genotoxic </w:t>
      </w:r>
      <w:r w:rsidRPr="00C370BA">
        <w:rPr>
          <w:lang w:val="en-AU"/>
        </w:rPr>
        <w:t xml:space="preserve">in assays for bacterial reverse mutation (Ames test), chromosomal aberrations </w:t>
      </w:r>
      <w:r w:rsidRPr="00C370BA">
        <w:rPr>
          <w:i/>
          <w:iCs/>
          <w:lang w:val="en-AU"/>
        </w:rPr>
        <w:t>in vitro</w:t>
      </w:r>
      <w:r w:rsidRPr="00C370BA">
        <w:rPr>
          <w:lang w:val="en-AU"/>
        </w:rPr>
        <w:t xml:space="preserve"> (in human lymphocytes) and </w:t>
      </w:r>
      <w:r w:rsidRPr="00C370BA">
        <w:rPr>
          <w:i/>
          <w:iCs/>
          <w:lang w:val="en-AU"/>
        </w:rPr>
        <w:t xml:space="preserve">in vivo </w:t>
      </w:r>
      <w:r w:rsidRPr="00C370BA">
        <w:rPr>
          <w:lang w:val="en-AU"/>
        </w:rPr>
        <w:t xml:space="preserve">in the mouse bone marrow micronucleus </w:t>
      </w:r>
      <w:proofErr w:type="gramStart"/>
      <w:r w:rsidRPr="00C370BA">
        <w:rPr>
          <w:lang w:val="en-AU"/>
        </w:rPr>
        <w:t xml:space="preserve">test </w:t>
      </w:r>
      <w:r w:rsidRPr="004E0C17">
        <w:rPr>
          <w:lang w:val="en-AU"/>
        </w:rPr>
        <w:t>.</w:t>
      </w:r>
      <w:proofErr w:type="gramEnd"/>
    </w:p>
    <w:p w14:paraId="6D228655" w14:textId="77777777" w:rsidR="009E656D" w:rsidRPr="004E0C17" w:rsidRDefault="009E656D" w:rsidP="00543400">
      <w:pPr>
        <w:pStyle w:val="Heading3"/>
        <w:keepNext w:val="0"/>
        <w:keepLines w:val="0"/>
        <w:rPr>
          <w:lang w:val="en-AU"/>
        </w:rPr>
      </w:pPr>
      <w:r w:rsidRPr="004E0C17">
        <w:rPr>
          <w:lang w:val="en-AU"/>
        </w:rPr>
        <w:t>Carcinogenicity</w:t>
      </w:r>
    </w:p>
    <w:p w14:paraId="7F04BE8C" w14:textId="01805349" w:rsidR="009E656D" w:rsidRPr="004E0C17" w:rsidRDefault="009E656D" w:rsidP="00543400">
      <w:pPr>
        <w:rPr>
          <w:lang w:val="en-AU"/>
        </w:rPr>
      </w:pPr>
      <w:bookmarkStart w:id="14" w:name="_Hlk174109017"/>
      <w:r w:rsidRPr="004E0C17">
        <w:rPr>
          <w:lang w:val="en-AU"/>
        </w:rPr>
        <w:t>In a 2-year rat carcinogenicity study</w:t>
      </w:r>
      <w:r>
        <w:rPr>
          <w:lang w:val="en-AU"/>
        </w:rPr>
        <w:t xml:space="preserve"> involving daily subcutaneous administration</w:t>
      </w:r>
      <w:r w:rsidRPr="004E0C17">
        <w:rPr>
          <w:lang w:val="en-AU"/>
        </w:rPr>
        <w:t xml:space="preserve">, abaloparatide </w:t>
      </w:r>
      <w:r>
        <w:rPr>
          <w:lang w:val="en-AU"/>
        </w:rPr>
        <w:t xml:space="preserve">produced a marked </w:t>
      </w:r>
      <w:r w:rsidRPr="004E0C17">
        <w:rPr>
          <w:lang w:val="en-AU"/>
        </w:rPr>
        <w:t>increase in the incidence of osteosarcoma</w:t>
      </w:r>
      <w:r>
        <w:rPr>
          <w:lang w:val="en-AU"/>
        </w:rPr>
        <w:t xml:space="preserve"> in both sexes and at all dose levels tested (≥10 µg/kg/day). This occurred at </w:t>
      </w:r>
      <w:r w:rsidRPr="004E0C17">
        <w:rPr>
          <w:lang w:val="en-AU"/>
        </w:rPr>
        <w:t>systemic exposure</w:t>
      </w:r>
      <w:r>
        <w:rPr>
          <w:lang w:val="en-AU"/>
        </w:rPr>
        <w:t xml:space="preserve"> levels (plasma AUC) 4 times higher than in patients at the recommended human dose</w:t>
      </w:r>
      <w:r w:rsidRPr="004E0C17">
        <w:rPr>
          <w:lang w:val="en-AU"/>
        </w:rPr>
        <w:t xml:space="preserve">. </w:t>
      </w:r>
      <w:r>
        <w:rPr>
          <w:lang w:val="en-AU"/>
        </w:rPr>
        <w:t>Osteobl</w:t>
      </w:r>
      <w:r w:rsidR="007C5F2C">
        <w:rPr>
          <w:lang w:val="en-AU"/>
        </w:rPr>
        <w:t>a</w:t>
      </w:r>
      <w:r>
        <w:rPr>
          <w:lang w:val="en-AU"/>
        </w:rPr>
        <w:t xml:space="preserve">stomas were also increased by treatment. </w:t>
      </w:r>
      <w:r w:rsidRPr="004E0C17">
        <w:rPr>
          <w:lang w:val="en-AU"/>
        </w:rPr>
        <w:t>The relevance of these rat findings to humans is uncertain</w:t>
      </w:r>
      <w:r>
        <w:rPr>
          <w:lang w:val="en-AU"/>
        </w:rPr>
        <w:t xml:space="preserve">. Due to </w:t>
      </w:r>
      <w:r w:rsidR="00153EC4">
        <w:rPr>
          <w:lang w:val="en-AU"/>
        </w:rPr>
        <w:t xml:space="preserve">the </w:t>
      </w:r>
      <w:r>
        <w:rPr>
          <w:lang w:val="en-AU"/>
        </w:rPr>
        <w:t>potential risk</w:t>
      </w:r>
      <w:r w:rsidR="00153EC4">
        <w:rPr>
          <w:lang w:val="en-AU"/>
        </w:rPr>
        <w:t xml:space="preserve"> of osteosarcoma</w:t>
      </w:r>
      <w:r>
        <w:rPr>
          <w:lang w:val="en-AU"/>
        </w:rPr>
        <w:t xml:space="preserve">, a maximum total duration of 18 months applies to </w:t>
      </w:r>
      <w:proofErr w:type="gramStart"/>
      <w:r>
        <w:rPr>
          <w:lang w:val="en-AU"/>
        </w:rPr>
        <w:t>ELADYNOS</w:t>
      </w:r>
      <w:proofErr w:type="gramEnd"/>
      <w:r>
        <w:rPr>
          <w:lang w:val="en-AU"/>
        </w:rPr>
        <w:t xml:space="preserve"> and its use is contraindicated in </w:t>
      </w:r>
      <w:r w:rsidRPr="004E0C17">
        <w:rPr>
          <w:lang w:val="en-AU"/>
        </w:rPr>
        <w:t xml:space="preserve">patients at </w:t>
      </w:r>
      <w:r>
        <w:rPr>
          <w:lang w:val="en-AU"/>
        </w:rPr>
        <w:t xml:space="preserve">known </w:t>
      </w:r>
      <w:r w:rsidRPr="004E0C17">
        <w:rPr>
          <w:lang w:val="en-AU"/>
        </w:rPr>
        <w:t>increased risk of osteosarcoma.</w:t>
      </w:r>
    </w:p>
    <w:bookmarkEnd w:id="14"/>
    <w:p w14:paraId="740EFAEA" w14:textId="77777777" w:rsidR="009E656D" w:rsidRPr="004E0C17" w:rsidRDefault="009E656D" w:rsidP="00543400">
      <w:pPr>
        <w:pStyle w:val="Heading1"/>
        <w:keepNext w:val="0"/>
        <w:keepLines w:val="0"/>
        <w:rPr>
          <w:lang w:val="en-AU"/>
        </w:rPr>
      </w:pPr>
      <w:r w:rsidRPr="004E0C17">
        <w:rPr>
          <w:lang w:val="en-AU"/>
        </w:rPr>
        <w:t>Pharmaceutical particulars</w:t>
      </w:r>
    </w:p>
    <w:p w14:paraId="7DBCDF29" w14:textId="77777777" w:rsidR="009E656D" w:rsidRPr="004E0C17" w:rsidRDefault="009E656D" w:rsidP="00543400">
      <w:pPr>
        <w:pStyle w:val="Heading2"/>
        <w:rPr>
          <w:lang w:val="en-AU"/>
        </w:rPr>
      </w:pPr>
      <w:bookmarkStart w:id="15" w:name="_Ref139029902"/>
      <w:r w:rsidRPr="004E0C17">
        <w:rPr>
          <w:lang w:val="en-AU"/>
        </w:rPr>
        <w:t>List of excipients</w:t>
      </w:r>
      <w:bookmarkEnd w:id="15"/>
      <w:r w:rsidRPr="004E0C17">
        <w:rPr>
          <w:lang w:val="en-AU"/>
        </w:rPr>
        <w:t xml:space="preserve"> </w:t>
      </w:r>
    </w:p>
    <w:p w14:paraId="51CA2759" w14:textId="77777777" w:rsidR="009E656D" w:rsidRDefault="009E656D" w:rsidP="00543400">
      <w:pPr>
        <w:rPr>
          <w:lang w:val="en-AU"/>
        </w:rPr>
      </w:pPr>
      <w:r>
        <w:rPr>
          <w:lang w:val="en-AU"/>
        </w:rPr>
        <w:t xml:space="preserve">Phenol </w:t>
      </w:r>
    </w:p>
    <w:p w14:paraId="53545A1F" w14:textId="77777777" w:rsidR="009E656D" w:rsidRDefault="009E656D" w:rsidP="00543400">
      <w:pPr>
        <w:rPr>
          <w:lang w:val="en-AU"/>
        </w:rPr>
      </w:pPr>
      <w:r>
        <w:rPr>
          <w:lang w:val="en-AU"/>
        </w:rPr>
        <w:t xml:space="preserve">Water for injections </w:t>
      </w:r>
    </w:p>
    <w:p w14:paraId="66123A77" w14:textId="77777777" w:rsidR="009E656D" w:rsidRDefault="009E656D" w:rsidP="00543400">
      <w:pPr>
        <w:rPr>
          <w:lang w:val="en-AU"/>
        </w:rPr>
      </w:pPr>
      <w:r>
        <w:rPr>
          <w:lang w:val="en-AU"/>
        </w:rPr>
        <w:t xml:space="preserve">Sodium acetate trihydrate </w:t>
      </w:r>
    </w:p>
    <w:p w14:paraId="6459D3F3" w14:textId="77777777" w:rsidR="009E656D" w:rsidRPr="004E0C17" w:rsidRDefault="009E656D" w:rsidP="00543400">
      <w:pPr>
        <w:rPr>
          <w:lang w:val="en-AU"/>
        </w:rPr>
      </w:pPr>
      <w:r>
        <w:rPr>
          <w:lang w:val="en-AU"/>
        </w:rPr>
        <w:t xml:space="preserve">Acetic acid </w:t>
      </w:r>
    </w:p>
    <w:p w14:paraId="6525009E" w14:textId="77777777" w:rsidR="009E656D" w:rsidRPr="004E0C17" w:rsidRDefault="009E656D" w:rsidP="00543400">
      <w:pPr>
        <w:pStyle w:val="Heading2"/>
        <w:rPr>
          <w:lang w:val="en-AU"/>
        </w:rPr>
      </w:pPr>
      <w:r w:rsidRPr="004E0C17">
        <w:rPr>
          <w:lang w:val="en-AU"/>
        </w:rPr>
        <w:lastRenderedPageBreak/>
        <w:t xml:space="preserve">Incompatibilities </w:t>
      </w:r>
    </w:p>
    <w:p w14:paraId="5795AA74" w14:textId="77777777" w:rsidR="009E656D" w:rsidRPr="004E0C17" w:rsidRDefault="009E656D" w:rsidP="00543400">
      <w:pPr>
        <w:rPr>
          <w:lang w:val="en-AU"/>
        </w:rPr>
      </w:pPr>
      <w:r w:rsidRPr="004E0C17">
        <w:rPr>
          <w:lang w:val="en-AU"/>
        </w:rPr>
        <w:t>In</w:t>
      </w:r>
      <w:r>
        <w:rPr>
          <w:lang w:val="en-AU"/>
        </w:rPr>
        <w:t xml:space="preserve"> the absence of compatibility studies, this medicinal product must not be mixed with other medicinal products. </w:t>
      </w:r>
      <w:r w:rsidRPr="004E0C17">
        <w:rPr>
          <w:lang w:val="en-AU"/>
        </w:rPr>
        <w:t xml:space="preserve"> </w:t>
      </w:r>
    </w:p>
    <w:p w14:paraId="23B9040D" w14:textId="77777777" w:rsidR="009E656D" w:rsidRPr="004E0C17" w:rsidRDefault="009E656D" w:rsidP="00543400">
      <w:pPr>
        <w:pStyle w:val="Heading2"/>
        <w:rPr>
          <w:lang w:val="en-AU"/>
        </w:rPr>
      </w:pPr>
      <w:r w:rsidRPr="004E0C17">
        <w:rPr>
          <w:lang w:val="en-AU"/>
        </w:rPr>
        <w:t xml:space="preserve">Shelf life </w:t>
      </w:r>
    </w:p>
    <w:p w14:paraId="0BDD2D62" w14:textId="77777777" w:rsidR="009E656D" w:rsidRPr="004E0C17" w:rsidRDefault="009E656D" w:rsidP="00543400">
      <w:pPr>
        <w:rPr>
          <w:lang w:val="en-AU"/>
        </w:rPr>
      </w:pPr>
      <w:r w:rsidRPr="004E0C17">
        <w:rPr>
          <w:lang w:val="en-AU"/>
        </w:rPr>
        <w:t>In Australia, information on the shelf life can be found on the public summary of the Australian Register of Therapeutic Goods (ARTG). The expiry date can be found on the packaging.</w:t>
      </w:r>
    </w:p>
    <w:p w14:paraId="3F22C718" w14:textId="77777777" w:rsidR="009E656D" w:rsidRDefault="009E656D" w:rsidP="00543400">
      <w:pPr>
        <w:pStyle w:val="Heading2"/>
        <w:rPr>
          <w:lang w:val="en-AU"/>
        </w:rPr>
      </w:pPr>
      <w:r w:rsidRPr="004E0C17">
        <w:rPr>
          <w:lang w:val="en-AU"/>
        </w:rPr>
        <w:t xml:space="preserve">Special precautions for storage </w:t>
      </w:r>
    </w:p>
    <w:p w14:paraId="343CA9ED" w14:textId="77777777" w:rsidR="009E656D" w:rsidRDefault="009E656D" w:rsidP="00543400">
      <w:r>
        <w:t>Store in a refrigerator (2 °C–8 °C). Do not freeze.</w:t>
      </w:r>
    </w:p>
    <w:p w14:paraId="164FCA82" w14:textId="77777777" w:rsidR="009E656D" w:rsidRDefault="009E656D" w:rsidP="00543400"/>
    <w:p w14:paraId="4EF32EC4" w14:textId="6BF02EA9" w:rsidR="009E656D" w:rsidRDefault="009E656D" w:rsidP="00543400">
      <w:r>
        <w:t>Each pen should be used by only one patient. A new, sterile needle must be used for every injection. The</w:t>
      </w:r>
      <w:r w:rsidR="00C95BA3">
        <w:t xml:space="preserve"> </w:t>
      </w:r>
      <w:r>
        <w:t>pen should only be used with 8 mm, 31-gauge needles. No needles are supplied with the medicinal</w:t>
      </w:r>
      <w:r w:rsidR="00C95BA3">
        <w:t xml:space="preserve"> </w:t>
      </w:r>
      <w:r>
        <w:t>product. Do not store the pen with the needle attached.</w:t>
      </w:r>
    </w:p>
    <w:p w14:paraId="6255FCE7" w14:textId="77777777" w:rsidR="009E656D" w:rsidRDefault="009E656D" w:rsidP="00543400"/>
    <w:p w14:paraId="17D412BF" w14:textId="77777777" w:rsidR="009E656D" w:rsidRDefault="009E656D" w:rsidP="00543400">
      <w:r>
        <w:t xml:space="preserve">ELADYNOS should not be used if the solution is cloudy, </w:t>
      </w:r>
      <w:proofErr w:type="spellStart"/>
      <w:r>
        <w:t>coloured</w:t>
      </w:r>
      <w:proofErr w:type="spellEnd"/>
      <w:r>
        <w:t xml:space="preserve"> or contains particles.</w:t>
      </w:r>
    </w:p>
    <w:p w14:paraId="3DDFE149" w14:textId="77777777" w:rsidR="009E656D" w:rsidRDefault="009E656D" w:rsidP="00543400"/>
    <w:p w14:paraId="50D27453" w14:textId="77777777" w:rsidR="009E656D" w:rsidRPr="005D16DC" w:rsidRDefault="009E656D" w:rsidP="00543400">
      <w:pPr>
        <w:rPr>
          <w:lang w:val="en-AU"/>
        </w:rPr>
      </w:pPr>
      <w:r>
        <w:t>After first use or once removed from the refrigerator, store the pen below 25 °C. It must be used within 30 days.</w:t>
      </w:r>
    </w:p>
    <w:p w14:paraId="34C586F2" w14:textId="77777777" w:rsidR="009E656D" w:rsidRDefault="009E656D" w:rsidP="00677771">
      <w:pPr>
        <w:pStyle w:val="Heading2"/>
        <w:rPr>
          <w:lang w:val="en-AU"/>
        </w:rPr>
      </w:pPr>
      <w:r w:rsidRPr="004E0C17">
        <w:rPr>
          <w:lang w:val="en-AU"/>
        </w:rPr>
        <w:t xml:space="preserve">Nature and contents of container </w:t>
      </w:r>
    </w:p>
    <w:p w14:paraId="18D6AFE2" w14:textId="77777777" w:rsidR="009E656D" w:rsidRDefault="009E656D" w:rsidP="00543400">
      <w:pPr>
        <w:rPr>
          <w:lang w:val="en-AU"/>
        </w:rPr>
      </w:pPr>
      <w:r w:rsidRPr="005D16DC">
        <w:rPr>
          <w:lang w:val="en-AU"/>
        </w:rPr>
        <w:t>Cartridge (</w:t>
      </w:r>
      <w:proofErr w:type="spellStart"/>
      <w:r w:rsidRPr="005D16DC">
        <w:rPr>
          <w:lang w:val="en-AU"/>
        </w:rPr>
        <w:t>siliconised</w:t>
      </w:r>
      <w:proofErr w:type="spellEnd"/>
      <w:r w:rsidRPr="005D16DC">
        <w:rPr>
          <w:lang w:val="en-AU"/>
        </w:rPr>
        <w:t xml:space="preserve"> Type I glass) with a plunger (</w:t>
      </w:r>
      <w:proofErr w:type="spellStart"/>
      <w:r w:rsidRPr="005D16DC">
        <w:rPr>
          <w:lang w:val="en-AU"/>
        </w:rPr>
        <w:t>chlorobutyl</w:t>
      </w:r>
      <w:proofErr w:type="spellEnd"/>
      <w:r w:rsidRPr="005D16DC">
        <w:rPr>
          <w:lang w:val="en-AU"/>
        </w:rPr>
        <w:t xml:space="preserve"> rubber), crimp cap (</w:t>
      </w:r>
      <w:proofErr w:type="spellStart"/>
      <w:r w:rsidRPr="005D16DC">
        <w:rPr>
          <w:lang w:val="en-AU"/>
        </w:rPr>
        <w:t>bromobutyl</w:t>
      </w:r>
      <w:proofErr w:type="spellEnd"/>
      <w:r w:rsidRPr="005D16DC">
        <w:rPr>
          <w:lang w:val="en-AU"/>
        </w:rPr>
        <w:t xml:space="preserve"> rubber seal)/aluminium assembled into a disposable pen. </w:t>
      </w:r>
    </w:p>
    <w:p w14:paraId="7F262CE4" w14:textId="77777777" w:rsidR="009E656D" w:rsidRPr="005D16DC" w:rsidRDefault="009E656D" w:rsidP="00543400">
      <w:pPr>
        <w:rPr>
          <w:lang w:val="en-AU"/>
        </w:rPr>
      </w:pPr>
    </w:p>
    <w:p w14:paraId="76952514" w14:textId="77777777" w:rsidR="009E656D" w:rsidRDefault="009E656D" w:rsidP="00543400">
      <w:pPr>
        <w:rPr>
          <w:lang w:val="en-AU"/>
        </w:rPr>
      </w:pPr>
      <w:r w:rsidRPr="005D16DC">
        <w:rPr>
          <w:lang w:val="en-AU"/>
        </w:rPr>
        <w:t xml:space="preserve">Each pre-filled pen contains 1.5 mL of solution (30 doses). </w:t>
      </w:r>
    </w:p>
    <w:p w14:paraId="52BC7304" w14:textId="77777777" w:rsidR="009E656D" w:rsidRPr="005D16DC" w:rsidRDefault="009E656D" w:rsidP="00543400">
      <w:pPr>
        <w:rPr>
          <w:lang w:val="en-AU"/>
        </w:rPr>
      </w:pPr>
    </w:p>
    <w:p w14:paraId="229538F2" w14:textId="77777777" w:rsidR="009E656D" w:rsidRPr="005D16DC" w:rsidRDefault="009E656D" w:rsidP="00543400">
      <w:pPr>
        <w:rPr>
          <w:lang w:val="en-AU"/>
        </w:rPr>
      </w:pPr>
      <w:r>
        <w:rPr>
          <w:lang w:val="en-AU"/>
        </w:rPr>
        <w:t>ELADYNOS is supplied in a p</w:t>
      </w:r>
      <w:r w:rsidRPr="005D16DC">
        <w:rPr>
          <w:lang w:val="en-AU"/>
        </w:rPr>
        <w:t xml:space="preserve">ack size of </w:t>
      </w:r>
      <w:r w:rsidRPr="00BD6CD7">
        <w:rPr>
          <w:lang w:val="en-AU"/>
        </w:rPr>
        <w:t>1 or 3</w:t>
      </w:r>
      <w:r w:rsidRPr="005D16DC">
        <w:rPr>
          <w:lang w:val="en-AU"/>
        </w:rPr>
        <w:t xml:space="preserve"> pre-filled pen</w:t>
      </w:r>
      <w:r>
        <w:rPr>
          <w:lang w:val="en-AU"/>
        </w:rPr>
        <w:t xml:space="preserve">s. A starter pack containing 1 pre-filled pen may also be supplied. Not all pack sizes may be marketed. </w:t>
      </w:r>
    </w:p>
    <w:p w14:paraId="51B6633F" w14:textId="77777777" w:rsidR="009E656D" w:rsidRPr="004E0C17" w:rsidRDefault="009E656D" w:rsidP="00543400">
      <w:pPr>
        <w:pStyle w:val="Heading2"/>
        <w:rPr>
          <w:lang w:val="en-AU"/>
        </w:rPr>
      </w:pPr>
      <w:bookmarkStart w:id="16" w:name="_Ref139029869"/>
      <w:r w:rsidRPr="004E0C17">
        <w:rPr>
          <w:lang w:val="en-AU"/>
        </w:rPr>
        <w:t>Special precautions for disposal</w:t>
      </w:r>
      <w:bookmarkEnd w:id="16"/>
      <w:r w:rsidRPr="004E0C17">
        <w:rPr>
          <w:lang w:val="en-AU"/>
        </w:rPr>
        <w:t xml:space="preserve"> </w:t>
      </w:r>
    </w:p>
    <w:p w14:paraId="5D0A3EBA" w14:textId="77777777" w:rsidR="009E656D" w:rsidRPr="004E0C17" w:rsidRDefault="009E656D" w:rsidP="00543400">
      <w:pPr>
        <w:rPr>
          <w:lang w:val="en-AU"/>
        </w:rPr>
      </w:pPr>
      <w:r w:rsidRPr="004E0C17">
        <w:rPr>
          <w:lang w:val="en-AU"/>
        </w:rPr>
        <w:t xml:space="preserve">In Australia, any unused medicine or waste material should be disposed of by taking to your local pharmacy. </w:t>
      </w:r>
    </w:p>
    <w:p w14:paraId="6D15536A" w14:textId="77777777" w:rsidR="009E656D" w:rsidRPr="004E0C17" w:rsidRDefault="009E656D" w:rsidP="00543400">
      <w:pPr>
        <w:pStyle w:val="Heading2"/>
        <w:rPr>
          <w:lang w:val="en-AU"/>
        </w:rPr>
      </w:pPr>
      <w:r w:rsidRPr="004E0C17">
        <w:rPr>
          <w:lang w:val="en-AU"/>
        </w:rPr>
        <w:t>Physicochemical properties</w:t>
      </w:r>
    </w:p>
    <w:p w14:paraId="662DEE49" w14:textId="77777777" w:rsidR="009E656D" w:rsidRDefault="009E656D" w:rsidP="00543400">
      <w:pPr>
        <w:pStyle w:val="Heading3"/>
        <w:keepNext w:val="0"/>
        <w:keepLines w:val="0"/>
        <w:rPr>
          <w:lang w:val="en-AU"/>
        </w:rPr>
      </w:pPr>
      <w:r w:rsidRPr="004E0C17">
        <w:rPr>
          <w:lang w:val="en-AU"/>
        </w:rPr>
        <w:t>Chemical structure</w:t>
      </w:r>
    </w:p>
    <w:p w14:paraId="0B1B4C33" w14:textId="77777777" w:rsidR="009E656D" w:rsidRDefault="009E656D" w:rsidP="00543400">
      <w:pPr>
        <w:rPr>
          <w:vertAlign w:val="subscript"/>
          <w:lang w:val="en-AU"/>
        </w:rPr>
      </w:pPr>
      <w:r>
        <w:rPr>
          <w:lang w:val="en-AU"/>
        </w:rPr>
        <w:t>Chemical name: [Glu</w:t>
      </w:r>
      <w:r w:rsidRPr="006A5CDA">
        <w:rPr>
          <w:vertAlign w:val="superscript"/>
          <w:lang w:val="en-AU"/>
        </w:rPr>
        <w:t>22,25</w:t>
      </w:r>
      <w:r>
        <w:rPr>
          <w:lang w:val="en-AU"/>
        </w:rPr>
        <w:t>, Leu</w:t>
      </w:r>
      <w:r w:rsidRPr="006A5CDA">
        <w:rPr>
          <w:vertAlign w:val="superscript"/>
          <w:lang w:val="en-AU"/>
        </w:rPr>
        <w:t>23,28,31</w:t>
      </w:r>
      <w:r>
        <w:rPr>
          <w:lang w:val="en-AU"/>
        </w:rPr>
        <w:t>, Aib</w:t>
      </w:r>
      <w:r w:rsidRPr="006A5CDA">
        <w:rPr>
          <w:vertAlign w:val="superscript"/>
          <w:lang w:val="en-AU"/>
        </w:rPr>
        <w:t>29</w:t>
      </w:r>
      <w:r>
        <w:rPr>
          <w:lang w:val="en-AU"/>
        </w:rPr>
        <w:t>, Lys</w:t>
      </w:r>
      <w:r w:rsidRPr="006A5CDA">
        <w:rPr>
          <w:vertAlign w:val="superscript"/>
          <w:lang w:val="en-AU"/>
        </w:rPr>
        <w:t>26,30</w:t>
      </w:r>
      <w:r>
        <w:rPr>
          <w:lang w:val="en-AU"/>
        </w:rPr>
        <w:t xml:space="preserve">] </w:t>
      </w:r>
      <w:proofErr w:type="spellStart"/>
      <w:r>
        <w:rPr>
          <w:lang w:val="en-AU"/>
        </w:rPr>
        <w:t>hPTHrP</w:t>
      </w:r>
      <w:proofErr w:type="spellEnd"/>
      <w:r>
        <w:rPr>
          <w:lang w:val="en-AU"/>
        </w:rPr>
        <w:t xml:space="preserve"> (1-34)-NH</w:t>
      </w:r>
      <w:r w:rsidRPr="005D16DC">
        <w:rPr>
          <w:vertAlign w:val="subscript"/>
          <w:lang w:val="en-AU"/>
        </w:rPr>
        <w:t>2</w:t>
      </w:r>
    </w:p>
    <w:p w14:paraId="314706A9" w14:textId="77777777" w:rsidR="009E656D" w:rsidRDefault="009E656D" w:rsidP="00543400">
      <w:pPr>
        <w:rPr>
          <w:lang w:val="en-AU"/>
        </w:rPr>
      </w:pPr>
    </w:p>
    <w:p w14:paraId="0CD75BD6" w14:textId="77777777" w:rsidR="009E656D" w:rsidRDefault="009E656D" w:rsidP="00543400">
      <w:pPr>
        <w:rPr>
          <w:lang w:val="en-AU"/>
        </w:rPr>
      </w:pPr>
      <w:r>
        <w:rPr>
          <w:lang w:val="en-AU"/>
        </w:rPr>
        <w:t>Molecular formula and molecular mass: C</w:t>
      </w:r>
      <w:r w:rsidRPr="006A5CDA">
        <w:rPr>
          <w:vertAlign w:val="subscript"/>
          <w:lang w:val="en-AU"/>
        </w:rPr>
        <w:t>174</w:t>
      </w:r>
      <w:r>
        <w:rPr>
          <w:lang w:val="en-AU"/>
        </w:rPr>
        <w:t>H</w:t>
      </w:r>
      <w:r w:rsidRPr="006A5CDA">
        <w:rPr>
          <w:vertAlign w:val="subscript"/>
          <w:lang w:val="en-AU"/>
        </w:rPr>
        <w:t>300</w:t>
      </w:r>
      <w:r>
        <w:rPr>
          <w:lang w:val="en-AU"/>
        </w:rPr>
        <w:t>N</w:t>
      </w:r>
      <w:r w:rsidRPr="006A5CDA">
        <w:rPr>
          <w:vertAlign w:val="subscript"/>
          <w:lang w:val="en-AU"/>
        </w:rPr>
        <w:t>56</w:t>
      </w:r>
      <w:r>
        <w:rPr>
          <w:lang w:val="en-AU"/>
        </w:rPr>
        <w:t>O</w:t>
      </w:r>
      <w:r w:rsidRPr="006A5CDA">
        <w:rPr>
          <w:vertAlign w:val="subscript"/>
          <w:lang w:val="en-AU"/>
        </w:rPr>
        <w:t>49</w:t>
      </w:r>
      <w:r>
        <w:rPr>
          <w:vertAlign w:val="subscript"/>
          <w:lang w:val="en-AU"/>
        </w:rPr>
        <w:t xml:space="preserve"> </w:t>
      </w:r>
      <w:r w:rsidRPr="00907166">
        <w:rPr>
          <w:lang w:val="en-AU"/>
        </w:rPr>
        <w:t>(3961 Da)</w:t>
      </w:r>
    </w:p>
    <w:p w14:paraId="3CEADD6F" w14:textId="77777777" w:rsidR="009E656D" w:rsidRDefault="009E656D" w:rsidP="00543400">
      <w:pPr>
        <w:rPr>
          <w:lang w:val="en-AU"/>
        </w:rPr>
      </w:pPr>
    </w:p>
    <w:p w14:paraId="727F6564" w14:textId="4F87C3AB" w:rsidR="009E656D" w:rsidRPr="00907166" w:rsidRDefault="009E656D" w:rsidP="00543400">
      <w:pPr>
        <w:rPr>
          <w:lang w:val="en-AU"/>
        </w:rPr>
      </w:pPr>
      <w:r>
        <w:rPr>
          <w:lang w:val="en-AU"/>
        </w:rPr>
        <w:t xml:space="preserve">Structural formula: </w:t>
      </w:r>
      <w:r w:rsidRPr="00907166">
        <w:rPr>
          <w:lang w:val="en-AU"/>
        </w:rPr>
        <w:t>H-Ala-Val-Ser-Glu-His-Gln-Leu-Leu-His-Asp-Lys-Gly-Lys-Ser-Ile-Gln-Asp-Leu-Arg-Arg-Arg-Glu-Leu-Leu-Glu-Lys-Leu-Leu-Aib-Lys-Leu-His-Thr-Ala-NH</w:t>
      </w:r>
      <w:r w:rsidRPr="00907166">
        <w:rPr>
          <w:vertAlign w:val="subscript"/>
          <w:lang w:val="en-AU"/>
        </w:rPr>
        <w:t>2</w:t>
      </w:r>
    </w:p>
    <w:p w14:paraId="1C61A9A3" w14:textId="77777777" w:rsidR="009E656D" w:rsidRPr="00677771" w:rsidRDefault="009E656D" w:rsidP="00677771">
      <w:pPr>
        <w:pStyle w:val="Heading3"/>
      </w:pPr>
      <w:r w:rsidRPr="00677771">
        <w:t>CAS number</w:t>
      </w:r>
    </w:p>
    <w:p w14:paraId="69B592E0" w14:textId="77777777" w:rsidR="009E656D" w:rsidRPr="005D16DC" w:rsidRDefault="009E656D" w:rsidP="00543400">
      <w:pPr>
        <w:rPr>
          <w:lang w:val="en-AU"/>
        </w:rPr>
      </w:pPr>
      <w:r>
        <w:rPr>
          <w:lang w:val="en-AU"/>
        </w:rPr>
        <w:t>247062-33-5</w:t>
      </w:r>
    </w:p>
    <w:p w14:paraId="75D09235" w14:textId="77777777" w:rsidR="009E656D" w:rsidRDefault="009E656D" w:rsidP="00543400">
      <w:pPr>
        <w:pStyle w:val="Heading1"/>
        <w:keepNext w:val="0"/>
        <w:keepLines w:val="0"/>
        <w:rPr>
          <w:lang w:val="en-AU"/>
        </w:rPr>
      </w:pPr>
      <w:r w:rsidRPr="004E0C17">
        <w:rPr>
          <w:lang w:val="en-AU"/>
        </w:rPr>
        <w:t>Medicine schedule (Poisons Standard)</w:t>
      </w:r>
    </w:p>
    <w:p w14:paraId="5D85FE9A" w14:textId="77777777" w:rsidR="009E656D" w:rsidRPr="006A5CDA" w:rsidRDefault="009E656D" w:rsidP="00543400">
      <w:pPr>
        <w:rPr>
          <w:lang w:val="en-AU"/>
        </w:rPr>
      </w:pPr>
      <w:r>
        <w:rPr>
          <w:lang w:val="en-AU"/>
        </w:rPr>
        <w:t>Prescription Only Medicine (Schedule 4)</w:t>
      </w:r>
    </w:p>
    <w:p w14:paraId="788543D1" w14:textId="77777777" w:rsidR="009E656D" w:rsidRDefault="009E656D" w:rsidP="00543400">
      <w:pPr>
        <w:pStyle w:val="Heading1"/>
        <w:keepNext w:val="0"/>
        <w:keepLines w:val="0"/>
        <w:rPr>
          <w:lang w:val="en-AU"/>
        </w:rPr>
      </w:pPr>
      <w:r w:rsidRPr="004E0C17">
        <w:rPr>
          <w:lang w:val="en-AU"/>
        </w:rPr>
        <w:lastRenderedPageBreak/>
        <w:t>Sponsor</w:t>
      </w:r>
    </w:p>
    <w:p w14:paraId="2B879C04" w14:textId="77777777" w:rsidR="009E656D" w:rsidRDefault="009E656D" w:rsidP="00543400">
      <w:pPr>
        <w:rPr>
          <w:lang w:val="en-AU"/>
        </w:rPr>
      </w:pPr>
      <w:r>
        <w:rPr>
          <w:lang w:val="en-AU"/>
        </w:rPr>
        <w:t>Theramex Australia Pty Ltd</w:t>
      </w:r>
    </w:p>
    <w:p w14:paraId="0C791F4C" w14:textId="77777777" w:rsidR="009E656D" w:rsidRDefault="009E656D" w:rsidP="00543400">
      <w:pPr>
        <w:rPr>
          <w:lang w:val="en-AU"/>
        </w:rPr>
      </w:pPr>
      <w:r>
        <w:rPr>
          <w:lang w:val="en-AU"/>
        </w:rPr>
        <w:t>Level 22, 60 Margaret Street,</w:t>
      </w:r>
    </w:p>
    <w:p w14:paraId="1DB251EC" w14:textId="77777777" w:rsidR="009E656D" w:rsidRDefault="009E656D" w:rsidP="00543400">
      <w:pPr>
        <w:rPr>
          <w:lang w:val="en-AU"/>
        </w:rPr>
      </w:pPr>
      <w:r>
        <w:rPr>
          <w:lang w:val="en-AU"/>
        </w:rPr>
        <w:t>Sydney NSW 200</w:t>
      </w:r>
    </w:p>
    <w:p w14:paraId="5CFD7DC2" w14:textId="77777777" w:rsidR="009E656D" w:rsidRPr="006A5CDA" w:rsidRDefault="009E656D" w:rsidP="00543400">
      <w:pPr>
        <w:rPr>
          <w:lang w:val="en-AU"/>
        </w:rPr>
      </w:pPr>
      <w:r>
        <w:rPr>
          <w:lang w:val="en-AU"/>
        </w:rPr>
        <w:t>1800 THERAMEX or 1800 843 726</w:t>
      </w:r>
    </w:p>
    <w:p w14:paraId="03CE7012" w14:textId="77777777" w:rsidR="009E656D" w:rsidRDefault="009E656D" w:rsidP="00543400">
      <w:pPr>
        <w:pStyle w:val="Heading1"/>
        <w:keepNext w:val="0"/>
        <w:keepLines w:val="0"/>
        <w:rPr>
          <w:lang w:val="en-AU"/>
        </w:rPr>
      </w:pPr>
      <w:r w:rsidRPr="004E0C17">
        <w:rPr>
          <w:lang w:val="en-AU"/>
        </w:rPr>
        <w:t xml:space="preserve">Date of first approval  </w:t>
      </w:r>
    </w:p>
    <w:p w14:paraId="21AE07EE" w14:textId="164CE6DC" w:rsidR="009E656D" w:rsidRPr="006A5CDA" w:rsidRDefault="00442943" w:rsidP="00543400">
      <w:pPr>
        <w:rPr>
          <w:lang w:val="en-AU"/>
        </w:rPr>
      </w:pPr>
      <w:r>
        <w:rPr>
          <w:lang w:val="en-AU"/>
        </w:rPr>
        <w:t>28 November 2024</w:t>
      </w:r>
    </w:p>
    <w:p w14:paraId="2C730171" w14:textId="77777777" w:rsidR="009E656D" w:rsidRPr="004E0C17" w:rsidRDefault="009E656D" w:rsidP="00543400">
      <w:pPr>
        <w:pStyle w:val="Heading1"/>
        <w:keepNext w:val="0"/>
        <w:keepLines w:val="0"/>
        <w:rPr>
          <w:lang w:val="en-AU"/>
        </w:rPr>
      </w:pPr>
      <w:r w:rsidRPr="004E0C17">
        <w:rPr>
          <w:lang w:val="en-AU"/>
        </w:rPr>
        <w:t xml:space="preserve">Date of revision </w:t>
      </w:r>
    </w:p>
    <w:p w14:paraId="530B0692" w14:textId="77777777" w:rsidR="009E656D" w:rsidRPr="004E0C17" w:rsidRDefault="009E656D" w:rsidP="00543400">
      <w:pPr>
        <w:pStyle w:val="Heading2"/>
        <w:rPr>
          <w:lang w:val="en-AU"/>
        </w:rPr>
      </w:pPr>
      <w:r w:rsidRPr="004E0C17">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74"/>
        <w:gridCol w:w="7632"/>
      </w:tblGrid>
      <w:tr w:rsidR="009E656D" w:rsidRPr="004E0C17" w14:paraId="3350244C" w14:textId="77777777" w:rsidTr="00CC14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6907E38E" w14:textId="77777777" w:rsidR="009E656D" w:rsidRPr="004E0C17" w:rsidRDefault="009E656D" w:rsidP="00543400">
            <w:pPr>
              <w:rPr>
                <w:lang w:val="en-AU"/>
              </w:rPr>
            </w:pPr>
            <w:r w:rsidRPr="004E0C17">
              <w:rPr>
                <w:lang w:val="en-AU"/>
              </w:rPr>
              <w:t>Section Changed</w:t>
            </w:r>
          </w:p>
        </w:tc>
        <w:tc>
          <w:tcPr>
            <w:tcW w:w="7858" w:type="dxa"/>
            <w:shd w:val="clear" w:color="auto" w:fill="F2F2F2" w:themeFill="background1" w:themeFillShade="F2"/>
            <w:vAlign w:val="center"/>
          </w:tcPr>
          <w:p w14:paraId="6EB1BA97" w14:textId="77777777" w:rsidR="009E656D" w:rsidRPr="004E0C17" w:rsidRDefault="009E656D" w:rsidP="00543400">
            <w:pPr>
              <w:cnfStyle w:val="100000000000" w:firstRow="1" w:lastRow="0" w:firstColumn="0" w:lastColumn="0" w:oddVBand="0" w:evenVBand="0" w:oddHBand="0" w:evenHBand="0" w:firstRowFirstColumn="0" w:firstRowLastColumn="0" w:lastRowFirstColumn="0" w:lastRowLastColumn="0"/>
              <w:rPr>
                <w:lang w:val="en-AU"/>
              </w:rPr>
            </w:pPr>
            <w:r w:rsidRPr="004E0C17">
              <w:rPr>
                <w:lang w:val="en-AU"/>
              </w:rPr>
              <w:t>Summary of new information</w:t>
            </w:r>
          </w:p>
        </w:tc>
      </w:tr>
      <w:tr w:rsidR="009E656D" w:rsidRPr="004E0C17" w14:paraId="1AD20EBB" w14:textId="77777777" w:rsidTr="00CC148B">
        <w:tc>
          <w:tcPr>
            <w:cnfStyle w:val="001000000000" w:firstRow="0" w:lastRow="0" w:firstColumn="1" w:lastColumn="0" w:oddVBand="0" w:evenVBand="0" w:oddHBand="0" w:evenHBand="0" w:firstRowFirstColumn="0" w:firstRowLastColumn="0" w:lastRowFirstColumn="0" w:lastRowLastColumn="0"/>
            <w:tcW w:w="1384" w:type="dxa"/>
            <w:vAlign w:val="center"/>
          </w:tcPr>
          <w:p w14:paraId="248D51C0" w14:textId="77777777" w:rsidR="009E656D" w:rsidRPr="004E0C17" w:rsidRDefault="009E656D" w:rsidP="00543400">
            <w:pPr>
              <w:rPr>
                <w:lang w:val="en-AU"/>
              </w:rPr>
            </w:pPr>
          </w:p>
        </w:tc>
        <w:tc>
          <w:tcPr>
            <w:tcW w:w="7858" w:type="dxa"/>
            <w:vAlign w:val="center"/>
          </w:tcPr>
          <w:p w14:paraId="5C85F9EE" w14:textId="77777777" w:rsidR="009E656D" w:rsidRPr="004E0C17" w:rsidRDefault="009E656D" w:rsidP="00543400">
            <w:pPr>
              <w:cnfStyle w:val="000000000000" w:firstRow="0" w:lastRow="0" w:firstColumn="0" w:lastColumn="0" w:oddVBand="0" w:evenVBand="0" w:oddHBand="0" w:evenHBand="0" w:firstRowFirstColumn="0" w:firstRowLastColumn="0" w:lastRowFirstColumn="0" w:lastRowLastColumn="0"/>
              <w:rPr>
                <w:lang w:val="en-AU"/>
              </w:rPr>
            </w:pPr>
          </w:p>
        </w:tc>
      </w:tr>
      <w:tr w:rsidR="009E656D" w:rsidRPr="004E0C17" w14:paraId="2CC3DC19" w14:textId="77777777" w:rsidTr="00CC148B">
        <w:tc>
          <w:tcPr>
            <w:cnfStyle w:val="001000000000" w:firstRow="0" w:lastRow="0" w:firstColumn="1" w:lastColumn="0" w:oddVBand="0" w:evenVBand="0" w:oddHBand="0" w:evenHBand="0" w:firstRowFirstColumn="0" w:firstRowLastColumn="0" w:lastRowFirstColumn="0" w:lastRowLastColumn="0"/>
            <w:tcW w:w="1384" w:type="dxa"/>
            <w:vAlign w:val="center"/>
          </w:tcPr>
          <w:p w14:paraId="078BEBA9" w14:textId="77777777" w:rsidR="009E656D" w:rsidRPr="004E0C17" w:rsidRDefault="009E656D" w:rsidP="00543400">
            <w:pPr>
              <w:rPr>
                <w:lang w:val="en-AU"/>
              </w:rPr>
            </w:pPr>
          </w:p>
        </w:tc>
        <w:tc>
          <w:tcPr>
            <w:tcW w:w="7858" w:type="dxa"/>
            <w:vAlign w:val="center"/>
          </w:tcPr>
          <w:p w14:paraId="1DDC7010" w14:textId="77777777" w:rsidR="009E656D" w:rsidRPr="004E0C17" w:rsidRDefault="009E656D" w:rsidP="00543400">
            <w:pPr>
              <w:cnfStyle w:val="000000000000" w:firstRow="0" w:lastRow="0" w:firstColumn="0" w:lastColumn="0" w:oddVBand="0" w:evenVBand="0" w:oddHBand="0" w:evenHBand="0" w:firstRowFirstColumn="0" w:firstRowLastColumn="0" w:lastRowFirstColumn="0" w:lastRowLastColumn="0"/>
              <w:rPr>
                <w:lang w:val="en-AU"/>
              </w:rPr>
            </w:pPr>
          </w:p>
        </w:tc>
      </w:tr>
      <w:tr w:rsidR="009E656D" w:rsidRPr="004E0C17" w14:paraId="47129CF1" w14:textId="77777777" w:rsidTr="00CC148B">
        <w:tc>
          <w:tcPr>
            <w:cnfStyle w:val="001000000000" w:firstRow="0" w:lastRow="0" w:firstColumn="1" w:lastColumn="0" w:oddVBand="0" w:evenVBand="0" w:oddHBand="0" w:evenHBand="0" w:firstRowFirstColumn="0" w:firstRowLastColumn="0" w:lastRowFirstColumn="0" w:lastRowLastColumn="0"/>
            <w:tcW w:w="1384" w:type="dxa"/>
            <w:vAlign w:val="center"/>
          </w:tcPr>
          <w:p w14:paraId="70DF6D17" w14:textId="77777777" w:rsidR="009E656D" w:rsidRPr="004E0C17" w:rsidRDefault="009E656D" w:rsidP="00543400">
            <w:pPr>
              <w:rPr>
                <w:lang w:val="en-AU"/>
              </w:rPr>
            </w:pPr>
          </w:p>
        </w:tc>
        <w:tc>
          <w:tcPr>
            <w:tcW w:w="7858" w:type="dxa"/>
            <w:vAlign w:val="center"/>
          </w:tcPr>
          <w:p w14:paraId="46690C88" w14:textId="77777777" w:rsidR="009E656D" w:rsidRPr="004E0C17" w:rsidRDefault="009E656D" w:rsidP="00543400">
            <w:pPr>
              <w:cnfStyle w:val="000000000000" w:firstRow="0" w:lastRow="0" w:firstColumn="0" w:lastColumn="0" w:oddVBand="0" w:evenVBand="0" w:oddHBand="0" w:evenHBand="0" w:firstRowFirstColumn="0" w:firstRowLastColumn="0" w:lastRowFirstColumn="0" w:lastRowLastColumn="0"/>
              <w:rPr>
                <w:lang w:val="en-AU"/>
              </w:rPr>
            </w:pPr>
          </w:p>
        </w:tc>
      </w:tr>
    </w:tbl>
    <w:p w14:paraId="301B93BB" w14:textId="77777777" w:rsidR="009E656D" w:rsidRPr="004E0C17" w:rsidRDefault="009E656D" w:rsidP="00543400">
      <w:pPr>
        <w:rPr>
          <w:lang w:val="en-AU"/>
        </w:rPr>
      </w:pPr>
    </w:p>
    <w:p w14:paraId="39E6A8ED" w14:textId="2240EB9F" w:rsidR="00B110DD" w:rsidRPr="0073025C" w:rsidRDefault="00B110DD" w:rsidP="0073025C">
      <w:pPr>
        <w:rPr>
          <w:lang w:val="en-AU"/>
        </w:rPr>
      </w:pPr>
    </w:p>
    <w:sectPr w:rsidR="00B110DD" w:rsidRPr="0073025C" w:rsidSect="009E656D">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DFDE" w14:textId="77777777" w:rsidR="00E82172" w:rsidRDefault="00E82172" w:rsidP="00A47F15">
      <w:r>
        <w:separator/>
      </w:r>
    </w:p>
  </w:endnote>
  <w:endnote w:type="continuationSeparator" w:id="0">
    <w:p w14:paraId="3E57078D" w14:textId="77777777" w:rsidR="00E82172" w:rsidRDefault="00E82172" w:rsidP="00A4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772E9" w14:paraId="194583A9" w14:textId="77777777" w:rsidTr="002B5A3D">
      <w:tc>
        <w:tcPr>
          <w:tcW w:w="1666" w:type="pct"/>
        </w:tcPr>
        <w:p w14:paraId="12A33B47" w14:textId="662EAE06" w:rsidR="00A772E9" w:rsidRDefault="005B0286" w:rsidP="00A47F15">
          <w:pPr>
            <w:pStyle w:val="Footer"/>
          </w:pPr>
          <w:r>
            <w:t xml:space="preserve">ELADYNOS </w:t>
          </w:r>
        </w:p>
      </w:tc>
      <w:tc>
        <w:tcPr>
          <w:tcW w:w="1667" w:type="pct"/>
        </w:tcPr>
        <w:p w14:paraId="1B25C3CC" w14:textId="7CB65525" w:rsidR="00A772E9" w:rsidRDefault="005B0286" w:rsidP="005B0286">
          <w:pPr>
            <w:pStyle w:val="Footer"/>
            <w:jc w:val="center"/>
          </w:pPr>
          <w:r>
            <w:t xml:space="preserve">Version </w:t>
          </w:r>
          <w:r w:rsidR="00442943">
            <w:t>1</w:t>
          </w:r>
        </w:p>
      </w:tc>
      <w:tc>
        <w:tcPr>
          <w:tcW w:w="1667" w:type="pct"/>
        </w:tcPr>
        <w:p w14:paraId="12D53B02" w14:textId="77777777" w:rsidR="00A772E9" w:rsidRDefault="00A772E9" w:rsidP="002B5A3D">
          <w:pPr>
            <w:pStyle w:val="Foot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2</w:t>
            </w:r>
          </w:fldSimple>
        </w:p>
      </w:tc>
    </w:tr>
  </w:tbl>
  <w:p w14:paraId="1AD8AC42" w14:textId="77777777" w:rsidR="00A772E9" w:rsidRPr="00675A74" w:rsidRDefault="00A772E9" w:rsidP="00A4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51E8" w14:textId="77777777" w:rsidR="00E82172" w:rsidRDefault="00E82172" w:rsidP="00A47F15">
      <w:r>
        <w:separator/>
      </w:r>
    </w:p>
  </w:footnote>
  <w:footnote w:type="continuationSeparator" w:id="0">
    <w:p w14:paraId="133D92F6" w14:textId="77777777" w:rsidR="00E82172" w:rsidRDefault="00E82172" w:rsidP="00A4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3" w:type="dxa"/>
      <w:shd w:val="clear" w:color="auto" w:fill="E4F2E0"/>
      <w:tblLook w:val="04A0" w:firstRow="1" w:lastRow="0" w:firstColumn="1" w:lastColumn="0" w:noHBand="0" w:noVBand="1"/>
    </w:tblPr>
    <w:tblGrid>
      <w:gridCol w:w="9039"/>
    </w:tblGrid>
    <w:tr w:rsidR="00D44906" w:rsidRPr="000E4791" w14:paraId="55A2C0CE" w14:textId="77777777" w:rsidTr="00F62FEB">
      <w:trPr>
        <w:trHeight w:val="1012"/>
      </w:trPr>
      <w:tc>
        <w:tcPr>
          <w:tcW w:w="9039" w:type="dxa"/>
          <w:shd w:val="clear" w:color="auto" w:fill="E4F2E0"/>
        </w:tcPr>
        <w:p w14:paraId="272871CE" w14:textId="43A527A1" w:rsidR="00D44906" w:rsidRPr="000E4791" w:rsidRDefault="00D44906" w:rsidP="00430141">
          <w:pPr>
            <w:pStyle w:val="Footer"/>
            <w:rPr>
              <w:b/>
              <w:sz w:val="18"/>
              <w:szCs w:val="18"/>
            </w:rPr>
          </w:pPr>
          <w:r w:rsidRPr="00EE2A41">
            <w:rPr>
              <w:b/>
              <w:sz w:val="18"/>
              <w:szCs w:val="18"/>
            </w:rPr>
            <w:t xml:space="preserve">Attachment </w:t>
          </w:r>
          <w:proofErr w:type="spellStart"/>
          <w:r w:rsidR="0035530B" w:rsidRPr="0035530B">
            <w:rPr>
              <w:b/>
              <w:sz w:val="18"/>
              <w:szCs w:val="18"/>
            </w:rPr>
            <w:t>AusPAR</w:t>
          </w:r>
          <w:proofErr w:type="spellEnd"/>
          <w:r w:rsidR="0035530B" w:rsidRPr="0035530B">
            <w:rPr>
              <w:b/>
              <w:sz w:val="18"/>
              <w:szCs w:val="18"/>
            </w:rPr>
            <w:t xml:space="preserve"> - </w:t>
          </w:r>
          <w:proofErr w:type="spellStart"/>
          <w:r w:rsidR="0035530B" w:rsidRPr="0035530B">
            <w:rPr>
              <w:b/>
              <w:sz w:val="18"/>
              <w:szCs w:val="18"/>
            </w:rPr>
            <w:t>Eladynos</w:t>
          </w:r>
          <w:proofErr w:type="spellEnd"/>
          <w:r w:rsidR="0035530B" w:rsidRPr="0035530B">
            <w:rPr>
              <w:b/>
              <w:sz w:val="18"/>
              <w:szCs w:val="18"/>
            </w:rPr>
            <w:t xml:space="preserve"> </w:t>
          </w:r>
          <w:r w:rsidR="00430141">
            <w:rPr>
              <w:b/>
              <w:sz w:val="18"/>
              <w:szCs w:val="18"/>
            </w:rPr>
            <w:t>-</w:t>
          </w:r>
          <w:r w:rsidR="0035530B" w:rsidRPr="0035530B">
            <w:rPr>
              <w:b/>
              <w:sz w:val="18"/>
              <w:szCs w:val="18"/>
            </w:rPr>
            <w:t xml:space="preserve"> </w:t>
          </w:r>
          <w:proofErr w:type="spellStart"/>
          <w:r w:rsidR="0035530B" w:rsidRPr="0035530B">
            <w:rPr>
              <w:b/>
              <w:sz w:val="18"/>
              <w:szCs w:val="18"/>
            </w:rPr>
            <w:t>abaloparatide</w:t>
          </w:r>
          <w:proofErr w:type="spellEnd"/>
          <w:r w:rsidR="0035530B" w:rsidRPr="0035530B">
            <w:rPr>
              <w:b/>
              <w:sz w:val="18"/>
              <w:szCs w:val="18"/>
            </w:rPr>
            <w:t xml:space="preserve"> </w:t>
          </w:r>
          <w:r w:rsidR="00430141">
            <w:rPr>
              <w:b/>
              <w:sz w:val="18"/>
              <w:szCs w:val="18"/>
            </w:rPr>
            <w:t>-</w:t>
          </w:r>
          <w:r w:rsidR="0035530B" w:rsidRPr="0035530B">
            <w:rPr>
              <w:b/>
              <w:sz w:val="18"/>
              <w:szCs w:val="18"/>
            </w:rPr>
            <w:t xml:space="preserve"> </w:t>
          </w:r>
          <w:proofErr w:type="spellStart"/>
          <w:r w:rsidR="0035530B" w:rsidRPr="0035530B">
            <w:rPr>
              <w:b/>
              <w:sz w:val="18"/>
              <w:szCs w:val="18"/>
            </w:rPr>
            <w:t>Theramex</w:t>
          </w:r>
          <w:proofErr w:type="spellEnd"/>
          <w:r w:rsidR="0035530B" w:rsidRPr="0035530B">
            <w:rPr>
              <w:b/>
              <w:sz w:val="18"/>
              <w:szCs w:val="18"/>
            </w:rPr>
            <w:t xml:space="preserve"> Australia Pty Ltd </w:t>
          </w:r>
          <w:r w:rsidR="00430141">
            <w:rPr>
              <w:b/>
              <w:sz w:val="18"/>
              <w:szCs w:val="18"/>
            </w:rPr>
            <w:t>-</w:t>
          </w:r>
          <w:r w:rsidR="0035530B" w:rsidRPr="0035530B">
            <w:rPr>
              <w:b/>
              <w:sz w:val="18"/>
              <w:szCs w:val="18"/>
            </w:rPr>
            <w:t xml:space="preserve"> Type A - PM-2023-05942-1-5</w:t>
          </w:r>
          <w:r w:rsidR="0035530B">
            <w:rPr>
              <w:b/>
              <w:sz w:val="18"/>
              <w:szCs w:val="18"/>
            </w:rPr>
            <w:t xml:space="preserve"> </w:t>
          </w:r>
          <w:r w:rsidR="0035530B" w:rsidRPr="0035530B">
            <w:rPr>
              <w:b/>
              <w:sz w:val="18"/>
              <w:szCs w:val="18"/>
            </w:rPr>
            <w:t xml:space="preserve">Date of </w:t>
          </w:r>
          <w:proofErr w:type="spellStart"/>
          <w:r w:rsidR="0035530B" w:rsidRPr="0035530B">
            <w:rPr>
              <w:b/>
              <w:sz w:val="18"/>
              <w:szCs w:val="18"/>
            </w:rPr>
            <w:t>Finalisation</w:t>
          </w:r>
          <w:proofErr w:type="spellEnd"/>
          <w:r w:rsidR="0035530B" w:rsidRPr="0035530B">
            <w:rPr>
              <w:b/>
              <w:sz w:val="18"/>
              <w:szCs w:val="18"/>
            </w:rPr>
            <w:t>- 18 February 2025.</w:t>
          </w:r>
          <w:r w:rsidRPr="00B221D5">
            <w:rPr>
              <w:b/>
              <w:sz w:val="18"/>
              <w:szCs w:val="18"/>
            </w:rPr>
            <w:t xml:space="preserve"> This is the Product Information that was approved with the submission described in this </w:t>
          </w:r>
          <w:proofErr w:type="spellStart"/>
          <w:r w:rsidRPr="00B221D5">
            <w:rPr>
              <w:b/>
              <w:sz w:val="18"/>
              <w:szCs w:val="18"/>
            </w:rPr>
            <w:t>AusPAR</w:t>
          </w:r>
          <w:proofErr w:type="spellEnd"/>
          <w:r w:rsidRPr="00B221D5">
            <w:rPr>
              <w:b/>
              <w:sz w:val="18"/>
              <w:szCs w:val="18"/>
            </w:rPr>
            <w:t xml:space="preserve">. It may have been superseded. For the most recent PI, please refer to the TGA website at </w:t>
          </w:r>
          <w:r w:rsidRPr="007E3C4B">
            <w:rPr>
              <w:bCs/>
              <w:sz w:val="18"/>
              <w:szCs w:val="18"/>
            </w:rPr>
            <w:t>&lt;</w:t>
          </w:r>
          <w:hyperlink r:id="rId1" w:history="1">
            <w:r w:rsidRPr="007E3C4B">
              <w:rPr>
                <w:rStyle w:val="Hyperlink"/>
                <w:bCs/>
                <w:sz w:val="18"/>
                <w:szCs w:val="18"/>
              </w:rPr>
              <w:t>https://www.tga.gov.au/products/australian-register-therapeutic-goods-artg/product-information-pi</w:t>
            </w:r>
          </w:hyperlink>
          <w:r w:rsidRPr="007E3C4B">
            <w:rPr>
              <w:bCs/>
              <w:sz w:val="18"/>
              <w:szCs w:val="18"/>
            </w:rPr>
            <w:t>&gt;</w:t>
          </w:r>
        </w:p>
      </w:tc>
    </w:tr>
  </w:tbl>
  <w:p w14:paraId="36F17C8C" w14:textId="1CDE5810" w:rsidR="00D44906" w:rsidRPr="00D44906" w:rsidRDefault="00D44906" w:rsidP="00D4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886"/>
    <w:multiLevelType w:val="hybridMultilevel"/>
    <w:tmpl w:val="E9AADE0E"/>
    <w:lvl w:ilvl="0" w:tplc="AC20ED26">
      <w:start w:val="1"/>
      <w:numFmt w:val="decimal"/>
      <w:lvlText w:val="%1."/>
      <w:lvlJc w:val="left"/>
      <w:pPr>
        <w:ind w:left="360" w:hanging="360"/>
      </w:pPr>
      <w:rPr>
        <w:rFonts w:hint="default"/>
      </w:rPr>
    </w:lvl>
    <w:lvl w:ilvl="1" w:tplc="C382075A">
      <w:numFmt w:val="bullet"/>
      <w:lvlText w:val="•"/>
      <w:lvlJc w:val="left"/>
      <w:pPr>
        <w:ind w:left="1440" w:hanging="720"/>
      </w:pPr>
      <w:rPr>
        <w:rFonts w:ascii="Calibri" w:eastAsia="MS Mincho" w:hAnsi="Calibri"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91374"/>
    <w:multiLevelType w:val="hybridMultilevel"/>
    <w:tmpl w:val="90FA2C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4222E9"/>
    <w:multiLevelType w:val="hybridMultilevel"/>
    <w:tmpl w:val="4216A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D643BA"/>
    <w:multiLevelType w:val="hybridMultilevel"/>
    <w:tmpl w:val="E4204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3D207C"/>
    <w:multiLevelType w:val="hybridMultilevel"/>
    <w:tmpl w:val="D5360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4316FE"/>
    <w:multiLevelType w:val="hybridMultilevel"/>
    <w:tmpl w:val="22F68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7E0132"/>
    <w:multiLevelType w:val="hybridMultilevel"/>
    <w:tmpl w:val="0CB6F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EE4F5B"/>
    <w:multiLevelType w:val="hybridMultilevel"/>
    <w:tmpl w:val="1F8CB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8A653C"/>
    <w:multiLevelType w:val="hybridMultilevel"/>
    <w:tmpl w:val="CF1AA9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BE496D"/>
    <w:multiLevelType w:val="hybridMultilevel"/>
    <w:tmpl w:val="4B9E8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7F54D3"/>
    <w:multiLevelType w:val="hybridMultilevel"/>
    <w:tmpl w:val="D0FA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CB7396"/>
    <w:multiLevelType w:val="hybridMultilevel"/>
    <w:tmpl w:val="80664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096856">
    <w:abstractNumId w:val="15"/>
  </w:num>
  <w:num w:numId="2" w16cid:durableId="1594122137">
    <w:abstractNumId w:val="3"/>
  </w:num>
  <w:num w:numId="3" w16cid:durableId="1091241046">
    <w:abstractNumId w:val="1"/>
  </w:num>
  <w:num w:numId="4" w16cid:durableId="875847660">
    <w:abstractNumId w:val="8"/>
  </w:num>
  <w:num w:numId="5" w16cid:durableId="1421175533">
    <w:abstractNumId w:val="21"/>
  </w:num>
  <w:num w:numId="6" w16cid:durableId="1010066321">
    <w:abstractNumId w:val="16"/>
  </w:num>
  <w:num w:numId="7" w16cid:durableId="1894345874">
    <w:abstractNumId w:val="12"/>
  </w:num>
  <w:num w:numId="8" w16cid:durableId="1921017291">
    <w:abstractNumId w:val="17"/>
  </w:num>
  <w:num w:numId="9" w16cid:durableId="621765731">
    <w:abstractNumId w:val="4"/>
  </w:num>
  <w:num w:numId="10" w16cid:durableId="768894831">
    <w:abstractNumId w:val="11"/>
  </w:num>
  <w:num w:numId="11" w16cid:durableId="1118719113">
    <w:abstractNumId w:val="14"/>
  </w:num>
  <w:num w:numId="12" w16cid:durableId="488448950">
    <w:abstractNumId w:val="2"/>
  </w:num>
  <w:num w:numId="13" w16cid:durableId="1511215826">
    <w:abstractNumId w:val="18"/>
  </w:num>
  <w:num w:numId="14" w16cid:durableId="928345493">
    <w:abstractNumId w:val="7"/>
  </w:num>
  <w:num w:numId="15" w16cid:durableId="1167403560">
    <w:abstractNumId w:val="13"/>
  </w:num>
  <w:num w:numId="16" w16cid:durableId="1469665890">
    <w:abstractNumId w:val="6"/>
  </w:num>
  <w:num w:numId="17" w16cid:durableId="277493569">
    <w:abstractNumId w:val="19"/>
  </w:num>
  <w:num w:numId="18" w16cid:durableId="285504041">
    <w:abstractNumId w:val="0"/>
  </w:num>
  <w:num w:numId="19" w16cid:durableId="551119911">
    <w:abstractNumId w:val="10"/>
  </w:num>
  <w:num w:numId="20" w16cid:durableId="1730156163">
    <w:abstractNumId w:val="9"/>
  </w:num>
  <w:num w:numId="21" w16cid:durableId="1455783390">
    <w:abstractNumId w:val="20"/>
  </w:num>
  <w:num w:numId="22" w16cid:durableId="649559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BB"/>
    <w:rsid w:val="000019BB"/>
    <w:rsid w:val="00066383"/>
    <w:rsid w:val="000771CC"/>
    <w:rsid w:val="000B4805"/>
    <w:rsid w:val="000B5F26"/>
    <w:rsid w:val="000B723F"/>
    <w:rsid w:val="000C2E47"/>
    <w:rsid w:val="000D1C43"/>
    <w:rsid w:val="00120BD6"/>
    <w:rsid w:val="00135C6B"/>
    <w:rsid w:val="001423E4"/>
    <w:rsid w:val="00153EC4"/>
    <w:rsid w:val="00162763"/>
    <w:rsid w:val="00182C51"/>
    <w:rsid w:val="001A1BBF"/>
    <w:rsid w:val="001A3992"/>
    <w:rsid w:val="001A68FF"/>
    <w:rsid w:val="001B0DC2"/>
    <w:rsid w:val="001E3CE8"/>
    <w:rsid w:val="001F2F2B"/>
    <w:rsid w:val="001F3460"/>
    <w:rsid w:val="00231E02"/>
    <w:rsid w:val="00236078"/>
    <w:rsid w:val="00260D1C"/>
    <w:rsid w:val="00287EAB"/>
    <w:rsid w:val="002B424E"/>
    <w:rsid w:val="002B5A3D"/>
    <w:rsid w:val="002C6B5A"/>
    <w:rsid w:val="002D2FD1"/>
    <w:rsid w:val="002D5A38"/>
    <w:rsid w:val="002E277D"/>
    <w:rsid w:val="002E57C2"/>
    <w:rsid w:val="002F44E5"/>
    <w:rsid w:val="0031734B"/>
    <w:rsid w:val="00320D6C"/>
    <w:rsid w:val="00327E02"/>
    <w:rsid w:val="0033455C"/>
    <w:rsid w:val="00352CE3"/>
    <w:rsid w:val="0035530B"/>
    <w:rsid w:val="003659E7"/>
    <w:rsid w:val="00386F23"/>
    <w:rsid w:val="00396533"/>
    <w:rsid w:val="003A04C9"/>
    <w:rsid w:val="003A1E58"/>
    <w:rsid w:val="003C258F"/>
    <w:rsid w:val="003D026B"/>
    <w:rsid w:val="003E1AB6"/>
    <w:rsid w:val="003F3D8B"/>
    <w:rsid w:val="004032BD"/>
    <w:rsid w:val="00404296"/>
    <w:rsid w:val="00422DBD"/>
    <w:rsid w:val="00430141"/>
    <w:rsid w:val="00431ACD"/>
    <w:rsid w:val="00442943"/>
    <w:rsid w:val="00472E97"/>
    <w:rsid w:val="00483A5C"/>
    <w:rsid w:val="0049090A"/>
    <w:rsid w:val="00497C85"/>
    <w:rsid w:val="004A0B4F"/>
    <w:rsid w:val="004B2444"/>
    <w:rsid w:val="004C7C36"/>
    <w:rsid w:val="004E0C17"/>
    <w:rsid w:val="00503AFF"/>
    <w:rsid w:val="00512BA0"/>
    <w:rsid w:val="00527A71"/>
    <w:rsid w:val="00534206"/>
    <w:rsid w:val="00543400"/>
    <w:rsid w:val="00557DD2"/>
    <w:rsid w:val="00564AA2"/>
    <w:rsid w:val="00571AA5"/>
    <w:rsid w:val="005940C7"/>
    <w:rsid w:val="005B0286"/>
    <w:rsid w:val="005B14A5"/>
    <w:rsid w:val="005B7F53"/>
    <w:rsid w:val="005D0E8B"/>
    <w:rsid w:val="005D16DC"/>
    <w:rsid w:val="005F525D"/>
    <w:rsid w:val="00600BEC"/>
    <w:rsid w:val="0061344C"/>
    <w:rsid w:val="00623732"/>
    <w:rsid w:val="00654AEB"/>
    <w:rsid w:val="00655D62"/>
    <w:rsid w:val="00675A74"/>
    <w:rsid w:val="00677771"/>
    <w:rsid w:val="00677840"/>
    <w:rsid w:val="00693942"/>
    <w:rsid w:val="006A5CDA"/>
    <w:rsid w:val="006C3B42"/>
    <w:rsid w:val="006C3F0F"/>
    <w:rsid w:val="006D6403"/>
    <w:rsid w:val="006E3C86"/>
    <w:rsid w:val="0071559E"/>
    <w:rsid w:val="0072224A"/>
    <w:rsid w:val="0073025C"/>
    <w:rsid w:val="0073046A"/>
    <w:rsid w:val="007341B3"/>
    <w:rsid w:val="00742DED"/>
    <w:rsid w:val="007C5F2C"/>
    <w:rsid w:val="007E693C"/>
    <w:rsid w:val="007F1830"/>
    <w:rsid w:val="007F1F9A"/>
    <w:rsid w:val="00804143"/>
    <w:rsid w:val="00807C52"/>
    <w:rsid w:val="00831574"/>
    <w:rsid w:val="00834507"/>
    <w:rsid w:val="008467FE"/>
    <w:rsid w:val="0086135F"/>
    <w:rsid w:val="00867E33"/>
    <w:rsid w:val="008A3BA1"/>
    <w:rsid w:val="008B239A"/>
    <w:rsid w:val="008D6AE1"/>
    <w:rsid w:val="008E301C"/>
    <w:rsid w:val="008F26C2"/>
    <w:rsid w:val="00907166"/>
    <w:rsid w:val="00914BB7"/>
    <w:rsid w:val="00915C6A"/>
    <w:rsid w:val="0092799B"/>
    <w:rsid w:val="00935516"/>
    <w:rsid w:val="00960CD5"/>
    <w:rsid w:val="0097279E"/>
    <w:rsid w:val="00986795"/>
    <w:rsid w:val="009A372A"/>
    <w:rsid w:val="009A5818"/>
    <w:rsid w:val="009B193F"/>
    <w:rsid w:val="009D15DB"/>
    <w:rsid w:val="009E656D"/>
    <w:rsid w:val="00A46044"/>
    <w:rsid w:val="00A47F15"/>
    <w:rsid w:val="00A6364B"/>
    <w:rsid w:val="00A72EB1"/>
    <w:rsid w:val="00A76D16"/>
    <w:rsid w:val="00A772E9"/>
    <w:rsid w:val="00A925FD"/>
    <w:rsid w:val="00A94459"/>
    <w:rsid w:val="00AA7984"/>
    <w:rsid w:val="00AD7B06"/>
    <w:rsid w:val="00B110DD"/>
    <w:rsid w:val="00B12AC4"/>
    <w:rsid w:val="00B32206"/>
    <w:rsid w:val="00B518C4"/>
    <w:rsid w:val="00B634BE"/>
    <w:rsid w:val="00B75C23"/>
    <w:rsid w:val="00B80B7A"/>
    <w:rsid w:val="00BA76C4"/>
    <w:rsid w:val="00BD6CD7"/>
    <w:rsid w:val="00BF2345"/>
    <w:rsid w:val="00C370BA"/>
    <w:rsid w:val="00C541B9"/>
    <w:rsid w:val="00C72BD7"/>
    <w:rsid w:val="00C95BA3"/>
    <w:rsid w:val="00CA6CCF"/>
    <w:rsid w:val="00CE7144"/>
    <w:rsid w:val="00CF792F"/>
    <w:rsid w:val="00D16F96"/>
    <w:rsid w:val="00D411F4"/>
    <w:rsid w:val="00D44906"/>
    <w:rsid w:val="00D44BA0"/>
    <w:rsid w:val="00D61640"/>
    <w:rsid w:val="00D84F77"/>
    <w:rsid w:val="00D8577E"/>
    <w:rsid w:val="00D91CCD"/>
    <w:rsid w:val="00DA60F1"/>
    <w:rsid w:val="00DB424B"/>
    <w:rsid w:val="00DE3E7F"/>
    <w:rsid w:val="00DF5E99"/>
    <w:rsid w:val="00E23213"/>
    <w:rsid w:val="00E2796A"/>
    <w:rsid w:val="00E377C5"/>
    <w:rsid w:val="00E548C4"/>
    <w:rsid w:val="00E57B06"/>
    <w:rsid w:val="00E72FD0"/>
    <w:rsid w:val="00E74A56"/>
    <w:rsid w:val="00E82172"/>
    <w:rsid w:val="00EC120D"/>
    <w:rsid w:val="00ED0937"/>
    <w:rsid w:val="00F01214"/>
    <w:rsid w:val="00F2509E"/>
    <w:rsid w:val="00F95772"/>
    <w:rsid w:val="00FA3527"/>
    <w:rsid w:val="00FA68CC"/>
    <w:rsid w:val="00FD11BA"/>
    <w:rsid w:val="00FD370C"/>
    <w:rsid w:val="00FD605B"/>
    <w:rsid w:val="00FF4CCB"/>
    <w:rsid w:val="00FF7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3719B"/>
  <w15:docId w15:val="{7551CC4C-7FF3-421D-909D-9E15406F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F15"/>
    <w:pPr>
      <w:spacing w:after="0" w:line="240" w:lineRule="auto"/>
    </w:pPr>
    <w:rPr>
      <w:rFonts w:asciiTheme="majorHAnsi" w:hAnsiTheme="majorHAnsi" w:cstheme="minorHAnsi"/>
      <w:lang w:val="en"/>
    </w:rPr>
  </w:style>
  <w:style w:type="paragraph" w:styleId="Heading1">
    <w:name w:val="heading 1"/>
    <w:basedOn w:val="Normal"/>
    <w:next w:val="Normal"/>
    <w:link w:val="Heading1Char"/>
    <w:uiPriority w:val="9"/>
    <w:qFormat/>
    <w:rsid w:val="001A3992"/>
    <w:pPr>
      <w:keepNext/>
      <w:keepLines/>
      <w:numPr>
        <w:numId w:val="1"/>
      </w:numPr>
      <w:spacing w:before="480"/>
      <w:outlineLvl w:val="0"/>
    </w:pPr>
    <w:rPr>
      <w:rFonts w:eastAsiaTheme="majorEastAsia" w:cstheme="majorBidi"/>
      <w:b/>
      <w:bCs/>
      <w:caps/>
      <w:sz w:val="28"/>
      <w:szCs w:val="28"/>
    </w:rPr>
  </w:style>
  <w:style w:type="paragraph" w:styleId="Heading2">
    <w:name w:val="heading 2"/>
    <w:basedOn w:val="Normal"/>
    <w:next w:val="Normal"/>
    <w:link w:val="Heading2Char"/>
    <w:autoRedefine/>
    <w:uiPriority w:val="9"/>
    <w:unhideWhenUsed/>
    <w:qFormat/>
    <w:rsid w:val="00677771"/>
    <w:pPr>
      <w:keepNext/>
      <w:numPr>
        <w:ilvl w:val="1"/>
        <w:numId w:val="1"/>
      </w:numPr>
      <w:spacing w:before="240"/>
      <w:ind w:left="578" w:hanging="578"/>
      <w:outlineLvl w:val="1"/>
    </w:pPr>
    <w:rPr>
      <w:b/>
      <w:smallCaps/>
      <w:sz w:val="24"/>
    </w:rPr>
  </w:style>
  <w:style w:type="paragraph" w:styleId="Heading3">
    <w:name w:val="heading 3"/>
    <w:basedOn w:val="Normal"/>
    <w:next w:val="Normal"/>
    <w:link w:val="Heading3Char"/>
    <w:uiPriority w:val="9"/>
    <w:unhideWhenUsed/>
    <w:qFormat/>
    <w:rsid w:val="00677771"/>
    <w:pPr>
      <w:keepNext/>
      <w:keepLines/>
      <w:spacing w:before="200"/>
      <w:ind w:left="227"/>
      <w:outlineLvl w:val="2"/>
    </w:pPr>
    <w:rPr>
      <w:rFonts w:eastAsiaTheme="majorEastAsia" w:cstheme="majorBidi"/>
      <w:b/>
      <w:bCs/>
    </w:rPr>
  </w:style>
  <w:style w:type="paragraph" w:styleId="Heading4">
    <w:name w:val="heading 4"/>
    <w:basedOn w:val="Normal"/>
    <w:next w:val="Normal"/>
    <w:link w:val="Heading4Char"/>
    <w:uiPriority w:val="9"/>
    <w:unhideWhenUsed/>
    <w:qFormat/>
    <w:rsid w:val="005B0286"/>
    <w:pPr>
      <w:keepNext/>
      <w:outlineLvl w:val="3"/>
    </w:pPr>
    <w:rPr>
      <w:u w:val="single"/>
      <w:lang w:val="en-AU"/>
    </w:rPr>
  </w:style>
  <w:style w:type="paragraph" w:styleId="Heading5">
    <w:name w:val="heading 5"/>
    <w:basedOn w:val="Normal"/>
    <w:next w:val="Normal"/>
    <w:link w:val="Heading5Char"/>
    <w:uiPriority w:val="9"/>
    <w:unhideWhenUsed/>
    <w:qFormat/>
    <w:rsid w:val="00135C6B"/>
    <w:pPr>
      <w:keepNext/>
      <w:outlineLvl w:val="4"/>
    </w:pPr>
    <w:rPr>
      <w:bCs/>
      <w:i/>
      <w:iCs/>
      <w:lang w:val="en-AU"/>
    </w:rPr>
  </w:style>
  <w:style w:type="paragraph" w:styleId="Heading6">
    <w:name w:val="heading 6"/>
    <w:basedOn w:val="Heading5"/>
    <w:next w:val="Normal"/>
    <w:link w:val="Heading6Char"/>
    <w:uiPriority w:val="9"/>
    <w:unhideWhenUsed/>
    <w:qFormat/>
    <w:rsid w:val="00135C6B"/>
    <w:pPr>
      <w:outlineLvl w:val="5"/>
    </w:pPr>
    <w:rPr>
      <w:b/>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677771"/>
    <w:rPr>
      <w:rFonts w:asciiTheme="majorHAnsi" w:hAnsiTheme="majorHAnsi" w:cstheme="minorHAnsi"/>
      <w:b/>
      <w:smallCaps/>
      <w:sz w:val="24"/>
      <w:lang w:val="en"/>
    </w:rPr>
  </w:style>
  <w:style w:type="character" w:customStyle="1" w:styleId="Heading3Char">
    <w:name w:val="Heading 3 Char"/>
    <w:basedOn w:val="DefaultParagraphFont"/>
    <w:link w:val="Heading3"/>
    <w:uiPriority w:val="9"/>
    <w:rsid w:val="00677771"/>
    <w:rPr>
      <w:rFonts w:asciiTheme="majorHAnsi" w:eastAsiaTheme="majorEastAsia" w:hAnsiTheme="majorHAnsi" w:cstheme="majorBidi"/>
      <w:b/>
      <w:bCs/>
      <w:lang w:val="en"/>
    </w:rPr>
  </w:style>
  <w:style w:type="character" w:customStyle="1" w:styleId="Heading4Char">
    <w:name w:val="Heading 4 Char"/>
    <w:basedOn w:val="DefaultParagraphFont"/>
    <w:link w:val="Heading4"/>
    <w:uiPriority w:val="9"/>
    <w:rsid w:val="005B0286"/>
    <w:rPr>
      <w:rFonts w:asciiTheme="majorHAnsi" w:hAnsiTheme="majorHAnsi" w:cstheme="minorHAnsi"/>
      <w:u w:val="single"/>
    </w:rPr>
  </w:style>
  <w:style w:type="character" w:customStyle="1" w:styleId="Heading5Char">
    <w:name w:val="Heading 5 Char"/>
    <w:basedOn w:val="DefaultParagraphFont"/>
    <w:link w:val="Heading5"/>
    <w:uiPriority w:val="9"/>
    <w:rsid w:val="00135C6B"/>
    <w:rPr>
      <w:rFonts w:asciiTheme="majorHAnsi" w:hAnsiTheme="majorHAnsi" w:cstheme="minorHAnsi"/>
      <w:bCs/>
      <w:i/>
      <w:iCs/>
    </w:rPr>
  </w:style>
  <w:style w:type="character" w:customStyle="1" w:styleId="Heading6Char">
    <w:name w:val="Heading 6 Char"/>
    <w:basedOn w:val="DefaultParagraphFont"/>
    <w:link w:val="Heading6"/>
    <w:uiPriority w:val="9"/>
    <w:rsid w:val="00135C6B"/>
    <w:rPr>
      <w:rFonts w:asciiTheme="majorHAnsi" w:hAnsiTheme="majorHAnsi" w:cstheme="minorHAnsi"/>
      <w:b/>
      <w:bCs/>
      <w:i/>
      <w:iCs/>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qFormat/>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table" w:styleId="TableGrid">
    <w:name w:val="Table Grid"/>
    <w:aliases w:val="Header Table"/>
    <w:basedOn w:val="TableNormal"/>
    <w:uiPriority w:val="59"/>
    <w:unhideWhenUsed/>
    <w:rsid w:val="00675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6B5A"/>
    <w:rPr>
      <w:b/>
      <w:bCs/>
    </w:rPr>
  </w:style>
  <w:style w:type="paragraph" w:styleId="CommentSubject">
    <w:name w:val="annotation subject"/>
    <w:basedOn w:val="CommentText"/>
    <w:next w:val="CommentText"/>
    <w:link w:val="CommentSubjectChar"/>
    <w:uiPriority w:val="99"/>
    <w:semiHidden/>
    <w:unhideWhenUsed/>
    <w:rsid w:val="000D1C43"/>
    <w:rPr>
      <w:rFonts w:asciiTheme="minorHAnsi" w:hAnsiTheme="minorHAnsi"/>
      <w:b/>
      <w:bCs/>
    </w:rPr>
  </w:style>
  <w:style w:type="character" w:customStyle="1" w:styleId="CommentSubjectChar">
    <w:name w:val="Comment Subject Char"/>
    <w:basedOn w:val="CommentTextChar"/>
    <w:link w:val="CommentSubject"/>
    <w:uiPriority w:val="99"/>
    <w:semiHidden/>
    <w:rsid w:val="000D1C43"/>
    <w:rPr>
      <w:rFonts w:ascii="Cambria" w:hAnsi="Cambria"/>
      <w:b/>
      <w:bCs/>
      <w:sz w:val="20"/>
      <w:szCs w:val="20"/>
    </w:rPr>
  </w:style>
  <w:style w:type="paragraph" w:customStyle="1" w:styleId="Default">
    <w:name w:val="Default"/>
    <w:rsid w:val="00472E9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8F26C2"/>
    <w:pPr>
      <w:spacing w:after="200"/>
    </w:pPr>
    <w:rPr>
      <w:i/>
      <w:iCs/>
      <w:color w:val="1F497D" w:themeColor="text2"/>
      <w:sz w:val="18"/>
      <w:szCs w:val="18"/>
    </w:rPr>
  </w:style>
  <w:style w:type="paragraph" w:styleId="NoSpacing">
    <w:name w:val="No Spacing"/>
    <w:uiPriority w:val="1"/>
    <w:qFormat/>
    <w:rsid w:val="0071559E"/>
    <w:pPr>
      <w:spacing w:after="0" w:line="240" w:lineRule="auto"/>
    </w:pPr>
    <w:rPr>
      <w:rFonts w:asciiTheme="majorHAnsi" w:hAnsiTheme="majorHAnsi" w:cstheme="minorHAnsi"/>
      <w:lang w:val="en"/>
    </w:rPr>
  </w:style>
  <w:style w:type="paragraph" w:styleId="Revision">
    <w:name w:val="Revision"/>
    <w:hidden/>
    <w:uiPriority w:val="99"/>
    <w:semiHidden/>
    <w:rsid w:val="00DB424B"/>
    <w:pPr>
      <w:spacing w:after="0" w:line="240" w:lineRule="auto"/>
    </w:pPr>
    <w:rPr>
      <w:rFonts w:asciiTheme="majorHAnsi" w:hAnsiTheme="majorHAnsi" w:cstheme="minorHAns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3419">
      <w:bodyDiv w:val="1"/>
      <w:marLeft w:val="0"/>
      <w:marRight w:val="0"/>
      <w:marTop w:val="0"/>
      <w:marBottom w:val="0"/>
      <w:divBdr>
        <w:top w:val="none" w:sz="0" w:space="0" w:color="auto"/>
        <w:left w:val="none" w:sz="0" w:space="0" w:color="auto"/>
        <w:bottom w:val="none" w:sz="0" w:space="0" w:color="auto"/>
        <w:right w:val="none" w:sz="0" w:space="0" w:color="auto"/>
      </w:divBdr>
    </w:div>
    <w:div w:id="15785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tga.gov.au/reporting-proble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Australia\QMS\WP%20(Work%20Processes)\Draft\TEMP-WP-1033%20Annotated%20PI%20Template_V1.0_WI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EF236-8D51-4008-B5A2-9CF8A13E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TEMP-WP-1033 Annotated PI Template_V1.0_WIP.dotx</Template>
  <TotalTime>5</TotalTime>
  <Pages>20</Pages>
  <Words>5660</Words>
  <Characters>33625</Characters>
  <Application>Microsoft Office Word</Application>
  <DocSecurity>0</DocSecurity>
  <Lines>730</Lines>
  <Paragraphs>392</Paragraphs>
  <ScaleCrop>false</ScaleCrop>
  <HeadingPairs>
    <vt:vector size="2" baseType="variant">
      <vt:variant>
        <vt:lpstr>Title</vt:lpstr>
      </vt:variant>
      <vt:variant>
        <vt:i4>1</vt:i4>
      </vt:variant>
    </vt:vector>
  </HeadingPairs>
  <TitlesOfParts>
    <vt:vector size="1" baseType="lpstr">
      <vt:lpstr>annotated pi</vt:lpstr>
    </vt:vector>
  </TitlesOfParts>
  <Manager/>
  <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Eladynos</dc:title>
  <dc:creator/>
  <cp:lastModifiedBy>PITKIN, Brendan</cp:lastModifiedBy>
  <cp:revision>8</cp:revision>
  <cp:lastPrinted>2024-06-25T06:31:00Z</cp:lastPrinted>
  <dcterms:created xsi:type="dcterms:W3CDTF">2025-02-18T02:50:00Z</dcterms:created>
  <dcterms:modified xsi:type="dcterms:W3CDTF">2025-03-06T02:08:00Z</dcterms:modified>
</cp:coreProperties>
</file>