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F52E" w14:textId="77777777" w:rsidR="00280CF5" w:rsidRDefault="00280CF5"/>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355621BC" w:rsidR="00223216" w:rsidRPr="0089726F" w:rsidRDefault="00280CF5" w:rsidP="00223216">
            <w:pPr>
              <w:pStyle w:val="Title"/>
              <w:spacing w:after="240"/>
            </w:pPr>
            <w:r w:rsidRPr="0089726F">
              <w:t xml:space="preserve">Australian Public Assessment Report for </w:t>
            </w:r>
            <w:r w:rsidR="008D7761" w:rsidRPr="0089726F">
              <w:t>Comirnaty</w:t>
            </w:r>
            <w:r w:rsidR="00794881" w:rsidRPr="0089726F">
              <w:t xml:space="preserve"> J</w:t>
            </w:r>
            <w:r w:rsidRPr="0089726F">
              <w:t>N.1</w:t>
            </w:r>
            <w:r w:rsidR="00E924F5" w:rsidRPr="0089726F">
              <w:t xml:space="preserve"> </w:t>
            </w:r>
            <w:r w:rsidRPr="0089726F">
              <w:t xml:space="preserve">COVID-19 </w:t>
            </w:r>
            <w:r w:rsidR="0089726F">
              <w:t>v</w:t>
            </w:r>
            <w:r w:rsidR="00794881" w:rsidRPr="0089726F">
              <w:t>accine</w:t>
            </w:r>
          </w:p>
        </w:tc>
      </w:tr>
      <w:tr w:rsidR="00F02AEC" w:rsidRPr="00215D48" w14:paraId="318A40A3" w14:textId="77777777" w:rsidTr="00346EC2">
        <w:trPr>
          <w:trHeight w:val="995"/>
        </w:trPr>
        <w:tc>
          <w:tcPr>
            <w:tcW w:w="8720" w:type="dxa"/>
          </w:tcPr>
          <w:p w14:paraId="1AA7C701" w14:textId="045A47BF" w:rsidR="00F02AEC" w:rsidRPr="00215D48" w:rsidRDefault="0089726F" w:rsidP="00FD013D">
            <w:pPr>
              <w:pStyle w:val="Subtitle"/>
            </w:pPr>
            <w:r w:rsidRPr="0089726F">
              <w:t xml:space="preserve">Active ingredient: </w:t>
            </w:r>
            <w:proofErr w:type="spellStart"/>
            <w:r w:rsidRPr="0089726F">
              <w:t>Bretovameran</w:t>
            </w:r>
            <w:proofErr w:type="spellEnd"/>
          </w:p>
        </w:tc>
      </w:tr>
      <w:tr w:rsidR="00346EC2" w:rsidRPr="00215D48" w14:paraId="362CCAE4" w14:textId="77777777" w:rsidTr="007452E8">
        <w:trPr>
          <w:trHeight w:val="1916"/>
        </w:trPr>
        <w:tc>
          <w:tcPr>
            <w:tcW w:w="8720" w:type="dxa"/>
          </w:tcPr>
          <w:p w14:paraId="709C45C0" w14:textId="219A0837" w:rsidR="00346EC2" w:rsidRPr="00215D48" w:rsidRDefault="0089726F" w:rsidP="0089726F">
            <w:pPr>
              <w:pStyle w:val="Subtitle"/>
            </w:pPr>
            <w:r w:rsidRPr="00280CF5">
              <w:t xml:space="preserve">Sponsor: </w:t>
            </w:r>
            <w:r w:rsidRPr="0089726F">
              <w:t>Pfizer</w:t>
            </w:r>
            <w:r w:rsidRPr="00280CF5">
              <w:t xml:space="preserve"> Australia Pty Ltd</w:t>
            </w:r>
          </w:p>
        </w:tc>
      </w:tr>
      <w:tr w:rsidR="00F02AEC" w:rsidRPr="00215D48" w14:paraId="37F2AA1F" w14:textId="77777777" w:rsidTr="007452E8">
        <w:tc>
          <w:tcPr>
            <w:tcW w:w="8720" w:type="dxa"/>
          </w:tcPr>
          <w:p w14:paraId="1FDE8DCD" w14:textId="05C86D24" w:rsidR="00F02AEC" w:rsidRPr="00215D48" w:rsidRDefault="00280CF5" w:rsidP="007452E8">
            <w:pPr>
              <w:pStyle w:val="Date"/>
            </w:pPr>
            <w:r>
              <w:t>March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 xml:space="preserve">About </w:t>
      </w:r>
      <w:proofErr w:type="spellStart"/>
      <w:r>
        <w:t>AusPARs</w:t>
      </w:r>
      <w:proofErr w:type="spellEnd"/>
    </w:p>
    <w:p w14:paraId="631B2209" w14:textId="010FE2EE" w:rsidR="00346EC2" w:rsidRPr="003C6D1F" w:rsidRDefault="00346EC2" w:rsidP="00346EC2">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w:t>
      </w:r>
      <w:proofErr w:type="spellStart"/>
      <w:r>
        <w:t>AusPAR</w:t>
      </w:r>
      <w:proofErr w:type="spellEnd"/>
      <w:r>
        <w:t xml:space="preserve"> is an important part of the transparency of the TGA’s decision-making process.</w:t>
      </w:r>
    </w:p>
    <w:p w14:paraId="4D69F5CF" w14:textId="77777777" w:rsidR="00346EC2" w:rsidRPr="003C6D1F" w:rsidRDefault="00346EC2" w:rsidP="00346EC2">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3FC1EB3" w:rsidR="00175CD8" w:rsidRPr="00346EC2" w:rsidRDefault="00F02AEC" w:rsidP="00346EC2">
      <w:pPr>
        <w:pStyle w:val="LegalCopy"/>
        <w:rPr>
          <w:rFonts w:cs="Arial"/>
        </w:rPr>
      </w:pPr>
      <w:r w:rsidRPr="00215D48">
        <w:rPr>
          <w:rFonts w:cs="Arial"/>
        </w:rPr>
        <w:t>© Commonwealth of Australia 20</w:t>
      </w:r>
      <w:r>
        <w:rPr>
          <w:rFonts w:cs="Arial"/>
        </w:rPr>
        <w:t>2</w:t>
      </w:r>
      <w:r w:rsidR="00280CF5">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3B7EE01A" w14:textId="7989165E" w:rsidR="00F760A3"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94486313" w:history="1">
            <w:r w:rsidR="00F760A3" w:rsidRPr="00594591">
              <w:rPr>
                <w:rStyle w:val="Hyperlink"/>
                <w:noProof/>
              </w:rPr>
              <w:t>List of abbreviations</w:t>
            </w:r>
            <w:r w:rsidR="00F760A3">
              <w:rPr>
                <w:noProof/>
                <w:webHidden/>
              </w:rPr>
              <w:tab/>
            </w:r>
            <w:r w:rsidR="00F760A3">
              <w:rPr>
                <w:noProof/>
                <w:webHidden/>
              </w:rPr>
              <w:fldChar w:fldCharType="begin"/>
            </w:r>
            <w:r w:rsidR="00F760A3">
              <w:rPr>
                <w:noProof/>
                <w:webHidden/>
              </w:rPr>
              <w:instrText xml:space="preserve"> PAGEREF _Toc194486313 \h </w:instrText>
            </w:r>
            <w:r w:rsidR="00F760A3">
              <w:rPr>
                <w:noProof/>
                <w:webHidden/>
              </w:rPr>
            </w:r>
            <w:r w:rsidR="00F760A3">
              <w:rPr>
                <w:noProof/>
                <w:webHidden/>
              </w:rPr>
              <w:fldChar w:fldCharType="separate"/>
            </w:r>
            <w:r w:rsidR="00F760A3">
              <w:rPr>
                <w:noProof/>
                <w:webHidden/>
              </w:rPr>
              <w:t>4</w:t>
            </w:r>
            <w:r w:rsidR="00F760A3">
              <w:rPr>
                <w:noProof/>
                <w:webHidden/>
              </w:rPr>
              <w:fldChar w:fldCharType="end"/>
            </w:r>
          </w:hyperlink>
        </w:p>
        <w:p w14:paraId="0D682BE0" w14:textId="29C4F7B0" w:rsidR="00F760A3" w:rsidRDefault="00F760A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4486314" w:history="1">
            <w:r w:rsidRPr="00594591">
              <w:rPr>
                <w:rStyle w:val="Hyperlink"/>
                <w:noProof/>
              </w:rPr>
              <w:t>Comirnaty JN.1 COVID-19 Vaccine (bretovameran) submission</w:t>
            </w:r>
            <w:r>
              <w:rPr>
                <w:noProof/>
                <w:webHidden/>
              </w:rPr>
              <w:tab/>
            </w:r>
            <w:r>
              <w:rPr>
                <w:noProof/>
                <w:webHidden/>
              </w:rPr>
              <w:fldChar w:fldCharType="begin"/>
            </w:r>
            <w:r>
              <w:rPr>
                <w:noProof/>
                <w:webHidden/>
              </w:rPr>
              <w:instrText xml:space="preserve"> PAGEREF _Toc194486314 \h </w:instrText>
            </w:r>
            <w:r>
              <w:rPr>
                <w:noProof/>
                <w:webHidden/>
              </w:rPr>
            </w:r>
            <w:r>
              <w:rPr>
                <w:noProof/>
                <w:webHidden/>
              </w:rPr>
              <w:fldChar w:fldCharType="separate"/>
            </w:r>
            <w:r>
              <w:rPr>
                <w:noProof/>
                <w:webHidden/>
              </w:rPr>
              <w:t>5</w:t>
            </w:r>
            <w:r>
              <w:rPr>
                <w:noProof/>
                <w:webHidden/>
              </w:rPr>
              <w:fldChar w:fldCharType="end"/>
            </w:r>
          </w:hyperlink>
        </w:p>
        <w:p w14:paraId="7067EF76" w14:textId="045D2A7E" w:rsidR="00F760A3" w:rsidRDefault="00F760A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4486315" w:history="1">
            <w:r w:rsidRPr="00594591">
              <w:rPr>
                <w:rStyle w:val="Hyperlink"/>
                <w:noProof/>
              </w:rPr>
              <w:t>Comirnaty JN.1 – proposed indication</w:t>
            </w:r>
            <w:r>
              <w:rPr>
                <w:noProof/>
                <w:webHidden/>
              </w:rPr>
              <w:tab/>
            </w:r>
            <w:r>
              <w:rPr>
                <w:noProof/>
                <w:webHidden/>
              </w:rPr>
              <w:fldChar w:fldCharType="begin"/>
            </w:r>
            <w:r>
              <w:rPr>
                <w:noProof/>
                <w:webHidden/>
              </w:rPr>
              <w:instrText xml:space="preserve"> PAGEREF _Toc194486315 \h </w:instrText>
            </w:r>
            <w:r>
              <w:rPr>
                <w:noProof/>
                <w:webHidden/>
              </w:rPr>
            </w:r>
            <w:r>
              <w:rPr>
                <w:noProof/>
                <w:webHidden/>
              </w:rPr>
              <w:fldChar w:fldCharType="separate"/>
            </w:r>
            <w:r>
              <w:rPr>
                <w:noProof/>
                <w:webHidden/>
              </w:rPr>
              <w:t>7</w:t>
            </w:r>
            <w:r>
              <w:rPr>
                <w:noProof/>
                <w:webHidden/>
              </w:rPr>
              <w:fldChar w:fldCharType="end"/>
            </w:r>
          </w:hyperlink>
        </w:p>
        <w:p w14:paraId="5E5A7FD2" w14:textId="082CCCF5" w:rsidR="00F760A3" w:rsidRDefault="00F760A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4486316" w:history="1">
            <w:r w:rsidRPr="00594591">
              <w:rPr>
                <w:rStyle w:val="Hyperlink"/>
                <w:noProof/>
              </w:rPr>
              <w:t>COVID-19</w:t>
            </w:r>
            <w:r>
              <w:rPr>
                <w:noProof/>
                <w:webHidden/>
              </w:rPr>
              <w:tab/>
            </w:r>
            <w:r>
              <w:rPr>
                <w:noProof/>
                <w:webHidden/>
              </w:rPr>
              <w:fldChar w:fldCharType="begin"/>
            </w:r>
            <w:r>
              <w:rPr>
                <w:noProof/>
                <w:webHidden/>
              </w:rPr>
              <w:instrText xml:space="preserve"> PAGEREF _Toc194486316 \h </w:instrText>
            </w:r>
            <w:r>
              <w:rPr>
                <w:noProof/>
                <w:webHidden/>
              </w:rPr>
            </w:r>
            <w:r>
              <w:rPr>
                <w:noProof/>
                <w:webHidden/>
              </w:rPr>
              <w:fldChar w:fldCharType="separate"/>
            </w:r>
            <w:r>
              <w:rPr>
                <w:noProof/>
                <w:webHidden/>
              </w:rPr>
              <w:t>7</w:t>
            </w:r>
            <w:r>
              <w:rPr>
                <w:noProof/>
                <w:webHidden/>
              </w:rPr>
              <w:fldChar w:fldCharType="end"/>
            </w:r>
          </w:hyperlink>
        </w:p>
        <w:p w14:paraId="50E6822A" w14:textId="0182CF8C" w:rsidR="00F760A3" w:rsidRDefault="00F760A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4486317" w:history="1">
            <w:r w:rsidRPr="00594591">
              <w:rPr>
                <w:rStyle w:val="Hyperlink"/>
                <w:noProof/>
              </w:rPr>
              <w:t>Clinical rationale for the use of the Comirnaty JN.1 Vaccine</w:t>
            </w:r>
            <w:r>
              <w:rPr>
                <w:noProof/>
                <w:webHidden/>
              </w:rPr>
              <w:tab/>
            </w:r>
            <w:r>
              <w:rPr>
                <w:noProof/>
                <w:webHidden/>
              </w:rPr>
              <w:fldChar w:fldCharType="begin"/>
            </w:r>
            <w:r>
              <w:rPr>
                <w:noProof/>
                <w:webHidden/>
              </w:rPr>
              <w:instrText xml:space="preserve"> PAGEREF _Toc194486317 \h </w:instrText>
            </w:r>
            <w:r>
              <w:rPr>
                <w:noProof/>
                <w:webHidden/>
              </w:rPr>
            </w:r>
            <w:r>
              <w:rPr>
                <w:noProof/>
                <w:webHidden/>
              </w:rPr>
              <w:fldChar w:fldCharType="separate"/>
            </w:r>
            <w:r>
              <w:rPr>
                <w:noProof/>
                <w:webHidden/>
              </w:rPr>
              <w:t>7</w:t>
            </w:r>
            <w:r>
              <w:rPr>
                <w:noProof/>
                <w:webHidden/>
              </w:rPr>
              <w:fldChar w:fldCharType="end"/>
            </w:r>
          </w:hyperlink>
        </w:p>
        <w:p w14:paraId="361C6E29" w14:textId="49093750" w:rsidR="00F760A3" w:rsidRDefault="00F760A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4486318" w:history="1">
            <w:r w:rsidRPr="00594591">
              <w:rPr>
                <w:rStyle w:val="Hyperlink"/>
                <w:noProof/>
              </w:rPr>
              <w:t>Regulatory status</w:t>
            </w:r>
            <w:r>
              <w:rPr>
                <w:noProof/>
                <w:webHidden/>
              </w:rPr>
              <w:tab/>
            </w:r>
            <w:r>
              <w:rPr>
                <w:noProof/>
                <w:webHidden/>
              </w:rPr>
              <w:fldChar w:fldCharType="begin"/>
            </w:r>
            <w:r>
              <w:rPr>
                <w:noProof/>
                <w:webHidden/>
              </w:rPr>
              <w:instrText xml:space="preserve"> PAGEREF _Toc194486318 \h </w:instrText>
            </w:r>
            <w:r>
              <w:rPr>
                <w:noProof/>
                <w:webHidden/>
              </w:rPr>
            </w:r>
            <w:r>
              <w:rPr>
                <w:noProof/>
                <w:webHidden/>
              </w:rPr>
              <w:fldChar w:fldCharType="separate"/>
            </w:r>
            <w:r>
              <w:rPr>
                <w:noProof/>
                <w:webHidden/>
              </w:rPr>
              <w:t>8</w:t>
            </w:r>
            <w:r>
              <w:rPr>
                <w:noProof/>
                <w:webHidden/>
              </w:rPr>
              <w:fldChar w:fldCharType="end"/>
            </w:r>
          </w:hyperlink>
        </w:p>
        <w:p w14:paraId="7BBAD9C2" w14:textId="455BACDD" w:rsidR="00F760A3" w:rsidRDefault="00F760A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4486319" w:history="1">
            <w:r w:rsidRPr="00594591">
              <w:rPr>
                <w:rStyle w:val="Hyperlink"/>
                <w:noProof/>
              </w:rPr>
              <w:t>Australian regulatory status</w:t>
            </w:r>
            <w:r>
              <w:rPr>
                <w:noProof/>
                <w:webHidden/>
              </w:rPr>
              <w:tab/>
            </w:r>
            <w:r>
              <w:rPr>
                <w:noProof/>
                <w:webHidden/>
              </w:rPr>
              <w:fldChar w:fldCharType="begin"/>
            </w:r>
            <w:r>
              <w:rPr>
                <w:noProof/>
                <w:webHidden/>
              </w:rPr>
              <w:instrText xml:space="preserve"> PAGEREF _Toc194486319 \h </w:instrText>
            </w:r>
            <w:r>
              <w:rPr>
                <w:noProof/>
                <w:webHidden/>
              </w:rPr>
            </w:r>
            <w:r>
              <w:rPr>
                <w:noProof/>
                <w:webHidden/>
              </w:rPr>
              <w:fldChar w:fldCharType="separate"/>
            </w:r>
            <w:r>
              <w:rPr>
                <w:noProof/>
                <w:webHidden/>
              </w:rPr>
              <w:t>8</w:t>
            </w:r>
            <w:r>
              <w:rPr>
                <w:noProof/>
                <w:webHidden/>
              </w:rPr>
              <w:fldChar w:fldCharType="end"/>
            </w:r>
          </w:hyperlink>
        </w:p>
        <w:p w14:paraId="4A40D087" w14:textId="31F1F39F" w:rsidR="00F760A3" w:rsidRDefault="00F760A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4486320" w:history="1">
            <w:r w:rsidRPr="00594591">
              <w:rPr>
                <w:rStyle w:val="Hyperlink"/>
                <w:noProof/>
              </w:rPr>
              <w:t>International regulatory status</w:t>
            </w:r>
            <w:r>
              <w:rPr>
                <w:noProof/>
                <w:webHidden/>
              </w:rPr>
              <w:tab/>
            </w:r>
            <w:r>
              <w:rPr>
                <w:noProof/>
                <w:webHidden/>
              </w:rPr>
              <w:fldChar w:fldCharType="begin"/>
            </w:r>
            <w:r>
              <w:rPr>
                <w:noProof/>
                <w:webHidden/>
              </w:rPr>
              <w:instrText xml:space="preserve"> PAGEREF _Toc194486320 \h </w:instrText>
            </w:r>
            <w:r>
              <w:rPr>
                <w:noProof/>
                <w:webHidden/>
              </w:rPr>
            </w:r>
            <w:r>
              <w:rPr>
                <w:noProof/>
                <w:webHidden/>
              </w:rPr>
              <w:fldChar w:fldCharType="separate"/>
            </w:r>
            <w:r>
              <w:rPr>
                <w:noProof/>
                <w:webHidden/>
              </w:rPr>
              <w:t>8</w:t>
            </w:r>
            <w:r>
              <w:rPr>
                <w:noProof/>
                <w:webHidden/>
              </w:rPr>
              <w:fldChar w:fldCharType="end"/>
            </w:r>
          </w:hyperlink>
        </w:p>
        <w:p w14:paraId="338C97FF" w14:textId="496EF6DD" w:rsidR="00F760A3" w:rsidRDefault="00F760A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4486321" w:history="1">
            <w:r w:rsidRPr="00594591">
              <w:rPr>
                <w:rStyle w:val="Hyperlink"/>
                <w:noProof/>
              </w:rPr>
              <w:t>Registration timeline</w:t>
            </w:r>
            <w:r>
              <w:rPr>
                <w:noProof/>
                <w:webHidden/>
              </w:rPr>
              <w:tab/>
            </w:r>
            <w:r>
              <w:rPr>
                <w:noProof/>
                <w:webHidden/>
              </w:rPr>
              <w:fldChar w:fldCharType="begin"/>
            </w:r>
            <w:r>
              <w:rPr>
                <w:noProof/>
                <w:webHidden/>
              </w:rPr>
              <w:instrText xml:space="preserve"> PAGEREF _Toc194486321 \h </w:instrText>
            </w:r>
            <w:r>
              <w:rPr>
                <w:noProof/>
                <w:webHidden/>
              </w:rPr>
            </w:r>
            <w:r>
              <w:rPr>
                <w:noProof/>
                <w:webHidden/>
              </w:rPr>
              <w:fldChar w:fldCharType="separate"/>
            </w:r>
            <w:r>
              <w:rPr>
                <w:noProof/>
                <w:webHidden/>
              </w:rPr>
              <w:t>8</w:t>
            </w:r>
            <w:r>
              <w:rPr>
                <w:noProof/>
                <w:webHidden/>
              </w:rPr>
              <w:fldChar w:fldCharType="end"/>
            </w:r>
          </w:hyperlink>
        </w:p>
        <w:p w14:paraId="33AFDA05" w14:textId="4262CE57" w:rsidR="00F760A3" w:rsidRDefault="00F760A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4486322" w:history="1">
            <w:r w:rsidRPr="00594591">
              <w:rPr>
                <w:rStyle w:val="Hyperlink"/>
                <w:noProof/>
              </w:rPr>
              <w:t>Evaluation overview</w:t>
            </w:r>
            <w:r>
              <w:rPr>
                <w:noProof/>
                <w:webHidden/>
              </w:rPr>
              <w:tab/>
            </w:r>
            <w:r>
              <w:rPr>
                <w:noProof/>
                <w:webHidden/>
              </w:rPr>
              <w:fldChar w:fldCharType="begin"/>
            </w:r>
            <w:r>
              <w:rPr>
                <w:noProof/>
                <w:webHidden/>
              </w:rPr>
              <w:instrText xml:space="preserve"> PAGEREF _Toc194486322 \h </w:instrText>
            </w:r>
            <w:r>
              <w:rPr>
                <w:noProof/>
                <w:webHidden/>
              </w:rPr>
            </w:r>
            <w:r>
              <w:rPr>
                <w:noProof/>
                <w:webHidden/>
              </w:rPr>
              <w:fldChar w:fldCharType="separate"/>
            </w:r>
            <w:r>
              <w:rPr>
                <w:noProof/>
                <w:webHidden/>
              </w:rPr>
              <w:t>8</w:t>
            </w:r>
            <w:r>
              <w:rPr>
                <w:noProof/>
                <w:webHidden/>
              </w:rPr>
              <w:fldChar w:fldCharType="end"/>
            </w:r>
          </w:hyperlink>
        </w:p>
        <w:p w14:paraId="7C4BB71F" w14:textId="496D080E" w:rsidR="00F760A3" w:rsidRDefault="00F760A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4486323" w:history="1">
            <w:r w:rsidRPr="00594591">
              <w:rPr>
                <w:rStyle w:val="Hyperlink"/>
                <w:noProof/>
              </w:rPr>
              <w:t>Quality evaluation summary</w:t>
            </w:r>
            <w:r>
              <w:rPr>
                <w:noProof/>
                <w:webHidden/>
              </w:rPr>
              <w:tab/>
            </w:r>
            <w:r>
              <w:rPr>
                <w:noProof/>
                <w:webHidden/>
              </w:rPr>
              <w:fldChar w:fldCharType="begin"/>
            </w:r>
            <w:r>
              <w:rPr>
                <w:noProof/>
                <w:webHidden/>
              </w:rPr>
              <w:instrText xml:space="preserve"> PAGEREF _Toc194486323 \h </w:instrText>
            </w:r>
            <w:r>
              <w:rPr>
                <w:noProof/>
                <w:webHidden/>
              </w:rPr>
            </w:r>
            <w:r>
              <w:rPr>
                <w:noProof/>
                <w:webHidden/>
              </w:rPr>
              <w:fldChar w:fldCharType="separate"/>
            </w:r>
            <w:r>
              <w:rPr>
                <w:noProof/>
                <w:webHidden/>
              </w:rPr>
              <w:t>8</w:t>
            </w:r>
            <w:r>
              <w:rPr>
                <w:noProof/>
                <w:webHidden/>
              </w:rPr>
              <w:fldChar w:fldCharType="end"/>
            </w:r>
          </w:hyperlink>
        </w:p>
        <w:p w14:paraId="7FBD2123" w14:textId="3CA0DE6D" w:rsidR="00F760A3" w:rsidRDefault="00F760A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4486324" w:history="1">
            <w:r w:rsidRPr="00594591">
              <w:rPr>
                <w:rStyle w:val="Hyperlink"/>
                <w:noProof/>
              </w:rPr>
              <w:t>GMP clearance for listed manufacturers</w:t>
            </w:r>
            <w:r>
              <w:rPr>
                <w:noProof/>
                <w:webHidden/>
              </w:rPr>
              <w:tab/>
            </w:r>
            <w:r>
              <w:rPr>
                <w:noProof/>
                <w:webHidden/>
              </w:rPr>
              <w:fldChar w:fldCharType="begin"/>
            </w:r>
            <w:r>
              <w:rPr>
                <w:noProof/>
                <w:webHidden/>
              </w:rPr>
              <w:instrText xml:space="preserve"> PAGEREF _Toc194486324 \h </w:instrText>
            </w:r>
            <w:r>
              <w:rPr>
                <w:noProof/>
                <w:webHidden/>
              </w:rPr>
            </w:r>
            <w:r>
              <w:rPr>
                <w:noProof/>
                <w:webHidden/>
              </w:rPr>
              <w:fldChar w:fldCharType="separate"/>
            </w:r>
            <w:r>
              <w:rPr>
                <w:noProof/>
                <w:webHidden/>
              </w:rPr>
              <w:t>9</w:t>
            </w:r>
            <w:r>
              <w:rPr>
                <w:noProof/>
                <w:webHidden/>
              </w:rPr>
              <w:fldChar w:fldCharType="end"/>
            </w:r>
          </w:hyperlink>
        </w:p>
        <w:p w14:paraId="15AD25BE" w14:textId="075459FC" w:rsidR="00F760A3" w:rsidRDefault="00F760A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4486325" w:history="1">
            <w:r w:rsidRPr="00594591">
              <w:rPr>
                <w:rStyle w:val="Hyperlink"/>
                <w:noProof/>
              </w:rPr>
              <w:t>Post-approval stability protocol and stability commitment</w:t>
            </w:r>
            <w:r>
              <w:rPr>
                <w:noProof/>
                <w:webHidden/>
              </w:rPr>
              <w:tab/>
            </w:r>
            <w:r>
              <w:rPr>
                <w:noProof/>
                <w:webHidden/>
              </w:rPr>
              <w:fldChar w:fldCharType="begin"/>
            </w:r>
            <w:r>
              <w:rPr>
                <w:noProof/>
                <w:webHidden/>
              </w:rPr>
              <w:instrText xml:space="preserve"> PAGEREF _Toc194486325 \h </w:instrText>
            </w:r>
            <w:r>
              <w:rPr>
                <w:noProof/>
                <w:webHidden/>
              </w:rPr>
            </w:r>
            <w:r>
              <w:rPr>
                <w:noProof/>
                <w:webHidden/>
              </w:rPr>
              <w:fldChar w:fldCharType="separate"/>
            </w:r>
            <w:r>
              <w:rPr>
                <w:noProof/>
                <w:webHidden/>
              </w:rPr>
              <w:t>9</w:t>
            </w:r>
            <w:r>
              <w:rPr>
                <w:noProof/>
                <w:webHidden/>
              </w:rPr>
              <w:fldChar w:fldCharType="end"/>
            </w:r>
          </w:hyperlink>
        </w:p>
        <w:p w14:paraId="2E8D9E66" w14:textId="7BB77BD3" w:rsidR="00F760A3" w:rsidRDefault="00F760A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4486326" w:history="1">
            <w:r w:rsidRPr="00594591">
              <w:rPr>
                <w:rStyle w:val="Hyperlink"/>
                <w:noProof/>
              </w:rPr>
              <w:t>Batch analysis (DS and DP)</w:t>
            </w:r>
            <w:r>
              <w:rPr>
                <w:noProof/>
                <w:webHidden/>
              </w:rPr>
              <w:tab/>
            </w:r>
            <w:r>
              <w:rPr>
                <w:noProof/>
                <w:webHidden/>
              </w:rPr>
              <w:fldChar w:fldCharType="begin"/>
            </w:r>
            <w:r>
              <w:rPr>
                <w:noProof/>
                <w:webHidden/>
              </w:rPr>
              <w:instrText xml:space="preserve"> PAGEREF _Toc194486326 \h </w:instrText>
            </w:r>
            <w:r>
              <w:rPr>
                <w:noProof/>
                <w:webHidden/>
              </w:rPr>
            </w:r>
            <w:r>
              <w:rPr>
                <w:noProof/>
                <w:webHidden/>
              </w:rPr>
              <w:fldChar w:fldCharType="separate"/>
            </w:r>
            <w:r>
              <w:rPr>
                <w:noProof/>
                <w:webHidden/>
              </w:rPr>
              <w:t>9</w:t>
            </w:r>
            <w:r>
              <w:rPr>
                <w:noProof/>
                <w:webHidden/>
              </w:rPr>
              <w:fldChar w:fldCharType="end"/>
            </w:r>
          </w:hyperlink>
        </w:p>
        <w:p w14:paraId="0A0287A0" w14:textId="4A9E20D0" w:rsidR="00F760A3" w:rsidRDefault="00F760A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4486327" w:history="1">
            <w:r w:rsidRPr="00594591">
              <w:rPr>
                <w:rStyle w:val="Hyperlink"/>
                <w:noProof/>
              </w:rPr>
              <w:t>Stability (DS and DP)</w:t>
            </w:r>
            <w:r>
              <w:rPr>
                <w:noProof/>
                <w:webHidden/>
              </w:rPr>
              <w:tab/>
            </w:r>
            <w:r>
              <w:rPr>
                <w:noProof/>
                <w:webHidden/>
              </w:rPr>
              <w:fldChar w:fldCharType="begin"/>
            </w:r>
            <w:r>
              <w:rPr>
                <w:noProof/>
                <w:webHidden/>
              </w:rPr>
              <w:instrText xml:space="preserve"> PAGEREF _Toc194486327 \h </w:instrText>
            </w:r>
            <w:r>
              <w:rPr>
                <w:noProof/>
                <w:webHidden/>
              </w:rPr>
            </w:r>
            <w:r>
              <w:rPr>
                <w:noProof/>
                <w:webHidden/>
              </w:rPr>
              <w:fldChar w:fldCharType="separate"/>
            </w:r>
            <w:r>
              <w:rPr>
                <w:noProof/>
                <w:webHidden/>
              </w:rPr>
              <w:t>9</w:t>
            </w:r>
            <w:r>
              <w:rPr>
                <w:noProof/>
                <w:webHidden/>
              </w:rPr>
              <w:fldChar w:fldCharType="end"/>
            </w:r>
          </w:hyperlink>
        </w:p>
        <w:p w14:paraId="1E19AD10" w14:textId="47B6711E" w:rsidR="00F760A3" w:rsidRDefault="00F760A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4486328" w:history="1">
            <w:r w:rsidRPr="00594591">
              <w:rPr>
                <w:rStyle w:val="Hyperlink"/>
                <w:noProof/>
              </w:rPr>
              <w:t>Nonclinical evaluation summary</w:t>
            </w:r>
            <w:r>
              <w:rPr>
                <w:noProof/>
                <w:webHidden/>
              </w:rPr>
              <w:tab/>
            </w:r>
            <w:r>
              <w:rPr>
                <w:noProof/>
                <w:webHidden/>
              </w:rPr>
              <w:fldChar w:fldCharType="begin"/>
            </w:r>
            <w:r>
              <w:rPr>
                <w:noProof/>
                <w:webHidden/>
              </w:rPr>
              <w:instrText xml:space="preserve"> PAGEREF _Toc194486328 \h </w:instrText>
            </w:r>
            <w:r>
              <w:rPr>
                <w:noProof/>
                <w:webHidden/>
              </w:rPr>
            </w:r>
            <w:r>
              <w:rPr>
                <w:noProof/>
                <w:webHidden/>
              </w:rPr>
              <w:fldChar w:fldCharType="separate"/>
            </w:r>
            <w:r>
              <w:rPr>
                <w:noProof/>
                <w:webHidden/>
              </w:rPr>
              <w:t>10</w:t>
            </w:r>
            <w:r>
              <w:rPr>
                <w:noProof/>
                <w:webHidden/>
              </w:rPr>
              <w:fldChar w:fldCharType="end"/>
            </w:r>
          </w:hyperlink>
        </w:p>
        <w:p w14:paraId="5A111188" w14:textId="25FC8B18" w:rsidR="00F760A3" w:rsidRDefault="00F760A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4486329" w:history="1">
            <w:r w:rsidRPr="00594591">
              <w:rPr>
                <w:rStyle w:val="Hyperlink"/>
                <w:noProof/>
              </w:rPr>
              <w:t>Immunogenicity</w:t>
            </w:r>
            <w:r>
              <w:rPr>
                <w:noProof/>
                <w:webHidden/>
              </w:rPr>
              <w:tab/>
            </w:r>
            <w:r>
              <w:rPr>
                <w:noProof/>
                <w:webHidden/>
              </w:rPr>
              <w:fldChar w:fldCharType="begin"/>
            </w:r>
            <w:r>
              <w:rPr>
                <w:noProof/>
                <w:webHidden/>
              </w:rPr>
              <w:instrText xml:space="preserve"> PAGEREF _Toc194486329 \h </w:instrText>
            </w:r>
            <w:r>
              <w:rPr>
                <w:noProof/>
                <w:webHidden/>
              </w:rPr>
            </w:r>
            <w:r>
              <w:rPr>
                <w:noProof/>
                <w:webHidden/>
              </w:rPr>
              <w:fldChar w:fldCharType="separate"/>
            </w:r>
            <w:r>
              <w:rPr>
                <w:noProof/>
                <w:webHidden/>
              </w:rPr>
              <w:t>10</w:t>
            </w:r>
            <w:r>
              <w:rPr>
                <w:noProof/>
                <w:webHidden/>
              </w:rPr>
              <w:fldChar w:fldCharType="end"/>
            </w:r>
          </w:hyperlink>
        </w:p>
        <w:p w14:paraId="5BDA7CA0" w14:textId="4F90573A" w:rsidR="00F760A3" w:rsidRDefault="00F760A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4486330" w:history="1">
            <w:r w:rsidRPr="00594591">
              <w:rPr>
                <w:rStyle w:val="Hyperlink"/>
                <w:noProof/>
              </w:rPr>
              <w:t>Tissue distribution of mRNA and expressed protein</w:t>
            </w:r>
            <w:r>
              <w:rPr>
                <w:noProof/>
                <w:webHidden/>
              </w:rPr>
              <w:tab/>
            </w:r>
            <w:r>
              <w:rPr>
                <w:noProof/>
                <w:webHidden/>
              </w:rPr>
              <w:fldChar w:fldCharType="begin"/>
            </w:r>
            <w:r>
              <w:rPr>
                <w:noProof/>
                <w:webHidden/>
              </w:rPr>
              <w:instrText xml:space="preserve"> PAGEREF _Toc194486330 \h </w:instrText>
            </w:r>
            <w:r>
              <w:rPr>
                <w:noProof/>
                <w:webHidden/>
              </w:rPr>
            </w:r>
            <w:r>
              <w:rPr>
                <w:noProof/>
                <w:webHidden/>
              </w:rPr>
              <w:fldChar w:fldCharType="separate"/>
            </w:r>
            <w:r>
              <w:rPr>
                <w:noProof/>
                <w:webHidden/>
              </w:rPr>
              <w:t>11</w:t>
            </w:r>
            <w:r>
              <w:rPr>
                <w:noProof/>
                <w:webHidden/>
              </w:rPr>
              <w:fldChar w:fldCharType="end"/>
            </w:r>
          </w:hyperlink>
        </w:p>
        <w:p w14:paraId="67EBE761" w14:textId="428EE751" w:rsidR="00F760A3" w:rsidRDefault="00F760A3">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4486331" w:history="1">
            <w:r w:rsidRPr="00594591">
              <w:rPr>
                <w:rStyle w:val="Hyperlink"/>
                <w:noProof/>
              </w:rPr>
              <w:t>Conclusions and recommendations</w:t>
            </w:r>
            <w:r>
              <w:rPr>
                <w:noProof/>
                <w:webHidden/>
              </w:rPr>
              <w:tab/>
            </w:r>
            <w:r>
              <w:rPr>
                <w:noProof/>
                <w:webHidden/>
              </w:rPr>
              <w:fldChar w:fldCharType="begin"/>
            </w:r>
            <w:r>
              <w:rPr>
                <w:noProof/>
                <w:webHidden/>
              </w:rPr>
              <w:instrText xml:space="preserve"> PAGEREF _Toc194486331 \h </w:instrText>
            </w:r>
            <w:r>
              <w:rPr>
                <w:noProof/>
                <w:webHidden/>
              </w:rPr>
            </w:r>
            <w:r>
              <w:rPr>
                <w:noProof/>
                <w:webHidden/>
              </w:rPr>
              <w:fldChar w:fldCharType="separate"/>
            </w:r>
            <w:r>
              <w:rPr>
                <w:noProof/>
                <w:webHidden/>
              </w:rPr>
              <w:t>11</w:t>
            </w:r>
            <w:r>
              <w:rPr>
                <w:noProof/>
                <w:webHidden/>
              </w:rPr>
              <w:fldChar w:fldCharType="end"/>
            </w:r>
          </w:hyperlink>
        </w:p>
        <w:p w14:paraId="60186B99" w14:textId="1DB3883C" w:rsidR="00F760A3" w:rsidRDefault="00F760A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4486332" w:history="1">
            <w:r w:rsidRPr="00594591">
              <w:rPr>
                <w:rStyle w:val="Hyperlink"/>
                <w:noProof/>
              </w:rPr>
              <w:t>Outcome</w:t>
            </w:r>
            <w:r>
              <w:rPr>
                <w:noProof/>
                <w:webHidden/>
              </w:rPr>
              <w:tab/>
            </w:r>
            <w:r>
              <w:rPr>
                <w:noProof/>
                <w:webHidden/>
              </w:rPr>
              <w:fldChar w:fldCharType="begin"/>
            </w:r>
            <w:r>
              <w:rPr>
                <w:noProof/>
                <w:webHidden/>
              </w:rPr>
              <w:instrText xml:space="preserve"> PAGEREF _Toc194486332 \h </w:instrText>
            </w:r>
            <w:r>
              <w:rPr>
                <w:noProof/>
                <w:webHidden/>
              </w:rPr>
            </w:r>
            <w:r>
              <w:rPr>
                <w:noProof/>
                <w:webHidden/>
              </w:rPr>
              <w:fldChar w:fldCharType="separate"/>
            </w:r>
            <w:r>
              <w:rPr>
                <w:noProof/>
                <w:webHidden/>
              </w:rPr>
              <w:t>12</w:t>
            </w:r>
            <w:r>
              <w:rPr>
                <w:noProof/>
                <w:webHidden/>
              </w:rPr>
              <w:fldChar w:fldCharType="end"/>
            </w:r>
          </w:hyperlink>
        </w:p>
        <w:p w14:paraId="23E4B3FC" w14:textId="200B7F12" w:rsidR="00F760A3" w:rsidRDefault="00F760A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4486333" w:history="1">
            <w:r w:rsidRPr="00594591">
              <w:rPr>
                <w:rStyle w:val="Hyperlink"/>
                <w:noProof/>
              </w:rPr>
              <w:t>Product Information</w:t>
            </w:r>
            <w:r>
              <w:rPr>
                <w:noProof/>
                <w:webHidden/>
              </w:rPr>
              <w:tab/>
            </w:r>
            <w:r>
              <w:rPr>
                <w:noProof/>
                <w:webHidden/>
              </w:rPr>
              <w:fldChar w:fldCharType="begin"/>
            </w:r>
            <w:r>
              <w:rPr>
                <w:noProof/>
                <w:webHidden/>
              </w:rPr>
              <w:instrText xml:space="preserve"> PAGEREF _Toc194486333 \h </w:instrText>
            </w:r>
            <w:r>
              <w:rPr>
                <w:noProof/>
                <w:webHidden/>
              </w:rPr>
            </w:r>
            <w:r>
              <w:rPr>
                <w:noProof/>
                <w:webHidden/>
              </w:rPr>
              <w:fldChar w:fldCharType="separate"/>
            </w:r>
            <w:r>
              <w:rPr>
                <w:noProof/>
                <w:webHidden/>
              </w:rPr>
              <w:t>12</w:t>
            </w:r>
            <w:r>
              <w:rPr>
                <w:noProof/>
                <w:webHidden/>
              </w:rPr>
              <w:fldChar w:fldCharType="end"/>
            </w:r>
          </w:hyperlink>
        </w:p>
        <w:p w14:paraId="77659F2D" w14:textId="17D99780"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Pr="00FB5A8B" w:rsidRDefault="00324B33" w:rsidP="0089726F">
      <w:pPr>
        <w:pStyle w:val="Heading2"/>
      </w:pPr>
      <w:bookmarkStart w:id="0" w:name="_Toc98931917"/>
      <w:bookmarkStart w:id="1" w:name="_Toc103679287"/>
      <w:bookmarkStart w:id="2" w:name="_Toc194486313"/>
      <w:bookmarkStart w:id="3" w:name="_Toc323739589"/>
      <w:bookmarkStart w:id="4" w:name="_Toc356305216"/>
      <w:r w:rsidRPr="00FB5A8B">
        <w:lastRenderedPageBreak/>
        <w:t>List of abbreviations</w:t>
      </w:r>
      <w:bookmarkEnd w:id="0"/>
      <w:bookmarkEnd w:id="1"/>
      <w:bookmarkEnd w:id="2"/>
    </w:p>
    <w:tbl>
      <w:tblPr>
        <w:tblStyle w:val="TableTGAblue2023"/>
        <w:tblW w:w="4978" w:type="pct"/>
        <w:tblLayout w:type="fixed"/>
        <w:tblLook w:val="04A0" w:firstRow="1" w:lastRow="0" w:firstColumn="1" w:lastColumn="0" w:noHBand="0" w:noVBand="1"/>
      </w:tblPr>
      <w:tblGrid>
        <w:gridCol w:w="2334"/>
        <w:gridCol w:w="6686"/>
      </w:tblGrid>
      <w:tr w:rsidR="006718E5" w:rsidRPr="00280CF5" w14:paraId="4019B140" w14:textId="77777777" w:rsidTr="0089726F">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94" w:type="pct"/>
          </w:tcPr>
          <w:p w14:paraId="3F59A849" w14:textId="77777777" w:rsidR="006718E5" w:rsidRPr="00280CF5" w:rsidRDefault="006718E5" w:rsidP="0089726F">
            <w:r w:rsidRPr="00280CF5">
              <w:t>Abbreviation</w:t>
            </w:r>
          </w:p>
        </w:tc>
        <w:tc>
          <w:tcPr>
            <w:tcW w:w="3706" w:type="pct"/>
          </w:tcPr>
          <w:p w14:paraId="6D99CB50" w14:textId="77777777" w:rsidR="006718E5" w:rsidRPr="00280CF5" w:rsidRDefault="006718E5" w:rsidP="0089726F">
            <w:pPr>
              <w:cnfStyle w:val="100000000000" w:firstRow="1" w:lastRow="0" w:firstColumn="0" w:lastColumn="0" w:oddVBand="0" w:evenVBand="0" w:oddHBand="0" w:evenHBand="0" w:firstRowFirstColumn="0" w:firstRowLastColumn="0" w:lastRowFirstColumn="0" w:lastRowLastColumn="0"/>
            </w:pPr>
            <w:r w:rsidRPr="00280CF5">
              <w:t>Meaning</w:t>
            </w:r>
          </w:p>
        </w:tc>
      </w:tr>
      <w:tr w:rsidR="006718E5" w:rsidRPr="00280CF5" w14:paraId="28FCFB20" w14:textId="77777777" w:rsidTr="0089726F">
        <w:trPr>
          <w:trHeight w:val="386"/>
        </w:trPr>
        <w:tc>
          <w:tcPr>
            <w:cnfStyle w:val="001000000000" w:firstRow="0" w:lastRow="0" w:firstColumn="1" w:lastColumn="0" w:oddVBand="0" w:evenVBand="0" w:oddHBand="0" w:evenHBand="0" w:firstRowFirstColumn="0" w:firstRowLastColumn="0" w:lastRowFirstColumn="0" w:lastRowLastColumn="0"/>
            <w:tcW w:w="1294" w:type="pct"/>
          </w:tcPr>
          <w:p w14:paraId="34B1C163" w14:textId="77777777" w:rsidR="006718E5" w:rsidRPr="00280CF5" w:rsidRDefault="006718E5" w:rsidP="0089726F">
            <w:r w:rsidRPr="00280CF5">
              <w:t>ARTG</w:t>
            </w:r>
          </w:p>
        </w:tc>
        <w:tc>
          <w:tcPr>
            <w:tcW w:w="3706" w:type="pct"/>
          </w:tcPr>
          <w:p w14:paraId="2254C457"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pPr>
            <w:r w:rsidRPr="00280CF5">
              <w:t>Australian Register of Therapeutic Goods</w:t>
            </w:r>
          </w:p>
        </w:tc>
      </w:tr>
      <w:tr w:rsidR="006718E5" w:rsidRPr="00280CF5" w14:paraId="29B7542F"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0C3AB2F9" w14:textId="77777777" w:rsidR="006718E5" w:rsidRPr="00280CF5" w:rsidRDefault="006718E5" w:rsidP="0089726F">
            <w:r w:rsidRPr="00E870BC">
              <w:rPr>
                <w:rFonts w:eastAsia="Times New Roman" w:cs="Calibri"/>
              </w:rPr>
              <w:t>BNT162b2</w:t>
            </w:r>
          </w:p>
        </w:tc>
        <w:tc>
          <w:tcPr>
            <w:tcW w:w="3706" w:type="pct"/>
            <w:noWrap/>
          </w:tcPr>
          <w:p w14:paraId="42F0C4B6"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pPr>
            <w:r w:rsidRPr="00E870BC">
              <w:rPr>
                <w:rFonts w:eastAsia="Times New Roman" w:cs="Calibri"/>
              </w:rPr>
              <w:t>Pfizer BioNTech COVID-19 vaccine</w:t>
            </w:r>
          </w:p>
        </w:tc>
      </w:tr>
      <w:tr w:rsidR="006718E5" w:rsidRPr="00280CF5" w14:paraId="192D37FF"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79254F49" w14:textId="77777777" w:rsidR="006718E5" w:rsidRPr="00280CF5" w:rsidRDefault="006718E5" w:rsidP="0089726F">
            <w:r w:rsidRPr="00280CF5">
              <w:t>CMI</w:t>
            </w:r>
          </w:p>
        </w:tc>
        <w:tc>
          <w:tcPr>
            <w:tcW w:w="3706" w:type="pct"/>
            <w:noWrap/>
          </w:tcPr>
          <w:p w14:paraId="275F96E9"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pPr>
            <w:r w:rsidRPr="00280CF5">
              <w:t>Consumer Medicines Information</w:t>
            </w:r>
          </w:p>
        </w:tc>
      </w:tr>
      <w:tr w:rsidR="006718E5" w:rsidRPr="00280CF5" w14:paraId="7E788BB5"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76C9F2D2" w14:textId="77777777" w:rsidR="006718E5" w:rsidRDefault="006718E5" w:rsidP="0089726F">
            <w:pPr>
              <w:rPr>
                <w:rFonts w:eastAsia="Times New Roman" w:cs="Calibri"/>
              </w:rPr>
            </w:pPr>
            <w:r w:rsidRPr="009A7DC7">
              <w:rPr>
                <w:rFonts w:eastAsia="Times New Roman" w:cs="Calibri"/>
              </w:rPr>
              <w:t>COVID-19</w:t>
            </w:r>
          </w:p>
        </w:tc>
        <w:tc>
          <w:tcPr>
            <w:tcW w:w="3706" w:type="pct"/>
            <w:noWrap/>
          </w:tcPr>
          <w:p w14:paraId="3C75638A" w14:textId="77777777" w:rsidR="006718E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t xml:space="preserve">Coronavirus disease 2019 </w:t>
            </w:r>
          </w:p>
        </w:tc>
      </w:tr>
      <w:tr w:rsidR="006718E5" w:rsidRPr="00280CF5" w14:paraId="75A28101"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71949224" w14:textId="77777777" w:rsidR="006718E5" w:rsidRPr="00280CF5" w:rsidRDefault="006718E5" w:rsidP="0089726F">
            <w:pPr>
              <w:rPr>
                <w:rFonts w:eastAsia="Times New Roman" w:cs="Calibri"/>
              </w:rPr>
            </w:pPr>
            <w:r>
              <w:rPr>
                <w:rFonts w:eastAsia="Times New Roman" w:cs="Calibri"/>
              </w:rPr>
              <w:t>DS</w:t>
            </w:r>
          </w:p>
        </w:tc>
        <w:tc>
          <w:tcPr>
            <w:tcW w:w="3706" w:type="pct"/>
            <w:noWrap/>
          </w:tcPr>
          <w:p w14:paraId="6BB764CA"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Drug Substance</w:t>
            </w:r>
          </w:p>
        </w:tc>
      </w:tr>
      <w:tr w:rsidR="006718E5" w:rsidRPr="00280CF5" w14:paraId="7D7BF2DB"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763C0BA8" w14:textId="77777777" w:rsidR="006718E5" w:rsidRPr="00280CF5" w:rsidRDefault="006718E5" w:rsidP="0089726F">
            <w:pPr>
              <w:rPr>
                <w:rFonts w:eastAsia="Times New Roman" w:cs="Calibri"/>
              </w:rPr>
            </w:pPr>
            <w:r>
              <w:rPr>
                <w:rFonts w:eastAsia="Times New Roman" w:cs="Calibri"/>
              </w:rPr>
              <w:t>DP</w:t>
            </w:r>
          </w:p>
        </w:tc>
        <w:tc>
          <w:tcPr>
            <w:tcW w:w="3706" w:type="pct"/>
            <w:noWrap/>
          </w:tcPr>
          <w:p w14:paraId="78981574"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Drug Product</w:t>
            </w:r>
          </w:p>
        </w:tc>
      </w:tr>
      <w:tr w:rsidR="006718E5" w:rsidRPr="00280CF5" w14:paraId="26726979"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1720B52C" w14:textId="77777777" w:rsidR="006718E5" w:rsidRPr="00280CF5" w:rsidRDefault="006718E5" w:rsidP="0089726F">
            <w:pPr>
              <w:rPr>
                <w:rFonts w:eastAsia="Times New Roman" w:cs="Calibri"/>
              </w:rPr>
            </w:pPr>
            <w:r w:rsidRPr="009A7DC7">
              <w:rPr>
                <w:rFonts w:eastAsia="Times New Roman" w:cs="Calibri"/>
              </w:rPr>
              <w:t>GMP</w:t>
            </w:r>
          </w:p>
        </w:tc>
        <w:tc>
          <w:tcPr>
            <w:tcW w:w="3706" w:type="pct"/>
            <w:noWrap/>
          </w:tcPr>
          <w:p w14:paraId="5CD304F7"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E870BC">
              <w:rPr>
                <w:rFonts w:eastAsia="Times New Roman" w:cs="Calibri"/>
              </w:rPr>
              <w:t>Good Manufacturing Practi</w:t>
            </w:r>
            <w:r>
              <w:rPr>
                <w:rFonts w:eastAsia="Times New Roman" w:cs="Calibri"/>
              </w:rPr>
              <w:t>c</w:t>
            </w:r>
            <w:r w:rsidRPr="00E870BC">
              <w:rPr>
                <w:rFonts w:eastAsia="Times New Roman" w:cs="Calibri"/>
              </w:rPr>
              <w:t>e</w:t>
            </w:r>
          </w:p>
        </w:tc>
      </w:tr>
      <w:tr w:rsidR="006718E5" w:rsidRPr="00280CF5" w14:paraId="1590D423"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0E451676" w14:textId="77777777" w:rsidR="006718E5" w:rsidRPr="00280CF5" w:rsidRDefault="006718E5" w:rsidP="0089726F">
            <w:pPr>
              <w:rPr>
                <w:rFonts w:eastAsia="Times New Roman" w:cs="Calibri"/>
              </w:rPr>
            </w:pPr>
            <w:r>
              <w:rPr>
                <w:rFonts w:eastAsia="Times New Roman" w:cs="Calibri"/>
              </w:rPr>
              <w:t>LN</w:t>
            </w:r>
          </w:p>
        </w:tc>
        <w:tc>
          <w:tcPr>
            <w:tcW w:w="3706" w:type="pct"/>
            <w:noWrap/>
          </w:tcPr>
          <w:p w14:paraId="0B7B55A2"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Lymph nodes</w:t>
            </w:r>
          </w:p>
        </w:tc>
      </w:tr>
      <w:tr w:rsidR="006718E5" w:rsidRPr="00280CF5" w14:paraId="66F910D9"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7027039A" w14:textId="77777777" w:rsidR="006718E5" w:rsidRPr="00280CF5" w:rsidRDefault="006718E5" w:rsidP="0089726F">
            <w:pPr>
              <w:rPr>
                <w:rFonts w:eastAsia="Times New Roman" w:cs="Calibri"/>
              </w:rPr>
            </w:pPr>
            <w:r w:rsidRPr="009A7DC7">
              <w:rPr>
                <w:rFonts w:eastAsia="Times New Roman" w:cs="Calibri"/>
              </w:rPr>
              <w:t>LNP</w:t>
            </w:r>
          </w:p>
        </w:tc>
        <w:tc>
          <w:tcPr>
            <w:tcW w:w="3706" w:type="pct"/>
            <w:noWrap/>
          </w:tcPr>
          <w:p w14:paraId="23C21053"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L</w:t>
            </w:r>
            <w:r w:rsidRPr="00E870BC">
              <w:rPr>
                <w:rFonts w:eastAsia="Times New Roman" w:cs="Calibri"/>
              </w:rPr>
              <w:t>ipid nanoparticle</w:t>
            </w:r>
          </w:p>
        </w:tc>
      </w:tr>
      <w:tr w:rsidR="006718E5" w:rsidRPr="00280CF5" w14:paraId="3754F4E6"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7C0846B8" w14:textId="77777777" w:rsidR="006718E5" w:rsidRPr="009A7DC7" w:rsidRDefault="006718E5" w:rsidP="0089726F">
            <w:pPr>
              <w:rPr>
                <w:rFonts w:eastAsia="Times New Roman" w:cs="Calibri"/>
              </w:rPr>
            </w:pPr>
            <w:proofErr w:type="spellStart"/>
            <w:r w:rsidRPr="00280CF5">
              <w:rPr>
                <w:rFonts w:eastAsia="Times New Roman" w:cs="Calibri"/>
              </w:rPr>
              <w:t>mAb</w:t>
            </w:r>
            <w:proofErr w:type="spellEnd"/>
          </w:p>
        </w:tc>
        <w:tc>
          <w:tcPr>
            <w:tcW w:w="3706" w:type="pct"/>
            <w:noWrap/>
          </w:tcPr>
          <w:p w14:paraId="648E04A4" w14:textId="77777777" w:rsidR="006718E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280CF5">
              <w:rPr>
                <w:rFonts w:eastAsia="Times New Roman" w:cs="Calibri"/>
              </w:rPr>
              <w:t>Monoclonal antibody</w:t>
            </w:r>
          </w:p>
        </w:tc>
      </w:tr>
      <w:tr w:rsidR="006718E5" w:rsidRPr="00280CF5" w14:paraId="63A3AF68"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5143F5EB" w14:textId="77777777" w:rsidR="006718E5" w:rsidRPr="00280CF5" w:rsidRDefault="006718E5" w:rsidP="0089726F">
            <w:pPr>
              <w:rPr>
                <w:rFonts w:eastAsia="Times New Roman" w:cs="Calibri"/>
              </w:rPr>
            </w:pPr>
            <w:r w:rsidRPr="009A7DC7">
              <w:rPr>
                <w:rFonts w:eastAsia="Times New Roman" w:cs="Calibri"/>
              </w:rPr>
              <w:t>mRNA</w:t>
            </w:r>
          </w:p>
        </w:tc>
        <w:tc>
          <w:tcPr>
            <w:tcW w:w="3706" w:type="pct"/>
            <w:noWrap/>
          </w:tcPr>
          <w:p w14:paraId="373E1475"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Messenger ribonucleic acid</w:t>
            </w:r>
          </w:p>
        </w:tc>
      </w:tr>
      <w:tr w:rsidR="006718E5" w:rsidRPr="00280CF5" w14:paraId="6BEE23DA"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198D1FFF" w14:textId="77777777" w:rsidR="006718E5" w:rsidRPr="009A7DC7" w:rsidRDefault="006718E5" w:rsidP="0089726F">
            <w:pPr>
              <w:rPr>
                <w:rFonts w:eastAsia="Times New Roman" w:cs="Calibri"/>
              </w:rPr>
            </w:pPr>
            <w:proofErr w:type="spellStart"/>
            <w:r w:rsidRPr="009A7DC7">
              <w:rPr>
                <w:rFonts w:eastAsia="Times New Roman" w:cs="Calibri"/>
              </w:rPr>
              <w:t>NAb</w:t>
            </w:r>
            <w:proofErr w:type="spellEnd"/>
          </w:p>
        </w:tc>
        <w:tc>
          <w:tcPr>
            <w:tcW w:w="3706" w:type="pct"/>
            <w:noWrap/>
          </w:tcPr>
          <w:p w14:paraId="56112CBD" w14:textId="77777777" w:rsidR="006718E5" w:rsidRPr="009A7DC7"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Neutralising antibodies</w:t>
            </w:r>
          </w:p>
        </w:tc>
      </w:tr>
      <w:tr w:rsidR="00BC0032" w:rsidRPr="00280CF5" w14:paraId="1AA61902"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26AEA1C2" w14:textId="76695D96" w:rsidR="00BC0032" w:rsidRPr="009A7DC7" w:rsidRDefault="00BC0032" w:rsidP="0089726F">
            <w:pPr>
              <w:rPr>
                <w:rFonts w:eastAsia="Times New Roman" w:cs="Calibri"/>
              </w:rPr>
            </w:pPr>
            <w:r>
              <w:rPr>
                <w:rFonts w:eastAsia="Times New Roman" w:cs="Calibri"/>
              </w:rPr>
              <w:t>PCR</w:t>
            </w:r>
          </w:p>
        </w:tc>
        <w:tc>
          <w:tcPr>
            <w:tcW w:w="3706" w:type="pct"/>
            <w:noWrap/>
          </w:tcPr>
          <w:p w14:paraId="14805769" w14:textId="34985F96" w:rsidR="00BC0032" w:rsidRDefault="00BC0032"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P</w:t>
            </w:r>
            <w:r w:rsidRPr="00BC0032">
              <w:rPr>
                <w:rFonts w:eastAsia="Times New Roman" w:cs="Calibri"/>
              </w:rPr>
              <w:t>olymerase chain reaction</w:t>
            </w:r>
            <w:r>
              <w:rPr>
                <w:rFonts w:eastAsia="Times New Roman" w:cs="Calibri"/>
              </w:rPr>
              <w:t xml:space="preserve"> </w:t>
            </w:r>
          </w:p>
        </w:tc>
      </w:tr>
      <w:tr w:rsidR="006718E5" w:rsidRPr="00280CF5" w14:paraId="167C9988"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29E25031" w14:textId="77777777" w:rsidR="006718E5" w:rsidRPr="00280CF5" w:rsidRDefault="006718E5" w:rsidP="0089726F">
            <w:pPr>
              <w:rPr>
                <w:rFonts w:eastAsia="Times New Roman" w:cs="Calibri"/>
              </w:rPr>
            </w:pPr>
            <w:r w:rsidRPr="009A7DC7">
              <w:rPr>
                <w:rFonts w:eastAsia="Times New Roman" w:cs="Calibri"/>
              </w:rPr>
              <w:t>PFS</w:t>
            </w:r>
          </w:p>
        </w:tc>
        <w:tc>
          <w:tcPr>
            <w:tcW w:w="3706" w:type="pct"/>
            <w:noWrap/>
          </w:tcPr>
          <w:p w14:paraId="6A2B3427"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9A7DC7">
              <w:rPr>
                <w:rFonts w:eastAsia="Times New Roman" w:cs="Calibri"/>
              </w:rPr>
              <w:t>Pre-filled syringe</w:t>
            </w:r>
          </w:p>
        </w:tc>
      </w:tr>
      <w:tr w:rsidR="006718E5" w:rsidRPr="00280CF5" w14:paraId="7276732B"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451AB652" w14:textId="77777777" w:rsidR="006718E5" w:rsidRPr="00280CF5" w:rsidRDefault="006718E5" w:rsidP="0089726F">
            <w:pPr>
              <w:rPr>
                <w:rFonts w:eastAsia="Times New Roman" w:cs="Calibri"/>
              </w:rPr>
            </w:pPr>
            <w:r w:rsidRPr="00280CF5">
              <w:t>PI</w:t>
            </w:r>
          </w:p>
        </w:tc>
        <w:tc>
          <w:tcPr>
            <w:tcW w:w="3706" w:type="pct"/>
            <w:noWrap/>
          </w:tcPr>
          <w:p w14:paraId="2CD13F4F"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280CF5">
              <w:t>Product Information</w:t>
            </w:r>
          </w:p>
        </w:tc>
      </w:tr>
      <w:tr w:rsidR="00BC0032" w:rsidRPr="00280CF5" w14:paraId="23AAFDDA"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31D7861A" w14:textId="5D0F34A1" w:rsidR="00BC0032" w:rsidRPr="00280CF5" w:rsidRDefault="00BC0032" w:rsidP="0089726F">
            <w:r>
              <w:t>RAT</w:t>
            </w:r>
          </w:p>
        </w:tc>
        <w:tc>
          <w:tcPr>
            <w:tcW w:w="3706" w:type="pct"/>
            <w:noWrap/>
          </w:tcPr>
          <w:p w14:paraId="34405934" w14:textId="7337FAC5" w:rsidR="00BC0032" w:rsidRPr="00280CF5" w:rsidRDefault="00BC0032" w:rsidP="0089726F">
            <w:pPr>
              <w:cnfStyle w:val="000000000000" w:firstRow="0" w:lastRow="0" w:firstColumn="0" w:lastColumn="0" w:oddVBand="0" w:evenVBand="0" w:oddHBand="0" w:evenHBand="0" w:firstRowFirstColumn="0" w:firstRowLastColumn="0" w:lastRowFirstColumn="0" w:lastRowLastColumn="0"/>
            </w:pPr>
            <w:r>
              <w:t>Rapid antigen test</w:t>
            </w:r>
          </w:p>
        </w:tc>
      </w:tr>
      <w:tr w:rsidR="006718E5" w:rsidRPr="00280CF5" w14:paraId="37BE5571" w14:textId="77777777" w:rsidTr="0089726F">
        <w:trPr>
          <w:trHeight w:val="416"/>
        </w:trPr>
        <w:tc>
          <w:tcPr>
            <w:cnfStyle w:val="001000000000" w:firstRow="0" w:lastRow="0" w:firstColumn="1" w:lastColumn="0" w:oddVBand="0" w:evenVBand="0" w:oddHBand="0" w:evenHBand="0" w:firstRowFirstColumn="0" w:firstRowLastColumn="0" w:lastRowFirstColumn="0" w:lastRowLastColumn="0"/>
            <w:tcW w:w="1294" w:type="pct"/>
            <w:noWrap/>
          </w:tcPr>
          <w:p w14:paraId="452D1EAC" w14:textId="77777777" w:rsidR="006718E5" w:rsidRPr="00280CF5" w:rsidRDefault="006718E5" w:rsidP="0089726F">
            <w:pPr>
              <w:rPr>
                <w:rFonts w:eastAsia="Times New Roman" w:cs="Calibri"/>
              </w:rPr>
            </w:pPr>
            <w:r w:rsidRPr="00280CF5">
              <w:t>TGA</w:t>
            </w:r>
          </w:p>
        </w:tc>
        <w:tc>
          <w:tcPr>
            <w:tcW w:w="3706" w:type="pct"/>
            <w:noWrap/>
          </w:tcPr>
          <w:p w14:paraId="6EFE959B" w14:textId="77777777" w:rsidR="006718E5" w:rsidRPr="00280CF5" w:rsidRDefault="006718E5" w:rsidP="0089726F">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280CF5">
              <w:t>Therapeutic Goods Administration</w:t>
            </w:r>
          </w:p>
        </w:tc>
      </w:tr>
    </w:tbl>
    <w:p w14:paraId="02FB1F38" w14:textId="77777777" w:rsidR="00324B33" w:rsidRPr="00FD119B" w:rsidRDefault="00324B33" w:rsidP="0089726F">
      <w:r w:rsidRPr="00FD119B">
        <w:br w:type="page"/>
      </w:r>
    </w:p>
    <w:p w14:paraId="3C8B3295" w14:textId="207D651D" w:rsidR="000E7FD6" w:rsidRPr="000E7FD6" w:rsidRDefault="00971C92" w:rsidP="0089726F">
      <w:pPr>
        <w:pStyle w:val="Heading2"/>
      </w:pPr>
      <w:bookmarkStart w:id="5" w:name="_Toc103679288"/>
      <w:bookmarkStart w:id="6" w:name="_Toc194486314"/>
      <w:r w:rsidRPr="0089726F">
        <w:lastRenderedPageBreak/>
        <w:t>Comirnaty</w:t>
      </w:r>
      <w:r w:rsidRPr="00971C92">
        <w:t xml:space="preserve"> JN.1 COVID-19 Vaccine (</w:t>
      </w:r>
      <w:proofErr w:type="spellStart"/>
      <w:r w:rsidRPr="00971C92">
        <w:t>bretovameran</w:t>
      </w:r>
      <w:proofErr w:type="spellEnd"/>
      <w:r w:rsidRPr="00971C92">
        <w:t>)</w:t>
      </w:r>
      <w:r w:rsidR="00324B33">
        <w:t xml:space="preserve"> submission</w:t>
      </w:r>
      <w:bookmarkEnd w:id="5"/>
      <w:bookmarkEnd w:id="6"/>
    </w:p>
    <w:tbl>
      <w:tblPr>
        <w:tblW w:w="5000" w:type="pct"/>
        <w:tblLook w:val="01E0" w:firstRow="1" w:lastRow="1" w:firstColumn="1" w:lastColumn="1" w:noHBand="0" w:noVBand="0"/>
      </w:tblPr>
      <w:tblGrid>
        <w:gridCol w:w="1759"/>
        <w:gridCol w:w="7311"/>
      </w:tblGrid>
      <w:tr w:rsidR="00324B33" w:rsidRPr="00BD5DBD" w14:paraId="77D11C95" w14:textId="77777777" w:rsidTr="00886B0A">
        <w:tc>
          <w:tcPr>
            <w:tcW w:w="970" w:type="pct"/>
          </w:tcPr>
          <w:p w14:paraId="10E57D62" w14:textId="2F92E389" w:rsidR="00324B33" w:rsidRPr="0089726F" w:rsidRDefault="00E924F5" w:rsidP="0089726F">
            <w:pPr>
              <w:rPr>
                <w:i/>
                <w:szCs w:val="22"/>
              </w:rPr>
            </w:pPr>
            <w:r w:rsidRPr="0089726F">
              <w:rPr>
                <w:i/>
                <w:szCs w:val="22"/>
              </w:rPr>
              <w:t>Product name:</w:t>
            </w:r>
          </w:p>
        </w:tc>
        <w:tc>
          <w:tcPr>
            <w:tcW w:w="4030" w:type="pct"/>
          </w:tcPr>
          <w:p w14:paraId="4F07C303" w14:textId="6EE97BE0" w:rsidR="00324B33" w:rsidRPr="00BD5DBD" w:rsidRDefault="00E924F5" w:rsidP="007452E8">
            <w:pPr>
              <w:rPr>
                <w:szCs w:val="22"/>
              </w:rPr>
            </w:pPr>
            <w:r w:rsidRPr="00E924F5">
              <w:rPr>
                <w:szCs w:val="22"/>
              </w:rPr>
              <w:t>Comirnaty JN.1 COVID-19 Vaccine (</w:t>
            </w:r>
            <w:proofErr w:type="spellStart"/>
            <w:r w:rsidRPr="00E924F5">
              <w:rPr>
                <w:szCs w:val="22"/>
              </w:rPr>
              <w:t>bretovameran</w:t>
            </w:r>
            <w:proofErr w:type="spellEnd"/>
            <w:r w:rsidRPr="00E924F5">
              <w:rPr>
                <w:szCs w:val="22"/>
              </w:rPr>
              <w:t>)</w:t>
            </w:r>
          </w:p>
        </w:tc>
      </w:tr>
      <w:tr w:rsidR="00E924F5" w:rsidRPr="00BD5DBD" w14:paraId="3E0565EC" w14:textId="77777777" w:rsidTr="00886B0A">
        <w:tc>
          <w:tcPr>
            <w:tcW w:w="970" w:type="pct"/>
          </w:tcPr>
          <w:p w14:paraId="7E027E8A" w14:textId="6C300657" w:rsidR="00E924F5" w:rsidRPr="0089726F" w:rsidRDefault="00E924F5" w:rsidP="0089726F">
            <w:pPr>
              <w:rPr>
                <w:i/>
                <w:szCs w:val="22"/>
              </w:rPr>
            </w:pPr>
            <w:r w:rsidRPr="0089726F">
              <w:rPr>
                <w:i/>
                <w:szCs w:val="22"/>
              </w:rPr>
              <w:t>Type of submission:</w:t>
            </w:r>
          </w:p>
        </w:tc>
        <w:tc>
          <w:tcPr>
            <w:tcW w:w="4030" w:type="pct"/>
          </w:tcPr>
          <w:p w14:paraId="40BD6CD8" w14:textId="6A7772F3" w:rsidR="00E924F5" w:rsidRPr="00E924F5" w:rsidRDefault="00E924F5" w:rsidP="007452E8">
            <w:pPr>
              <w:rPr>
                <w:szCs w:val="22"/>
              </w:rPr>
            </w:pPr>
            <w:r w:rsidRPr="00E924F5">
              <w:rPr>
                <w:szCs w:val="22"/>
              </w:rPr>
              <w:t>Minor variation</w:t>
            </w:r>
          </w:p>
        </w:tc>
      </w:tr>
      <w:tr w:rsidR="00324B33" w:rsidRPr="00BD5DBD" w14:paraId="219A281B" w14:textId="77777777" w:rsidTr="00886B0A">
        <w:tc>
          <w:tcPr>
            <w:tcW w:w="970" w:type="pct"/>
          </w:tcPr>
          <w:p w14:paraId="112E5F78" w14:textId="1F486C7D" w:rsidR="00324B33" w:rsidRPr="0089726F" w:rsidRDefault="00324B33" w:rsidP="0089726F">
            <w:pPr>
              <w:rPr>
                <w:i/>
                <w:szCs w:val="22"/>
              </w:rPr>
            </w:pPr>
            <w:r w:rsidRPr="0089726F">
              <w:rPr>
                <w:i/>
                <w:szCs w:val="22"/>
              </w:rPr>
              <w:t>Decision</w:t>
            </w:r>
            <w:r w:rsidR="00280CF5" w:rsidRPr="0089726F">
              <w:t xml:space="preserve"> </w:t>
            </w:r>
            <w:r w:rsidR="00280CF5" w:rsidRPr="0089726F">
              <w:rPr>
                <w:i/>
                <w:szCs w:val="22"/>
              </w:rPr>
              <w:t>and date of decision</w:t>
            </w:r>
            <w:r w:rsidRPr="0089726F">
              <w:rPr>
                <w:i/>
                <w:szCs w:val="22"/>
              </w:rPr>
              <w:t>:</w:t>
            </w:r>
          </w:p>
        </w:tc>
        <w:tc>
          <w:tcPr>
            <w:tcW w:w="4030" w:type="pct"/>
          </w:tcPr>
          <w:p w14:paraId="3B114BEA" w14:textId="7980D630" w:rsidR="00324B33" w:rsidRPr="00280CF5" w:rsidRDefault="00280CF5" w:rsidP="007452E8">
            <w:r w:rsidRPr="00280CF5">
              <w:rPr>
                <w:szCs w:val="22"/>
              </w:rPr>
              <w:t>Approved 10 October 2024</w:t>
            </w:r>
          </w:p>
        </w:tc>
      </w:tr>
      <w:tr w:rsidR="00280CF5" w:rsidRPr="00BD5DBD" w14:paraId="78EF68FA" w14:textId="77777777" w:rsidTr="00886B0A">
        <w:tc>
          <w:tcPr>
            <w:tcW w:w="970" w:type="pct"/>
          </w:tcPr>
          <w:p w14:paraId="442E6D6F" w14:textId="746324C3" w:rsidR="00280CF5" w:rsidRPr="0089726F" w:rsidRDefault="00280CF5" w:rsidP="0089726F">
            <w:pPr>
              <w:rPr>
                <w:i/>
                <w:szCs w:val="22"/>
              </w:rPr>
            </w:pPr>
            <w:r w:rsidRPr="0089726F">
              <w:rPr>
                <w:i/>
              </w:rPr>
              <w:t>Approved therapeutic use for the current submission:</w:t>
            </w:r>
          </w:p>
        </w:tc>
        <w:tc>
          <w:tcPr>
            <w:tcW w:w="4030" w:type="pct"/>
          </w:tcPr>
          <w:p w14:paraId="5DE14718" w14:textId="5C4FBBEC" w:rsidR="00280CF5" w:rsidRDefault="00280CF5" w:rsidP="00280CF5">
            <w:r w:rsidRPr="00E22643">
              <w:t>Active immunisation to prevent coronavirus disease 2019 (COVID-19) caused by SARS</w:t>
            </w:r>
            <w:r w:rsidR="00580E5C">
              <w:t>-</w:t>
            </w:r>
            <w:r w:rsidRPr="00E22643">
              <w:t>CoV-2, in individuals 6 months of age and older.</w:t>
            </w:r>
          </w:p>
          <w:p w14:paraId="4429214D" w14:textId="5BF167CA" w:rsidR="000C063B" w:rsidRDefault="000C063B" w:rsidP="00280CF5">
            <w:pPr>
              <w:rPr>
                <w:szCs w:val="22"/>
              </w:rPr>
            </w:pPr>
            <w:r w:rsidRPr="000C063B">
              <w:rPr>
                <w:szCs w:val="22"/>
              </w:rPr>
              <w:t>The use of this vaccine should be in accordance with official recommendations.</w:t>
            </w:r>
          </w:p>
        </w:tc>
      </w:tr>
      <w:tr w:rsidR="00280CF5" w:rsidRPr="00BD5DBD" w14:paraId="60A25F5A" w14:textId="77777777" w:rsidTr="00886B0A">
        <w:tc>
          <w:tcPr>
            <w:tcW w:w="970" w:type="pct"/>
          </w:tcPr>
          <w:p w14:paraId="5C5E4CBA" w14:textId="1E4C2B57" w:rsidR="00280CF5" w:rsidRPr="0089726F" w:rsidRDefault="00280CF5" w:rsidP="0089726F">
            <w:pPr>
              <w:rPr>
                <w:i/>
                <w:szCs w:val="22"/>
              </w:rPr>
            </w:pPr>
            <w:r w:rsidRPr="0089726F">
              <w:rPr>
                <w:i/>
                <w:szCs w:val="22"/>
              </w:rPr>
              <w:t>Date of entry onto ARTG:</w:t>
            </w:r>
          </w:p>
        </w:tc>
        <w:tc>
          <w:tcPr>
            <w:tcW w:w="4030" w:type="pct"/>
          </w:tcPr>
          <w:p w14:paraId="28B270E9" w14:textId="6434930F" w:rsidR="00280CF5" w:rsidRPr="00BD5DBD" w:rsidRDefault="00280CF5" w:rsidP="00280CF5">
            <w:pPr>
              <w:rPr>
                <w:szCs w:val="22"/>
              </w:rPr>
            </w:pPr>
            <w:r w:rsidRPr="00280CF5">
              <w:rPr>
                <w:szCs w:val="22"/>
              </w:rPr>
              <w:t>11 October 2024</w:t>
            </w:r>
          </w:p>
        </w:tc>
      </w:tr>
      <w:tr w:rsidR="00280CF5" w:rsidRPr="00BD5DBD" w14:paraId="547E08D7" w14:textId="77777777" w:rsidTr="00886B0A">
        <w:tc>
          <w:tcPr>
            <w:tcW w:w="970" w:type="pct"/>
          </w:tcPr>
          <w:p w14:paraId="5030EF30" w14:textId="1AEC6DB0" w:rsidR="00280CF5" w:rsidRPr="0089726F" w:rsidRDefault="00280CF5" w:rsidP="0089726F">
            <w:pPr>
              <w:rPr>
                <w:i/>
                <w:szCs w:val="22"/>
              </w:rPr>
            </w:pPr>
            <w:r w:rsidRPr="0089726F">
              <w:rPr>
                <w:i/>
                <w:szCs w:val="22"/>
              </w:rPr>
              <w:t>ARTG numbers:</w:t>
            </w:r>
          </w:p>
        </w:tc>
        <w:tc>
          <w:tcPr>
            <w:tcW w:w="4030" w:type="pct"/>
          </w:tcPr>
          <w:p w14:paraId="0054E912" w14:textId="41E74233" w:rsidR="00280CF5" w:rsidRPr="00BD5DBD" w:rsidRDefault="00280CF5" w:rsidP="00280CF5">
            <w:pPr>
              <w:rPr>
                <w:szCs w:val="22"/>
              </w:rPr>
            </w:pPr>
            <w:r w:rsidRPr="00280CF5">
              <w:rPr>
                <w:szCs w:val="22"/>
              </w:rPr>
              <w:t>457685, 457688, 457690, 457677, 457680, 457686. 459385, 457679</w:t>
            </w:r>
            <w:r w:rsidR="00E87DC4">
              <w:rPr>
                <w:szCs w:val="22"/>
              </w:rPr>
              <w:t>, 459366</w:t>
            </w:r>
          </w:p>
        </w:tc>
      </w:tr>
      <w:tr w:rsidR="00280CF5" w:rsidRPr="00BD5DBD" w14:paraId="7618393F" w14:textId="77777777" w:rsidTr="00886B0A">
        <w:tc>
          <w:tcPr>
            <w:tcW w:w="970" w:type="pct"/>
          </w:tcPr>
          <w:p w14:paraId="02260DE2" w14:textId="2475F627" w:rsidR="00280CF5" w:rsidRPr="0089726F" w:rsidRDefault="00280CF5" w:rsidP="0089726F">
            <w:pPr>
              <w:rPr>
                <w:i/>
                <w:szCs w:val="22"/>
              </w:rPr>
            </w:pPr>
            <w:r w:rsidRPr="0089726F">
              <w:rPr>
                <w:rFonts w:ascii="Wingdings 3" w:hAnsi="Wingdings 3"/>
                <w:szCs w:val="22"/>
                <w:lang w:eastAsia="en-AU"/>
              </w:rPr>
              <w:t></w:t>
            </w:r>
            <w:hyperlink r:id="rId15" w:history="1">
              <w:r w:rsidRPr="0089726F">
                <w:rPr>
                  <w:rStyle w:val="Hyperlink"/>
                  <w:i/>
                  <w:szCs w:val="22"/>
                </w:rPr>
                <w:t>Black Triangle Scheme</w:t>
              </w:r>
            </w:hyperlink>
          </w:p>
        </w:tc>
        <w:tc>
          <w:tcPr>
            <w:tcW w:w="4030" w:type="pct"/>
          </w:tcPr>
          <w:p w14:paraId="6FF3C6A2" w14:textId="52601EC9" w:rsidR="00280CF5" w:rsidRPr="00BD5DBD" w:rsidRDefault="00280CF5" w:rsidP="00280CF5">
            <w:pPr>
              <w:rPr>
                <w:szCs w:val="22"/>
              </w:rPr>
            </w:pPr>
            <w:r w:rsidRPr="00BD5DBD">
              <w:rPr>
                <w:szCs w:val="22"/>
              </w:rPr>
              <w:t>Yes</w:t>
            </w:r>
          </w:p>
        </w:tc>
      </w:tr>
      <w:tr w:rsidR="00280CF5" w:rsidRPr="00BD5DBD" w14:paraId="179E09FE" w14:textId="77777777" w:rsidTr="00886B0A">
        <w:tc>
          <w:tcPr>
            <w:tcW w:w="970" w:type="pct"/>
          </w:tcPr>
          <w:p w14:paraId="1A592498" w14:textId="77777777" w:rsidR="00280CF5" w:rsidRPr="0089726F" w:rsidRDefault="00280CF5" w:rsidP="0089726F">
            <w:pPr>
              <w:rPr>
                <w:i/>
                <w:szCs w:val="22"/>
              </w:rPr>
            </w:pPr>
            <w:r w:rsidRPr="0089726F">
              <w:rPr>
                <w:i/>
                <w:szCs w:val="22"/>
              </w:rPr>
              <w:t>Sponsor’s name and address:</w:t>
            </w:r>
          </w:p>
        </w:tc>
        <w:tc>
          <w:tcPr>
            <w:tcW w:w="4030" w:type="pct"/>
          </w:tcPr>
          <w:p w14:paraId="68DD94B0" w14:textId="2484B727" w:rsidR="00280CF5" w:rsidRPr="00BD5DBD" w:rsidRDefault="00280CF5" w:rsidP="00280CF5">
            <w:pPr>
              <w:rPr>
                <w:szCs w:val="22"/>
              </w:rPr>
            </w:pPr>
            <w:r w:rsidRPr="00280CF5">
              <w:rPr>
                <w:szCs w:val="22"/>
              </w:rPr>
              <w:t>Pfizer Australia Pty Ltd, Level 17, 151 Clarence Street Sydney NSW 2000</w:t>
            </w:r>
          </w:p>
        </w:tc>
      </w:tr>
      <w:tr w:rsidR="00280CF5" w:rsidRPr="00BD5DBD" w14:paraId="5322B989" w14:textId="77777777" w:rsidTr="00886B0A">
        <w:tc>
          <w:tcPr>
            <w:tcW w:w="970" w:type="pct"/>
          </w:tcPr>
          <w:p w14:paraId="24F217E3" w14:textId="6D724CB0" w:rsidR="00280CF5" w:rsidRPr="0089726F" w:rsidRDefault="00280CF5" w:rsidP="0089726F">
            <w:pPr>
              <w:rPr>
                <w:i/>
                <w:szCs w:val="22"/>
              </w:rPr>
            </w:pPr>
            <w:r w:rsidRPr="0089726F">
              <w:rPr>
                <w:i/>
                <w:szCs w:val="22"/>
              </w:rPr>
              <w:t>Dose form:</w:t>
            </w:r>
          </w:p>
        </w:tc>
        <w:tc>
          <w:tcPr>
            <w:tcW w:w="4030" w:type="pct"/>
          </w:tcPr>
          <w:p w14:paraId="51CAED3E" w14:textId="77777777" w:rsidR="00280CF5" w:rsidRPr="00280CF5" w:rsidRDefault="00280CF5" w:rsidP="00280CF5">
            <w:pPr>
              <w:rPr>
                <w:szCs w:val="22"/>
              </w:rPr>
            </w:pPr>
            <w:proofErr w:type="spellStart"/>
            <w:r w:rsidRPr="00280CF5">
              <w:rPr>
                <w:szCs w:val="22"/>
              </w:rPr>
              <w:t>Bretovameran</w:t>
            </w:r>
            <w:proofErr w:type="spellEnd"/>
            <w:r w:rsidRPr="00280CF5">
              <w:rPr>
                <w:szCs w:val="22"/>
              </w:rPr>
              <w:t xml:space="preserve"> is a single-stranded, 5’-capped messenger RNA (mRNA).</w:t>
            </w:r>
          </w:p>
          <w:p w14:paraId="70FC4CDF" w14:textId="25F5DE33" w:rsidR="00280CF5" w:rsidRPr="00280CF5" w:rsidRDefault="008D7761" w:rsidP="00280CF5">
            <w:pPr>
              <w:ind w:left="272"/>
              <w:rPr>
                <w:szCs w:val="22"/>
              </w:rPr>
            </w:pPr>
            <w:r>
              <w:rPr>
                <w:szCs w:val="22"/>
              </w:rPr>
              <w:t>Comirnaty</w:t>
            </w:r>
            <w:r w:rsidR="00280CF5" w:rsidRPr="00280CF5">
              <w:rPr>
                <w:szCs w:val="22"/>
              </w:rPr>
              <w:t xml:space="preserve"> JN.1 (Grey, Orange and Maroon cap) is a white to off-white frozen suspension.</w:t>
            </w:r>
          </w:p>
          <w:p w14:paraId="1A1DEFB0" w14:textId="6E54FCCC" w:rsidR="00280CF5" w:rsidRPr="00280CF5" w:rsidRDefault="008D7761" w:rsidP="00280CF5">
            <w:pPr>
              <w:ind w:left="272"/>
              <w:rPr>
                <w:szCs w:val="22"/>
              </w:rPr>
            </w:pPr>
            <w:r>
              <w:rPr>
                <w:szCs w:val="22"/>
              </w:rPr>
              <w:t>Comirnaty</w:t>
            </w:r>
            <w:r w:rsidR="00280CF5" w:rsidRPr="00280CF5">
              <w:rPr>
                <w:szCs w:val="22"/>
              </w:rPr>
              <w:t xml:space="preserve"> JN.1 (Blue and yellow cap) is a clear to slightly opalescent solution.</w:t>
            </w:r>
          </w:p>
          <w:p w14:paraId="768B254C" w14:textId="50CF7DE1" w:rsidR="00280CF5" w:rsidRPr="00BD5DBD" w:rsidRDefault="008D7761" w:rsidP="00280CF5">
            <w:pPr>
              <w:ind w:left="266"/>
              <w:rPr>
                <w:szCs w:val="22"/>
              </w:rPr>
            </w:pPr>
            <w:r>
              <w:rPr>
                <w:szCs w:val="22"/>
              </w:rPr>
              <w:t>Comirnaty</w:t>
            </w:r>
            <w:r w:rsidR="00280CF5" w:rsidRPr="00280CF5">
              <w:rPr>
                <w:szCs w:val="22"/>
              </w:rPr>
              <w:t xml:space="preserve"> JN.1 – Single dose Glass Prefilled Syringes and Single dose Plastic Prefilled Syringes, 30 micrograms, for 12 years and older is a white to off-white suspension.</w:t>
            </w:r>
          </w:p>
        </w:tc>
      </w:tr>
      <w:tr w:rsidR="00280CF5" w:rsidRPr="00BD5DBD" w14:paraId="115243E6" w14:textId="77777777" w:rsidTr="00886B0A">
        <w:tc>
          <w:tcPr>
            <w:tcW w:w="970" w:type="pct"/>
          </w:tcPr>
          <w:p w14:paraId="7634B062" w14:textId="488D6031" w:rsidR="00280CF5" w:rsidRPr="0089726F" w:rsidRDefault="00280CF5" w:rsidP="0089726F">
            <w:pPr>
              <w:rPr>
                <w:i/>
                <w:szCs w:val="22"/>
              </w:rPr>
            </w:pPr>
            <w:r w:rsidRPr="0089726F">
              <w:rPr>
                <w:i/>
                <w:szCs w:val="22"/>
              </w:rPr>
              <w:t>Strengths:</w:t>
            </w:r>
          </w:p>
        </w:tc>
        <w:tc>
          <w:tcPr>
            <w:tcW w:w="4030" w:type="pct"/>
          </w:tcPr>
          <w:tbl>
            <w:tblPr>
              <w:tblW w:w="7085" w:type="dxa"/>
              <w:tblLayout w:type="fixed"/>
              <w:tblCellMar>
                <w:left w:w="0" w:type="dxa"/>
                <w:right w:w="0" w:type="dxa"/>
              </w:tblCellMar>
              <w:tblLook w:val="0000" w:firstRow="0" w:lastRow="0" w:firstColumn="0" w:lastColumn="0" w:noHBand="0" w:noVBand="0"/>
            </w:tblPr>
            <w:tblGrid>
              <w:gridCol w:w="1249"/>
              <w:gridCol w:w="865"/>
              <w:gridCol w:w="878"/>
              <w:gridCol w:w="981"/>
              <w:gridCol w:w="679"/>
              <w:gridCol w:w="492"/>
              <w:gridCol w:w="963"/>
              <w:gridCol w:w="978"/>
            </w:tblGrid>
            <w:tr w:rsidR="00280CF5" w:rsidRPr="000E7FD6" w14:paraId="328E3F80" w14:textId="77777777" w:rsidTr="00DA0556">
              <w:trPr>
                <w:trHeight w:val="506"/>
              </w:trPr>
              <w:tc>
                <w:tcPr>
                  <w:tcW w:w="1249" w:type="dxa"/>
                  <w:tcBorders>
                    <w:top w:val="single" w:sz="4" w:space="0" w:color="000000"/>
                    <w:left w:val="single" w:sz="4" w:space="0" w:color="000000"/>
                    <w:bottom w:val="single" w:sz="4" w:space="0" w:color="000000"/>
                    <w:right w:val="single" w:sz="4" w:space="0" w:color="000000"/>
                  </w:tcBorders>
                </w:tcPr>
                <w:p w14:paraId="34C491C9" w14:textId="77777777" w:rsidR="00280CF5" w:rsidRPr="000E7FD6" w:rsidRDefault="00280CF5" w:rsidP="00280CF5">
                  <w:pPr>
                    <w:kinsoku w:val="0"/>
                    <w:overflowPunct w:val="0"/>
                    <w:autoSpaceDE w:val="0"/>
                    <w:autoSpaceDN w:val="0"/>
                    <w:adjustRightInd w:val="0"/>
                    <w:spacing w:before="125" w:after="0" w:line="240" w:lineRule="auto"/>
                    <w:ind w:left="50" w:right="83"/>
                    <w:jc w:val="center"/>
                    <w:rPr>
                      <w:rFonts w:ascii="Arial" w:hAnsi="Arial" w:cs="Arial"/>
                      <w:b/>
                      <w:bCs/>
                      <w:sz w:val="16"/>
                      <w:szCs w:val="16"/>
                    </w:rPr>
                  </w:pPr>
                  <w:r w:rsidRPr="000E7FD6">
                    <w:rPr>
                      <w:rFonts w:ascii="Arial" w:hAnsi="Arial" w:cs="Arial"/>
                      <w:b/>
                      <w:bCs/>
                      <w:sz w:val="16"/>
                      <w:szCs w:val="16"/>
                    </w:rPr>
                    <w:t>Age group</w:t>
                  </w:r>
                </w:p>
              </w:tc>
              <w:tc>
                <w:tcPr>
                  <w:tcW w:w="1743" w:type="dxa"/>
                  <w:gridSpan w:val="2"/>
                  <w:tcBorders>
                    <w:top w:val="single" w:sz="4" w:space="0" w:color="000000"/>
                    <w:left w:val="single" w:sz="4" w:space="0" w:color="000000"/>
                    <w:bottom w:val="single" w:sz="4" w:space="0" w:color="000000"/>
                    <w:right w:val="single" w:sz="4" w:space="0" w:color="000000"/>
                  </w:tcBorders>
                </w:tcPr>
                <w:p w14:paraId="7419A3AF" w14:textId="77777777" w:rsidR="00280CF5" w:rsidRPr="000E7FD6" w:rsidRDefault="00280CF5" w:rsidP="00280CF5">
                  <w:pPr>
                    <w:kinsoku w:val="0"/>
                    <w:overflowPunct w:val="0"/>
                    <w:autoSpaceDE w:val="0"/>
                    <w:autoSpaceDN w:val="0"/>
                    <w:adjustRightInd w:val="0"/>
                    <w:spacing w:before="125" w:after="0" w:line="240" w:lineRule="auto"/>
                    <w:ind w:left="124"/>
                    <w:rPr>
                      <w:rFonts w:ascii="Arial" w:hAnsi="Arial" w:cs="Arial"/>
                      <w:b/>
                      <w:bCs/>
                      <w:sz w:val="16"/>
                      <w:szCs w:val="16"/>
                    </w:rPr>
                  </w:pPr>
                  <w:r w:rsidRPr="000E7FD6">
                    <w:rPr>
                      <w:rFonts w:ascii="Arial" w:hAnsi="Arial" w:cs="Arial"/>
                      <w:b/>
                      <w:bCs/>
                      <w:sz w:val="16"/>
                      <w:szCs w:val="16"/>
                    </w:rPr>
                    <w:t>12 years and older</w:t>
                  </w:r>
                </w:p>
              </w:tc>
              <w:tc>
                <w:tcPr>
                  <w:tcW w:w="2152" w:type="dxa"/>
                  <w:gridSpan w:val="3"/>
                  <w:tcBorders>
                    <w:top w:val="single" w:sz="4" w:space="0" w:color="000000"/>
                    <w:left w:val="single" w:sz="4" w:space="0" w:color="000000"/>
                    <w:bottom w:val="single" w:sz="4" w:space="0" w:color="000000"/>
                    <w:right w:val="single" w:sz="4" w:space="0" w:color="000000"/>
                  </w:tcBorders>
                </w:tcPr>
                <w:p w14:paraId="16A95E59" w14:textId="77777777" w:rsidR="00280CF5" w:rsidRPr="000E7FD6" w:rsidRDefault="00280CF5" w:rsidP="00280CF5">
                  <w:pPr>
                    <w:kinsoku w:val="0"/>
                    <w:overflowPunct w:val="0"/>
                    <w:autoSpaceDE w:val="0"/>
                    <w:autoSpaceDN w:val="0"/>
                    <w:adjustRightInd w:val="0"/>
                    <w:spacing w:before="125" w:after="0" w:line="240" w:lineRule="auto"/>
                    <w:jc w:val="center"/>
                    <w:rPr>
                      <w:rFonts w:ascii="Arial" w:hAnsi="Arial" w:cs="Arial"/>
                      <w:b/>
                      <w:bCs/>
                      <w:sz w:val="16"/>
                      <w:szCs w:val="16"/>
                    </w:rPr>
                  </w:pPr>
                  <w:r w:rsidRPr="000E7FD6">
                    <w:rPr>
                      <w:rFonts w:ascii="Arial" w:hAnsi="Arial" w:cs="Arial"/>
                      <w:b/>
                      <w:bCs/>
                      <w:sz w:val="16"/>
                      <w:szCs w:val="16"/>
                    </w:rPr>
                    <w:t>5 to &lt;12 years</w:t>
                  </w:r>
                </w:p>
              </w:tc>
              <w:tc>
                <w:tcPr>
                  <w:tcW w:w="1941" w:type="dxa"/>
                  <w:gridSpan w:val="2"/>
                  <w:tcBorders>
                    <w:top w:val="single" w:sz="4" w:space="0" w:color="000000"/>
                    <w:left w:val="single" w:sz="4" w:space="0" w:color="000000"/>
                    <w:bottom w:val="single" w:sz="4" w:space="0" w:color="000000"/>
                    <w:right w:val="single" w:sz="4" w:space="0" w:color="000000"/>
                  </w:tcBorders>
                </w:tcPr>
                <w:p w14:paraId="7A9533DA" w14:textId="77777777" w:rsidR="00280CF5" w:rsidRPr="000E7FD6" w:rsidRDefault="00280CF5" w:rsidP="00280CF5">
                  <w:pPr>
                    <w:kinsoku w:val="0"/>
                    <w:overflowPunct w:val="0"/>
                    <w:autoSpaceDE w:val="0"/>
                    <w:autoSpaceDN w:val="0"/>
                    <w:adjustRightInd w:val="0"/>
                    <w:spacing w:after="0" w:line="251" w:lineRule="exact"/>
                    <w:jc w:val="center"/>
                    <w:rPr>
                      <w:rFonts w:ascii="Arial" w:hAnsi="Arial" w:cs="Arial"/>
                      <w:b/>
                      <w:bCs/>
                      <w:sz w:val="16"/>
                      <w:szCs w:val="16"/>
                    </w:rPr>
                  </w:pPr>
                  <w:r w:rsidRPr="000E7FD6">
                    <w:rPr>
                      <w:rFonts w:ascii="Arial" w:hAnsi="Arial" w:cs="Arial"/>
                      <w:b/>
                      <w:bCs/>
                      <w:sz w:val="16"/>
                      <w:szCs w:val="16"/>
                    </w:rPr>
                    <w:t>6 months to</w:t>
                  </w:r>
                </w:p>
                <w:p w14:paraId="48F322E3" w14:textId="77777777" w:rsidR="00280CF5" w:rsidRPr="000E7FD6" w:rsidRDefault="00280CF5" w:rsidP="00280CF5">
                  <w:pPr>
                    <w:kinsoku w:val="0"/>
                    <w:overflowPunct w:val="0"/>
                    <w:autoSpaceDE w:val="0"/>
                    <w:autoSpaceDN w:val="0"/>
                    <w:adjustRightInd w:val="0"/>
                    <w:spacing w:after="0" w:line="251" w:lineRule="exact"/>
                    <w:jc w:val="center"/>
                    <w:rPr>
                      <w:rFonts w:ascii="Arial" w:hAnsi="Arial" w:cs="Arial"/>
                      <w:b/>
                      <w:bCs/>
                      <w:sz w:val="16"/>
                      <w:szCs w:val="16"/>
                    </w:rPr>
                  </w:pPr>
                  <w:r w:rsidRPr="000E7FD6">
                    <w:rPr>
                      <w:rFonts w:ascii="Arial" w:hAnsi="Arial" w:cs="Arial"/>
                      <w:b/>
                      <w:bCs/>
                      <w:sz w:val="16"/>
                      <w:szCs w:val="16"/>
                    </w:rPr>
                    <w:t xml:space="preserve"> &lt;5 years</w:t>
                  </w:r>
                </w:p>
              </w:tc>
            </w:tr>
            <w:tr w:rsidR="00280CF5" w:rsidRPr="000E7FD6" w14:paraId="4544D067" w14:textId="77777777" w:rsidTr="00DA0556">
              <w:trPr>
                <w:trHeight w:val="506"/>
              </w:trPr>
              <w:tc>
                <w:tcPr>
                  <w:tcW w:w="1249" w:type="dxa"/>
                  <w:tcBorders>
                    <w:top w:val="single" w:sz="4" w:space="0" w:color="000000"/>
                    <w:left w:val="single" w:sz="4" w:space="0" w:color="000000"/>
                    <w:bottom w:val="single" w:sz="4" w:space="0" w:color="000000"/>
                    <w:right w:val="single" w:sz="4" w:space="0" w:color="000000"/>
                  </w:tcBorders>
                </w:tcPr>
                <w:p w14:paraId="1626CD98" w14:textId="77777777" w:rsidR="00280CF5" w:rsidRPr="000E7FD6" w:rsidRDefault="00280CF5" w:rsidP="00280CF5">
                  <w:pPr>
                    <w:kinsoku w:val="0"/>
                    <w:overflowPunct w:val="0"/>
                    <w:autoSpaceDE w:val="0"/>
                    <w:autoSpaceDN w:val="0"/>
                    <w:adjustRightInd w:val="0"/>
                    <w:spacing w:after="0" w:line="252" w:lineRule="exact"/>
                    <w:ind w:left="50"/>
                    <w:rPr>
                      <w:rFonts w:ascii="Arial" w:hAnsi="Arial" w:cs="Arial"/>
                      <w:b/>
                      <w:bCs/>
                      <w:sz w:val="16"/>
                      <w:szCs w:val="16"/>
                    </w:rPr>
                  </w:pPr>
                  <w:r w:rsidRPr="000E7FD6">
                    <w:rPr>
                      <w:rFonts w:ascii="Arial" w:hAnsi="Arial" w:cs="Arial"/>
                      <w:b/>
                      <w:bCs/>
                      <w:sz w:val="16"/>
                      <w:szCs w:val="16"/>
                    </w:rPr>
                    <w:t>Cap</w:t>
                  </w:r>
                  <w:r w:rsidRPr="000E7FD6">
                    <w:rPr>
                      <w:rFonts w:ascii="Arial" w:hAnsi="Arial" w:cs="Arial"/>
                      <w:b/>
                      <w:bCs/>
                      <w:spacing w:val="-14"/>
                      <w:sz w:val="16"/>
                      <w:szCs w:val="16"/>
                    </w:rPr>
                    <w:t xml:space="preserve"> </w:t>
                  </w:r>
                  <w:r w:rsidRPr="000E7FD6">
                    <w:rPr>
                      <w:rFonts w:ascii="Arial" w:hAnsi="Arial" w:cs="Arial"/>
                      <w:b/>
                      <w:bCs/>
                      <w:sz w:val="16"/>
                      <w:szCs w:val="16"/>
                    </w:rPr>
                    <w:t>&amp;</w:t>
                  </w:r>
                  <w:r w:rsidRPr="000E7FD6">
                    <w:rPr>
                      <w:rFonts w:ascii="Arial" w:hAnsi="Arial" w:cs="Arial"/>
                      <w:b/>
                      <w:bCs/>
                      <w:spacing w:val="-14"/>
                      <w:sz w:val="16"/>
                      <w:szCs w:val="16"/>
                    </w:rPr>
                    <w:t xml:space="preserve"> </w:t>
                  </w:r>
                  <w:r w:rsidRPr="000E7FD6">
                    <w:rPr>
                      <w:rFonts w:ascii="Arial" w:hAnsi="Arial" w:cs="Arial"/>
                      <w:b/>
                      <w:bCs/>
                      <w:sz w:val="16"/>
                      <w:szCs w:val="16"/>
                    </w:rPr>
                    <w:t>Label colour code</w:t>
                  </w:r>
                </w:p>
              </w:tc>
              <w:tc>
                <w:tcPr>
                  <w:tcW w:w="865" w:type="dxa"/>
                  <w:tcBorders>
                    <w:top w:val="single" w:sz="4" w:space="0" w:color="000000"/>
                    <w:left w:val="single" w:sz="4" w:space="0" w:color="000000"/>
                    <w:bottom w:val="single" w:sz="4" w:space="0" w:color="000000"/>
                    <w:right w:val="single" w:sz="4" w:space="0" w:color="000000"/>
                  </w:tcBorders>
                </w:tcPr>
                <w:p w14:paraId="69AA0D9E" w14:textId="77777777" w:rsidR="00280CF5" w:rsidRPr="000E7FD6" w:rsidRDefault="00280CF5" w:rsidP="00280CF5">
                  <w:pPr>
                    <w:kinsoku w:val="0"/>
                    <w:overflowPunct w:val="0"/>
                    <w:autoSpaceDE w:val="0"/>
                    <w:autoSpaceDN w:val="0"/>
                    <w:adjustRightInd w:val="0"/>
                    <w:spacing w:after="0" w:line="252" w:lineRule="exact"/>
                    <w:ind w:left="275" w:right="249" w:hanging="22"/>
                    <w:jc w:val="center"/>
                    <w:rPr>
                      <w:rFonts w:ascii="Arial" w:hAnsi="Arial" w:cs="Arial"/>
                      <w:spacing w:val="-4"/>
                      <w:sz w:val="16"/>
                      <w:szCs w:val="16"/>
                    </w:rPr>
                  </w:pPr>
                  <w:r w:rsidRPr="000E7FD6">
                    <w:rPr>
                      <w:rFonts w:ascii="Arial" w:hAnsi="Arial" w:cs="Arial"/>
                      <w:spacing w:val="-2"/>
                      <w:sz w:val="16"/>
                      <w:szCs w:val="16"/>
                    </w:rPr>
                    <w:t xml:space="preserve">Light </w:t>
                  </w:r>
                  <w:r w:rsidRPr="000E7FD6">
                    <w:rPr>
                      <w:rFonts w:ascii="Arial" w:hAnsi="Arial" w:cs="Arial"/>
                      <w:spacing w:val="-4"/>
                      <w:sz w:val="16"/>
                      <w:szCs w:val="16"/>
                    </w:rPr>
                    <w:t>Grey</w:t>
                  </w:r>
                </w:p>
              </w:tc>
              <w:tc>
                <w:tcPr>
                  <w:tcW w:w="878" w:type="dxa"/>
                  <w:tcBorders>
                    <w:top w:val="single" w:sz="4" w:space="0" w:color="000000"/>
                    <w:left w:val="single" w:sz="4" w:space="0" w:color="000000"/>
                    <w:bottom w:val="single" w:sz="4" w:space="0" w:color="000000"/>
                    <w:right w:val="single" w:sz="4" w:space="0" w:color="000000"/>
                  </w:tcBorders>
                </w:tcPr>
                <w:p w14:paraId="3BD95897" w14:textId="77777777" w:rsidR="00280CF5" w:rsidRPr="000E7FD6" w:rsidRDefault="00280CF5" w:rsidP="00280CF5">
                  <w:pPr>
                    <w:kinsoku w:val="0"/>
                    <w:overflowPunct w:val="0"/>
                    <w:autoSpaceDE w:val="0"/>
                    <w:autoSpaceDN w:val="0"/>
                    <w:adjustRightInd w:val="0"/>
                    <w:spacing w:after="0" w:line="252" w:lineRule="exact"/>
                    <w:ind w:left="273" w:right="264" w:hanging="3"/>
                    <w:jc w:val="center"/>
                    <w:rPr>
                      <w:rFonts w:ascii="Arial" w:hAnsi="Arial" w:cs="Arial"/>
                      <w:spacing w:val="-4"/>
                      <w:sz w:val="16"/>
                      <w:szCs w:val="16"/>
                    </w:rPr>
                  </w:pPr>
                  <w:r w:rsidRPr="000E7FD6">
                    <w:rPr>
                      <w:rFonts w:ascii="Arial" w:hAnsi="Arial" w:cs="Arial"/>
                      <w:spacing w:val="-4"/>
                      <w:sz w:val="16"/>
                      <w:szCs w:val="16"/>
                    </w:rPr>
                    <w:t>Dark Grey</w:t>
                  </w:r>
                </w:p>
              </w:tc>
              <w:tc>
                <w:tcPr>
                  <w:tcW w:w="981" w:type="dxa"/>
                  <w:tcBorders>
                    <w:top w:val="single" w:sz="4" w:space="0" w:color="000000"/>
                    <w:left w:val="single" w:sz="4" w:space="0" w:color="000000"/>
                    <w:bottom w:val="single" w:sz="4" w:space="0" w:color="000000"/>
                    <w:right w:val="single" w:sz="4" w:space="0" w:color="000000"/>
                  </w:tcBorders>
                </w:tcPr>
                <w:p w14:paraId="1C286BCE" w14:textId="77777777" w:rsidR="00280CF5" w:rsidRPr="000E7FD6" w:rsidRDefault="00280CF5" w:rsidP="00280CF5">
                  <w:pPr>
                    <w:kinsoku w:val="0"/>
                    <w:overflowPunct w:val="0"/>
                    <w:autoSpaceDE w:val="0"/>
                    <w:autoSpaceDN w:val="0"/>
                    <w:adjustRightInd w:val="0"/>
                    <w:spacing w:before="124" w:after="0" w:line="240" w:lineRule="auto"/>
                    <w:ind w:left="11"/>
                    <w:jc w:val="center"/>
                    <w:rPr>
                      <w:rFonts w:ascii="Arial" w:hAnsi="Arial" w:cs="Arial"/>
                      <w:spacing w:val="-2"/>
                      <w:sz w:val="16"/>
                      <w:szCs w:val="16"/>
                    </w:rPr>
                  </w:pPr>
                  <w:r w:rsidRPr="000E7FD6">
                    <w:rPr>
                      <w:rFonts w:ascii="Arial" w:hAnsi="Arial" w:cs="Arial"/>
                      <w:spacing w:val="-2"/>
                      <w:sz w:val="16"/>
                      <w:szCs w:val="16"/>
                    </w:rPr>
                    <w:t>Orange</w:t>
                  </w:r>
                </w:p>
              </w:tc>
              <w:tc>
                <w:tcPr>
                  <w:tcW w:w="679" w:type="dxa"/>
                  <w:tcBorders>
                    <w:top w:val="single" w:sz="4" w:space="0" w:color="000000"/>
                    <w:left w:val="single" w:sz="4" w:space="0" w:color="000000"/>
                    <w:bottom w:val="single" w:sz="4" w:space="0" w:color="000000"/>
                    <w:right w:val="single" w:sz="4" w:space="0" w:color="000000"/>
                  </w:tcBorders>
                </w:tcPr>
                <w:p w14:paraId="55BC743C" w14:textId="77777777" w:rsidR="00280CF5" w:rsidRPr="000E7FD6" w:rsidRDefault="00280CF5" w:rsidP="00280CF5">
                  <w:pPr>
                    <w:kinsoku w:val="0"/>
                    <w:overflowPunct w:val="0"/>
                    <w:autoSpaceDE w:val="0"/>
                    <w:autoSpaceDN w:val="0"/>
                    <w:adjustRightInd w:val="0"/>
                    <w:spacing w:after="0" w:line="252" w:lineRule="exact"/>
                    <w:ind w:left="132" w:right="168" w:hanging="32"/>
                    <w:jc w:val="center"/>
                    <w:rPr>
                      <w:rFonts w:ascii="Arial" w:hAnsi="Arial" w:cs="Arial"/>
                      <w:spacing w:val="-4"/>
                      <w:sz w:val="16"/>
                      <w:szCs w:val="16"/>
                    </w:rPr>
                  </w:pPr>
                  <w:r w:rsidRPr="000E7FD6">
                    <w:rPr>
                      <w:rFonts w:ascii="Arial" w:hAnsi="Arial" w:cs="Arial"/>
                      <w:spacing w:val="-2"/>
                      <w:sz w:val="16"/>
                      <w:szCs w:val="16"/>
                    </w:rPr>
                    <w:t xml:space="preserve">Light </w:t>
                  </w:r>
                  <w:r w:rsidRPr="000E7FD6">
                    <w:rPr>
                      <w:rFonts w:ascii="Arial" w:hAnsi="Arial" w:cs="Arial"/>
                      <w:spacing w:val="-4"/>
                      <w:sz w:val="16"/>
                      <w:szCs w:val="16"/>
                    </w:rPr>
                    <w:t>Blue</w:t>
                  </w:r>
                </w:p>
              </w:tc>
              <w:tc>
                <w:tcPr>
                  <w:tcW w:w="492" w:type="dxa"/>
                  <w:tcBorders>
                    <w:top w:val="single" w:sz="4" w:space="0" w:color="000000"/>
                    <w:left w:val="single" w:sz="4" w:space="0" w:color="000000"/>
                    <w:bottom w:val="single" w:sz="4" w:space="0" w:color="000000"/>
                    <w:right w:val="single" w:sz="4" w:space="0" w:color="000000"/>
                  </w:tcBorders>
                </w:tcPr>
                <w:p w14:paraId="39C3F6B1" w14:textId="77777777" w:rsidR="00280CF5" w:rsidRPr="000E7FD6" w:rsidRDefault="00280CF5" w:rsidP="00280CF5">
                  <w:pPr>
                    <w:kinsoku w:val="0"/>
                    <w:overflowPunct w:val="0"/>
                    <w:autoSpaceDE w:val="0"/>
                    <w:autoSpaceDN w:val="0"/>
                    <w:adjustRightInd w:val="0"/>
                    <w:spacing w:after="0" w:line="252" w:lineRule="exact"/>
                    <w:ind w:left="73" w:hanging="12"/>
                    <w:jc w:val="center"/>
                    <w:rPr>
                      <w:rFonts w:ascii="Arial" w:hAnsi="Arial" w:cs="Arial"/>
                      <w:spacing w:val="-4"/>
                      <w:sz w:val="16"/>
                      <w:szCs w:val="16"/>
                    </w:rPr>
                  </w:pPr>
                  <w:r w:rsidRPr="000E7FD6">
                    <w:rPr>
                      <w:rFonts w:ascii="Arial" w:hAnsi="Arial" w:cs="Arial"/>
                      <w:spacing w:val="-4"/>
                      <w:sz w:val="16"/>
                      <w:szCs w:val="16"/>
                    </w:rPr>
                    <w:t>Dark Blue</w:t>
                  </w:r>
                </w:p>
              </w:tc>
              <w:tc>
                <w:tcPr>
                  <w:tcW w:w="963" w:type="dxa"/>
                  <w:tcBorders>
                    <w:top w:val="single" w:sz="4" w:space="0" w:color="000000"/>
                    <w:left w:val="single" w:sz="4" w:space="0" w:color="000000"/>
                    <w:bottom w:val="single" w:sz="4" w:space="0" w:color="000000"/>
                    <w:right w:val="single" w:sz="4" w:space="0" w:color="000000"/>
                  </w:tcBorders>
                </w:tcPr>
                <w:p w14:paraId="2DDBB66C" w14:textId="77777777" w:rsidR="00280CF5" w:rsidRPr="000E7FD6" w:rsidRDefault="00280CF5" w:rsidP="00280CF5">
                  <w:pPr>
                    <w:kinsoku w:val="0"/>
                    <w:overflowPunct w:val="0"/>
                    <w:autoSpaceDE w:val="0"/>
                    <w:autoSpaceDN w:val="0"/>
                    <w:adjustRightInd w:val="0"/>
                    <w:spacing w:before="124" w:after="0" w:line="240" w:lineRule="auto"/>
                    <w:ind w:left="11"/>
                    <w:jc w:val="center"/>
                    <w:rPr>
                      <w:rFonts w:ascii="Arial" w:hAnsi="Arial" w:cs="Arial"/>
                      <w:spacing w:val="-2"/>
                      <w:sz w:val="16"/>
                      <w:szCs w:val="16"/>
                    </w:rPr>
                  </w:pPr>
                  <w:r w:rsidRPr="000E7FD6">
                    <w:rPr>
                      <w:rFonts w:ascii="Arial" w:hAnsi="Arial" w:cs="Arial"/>
                      <w:spacing w:val="-2"/>
                      <w:sz w:val="16"/>
                      <w:szCs w:val="16"/>
                    </w:rPr>
                    <w:t>Maroon</w:t>
                  </w:r>
                </w:p>
              </w:tc>
              <w:tc>
                <w:tcPr>
                  <w:tcW w:w="978" w:type="dxa"/>
                  <w:tcBorders>
                    <w:top w:val="single" w:sz="4" w:space="0" w:color="000000"/>
                    <w:left w:val="single" w:sz="4" w:space="0" w:color="000000"/>
                    <w:bottom w:val="single" w:sz="4" w:space="0" w:color="000000"/>
                    <w:right w:val="single" w:sz="4" w:space="0" w:color="000000"/>
                  </w:tcBorders>
                </w:tcPr>
                <w:p w14:paraId="60F22A12" w14:textId="77777777" w:rsidR="00280CF5" w:rsidRPr="000E7FD6" w:rsidRDefault="00280CF5" w:rsidP="00280CF5">
                  <w:pPr>
                    <w:kinsoku w:val="0"/>
                    <w:overflowPunct w:val="0"/>
                    <w:autoSpaceDE w:val="0"/>
                    <w:autoSpaceDN w:val="0"/>
                    <w:adjustRightInd w:val="0"/>
                    <w:spacing w:before="124" w:after="0" w:line="240" w:lineRule="auto"/>
                    <w:ind w:left="16"/>
                    <w:jc w:val="center"/>
                    <w:rPr>
                      <w:rFonts w:ascii="Arial" w:hAnsi="Arial" w:cs="Arial"/>
                      <w:spacing w:val="-2"/>
                      <w:sz w:val="16"/>
                      <w:szCs w:val="16"/>
                    </w:rPr>
                  </w:pPr>
                  <w:r w:rsidRPr="000E7FD6">
                    <w:rPr>
                      <w:rFonts w:ascii="Arial" w:hAnsi="Arial" w:cs="Arial"/>
                      <w:spacing w:val="-2"/>
                      <w:sz w:val="16"/>
                      <w:szCs w:val="16"/>
                    </w:rPr>
                    <w:t>Yellow</w:t>
                  </w:r>
                </w:p>
              </w:tc>
            </w:tr>
            <w:tr w:rsidR="00280CF5" w:rsidRPr="000E7FD6" w14:paraId="13F46150" w14:textId="77777777" w:rsidTr="00DA0556">
              <w:trPr>
                <w:trHeight w:val="506"/>
              </w:trPr>
              <w:tc>
                <w:tcPr>
                  <w:tcW w:w="1249" w:type="dxa"/>
                  <w:tcBorders>
                    <w:top w:val="single" w:sz="4" w:space="0" w:color="000000"/>
                    <w:left w:val="single" w:sz="4" w:space="0" w:color="000000"/>
                    <w:bottom w:val="single" w:sz="4" w:space="0" w:color="000000"/>
                    <w:right w:val="single" w:sz="4" w:space="0" w:color="000000"/>
                  </w:tcBorders>
                </w:tcPr>
                <w:p w14:paraId="7BFBCD6A" w14:textId="77777777" w:rsidR="00280CF5" w:rsidRPr="000E7FD6" w:rsidRDefault="00280CF5" w:rsidP="00280CF5">
                  <w:pPr>
                    <w:kinsoku w:val="0"/>
                    <w:overflowPunct w:val="0"/>
                    <w:autoSpaceDE w:val="0"/>
                    <w:autoSpaceDN w:val="0"/>
                    <w:adjustRightInd w:val="0"/>
                    <w:spacing w:after="0" w:line="254" w:lineRule="exact"/>
                    <w:ind w:left="50" w:right="449"/>
                    <w:rPr>
                      <w:rFonts w:ascii="Arial" w:hAnsi="Arial" w:cs="Arial"/>
                      <w:b/>
                      <w:bCs/>
                      <w:sz w:val="16"/>
                      <w:szCs w:val="16"/>
                    </w:rPr>
                  </w:pPr>
                  <w:r w:rsidRPr="000E7FD6">
                    <w:rPr>
                      <w:rFonts w:ascii="Arial" w:hAnsi="Arial" w:cs="Arial"/>
                      <w:b/>
                      <w:bCs/>
                      <w:sz w:val="16"/>
                      <w:szCs w:val="16"/>
                    </w:rPr>
                    <w:t>Strength</w:t>
                  </w:r>
                </w:p>
                <w:p w14:paraId="06045F16" w14:textId="77777777" w:rsidR="00280CF5" w:rsidRPr="000E7FD6" w:rsidRDefault="00280CF5" w:rsidP="00280CF5">
                  <w:pPr>
                    <w:kinsoku w:val="0"/>
                    <w:overflowPunct w:val="0"/>
                    <w:autoSpaceDE w:val="0"/>
                    <w:autoSpaceDN w:val="0"/>
                    <w:adjustRightInd w:val="0"/>
                    <w:spacing w:after="0" w:line="254" w:lineRule="exact"/>
                    <w:ind w:left="50" w:right="61"/>
                    <w:rPr>
                      <w:rFonts w:ascii="Arial" w:hAnsi="Arial" w:cs="Arial"/>
                      <w:b/>
                      <w:bCs/>
                      <w:spacing w:val="-4"/>
                      <w:sz w:val="16"/>
                      <w:szCs w:val="16"/>
                    </w:rPr>
                  </w:pPr>
                  <w:r w:rsidRPr="000E7FD6">
                    <w:rPr>
                      <w:rFonts w:ascii="Arial" w:hAnsi="Arial" w:cs="Arial"/>
                      <w:b/>
                      <w:bCs/>
                      <w:sz w:val="16"/>
                      <w:szCs w:val="16"/>
                    </w:rPr>
                    <w:t xml:space="preserve">per </w:t>
                  </w:r>
                  <w:r w:rsidRPr="000E7FD6">
                    <w:rPr>
                      <w:rFonts w:ascii="Arial" w:hAnsi="Arial" w:cs="Arial"/>
                      <w:b/>
                      <w:bCs/>
                      <w:spacing w:val="-4"/>
                      <w:sz w:val="16"/>
                      <w:szCs w:val="16"/>
                    </w:rPr>
                    <w:t>dose</w:t>
                  </w:r>
                </w:p>
              </w:tc>
              <w:tc>
                <w:tcPr>
                  <w:tcW w:w="1743" w:type="dxa"/>
                  <w:gridSpan w:val="2"/>
                  <w:tcBorders>
                    <w:top w:val="single" w:sz="4" w:space="0" w:color="000000"/>
                    <w:left w:val="single" w:sz="4" w:space="0" w:color="000000"/>
                    <w:bottom w:val="single" w:sz="4" w:space="0" w:color="000000"/>
                    <w:right w:val="single" w:sz="4" w:space="0" w:color="000000"/>
                  </w:tcBorders>
                </w:tcPr>
                <w:p w14:paraId="70C080F7" w14:textId="77777777" w:rsidR="00280CF5" w:rsidRPr="000E7FD6" w:rsidRDefault="00280CF5" w:rsidP="00280CF5">
                  <w:pPr>
                    <w:kinsoku w:val="0"/>
                    <w:overflowPunct w:val="0"/>
                    <w:autoSpaceDE w:val="0"/>
                    <w:autoSpaceDN w:val="0"/>
                    <w:adjustRightInd w:val="0"/>
                    <w:spacing w:after="0" w:line="251" w:lineRule="exact"/>
                    <w:jc w:val="center"/>
                    <w:rPr>
                      <w:rFonts w:ascii="Arial" w:hAnsi="Arial" w:cs="Arial"/>
                      <w:sz w:val="16"/>
                      <w:szCs w:val="16"/>
                    </w:rPr>
                  </w:pPr>
                  <w:r w:rsidRPr="000E7FD6">
                    <w:rPr>
                      <w:rFonts w:ascii="Arial" w:hAnsi="Arial" w:cs="Arial"/>
                      <w:sz w:val="16"/>
                      <w:szCs w:val="16"/>
                    </w:rPr>
                    <w:t>30 micrograms</w:t>
                  </w:r>
                </w:p>
                <w:p w14:paraId="242089DB" w14:textId="77777777" w:rsidR="00280CF5" w:rsidRPr="000E7FD6" w:rsidRDefault="00280CF5" w:rsidP="00280CF5">
                  <w:pPr>
                    <w:kinsoku w:val="0"/>
                    <w:overflowPunct w:val="0"/>
                    <w:autoSpaceDE w:val="0"/>
                    <w:autoSpaceDN w:val="0"/>
                    <w:adjustRightInd w:val="0"/>
                    <w:spacing w:before="1" w:after="0" w:line="233" w:lineRule="exact"/>
                    <w:jc w:val="center"/>
                    <w:rPr>
                      <w:rFonts w:ascii="Arial" w:hAnsi="Arial" w:cs="Arial"/>
                      <w:sz w:val="16"/>
                      <w:szCs w:val="16"/>
                    </w:rPr>
                  </w:pPr>
                  <w:r w:rsidRPr="000E7FD6">
                    <w:rPr>
                      <w:rFonts w:ascii="Arial" w:hAnsi="Arial" w:cs="Arial"/>
                      <w:sz w:val="16"/>
                      <w:szCs w:val="16"/>
                    </w:rPr>
                    <w:t>(0.3 mL dose)</w:t>
                  </w:r>
                </w:p>
              </w:tc>
              <w:tc>
                <w:tcPr>
                  <w:tcW w:w="981" w:type="dxa"/>
                  <w:tcBorders>
                    <w:top w:val="single" w:sz="4" w:space="0" w:color="000000"/>
                    <w:left w:val="single" w:sz="4" w:space="0" w:color="000000"/>
                    <w:bottom w:val="single" w:sz="4" w:space="0" w:color="000000"/>
                    <w:right w:val="single" w:sz="4" w:space="0" w:color="000000"/>
                  </w:tcBorders>
                </w:tcPr>
                <w:p w14:paraId="0F554F6F" w14:textId="77777777" w:rsidR="00280CF5" w:rsidRPr="000E7FD6" w:rsidRDefault="00280CF5" w:rsidP="000E7FD6">
                  <w:pPr>
                    <w:kinsoku w:val="0"/>
                    <w:overflowPunct w:val="0"/>
                    <w:autoSpaceDE w:val="0"/>
                    <w:autoSpaceDN w:val="0"/>
                    <w:adjustRightInd w:val="0"/>
                    <w:spacing w:after="0" w:line="251" w:lineRule="exact"/>
                    <w:ind w:left="67"/>
                    <w:rPr>
                      <w:rFonts w:ascii="Arial" w:hAnsi="Arial" w:cs="Arial"/>
                      <w:sz w:val="16"/>
                      <w:szCs w:val="16"/>
                    </w:rPr>
                  </w:pPr>
                  <w:r w:rsidRPr="000E7FD6">
                    <w:rPr>
                      <w:rFonts w:ascii="Arial" w:hAnsi="Arial" w:cs="Arial"/>
                      <w:sz w:val="16"/>
                      <w:szCs w:val="16"/>
                    </w:rPr>
                    <w:t>10 micrograms</w:t>
                  </w:r>
                </w:p>
                <w:p w14:paraId="56D503A1" w14:textId="77777777" w:rsidR="00280CF5" w:rsidRPr="000E7FD6" w:rsidRDefault="00280CF5" w:rsidP="000E7FD6">
                  <w:pPr>
                    <w:kinsoku w:val="0"/>
                    <w:overflowPunct w:val="0"/>
                    <w:autoSpaceDE w:val="0"/>
                    <w:autoSpaceDN w:val="0"/>
                    <w:adjustRightInd w:val="0"/>
                    <w:spacing w:before="1" w:after="0" w:line="233" w:lineRule="exact"/>
                    <w:ind w:left="67"/>
                    <w:rPr>
                      <w:rFonts w:ascii="Arial" w:hAnsi="Arial" w:cs="Arial"/>
                      <w:sz w:val="16"/>
                      <w:szCs w:val="16"/>
                    </w:rPr>
                  </w:pPr>
                  <w:r w:rsidRPr="000E7FD6">
                    <w:rPr>
                      <w:rFonts w:ascii="Arial" w:hAnsi="Arial" w:cs="Arial"/>
                      <w:sz w:val="16"/>
                      <w:szCs w:val="16"/>
                    </w:rPr>
                    <w:t>(0.2 mL dose)</w:t>
                  </w:r>
                </w:p>
              </w:tc>
              <w:tc>
                <w:tcPr>
                  <w:tcW w:w="1171" w:type="dxa"/>
                  <w:gridSpan w:val="2"/>
                  <w:tcBorders>
                    <w:top w:val="single" w:sz="4" w:space="0" w:color="000000"/>
                    <w:left w:val="single" w:sz="4" w:space="0" w:color="000000"/>
                    <w:bottom w:val="single" w:sz="4" w:space="0" w:color="000000"/>
                    <w:right w:val="single" w:sz="4" w:space="0" w:color="000000"/>
                  </w:tcBorders>
                </w:tcPr>
                <w:p w14:paraId="44F91B11" w14:textId="77777777" w:rsidR="00280CF5" w:rsidRPr="000E7FD6" w:rsidRDefault="00280CF5" w:rsidP="000E7FD6">
                  <w:pPr>
                    <w:kinsoku w:val="0"/>
                    <w:overflowPunct w:val="0"/>
                    <w:autoSpaceDE w:val="0"/>
                    <w:autoSpaceDN w:val="0"/>
                    <w:adjustRightInd w:val="0"/>
                    <w:spacing w:after="0" w:line="251" w:lineRule="exact"/>
                    <w:ind w:left="187" w:hanging="105"/>
                    <w:rPr>
                      <w:rFonts w:ascii="Arial" w:hAnsi="Arial" w:cs="Arial"/>
                      <w:sz w:val="16"/>
                      <w:szCs w:val="16"/>
                    </w:rPr>
                  </w:pPr>
                  <w:r w:rsidRPr="000E7FD6">
                    <w:rPr>
                      <w:rFonts w:ascii="Arial" w:hAnsi="Arial" w:cs="Arial"/>
                      <w:sz w:val="16"/>
                      <w:szCs w:val="16"/>
                    </w:rPr>
                    <w:t>10 micrograms</w:t>
                  </w:r>
                </w:p>
                <w:p w14:paraId="23904461" w14:textId="77777777" w:rsidR="00280CF5" w:rsidRPr="000E7FD6" w:rsidRDefault="00280CF5" w:rsidP="000E7FD6">
                  <w:pPr>
                    <w:kinsoku w:val="0"/>
                    <w:overflowPunct w:val="0"/>
                    <w:autoSpaceDE w:val="0"/>
                    <w:autoSpaceDN w:val="0"/>
                    <w:adjustRightInd w:val="0"/>
                    <w:spacing w:before="1" w:after="0" w:line="233" w:lineRule="exact"/>
                    <w:ind w:left="230" w:hanging="105"/>
                    <w:rPr>
                      <w:rFonts w:ascii="Arial" w:hAnsi="Arial" w:cs="Arial"/>
                      <w:sz w:val="16"/>
                      <w:szCs w:val="16"/>
                    </w:rPr>
                  </w:pPr>
                  <w:r w:rsidRPr="000E7FD6">
                    <w:rPr>
                      <w:rFonts w:ascii="Arial" w:hAnsi="Arial" w:cs="Arial"/>
                      <w:sz w:val="16"/>
                      <w:szCs w:val="16"/>
                    </w:rPr>
                    <w:t>(0.3 mL dose)</w:t>
                  </w:r>
                </w:p>
              </w:tc>
              <w:tc>
                <w:tcPr>
                  <w:tcW w:w="963" w:type="dxa"/>
                  <w:tcBorders>
                    <w:top w:val="single" w:sz="4" w:space="0" w:color="000000"/>
                    <w:left w:val="single" w:sz="4" w:space="0" w:color="000000"/>
                    <w:bottom w:val="single" w:sz="4" w:space="0" w:color="000000"/>
                    <w:right w:val="single" w:sz="4" w:space="0" w:color="000000"/>
                  </w:tcBorders>
                </w:tcPr>
                <w:p w14:paraId="709BF19C" w14:textId="77777777" w:rsidR="00280CF5" w:rsidRPr="000E7FD6" w:rsidRDefault="00280CF5" w:rsidP="000E7FD6">
                  <w:pPr>
                    <w:kinsoku w:val="0"/>
                    <w:overflowPunct w:val="0"/>
                    <w:autoSpaceDE w:val="0"/>
                    <w:autoSpaceDN w:val="0"/>
                    <w:adjustRightInd w:val="0"/>
                    <w:spacing w:after="0" w:line="251" w:lineRule="exact"/>
                    <w:ind w:left="98"/>
                    <w:rPr>
                      <w:rFonts w:ascii="Arial" w:hAnsi="Arial" w:cs="Arial"/>
                      <w:sz w:val="16"/>
                      <w:szCs w:val="16"/>
                    </w:rPr>
                  </w:pPr>
                  <w:r w:rsidRPr="000E7FD6">
                    <w:rPr>
                      <w:rFonts w:ascii="Arial" w:hAnsi="Arial" w:cs="Arial"/>
                      <w:sz w:val="16"/>
                      <w:szCs w:val="16"/>
                    </w:rPr>
                    <w:t>3 micrograms</w:t>
                  </w:r>
                </w:p>
                <w:p w14:paraId="2990EC9A" w14:textId="77777777" w:rsidR="00280CF5" w:rsidRPr="000E7FD6" w:rsidRDefault="00280CF5" w:rsidP="000E7FD6">
                  <w:pPr>
                    <w:kinsoku w:val="0"/>
                    <w:overflowPunct w:val="0"/>
                    <w:autoSpaceDE w:val="0"/>
                    <w:autoSpaceDN w:val="0"/>
                    <w:adjustRightInd w:val="0"/>
                    <w:spacing w:before="1" w:after="0" w:line="233" w:lineRule="exact"/>
                    <w:ind w:left="86"/>
                    <w:rPr>
                      <w:rFonts w:ascii="Arial" w:hAnsi="Arial" w:cs="Arial"/>
                      <w:sz w:val="16"/>
                      <w:szCs w:val="16"/>
                    </w:rPr>
                  </w:pPr>
                  <w:r w:rsidRPr="000E7FD6">
                    <w:rPr>
                      <w:rFonts w:ascii="Arial" w:hAnsi="Arial" w:cs="Arial"/>
                      <w:sz w:val="16"/>
                      <w:szCs w:val="16"/>
                    </w:rPr>
                    <w:t>(0.2 mL dose)</w:t>
                  </w:r>
                </w:p>
              </w:tc>
              <w:tc>
                <w:tcPr>
                  <w:tcW w:w="978" w:type="dxa"/>
                  <w:tcBorders>
                    <w:top w:val="single" w:sz="4" w:space="0" w:color="000000"/>
                    <w:left w:val="single" w:sz="4" w:space="0" w:color="000000"/>
                    <w:bottom w:val="single" w:sz="4" w:space="0" w:color="000000"/>
                    <w:right w:val="single" w:sz="4" w:space="0" w:color="000000"/>
                  </w:tcBorders>
                </w:tcPr>
                <w:p w14:paraId="37D19E65" w14:textId="77777777" w:rsidR="00280CF5" w:rsidRPr="000E7FD6" w:rsidRDefault="00280CF5" w:rsidP="000E7FD6">
                  <w:pPr>
                    <w:kinsoku w:val="0"/>
                    <w:overflowPunct w:val="0"/>
                    <w:autoSpaceDE w:val="0"/>
                    <w:autoSpaceDN w:val="0"/>
                    <w:adjustRightInd w:val="0"/>
                    <w:spacing w:after="0" w:line="251" w:lineRule="exact"/>
                    <w:ind w:left="103"/>
                    <w:rPr>
                      <w:rFonts w:ascii="Arial" w:hAnsi="Arial" w:cs="Arial"/>
                      <w:sz w:val="16"/>
                      <w:szCs w:val="16"/>
                    </w:rPr>
                  </w:pPr>
                  <w:r w:rsidRPr="000E7FD6">
                    <w:rPr>
                      <w:rFonts w:ascii="Arial" w:hAnsi="Arial" w:cs="Arial"/>
                      <w:sz w:val="16"/>
                      <w:szCs w:val="16"/>
                    </w:rPr>
                    <w:t>3 micrograms</w:t>
                  </w:r>
                </w:p>
                <w:p w14:paraId="7FB66958" w14:textId="77777777" w:rsidR="00280CF5" w:rsidRPr="000E7FD6" w:rsidRDefault="00280CF5" w:rsidP="000E7FD6">
                  <w:pPr>
                    <w:kinsoku w:val="0"/>
                    <w:overflowPunct w:val="0"/>
                    <w:autoSpaceDE w:val="0"/>
                    <w:autoSpaceDN w:val="0"/>
                    <w:adjustRightInd w:val="0"/>
                    <w:spacing w:before="1" w:after="0" w:line="233" w:lineRule="exact"/>
                    <w:ind w:left="91"/>
                    <w:rPr>
                      <w:rFonts w:ascii="Arial" w:hAnsi="Arial" w:cs="Arial"/>
                      <w:sz w:val="16"/>
                      <w:szCs w:val="16"/>
                    </w:rPr>
                  </w:pPr>
                  <w:r w:rsidRPr="000E7FD6">
                    <w:rPr>
                      <w:rFonts w:ascii="Arial" w:hAnsi="Arial" w:cs="Arial"/>
                      <w:sz w:val="16"/>
                      <w:szCs w:val="16"/>
                    </w:rPr>
                    <w:t>(0.3 mL dose)</w:t>
                  </w:r>
                </w:p>
              </w:tc>
            </w:tr>
            <w:tr w:rsidR="00280CF5" w:rsidRPr="000E7FD6" w14:paraId="1E5655FA" w14:textId="77777777" w:rsidTr="00DA0556">
              <w:trPr>
                <w:trHeight w:val="251"/>
              </w:trPr>
              <w:tc>
                <w:tcPr>
                  <w:tcW w:w="1249" w:type="dxa"/>
                  <w:tcBorders>
                    <w:top w:val="single" w:sz="4" w:space="0" w:color="000000"/>
                    <w:left w:val="single" w:sz="4" w:space="0" w:color="000000"/>
                    <w:bottom w:val="single" w:sz="4" w:space="0" w:color="000000"/>
                    <w:right w:val="single" w:sz="4" w:space="0" w:color="000000"/>
                  </w:tcBorders>
                </w:tcPr>
                <w:p w14:paraId="2145F5C8" w14:textId="77777777" w:rsidR="00280CF5" w:rsidRPr="000E7FD6" w:rsidRDefault="00280CF5" w:rsidP="00280CF5">
                  <w:pPr>
                    <w:kinsoku w:val="0"/>
                    <w:overflowPunct w:val="0"/>
                    <w:autoSpaceDE w:val="0"/>
                    <w:autoSpaceDN w:val="0"/>
                    <w:adjustRightInd w:val="0"/>
                    <w:spacing w:after="0" w:line="232" w:lineRule="exact"/>
                    <w:ind w:left="50"/>
                    <w:rPr>
                      <w:rFonts w:ascii="Arial" w:hAnsi="Arial" w:cs="Arial"/>
                      <w:b/>
                      <w:bCs/>
                      <w:sz w:val="16"/>
                      <w:szCs w:val="16"/>
                    </w:rPr>
                  </w:pPr>
                  <w:r w:rsidRPr="000E7FD6">
                    <w:rPr>
                      <w:rFonts w:ascii="Arial" w:hAnsi="Arial" w:cs="Arial"/>
                      <w:b/>
                      <w:bCs/>
                      <w:sz w:val="16"/>
                      <w:szCs w:val="16"/>
                    </w:rPr>
                    <w:t>Fill volume</w:t>
                  </w:r>
                </w:p>
              </w:tc>
              <w:tc>
                <w:tcPr>
                  <w:tcW w:w="865" w:type="dxa"/>
                  <w:tcBorders>
                    <w:top w:val="single" w:sz="4" w:space="0" w:color="000000"/>
                    <w:left w:val="single" w:sz="4" w:space="0" w:color="000000"/>
                    <w:bottom w:val="single" w:sz="4" w:space="0" w:color="000000"/>
                    <w:right w:val="single" w:sz="4" w:space="0" w:color="000000"/>
                  </w:tcBorders>
                </w:tcPr>
                <w:p w14:paraId="13F2CA95" w14:textId="77777777" w:rsidR="00280CF5" w:rsidRPr="000E7FD6" w:rsidRDefault="00280CF5" w:rsidP="00280CF5">
                  <w:pPr>
                    <w:kinsoku w:val="0"/>
                    <w:overflowPunct w:val="0"/>
                    <w:autoSpaceDE w:val="0"/>
                    <w:autoSpaceDN w:val="0"/>
                    <w:adjustRightInd w:val="0"/>
                    <w:spacing w:after="0" w:line="232" w:lineRule="exact"/>
                    <w:ind w:left="10"/>
                    <w:jc w:val="center"/>
                    <w:rPr>
                      <w:rFonts w:ascii="Arial" w:hAnsi="Arial" w:cs="Arial"/>
                      <w:sz w:val="16"/>
                      <w:szCs w:val="16"/>
                    </w:rPr>
                  </w:pPr>
                  <w:r w:rsidRPr="000E7FD6">
                    <w:rPr>
                      <w:rFonts w:ascii="Arial" w:hAnsi="Arial" w:cs="Arial"/>
                      <w:sz w:val="16"/>
                      <w:szCs w:val="16"/>
                    </w:rPr>
                    <w:t>0.48 mL</w:t>
                  </w:r>
                </w:p>
              </w:tc>
              <w:tc>
                <w:tcPr>
                  <w:tcW w:w="878" w:type="dxa"/>
                  <w:tcBorders>
                    <w:top w:val="single" w:sz="4" w:space="0" w:color="000000"/>
                    <w:left w:val="single" w:sz="4" w:space="0" w:color="000000"/>
                    <w:bottom w:val="single" w:sz="4" w:space="0" w:color="000000"/>
                    <w:right w:val="single" w:sz="4" w:space="0" w:color="000000"/>
                  </w:tcBorders>
                </w:tcPr>
                <w:p w14:paraId="64527032" w14:textId="77777777" w:rsidR="00280CF5" w:rsidRPr="000E7FD6" w:rsidRDefault="00280CF5" w:rsidP="00280CF5">
                  <w:pPr>
                    <w:kinsoku w:val="0"/>
                    <w:overflowPunct w:val="0"/>
                    <w:autoSpaceDE w:val="0"/>
                    <w:autoSpaceDN w:val="0"/>
                    <w:adjustRightInd w:val="0"/>
                    <w:spacing w:after="0" w:line="232" w:lineRule="exact"/>
                    <w:ind w:left="119"/>
                    <w:jc w:val="center"/>
                    <w:rPr>
                      <w:rFonts w:ascii="Arial" w:hAnsi="Arial" w:cs="Arial"/>
                      <w:sz w:val="16"/>
                      <w:szCs w:val="16"/>
                    </w:rPr>
                  </w:pPr>
                  <w:r w:rsidRPr="000E7FD6">
                    <w:rPr>
                      <w:rFonts w:ascii="Arial" w:hAnsi="Arial" w:cs="Arial"/>
                      <w:sz w:val="16"/>
                      <w:szCs w:val="16"/>
                    </w:rPr>
                    <w:t>2.25 mL</w:t>
                  </w:r>
                </w:p>
              </w:tc>
              <w:tc>
                <w:tcPr>
                  <w:tcW w:w="981" w:type="dxa"/>
                  <w:tcBorders>
                    <w:top w:val="single" w:sz="4" w:space="0" w:color="000000"/>
                    <w:left w:val="single" w:sz="4" w:space="0" w:color="000000"/>
                    <w:bottom w:val="single" w:sz="4" w:space="0" w:color="000000"/>
                    <w:right w:val="single" w:sz="4" w:space="0" w:color="000000"/>
                  </w:tcBorders>
                </w:tcPr>
                <w:p w14:paraId="49A72599" w14:textId="77777777" w:rsidR="00280CF5" w:rsidRPr="000E7FD6" w:rsidRDefault="00280CF5" w:rsidP="00280CF5">
                  <w:pPr>
                    <w:kinsoku w:val="0"/>
                    <w:overflowPunct w:val="0"/>
                    <w:autoSpaceDE w:val="0"/>
                    <w:autoSpaceDN w:val="0"/>
                    <w:adjustRightInd w:val="0"/>
                    <w:spacing w:after="0" w:line="232" w:lineRule="exact"/>
                    <w:jc w:val="center"/>
                    <w:rPr>
                      <w:rFonts w:ascii="Arial" w:hAnsi="Arial" w:cs="Arial"/>
                      <w:sz w:val="16"/>
                      <w:szCs w:val="16"/>
                    </w:rPr>
                  </w:pPr>
                  <w:r w:rsidRPr="000E7FD6">
                    <w:rPr>
                      <w:rFonts w:ascii="Arial" w:hAnsi="Arial" w:cs="Arial"/>
                      <w:sz w:val="16"/>
                      <w:szCs w:val="16"/>
                    </w:rPr>
                    <w:t>1.3 mL</w:t>
                  </w:r>
                </w:p>
              </w:tc>
              <w:tc>
                <w:tcPr>
                  <w:tcW w:w="679" w:type="dxa"/>
                  <w:tcBorders>
                    <w:top w:val="single" w:sz="4" w:space="0" w:color="000000"/>
                    <w:left w:val="single" w:sz="4" w:space="0" w:color="000000"/>
                    <w:bottom w:val="single" w:sz="4" w:space="0" w:color="000000"/>
                    <w:right w:val="single" w:sz="4" w:space="0" w:color="000000"/>
                  </w:tcBorders>
                </w:tcPr>
                <w:p w14:paraId="2C5A4CF4" w14:textId="77777777" w:rsidR="00280CF5" w:rsidRPr="000E7FD6" w:rsidRDefault="00280CF5" w:rsidP="00280CF5">
                  <w:pPr>
                    <w:kinsoku w:val="0"/>
                    <w:overflowPunct w:val="0"/>
                    <w:autoSpaceDE w:val="0"/>
                    <w:autoSpaceDN w:val="0"/>
                    <w:adjustRightInd w:val="0"/>
                    <w:spacing w:after="0" w:line="232" w:lineRule="exact"/>
                    <w:ind w:left="50"/>
                    <w:jc w:val="center"/>
                    <w:rPr>
                      <w:rFonts w:ascii="Arial" w:hAnsi="Arial" w:cs="Arial"/>
                      <w:sz w:val="16"/>
                      <w:szCs w:val="16"/>
                    </w:rPr>
                  </w:pPr>
                  <w:r w:rsidRPr="000E7FD6">
                    <w:rPr>
                      <w:rFonts w:ascii="Arial" w:hAnsi="Arial" w:cs="Arial"/>
                      <w:sz w:val="16"/>
                      <w:szCs w:val="16"/>
                    </w:rPr>
                    <w:t>0.48 mL</w:t>
                  </w:r>
                </w:p>
              </w:tc>
              <w:tc>
                <w:tcPr>
                  <w:tcW w:w="492" w:type="dxa"/>
                  <w:tcBorders>
                    <w:top w:val="single" w:sz="4" w:space="0" w:color="000000"/>
                    <w:left w:val="single" w:sz="4" w:space="0" w:color="000000"/>
                    <w:bottom w:val="single" w:sz="4" w:space="0" w:color="000000"/>
                    <w:right w:val="single" w:sz="4" w:space="0" w:color="000000"/>
                  </w:tcBorders>
                </w:tcPr>
                <w:p w14:paraId="1F46F579" w14:textId="77777777" w:rsidR="00280CF5" w:rsidRPr="000E7FD6" w:rsidRDefault="00280CF5" w:rsidP="00280CF5">
                  <w:pPr>
                    <w:kinsoku w:val="0"/>
                    <w:overflowPunct w:val="0"/>
                    <w:autoSpaceDE w:val="0"/>
                    <w:autoSpaceDN w:val="0"/>
                    <w:adjustRightInd w:val="0"/>
                    <w:spacing w:after="0" w:line="232" w:lineRule="exact"/>
                    <w:ind w:left="51"/>
                    <w:jc w:val="center"/>
                    <w:rPr>
                      <w:rFonts w:ascii="Arial" w:hAnsi="Arial" w:cs="Arial"/>
                      <w:sz w:val="16"/>
                      <w:szCs w:val="16"/>
                    </w:rPr>
                  </w:pPr>
                  <w:r w:rsidRPr="000E7FD6">
                    <w:rPr>
                      <w:rFonts w:ascii="Arial" w:hAnsi="Arial" w:cs="Arial"/>
                      <w:sz w:val="16"/>
                      <w:szCs w:val="16"/>
                    </w:rPr>
                    <w:t>2.25 mL</w:t>
                  </w:r>
                </w:p>
              </w:tc>
              <w:tc>
                <w:tcPr>
                  <w:tcW w:w="963" w:type="dxa"/>
                  <w:tcBorders>
                    <w:top w:val="single" w:sz="4" w:space="0" w:color="000000"/>
                    <w:left w:val="single" w:sz="4" w:space="0" w:color="000000"/>
                    <w:bottom w:val="single" w:sz="4" w:space="0" w:color="000000"/>
                    <w:right w:val="single" w:sz="4" w:space="0" w:color="000000"/>
                  </w:tcBorders>
                </w:tcPr>
                <w:p w14:paraId="0043EBB7" w14:textId="77777777" w:rsidR="00280CF5" w:rsidRPr="000E7FD6" w:rsidRDefault="00280CF5" w:rsidP="00280CF5">
                  <w:pPr>
                    <w:kinsoku w:val="0"/>
                    <w:overflowPunct w:val="0"/>
                    <w:autoSpaceDE w:val="0"/>
                    <w:autoSpaceDN w:val="0"/>
                    <w:adjustRightInd w:val="0"/>
                    <w:spacing w:after="0" w:line="232" w:lineRule="exact"/>
                    <w:ind w:left="388"/>
                    <w:jc w:val="center"/>
                    <w:rPr>
                      <w:rFonts w:ascii="Arial" w:hAnsi="Arial" w:cs="Arial"/>
                      <w:sz w:val="16"/>
                      <w:szCs w:val="16"/>
                    </w:rPr>
                  </w:pPr>
                  <w:r w:rsidRPr="000E7FD6">
                    <w:rPr>
                      <w:rFonts w:ascii="Arial" w:hAnsi="Arial" w:cs="Arial"/>
                      <w:sz w:val="16"/>
                      <w:szCs w:val="16"/>
                    </w:rPr>
                    <w:t>0.4 mL</w:t>
                  </w:r>
                </w:p>
              </w:tc>
              <w:tc>
                <w:tcPr>
                  <w:tcW w:w="978" w:type="dxa"/>
                  <w:tcBorders>
                    <w:top w:val="single" w:sz="4" w:space="0" w:color="000000"/>
                    <w:left w:val="single" w:sz="4" w:space="0" w:color="000000"/>
                    <w:bottom w:val="single" w:sz="4" w:space="0" w:color="000000"/>
                    <w:right w:val="single" w:sz="4" w:space="0" w:color="000000"/>
                  </w:tcBorders>
                </w:tcPr>
                <w:p w14:paraId="48B68D44" w14:textId="77777777" w:rsidR="00280CF5" w:rsidRPr="000E7FD6" w:rsidRDefault="00280CF5" w:rsidP="00280CF5">
                  <w:pPr>
                    <w:kinsoku w:val="0"/>
                    <w:overflowPunct w:val="0"/>
                    <w:autoSpaceDE w:val="0"/>
                    <w:autoSpaceDN w:val="0"/>
                    <w:adjustRightInd w:val="0"/>
                    <w:spacing w:after="0" w:line="232" w:lineRule="exact"/>
                    <w:ind w:left="338"/>
                    <w:jc w:val="center"/>
                    <w:rPr>
                      <w:rFonts w:ascii="Arial" w:hAnsi="Arial" w:cs="Arial"/>
                      <w:sz w:val="16"/>
                      <w:szCs w:val="16"/>
                    </w:rPr>
                  </w:pPr>
                  <w:r w:rsidRPr="000E7FD6">
                    <w:rPr>
                      <w:rFonts w:ascii="Arial" w:hAnsi="Arial" w:cs="Arial"/>
                      <w:sz w:val="16"/>
                      <w:szCs w:val="16"/>
                    </w:rPr>
                    <w:t>0.48 mL</w:t>
                  </w:r>
                </w:p>
              </w:tc>
            </w:tr>
            <w:tr w:rsidR="00280CF5" w:rsidRPr="000E7FD6" w14:paraId="25351AA2" w14:textId="77777777" w:rsidTr="00DA0556">
              <w:trPr>
                <w:trHeight w:val="503"/>
              </w:trPr>
              <w:tc>
                <w:tcPr>
                  <w:tcW w:w="1249" w:type="dxa"/>
                  <w:tcBorders>
                    <w:top w:val="single" w:sz="4" w:space="0" w:color="000000"/>
                    <w:left w:val="single" w:sz="4" w:space="0" w:color="000000"/>
                    <w:bottom w:val="single" w:sz="4" w:space="0" w:color="000000"/>
                    <w:right w:val="single" w:sz="4" w:space="0" w:color="000000"/>
                  </w:tcBorders>
                </w:tcPr>
                <w:p w14:paraId="712D2BBD" w14:textId="77777777" w:rsidR="00280CF5" w:rsidRPr="000E7FD6" w:rsidRDefault="00280CF5" w:rsidP="00280CF5">
                  <w:pPr>
                    <w:kinsoku w:val="0"/>
                    <w:overflowPunct w:val="0"/>
                    <w:autoSpaceDE w:val="0"/>
                    <w:autoSpaceDN w:val="0"/>
                    <w:adjustRightInd w:val="0"/>
                    <w:spacing w:after="0" w:line="252" w:lineRule="exact"/>
                    <w:ind w:left="50"/>
                    <w:rPr>
                      <w:rFonts w:ascii="Arial" w:hAnsi="Arial" w:cs="Arial"/>
                      <w:b/>
                      <w:bCs/>
                      <w:spacing w:val="-4"/>
                      <w:sz w:val="16"/>
                      <w:szCs w:val="16"/>
                    </w:rPr>
                  </w:pPr>
                  <w:r w:rsidRPr="000E7FD6">
                    <w:rPr>
                      <w:rFonts w:ascii="Arial" w:hAnsi="Arial" w:cs="Arial"/>
                      <w:b/>
                      <w:bCs/>
                      <w:sz w:val="16"/>
                      <w:szCs w:val="16"/>
                    </w:rPr>
                    <w:t>No.</w:t>
                  </w:r>
                  <w:r w:rsidRPr="000E7FD6">
                    <w:rPr>
                      <w:rFonts w:ascii="Arial" w:hAnsi="Arial" w:cs="Arial"/>
                      <w:b/>
                      <w:bCs/>
                      <w:spacing w:val="-13"/>
                      <w:sz w:val="16"/>
                      <w:szCs w:val="16"/>
                    </w:rPr>
                    <w:t xml:space="preserve"> </w:t>
                  </w:r>
                  <w:r w:rsidRPr="000E7FD6">
                    <w:rPr>
                      <w:rFonts w:ascii="Arial" w:hAnsi="Arial" w:cs="Arial"/>
                      <w:b/>
                      <w:bCs/>
                      <w:sz w:val="16"/>
                      <w:szCs w:val="16"/>
                    </w:rPr>
                    <w:t>of</w:t>
                  </w:r>
                  <w:r w:rsidRPr="000E7FD6">
                    <w:rPr>
                      <w:rFonts w:ascii="Arial" w:hAnsi="Arial" w:cs="Arial"/>
                      <w:b/>
                      <w:bCs/>
                      <w:spacing w:val="-13"/>
                      <w:sz w:val="16"/>
                      <w:szCs w:val="16"/>
                    </w:rPr>
                    <w:t xml:space="preserve"> </w:t>
                  </w:r>
                  <w:r w:rsidRPr="000E7FD6">
                    <w:rPr>
                      <w:rFonts w:ascii="Arial" w:hAnsi="Arial" w:cs="Arial"/>
                      <w:b/>
                      <w:bCs/>
                      <w:sz w:val="16"/>
                      <w:szCs w:val="16"/>
                    </w:rPr>
                    <w:t>doses</w:t>
                  </w:r>
                  <w:r w:rsidRPr="000E7FD6">
                    <w:rPr>
                      <w:rFonts w:ascii="Arial" w:hAnsi="Arial" w:cs="Arial"/>
                      <w:b/>
                      <w:bCs/>
                      <w:spacing w:val="-13"/>
                      <w:sz w:val="16"/>
                      <w:szCs w:val="16"/>
                    </w:rPr>
                    <w:t xml:space="preserve"> </w:t>
                  </w:r>
                  <w:r w:rsidRPr="000E7FD6">
                    <w:rPr>
                      <w:rFonts w:ascii="Arial" w:hAnsi="Arial" w:cs="Arial"/>
                      <w:b/>
                      <w:bCs/>
                      <w:sz w:val="16"/>
                      <w:szCs w:val="16"/>
                    </w:rPr>
                    <w:t xml:space="preserve">per </w:t>
                  </w:r>
                  <w:r w:rsidRPr="000E7FD6">
                    <w:rPr>
                      <w:rFonts w:ascii="Arial" w:hAnsi="Arial" w:cs="Arial"/>
                      <w:b/>
                      <w:bCs/>
                      <w:spacing w:val="-4"/>
                      <w:sz w:val="16"/>
                      <w:szCs w:val="16"/>
                    </w:rPr>
                    <w:t>vial</w:t>
                  </w:r>
                </w:p>
              </w:tc>
              <w:tc>
                <w:tcPr>
                  <w:tcW w:w="865" w:type="dxa"/>
                  <w:tcBorders>
                    <w:top w:val="single" w:sz="4" w:space="0" w:color="000000"/>
                    <w:left w:val="single" w:sz="4" w:space="0" w:color="000000"/>
                    <w:bottom w:val="single" w:sz="4" w:space="0" w:color="000000"/>
                    <w:right w:val="single" w:sz="4" w:space="0" w:color="000000"/>
                  </w:tcBorders>
                </w:tcPr>
                <w:p w14:paraId="6CF3DC48" w14:textId="77777777" w:rsidR="00280CF5" w:rsidRPr="000E7FD6" w:rsidRDefault="00280CF5" w:rsidP="00280CF5">
                  <w:pPr>
                    <w:kinsoku w:val="0"/>
                    <w:overflowPunct w:val="0"/>
                    <w:autoSpaceDE w:val="0"/>
                    <w:autoSpaceDN w:val="0"/>
                    <w:adjustRightInd w:val="0"/>
                    <w:spacing w:before="123" w:after="0" w:line="240" w:lineRule="auto"/>
                    <w:ind w:left="7" w:right="3"/>
                    <w:jc w:val="center"/>
                    <w:rPr>
                      <w:rFonts w:ascii="Arial" w:hAnsi="Arial" w:cs="Arial"/>
                      <w:spacing w:val="-10"/>
                      <w:sz w:val="16"/>
                      <w:szCs w:val="16"/>
                    </w:rPr>
                  </w:pPr>
                  <w:r w:rsidRPr="000E7FD6">
                    <w:rPr>
                      <w:rFonts w:ascii="Arial" w:hAnsi="Arial" w:cs="Arial"/>
                      <w:spacing w:val="-10"/>
                      <w:sz w:val="16"/>
                      <w:szCs w:val="16"/>
                    </w:rPr>
                    <w:t>1</w:t>
                  </w:r>
                </w:p>
              </w:tc>
              <w:tc>
                <w:tcPr>
                  <w:tcW w:w="878" w:type="dxa"/>
                  <w:tcBorders>
                    <w:top w:val="single" w:sz="4" w:space="0" w:color="000000"/>
                    <w:left w:val="single" w:sz="4" w:space="0" w:color="000000"/>
                    <w:bottom w:val="single" w:sz="4" w:space="0" w:color="000000"/>
                    <w:right w:val="single" w:sz="4" w:space="0" w:color="000000"/>
                  </w:tcBorders>
                </w:tcPr>
                <w:p w14:paraId="6256A247" w14:textId="77777777" w:rsidR="00280CF5" w:rsidRPr="000E7FD6" w:rsidRDefault="00280CF5" w:rsidP="00280CF5">
                  <w:pPr>
                    <w:kinsoku w:val="0"/>
                    <w:overflowPunct w:val="0"/>
                    <w:autoSpaceDE w:val="0"/>
                    <w:autoSpaceDN w:val="0"/>
                    <w:adjustRightInd w:val="0"/>
                    <w:spacing w:before="123" w:after="0" w:line="240" w:lineRule="auto"/>
                    <w:ind w:left="6" w:right="4"/>
                    <w:jc w:val="center"/>
                    <w:rPr>
                      <w:rFonts w:ascii="Arial" w:hAnsi="Arial" w:cs="Arial"/>
                      <w:spacing w:val="-10"/>
                      <w:sz w:val="16"/>
                      <w:szCs w:val="16"/>
                    </w:rPr>
                  </w:pPr>
                  <w:r w:rsidRPr="000E7FD6">
                    <w:rPr>
                      <w:rFonts w:ascii="Arial" w:hAnsi="Arial" w:cs="Arial"/>
                      <w:spacing w:val="-10"/>
                      <w:sz w:val="16"/>
                      <w:szCs w:val="16"/>
                    </w:rPr>
                    <w:t>6</w:t>
                  </w:r>
                </w:p>
              </w:tc>
              <w:tc>
                <w:tcPr>
                  <w:tcW w:w="981" w:type="dxa"/>
                  <w:tcBorders>
                    <w:top w:val="single" w:sz="4" w:space="0" w:color="000000"/>
                    <w:left w:val="single" w:sz="4" w:space="0" w:color="000000"/>
                    <w:bottom w:val="single" w:sz="4" w:space="0" w:color="000000"/>
                    <w:right w:val="single" w:sz="4" w:space="0" w:color="000000"/>
                  </w:tcBorders>
                </w:tcPr>
                <w:p w14:paraId="309C5BD4" w14:textId="77777777" w:rsidR="00280CF5" w:rsidRPr="000E7FD6" w:rsidRDefault="00280CF5" w:rsidP="00280CF5">
                  <w:pPr>
                    <w:kinsoku w:val="0"/>
                    <w:overflowPunct w:val="0"/>
                    <w:autoSpaceDE w:val="0"/>
                    <w:autoSpaceDN w:val="0"/>
                    <w:adjustRightInd w:val="0"/>
                    <w:spacing w:before="123" w:after="0" w:line="240" w:lineRule="auto"/>
                    <w:ind w:left="11" w:right="1"/>
                    <w:jc w:val="center"/>
                    <w:rPr>
                      <w:rFonts w:ascii="Arial" w:hAnsi="Arial" w:cs="Arial"/>
                      <w:spacing w:val="-6"/>
                      <w:sz w:val="16"/>
                      <w:szCs w:val="16"/>
                    </w:rPr>
                  </w:pPr>
                  <w:r w:rsidRPr="000E7FD6">
                    <w:rPr>
                      <w:rFonts w:ascii="Arial" w:hAnsi="Arial" w:cs="Arial"/>
                      <w:spacing w:val="-6"/>
                      <w:sz w:val="16"/>
                      <w:szCs w:val="16"/>
                    </w:rPr>
                    <w:t>10</w:t>
                  </w:r>
                </w:p>
              </w:tc>
              <w:tc>
                <w:tcPr>
                  <w:tcW w:w="679" w:type="dxa"/>
                  <w:tcBorders>
                    <w:top w:val="single" w:sz="4" w:space="0" w:color="000000"/>
                    <w:left w:val="single" w:sz="4" w:space="0" w:color="000000"/>
                    <w:bottom w:val="single" w:sz="4" w:space="0" w:color="000000"/>
                    <w:right w:val="single" w:sz="4" w:space="0" w:color="000000"/>
                  </w:tcBorders>
                </w:tcPr>
                <w:p w14:paraId="797BAC47" w14:textId="77777777" w:rsidR="00280CF5" w:rsidRPr="000E7FD6" w:rsidRDefault="00280CF5" w:rsidP="00280CF5">
                  <w:pPr>
                    <w:kinsoku w:val="0"/>
                    <w:overflowPunct w:val="0"/>
                    <w:autoSpaceDE w:val="0"/>
                    <w:autoSpaceDN w:val="0"/>
                    <w:adjustRightInd w:val="0"/>
                    <w:spacing w:before="123" w:after="0" w:line="240" w:lineRule="auto"/>
                    <w:ind w:left="11"/>
                    <w:jc w:val="center"/>
                    <w:rPr>
                      <w:rFonts w:ascii="Arial" w:hAnsi="Arial" w:cs="Arial"/>
                      <w:spacing w:val="-10"/>
                      <w:sz w:val="16"/>
                      <w:szCs w:val="16"/>
                    </w:rPr>
                  </w:pPr>
                  <w:r w:rsidRPr="000E7FD6">
                    <w:rPr>
                      <w:rFonts w:ascii="Arial" w:hAnsi="Arial" w:cs="Arial"/>
                      <w:spacing w:val="-10"/>
                      <w:sz w:val="16"/>
                      <w:szCs w:val="16"/>
                    </w:rPr>
                    <w:t>1</w:t>
                  </w:r>
                </w:p>
              </w:tc>
              <w:tc>
                <w:tcPr>
                  <w:tcW w:w="492" w:type="dxa"/>
                  <w:tcBorders>
                    <w:top w:val="single" w:sz="4" w:space="0" w:color="000000"/>
                    <w:left w:val="single" w:sz="4" w:space="0" w:color="000000"/>
                    <w:bottom w:val="single" w:sz="4" w:space="0" w:color="000000"/>
                    <w:right w:val="single" w:sz="4" w:space="0" w:color="000000"/>
                  </w:tcBorders>
                </w:tcPr>
                <w:p w14:paraId="188D1EF3" w14:textId="77777777" w:rsidR="00280CF5" w:rsidRPr="000E7FD6" w:rsidRDefault="00280CF5" w:rsidP="00280CF5">
                  <w:pPr>
                    <w:kinsoku w:val="0"/>
                    <w:overflowPunct w:val="0"/>
                    <w:autoSpaceDE w:val="0"/>
                    <w:autoSpaceDN w:val="0"/>
                    <w:adjustRightInd w:val="0"/>
                    <w:spacing w:before="123" w:after="0" w:line="240" w:lineRule="auto"/>
                    <w:ind w:left="10"/>
                    <w:jc w:val="center"/>
                    <w:rPr>
                      <w:rFonts w:ascii="Arial" w:hAnsi="Arial" w:cs="Arial"/>
                      <w:spacing w:val="-10"/>
                      <w:sz w:val="16"/>
                      <w:szCs w:val="16"/>
                    </w:rPr>
                  </w:pPr>
                  <w:r w:rsidRPr="000E7FD6">
                    <w:rPr>
                      <w:rFonts w:ascii="Arial" w:hAnsi="Arial" w:cs="Arial"/>
                      <w:spacing w:val="-10"/>
                      <w:sz w:val="16"/>
                      <w:szCs w:val="16"/>
                    </w:rPr>
                    <w:t>6</w:t>
                  </w:r>
                </w:p>
              </w:tc>
              <w:tc>
                <w:tcPr>
                  <w:tcW w:w="963" w:type="dxa"/>
                  <w:tcBorders>
                    <w:top w:val="single" w:sz="4" w:space="0" w:color="000000"/>
                    <w:left w:val="single" w:sz="4" w:space="0" w:color="000000"/>
                    <w:bottom w:val="single" w:sz="4" w:space="0" w:color="000000"/>
                    <w:right w:val="single" w:sz="4" w:space="0" w:color="000000"/>
                  </w:tcBorders>
                </w:tcPr>
                <w:p w14:paraId="78E90D31" w14:textId="77777777" w:rsidR="00280CF5" w:rsidRPr="000E7FD6" w:rsidRDefault="00280CF5" w:rsidP="00280CF5">
                  <w:pPr>
                    <w:kinsoku w:val="0"/>
                    <w:overflowPunct w:val="0"/>
                    <w:autoSpaceDE w:val="0"/>
                    <w:autoSpaceDN w:val="0"/>
                    <w:adjustRightInd w:val="0"/>
                    <w:spacing w:before="123" w:after="0" w:line="240" w:lineRule="auto"/>
                    <w:ind w:left="11" w:right="2"/>
                    <w:jc w:val="center"/>
                    <w:rPr>
                      <w:rFonts w:ascii="Arial" w:hAnsi="Arial" w:cs="Arial"/>
                      <w:spacing w:val="-6"/>
                      <w:sz w:val="16"/>
                      <w:szCs w:val="16"/>
                    </w:rPr>
                  </w:pPr>
                  <w:r w:rsidRPr="000E7FD6">
                    <w:rPr>
                      <w:rFonts w:ascii="Arial" w:hAnsi="Arial" w:cs="Arial"/>
                      <w:spacing w:val="-6"/>
                      <w:sz w:val="16"/>
                      <w:szCs w:val="16"/>
                    </w:rPr>
                    <w:t>10</w:t>
                  </w:r>
                </w:p>
              </w:tc>
              <w:tc>
                <w:tcPr>
                  <w:tcW w:w="978" w:type="dxa"/>
                  <w:tcBorders>
                    <w:top w:val="single" w:sz="4" w:space="0" w:color="000000"/>
                    <w:left w:val="single" w:sz="4" w:space="0" w:color="000000"/>
                    <w:bottom w:val="single" w:sz="4" w:space="0" w:color="000000"/>
                    <w:right w:val="single" w:sz="4" w:space="0" w:color="000000"/>
                  </w:tcBorders>
                </w:tcPr>
                <w:p w14:paraId="1FAC047E" w14:textId="77777777" w:rsidR="00280CF5" w:rsidRPr="000E7FD6" w:rsidRDefault="00280CF5" w:rsidP="00280CF5">
                  <w:pPr>
                    <w:kinsoku w:val="0"/>
                    <w:overflowPunct w:val="0"/>
                    <w:autoSpaceDE w:val="0"/>
                    <w:autoSpaceDN w:val="0"/>
                    <w:adjustRightInd w:val="0"/>
                    <w:spacing w:before="123" w:after="0" w:line="240" w:lineRule="auto"/>
                    <w:ind w:left="16" w:right="3"/>
                    <w:jc w:val="center"/>
                    <w:rPr>
                      <w:rFonts w:ascii="Arial" w:hAnsi="Arial" w:cs="Arial"/>
                      <w:spacing w:val="-10"/>
                      <w:sz w:val="16"/>
                      <w:szCs w:val="16"/>
                    </w:rPr>
                  </w:pPr>
                  <w:r w:rsidRPr="000E7FD6">
                    <w:rPr>
                      <w:rFonts w:ascii="Arial" w:hAnsi="Arial" w:cs="Arial"/>
                      <w:spacing w:val="-10"/>
                      <w:sz w:val="16"/>
                      <w:szCs w:val="16"/>
                    </w:rPr>
                    <w:t>3</w:t>
                  </w:r>
                </w:p>
              </w:tc>
            </w:tr>
            <w:tr w:rsidR="00280CF5" w:rsidRPr="000E7FD6" w14:paraId="26A85C9A" w14:textId="77777777" w:rsidTr="00DA0556">
              <w:trPr>
                <w:trHeight w:val="508"/>
              </w:trPr>
              <w:tc>
                <w:tcPr>
                  <w:tcW w:w="1249" w:type="dxa"/>
                  <w:tcBorders>
                    <w:top w:val="single" w:sz="4" w:space="0" w:color="000000"/>
                    <w:left w:val="single" w:sz="4" w:space="0" w:color="000000"/>
                    <w:bottom w:val="single" w:sz="4" w:space="0" w:color="000000"/>
                    <w:right w:val="single" w:sz="4" w:space="0" w:color="000000"/>
                  </w:tcBorders>
                </w:tcPr>
                <w:p w14:paraId="014B8FEC" w14:textId="77777777" w:rsidR="00280CF5" w:rsidRPr="000E7FD6" w:rsidRDefault="00280CF5" w:rsidP="00280CF5">
                  <w:pPr>
                    <w:kinsoku w:val="0"/>
                    <w:overflowPunct w:val="0"/>
                    <w:autoSpaceDE w:val="0"/>
                    <w:autoSpaceDN w:val="0"/>
                    <w:adjustRightInd w:val="0"/>
                    <w:spacing w:before="125" w:after="0" w:line="240" w:lineRule="auto"/>
                    <w:ind w:left="50"/>
                    <w:rPr>
                      <w:rFonts w:ascii="Arial" w:hAnsi="Arial" w:cs="Arial"/>
                      <w:b/>
                      <w:bCs/>
                      <w:spacing w:val="-2"/>
                      <w:sz w:val="16"/>
                      <w:szCs w:val="16"/>
                    </w:rPr>
                  </w:pPr>
                  <w:r w:rsidRPr="000E7FD6">
                    <w:rPr>
                      <w:rFonts w:ascii="Arial" w:hAnsi="Arial" w:cs="Arial"/>
                      <w:b/>
                      <w:bCs/>
                      <w:spacing w:val="-2"/>
                      <w:sz w:val="16"/>
                      <w:szCs w:val="16"/>
                    </w:rPr>
                    <w:t>Dilution</w:t>
                  </w:r>
                </w:p>
              </w:tc>
              <w:tc>
                <w:tcPr>
                  <w:tcW w:w="1743" w:type="dxa"/>
                  <w:gridSpan w:val="2"/>
                  <w:tcBorders>
                    <w:top w:val="single" w:sz="4" w:space="0" w:color="000000"/>
                    <w:left w:val="single" w:sz="4" w:space="0" w:color="000000"/>
                    <w:bottom w:val="single" w:sz="4" w:space="0" w:color="000000"/>
                    <w:right w:val="single" w:sz="4" w:space="0" w:color="000000"/>
                  </w:tcBorders>
                </w:tcPr>
                <w:p w14:paraId="4ADD06C2" w14:textId="77777777" w:rsidR="00280CF5" w:rsidRPr="000E7FD6" w:rsidRDefault="00280CF5" w:rsidP="00280CF5">
                  <w:pPr>
                    <w:kinsoku w:val="0"/>
                    <w:overflowPunct w:val="0"/>
                    <w:autoSpaceDE w:val="0"/>
                    <w:autoSpaceDN w:val="0"/>
                    <w:adjustRightInd w:val="0"/>
                    <w:spacing w:before="125" w:after="0" w:line="240" w:lineRule="auto"/>
                    <w:ind w:left="175"/>
                    <w:jc w:val="center"/>
                    <w:rPr>
                      <w:rFonts w:ascii="Arial" w:hAnsi="Arial" w:cs="Arial"/>
                      <w:sz w:val="16"/>
                      <w:szCs w:val="16"/>
                    </w:rPr>
                  </w:pPr>
                  <w:r w:rsidRPr="000E7FD6">
                    <w:rPr>
                      <w:rFonts w:ascii="Arial" w:hAnsi="Arial" w:cs="Arial"/>
                      <w:sz w:val="16"/>
                      <w:szCs w:val="16"/>
                    </w:rPr>
                    <w:t>Do not dilute</w:t>
                  </w:r>
                </w:p>
              </w:tc>
              <w:tc>
                <w:tcPr>
                  <w:tcW w:w="981" w:type="dxa"/>
                  <w:tcBorders>
                    <w:top w:val="single" w:sz="4" w:space="0" w:color="000000"/>
                    <w:left w:val="single" w:sz="4" w:space="0" w:color="000000"/>
                    <w:bottom w:val="single" w:sz="4" w:space="0" w:color="000000"/>
                    <w:right w:val="single" w:sz="4" w:space="0" w:color="000000"/>
                  </w:tcBorders>
                </w:tcPr>
                <w:p w14:paraId="1C5918E5" w14:textId="77777777" w:rsidR="00280CF5" w:rsidRPr="000E7FD6" w:rsidRDefault="00280CF5" w:rsidP="00280CF5">
                  <w:pPr>
                    <w:kinsoku w:val="0"/>
                    <w:overflowPunct w:val="0"/>
                    <w:autoSpaceDE w:val="0"/>
                    <w:autoSpaceDN w:val="0"/>
                    <w:adjustRightInd w:val="0"/>
                    <w:spacing w:after="0" w:line="252" w:lineRule="exact"/>
                    <w:ind w:left="144" w:hanging="51"/>
                    <w:jc w:val="center"/>
                    <w:rPr>
                      <w:rFonts w:ascii="Arial" w:hAnsi="Arial" w:cs="Arial"/>
                      <w:spacing w:val="-2"/>
                      <w:sz w:val="16"/>
                      <w:szCs w:val="16"/>
                    </w:rPr>
                  </w:pPr>
                  <w:r w:rsidRPr="000E7FD6">
                    <w:rPr>
                      <w:rFonts w:ascii="Arial" w:hAnsi="Arial" w:cs="Arial"/>
                      <w:spacing w:val="-2"/>
                      <w:sz w:val="16"/>
                      <w:szCs w:val="16"/>
                    </w:rPr>
                    <w:t>Requires dilution</w:t>
                  </w:r>
                </w:p>
              </w:tc>
              <w:tc>
                <w:tcPr>
                  <w:tcW w:w="1171" w:type="dxa"/>
                  <w:gridSpan w:val="2"/>
                  <w:tcBorders>
                    <w:top w:val="single" w:sz="4" w:space="0" w:color="000000"/>
                    <w:left w:val="single" w:sz="4" w:space="0" w:color="000000"/>
                    <w:bottom w:val="single" w:sz="4" w:space="0" w:color="000000"/>
                    <w:right w:val="single" w:sz="4" w:space="0" w:color="000000"/>
                  </w:tcBorders>
                </w:tcPr>
                <w:p w14:paraId="211CD505" w14:textId="77777777" w:rsidR="00280CF5" w:rsidRPr="000E7FD6" w:rsidRDefault="00280CF5" w:rsidP="00280CF5">
                  <w:pPr>
                    <w:kinsoku w:val="0"/>
                    <w:overflowPunct w:val="0"/>
                    <w:autoSpaceDE w:val="0"/>
                    <w:autoSpaceDN w:val="0"/>
                    <w:adjustRightInd w:val="0"/>
                    <w:spacing w:before="125" w:after="0" w:line="240" w:lineRule="auto"/>
                    <w:ind w:left="145"/>
                    <w:jc w:val="center"/>
                    <w:rPr>
                      <w:rFonts w:ascii="Arial" w:hAnsi="Arial" w:cs="Arial"/>
                      <w:sz w:val="16"/>
                      <w:szCs w:val="16"/>
                    </w:rPr>
                  </w:pPr>
                  <w:r w:rsidRPr="000E7FD6">
                    <w:rPr>
                      <w:rFonts w:ascii="Arial" w:hAnsi="Arial" w:cs="Arial"/>
                      <w:sz w:val="16"/>
                      <w:szCs w:val="16"/>
                    </w:rPr>
                    <w:t>Do not dilute</w:t>
                  </w:r>
                </w:p>
              </w:tc>
              <w:tc>
                <w:tcPr>
                  <w:tcW w:w="1941" w:type="dxa"/>
                  <w:gridSpan w:val="2"/>
                  <w:tcBorders>
                    <w:top w:val="single" w:sz="4" w:space="0" w:color="000000"/>
                    <w:left w:val="single" w:sz="4" w:space="0" w:color="000000"/>
                    <w:bottom w:val="single" w:sz="4" w:space="0" w:color="000000"/>
                    <w:right w:val="single" w:sz="4" w:space="0" w:color="000000"/>
                  </w:tcBorders>
                </w:tcPr>
                <w:p w14:paraId="6A24F3C3" w14:textId="77777777" w:rsidR="00280CF5" w:rsidRPr="000E7FD6" w:rsidRDefault="00280CF5" w:rsidP="00280CF5">
                  <w:pPr>
                    <w:kinsoku w:val="0"/>
                    <w:overflowPunct w:val="0"/>
                    <w:autoSpaceDE w:val="0"/>
                    <w:autoSpaceDN w:val="0"/>
                    <w:adjustRightInd w:val="0"/>
                    <w:spacing w:before="125" w:after="0" w:line="240" w:lineRule="auto"/>
                    <w:ind w:left="165"/>
                    <w:jc w:val="center"/>
                    <w:rPr>
                      <w:rFonts w:ascii="Arial" w:hAnsi="Arial" w:cs="Arial"/>
                      <w:sz w:val="16"/>
                      <w:szCs w:val="16"/>
                    </w:rPr>
                  </w:pPr>
                  <w:r w:rsidRPr="000E7FD6">
                    <w:rPr>
                      <w:rFonts w:ascii="Arial" w:hAnsi="Arial" w:cs="Arial"/>
                      <w:sz w:val="16"/>
                      <w:szCs w:val="16"/>
                    </w:rPr>
                    <w:t>Requires dilution</w:t>
                  </w:r>
                </w:p>
              </w:tc>
            </w:tr>
          </w:tbl>
          <w:p w14:paraId="5E5F83DB" w14:textId="6DCE5F98" w:rsidR="00280CF5" w:rsidRPr="00BD5DBD" w:rsidRDefault="00280CF5" w:rsidP="00280CF5">
            <w:pPr>
              <w:rPr>
                <w:szCs w:val="22"/>
              </w:rPr>
            </w:pPr>
          </w:p>
        </w:tc>
      </w:tr>
      <w:tr w:rsidR="00280CF5" w:rsidRPr="00BD5DBD" w14:paraId="176B6773" w14:textId="77777777" w:rsidTr="00886B0A">
        <w:tc>
          <w:tcPr>
            <w:tcW w:w="970" w:type="pct"/>
          </w:tcPr>
          <w:p w14:paraId="71846159" w14:textId="25088410" w:rsidR="00280CF5" w:rsidRPr="0089726F" w:rsidRDefault="00280CF5" w:rsidP="0089726F">
            <w:pPr>
              <w:rPr>
                <w:i/>
                <w:szCs w:val="22"/>
              </w:rPr>
            </w:pPr>
            <w:r w:rsidRPr="0089726F">
              <w:rPr>
                <w:i/>
                <w:szCs w:val="22"/>
              </w:rPr>
              <w:t>Containers and pack sizes:</w:t>
            </w:r>
          </w:p>
        </w:tc>
        <w:tc>
          <w:tcPr>
            <w:tcW w:w="4030" w:type="pct"/>
          </w:tcPr>
          <w:p w14:paraId="7A0015B8" w14:textId="4C18D6AB" w:rsidR="00280CF5" w:rsidRPr="000E7FD6" w:rsidRDefault="008D7761" w:rsidP="00280CF5">
            <w:pPr>
              <w:rPr>
                <w:szCs w:val="22"/>
              </w:rPr>
            </w:pPr>
            <w:r>
              <w:t>C</w:t>
            </w:r>
            <w:r w:rsidRPr="000E7FD6">
              <w:rPr>
                <w:szCs w:val="22"/>
              </w:rPr>
              <w:t>omirnaty</w:t>
            </w:r>
            <w:r w:rsidR="00280CF5" w:rsidRPr="000E7FD6">
              <w:rPr>
                <w:szCs w:val="22"/>
              </w:rPr>
              <w:t xml:space="preserve"> JN.1 Grey or Blue cap: Suspension for injection 2 mL clear vial (Type I glass) with a stopper (synthetic </w:t>
            </w:r>
            <w:proofErr w:type="spellStart"/>
            <w:r w:rsidR="00280CF5" w:rsidRPr="000E7FD6">
              <w:rPr>
                <w:szCs w:val="22"/>
              </w:rPr>
              <w:t>bromobutyl</w:t>
            </w:r>
            <w:proofErr w:type="spellEnd"/>
            <w:r w:rsidR="00280CF5" w:rsidRPr="000E7FD6">
              <w:rPr>
                <w:szCs w:val="22"/>
              </w:rPr>
              <w:t xml:space="preserve"> rubber) and a </w:t>
            </w:r>
            <w:proofErr w:type="gramStart"/>
            <w:r w:rsidR="00280CF5" w:rsidRPr="000E7FD6">
              <w:rPr>
                <w:szCs w:val="22"/>
              </w:rPr>
              <w:t xml:space="preserve">Grey or </w:t>
            </w:r>
            <w:r w:rsidR="00280CF5" w:rsidRPr="000E7FD6">
              <w:rPr>
                <w:szCs w:val="22"/>
              </w:rPr>
              <w:lastRenderedPageBreak/>
              <w:t>Blue</w:t>
            </w:r>
            <w:proofErr w:type="gramEnd"/>
            <w:r w:rsidR="00280CF5" w:rsidRPr="000E7FD6">
              <w:rPr>
                <w:szCs w:val="22"/>
              </w:rPr>
              <w:t xml:space="preserve"> flip-off plastic cap with aluminium seal. Each vial contains either 1 or 6 doses.</w:t>
            </w:r>
          </w:p>
          <w:p w14:paraId="704E3CA9" w14:textId="77777777" w:rsidR="00280CF5" w:rsidRPr="000E7FD6" w:rsidRDefault="00280CF5" w:rsidP="00FD013D">
            <w:pPr>
              <w:pStyle w:val="ListBullet"/>
            </w:pPr>
            <w:r w:rsidRPr="000E7FD6">
              <w:t>Light Grey or Light Blue cap: single dose vial</w:t>
            </w:r>
          </w:p>
          <w:p w14:paraId="047A1350" w14:textId="77777777" w:rsidR="00280CF5" w:rsidRPr="000E7FD6" w:rsidRDefault="00280CF5" w:rsidP="00FD013D">
            <w:pPr>
              <w:pStyle w:val="ListBullet"/>
            </w:pPr>
            <w:r w:rsidRPr="000E7FD6">
              <w:t>Dark Grey or Dark Blue cap: 6 dose multidose vial</w:t>
            </w:r>
          </w:p>
          <w:p w14:paraId="5A439789" w14:textId="6C329A76" w:rsidR="00280CF5" w:rsidRPr="00280CF5" w:rsidRDefault="008D7761" w:rsidP="00280CF5">
            <w:r>
              <w:t>Comirnaty</w:t>
            </w:r>
            <w:r w:rsidR="00280CF5" w:rsidRPr="00280CF5">
              <w:t xml:space="preserve"> JN.1 Orange or Maroon or Yellow cap: Concentrated Suspension for injection: 2 mL clear multidose vial (Type I glass) with a stopper (synthetic </w:t>
            </w:r>
            <w:proofErr w:type="spellStart"/>
            <w:r w:rsidR="00280CF5" w:rsidRPr="00280CF5">
              <w:t>bromobutyl</w:t>
            </w:r>
            <w:proofErr w:type="spellEnd"/>
            <w:r w:rsidR="00280CF5" w:rsidRPr="00280CF5">
              <w:t xml:space="preserve"> rubber) and an Orange or a Maroon or a Yellow flip-off plastic cap with aluminium seal. Each vial contains 10 or 3 doses after dilution.</w:t>
            </w:r>
          </w:p>
          <w:p w14:paraId="6E195ACD" w14:textId="77777777" w:rsidR="00280CF5" w:rsidRPr="00280CF5" w:rsidRDefault="00280CF5" w:rsidP="00280CF5">
            <w:r w:rsidRPr="00280CF5">
              <w:t xml:space="preserve">Orange or Maroon cap: 10 dose multidose vial after dilution </w:t>
            </w:r>
            <w:proofErr w:type="gramStart"/>
            <w:r w:rsidRPr="00280CF5">
              <w:t>Yellow</w:t>
            </w:r>
            <w:proofErr w:type="gramEnd"/>
            <w:r w:rsidRPr="00280CF5">
              <w:t xml:space="preserve"> cap: 3 dose multidose vial after dilution</w:t>
            </w:r>
          </w:p>
          <w:p w14:paraId="5DBD6A39" w14:textId="77777777" w:rsidR="00280CF5" w:rsidRPr="00280CF5" w:rsidRDefault="00280CF5" w:rsidP="00280CF5">
            <w:pPr>
              <w:rPr>
                <w:b/>
                <w:bCs/>
              </w:rPr>
            </w:pPr>
            <w:r w:rsidRPr="00280CF5">
              <w:rPr>
                <w:b/>
                <w:bCs/>
              </w:rPr>
              <w:t>Pack size: 10 vials, 195 vials</w:t>
            </w:r>
          </w:p>
          <w:p w14:paraId="46A1015F" w14:textId="367F999A" w:rsidR="00280CF5" w:rsidRPr="00280CF5" w:rsidRDefault="008D7761" w:rsidP="00280CF5">
            <w:r>
              <w:t>Comirnaty</w:t>
            </w:r>
            <w:r w:rsidR="00280CF5" w:rsidRPr="00280CF5">
              <w:t xml:space="preserve"> JN.1 Prefilled Glass Syringe: 1 mL clear glass syringe (Type I glass) with polypropylene rigid cap with a 1 mL plunger stopper (</w:t>
            </w:r>
            <w:proofErr w:type="spellStart"/>
            <w:r w:rsidR="00280CF5" w:rsidRPr="00280CF5">
              <w:t>bromobutyl</w:t>
            </w:r>
            <w:proofErr w:type="spellEnd"/>
            <w:r w:rsidR="00280CF5" w:rsidRPr="00280CF5">
              <w:t xml:space="preserve"> elastomer). Each prefilled glass syringe contains 1 dose.</w:t>
            </w:r>
          </w:p>
          <w:p w14:paraId="29BE6C3C" w14:textId="77777777" w:rsidR="00280CF5" w:rsidRPr="00280CF5" w:rsidRDefault="00280CF5" w:rsidP="00280CF5">
            <w:pPr>
              <w:rPr>
                <w:b/>
                <w:bCs/>
              </w:rPr>
            </w:pPr>
            <w:r w:rsidRPr="00280CF5">
              <w:rPr>
                <w:b/>
                <w:bCs/>
              </w:rPr>
              <w:t>Pack size: 10 Prefilled glass syringes</w:t>
            </w:r>
          </w:p>
          <w:p w14:paraId="094B01A8" w14:textId="6DE6D497" w:rsidR="00280CF5" w:rsidRPr="00280CF5" w:rsidRDefault="008D7761" w:rsidP="00280CF5">
            <w:r>
              <w:t>Comirnaty</w:t>
            </w:r>
            <w:r w:rsidR="00280CF5" w:rsidRPr="00280CF5">
              <w:t xml:space="preserve"> JN.1 Prefilled Plastic Syringe: 1 mL transparent plastic (cyclic-olefin copolymer plastic) syringe with polycarbonate rigid cap with a 1 mL plunger stopper (</w:t>
            </w:r>
            <w:proofErr w:type="spellStart"/>
            <w:r w:rsidR="00280CF5" w:rsidRPr="00280CF5">
              <w:t>bromobutyl</w:t>
            </w:r>
            <w:proofErr w:type="spellEnd"/>
            <w:r w:rsidR="00280CF5" w:rsidRPr="00280CF5">
              <w:t xml:space="preserve"> elastomer). Each prefilled plastic syringe contains 1 dose.</w:t>
            </w:r>
          </w:p>
          <w:p w14:paraId="7E978F8F" w14:textId="1D8B44ED" w:rsidR="00280CF5" w:rsidRPr="00280CF5" w:rsidRDefault="00280CF5" w:rsidP="00280CF5">
            <w:pPr>
              <w:rPr>
                <w:szCs w:val="22"/>
              </w:rPr>
            </w:pPr>
            <w:r w:rsidRPr="00280CF5">
              <w:t>Pack size: 10 prefilled plastic syringes</w:t>
            </w:r>
          </w:p>
        </w:tc>
      </w:tr>
      <w:tr w:rsidR="00280CF5" w:rsidRPr="00BD5DBD" w14:paraId="5AFDEED3" w14:textId="77777777" w:rsidTr="00886B0A">
        <w:tc>
          <w:tcPr>
            <w:tcW w:w="970" w:type="pct"/>
          </w:tcPr>
          <w:p w14:paraId="03884BD1" w14:textId="011FCB39" w:rsidR="00280CF5" w:rsidRPr="0089726F" w:rsidRDefault="00280CF5" w:rsidP="0089726F">
            <w:pPr>
              <w:rPr>
                <w:i/>
                <w:szCs w:val="22"/>
              </w:rPr>
            </w:pPr>
            <w:r w:rsidRPr="0089726F">
              <w:rPr>
                <w:i/>
                <w:szCs w:val="22"/>
              </w:rPr>
              <w:lastRenderedPageBreak/>
              <w:t>Routes of administration</w:t>
            </w:r>
          </w:p>
        </w:tc>
        <w:tc>
          <w:tcPr>
            <w:tcW w:w="4030" w:type="pct"/>
          </w:tcPr>
          <w:p w14:paraId="460C3097" w14:textId="77777777" w:rsidR="00886B0A" w:rsidRPr="00886B0A" w:rsidRDefault="00886B0A" w:rsidP="00886B0A">
            <w:pPr>
              <w:rPr>
                <w:szCs w:val="22"/>
              </w:rPr>
            </w:pPr>
            <w:r w:rsidRPr="00886B0A">
              <w:rPr>
                <w:szCs w:val="22"/>
              </w:rPr>
              <w:t>In individuals</w:t>
            </w:r>
            <w:r w:rsidRPr="00886B0A">
              <w:rPr>
                <w:b/>
                <w:bCs/>
                <w:szCs w:val="22"/>
              </w:rPr>
              <w:t xml:space="preserve"> 5 years of age and older</w:t>
            </w:r>
            <w:r w:rsidRPr="00886B0A">
              <w:rPr>
                <w:szCs w:val="22"/>
              </w:rPr>
              <w:t>, administer the vaccine intramuscularly in the deltoid muscle.</w:t>
            </w:r>
          </w:p>
          <w:p w14:paraId="5CB0F4A9" w14:textId="77777777" w:rsidR="00886B0A" w:rsidRPr="00886B0A" w:rsidRDefault="00886B0A" w:rsidP="00886B0A">
            <w:pPr>
              <w:rPr>
                <w:szCs w:val="22"/>
              </w:rPr>
            </w:pPr>
            <w:r w:rsidRPr="00886B0A">
              <w:rPr>
                <w:szCs w:val="22"/>
              </w:rPr>
              <w:t xml:space="preserve">In individuals 1 to </w:t>
            </w:r>
            <w:r w:rsidRPr="00886B0A">
              <w:rPr>
                <w:b/>
                <w:bCs/>
                <w:szCs w:val="22"/>
              </w:rPr>
              <w:t>&lt;5 years of age and older</w:t>
            </w:r>
            <w:r w:rsidRPr="00886B0A">
              <w:rPr>
                <w:szCs w:val="22"/>
              </w:rPr>
              <w:t>, administer the vaccine intramuscularly in the anterolateral aspect of the thigh or the deltoid muscle.</w:t>
            </w:r>
          </w:p>
          <w:p w14:paraId="0BA6CF24" w14:textId="77777777" w:rsidR="00886B0A" w:rsidRPr="00886B0A" w:rsidRDefault="00886B0A" w:rsidP="00886B0A">
            <w:pPr>
              <w:rPr>
                <w:szCs w:val="22"/>
              </w:rPr>
            </w:pPr>
            <w:r w:rsidRPr="00886B0A">
              <w:rPr>
                <w:szCs w:val="22"/>
              </w:rPr>
              <w:t xml:space="preserve">In individuals from </w:t>
            </w:r>
            <w:r w:rsidRPr="00886B0A">
              <w:rPr>
                <w:b/>
                <w:bCs/>
                <w:szCs w:val="22"/>
              </w:rPr>
              <w:t>6 to &lt;12 months of age</w:t>
            </w:r>
            <w:r w:rsidRPr="00886B0A">
              <w:rPr>
                <w:szCs w:val="22"/>
              </w:rPr>
              <w:t>, administer the vaccine intramuscularly in the anterolateral aspect of the thigh.</w:t>
            </w:r>
          </w:p>
          <w:p w14:paraId="1ED1357E" w14:textId="36664ACB" w:rsidR="00280CF5" w:rsidRPr="000E7FD6" w:rsidRDefault="00886B0A" w:rsidP="00886B0A">
            <w:pPr>
              <w:rPr>
                <w:b/>
                <w:bCs/>
                <w:szCs w:val="22"/>
              </w:rPr>
            </w:pPr>
            <w:r w:rsidRPr="000E7FD6">
              <w:rPr>
                <w:b/>
                <w:bCs/>
                <w:szCs w:val="22"/>
              </w:rPr>
              <w:t>The vaccine should NOT be injected intravascularly, subcutaneously or intradermally.</w:t>
            </w:r>
          </w:p>
        </w:tc>
      </w:tr>
      <w:tr w:rsidR="00280CF5" w:rsidRPr="00BD5DBD" w14:paraId="70D7E9FA" w14:textId="77777777" w:rsidTr="00886B0A">
        <w:tc>
          <w:tcPr>
            <w:tcW w:w="970" w:type="pct"/>
          </w:tcPr>
          <w:p w14:paraId="5ABFFC80" w14:textId="77777777" w:rsidR="00280CF5" w:rsidRPr="0089726F" w:rsidRDefault="00280CF5" w:rsidP="0089726F">
            <w:pPr>
              <w:rPr>
                <w:i/>
                <w:szCs w:val="22"/>
              </w:rPr>
            </w:pPr>
            <w:r w:rsidRPr="0089726F">
              <w:rPr>
                <w:i/>
                <w:szCs w:val="22"/>
              </w:rPr>
              <w:t>Dosage:</w:t>
            </w:r>
          </w:p>
        </w:tc>
        <w:tc>
          <w:tcPr>
            <w:tcW w:w="4030" w:type="pct"/>
          </w:tcPr>
          <w:tbl>
            <w:tblPr>
              <w:tblStyle w:val="TableGrid"/>
              <w:tblW w:w="0" w:type="auto"/>
              <w:tblLook w:val="04A0" w:firstRow="1" w:lastRow="0" w:firstColumn="1" w:lastColumn="0" w:noHBand="0" w:noVBand="1"/>
            </w:tblPr>
            <w:tblGrid>
              <w:gridCol w:w="1606"/>
              <w:gridCol w:w="1639"/>
              <w:gridCol w:w="1620"/>
              <w:gridCol w:w="1496"/>
            </w:tblGrid>
            <w:tr w:rsidR="00886B0A" w:rsidRPr="001B29A1" w14:paraId="6BB7FE42" w14:textId="77777777" w:rsidTr="00DA0556">
              <w:tc>
                <w:tcPr>
                  <w:tcW w:w="1606" w:type="dxa"/>
                </w:tcPr>
                <w:p w14:paraId="6AF59716" w14:textId="77777777" w:rsidR="00886B0A" w:rsidRPr="000E7FD6" w:rsidRDefault="00886B0A" w:rsidP="00886B0A">
                  <w:pPr>
                    <w:spacing w:after="120"/>
                    <w:rPr>
                      <w:rFonts w:ascii="Arial" w:hAnsi="Arial" w:cs="Arial"/>
                      <w:b/>
                      <w:bCs/>
                      <w:sz w:val="20"/>
                      <w:szCs w:val="20"/>
                    </w:rPr>
                  </w:pPr>
                  <w:r w:rsidRPr="000E7FD6">
                    <w:rPr>
                      <w:rFonts w:ascii="Arial" w:hAnsi="Arial" w:cs="Arial"/>
                      <w:b/>
                      <w:bCs/>
                      <w:sz w:val="20"/>
                      <w:szCs w:val="20"/>
                    </w:rPr>
                    <w:t>Age group</w:t>
                  </w:r>
                </w:p>
              </w:tc>
              <w:tc>
                <w:tcPr>
                  <w:tcW w:w="1639" w:type="dxa"/>
                </w:tcPr>
                <w:p w14:paraId="6AB21150" w14:textId="77777777" w:rsidR="00886B0A" w:rsidRPr="000E7FD6" w:rsidRDefault="00886B0A" w:rsidP="00886B0A">
                  <w:pPr>
                    <w:spacing w:after="120"/>
                    <w:rPr>
                      <w:rFonts w:ascii="Arial" w:hAnsi="Arial" w:cs="Arial"/>
                      <w:sz w:val="20"/>
                      <w:szCs w:val="20"/>
                    </w:rPr>
                  </w:pPr>
                  <w:r w:rsidRPr="000E7FD6">
                    <w:rPr>
                      <w:rFonts w:ascii="Arial" w:hAnsi="Arial" w:cs="Arial"/>
                      <w:sz w:val="20"/>
                      <w:szCs w:val="20"/>
                    </w:rPr>
                    <w:t xml:space="preserve">12 years and older </w:t>
                  </w:r>
                </w:p>
              </w:tc>
              <w:tc>
                <w:tcPr>
                  <w:tcW w:w="1620" w:type="dxa"/>
                </w:tcPr>
                <w:p w14:paraId="4C4F20AC" w14:textId="77777777" w:rsidR="00886B0A" w:rsidRPr="000E7FD6" w:rsidRDefault="00886B0A" w:rsidP="00886B0A">
                  <w:pPr>
                    <w:spacing w:after="120"/>
                    <w:rPr>
                      <w:rFonts w:ascii="Arial" w:hAnsi="Arial" w:cs="Arial"/>
                      <w:sz w:val="20"/>
                      <w:szCs w:val="20"/>
                    </w:rPr>
                  </w:pPr>
                  <w:r w:rsidRPr="000E7FD6">
                    <w:rPr>
                      <w:rFonts w:ascii="Arial" w:hAnsi="Arial" w:cs="Arial"/>
                      <w:sz w:val="20"/>
                      <w:szCs w:val="20"/>
                    </w:rPr>
                    <w:t>5 to &lt;12 years</w:t>
                  </w:r>
                </w:p>
              </w:tc>
              <w:tc>
                <w:tcPr>
                  <w:tcW w:w="1496" w:type="dxa"/>
                </w:tcPr>
                <w:p w14:paraId="12A554EF" w14:textId="77777777" w:rsidR="00886B0A" w:rsidRPr="000E7FD6" w:rsidRDefault="00886B0A" w:rsidP="00886B0A">
                  <w:pPr>
                    <w:spacing w:after="120"/>
                    <w:rPr>
                      <w:rFonts w:ascii="Arial" w:hAnsi="Arial" w:cs="Arial"/>
                      <w:sz w:val="20"/>
                      <w:szCs w:val="20"/>
                    </w:rPr>
                  </w:pPr>
                  <w:r w:rsidRPr="000E7FD6">
                    <w:rPr>
                      <w:rFonts w:ascii="Arial" w:hAnsi="Arial" w:cs="Arial"/>
                      <w:sz w:val="20"/>
                      <w:szCs w:val="20"/>
                    </w:rPr>
                    <w:t>6 months to &lt;5 years</w:t>
                  </w:r>
                </w:p>
              </w:tc>
            </w:tr>
            <w:tr w:rsidR="00886B0A" w:rsidRPr="001B29A1" w14:paraId="08A32AE8" w14:textId="77777777" w:rsidTr="00DA0556">
              <w:tc>
                <w:tcPr>
                  <w:tcW w:w="1606" w:type="dxa"/>
                </w:tcPr>
                <w:p w14:paraId="0CA214FA" w14:textId="77777777" w:rsidR="00886B0A" w:rsidRPr="000E7FD6" w:rsidRDefault="00886B0A" w:rsidP="00886B0A">
                  <w:pPr>
                    <w:spacing w:after="120"/>
                    <w:rPr>
                      <w:rFonts w:ascii="Arial" w:hAnsi="Arial" w:cs="Arial"/>
                      <w:b/>
                      <w:bCs/>
                      <w:sz w:val="20"/>
                      <w:szCs w:val="20"/>
                    </w:rPr>
                  </w:pPr>
                  <w:r w:rsidRPr="000E7FD6">
                    <w:rPr>
                      <w:rFonts w:ascii="Arial" w:hAnsi="Arial" w:cs="Arial"/>
                      <w:b/>
                      <w:bCs/>
                      <w:sz w:val="20"/>
                      <w:szCs w:val="20"/>
                    </w:rPr>
                    <w:t>Strength/dose</w:t>
                  </w:r>
                </w:p>
              </w:tc>
              <w:tc>
                <w:tcPr>
                  <w:tcW w:w="1639" w:type="dxa"/>
                </w:tcPr>
                <w:p w14:paraId="410B7CFB" w14:textId="77777777" w:rsidR="00886B0A" w:rsidRPr="000E7FD6" w:rsidRDefault="00886B0A" w:rsidP="00886B0A">
                  <w:pPr>
                    <w:spacing w:after="120"/>
                    <w:rPr>
                      <w:rFonts w:ascii="Arial" w:hAnsi="Arial" w:cs="Arial"/>
                      <w:sz w:val="20"/>
                      <w:szCs w:val="20"/>
                    </w:rPr>
                  </w:pPr>
                  <w:r w:rsidRPr="000E7FD6">
                    <w:rPr>
                      <w:rFonts w:ascii="Arial" w:hAnsi="Arial" w:cs="Arial"/>
                      <w:sz w:val="20"/>
                      <w:szCs w:val="20"/>
                    </w:rPr>
                    <w:t xml:space="preserve">30 micrograms </w:t>
                  </w:r>
                </w:p>
              </w:tc>
              <w:tc>
                <w:tcPr>
                  <w:tcW w:w="1620" w:type="dxa"/>
                </w:tcPr>
                <w:p w14:paraId="70C691EE" w14:textId="77777777" w:rsidR="00886B0A" w:rsidRPr="000E7FD6" w:rsidRDefault="00886B0A" w:rsidP="00886B0A">
                  <w:pPr>
                    <w:spacing w:after="120"/>
                    <w:rPr>
                      <w:rFonts w:ascii="Arial" w:hAnsi="Arial" w:cs="Arial"/>
                      <w:sz w:val="20"/>
                      <w:szCs w:val="20"/>
                    </w:rPr>
                  </w:pPr>
                  <w:r w:rsidRPr="000E7FD6">
                    <w:rPr>
                      <w:rFonts w:ascii="Arial" w:hAnsi="Arial" w:cs="Arial"/>
                      <w:sz w:val="20"/>
                      <w:szCs w:val="20"/>
                    </w:rPr>
                    <w:t>10 micrograms</w:t>
                  </w:r>
                </w:p>
              </w:tc>
              <w:tc>
                <w:tcPr>
                  <w:tcW w:w="1496" w:type="dxa"/>
                </w:tcPr>
                <w:p w14:paraId="0CD9551E" w14:textId="77777777" w:rsidR="00886B0A" w:rsidRPr="000E7FD6" w:rsidRDefault="00886B0A" w:rsidP="00886B0A">
                  <w:pPr>
                    <w:spacing w:after="120"/>
                    <w:rPr>
                      <w:rFonts w:ascii="Arial" w:hAnsi="Arial" w:cs="Arial"/>
                      <w:sz w:val="20"/>
                      <w:szCs w:val="20"/>
                    </w:rPr>
                  </w:pPr>
                  <w:r w:rsidRPr="000E7FD6">
                    <w:rPr>
                      <w:rFonts w:ascii="Arial" w:hAnsi="Arial" w:cs="Arial"/>
                      <w:sz w:val="20"/>
                      <w:szCs w:val="20"/>
                    </w:rPr>
                    <w:t>3 micrograms</w:t>
                  </w:r>
                </w:p>
              </w:tc>
            </w:tr>
          </w:tbl>
          <w:p w14:paraId="3D0B2D5C" w14:textId="6E29920D" w:rsidR="00280CF5" w:rsidRPr="00BD5DBD" w:rsidRDefault="00280CF5" w:rsidP="0089726F">
            <w:pPr>
              <w:spacing w:before="240"/>
              <w:rPr>
                <w:szCs w:val="22"/>
              </w:rPr>
            </w:pPr>
            <w:r w:rsidRPr="00BD5DBD">
              <w:rPr>
                <w:szCs w:val="22"/>
              </w:rPr>
              <w:t xml:space="preserve">For further information regarding dosage, </w:t>
            </w:r>
            <w:r>
              <w:rPr>
                <w:szCs w:val="22"/>
              </w:rPr>
              <w:t xml:space="preserve">such as dosage modifications to manage adverse reactions, </w:t>
            </w:r>
            <w:r w:rsidRPr="00BD5DBD">
              <w:rPr>
                <w:szCs w:val="22"/>
              </w:rPr>
              <w:t>refer to the Product Information.</w:t>
            </w:r>
          </w:p>
        </w:tc>
      </w:tr>
      <w:tr w:rsidR="00280CF5" w:rsidRPr="00BD5DBD" w14:paraId="7B7BB6AE" w14:textId="77777777" w:rsidTr="00886B0A">
        <w:tc>
          <w:tcPr>
            <w:tcW w:w="970" w:type="pct"/>
          </w:tcPr>
          <w:p w14:paraId="3A76AFF7" w14:textId="7C436DD9" w:rsidR="00280CF5" w:rsidRPr="0089726F" w:rsidRDefault="00280CF5" w:rsidP="0089726F">
            <w:r w:rsidRPr="0089726F">
              <w:rPr>
                <w:i/>
                <w:szCs w:val="22"/>
              </w:rPr>
              <w:t>Pregnancy category:</w:t>
            </w:r>
          </w:p>
        </w:tc>
        <w:tc>
          <w:tcPr>
            <w:tcW w:w="4030" w:type="pct"/>
          </w:tcPr>
          <w:p w14:paraId="25A429B3" w14:textId="77777777" w:rsidR="00886B0A" w:rsidRDefault="00886B0A" w:rsidP="00886B0A">
            <w:r>
              <w:t>Category B1</w:t>
            </w:r>
          </w:p>
          <w:p w14:paraId="331DA543" w14:textId="597764A4" w:rsidR="00886B0A" w:rsidRDefault="00886B0A" w:rsidP="00886B0A">
            <w:r>
              <w:t xml:space="preserve">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1359C5D2" w14:textId="77777777" w:rsidR="00886B0A" w:rsidRDefault="00886B0A" w:rsidP="00886B0A">
            <w:r>
              <w:lastRenderedPageBreak/>
              <w:t xml:space="preserve">Studies in animals have not shown evidence of an increased occurrence of </w:t>
            </w:r>
            <w:proofErr w:type="spellStart"/>
            <w:r>
              <w:t>fetal</w:t>
            </w:r>
            <w:proofErr w:type="spellEnd"/>
            <w:r>
              <w:t xml:space="preserve"> damage.</w:t>
            </w:r>
          </w:p>
          <w:p w14:paraId="7AF9DA6D" w14:textId="31D034A2" w:rsidR="00280CF5" w:rsidRPr="007967C3" w:rsidRDefault="00886B0A" w:rsidP="00886B0A">
            <w:r>
              <w:t>The use of any medicine during pregnancy requires careful consideration of both risks and benefits by the treating health professional. The pregnancy database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p w14:paraId="76497789" w14:textId="4F6464AF" w:rsidR="00280CF5" w:rsidRPr="00BD5DBD" w:rsidRDefault="00280CF5" w:rsidP="00886B0A">
            <w:pPr>
              <w:rPr>
                <w:szCs w:val="22"/>
              </w:rPr>
            </w:pPr>
            <w:r w:rsidRPr="00BD5DBD">
              <w:rPr>
                <w:szCs w:val="22"/>
              </w:rPr>
              <w:t xml:space="preserve">The use of any medicine during pregnancy requires careful consideration of both risks and benefits by the treating health professional. </w:t>
            </w:r>
            <w:r>
              <w:rPr>
                <w:szCs w:val="22"/>
              </w:rPr>
              <w:t xml:space="preserve">The </w:t>
            </w:r>
            <w:hyperlink r:id="rId16" w:history="1">
              <w:r w:rsidRPr="00065FDF">
                <w:rPr>
                  <w:rStyle w:val="Hyperlink"/>
                  <w:szCs w:val="22"/>
                </w:rPr>
                <w:t>pregnancy database</w:t>
              </w:r>
            </w:hyperlink>
            <w:r>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7" w:history="1">
              <w:r w:rsidRPr="00C059D0">
                <w:rPr>
                  <w:rStyle w:val="Hyperlink"/>
                  <w:szCs w:val="22"/>
                </w:rPr>
                <w:t>obstetric drug information services</w:t>
              </w:r>
            </w:hyperlink>
            <w:r w:rsidRPr="00BD5DBD">
              <w:rPr>
                <w:szCs w:val="22"/>
              </w:rPr>
              <w:t xml:space="preserve"> in your </w:t>
            </w:r>
            <w:r>
              <w:rPr>
                <w:szCs w:val="22"/>
              </w:rPr>
              <w:t>s</w:t>
            </w:r>
            <w:r w:rsidRPr="00BD5DBD">
              <w:rPr>
                <w:szCs w:val="22"/>
              </w:rPr>
              <w:t xml:space="preserve">tate or </w:t>
            </w:r>
            <w:r>
              <w:rPr>
                <w:szCs w:val="22"/>
              </w:rPr>
              <w:t>t</w:t>
            </w:r>
            <w:r w:rsidRPr="00BD5DBD">
              <w:rPr>
                <w:szCs w:val="22"/>
              </w:rPr>
              <w:t>erritory.</w:t>
            </w:r>
          </w:p>
        </w:tc>
      </w:tr>
    </w:tbl>
    <w:p w14:paraId="51F2479F" w14:textId="20764FE8" w:rsidR="00324B33" w:rsidRDefault="008D7761" w:rsidP="0089726F">
      <w:pPr>
        <w:pStyle w:val="Heading3"/>
      </w:pPr>
      <w:bookmarkStart w:id="7" w:name="_Toc179893820"/>
      <w:bookmarkStart w:id="8" w:name="_Toc247691503"/>
      <w:bookmarkStart w:id="9" w:name="_Toc314842484"/>
      <w:bookmarkStart w:id="10" w:name="_Toc103679290"/>
      <w:bookmarkStart w:id="11" w:name="_Toc194486315"/>
      <w:r>
        <w:lastRenderedPageBreak/>
        <w:t>Comirnaty</w:t>
      </w:r>
      <w:r w:rsidR="00886B0A" w:rsidRPr="002900E7">
        <w:t xml:space="preserve"> JN.1 </w:t>
      </w:r>
      <w:r w:rsidR="00886B0A" w:rsidRPr="00CE0CD8">
        <w:t>– proposed indication</w:t>
      </w:r>
      <w:bookmarkEnd w:id="7"/>
      <w:bookmarkEnd w:id="8"/>
      <w:bookmarkEnd w:id="9"/>
      <w:bookmarkEnd w:id="10"/>
      <w:bookmarkEnd w:id="11"/>
    </w:p>
    <w:p w14:paraId="51AC932A" w14:textId="333CDEC2" w:rsidR="00886B0A" w:rsidRPr="00886B0A" w:rsidRDefault="00886B0A" w:rsidP="0089726F">
      <w:bookmarkStart w:id="12" w:name="_Toc314842485"/>
      <w:bookmarkStart w:id="13" w:name="_Toc247691504"/>
      <w:r w:rsidRPr="00886B0A">
        <w:t xml:space="preserve">This </w:t>
      </w:r>
      <w:proofErr w:type="spellStart"/>
      <w:r w:rsidRPr="00886B0A">
        <w:t>AusPAR</w:t>
      </w:r>
      <w:proofErr w:type="spellEnd"/>
      <w:r w:rsidRPr="00886B0A">
        <w:t xml:space="preserve"> describes the evaluation of the submission by </w:t>
      </w:r>
      <w:r w:rsidRPr="00886B0A">
        <w:rPr>
          <w:szCs w:val="22"/>
        </w:rPr>
        <w:t>Pfizer Australia Pty Ltd</w:t>
      </w:r>
      <w:r w:rsidRPr="00886B0A">
        <w:t xml:space="preserve"> (the Sponsor) to register </w:t>
      </w:r>
      <w:r w:rsidR="008D7761">
        <w:t>Comirnaty</w:t>
      </w:r>
      <w:r w:rsidRPr="00886B0A">
        <w:t xml:space="preserve"> JN.1 COVID-19 Vaccine (</w:t>
      </w:r>
      <w:proofErr w:type="spellStart"/>
      <w:r w:rsidRPr="00886B0A">
        <w:t>bretovameran</w:t>
      </w:r>
      <w:proofErr w:type="spellEnd"/>
      <w:r w:rsidRPr="00886B0A">
        <w:t xml:space="preserve">). No changes are proposed to the formulation, other than the active ingredient, nucleoside modified mRNA (modRNA), which is adapted to target the </w:t>
      </w:r>
      <w:r w:rsidR="00DD74C7" w:rsidRPr="00E22643">
        <w:t>SARS</w:t>
      </w:r>
      <w:r w:rsidR="00DD74C7">
        <w:t>-</w:t>
      </w:r>
      <w:r w:rsidR="00DD74C7" w:rsidRPr="00E22643">
        <w:t>CoV-2</w:t>
      </w:r>
      <w:r w:rsidR="00DD74C7">
        <w:t xml:space="preserve"> </w:t>
      </w:r>
      <w:r w:rsidRPr="00886B0A">
        <w:t>Omicron JN.1 variant. The proposed indication is:</w:t>
      </w:r>
    </w:p>
    <w:p w14:paraId="6496A4E5" w14:textId="026815EC" w:rsidR="00886B0A" w:rsidRPr="0089726F" w:rsidRDefault="00886B0A" w:rsidP="0089726F">
      <w:pPr>
        <w:ind w:left="720"/>
        <w:rPr>
          <w:i/>
          <w:iCs/>
        </w:rPr>
      </w:pPr>
      <w:r w:rsidRPr="0089726F">
        <w:rPr>
          <w:i/>
          <w:iCs/>
        </w:rPr>
        <w:t>Active immunisation to prevent coronavirus disease 2019 (COVID-19) caused by SARS</w:t>
      </w:r>
      <w:r w:rsidR="002C507E" w:rsidRPr="0089726F">
        <w:rPr>
          <w:i/>
          <w:iCs/>
        </w:rPr>
        <w:t>-</w:t>
      </w:r>
      <w:r w:rsidRPr="0089726F">
        <w:rPr>
          <w:i/>
          <w:iCs/>
        </w:rPr>
        <w:t>CoV-2, in individuals 6 months of age and older</w:t>
      </w:r>
      <w:r w:rsidRPr="0089726F">
        <w:rPr>
          <w:i/>
          <w:iCs/>
          <w:color w:val="007099"/>
        </w:rPr>
        <w:t>.</w:t>
      </w:r>
    </w:p>
    <w:p w14:paraId="47DDF05A" w14:textId="4E4F59D1" w:rsidR="000C063B" w:rsidRPr="0089726F" w:rsidRDefault="000C063B" w:rsidP="0089726F">
      <w:pPr>
        <w:ind w:left="720"/>
        <w:rPr>
          <w:i/>
          <w:iCs/>
        </w:rPr>
      </w:pPr>
      <w:r w:rsidRPr="0089726F">
        <w:rPr>
          <w:i/>
          <w:iCs/>
        </w:rPr>
        <w:t>The use of this vaccine should be in accordance with official recommendations.</w:t>
      </w:r>
    </w:p>
    <w:p w14:paraId="1E63A2AE" w14:textId="76285075" w:rsidR="00CB6813" w:rsidRDefault="00886B0A" w:rsidP="0089726F">
      <w:pPr>
        <w:pStyle w:val="Heading3"/>
      </w:pPr>
      <w:bookmarkStart w:id="14" w:name="_Toc194486316"/>
      <w:r w:rsidRPr="00886B0A">
        <w:t>COVID-19</w:t>
      </w:r>
      <w:bookmarkEnd w:id="14"/>
    </w:p>
    <w:p w14:paraId="37D80DB0" w14:textId="25EB97C3" w:rsidR="00886B0A" w:rsidRDefault="00886B0A" w:rsidP="0089726F">
      <w:r>
        <w:t xml:space="preserve">There has been a significant number of COVID-19 cases since the emergence of the Omicron variants in Australia: 5,357,128 PCR-confirmed and 6,229,346 RAT probable COVID-19 cases from 15 December 2021 to 10 March 2024. Nationally, since the emergence of Omicron BA.2.86 + sub-lineages (including JN.1), there has been an increasing trend in hospitalisation, reflecting the start of a new Omicron wave of </w:t>
      </w:r>
      <w:r w:rsidR="00DD74C7" w:rsidRPr="00E22643">
        <w:t>SARS</w:t>
      </w:r>
      <w:r w:rsidR="00DD74C7">
        <w:t>-</w:t>
      </w:r>
      <w:r w:rsidR="00DD74C7" w:rsidRPr="00E22643">
        <w:t>CoV-2</w:t>
      </w:r>
      <w:r w:rsidR="00DD74C7">
        <w:t xml:space="preserve"> </w:t>
      </w:r>
      <w:r>
        <w:t>transmission.</w:t>
      </w:r>
    </w:p>
    <w:p w14:paraId="7E254F42" w14:textId="7691D7A6" w:rsidR="00886B0A" w:rsidRPr="00886B0A" w:rsidRDefault="00886B0A" w:rsidP="0089726F">
      <w:r>
        <w:t xml:space="preserve">COVID-19 burden persists among individuals of all ages and a variant-adapted vaccine that improves immune responses to currently circulating variants may help restore higher levels of protection against infection, and thus transmission, </w:t>
      </w:r>
      <w:proofErr w:type="gramStart"/>
      <w:r>
        <w:t>similar to</w:t>
      </w:r>
      <w:proofErr w:type="gramEnd"/>
      <w:r>
        <w:t xml:space="preserve"> that observed at earlier stages in the pandemic. Currently, a COVID-19 vaccine adapted to the World Health Organization recommended SARS-CoV-2 Omicron JN.1 is not available in Australia.</w:t>
      </w:r>
    </w:p>
    <w:p w14:paraId="37C47E09" w14:textId="091A1A8B" w:rsidR="00CB6813" w:rsidRDefault="00886B0A" w:rsidP="0089726F">
      <w:pPr>
        <w:pStyle w:val="Heading3"/>
      </w:pPr>
      <w:bookmarkStart w:id="15" w:name="_Toc194486317"/>
      <w:r w:rsidRPr="00CE0CD8">
        <w:t xml:space="preserve">Clinical rationale for the use of </w:t>
      </w:r>
      <w:r w:rsidR="00373C0F">
        <w:t xml:space="preserve">the </w:t>
      </w:r>
      <w:r w:rsidR="008D7761">
        <w:t>Comirnaty</w:t>
      </w:r>
      <w:r w:rsidRPr="0012432E">
        <w:t xml:space="preserve"> JN.1 Vaccine</w:t>
      </w:r>
      <w:bookmarkEnd w:id="15"/>
    </w:p>
    <w:p w14:paraId="146F19DA" w14:textId="4933AC55" w:rsidR="00886B0A" w:rsidRPr="00886B0A" w:rsidRDefault="00886B0A" w:rsidP="0089726F">
      <w:r w:rsidRPr="00886B0A">
        <w:t xml:space="preserve">Given the genetic and resulting antigenic differences in currently circulating Omicron JN.1 </w:t>
      </w:r>
      <w:proofErr w:type="spellStart"/>
      <w:r w:rsidRPr="00886B0A">
        <w:t>sublineages</w:t>
      </w:r>
      <w:proofErr w:type="spellEnd"/>
      <w:r w:rsidRPr="00886B0A">
        <w:t xml:space="preserve"> of SARS-CoV-2 (e.g., </w:t>
      </w:r>
      <w:r w:rsidR="00CC41DD">
        <w:t>JN.1, JN.1.6.1, JN.1.7, JN.1.13.1, JN.1.16.1, KP.1.1, KP.2 and KP.3</w:t>
      </w:r>
      <w:r w:rsidRPr="00886B0A">
        <w:t xml:space="preserve">) compared to the original (wildtype) or Omicron XBB.1.5 strains, the Omicron JN.1 adapted vaccine is needed to ensure adequate protection. Implementation of the Omicron JN.1 adapted vaccine would expand vaccine protection and add another important layer of community </w:t>
      </w:r>
      <w:r w:rsidRPr="00886B0A">
        <w:lastRenderedPageBreak/>
        <w:t xml:space="preserve">protection against symptomatic infection and severe cases of COVID-19, particularly in the current setting of Omicron JN.1 </w:t>
      </w:r>
      <w:proofErr w:type="spellStart"/>
      <w:r w:rsidRPr="00886B0A">
        <w:t>sublineages</w:t>
      </w:r>
      <w:proofErr w:type="spellEnd"/>
      <w:r w:rsidRPr="00886B0A">
        <w:t xml:space="preserve"> dominance and with </w:t>
      </w:r>
      <w:r w:rsidR="0079536E">
        <w:t xml:space="preserve">multiple lines of </w:t>
      </w:r>
      <w:r w:rsidRPr="00886B0A">
        <w:t>evidence that wild-type or Omicron XBB.1.5 based vaccines likely offer significantly reduced protection against JN.1-related disease, including severe illness, compared to prior variants.</w:t>
      </w:r>
    </w:p>
    <w:p w14:paraId="0D615854" w14:textId="77777777" w:rsidR="00324B33" w:rsidRPr="003F31A2" w:rsidRDefault="00324B33" w:rsidP="0089726F">
      <w:pPr>
        <w:pStyle w:val="Heading2"/>
      </w:pPr>
      <w:bookmarkStart w:id="16" w:name="_Toc103679291"/>
      <w:bookmarkStart w:id="17" w:name="_Toc194486318"/>
      <w:r>
        <w:t xml:space="preserve">Regulatory </w:t>
      </w:r>
      <w:r w:rsidRPr="0089726F">
        <w:t>status</w:t>
      </w:r>
      <w:bookmarkEnd w:id="12"/>
      <w:bookmarkEnd w:id="13"/>
      <w:bookmarkEnd w:id="16"/>
      <w:bookmarkEnd w:id="17"/>
    </w:p>
    <w:p w14:paraId="72C889D6" w14:textId="7E200950" w:rsidR="0017005C" w:rsidRPr="00BD5DBD" w:rsidRDefault="0017005C" w:rsidP="0089726F">
      <w:pPr>
        <w:pStyle w:val="Heading3"/>
      </w:pPr>
      <w:bookmarkStart w:id="18" w:name="_Toc194486319"/>
      <w:r w:rsidRPr="00BD5DBD">
        <w:t>Australian regulatory</w:t>
      </w:r>
      <w:r>
        <w:t xml:space="preserve"> sta</w:t>
      </w:r>
      <w:r w:rsidR="0025785B">
        <w:t>t</w:t>
      </w:r>
      <w:r>
        <w:t>us</w:t>
      </w:r>
      <w:bookmarkEnd w:id="18"/>
    </w:p>
    <w:p w14:paraId="0CD8DB31" w14:textId="77777777" w:rsidR="00886B0A" w:rsidRDefault="00886B0A" w:rsidP="0089726F">
      <w:r w:rsidRPr="00CE0CD8">
        <w:t>This product is considered a new biological entity medicine for Australian regulatory purposes.</w:t>
      </w:r>
    </w:p>
    <w:p w14:paraId="546C1031" w14:textId="43972D27" w:rsidR="0017005C" w:rsidRDefault="00886B0A" w:rsidP="0089726F">
      <w:pPr>
        <w:pStyle w:val="Heading3"/>
      </w:pPr>
      <w:bookmarkStart w:id="19" w:name="_Toc194486320"/>
      <w:r w:rsidRPr="00886B0A">
        <w:t>International regulatory status</w:t>
      </w:r>
      <w:bookmarkEnd w:id="19"/>
    </w:p>
    <w:p w14:paraId="1F4862F2" w14:textId="121E498D" w:rsidR="00474EEB" w:rsidRPr="00474EEB" w:rsidRDefault="00474EEB" w:rsidP="0089726F">
      <w:r w:rsidRPr="00474EEB">
        <w:t xml:space="preserve">Applications for a JN.1 strain update of </w:t>
      </w:r>
      <w:r w:rsidR="008D7761">
        <w:t>Comirnaty</w:t>
      </w:r>
      <w:r w:rsidRPr="00474EEB">
        <w:t xml:space="preserve"> monovalent COVID-19 vaccine and introduction of new presentations have been filed in the European Union.</w:t>
      </w:r>
    </w:p>
    <w:p w14:paraId="6D92589C" w14:textId="09786CEF" w:rsidR="00324B33" w:rsidRDefault="00324B33" w:rsidP="0089726F">
      <w:pPr>
        <w:pStyle w:val="Heading3"/>
      </w:pPr>
      <w:bookmarkStart w:id="20" w:name="_Toc504480011"/>
      <w:bookmarkStart w:id="21" w:name="_Toc103679293"/>
      <w:bookmarkStart w:id="22" w:name="_Toc194486321"/>
      <w:r>
        <w:t>Registration timeline</w:t>
      </w:r>
      <w:bookmarkEnd w:id="20"/>
      <w:bookmarkEnd w:id="21"/>
      <w:bookmarkEnd w:id="22"/>
    </w:p>
    <w:p w14:paraId="6BB76942" w14:textId="49C62989" w:rsidR="00477C4E" w:rsidRPr="00BD5DBD" w:rsidRDefault="00477C4E" w:rsidP="0089726F">
      <w:pPr>
        <w:rPr>
          <w:szCs w:val="22"/>
        </w:rPr>
      </w:pPr>
      <w:r w:rsidRPr="00BD5DBD">
        <w:rPr>
          <w:szCs w:val="22"/>
        </w:rPr>
        <w:t xml:space="preserve">This submission was evaluated under the </w:t>
      </w:r>
      <w:hyperlink r:id="rId18" w:history="1">
        <w:r w:rsidRPr="00BD5DBD">
          <w:rPr>
            <w:rStyle w:val="Hyperlink"/>
            <w:szCs w:val="22"/>
          </w:rPr>
          <w:t>standard prescription medicines registration process</w:t>
        </w:r>
      </w:hyperlink>
      <w:r w:rsidRPr="00BD5DBD">
        <w:rPr>
          <w:szCs w:val="22"/>
        </w:rPr>
        <w:t>.</w:t>
      </w:r>
    </w:p>
    <w:p w14:paraId="44628C5F" w14:textId="42FC0AC6" w:rsidR="00324B33" w:rsidRDefault="00886B0A" w:rsidP="0089726F">
      <w:pPr>
        <w:pStyle w:val="TableTitle"/>
      </w:pPr>
      <w:r w:rsidRPr="00886B0A">
        <w:t xml:space="preserve">Table </w:t>
      </w:r>
      <w:r w:rsidR="00474EEB">
        <w:t>1</w:t>
      </w:r>
      <w:r w:rsidRPr="00886B0A">
        <w:t xml:space="preserve">: </w:t>
      </w:r>
      <w:r w:rsidRPr="0089726F">
        <w:t>Timeline</w:t>
      </w:r>
      <w:r w:rsidRPr="00886B0A">
        <w:t xml:space="preserve"> for </w:t>
      </w:r>
      <w:r w:rsidR="008D7761">
        <w:t>Comirnaty</w:t>
      </w:r>
      <w:r w:rsidRPr="00886B0A">
        <w:t xml:space="preserve"> JN.1 COVID-19 Vaccine (</w:t>
      </w:r>
      <w:proofErr w:type="spellStart"/>
      <w:r w:rsidRPr="00886B0A">
        <w:t>bretovameran</w:t>
      </w:r>
      <w:proofErr w:type="spellEnd"/>
      <w:r w:rsidRPr="00886B0A">
        <w:t>)</w:t>
      </w:r>
      <w:r w:rsidR="00474EEB">
        <w:t>, s</w:t>
      </w:r>
      <w:r w:rsidRPr="00886B0A">
        <w:t>ubmission PM-2024-02578-1-2</w:t>
      </w:r>
      <w:r w:rsidR="00474EEB">
        <w:t>.</w:t>
      </w:r>
    </w:p>
    <w:tbl>
      <w:tblPr>
        <w:tblStyle w:val="TableTGAblue2023"/>
        <w:tblW w:w="8642" w:type="dxa"/>
        <w:tblLook w:val="04A0" w:firstRow="1" w:lastRow="0" w:firstColumn="1" w:lastColumn="0" w:noHBand="0" w:noVBand="1"/>
      </w:tblPr>
      <w:tblGrid>
        <w:gridCol w:w="5665"/>
        <w:gridCol w:w="2977"/>
      </w:tblGrid>
      <w:tr w:rsidR="00886B0A" w:rsidRPr="00886B0A" w14:paraId="3FFCE603" w14:textId="77777777" w:rsidTr="00DA0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205C5CD" w14:textId="77777777" w:rsidR="00886B0A" w:rsidRPr="00886B0A" w:rsidRDefault="00886B0A" w:rsidP="0089726F">
            <w:r w:rsidRPr="00886B0A">
              <w:t>Description</w:t>
            </w:r>
          </w:p>
        </w:tc>
        <w:tc>
          <w:tcPr>
            <w:tcW w:w="2977" w:type="dxa"/>
          </w:tcPr>
          <w:p w14:paraId="3281FE13" w14:textId="77777777" w:rsidR="00886B0A" w:rsidRPr="00886B0A" w:rsidRDefault="00886B0A" w:rsidP="0089726F">
            <w:pPr>
              <w:cnfStyle w:val="100000000000" w:firstRow="1" w:lastRow="0" w:firstColumn="0" w:lastColumn="0" w:oddVBand="0" w:evenVBand="0" w:oddHBand="0" w:evenHBand="0" w:firstRowFirstColumn="0" w:firstRowLastColumn="0" w:lastRowFirstColumn="0" w:lastRowLastColumn="0"/>
            </w:pPr>
            <w:r w:rsidRPr="00886B0A">
              <w:t>Date</w:t>
            </w:r>
          </w:p>
        </w:tc>
      </w:tr>
      <w:tr w:rsidR="00886B0A" w:rsidRPr="00886B0A" w14:paraId="2AF7310E" w14:textId="77777777" w:rsidTr="00DA0556">
        <w:tc>
          <w:tcPr>
            <w:cnfStyle w:val="001000000000" w:firstRow="0" w:lastRow="0" w:firstColumn="1" w:lastColumn="0" w:oddVBand="0" w:evenVBand="0" w:oddHBand="0" w:evenHBand="0" w:firstRowFirstColumn="0" w:firstRowLastColumn="0" w:lastRowFirstColumn="0" w:lastRowLastColumn="0"/>
            <w:tcW w:w="5665" w:type="dxa"/>
          </w:tcPr>
          <w:p w14:paraId="6410DA07" w14:textId="77777777" w:rsidR="00886B0A" w:rsidRPr="00886B0A" w:rsidRDefault="00886B0A" w:rsidP="0089726F">
            <w:r w:rsidRPr="00886B0A">
              <w:t>Submission dossier accepted and first round evaluation commenced</w:t>
            </w:r>
          </w:p>
        </w:tc>
        <w:tc>
          <w:tcPr>
            <w:tcW w:w="2977" w:type="dxa"/>
          </w:tcPr>
          <w:p w14:paraId="75892FAF" w14:textId="77777777" w:rsidR="00886B0A" w:rsidRPr="00886B0A" w:rsidRDefault="00886B0A" w:rsidP="0089726F">
            <w:pPr>
              <w:cnfStyle w:val="000000000000" w:firstRow="0" w:lastRow="0" w:firstColumn="0" w:lastColumn="0" w:oddVBand="0" w:evenVBand="0" w:oddHBand="0" w:evenHBand="0" w:firstRowFirstColumn="0" w:firstRowLastColumn="0" w:lastRowFirstColumn="0" w:lastRowLastColumn="0"/>
            </w:pPr>
            <w:r w:rsidRPr="00886B0A">
              <w:t>2 August 2024</w:t>
            </w:r>
          </w:p>
        </w:tc>
      </w:tr>
      <w:tr w:rsidR="00886B0A" w:rsidRPr="00886B0A" w14:paraId="26FCB25B" w14:textId="77777777" w:rsidTr="00DA0556">
        <w:tc>
          <w:tcPr>
            <w:cnfStyle w:val="001000000000" w:firstRow="0" w:lastRow="0" w:firstColumn="1" w:lastColumn="0" w:oddVBand="0" w:evenVBand="0" w:oddHBand="0" w:evenHBand="0" w:firstRowFirstColumn="0" w:firstRowLastColumn="0" w:lastRowFirstColumn="0" w:lastRowLastColumn="0"/>
            <w:tcW w:w="5665" w:type="dxa"/>
          </w:tcPr>
          <w:p w14:paraId="6821AFE3" w14:textId="77777777" w:rsidR="00886B0A" w:rsidRPr="00886B0A" w:rsidRDefault="00886B0A" w:rsidP="0089726F">
            <w:r w:rsidRPr="00886B0A">
              <w:t>Evaluation completed</w:t>
            </w:r>
          </w:p>
        </w:tc>
        <w:tc>
          <w:tcPr>
            <w:tcW w:w="2977" w:type="dxa"/>
          </w:tcPr>
          <w:p w14:paraId="6F659471" w14:textId="77777777" w:rsidR="00886B0A" w:rsidRPr="00886B0A" w:rsidRDefault="00886B0A" w:rsidP="0089726F">
            <w:pPr>
              <w:cnfStyle w:val="000000000000" w:firstRow="0" w:lastRow="0" w:firstColumn="0" w:lastColumn="0" w:oddVBand="0" w:evenVBand="0" w:oddHBand="0" w:evenHBand="0" w:firstRowFirstColumn="0" w:firstRowLastColumn="0" w:lastRowFirstColumn="0" w:lastRowLastColumn="0"/>
            </w:pPr>
            <w:r w:rsidRPr="00886B0A">
              <w:t>8 October 2024</w:t>
            </w:r>
          </w:p>
        </w:tc>
      </w:tr>
      <w:tr w:rsidR="00886B0A" w:rsidRPr="00886B0A" w14:paraId="166D2B54" w14:textId="77777777" w:rsidTr="00DA0556">
        <w:tc>
          <w:tcPr>
            <w:cnfStyle w:val="001000000000" w:firstRow="0" w:lastRow="0" w:firstColumn="1" w:lastColumn="0" w:oddVBand="0" w:evenVBand="0" w:oddHBand="0" w:evenHBand="0" w:firstRowFirstColumn="0" w:firstRowLastColumn="0" w:lastRowFirstColumn="0" w:lastRowLastColumn="0"/>
            <w:tcW w:w="5665" w:type="dxa"/>
          </w:tcPr>
          <w:p w14:paraId="475317E9" w14:textId="77777777" w:rsidR="00886B0A" w:rsidRPr="00886B0A" w:rsidRDefault="00886B0A" w:rsidP="0089726F">
            <w:r w:rsidRPr="00886B0A">
              <w:t>Registration decision (Outcome)</w:t>
            </w:r>
          </w:p>
        </w:tc>
        <w:tc>
          <w:tcPr>
            <w:tcW w:w="2977" w:type="dxa"/>
          </w:tcPr>
          <w:p w14:paraId="59C93117" w14:textId="77777777" w:rsidR="00886B0A" w:rsidRPr="00886B0A" w:rsidRDefault="00886B0A" w:rsidP="0089726F">
            <w:pPr>
              <w:cnfStyle w:val="000000000000" w:firstRow="0" w:lastRow="0" w:firstColumn="0" w:lastColumn="0" w:oddVBand="0" w:evenVBand="0" w:oddHBand="0" w:evenHBand="0" w:firstRowFirstColumn="0" w:firstRowLastColumn="0" w:lastRowFirstColumn="0" w:lastRowLastColumn="0"/>
            </w:pPr>
            <w:r w:rsidRPr="00886B0A">
              <w:t>10 October 2024</w:t>
            </w:r>
          </w:p>
        </w:tc>
      </w:tr>
      <w:tr w:rsidR="00886B0A" w:rsidRPr="00886B0A" w14:paraId="3C579AB9" w14:textId="77777777" w:rsidTr="00DA0556">
        <w:tc>
          <w:tcPr>
            <w:cnfStyle w:val="001000000000" w:firstRow="0" w:lastRow="0" w:firstColumn="1" w:lastColumn="0" w:oddVBand="0" w:evenVBand="0" w:oddHBand="0" w:evenHBand="0" w:firstRowFirstColumn="0" w:firstRowLastColumn="0" w:lastRowFirstColumn="0" w:lastRowLastColumn="0"/>
            <w:tcW w:w="5665" w:type="dxa"/>
          </w:tcPr>
          <w:p w14:paraId="75240589" w14:textId="77777777" w:rsidR="00886B0A" w:rsidRPr="00886B0A" w:rsidRDefault="00886B0A" w:rsidP="0089726F">
            <w:r w:rsidRPr="00886B0A">
              <w:t>Registration in the ARTG</w:t>
            </w:r>
          </w:p>
        </w:tc>
        <w:tc>
          <w:tcPr>
            <w:tcW w:w="2977" w:type="dxa"/>
          </w:tcPr>
          <w:p w14:paraId="01F558AD" w14:textId="77777777" w:rsidR="00886B0A" w:rsidRPr="00886B0A" w:rsidRDefault="00886B0A" w:rsidP="0089726F">
            <w:pPr>
              <w:cnfStyle w:val="000000000000" w:firstRow="0" w:lastRow="0" w:firstColumn="0" w:lastColumn="0" w:oddVBand="0" w:evenVBand="0" w:oddHBand="0" w:evenHBand="0" w:firstRowFirstColumn="0" w:firstRowLastColumn="0" w:lastRowFirstColumn="0" w:lastRowLastColumn="0"/>
            </w:pPr>
            <w:r w:rsidRPr="00886B0A">
              <w:t>11 October 2024</w:t>
            </w:r>
          </w:p>
        </w:tc>
      </w:tr>
      <w:tr w:rsidR="00886B0A" w:rsidRPr="00886B0A" w14:paraId="50498C02" w14:textId="77777777" w:rsidTr="00DA0556">
        <w:tc>
          <w:tcPr>
            <w:cnfStyle w:val="001000000000" w:firstRow="0" w:lastRow="0" w:firstColumn="1" w:lastColumn="0" w:oddVBand="0" w:evenVBand="0" w:oddHBand="0" w:evenHBand="0" w:firstRowFirstColumn="0" w:firstRowLastColumn="0" w:lastRowFirstColumn="0" w:lastRowLastColumn="0"/>
            <w:tcW w:w="5665" w:type="dxa"/>
          </w:tcPr>
          <w:p w14:paraId="07D775B1" w14:textId="05DF75FA" w:rsidR="00886B0A" w:rsidRPr="00886B0A" w:rsidRDefault="00886B0A" w:rsidP="0089726F">
            <w:r w:rsidRPr="00886B0A">
              <w:t>Number of working days from submission</w:t>
            </w:r>
            <w:r w:rsidR="00D55479">
              <w:t>*</w:t>
            </w:r>
            <w:r w:rsidRPr="00886B0A">
              <w:t xml:space="preserve"> dossier acceptance to registration decision</w:t>
            </w:r>
          </w:p>
        </w:tc>
        <w:tc>
          <w:tcPr>
            <w:tcW w:w="2977" w:type="dxa"/>
          </w:tcPr>
          <w:p w14:paraId="6FCAC08B" w14:textId="77777777" w:rsidR="00886B0A" w:rsidRPr="00886B0A" w:rsidRDefault="00886B0A" w:rsidP="0089726F">
            <w:pPr>
              <w:cnfStyle w:val="000000000000" w:firstRow="0" w:lastRow="0" w:firstColumn="0" w:lastColumn="0" w:oddVBand="0" w:evenVBand="0" w:oddHBand="0" w:evenHBand="0" w:firstRowFirstColumn="0" w:firstRowLastColumn="0" w:lastRowFirstColumn="0" w:lastRowLastColumn="0"/>
            </w:pPr>
            <w:r w:rsidRPr="00886B0A">
              <w:t>71</w:t>
            </w:r>
          </w:p>
        </w:tc>
      </w:tr>
    </w:tbl>
    <w:p w14:paraId="4E0E238B" w14:textId="1F039053" w:rsidR="00D55479" w:rsidRDefault="00D55479" w:rsidP="00D55479">
      <w:pPr>
        <w:pStyle w:val="TableDescription"/>
      </w:pPr>
      <w:bookmarkStart w:id="23" w:name="_Toc196046504"/>
      <w:bookmarkStart w:id="24" w:name="_Toc247691527"/>
      <w:bookmarkStart w:id="25" w:name="_Toc314842510"/>
      <w:bookmarkStart w:id="26" w:name="_Toc103679294"/>
      <w:bookmarkStart w:id="27" w:name="_Toc179893828"/>
      <w:r w:rsidRPr="00D55479">
        <w:t>*Statutory timeframe for standard submissions is 255 working days</w:t>
      </w:r>
    </w:p>
    <w:p w14:paraId="2E01F36A" w14:textId="68BDA274" w:rsidR="00886B0A" w:rsidRDefault="00886B0A" w:rsidP="0089726F">
      <w:pPr>
        <w:pStyle w:val="Heading2"/>
      </w:pPr>
      <w:bookmarkStart w:id="28" w:name="_Toc194486322"/>
      <w:r w:rsidRPr="00CE0CD8">
        <w:t>Evaluation overview</w:t>
      </w:r>
      <w:bookmarkStart w:id="29" w:name="_Toc247691528"/>
      <w:bookmarkStart w:id="30" w:name="_Toc314842511"/>
      <w:bookmarkStart w:id="31" w:name="_Toc103679295"/>
      <w:bookmarkEnd w:id="23"/>
      <w:bookmarkEnd w:id="24"/>
      <w:bookmarkEnd w:id="25"/>
      <w:bookmarkEnd w:id="26"/>
      <w:bookmarkEnd w:id="27"/>
      <w:bookmarkEnd w:id="28"/>
    </w:p>
    <w:p w14:paraId="7294966B" w14:textId="77777777" w:rsidR="00886B0A" w:rsidRDefault="00886B0A" w:rsidP="0089726F">
      <w:pPr>
        <w:pStyle w:val="Heading3"/>
      </w:pPr>
      <w:bookmarkStart w:id="32" w:name="_Toc194486323"/>
      <w:bookmarkEnd w:id="29"/>
      <w:bookmarkEnd w:id="30"/>
      <w:bookmarkEnd w:id="31"/>
      <w:r w:rsidRPr="00886B0A">
        <w:t xml:space="preserve">Quality evaluation </w:t>
      </w:r>
      <w:r w:rsidRPr="0089726F">
        <w:t>summary</w:t>
      </w:r>
      <w:bookmarkEnd w:id="32"/>
    </w:p>
    <w:p w14:paraId="004B1933" w14:textId="4941C9A8" w:rsidR="00E07F77" w:rsidRPr="00E07F77" w:rsidRDefault="00E07F77" w:rsidP="0089726F">
      <w:r w:rsidRPr="00E07F77">
        <w:t xml:space="preserve">The manufacture of the JN.1 </w:t>
      </w:r>
      <w:r>
        <w:t xml:space="preserve">DS and </w:t>
      </w:r>
      <w:r w:rsidRPr="00E07F77">
        <w:t xml:space="preserve">DP relies on the same manufacturing processes used for the Original and Omicron variant vaccine DP with no changes to lipid nanoparticle (LNP) formation and stabilisation, bulk </w:t>
      </w:r>
      <w:r>
        <w:t>DS/</w:t>
      </w:r>
      <w:r w:rsidRPr="00E07F77">
        <w:t xml:space="preserve">DP formulation, thawing and pooling of </w:t>
      </w:r>
      <w:r>
        <w:t>DS/</w:t>
      </w:r>
      <w:r w:rsidRPr="00E07F77">
        <w:t>DP intermediate</w:t>
      </w:r>
      <w:r>
        <w:t>s</w:t>
      </w:r>
      <w:r w:rsidRPr="00E07F77">
        <w:t xml:space="preserve">, </w:t>
      </w:r>
      <w:r>
        <w:t>DS/</w:t>
      </w:r>
      <w:r w:rsidRPr="00E07F77">
        <w:t xml:space="preserve">DP filling, or packaging processes, including facilities, filling lines and components for the updated vaccine compared to the previously authorised Original and/or variant vaccines. The </w:t>
      </w:r>
      <w:r>
        <w:t>DS/</w:t>
      </w:r>
      <w:r w:rsidRPr="00E07F77">
        <w:t xml:space="preserve">DP specifications are identical to the </w:t>
      </w:r>
      <w:r w:rsidR="0027105D">
        <w:t>o</w:t>
      </w:r>
      <w:r w:rsidRPr="00E07F77">
        <w:t xml:space="preserve">riginal </w:t>
      </w:r>
      <w:r>
        <w:t>DS/</w:t>
      </w:r>
      <w:r w:rsidRPr="00E07F77">
        <w:t>DP vial</w:t>
      </w:r>
      <w:r>
        <w:t>s</w:t>
      </w:r>
      <w:r w:rsidRPr="00E07F77">
        <w:t xml:space="preserve"> and recent XBB.1.5 vial and PFS </w:t>
      </w:r>
      <w:r w:rsidRPr="00E07F77">
        <w:lastRenderedPageBreak/>
        <w:t>presentations and are considered acceptable for the control of the JN.1 DP (Vial and PFS presentations).</w:t>
      </w:r>
    </w:p>
    <w:p w14:paraId="495B8859" w14:textId="77777777" w:rsidR="00886B0A" w:rsidRPr="00886B0A" w:rsidRDefault="00886B0A" w:rsidP="0089726F">
      <w:pPr>
        <w:pStyle w:val="Heading4"/>
      </w:pPr>
      <w:bookmarkStart w:id="33" w:name="_Toc194486324"/>
      <w:r w:rsidRPr="00886B0A">
        <w:t>GMP clearance for listed manufacturers</w:t>
      </w:r>
      <w:bookmarkEnd w:id="33"/>
    </w:p>
    <w:p w14:paraId="578A9360" w14:textId="221E71E6" w:rsidR="00886B0A" w:rsidRPr="00886B0A" w:rsidRDefault="00886B0A" w:rsidP="0089726F">
      <w:r w:rsidRPr="00886B0A">
        <w:t xml:space="preserve">All relevant manufacturing sites require approved and current </w:t>
      </w:r>
      <w:r w:rsidR="00E07F77">
        <w:t>Good Manufacturing Practise (</w:t>
      </w:r>
      <w:r w:rsidRPr="00886B0A">
        <w:t>GMP</w:t>
      </w:r>
      <w:r w:rsidR="00E07F77">
        <w:t>)</w:t>
      </w:r>
      <w:r w:rsidRPr="00886B0A">
        <w:t xml:space="preserve"> </w:t>
      </w:r>
      <w:r w:rsidR="00E07F77">
        <w:t>c</w:t>
      </w:r>
      <w:r w:rsidRPr="00886B0A">
        <w:t>learances prior to Australian supply. A commitment is required from the Sponsor that they maintain the validity of all manufacturer GMP Clearances for the duration of product supply to Australia. Additionally, that adherence to the conditions of GMP Clearance approval is upheld.</w:t>
      </w:r>
      <w:r w:rsidR="00E07F77" w:rsidRPr="00E07F77">
        <w:t xml:space="preserve"> </w:t>
      </w:r>
      <w:r w:rsidR="00E07F77" w:rsidRPr="00405E5E">
        <w:t xml:space="preserve">All manufacturing sites responsible for all steps of the Omicron JN.1 DS and Omicron JN.1 </w:t>
      </w:r>
      <w:r w:rsidR="00E07F77">
        <w:t xml:space="preserve">drug product </w:t>
      </w:r>
      <w:r w:rsidR="00E07F77" w:rsidRPr="00405E5E">
        <w:t>manufacture are performed by previously authorised GMP facilities, and all clearances are up to date</w:t>
      </w:r>
      <w:r w:rsidR="00E07F77">
        <w:t>.</w:t>
      </w:r>
    </w:p>
    <w:p w14:paraId="7A44A9EE" w14:textId="77777777" w:rsidR="00886B0A" w:rsidRPr="00886B0A" w:rsidRDefault="00886B0A" w:rsidP="0089726F">
      <w:pPr>
        <w:pStyle w:val="Heading4"/>
      </w:pPr>
      <w:bookmarkStart w:id="34" w:name="_Toc194486325"/>
      <w:r w:rsidRPr="00886B0A">
        <w:t>Post-approval stability protocol and stability commitment</w:t>
      </w:r>
      <w:bookmarkEnd w:id="34"/>
    </w:p>
    <w:p w14:paraId="37380A6B" w14:textId="657E0FA8" w:rsidR="00886B0A" w:rsidRPr="00886B0A" w:rsidRDefault="00886B0A" w:rsidP="0089726F">
      <w:r w:rsidRPr="00886B0A">
        <w:t xml:space="preserve">The manufacturer has provided </w:t>
      </w:r>
      <w:r>
        <w:t xml:space="preserve">a </w:t>
      </w:r>
      <w:r w:rsidRPr="00886B0A">
        <w:t>commitment to continue the ongoing stability studies presented in the stability studies protocol. Additionally, one batch of DP per year for all relevant products will be placed on long term stability program and on accelerated stability testing where significant changes are made to the manufacturing process. The manufacturer has committed to communicate any out of specifications stability test results to the TGA.</w:t>
      </w:r>
    </w:p>
    <w:p w14:paraId="7BF4878E" w14:textId="736E3A86" w:rsidR="00886B0A" w:rsidRDefault="00886B0A" w:rsidP="0089726F">
      <w:pPr>
        <w:pStyle w:val="Heading4"/>
      </w:pPr>
      <w:bookmarkStart w:id="35" w:name="_Toc194486326"/>
      <w:r w:rsidRPr="00886B0A">
        <w:t xml:space="preserve">Batch </w:t>
      </w:r>
      <w:r w:rsidR="0089726F">
        <w:t>a</w:t>
      </w:r>
      <w:r w:rsidRPr="00886B0A">
        <w:t>nalysis (DS and DP)</w:t>
      </w:r>
      <w:bookmarkEnd w:id="35"/>
    </w:p>
    <w:p w14:paraId="05C80D47" w14:textId="267F556F" w:rsidR="00E07F77" w:rsidRPr="00E07F77" w:rsidRDefault="00E07F77" w:rsidP="0089726F">
      <w:r w:rsidRPr="00E07F77">
        <w:t>While it is usual practice of providing three batch analysis to demonstrate batch to batch consistency to demonstrate the manufacturing process performs in a state of control, it should be noted that the JN.1 DS</w:t>
      </w:r>
      <w:r>
        <w:t xml:space="preserve"> and DP</w:t>
      </w:r>
      <w:r w:rsidRPr="00E07F77">
        <w:t xml:space="preserve"> is produced according to the same manufacturing processes and controls as the Original and subsequent variant DS</w:t>
      </w:r>
      <w:r>
        <w:t>/DP</w:t>
      </w:r>
      <w:r w:rsidRPr="00E07F77">
        <w:t>. As such, the Sponsor submitted release data for a single confirmatory batch</w:t>
      </w:r>
      <w:r>
        <w:t xml:space="preserve"> </w:t>
      </w:r>
      <w:r w:rsidRPr="00E07F77">
        <w:t>manufactured on the 9 March 2024 at the commercial scale (112.8 L). The batch met the pre-determined release acceptance criteria</w:t>
      </w:r>
      <w:r w:rsidR="0089726F">
        <w:t>.</w:t>
      </w:r>
    </w:p>
    <w:p w14:paraId="6F0146DF" w14:textId="3A611A43" w:rsidR="00886B0A" w:rsidRPr="00886B0A" w:rsidRDefault="00E07F77" w:rsidP="0089726F">
      <w:r>
        <w:t>The Sponsor has committed to p</w:t>
      </w:r>
      <w:r w:rsidR="00886B0A" w:rsidRPr="00886B0A">
        <w:t>rovide batch analysis data for additional DS and DP batches manufactured at the commercial scale once they become available to support batch-to-batch consistency.</w:t>
      </w:r>
    </w:p>
    <w:p w14:paraId="1F08D59F" w14:textId="77777777" w:rsidR="00886B0A" w:rsidRDefault="00886B0A" w:rsidP="0089726F">
      <w:pPr>
        <w:pStyle w:val="Heading4"/>
      </w:pPr>
      <w:bookmarkStart w:id="36" w:name="_Toc194486327"/>
      <w:r w:rsidRPr="00886B0A">
        <w:t>Stability (DS and DP)</w:t>
      </w:r>
      <w:bookmarkEnd w:id="36"/>
    </w:p>
    <w:p w14:paraId="718D3C59" w14:textId="5861428E" w:rsidR="00E341B4" w:rsidRDefault="00E341B4" w:rsidP="0089726F">
      <w:r>
        <w:t xml:space="preserve">The Sponsor has demonstrated the DS is stable for </w:t>
      </w:r>
      <w:r w:rsidRPr="00E341B4">
        <w:t>6 months when stored at the intended storage condition of –20±5°C</w:t>
      </w:r>
      <w:r>
        <w:t xml:space="preserve">, that the DP is stable for </w:t>
      </w:r>
      <w:r w:rsidRPr="00E341B4">
        <w:t>18 months stored at -90°C to -60°C for vial presentations</w:t>
      </w:r>
      <w:r>
        <w:t>, 12 months for plastic pre-filled syringe (PFS) presentations at -</w:t>
      </w:r>
      <w:r w:rsidRPr="00E341B4">
        <w:t>90°C to -60°C</w:t>
      </w:r>
      <w:r>
        <w:t>,</w:t>
      </w:r>
      <w:r w:rsidRPr="00E341B4">
        <w:t xml:space="preserve"> </w:t>
      </w:r>
      <w:r>
        <w:t xml:space="preserve">and </w:t>
      </w:r>
      <w:r w:rsidRPr="00E341B4">
        <w:t xml:space="preserve">8 months </w:t>
      </w:r>
      <w:r w:rsidR="00946BE9">
        <w:t xml:space="preserve">for glass PFS </w:t>
      </w:r>
      <w:r w:rsidRPr="00E341B4">
        <w:t>when stored at 2-8°C</w:t>
      </w:r>
      <w:r>
        <w:t>.</w:t>
      </w:r>
    </w:p>
    <w:p w14:paraId="166C7C8C" w14:textId="567DED41" w:rsidR="00E341B4" w:rsidRPr="00E341B4" w:rsidRDefault="00E341B4" w:rsidP="0089726F">
      <w:r>
        <w:t>The Sponsor has committed to:</w:t>
      </w:r>
    </w:p>
    <w:p w14:paraId="30F7EAF0" w14:textId="13893DC5" w:rsidR="00886B0A" w:rsidRPr="00886B0A" w:rsidRDefault="00886B0A" w:rsidP="0089726F">
      <w:pPr>
        <w:pStyle w:val="ListBullet"/>
      </w:pPr>
      <w:r w:rsidRPr="00886B0A">
        <w:t xml:space="preserve">Provide the results from ongoing stability studies performed on Omicron JN.1 DS lots when stored at -20±5°C </w:t>
      </w:r>
      <w:r w:rsidRPr="0089726F">
        <w:t>and</w:t>
      </w:r>
      <w:r w:rsidRPr="00886B0A">
        <w:t xml:space="preserve"> 5±3°C for each time point in accordance with the stability testing protocols to support the shelf life of the DS.</w:t>
      </w:r>
    </w:p>
    <w:p w14:paraId="31FCB92D" w14:textId="77777777" w:rsidR="00886B0A" w:rsidRPr="00886B0A" w:rsidRDefault="00886B0A" w:rsidP="0089726F">
      <w:pPr>
        <w:pStyle w:val="ListBullet"/>
      </w:pPr>
      <w:r w:rsidRPr="00886B0A">
        <w:t xml:space="preserve">Provide the results from ongoing stability studies performed on JN.1. Variant DP (vial) lots when stored at -90°C to -60°C and 5±3°C for each </w:t>
      </w:r>
      <w:r w:rsidRPr="0089726F">
        <w:t>time</w:t>
      </w:r>
      <w:r w:rsidRPr="00886B0A">
        <w:t xml:space="preserve"> point in accordance with the stability testing protocols to support the shelf life of the DP vial lots.</w:t>
      </w:r>
    </w:p>
    <w:p w14:paraId="4758D1D5" w14:textId="77777777" w:rsidR="00886B0A" w:rsidRPr="00886B0A" w:rsidRDefault="00886B0A" w:rsidP="0089726F">
      <w:pPr>
        <w:pStyle w:val="ListBullet"/>
      </w:pPr>
      <w:r w:rsidRPr="00886B0A">
        <w:t xml:space="preserve">Provide the results from ongoing stability studies performed on JN.1. Variant DP (PFS – Frozen Plastic) lots when stored at -90°C to -60°C and 5±3°C </w:t>
      </w:r>
      <w:r w:rsidRPr="0089726F">
        <w:t>for</w:t>
      </w:r>
      <w:r w:rsidRPr="00886B0A">
        <w:t xml:space="preserve"> each time point in </w:t>
      </w:r>
      <w:r w:rsidRPr="00886B0A">
        <w:lastRenderedPageBreak/>
        <w:t>accordance with the stability testing protocols to support the shelf life of the DP PFS – Frozen Plastic lots.</w:t>
      </w:r>
    </w:p>
    <w:p w14:paraId="3576B418" w14:textId="77777777" w:rsidR="00886B0A" w:rsidRPr="00886B0A" w:rsidRDefault="00886B0A" w:rsidP="0089726F">
      <w:pPr>
        <w:pStyle w:val="ListBullet"/>
      </w:pPr>
      <w:r w:rsidRPr="00886B0A">
        <w:t xml:space="preserve">Provide the results from ongoing </w:t>
      </w:r>
      <w:r w:rsidRPr="0089726F">
        <w:t>stability</w:t>
      </w:r>
      <w:r w:rsidRPr="00886B0A">
        <w:t xml:space="preserve"> studies performed on JN.1. Variant DP (PFS – Refrigerated Glass) lots when stored at 2-8°C and 25±2°C for each time point in accordance with the stability testing protocols to support the shelf life of the DP PFS – Refrigerated Glass lots.</w:t>
      </w:r>
    </w:p>
    <w:p w14:paraId="46422A1C" w14:textId="2B68B4C6" w:rsidR="00886B0A" w:rsidRPr="00886B0A" w:rsidRDefault="00886B0A" w:rsidP="0089726F">
      <w:pPr>
        <w:pStyle w:val="ListBullet"/>
      </w:pPr>
      <w:r w:rsidRPr="00886B0A">
        <w:t xml:space="preserve">There are no significant </w:t>
      </w:r>
      <w:r w:rsidRPr="0089726F">
        <w:t>issues</w:t>
      </w:r>
      <w:r w:rsidRPr="00886B0A">
        <w:t xml:space="preserve"> identified from the quality evaluation of the submitted data that would indicate the product should not be registered </w:t>
      </w:r>
      <w:proofErr w:type="gramStart"/>
      <w:r w:rsidRPr="00886B0A">
        <w:t>on the basis of</w:t>
      </w:r>
      <w:proofErr w:type="gramEnd"/>
      <w:r w:rsidRPr="00886B0A">
        <w:t xml:space="preserve"> quality, or safety-related issues arising from the quality of the product. The manufacturing quality information submitted by the Sponsor support the registration of </w:t>
      </w:r>
      <w:proofErr w:type="spellStart"/>
      <w:r w:rsidRPr="00886B0A">
        <w:t>bretovameran</w:t>
      </w:r>
      <w:proofErr w:type="spellEnd"/>
      <w:r w:rsidRPr="00886B0A">
        <w:t>.</w:t>
      </w:r>
    </w:p>
    <w:p w14:paraId="2BE90AAE" w14:textId="17C3AC61" w:rsidR="00C22214" w:rsidRDefault="00C22214" w:rsidP="0089726F">
      <w:pPr>
        <w:pStyle w:val="Heading3"/>
      </w:pPr>
      <w:bookmarkStart w:id="37" w:name="_Toc314842512"/>
      <w:bookmarkStart w:id="38" w:name="_Toc103679296"/>
      <w:bookmarkStart w:id="39" w:name="_Toc194486328"/>
      <w:r>
        <w:t>Nonclinical</w:t>
      </w:r>
      <w:bookmarkEnd w:id="37"/>
      <w:bookmarkEnd w:id="38"/>
      <w:r w:rsidR="00E341B4">
        <w:t xml:space="preserve"> </w:t>
      </w:r>
      <w:r w:rsidR="0089726F">
        <w:t>e</w:t>
      </w:r>
      <w:r w:rsidR="00E341B4">
        <w:t xml:space="preserve">valuation </w:t>
      </w:r>
      <w:r w:rsidR="0089726F" w:rsidRPr="0089726F">
        <w:t>s</w:t>
      </w:r>
      <w:r w:rsidR="00E341B4" w:rsidRPr="0089726F">
        <w:t>ummary</w:t>
      </w:r>
      <w:bookmarkEnd w:id="39"/>
    </w:p>
    <w:p w14:paraId="621F07F5" w14:textId="6A74D815" w:rsidR="00E341B4" w:rsidRDefault="00E341B4" w:rsidP="0089726F">
      <w:r>
        <w:t xml:space="preserve">The nonclinical data </w:t>
      </w:r>
      <w:r w:rsidRPr="00E341B4">
        <w:t xml:space="preserve">comprised 2 immunogenicity studies with BNT162b2 </w:t>
      </w:r>
      <w:r w:rsidR="00571CB6">
        <w:t>(</w:t>
      </w:r>
      <w:r w:rsidR="00571CB6" w:rsidRPr="00571CB6">
        <w:t xml:space="preserve">Pfizer BioNTech COVID-19 </w:t>
      </w:r>
      <w:proofErr w:type="gramStart"/>
      <w:r w:rsidR="00571CB6" w:rsidRPr="00571CB6">
        <w:t xml:space="preserve">vaccine </w:t>
      </w:r>
      <w:r w:rsidR="00571CB6">
        <w:t>)</w:t>
      </w:r>
      <w:proofErr w:type="gramEnd"/>
      <w:r w:rsidR="00571CB6">
        <w:t xml:space="preserve"> </w:t>
      </w:r>
      <w:r w:rsidRPr="00E341B4">
        <w:t>JN.1 and 2 tissue distribution studies with LNP/luciferase-encoding modRNA or LNP/BNT162b2 mRNA</w:t>
      </w:r>
      <w:r>
        <w:t>.</w:t>
      </w:r>
    </w:p>
    <w:p w14:paraId="5A62433C" w14:textId="77777777" w:rsidR="00E341B4" w:rsidRDefault="00E341B4" w:rsidP="0089726F">
      <w:pPr>
        <w:pStyle w:val="Heading4"/>
      </w:pPr>
      <w:bookmarkStart w:id="40" w:name="_Toc194486329"/>
      <w:r w:rsidRPr="0089726F">
        <w:t>Immunogenicity</w:t>
      </w:r>
      <w:bookmarkEnd w:id="40"/>
    </w:p>
    <w:p w14:paraId="31FD5979" w14:textId="5E6718B6" w:rsidR="00E341B4" w:rsidRDefault="00E341B4" w:rsidP="0089726F">
      <w:r>
        <w:t xml:space="preserve">In the immunogenicity study with the BNT162b2 JN.1 vaccine as a primary 2-dose series immunisation in naïve mice, robust neutralising antibody responses were elicited 1 month after a 2nd injection against JN.1 and its </w:t>
      </w:r>
      <w:proofErr w:type="spellStart"/>
      <w:r>
        <w:t>sublineages</w:t>
      </w:r>
      <w:proofErr w:type="spellEnd"/>
      <w:r>
        <w:t xml:space="preserve"> including </w:t>
      </w:r>
      <w:r w:rsidR="00CC41DD">
        <w:t>JN.1, JN.1.6.1, JN.1.7, JN.1.13.1, JN.1.16.1, KP.1.1, KP.2 and KP.3</w:t>
      </w:r>
      <w:r>
        <w:t xml:space="preserve">. Compared to the BNT162b2 XBB.1.5 vaccine, BNT162b2 JN.1 resulted in 6 to 196-fold higher neutralising antibody titres against JN.1 and </w:t>
      </w:r>
      <w:proofErr w:type="spellStart"/>
      <w:r>
        <w:t>sublineages</w:t>
      </w:r>
      <w:proofErr w:type="spellEnd"/>
      <w:r>
        <w:t xml:space="preserve">, and </w:t>
      </w:r>
      <w:proofErr w:type="gramStart"/>
      <w:r>
        <w:t>100 fold</w:t>
      </w:r>
      <w:proofErr w:type="gramEnd"/>
      <w:r>
        <w:t xml:space="preserve"> lower titres against XBB.1.5. Additionally, in spleens collected from immunised mice one month after the 2nd dose, BNT162b2 JN.1 induced strong spike specific CD4+ and CD8+ T cell cytokine responses that were highly cross-reactive to peptide pools (representing the full-length of spike protein) of all variants tested (Wuhan [WT], BA.4/5, JN.1, XBB.1.5). The BNT162b2 JN.1 vaccine elicited more robust T cell response against JN.1 peptide pools than the BNT162b2 XBB.1.5 vaccine, particularly in terms of CD8+ T cell responses vs. CD4+ T cell responses.</w:t>
      </w:r>
    </w:p>
    <w:p w14:paraId="3BCAE7C5" w14:textId="1EC6E51D" w:rsidR="00E341B4" w:rsidRDefault="00E341B4" w:rsidP="0089726F">
      <w:r>
        <w:t>The BNT162b2 JN.1 vaccine as a 5th booster dose after 1st and 2nd vaccination doses of BNT162b2 (Original), a 3rd dose of bivalent BNT162b2 (Original + Omicron BA.4/5) and a 4th dose of monovalent BNT162b2 XBB.1.5, induced neutralising antibody (</w:t>
      </w:r>
      <w:proofErr w:type="spellStart"/>
      <w:r>
        <w:t>NAb</w:t>
      </w:r>
      <w:proofErr w:type="spellEnd"/>
      <w:r>
        <w:t xml:space="preserve">) responses against a panel of JN.1 </w:t>
      </w:r>
      <w:proofErr w:type="spellStart"/>
      <w:r>
        <w:t>sublineage</w:t>
      </w:r>
      <w:proofErr w:type="spellEnd"/>
      <w:r>
        <w:t xml:space="preserve"> </w:t>
      </w:r>
      <w:proofErr w:type="spellStart"/>
      <w:r>
        <w:t>pseudoviruses</w:t>
      </w:r>
      <w:proofErr w:type="spellEnd"/>
      <w:r>
        <w:t xml:space="preserve"> (JN.1, JN.1.6.1, JN.1.7, JN.1.13.1, JN.1.16.1, KP.1.1, KP.2 and KP.3). The </w:t>
      </w:r>
      <w:proofErr w:type="spellStart"/>
      <w:r>
        <w:t>NAb</w:t>
      </w:r>
      <w:proofErr w:type="spellEnd"/>
      <w:r>
        <w:t xml:space="preserve"> titres against JN.1 and </w:t>
      </w:r>
      <w:proofErr w:type="spellStart"/>
      <w:r>
        <w:t>sublineages</w:t>
      </w:r>
      <w:proofErr w:type="spellEnd"/>
      <w:r>
        <w:t xml:space="preserve"> JN.1.1.1 and JN.1.7 after the BNT162b2 JN.1 vaccine were </w:t>
      </w:r>
      <w:proofErr w:type="gramStart"/>
      <w:r>
        <w:t>9-10 fold</w:t>
      </w:r>
      <w:proofErr w:type="gramEnd"/>
      <w:r>
        <w:t xml:space="preserve"> higher than the pre-5th dose titres (i.e. after the 4th XBB.1.5 vaccine dose) and 2-3 fold higher than the titres after the XBB.1.5 vaccine as the 5th dose.</w:t>
      </w:r>
    </w:p>
    <w:p w14:paraId="722A50FF" w14:textId="7F226A20" w:rsidR="00E341B4" w:rsidRDefault="00E341B4" w:rsidP="0089726F">
      <w:r>
        <w:t>The BNT162b2 JN.1 vaccine also induced strong antigen-specific CD4+ and CD8+ T cell responses, which were slightly lower than the responses by the XBB.1.5 variant vaccine. All CD4+ and CD8+ T cell responses were highly cross-reactive against the Wuhan strain and Omicron BA.4/5, XBB.1.5 and JN.1 variants.</w:t>
      </w:r>
    </w:p>
    <w:p w14:paraId="7D943495" w14:textId="193A0584" w:rsidR="00E341B4" w:rsidRDefault="00E341B4" w:rsidP="00E341B4">
      <w:r>
        <w:t xml:space="preserve">Overall immunogenicity studies in mice indicate the BNT162b2 JN.1 vaccine as a primary series vaccination or as a booster dose after previous vaccination with COVD-19 vaccines targeting other variants induced both humoral and cellular immunity, which may confer protection against COVID-19 infection by JN.1 and </w:t>
      </w:r>
      <w:proofErr w:type="spellStart"/>
      <w:r>
        <w:t>sublineage</w:t>
      </w:r>
      <w:proofErr w:type="spellEnd"/>
      <w:r>
        <w:t xml:space="preserve"> variants.</w:t>
      </w:r>
    </w:p>
    <w:p w14:paraId="047E4E2F" w14:textId="7067BDE9" w:rsidR="00E341B4" w:rsidRDefault="00E341B4" w:rsidP="0089726F">
      <w:pPr>
        <w:pStyle w:val="Heading4"/>
      </w:pPr>
      <w:bookmarkStart w:id="41" w:name="_Toc194486330"/>
      <w:r>
        <w:lastRenderedPageBreak/>
        <w:t xml:space="preserve">Tissue distribution of mRNA and </w:t>
      </w:r>
      <w:r w:rsidRPr="0089726F">
        <w:t>expressed</w:t>
      </w:r>
      <w:r>
        <w:t xml:space="preserve"> protein</w:t>
      </w:r>
      <w:bookmarkEnd w:id="41"/>
    </w:p>
    <w:p w14:paraId="7C8A210F" w14:textId="6792FD2A" w:rsidR="00E341B4" w:rsidRDefault="00E341B4" w:rsidP="0089726F">
      <w:r>
        <w:t>Tissue distribution of luciferase expressed from luciferase mRNA, and mRNA and/or expressed spike protein from injected BNT162b2 mRNA was studied in mice. The two mRNA-LNP formulations used in the studies contained the same functional lipids and structural lipids as those in BNT162b2 mRNA vaccines.</w:t>
      </w:r>
    </w:p>
    <w:p w14:paraId="158CDC66" w14:textId="77777777" w:rsidR="00E341B4" w:rsidRDefault="00E341B4" w:rsidP="0089726F">
      <w:r>
        <w:t xml:space="preserve">Bioluminescence whole body imaging and luciferase assay of individual tissues showed high luciferase expression at the injection site (muscle) and the draining lymph node (popliteal LN) on day 1 post-injection (higher at a dose of 1 </w:t>
      </w:r>
      <w:proofErr w:type="spellStart"/>
      <w:r>
        <w:t>μg</w:t>
      </w:r>
      <w:proofErr w:type="spellEnd"/>
      <w:r>
        <w:t xml:space="preserve"> cf. 0.2 </w:t>
      </w:r>
      <w:proofErr w:type="spellStart"/>
      <w:r>
        <w:t>μg</w:t>
      </w:r>
      <w:proofErr w:type="spellEnd"/>
      <w:r>
        <w:t xml:space="preserve">), which decreased to low levels by day 6. Other organs with protein (luciferase) expression at very low levels were axillary and inguinal LN on the injection side, liver and spleen. By day 6 after injection, luciferase was only detected in the injected muscle, popliteal LN, and at very low levels, in inguinal LN. No luciferase was detected in liver and spleen on day 6. The findings were </w:t>
      </w:r>
      <w:proofErr w:type="gramStart"/>
      <w:r>
        <w:t>similar to</w:t>
      </w:r>
      <w:proofErr w:type="gramEnd"/>
      <w:r>
        <w:t xml:space="preserve"> a previous study provided in the submission of the original vaccine, in which luciferase was detected by whole body imaging largely at the injection site (which declined to the background level after 9 days), with some distribution to liver (not detectable by 48 h).</w:t>
      </w:r>
    </w:p>
    <w:p w14:paraId="2CA6B953" w14:textId="77777777" w:rsidR="00E341B4" w:rsidRDefault="00E341B4" w:rsidP="00FD013D">
      <w:r>
        <w:t xml:space="preserve">Another distribution study in mice investigated BNT162b2 mRNA and spike protein biodistribution in mice 24 h after an IM injection of 1 </w:t>
      </w:r>
      <w:proofErr w:type="spellStart"/>
      <w:r>
        <w:t>μg</w:t>
      </w:r>
      <w:proofErr w:type="spellEnd"/>
      <w:r>
        <w:t xml:space="preserve"> BNT162b2 in the right hind muscle. Vaccine mRNA and expressed spike protein were both detected in the injected muscle and lymph nodes (popliteal, inguinal and axillary), and only mRNA (not spike protein) was detected in spleen and liver. No mRNA or spike protein was detected in lung, heart and brain (mRNA not analysed in brain), but the distribution of mRNA to these tissues cannot be completely ruled out due to limitation of the assay methods and occasionally detected weak signals in these tissues.</w:t>
      </w:r>
    </w:p>
    <w:p w14:paraId="13207D1F" w14:textId="77777777" w:rsidR="00E341B4" w:rsidRDefault="00E341B4" w:rsidP="00FD013D">
      <w:r>
        <w:t>Highest BNT162b2 mRNA containing cells were found in injected muscle, liver and spleen. Lymph nodes (popliteal, inguinal and axillary) also contained detectable levels of mRNA. The injected muscle tissue also had the highest spike protein levels, followed by the popliteal, inguinal and axillary LN (in descending order).</w:t>
      </w:r>
    </w:p>
    <w:p w14:paraId="606CCB2D" w14:textId="3045EC70" w:rsidR="00E341B4" w:rsidRDefault="00E341B4" w:rsidP="00FD013D">
      <w:r>
        <w:t xml:space="preserve">In muscle tissue, spike protein and mRNA were located between muscle fibres, in adipocytes and in cells in close vicinity to blood vessels. In LNs, spike protein positive cells </w:t>
      </w:r>
      <w:proofErr w:type="gramStart"/>
      <w:r>
        <w:t>were located in</w:t>
      </w:r>
      <w:proofErr w:type="gramEnd"/>
      <w:r>
        <w:t xml:space="preserve"> the subcapsular sinus (SCS) macrophages (not in geminal centres), while mRNA was present in the SCS and germinal centres. mRNA </w:t>
      </w:r>
      <w:proofErr w:type="gramStart"/>
      <w:r>
        <w:t>was located in</w:t>
      </w:r>
      <w:proofErr w:type="gramEnd"/>
      <w:r>
        <w:t xml:space="preserve"> spleen white pulp and homogeneously distributed in liver tissues, suggesting uptake by hepatocytes.</w:t>
      </w:r>
    </w:p>
    <w:p w14:paraId="071C8733" w14:textId="4BE24D9C" w:rsidR="00E341B4" w:rsidRDefault="00E341B4" w:rsidP="00FD013D">
      <w:r>
        <w:t xml:space="preserve">BNT162b2 vaccination in mice showed dose- and time-dependent distribution of mRNA to the injection site (muscle of right hind leg), draining LN (popliteal), non-draining LNs (inguinal and axillary) and spleen. A strong modRNA signal corresponded to strong spike protein expression in muscle and LNs, but not in spleen (only a weak spike signal detected). Major cell populations expressing spike protein were fibroblasts and macrophages (in injected muscle) and subcapsular sinus macrophages (in LNs). Spike protein expression was also visible in dendritic cells to a lower extent. No mRNA or spike expression was observed in selected vital and reproductive organs (heart, kidney, lung, brain, uterus and ovary), with a weak to moderate mRNA signal in liver at all time points (6 h – 2 days post dose) at 1 and 5 </w:t>
      </w:r>
      <w:proofErr w:type="spellStart"/>
      <w:r>
        <w:t>μg</w:t>
      </w:r>
      <w:proofErr w:type="spellEnd"/>
      <w:r>
        <w:t xml:space="preserve"> and a few cells positive for spike protein at 1 day post dose at the high dose.</w:t>
      </w:r>
    </w:p>
    <w:p w14:paraId="73EDF859" w14:textId="521D59E7" w:rsidR="00CF5E5B" w:rsidRDefault="00FB5A8B" w:rsidP="00FD013D">
      <w:pPr>
        <w:pStyle w:val="Heading4"/>
      </w:pPr>
      <w:bookmarkStart w:id="42" w:name="_Toc194486331"/>
      <w:r>
        <w:t xml:space="preserve">Conclusions and </w:t>
      </w:r>
      <w:r w:rsidRPr="00FD013D">
        <w:t>recommendations</w:t>
      </w:r>
      <w:bookmarkEnd w:id="42"/>
    </w:p>
    <w:p w14:paraId="1832E8DE" w14:textId="44C8A64D" w:rsidR="00CF5E5B" w:rsidRDefault="00CF5E5B" w:rsidP="00FD013D">
      <w:r>
        <w:t xml:space="preserve">A primary 2-dose series of the BNT162b2 JN.1 vaccine in naïve mice or as a 5th dose booster in BNT162b2 ‘vaccine ‘experienced’ mice induced higher neutralising antibodies against the JN.1 lineage and </w:t>
      </w:r>
      <w:proofErr w:type="spellStart"/>
      <w:r>
        <w:t>sublineages</w:t>
      </w:r>
      <w:proofErr w:type="spellEnd"/>
      <w:r>
        <w:t xml:space="preserve"> than BNT162b2 XBB.1.5 vaccine. Additionally, the BNT162b2 JN.1 </w:t>
      </w:r>
      <w:r>
        <w:lastRenderedPageBreak/>
        <w:t xml:space="preserve">vaccine induced T cell responses, which were highly cross-reactive to all spike antigens (WT, BA.4/5, XBB.1.5, JN.1 and </w:t>
      </w:r>
      <w:proofErr w:type="spellStart"/>
      <w:r>
        <w:t>sublineages</w:t>
      </w:r>
      <w:proofErr w:type="spellEnd"/>
      <w:r>
        <w:t>).</w:t>
      </w:r>
    </w:p>
    <w:p w14:paraId="7C1F6E6C" w14:textId="77777777" w:rsidR="00CF5E5B" w:rsidRDefault="00CF5E5B" w:rsidP="00FD013D">
      <w:r>
        <w:t>In mice after an IM injection of the BNT162b2 mRNA vaccine, mRNA spread from the injection site to lymph nodes (popliteal, inguinal, and axillary), spleen and liver. Spike protein expression did not always correlate with mRNA biodistribution and was restricted to the injected leg muscle, popliteal, inguinal and axillary lymph nodes (not in liver and spleen). Similarly, high levels of luciferase were detected at the injection site (muscle) and draining lymph node (popliteal LN) after an IM injection of luciferase mRNA. Different from the BNT162b2 mRNA vaccine, luciferase was detected in liver and spleen.</w:t>
      </w:r>
    </w:p>
    <w:p w14:paraId="616D9A63" w14:textId="7079A85E" w:rsidR="00CF5E5B" w:rsidRDefault="00CF5E5B" w:rsidP="00CF5E5B">
      <w:r>
        <w:t xml:space="preserve">There were no protection studies for the </w:t>
      </w:r>
      <w:r w:rsidR="008D7761">
        <w:t>Comirnaty</w:t>
      </w:r>
      <w:r>
        <w:t xml:space="preserve"> JN.1 monovalent vaccine. No toxicity studies on the </w:t>
      </w:r>
      <w:r w:rsidR="008F085E">
        <w:t xml:space="preserve">JN.1 </w:t>
      </w:r>
      <w:r>
        <w:t>monovalent vaccine were submitted. This is acceptable since the new mRNA (</w:t>
      </w:r>
      <w:proofErr w:type="spellStart"/>
      <w:r>
        <w:t>bretovameran</w:t>
      </w:r>
      <w:proofErr w:type="spellEnd"/>
      <w:r>
        <w:t>) uses the same backbone and manufacture platform as the original BNT162b2 mRNA and there are no changes to vaccine formulation.</w:t>
      </w:r>
    </w:p>
    <w:p w14:paraId="221D033C" w14:textId="40016751" w:rsidR="00CF5E5B" w:rsidRPr="00E341B4" w:rsidRDefault="00CF5E5B" w:rsidP="00FD013D">
      <w:r>
        <w:t xml:space="preserve">There are no nonclinical objections to the approval of the </w:t>
      </w:r>
      <w:r w:rsidR="008D7761">
        <w:t>Comirnaty</w:t>
      </w:r>
      <w:r>
        <w:t xml:space="preserve"> JN.1 vaccine.</w:t>
      </w:r>
    </w:p>
    <w:p w14:paraId="307F236C" w14:textId="77777777" w:rsidR="00C22214" w:rsidRPr="002E238E" w:rsidRDefault="00C22214" w:rsidP="00FD013D">
      <w:pPr>
        <w:pStyle w:val="Heading2"/>
      </w:pPr>
      <w:bookmarkStart w:id="43" w:name="_Toc247691532"/>
      <w:bookmarkStart w:id="44" w:name="_Toc314842516"/>
      <w:bookmarkStart w:id="45" w:name="_Toc103679300"/>
      <w:bookmarkStart w:id="46" w:name="_Toc194486332"/>
      <w:r w:rsidRPr="00FD013D">
        <w:t>Outcome</w:t>
      </w:r>
      <w:bookmarkEnd w:id="43"/>
      <w:bookmarkEnd w:id="44"/>
      <w:bookmarkEnd w:id="45"/>
      <w:bookmarkEnd w:id="46"/>
    </w:p>
    <w:p w14:paraId="4EF22939" w14:textId="058C51DE" w:rsidR="00CF5E5B" w:rsidRDefault="00C22214" w:rsidP="00FD013D">
      <w:r w:rsidRPr="0017005C">
        <w:t xml:space="preserve">Based on a review of quality, safety, and efficacy, the TGA </w:t>
      </w:r>
      <w:r w:rsidR="00B46DFB">
        <w:t>decided to</w:t>
      </w:r>
      <w:r w:rsidRPr="0017005C">
        <w:t xml:space="preserve"> regist</w:t>
      </w:r>
      <w:r w:rsidR="00B46DFB">
        <w:t>er</w:t>
      </w:r>
      <w:r w:rsidRPr="0017005C">
        <w:t xml:space="preserve"> </w:t>
      </w:r>
      <w:r w:rsidR="008D7761">
        <w:t>Comirnaty</w:t>
      </w:r>
      <w:r w:rsidR="00CF5E5B" w:rsidRPr="00CF5E5B">
        <w:t xml:space="preserve"> JN.1 (</w:t>
      </w:r>
      <w:proofErr w:type="spellStart"/>
      <w:r w:rsidR="00CF5E5B" w:rsidRPr="00CF5E5B">
        <w:t>bretovameran</w:t>
      </w:r>
      <w:proofErr w:type="spellEnd"/>
      <w:r w:rsidR="00CF5E5B" w:rsidRPr="00CF5E5B">
        <w:t>) COVID-19 Vaccine</w:t>
      </w:r>
      <w:r w:rsidRPr="0017005C">
        <w:t xml:space="preserve"> for the following indication</w:t>
      </w:r>
      <w:r w:rsidR="00CF5E5B">
        <w:t>:</w:t>
      </w:r>
    </w:p>
    <w:p w14:paraId="23D328DA" w14:textId="59BD996E" w:rsidR="00CF5E5B" w:rsidRPr="00FD013D" w:rsidRDefault="00CF5E5B" w:rsidP="00FD013D">
      <w:pPr>
        <w:ind w:left="720"/>
        <w:rPr>
          <w:i/>
          <w:iCs/>
        </w:rPr>
      </w:pPr>
      <w:r w:rsidRPr="00FD013D">
        <w:rPr>
          <w:i/>
          <w:iCs/>
        </w:rPr>
        <w:t>Active immunisation to prevent coronavirus disease 2019 (COVID-19) caused by SARS</w:t>
      </w:r>
      <w:r w:rsidR="008F085E" w:rsidRPr="00FD013D">
        <w:rPr>
          <w:i/>
          <w:iCs/>
        </w:rPr>
        <w:t>-</w:t>
      </w:r>
      <w:r w:rsidRPr="00FD013D">
        <w:rPr>
          <w:i/>
          <w:iCs/>
        </w:rPr>
        <w:t>CoV-2, in individuals 6 months of age and older.</w:t>
      </w:r>
    </w:p>
    <w:p w14:paraId="4F1FBF68" w14:textId="77777777" w:rsidR="00CF5E5B" w:rsidRPr="00FD013D" w:rsidRDefault="00CF5E5B" w:rsidP="00FD013D">
      <w:pPr>
        <w:ind w:left="720"/>
        <w:rPr>
          <w:i/>
          <w:iCs/>
        </w:rPr>
      </w:pPr>
      <w:r w:rsidRPr="00FD013D">
        <w:rPr>
          <w:i/>
          <w:iCs/>
        </w:rPr>
        <w:t>The use of this vaccine should be in accordance with official recommendations.</w:t>
      </w:r>
    </w:p>
    <w:p w14:paraId="3D29881D" w14:textId="3E2F3DEC" w:rsidR="00CF5E5B" w:rsidRDefault="00CF5E5B" w:rsidP="00FD013D">
      <w:r>
        <w:t>This approval is based on the evaluation of the information and data provided with the original letter of application and with any subsequent correspondence and submissions relating to the application.</w:t>
      </w:r>
    </w:p>
    <w:p w14:paraId="451DC3FC" w14:textId="3DF4C2F3" w:rsidR="00C22214" w:rsidRPr="00C0300F" w:rsidRDefault="00C22214" w:rsidP="00FD013D">
      <w:pPr>
        <w:pStyle w:val="Heading2"/>
      </w:pPr>
      <w:bookmarkStart w:id="47" w:name="_Toc103679303"/>
      <w:bookmarkStart w:id="48" w:name="_Toc194486333"/>
      <w:r w:rsidRPr="00C0300F">
        <w:t>Product Information</w:t>
      </w:r>
      <w:bookmarkEnd w:id="47"/>
      <w:bookmarkEnd w:id="48"/>
    </w:p>
    <w:p w14:paraId="3C7C7FF4" w14:textId="39CE1994" w:rsidR="00971C92" w:rsidRDefault="00971C92" w:rsidP="00FD013D">
      <w:r w:rsidRPr="00BD5DBD">
        <w:t xml:space="preserve">The </w:t>
      </w:r>
      <w:hyperlink r:id="rId19" w:history="1">
        <w:r w:rsidRPr="00BD5DBD">
          <w:rPr>
            <w:rStyle w:val="Hyperlink"/>
            <w:szCs w:val="22"/>
          </w:rPr>
          <w:t>Product Information</w:t>
        </w:r>
      </w:hyperlink>
      <w:r w:rsidRPr="00BD5DBD">
        <w:t xml:space="preserve"> (</w:t>
      </w:r>
      <w:r w:rsidRPr="002A6A49">
        <w:t>PI</w:t>
      </w:r>
      <w:r w:rsidRPr="00BD5DBD">
        <w:t xml:space="preserve">) </w:t>
      </w:r>
      <w:r>
        <w:t xml:space="preserve">associated with </w:t>
      </w:r>
      <w:r w:rsidRPr="00BD5DBD">
        <w:t>th</w:t>
      </w:r>
      <w:r>
        <w:t>is</w:t>
      </w:r>
      <w:r w:rsidRPr="00BD5DBD">
        <w:t xml:space="preserve"> submission</w:t>
      </w:r>
      <w:r w:rsidRPr="0017005C">
        <w:t xml:space="preserve"> </w:t>
      </w:r>
      <w:r w:rsidRPr="00BD5DBD">
        <w:t xml:space="preserve">for </w:t>
      </w:r>
      <w:r w:rsidRPr="00971C92">
        <w:t>Comirnaty JN.1 COVID-19 Vaccine (</w:t>
      </w:r>
      <w:proofErr w:type="spellStart"/>
      <w:r w:rsidRPr="00971C92">
        <w:t>bretovameran</w:t>
      </w:r>
      <w:proofErr w:type="spellEnd"/>
      <w:r w:rsidRPr="00971C92">
        <w:t>)</w:t>
      </w:r>
      <w:r>
        <w:t xml:space="preserve"> is available via the link on this </w:t>
      </w:r>
      <w:proofErr w:type="spellStart"/>
      <w:r>
        <w:t>AusPAR’s</w:t>
      </w:r>
      <w:proofErr w:type="spellEnd"/>
      <w:r>
        <w:t xml:space="preserve"> webpage.</w:t>
      </w:r>
    </w:p>
    <w:p w14:paraId="0F4584B7" w14:textId="77777777" w:rsidR="00971C92" w:rsidRDefault="00971C92" w:rsidP="00FD013D">
      <w:pPr>
        <w:rPr>
          <w:szCs w:val="22"/>
        </w:rPr>
      </w:pPr>
      <w:r w:rsidRPr="00433158">
        <w:rPr>
          <w:lang w:eastAsia="ja-JP"/>
        </w:rPr>
        <w:t xml:space="preserve">For the most recent PI and </w:t>
      </w:r>
      <w:hyperlink r:id="rId20" w:history="1">
        <w:r w:rsidRPr="005D2E9A">
          <w:rPr>
            <w:rStyle w:val="Hyperlink"/>
            <w:lang w:eastAsia="ja-JP"/>
          </w:rPr>
          <w:t>Consumer Medicines Information</w:t>
        </w:r>
      </w:hyperlink>
      <w:r w:rsidRPr="00433158">
        <w:rPr>
          <w:lang w:eastAsia="ja-JP"/>
        </w:rPr>
        <w:t xml:space="preserve"> (CMI)</w:t>
      </w:r>
      <w:r>
        <w:rPr>
          <w:lang w:eastAsia="ja-JP"/>
        </w:rPr>
        <w:t xml:space="preserve"> associated with this medicine</w:t>
      </w:r>
      <w:r w:rsidRPr="00433158">
        <w:rPr>
          <w:lang w:eastAsia="ja-JP"/>
        </w:rPr>
        <w:t xml:space="preserve">, </w:t>
      </w:r>
      <w:r>
        <w:rPr>
          <w:lang w:eastAsia="ja-JP"/>
        </w:rPr>
        <w:t>query the medicine in the</w:t>
      </w:r>
      <w:r w:rsidRPr="00433158">
        <w:rPr>
          <w:lang w:eastAsia="ja-JP"/>
        </w:rPr>
        <w:t xml:space="preserve"> </w:t>
      </w:r>
      <w:hyperlink r:id="rId21" w:history="1">
        <w:r w:rsidRPr="00433158">
          <w:rPr>
            <w:rStyle w:val="Hyperlink"/>
            <w:lang w:eastAsia="ja-JP"/>
          </w:rPr>
          <w:t>PI/CMI search facility</w:t>
        </w:r>
        <w:r w:rsidRPr="00FD013D">
          <w:t>.</w:t>
        </w:r>
      </w:hyperlink>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89726F">
          <w:headerReference w:type="default" r:id="rId22"/>
          <w:footerReference w:type="default" r:id="rId23"/>
          <w:pgSz w:w="11906" w:h="16838" w:code="9"/>
          <w:pgMar w:top="1134" w:right="1418" w:bottom="1560"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24"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F02AEC">
            <w:pPr>
              <w:pStyle w:val="Address"/>
              <w:jc w:val="center"/>
              <w:rPr>
                <w:rStyle w:val="Hyperlink"/>
                <w:b/>
                <w:color w:val="auto"/>
                <w:sz w:val="22"/>
              </w:rPr>
            </w:pPr>
            <w:hyperlink r:id="rId25" w:history="1">
              <w:r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606F9F39" w:rsidR="00F02AEC" w:rsidRPr="00215D48" w:rsidRDefault="00F02AEC" w:rsidP="007452E8">
            <w:pPr>
              <w:pStyle w:val="Address"/>
              <w:jc w:val="center"/>
            </w:pPr>
          </w:p>
        </w:tc>
      </w:tr>
    </w:tbl>
    <w:p w14:paraId="788B80FD" w14:textId="77777777" w:rsidR="007452E8" w:rsidRDefault="007452E8" w:rsidP="00FD013D"/>
    <w:sectPr w:rsidR="007452E8" w:rsidSect="007452E8">
      <w:headerReference w:type="first" r:id="rId26"/>
      <w:footerReference w:type="first" r:id="rId2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6A3B" w14:textId="77777777" w:rsidR="001B1F34" w:rsidRDefault="001B1F34" w:rsidP="00F02AEC">
      <w:pPr>
        <w:spacing w:after="0" w:line="240" w:lineRule="auto"/>
      </w:pPr>
      <w:r>
        <w:separator/>
      </w:r>
    </w:p>
  </w:endnote>
  <w:endnote w:type="continuationSeparator" w:id="0">
    <w:p w14:paraId="43375FD2" w14:textId="77777777" w:rsidR="001B1F34" w:rsidRDefault="001B1F34"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F1E37">
                <w:fldChar w:fldCharType="begin"/>
              </w:r>
              <w:r w:rsidR="007F1E37">
                <w:instrText xml:space="preserve"> NUMPAGES  </w:instrText>
              </w:r>
              <w:r w:rsidR="007F1E37">
                <w:fldChar w:fldCharType="separate"/>
              </w:r>
              <w:r>
                <w:rPr>
                  <w:noProof/>
                </w:rPr>
                <w:t>2</w:t>
              </w:r>
              <w:r w:rsidR="007F1E37">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650"/>
      <w:gridCol w:w="1422"/>
    </w:tblGrid>
    <w:tr w:rsidR="007452E8" w:rsidRPr="004A3084" w14:paraId="6266BC33" w14:textId="77777777" w:rsidTr="00474EEB">
      <w:trPr>
        <w:trHeight w:val="423"/>
      </w:trPr>
      <w:tc>
        <w:tcPr>
          <w:tcW w:w="7650" w:type="dxa"/>
          <w:tcBorders>
            <w:top w:val="single" w:sz="4" w:space="0" w:color="auto"/>
          </w:tcBorders>
        </w:tcPr>
        <w:p w14:paraId="7B75D5ED" w14:textId="3AB35363" w:rsidR="00CF5E5B" w:rsidRDefault="007452E8" w:rsidP="00CF5E5B">
          <w:pPr>
            <w:pStyle w:val="Footer"/>
          </w:pPr>
          <w:proofErr w:type="spellStart"/>
          <w:r w:rsidRPr="00487162">
            <w:t>AusPA</w:t>
          </w:r>
          <w:r>
            <w:t>R</w:t>
          </w:r>
          <w:proofErr w:type="spellEnd"/>
          <w:r>
            <w:t xml:space="preserve"> - </w:t>
          </w:r>
          <w:r w:rsidR="008D7761">
            <w:t>Comirnaty</w:t>
          </w:r>
          <w:r w:rsidR="00CF5E5B" w:rsidRPr="00CF5E5B">
            <w:t xml:space="preserve"> OMICRON JN.1</w:t>
          </w:r>
          <w:r>
            <w:t>-</w:t>
          </w:r>
          <w:r w:rsidRPr="00460036">
            <w:t xml:space="preserve"> </w:t>
          </w:r>
          <w:proofErr w:type="spellStart"/>
          <w:r w:rsidR="00CF5E5B" w:rsidRPr="00CF5E5B">
            <w:t>bretovameran</w:t>
          </w:r>
          <w:proofErr w:type="spellEnd"/>
          <w:r w:rsidRPr="00460036">
            <w:t xml:space="preserve"> </w:t>
          </w:r>
          <w:r w:rsidR="008C754C">
            <w:t>-</w:t>
          </w:r>
          <w:r>
            <w:t xml:space="preserve"> </w:t>
          </w:r>
          <w:r w:rsidR="00CF5E5B" w:rsidRPr="00CF5E5B">
            <w:t xml:space="preserve">Pfizer Australia Pty Ltd </w:t>
          </w:r>
          <w:r>
            <w:t xml:space="preserve">- </w:t>
          </w:r>
          <w:r w:rsidR="00CF5E5B" w:rsidRPr="00CF5E5B">
            <w:t>PM-2024-02578</w:t>
          </w:r>
          <w:r w:rsidR="00474EEB">
            <w:t>1-1-2</w:t>
          </w:r>
          <w:r w:rsidR="00CF5E5B">
            <w:t xml:space="preserve"> </w:t>
          </w:r>
        </w:p>
        <w:p w14:paraId="3C421323" w14:textId="1854C387" w:rsidR="007452E8" w:rsidRPr="004A3084" w:rsidRDefault="007452E8" w:rsidP="00CF5E5B">
          <w:pPr>
            <w:pStyle w:val="Footer"/>
          </w:pPr>
          <w:r w:rsidRPr="00487162">
            <w:t>Date of Finalisation</w:t>
          </w:r>
          <w:r w:rsidR="00E924F5">
            <w:t xml:space="preserve"> 18 March 2025</w:t>
          </w:r>
        </w:p>
      </w:tc>
      <w:tc>
        <w:tcPr>
          <w:tcW w:w="1422"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7F1E37">
                <w:fldChar w:fldCharType="begin"/>
              </w:r>
              <w:r w:rsidR="007F1E37">
                <w:instrText xml:space="preserve"> NUMPAGES  </w:instrText>
              </w:r>
              <w:r w:rsidR="007F1E37">
                <w:fldChar w:fldCharType="separate"/>
              </w:r>
              <w:r w:rsidR="006D6B44">
                <w:rPr>
                  <w:noProof/>
                </w:rPr>
                <w:t>17</w:t>
              </w:r>
              <w:r w:rsidR="007F1E37">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C104" w14:textId="77777777" w:rsidR="001B1F34" w:rsidRDefault="001B1F34" w:rsidP="00F02AEC">
      <w:pPr>
        <w:spacing w:after="0" w:line="240" w:lineRule="auto"/>
      </w:pPr>
      <w:r>
        <w:separator/>
      </w:r>
    </w:p>
  </w:footnote>
  <w:footnote w:type="continuationSeparator" w:id="0">
    <w:p w14:paraId="38513157" w14:textId="77777777" w:rsidR="001B1F34" w:rsidRDefault="001B1F34"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223216"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2061725674" name="Picture 206172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039930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2012842332" name="Picture 201284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44855B5C"/>
    <w:multiLevelType w:val="hybridMultilevel"/>
    <w:tmpl w:val="3C308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2"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3"/>
  </w:num>
  <w:num w:numId="2" w16cid:durableId="1856573705">
    <w:abstractNumId w:val="0"/>
  </w:num>
  <w:num w:numId="3" w16cid:durableId="357703499">
    <w:abstractNumId w:val="2"/>
  </w:num>
  <w:num w:numId="4" w16cid:durableId="1869176708">
    <w:abstractNumId w:val="10"/>
  </w:num>
  <w:num w:numId="5" w16cid:durableId="1652950129">
    <w:abstractNumId w:val="5"/>
  </w:num>
  <w:num w:numId="6" w16cid:durableId="1053193207">
    <w:abstractNumId w:val="8"/>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9"/>
  </w:num>
  <w:num w:numId="9" w16cid:durableId="173421270">
    <w:abstractNumId w:val="1"/>
  </w:num>
  <w:num w:numId="10" w16cid:durableId="2108043357">
    <w:abstractNumId w:val="4"/>
  </w:num>
  <w:num w:numId="11" w16cid:durableId="1725904230">
    <w:abstractNumId w:val="7"/>
  </w:num>
  <w:num w:numId="12" w16cid:durableId="141579354">
    <w:abstractNumId w:val="11"/>
  </w:num>
  <w:num w:numId="13" w16cid:durableId="283735081">
    <w:abstractNumId w:val="12"/>
  </w:num>
  <w:num w:numId="14" w16cid:durableId="1745446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62"/>
    <w:rsid w:val="0001064C"/>
    <w:rsid w:val="0001384A"/>
    <w:rsid w:val="000231B9"/>
    <w:rsid w:val="00026242"/>
    <w:rsid w:val="00032A0F"/>
    <w:rsid w:val="00040D8D"/>
    <w:rsid w:val="00046423"/>
    <w:rsid w:val="00056411"/>
    <w:rsid w:val="0006104E"/>
    <w:rsid w:val="00063C63"/>
    <w:rsid w:val="000640BD"/>
    <w:rsid w:val="00065839"/>
    <w:rsid w:val="00065FDF"/>
    <w:rsid w:val="00066C99"/>
    <w:rsid w:val="00077844"/>
    <w:rsid w:val="00090510"/>
    <w:rsid w:val="000917AE"/>
    <w:rsid w:val="00094B81"/>
    <w:rsid w:val="00096AC8"/>
    <w:rsid w:val="000975AA"/>
    <w:rsid w:val="000B6B15"/>
    <w:rsid w:val="000C063B"/>
    <w:rsid w:val="000C25A7"/>
    <w:rsid w:val="000C3D91"/>
    <w:rsid w:val="000D1F77"/>
    <w:rsid w:val="000D78EC"/>
    <w:rsid w:val="000D7934"/>
    <w:rsid w:val="000E2597"/>
    <w:rsid w:val="000E6746"/>
    <w:rsid w:val="000E7FD6"/>
    <w:rsid w:val="000F7B51"/>
    <w:rsid w:val="00101BEE"/>
    <w:rsid w:val="00101CE6"/>
    <w:rsid w:val="00101FB1"/>
    <w:rsid w:val="00104CD1"/>
    <w:rsid w:val="0010558A"/>
    <w:rsid w:val="001101FF"/>
    <w:rsid w:val="00113F9F"/>
    <w:rsid w:val="0012473C"/>
    <w:rsid w:val="00127A74"/>
    <w:rsid w:val="0013132F"/>
    <w:rsid w:val="0013306D"/>
    <w:rsid w:val="0013528C"/>
    <w:rsid w:val="001442A2"/>
    <w:rsid w:val="001468CA"/>
    <w:rsid w:val="001500A8"/>
    <w:rsid w:val="00155D85"/>
    <w:rsid w:val="00165D28"/>
    <w:rsid w:val="0017005C"/>
    <w:rsid w:val="00175CD8"/>
    <w:rsid w:val="00176773"/>
    <w:rsid w:val="00182BD8"/>
    <w:rsid w:val="001A76F9"/>
    <w:rsid w:val="001B06FF"/>
    <w:rsid w:val="001B1703"/>
    <w:rsid w:val="001B1F34"/>
    <w:rsid w:val="001B29A1"/>
    <w:rsid w:val="001B59EF"/>
    <w:rsid w:val="001C1C2E"/>
    <w:rsid w:val="001C31A1"/>
    <w:rsid w:val="001C3FA2"/>
    <w:rsid w:val="001C5EE2"/>
    <w:rsid w:val="001D0077"/>
    <w:rsid w:val="001E407B"/>
    <w:rsid w:val="001E7FC6"/>
    <w:rsid w:val="001F2502"/>
    <w:rsid w:val="001F70A5"/>
    <w:rsid w:val="00200827"/>
    <w:rsid w:val="0020235D"/>
    <w:rsid w:val="0020369B"/>
    <w:rsid w:val="002066C8"/>
    <w:rsid w:val="00207B4D"/>
    <w:rsid w:val="002117B1"/>
    <w:rsid w:val="00214E9E"/>
    <w:rsid w:val="00217CCE"/>
    <w:rsid w:val="002203B1"/>
    <w:rsid w:val="00223216"/>
    <w:rsid w:val="00226F39"/>
    <w:rsid w:val="002334AD"/>
    <w:rsid w:val="00241B60"/>
    <w:rsid w:val="0025785B"/>
    <w:rsid w:val="00257969"/>
    <w:rsid w:val="0027105D"/>
    <w:rsid w:val="00280048"/>
    <w:rsid w:val="00280CF5"/>
    <w:rsid w:val="0028489E"/>
    <w:rsid w:val="002848DE"/>
    <w:rsid w:val="0028794E"/>
    <w:rsid w:val="002A5841"/>
    <w:rsid w:val="002A6A49"/>
    <w:rsid w:val="002B1EDF"/>
    <w:rsid w:val="002B2061"/>
    <w:rsid w:val="002B77BD"/>
    <w:rsid w:val="002C1232"/>
    <w:rsid w:val="002C1E44"/>
    <w:rsid w:val="002C507E"/>
    <w:rsid w:val="002C5C92"/>
    <w:rsid w:val="002C5E29"/>
    <w:rsid w:val="002D0478"/>
    <w:rsid w:val="002D4097"/>
    <w:rsid w:val="002D7127"/>
    <w:rsid w:val="002E73AF"/>
    <w:rsid w:val="002E7D48"/>
    <w:rsid w:val="002F599E"/>
    <w:rsid w:val="002F65E3"/>
    <w:rsid w:val="003008D8"/>
    <w:rsid w:val="00301D9A"/>
    <w:rsid w:val="00303959"/>
    <w:rsid w:val="00306E72"/>
    <w:rsid w:val="00312AC3"/>
    <w:rsid w:val="00314430"/>
    <w:rsid w:val="003163BC"/>
    <w:rsid w:val="003212E6"/>
    <w:rsid w:val="0032351A"/>
    <w:rsid w:val="00324B33"/>
    <w:rsid w:val="00327488"/>
    <w:rsid w:val="00336FE1"/>
    <w:rsid w:val="00342D56"/>
    <w:rsid w:val="00342DEA"/>
    <w:rsid w:val="003456E7"/>
    <w:rsid w:val="00346EC2"/>
    <w:rsid w:val="003477F9"/>
    <w:rsid w:val="0035444D"/>
    <w:rsid w:val="00356D62"/>
    <w:rsid w:val="00363EE3"/>
    <w:rsid w:val="00367952"/>
    <w:rsid w:val="003735F3"/>
    <w:rsid w:val="00373C0F"/>
    <w:rsid w:val="00374729"/>
    <w:rsid w:val="00387298"/>
    <w:rsid w:val="00387984"/>
    <w:rsid w:val="00395140"/>
    <w:rsid w:val="003A2422"/>
    <w:rsid w:val="003B149C"/>
    <w:rsid w:val="003C0FDB"/>
    <w:rsid w:val="003C1192"/>
    <w:rsid w:val="003C55E2"/>
    <w:rsid w:val="003C63D5"/>
    <w:rsid w:val="003C7AA8"/>
    <w:rsid w:val="003D71A1"/>
    <w:rsid w:val="0041688F"/>
    <w:rsid w:val="0042376F"/>
    <w:rsid w:val="004246B8"/>
    <w:rsid w:val="004248F1"/>
    <w:rsid w:val="00433318"/>
    <w:rsid w:val="00442A56"/>
    <w:rsid w:val="004444B0"/>
    <w:rsid w:val="0045060B"/>
    <w:rsid w:val="004626FF"/>
    <w:rsid w:val="00462F89"/>
    <w:rsid w:val="00464C65"/>
    <w:rsid w:val="00470A52"/>
    <w:rsid w:val="00471BD5"/>
    <w:rsid w:val="00474EEB"/>
    <w:rsid w:val="00477C4E"/>
    <w:rsid w:val="00477F07"/>
    <w:rsid w:val="00481503"/>
    <w:rsid w:val="00481D12"/>
    <w:rsid w:val="004854A6"/>
    <w:rsid w:val="00491A55"/>
    <w:rsid w:val="00494C3E"/>
    <w:rsid w:val="00497DF1"/>
    <w:rsid w:val="004A318E"/>
    <w:rsid w:val="004A57E8"/>
    <w:rsid w:val="004B3081"/>
    <w:rsid w:val="004B4A09"/>
    <w:rsid w:val="004C160F"/>
    <w:rsid w:val="004C41CE"/>
    <w:rsid w:val="004C631B"/>
    <w:rsid w:val="004D2F00"/>
    <w:rsid w:val="004D31D8"/>
    <w:rsid w:val="004D5388"/>
    <w:rsid w:val="004D6476"/>
    <w:rsid w:val="004E7F16"/>
    <w:rsid w:val="004F18EC"/>
    <w:rsid w:val="00500D68"/>
    <w:rsid w:val="00512037"/>
    <w:rsid w:val="0053377D"/>
    <w:rsid w:val="00535DFE"/>
    <w:rsid w:val="005373B5"/>
    <w:rsid w:val="00537AB7"/>
    <w:rsid w:val="00542585"/>
    <w:rsid w:val="0054669B"/>
    <w:rsid w:val="00557138"/>
    <w:rsid w:val="005610D1"/>
    <w:rsid w:val="00562F42"/>
    <w:rsid w:val="00565739"/>
    <w:rsid w:val="0056766D"/>
    <w:rsid w:val="00571CB6"/>
    <w:rsid w:val="00575215"/>
    <w:rsid w:val="00580E5C"/>
    <w:rsid w:val="0058575E"/>
    <w:rsid w:val="0058783C"/>
    <w:rsid w:val="005911AE"/>
    <w:rsid w:val="005926E2"/>
    <w:rsid w:val="0059313A"/>
    <w:rsid w:val="005A54EA"/>
    <w:rsid w:val="005B023F"/>
    <w:rsid w:val="005B02A2"/>
    <w:rsid w:val="005B1417"/>
    <w:rsid w:val="005B69CF"/>
    <w:rsid w:val="005C3F07"/>
    <w:rsid w:val="005C4B46"/>
    <w:rsid w:val="005C5DC5"/>
    <w:rsid w:val="005D2089"/>
    <w:rsid w:val="005D7514"/>
    <w:rsid w:val="005E0FC6"/>
    <w:rsid w:val="005E1A7B"/>
    <w:rsid w:val="005E231F"/>
    <w:rsid w:val="00602D6E"/>
    <w:rsid w:val="00605C05"/>
    <w:rsid w:val="00611351"/>
    <w:rsid w:val="0061217D"/>
    <w:rsid w:val="006277A1"/>
    <w:rsid w:val="00633BD7"/>
    <w:rsid w:val="00634580"/>
    <w:rsid w:val="00634884"/>
    <w:rsid w:val="006351D9"/>
    <w:rsid w:val="00637130"/>
    <w:rsid w:val="00637F0E"/>
    <w:rsid w:val="006423F2"/>
    <w:rsid w:val="00650234"/>
    <w:rsid w:val="00651B2E"/>
    <w:rsid w:val="0066044B"/>
    <w:rsid w:val="006630AA"/>
    <w:rsid w:val="00663544"/>
    <w:rsid w:val="00666539"/>
    <w:rsid w:val="00666911"/>
    <w:rsid w:val="006718E5"/>
    <w:rsid w:val="00675F81"/>
    <w:rsid w:val="0068143E"/>
    <w:rsid w:val="00681546"/>
    <w:rsid w:val="0068507D"/>
    <w:rsid w:val="00691AF2"/>
    <w:rsid w:val="00692B80"/>
    <w:rsid w:val="00692CCD"/>
    <w:rsid w:val="00692D51"/>
    <w:rsid w:val="00694DD7"/>
    <w:rsid w:val="0069636B"/>
    <w:rsid w:val="006A1762"/>
    <w:rsid w:val="006A1F0B"/>
    <w:rsid w:val="006A277A"/>
    <w:rsid w:val="006A5973"/>
    <w:rsid w:val="006B7126"/>
    <w:rsid w:val="006C6B86"/>
    <w:rsid w:val="006D4553"/>
    <w:rsid w:val="006D4A35"/>
    <w:rsid w:val="006D6B44"/>
    <w:rsid w:val="006E27FE"/>
    <w:rsid w:val="00701110"/>
    <w:rsid w:val="00702E91"/>
    <w:rsid w:val="0070330F"/>
    <w:rsid w:val="00703624"/>
    <w:rsid w:val="007046ED"/>
    <w:rsid w:val="007072A1"/>
    <w:rsid w:val="00710BC5"/>
    <w:rsid w:val="007121CA"/>
    <w:rsid w:val="0072003B"/>
    <w:rsid w:val="00721059"/>
    <w:rsid w:val="007211E6"/>
    <w:rsid w:val="007220C4"/>
    <w:rsid w:val="00731130"/>
    <w:rsid w:val="00732361"/>
    <w:rsid w:val="007357B9"/>
    <w:rsid w:val="00741AB9"/>
    <w:rsid w:val="00742D03"/>
    <w:rsid w:val="00744216"/>
    <w:rsid w:val="007452E8"/>
    <w:rsid w:val="00746990"/>
    <w:rsid w:val="00747093"/>
    <w:rsid w:val="00750D70"/>
    <w:rsid w:val="007575D0"/>
    <w:rsid w:val="007662E0"/>
    <w:rsid w:val="00776E9C"/>
    <w:rsid w:val="007816D8"/>
    <w:rsid w:val="00784150"/>
    <w:rsid w:val="00793272"/>
    <w:rsid w:val="00794881"/>
    <w:rsid w:val="0079499A"/>
    <w:rsid w:val="00794B64"/>
    <w:rsid w:val="0079536E"/>
    <w:rsid w:val="007967C3"/>
    <w:rsid w:val="007A0A33"/>
    <w:rsid w:val="007A397D"/>
    <w:rsid w:val="007B04DE"/>
    <w:rsid w:val="007B0AE6"/>
    <w:rsid w:val="007C0F0B"/>
    <w:rsid w:val="007C57BC"/>
    <w:rsid w:val="007D04CA"/>
    <w:rsid w:val="007D0A2B"/>
    <w:rsid w:val="007D12A1"/>
    <w:rsid w:val="007D40E5"/>
    <w:rsid w:val="007D4138"/>
    <w:rsid w:val="007D57EC"/>
    <w:rsid w:val="007D6A3D"/>
    <w:rsid w:val="007E4178"/>
    <w:rsid w:val="007F0A77"/>
    <w:rsid w:val="007F1E37"/>
    <w:rsid w:val="007F50D3"/>
    <w:rsid w:val="007F6B1F"/>
    <w:rsid w:val="00804897"/>
    <w:rsid w:val="008329DB"/>
    <w:rsid w:val="008361C5"/>
    <w:rsid w:val="0083628F"/>
    <w:rsid w:val="00836F0B"/>
    <w:rsid w:val="00837AB9"/>
    <w:rsid w:val="008436A7"/>
    <w:rsid w:val="00850637"/>
    <w:rsid w:val="00854D98"/>
    <w:rsid w:val="0085751E"/>
    <w:rsid w:val="00860B29"/>
    <w:rsid w:val="008622E8"/>
    <w:rsid w:val="008645EE"/>
    <w:rsid w:val="00870144"/>
    <w:rsid w:val="00873D7A"/>
    <w:rsid w:val="00877CB3"/>
    <w:rsid w:val="008804CF"/>
    <w:rsid w:val="00882D58"/>
    <w:rsid w:val="00882F19"/>
    <w:rsid w:val="008835BD"/>
    <w:rsid w:val="00883D35"/>
    <w:rsid w:val="00884569"/>
    <w:rsid w:val="00886B0A"/>
    <w:rsid w:val="00887A51"/>
    <w:rsid w:val="00890D9B"/>
    <w:rsid w:val="00891C6C"/>
    <w:rsid w:val="00893CCD"/>
    <w:rsid w:val="008964B3"/>
    <w:rsid w:val="0089726F"/>
    <w:rsid w:val="008A5E25"/>
    <w:rsid w:val="008B1AA7"/>
    <w:rsid w:val="008B1CB5"/>
    <w:rsid w:val="008B7055"/>
    <w:rsid w:val="008C2D69"/>
    <w:rsid w:val="008C49C6"/>
    <w:rsid w:val="008C754C"/>
    <w:rsid w:val="008D56C9"/>
    <w:rsid w:val="008D6A54"/>
    <w:rsid w:val="008D7761"/>
    <w:rsid w:val="008E2585"/>
    <w:rsid w:val="008E27E5"/>
    <w:rsid w:val="008E2D7A"/>
    <w:rsid w:val="008F085E"/>
    <w:rsid w:val="008F3215"/>
    <w:rsid w:val="008F4A62"/>
    <w:rsid w:val="008F7256"/>
    <w:rsid w:val="0090424C"/>
    <w:rsid w:val="0090605E"/>
    <w:rsid w:val="009108CE"/>
    <w:rsid w:val="00915A9F"/>
    <w:rsid w:val="00930D58"/>
    <w:rsid w:val="00935AAA"/>
    <w:rsid w:val="00946BE9"/>
    <w:rsid w:val="0095031E"/>
    <w:rsid w:val="00954297"/>
    <w:rsid w:val="00960A56"/>
    <w:rsid w:val="00966EF1"/>
    <w:rsid w:val="00967223"/>
    <w:rsid w:val="00971C92"/>
    <w:rsid w:val="009751F7"/>
    <w:rsid w:val="0098350E"/>
    <w:rsid w:val="0099404F"/>
    <w:rsid w:val="00996FA5"/>
    <w:rsid w:val="009B5662"/>
    <w:rsid w:val="009C2211"/>
    <w:rsid w:val="009C40E8"/>
    <w:rsid w:val="009C45C5"/>
    <w:rsid w:val="009E2E79"/>
    <w:rsid w:val="009E6858"/>
    <w:rsid w:val="009E6F8C"/>
    <w:rsid w:val="009F1081"/>
    <w:rsid w:val="009F405F"/>
    <w:rsid w:val="00A01C56"/>
    <w:rsid w:val="00A32C50"/>
    <w:rsid w:val="00A358E7"/>
    <w:rsid w:val="00A4380B"/>
    <w:rsid w:val="00A51A2D"/>
    <w:rsid w:val="00A5596B"/>
    <w:rsid w:val="00A63C07"/>
    <w:rsid w:val="00A63D9B"/>
    <w:rsid w:val="00A704DC"/>
    <w:rsid w:val="00A93DC6"/>
    <w:rsid w:val="00A9411A"/>
    <w:rsid w:val="00AA4A4B"/>
    <w:rsid w:val="00AA6682"/>
    <w:rsid w:val="00AB0613"/>
    <w:rsid w:val="00AB186C"/>
    <w:rsid w:val="00AB7C5C"/>
    <w:rsid w:val="00AB7CBF"/>
    <w:rsid w:val="00AD0111"/>
    <w:rsid w:val="00AD4C72"/>
    <w:rsid w:val="00AD5451"/>
    <w:rsid w:val="00AE1947"/>
    <w:rsid w:val="00AF1C8B"/>
    <w:rsid w:val="00AF299B"/>
    <w:rsid w:val="00AF7E43"/>
    <w:rsid w:val="00B02AE0"/>
    <w:rsid w:val="00B05326"/>
    <w:rsid w:val="00B14545"/>
    <w:rsid w:val="00B14E60"/>
    <w:rsid w:val="00B17BA2"/>
    <w:rsid w:val="00B205B3"/>
    <w:rsid w:val="00B26DC3"/>
    <w:rsid w:val="00B30B9D"/>
    <w:rsid w:val="00B4574D"/>
    <w:rsid w:val="00B468E1"/>
    <w:rsid w:val="00B46BC0"/>
    <w:rsid w:val="00B46DFB"/>
    <w:rsid w:val="00B5141B"/>
    <w:rsid w:val="00B55681"/>
    <w:rsid w:val="00B57AAD"/>
    <w:rsid w:val="00B7260D"/>
    <w:rsid w:val="00B72B16"/>
    <w:rsid w:val="00B73FAA"/>
    <w:rsid w:val="00B80408"/>
    <w:rsid w:val="00B81397"/>
    <w:rsid w:val="00B925DB"/>
    <w:rsid w:val="00B967FF"/>
    <w:rsid w:val="00B974B9"/>
    <w:rsid w:val="00BA3F6D"/>
    <w:rsid w:val="00BA4BE6"/>
    <w:rsid w:val="00BA4FC0"/>
    <w:rsid w:val="00BA61E0"/>
    <w:rsid w:val="00BA7F7D"/>
    <w:rsid w:val="00BB1C14"/>
    <w:rsid w:val="00BB63F9"/>
    <w:rsid w:val="00BB6847"/>
    <w:rsid w:val="00BB7F8F"/>
    <w:rsid w:val="00BC0032"/>
    <w:rsid w:val="00BC716A"/>
    <w:rsid w:val="00BD07DF"/>
    <w:rsid w:val="00BD26F4"/>
    <w:rsid w:val="00BD5DBD"/>
    <w:rsid w:val="00BD5DF6"/>
    <w:rsid w:val="00BE0041"/>
    <w:rsid w:val="00BE5467"/>
    <w:rsid w:val="00BE640F"/>
    <w:rsid w:val="00BF4638"/>
    <w:rsid w:val="00C0300F"/>
    <w:rsid w:val="00C059D0"/>
    <w:rsid w:val="00C07551"/>
    <w:rsid w:val="00C1109F"/>
    <w:rsid w:val="00C12D65"/>
    <w:rsid w:val="00C133AB"/>
    <w:rsid w:val="00C17682"/>
    <w:rsid w:val="00C20B56"/>
    <w:rsid w:val="00C20DE5"/>
    <w:rsid w:val="00C22214"/>
    <w:rsid w:val="00C26F72"/>
    <w:rsid w:val="00C309A7"/>
    <w:rsid w:val="00C335AB"/>
    <w:rsid w:val="00C407AB"/>
    <w:rsid w:val="00C52B7B"/>
    <w:rsid w:val="00C547CD"/>
    <w:rsid w:val="00C570FF"/>
    <w:rsid w:val="00C57CEA"/>
    <w:rsid w:val="00C60FEC"/>
    <w:rsid w:val="00C6574E"/>
    <w:rsid w:val="00C707FD"/>
    <w:rsid w:val="00C76DEB"/>
    <w:rsid w:val="00C816C6"/>
    <w:rsid w:val="00C83C5B"/>
    <w:rsid w:val="00C863A7"/>
    <w:rsid w:val="00C912F4"/>
    <w:rsid w:val="00C9156F"/>
    <w:rsid w:val="00C9581A"/>
    <w:rsid w:val="00C97D29"/>
    <w:rsid w:val="00CB0550"/>
    <w:rsid w:val="00CB6813"/>
    <w:rsid w:val="00CC41DD"/>
    <w:rsid w:val="00CF5E5B"/>
    <w:rsid w:val="00CF6A55"/>
    <w:rsid w:val="00CF6DC6"/>
    <w:rsid w:val="00CF6DCF"/>
    <w:rsid w:val="00D01DDB"/>
    <w:rsid w:val="00D078BE"/>
    <w:rsid w:val="00D13F8A"/>
    <w:rsid w:val="00D16F60"/>
    <w:rsid w:val="00D22981"/>
    <w:rsid w:val="00D3349B"/>
    <w:rsid w:val="00D424A8"/>
    <w:rsid w:val="00D55479"/>
    <w:rsid w:val="00D6036F"/>
    <w:rsid w:val="00D62877"/>
    <w:rsid w:val="00D63760"/>
    <w:rsid w:val="00D6703F"/>
    <w:rsid w:val="00D734EB"/>
    <w:rsid w:val="00D82713"/>
    <w:rsid w:val="00D86F00"/>
    <w:rsid w:val="00D918D5"/>
    <w:rsid w:val="00D94C8E"/>
    <w:rsid w:val="00DA1264"/>
    <w:rsid w:val="00DB1372"/>
    <w:rsid w:val="00DB192C"/>
    <w:rsid w:val="00DB1CF3"/>
    <w:rsid w:val="00DB5425"/>
    <w:rsid w:val="00DB72A6"/>
    <w:rsid w:val="00DC6611"/>
    <w:rsid w:val="00DD74C7"/>
    <w:rsid w:val="00DE1344"/>
    <w:rsid w:val="00DF5BFE"/>
    <w:rsid w:val="00E0523F"/>
    <w:rsid w:val="00E07F77"/>
    <w:rsid w:val="00E23E50"/>
    <w:rsid w:val="00E26213"/>
    <w:rsid w:val="00E274DF"/>
    <w:rsid w:val="00E341B4"/>
    <w:rsid w:val="00E34D66"/>
    <w:rsid w:val="00E362C4"/>
    <w:rsid w:val="00E46CC2"/>
    <w:rsid w:val="00E47E0C"/>
    <w:rsid w:val="00E51813"/>
    <w:rsid w:val="00E52C0B"/>
    <w:rsid w:val="00E53D3F"/>
    <w:rsid w:val="00E5579B"/>
    <w:rsid w:val="00E57FF4"/>
    <w:rsid w:val="00E679D1"/>
    <w:rsid w:val="00E67C1C"/>
    <w:rsid w:val="00E70E47"/>
    <w:rsid w:val="00E87DC4"/>
    <w:rsid w:val="00E91F11"/>
    <w:rsid w:val="00E924F5"/>
    <w:rsid w:val="00E9706D"/>
    <w:rsid w:val="00EA3AF4"/>
    <w:rsid w:val="00ED519B"/>
    <w:rsid w:val="00EF3F0B"/>
    <w:rsid w:val="00EF5583"/>
    <w:rsid w:val="00F0289D"/>
    <w:rsid w:val="00F02AEC"/>
    <w:rsid w:val="00F07572"/>
    <w:rsid w:val="00F157FC"/>
    <w:rsid w:val="00F26AAC"/>
    <w:rsid w:val="00F30AF3"/>
    <w:rsid w:val="00F43CD1"/>
    <w:rsid w:val="00F45AE0"/>
    <w:rsid w:val="00F60CF2"/>
    <w:rsid w:val="00F657B4"/>
    <w:rsid w:val="00F760A3"/>
    <w:rsid w:val="00F7649F"/>
    <w:rsid w:val="00F8083B"/>
    <w:rsid w:val="00F865A7"/>
    <w:rsid w:val="00F9282E"/>
    <w:rsid w:val="00FA0754"/>
    <w:rsid w:val="00FA1BC9"/>
    <w:rsid w:val="00FA49C3"/>
    <w:rsid w:val="00FB236E"/>
    <w:rsid w:val="00FB3F7B"/>
    <w:rsid w:val="00FB4C2A"/>
    <w:rsid w:val="00FB4F93"/>
    <w:rsid w:val="00FB5A8B"/>
    <w:rsid w:val="00FC2107"/>
    <w:rsid w:val="00FC48FE"/>
    <w:rsid w:val="00FC6F56"/>
    <w:rsid w:val="00FD013D"/>
    <w:rsid w:val="00FD4B73"/>
    <w:rsid w:val="00FE087C"/>
    <w:rsid w:val="00FE79A0"/>
    <w:rsid w:val="00FF093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0A3"/>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how-we-regulate/supply-therapeutic-good-0/supply-prescription-medicine/application-process/prescription-medicines-registration-proces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ebs.tga.gov.au/" TargetMode="Externa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obstetric-drug-information-services"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products/medicines/find-information-about-medicine/prescribing-medicines-pregnancy-database" TargetMode="External"/><Relationship Id="rId20" Type="http://schemas.openxmlformats.org/officeDocument/2006/relationships/hyperlink" Target="https://www.tga.gov.au/products/australian-register-therapeutic-goods-artg/consumer-medicines-information-cm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tga.gov.au/products/australian-register-therapeutic-goods-artg/product-information-o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header" Target="header3.xm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Australian public assessment report for Comirnaty JN.1 COVID-19 vaccine</vt:lpstr>
    </vt:vector>
  </TitlesOfParts>
  <Company>Department of Health and Aged Care</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Comirnaty JN.1 COVID-19 vaccine</dc:title>
  <dc:subject>Prescription medicines</dc:subject>
  <dc:creator>Therapeutic Goods Administration</dc:creator>
  <cp:keywords/>
  <dc:description/>
  <dcterms:created xsi:type="dcterms:W3CDTF">2025-04-02T00:19:00Z</dcterms:created>
  <dcterms:modified xsi:type="dcterms:W3CDTF">2025-04-02T00:44:00Z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2025-03-12T04:59:41Z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751031b5-9996-47d0-9b36-00b63c405309</vt:lpwstr>
  </property>
  <property fmtid="{D5CDD505-2E9C-101B-9397-08002B2CF9AE}" pid="8" name="MSIP_Label_68f72598-90ab-4748-9618-88402b5e95d2_ContentBits">
    <vt:lpwstr>0</vt:lpwstr>
  </property>
  <property fmtid="{D5CDD505-2E9C-101B-9397-08002B2CF9AE}" pid="9" name="MSIP_Label_68f72598-90ab-4748-9618-88402b5e95d2_Tag">
    <vt:lpwstr>10, 0, 1, 1</vt:lpwstr>
  </property>
</Properties>
</file>