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55E1DCBA" w14:textId="77777777" w:rsidTr="002B29B2">
        <w:tc>
          <w:tcPr>
            <w:tcW w:w="8720" w:type="dxa"/>
          </w:tcPr>
          <w:p w14:paraId="798DF44B" w14:textId="69241457" w:rsidR="00F02AEC" w:rsidRPr="00215D48" w:rsidRDefault="00457050" w:rsidP="002B29B2">
            <w:pPr>
              <w:pStyle w:val="Title"/>
            </w:pPr>
            <w:r>
              <w:t>Notice of final decision to amend (or not amend) the current Poisons Standard</w:t>
            </w:r>
          </w:p>
        </w:tc>
      </w:tr>
      <w:tr w:rsidR="00F02AEC" w:rsidRPr="00215D48" w14:paraId="5819680E" w14:textId="77777777" w:rsidTr="002B29B2">
        <w:trPr>
          <w:trHeight w:val="1916"/>
        </w:trPr>
        <w:tc>
          <w:tcPr>
            <w:tcW w:w="8720" w:type="dxa"/>
          </w:tcPr>
          <w:p w14:paraId="54DDB299" w14:textId="3643EA79" w:rsidR="00F02AEC" w:rsidRPr="00215D48" w:rsidRDefault="002D500E" w:rsidP="00D1612F">
            <w:pPr>
              <w:pStyle w:val="Subtitle"/>
              <w:ind w:left="0"/>
            </w:pPr>
            <w:r>
              <w:t>20 February 2025</w:t>
            </w:r>
          </w:p>
        </w:tc>
      </w:tr>
      <w:tr w:rsidR="00F02AEC" w:rsidRPr="00215D48" w14:paraId="2DBDA257" w14:textId="77777777" w:rsidTr="002B29B2">
        <w:tc>
          <w:tcPr>
            <w:tcW w:w="8720" w:type="dxa"/>
          </w:tcPr>
          <w:p w14:paraId="61B9BE12" w14:textId="2524F034" w:rsidR="00F02AEC" w:rsidRPr="00215D48" w:rsidRDefault="00F02AEC" w:rsidP="00967490">
            <w:pPr>
              <w:pStyle w:val="Date"/>
            </w:pPr>
          </w:p>
        </w:tc>
      </w:tr>
    </w:tbl>
    <w:p w14:paraId="5F09A95D" w14:textId="77777777" w:rsidR="00F02AEC" w:rsidRPr="00215D48" w:rsidRDefault="00F02AEC" w:rsidP="00AB6F8A">
      <w:pPr>
        <w:pStyle w:val="ListBullet"/>
        <w:sectPr w:rsidR="00F02AEC" w:rsidRPr="00215D48" w:rsidSect="00CB0550">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10B332C0" w14:textId="77777777" w:rsidR="00F02AEC" w:rsidRPr="00DE78C9" w:rsidRDefault="00F02AEC" w:rsidP="00DE78C9">
      <w:pPr>
        <w:rPr>
          <w:b/>
          <w:bCs/>
          <w:sz w:val="16"/>
          <w:szCs w:val="16"/>
        </w:rPr>
      </w:pPr>
      <w:r w:rsidRPr="00DE78C9">
        <w:rPr>
          <w:b/>
          <w:bCs/>
          <w:sz w:val="16"/>
          <w:szCs w:val="16"/>
        </w:rPr>
        <w:lastRenderedPageBreak/>
        <w:t>Copyright</w:t>
      </w:r>
    </w:p>
    <w:p w14:paraId="5671087C" w14:textId="37A710E5" w:rsidR="00175CD8" w:rsidRPr="00DE78C9" w:rsidRDefault="00F02AEC" w:rsidP="00DE78C9">
      <w:pPr>
        <w:rPr>
          <w:sz w:val="16"/>
          <w:szCs w:val="16"/>
        </w:rPr>
      </w:pPr>
      <w:r w:rsidRPr="00DE78C9">
        <w:rPr>
          <w:sz w:val="16"/>
          <w:szCs w:val="16"/>
        </w:rPr>
        <w:t>© Commonwealth of Australia 202</w:t>
      </w:r>
      <w:r w:rsidR="00C7366B">
        <w:rPr>
          <w:sz w:val="16"/>
          <w:szCs w:val="16"/>
        </w:rPr>
        <w:t>5</w:t>
      </w:r>
      <w:r w:rsidRPr="00DE78C9">
        <w:rPr>
          <w:sz w:val="16"/>
          <w:szCs w:val="16"/>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DE78C9">
        <w:rPr>
          <w:i/>
          <w:sz w:val="16"/>
          <w:szCs w:val="16"/>
        </w:rPr>
        <w:t>Copyright Act 1968</w:t>
      </w:r>
      <w:r w:rsidRPr="00DE78C9">
        <w:rPr>
          <w:sz w:val="16"/>
          <w:szCs w:val="16"/>
        </w:rPr>
        <w:t xml:space="preserve"> or allowed by this copyright notice, all other rights are </w:t>
      </w:r>
      <w:proofErr w:type="gramStart"/>
      <w:r w:rsidRPr="00DE78C9">
        <w:rPr>
          <w:sz w:val="16"/>
          <w:szCs w:val="16"/>
        </w:rPr>
        <w:t>reserved</w:t>
      </w:r>
      <w:proofErr w:type="gramEnd"/>
      <w:r w:rsidRPr="00DE78C9">
        <w:rPr>
          <w:sz w:val="16"/>
          <w:szCs w:val="16"/>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1" w:history="1">
        <w:r w:rsidRPr="00DE78C9">
          <w:rPr>
            <w:rStyle w:val="Hyperlink"/>
            <w:sz w:val="16"/>
            <w:szCs w:val="16"/>
          </w:rPr>
          <w:t>tga.copyright@tga.gov.au</w:t>
        </w:r>
      </w:hyperlink>
      <w:r w:rsidRPr="00DE78C9">
        <w:rPr>
          <w:sz w:val="16"/>
          <w:szCs w:val="16"/>
        </w:rPr>
        <w:t>.</w:t>
      </w:r>
    </w:p>
    <w:sdt>
      <w:sdtPr>
        <w:rPr>
          <w:rFonts w:ascii="Cambria" w:eastAsiaTheme="minorHAnsi" w:hAnsi="Cambria" w:cstheme="minorBidi"/>
          <w:b w:val="0"/>
          <w:color w:val="auto"/>
          <w:sz w:val="22"/>
        </w:rPr>
        <w:id w:val="21514769"/>
        <w:docPartObj>
          <w:docPartGallery w:val="Table of Contents"/>
          <w:docPartUnique/>
        </w:docPartObj>
      </w:sdtPr>
      <w:sdtEndPr>
        <w:rPr>
          <w:rFonts w:ascii="Arial" w:hAnsi="Arial"/>
          <w:sz w:val="20"/>
        </w:rPr>
      </w:sdtEndPr>
      <w:sdtContent>
        <w:p w14:paraId="495F5FE1" w14:textId="77777777" w:rsidR="00F02AEC" w:rsidRPr="00215D48" w:rsidRDefault="00F02AEC" w:rsidP="00967490">
          <w:pPr>
            <w:pStyle w:val="NonTOCheading2"/>
          </w:pPr>
          <w:r w:rsidRPr="00215D48">
            <w:t>Contents</w:t>
          </w:r>
        </w:p>
        <w:p w14:paraId="73DF401D" w14:textId="219FBFEB" w:rsidR="002B2975"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90166031" w:history="1">
            <w:r w:rsidR="002B2975" w:rsidRPr="00EA1020">
              <w:rPr>
                <w:rStyle w:val="Hyperlink"/>
                <w:noProof/>
              </w:rPr>
              <w:t>Notice of final decision to amend (or not amend) the current Poisons Standard</w:t>
            </w:r>
            <w:r w:rsidR="002B2975">
              <w:rPr>
                <w:noProof/>
                <w:webHidden/>
              </w:rPr>
              <w:tab/>
            </w:r>
            <w:r w:rsidR="002B2975">
              <w:rPr>
                <w:noProof/>
                <w:webHidden/>
              </w:rPr>
              <w:fldChar w:fldCharType="begin"/>
            </w:r>
            <w:r w:rsidR="002B2975">
              <w:rPr>
                <w:noProof/>
                <w:webHidden/>
              </w:rPr>
              <w:instrText xml:space="preserve"> PAGEREF _Toc190166031 \h </w:instrText>
            </w:r>
            <w:r w:rsidR="002B2975">
              <w:rPr>
                <w:noProof/>
                <w:webHidden/>
              </w:rPr>
            </w:r>
            <w:r w:rsidR="002B2975">
              <w:rPr>
                <w:noProof/>
                <w:webHidden/>
              </w:rPr>
              <w:fldChar w:fldCharType="separate"/>
            </w:r>
            <w:r w:rsidR="002B2975">
              <w:rPr>
                <w:noProof/>
                <w:webHidden/>
              </w:rPr>
              <w:t>4</w:t>
            </w:r>
            <w:r w:rsidR="002B2975">
              <w:rPr>
                <w:noProof/>
                <w:webHidden/>
              </w:rPr>
              <w:fldChar w:fldCharType="end"/>
            </w:r>
          </w:hyperlink>
        </w:p>
        <w:p w14:paraId="56AB869B" w14:textId="32AEE5E2" w:rsidR="002B2975" w:rsidRDefault="002B2975">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0166032" w:history="1">
            <w:r w:rsidRPr="00EA1020">
              <w:rPr>
                <w:rStyle w:val="Hyperlink"/>
                <w:noProof/>
              </w:rPr>
              <w:t>Final decision on proposed amendments referred to the Advisory Committees on Medicines and Chemicals Scheduling in joint session (Joint ACMS-ACCS #34, June 2023)</w:t>
            </w:r>
            <w:r>
              <w:rPr>
                <w:noProof/>
                <w:webHidden/>
              </w:rPr>
              <w:tab/>
            </w:r>
            <w:r>
              <w:rPr>
                <w:noProof/>
                <w:webHidden/>
              </w:rPr>
              <w:fldChar w:fldCharType="begin"/>
            </w:r>
            <w:r>
              <w:rPr>
                <w:noProof/>
                <w:webHidden/>
              </w:rPr>
              <w:instrText xml:space="preserve"> PAGEREF _Toc190166032 \h </w:instrText>
            </w:r>
            <w:r>
              <w:rPr>
                <w:noProof/>
                <w:webHidden/>
              </w:rPr>
            </w:r>
            <w:r>
              <w:rPr>
                <w:noProof/>
                <w:webHidden/>
              </w:rPr>
              <w:fldChar w:fldCharType="separate"/>
            </w:r>
            <w:r>
              <w:rPr>
                <w:noProof/>
                <w:webHidden/>
              </w:rPr>
              <w:t>4</w:t>
            </w:r>
            <w:r>
              <w:rPr>
                <w:noProof/>
                <w:webHidden/>
              </w:rPr>
              <w:fldChar w:fldCharType="end"/>
            </w:r>
          </w:hyperlink>
        </w:p>
        <w:p w14:paraId="0D57BBB5" w14:textId="1848FB10" w:rsidR="002B2975" w:rsidRDefault="002B2975">
          <w:pPr>
            <w:pStyle w:val="TOC2"/>
            <w:rPr>
              <w:rFonts w:asciiTheme="minorHAnsi" w:eastAsiaTheme="minorEastAsia" w:hAnsiTheme="minorHAnsi" w:cstheme="minorBidi"/>
              <w:noProof/>
              <w:color w:val="auto"/>
              <w:kern w:val="2"/>
              <w:szCs w:val="24"/>
              <w:lang w:eastAsia="en-AU"/>
              <w14:ligatures w14:val="standardContextual"/>
            </w:rPr>
          </w:pPr>
          <w:hyperlink w:anchor="_Toc190166033" w:history="1">
            <w:r w:rsidRPr="00EA1020">
              <w:rPr>
                <w:rStyle w:val="Hyperlink"/>
                <w:noProof/>
              </w:rPr>
              <w:t>Final decision in relation to amygdalin, hydrocyanic acid and Wild Cherry Bark</w:t>
            </w:r>
            <w:r>
              <w:rPr>
                <w:noProof/>
                <w:webHidden/>
              </w:rPr>
              <w:tab/>
            </w:r>
            <w:r>
              <w:rPr>
                <w:noProof/>
                <w:webHidden/>
              </w:rPr>
              <w:fldChar w:fldCharType="begin"/>
            </w:r>
            <w:r>
              <w:rPr>
                <w:noProof/>
                <w:webHidden/>
              </w:rPr>
              <w:instrText xml:space="preserve"> PAGEREF _Toc190166033 \h </w:instrText>
            </w:r>
            <w:r>
              <w:rPr>
                <w:noProof/>
                <w:webHidden/>
              </w:rPr>
            </w:r>
            <w:r>
              <w:rPr>
                <w:noProof/>
                <w:webHidden/>
              </w:rPr>
              <w:fldChar w:fldCharType="separate"/>
            </w:r>
            <w:r>
              <w:rPr>
                <w:noProof/>
                <w:webHidden/>
              </w:rPr>
              <w:t>4</w:t>
            </w:r>
            <w:r>
              <w:rPr>
                <w:noProof/>
                <w:webHidden/>
              </w:rPr>
              <w:fldChar w:fldCharType="end"/>
            </w:r>
          </w:hyperlink>
        </w:p>
        <w:p w14:paraId="09B05728" w14:textId="79C8C898" w:rsidR="00F02AEC" w:rsidRPr="00215D48" w:rsidRDefault="00F02AEC" w:rsidP="00967490">
          <w:r w:rsidRPr="00215D48">
            <w:fldChar w:fldCharType="end"/>
          </w:r>
        </w:p>
      </w:sdtContent>
    </w:sdt>
    <w:p w14:paraId="4D0C412B" w14:textId="77777777" w:rsidR="00F02AEC" w:rsidRPr="00215D48" w:rsidRDefault="00F02AEC" w:rsidP="00967490">
      <w:r w:rsidRPr="00215D48">
        <w:br w:type="page"/>
      </w:r>
    </w:p>
    <w:p w14:paraId="3A06BE1E" w14:textId="5CC2FBF4" w:rsidR="00457050" w:rsidRPr="00BC2009" w:rsidRDefault="00457050" w:rsidP="00967490">
      <w:pPr>
        <w:pStyle w:val="Heading2"/>
      </w:pPr>
      <w:bookmarkStart w:id="0" w:name="_Toc97640261"/>
      <w:bookmarkStart w:id="1" w:name="_Toc190166031"/>
      <w:r w:rsidRPr="00597B50">
        <w:lastRenderedPageBreak/>
        <w:t>Notice of final decision to amend (or not amend) the current Poisons Standard</w:t>
      </w:r>
      <w:bookmarkEnd w:id="0"/>
      <w:bookmarkEnd w:id="1"/>
      <w:r w:rsidRPr="00597B50">
        <w:t xml:space="preserve"> </w:t>
      </w:r>
    </w:p>
    <w:p w14:paraId="2FB850E1" w14:textId="7AAE8D06" w:rsidR="00457050" w:rsidRPr="00457050" w:rsidRDefault="00457050" w:rsidP="00967490">
      <w:r w:rsidRPr="00457050">
        <w:t xml:space="preserve">This web publication constitutes a notice for the purposes of </w:t>
      </w:r>
      <w:r w:rsidRPr="00AB6F8A">
        <w:t>regulation 42ZCZS</w:t>
      </w:r>
      <w:r w:rsidR="00AB6F8A" w:rsidRPr="00AB6F8A">
        <w:t xml:space="preserve"> </w:t>
      </w:r>
      <w:r w:rsidRPr="00AB6F8A">
        <w:t xml:space="preserve">of the </w:t>
      </w:r>
      <w:r w:rsidRPr="00AB6F8A">
        <w:rPr>
          <w:i/>
        </w:rPr>
        <w:t xml:space="preserve">Therapeutic Goods Regulations 1990 </w:t>
      </w:r>
      <w:r w:rsidRPr="00AB6F8A">
        <w:t xml:space="preserve">(the </w:t>
      </w:r>
      <w:r w:rsidRPr="00AB6F8A">
        <w:rPr>
          <w:b/>
        </w:rPr>
        <w:t>Regulations</w:t>
      </w:r>
      <w:r w:rsidRPr="00AB6F8A">
        <w:t>). In accordance with regulation 42ZCZS,</w:t>
      </w:r>
      <w:r w:rsidRPr="00457050">
        <w:t xml:space="preserve"> this notice publishes:</w:t>
      </w:r>
    </w:p>
    <w:p w14:paraId="4D038242" w14:textId="14B16079" w:rsidR="00457050" w:rsidRPr="00457050" w:rsidRDefault="00457050" w:rsidP="00AB6F8A">
      <w:pPr>
        <w:pStyle w:val="ListBullet"/>
      </w:pPr>
      <w:r w:rsidRPr="00457050">
        <w:t>the decision made by a delegate</w:t>
      </w:r>
      <w:r w:rsidRPr="00457050">
        <w:rPr>
          <w:rStyle w:val="FootnoteReference"/>
        </w:rPr>
        <w:footnoteReference w:id="1"/>
      </w:r>
      <w:r w:rsidRPr="00457050">
        <w:t xml:space="preserve"> of the Secretary of the Department of Health and Aged Care (the </w:t>
      </w:r>
      <w:r w:rsidRPr="00457050">
        <w:rPr>
          <w:b/>
          <w:bCs/>
        </w:rPr>
        <w:t>Delegate</w:t>
      </w:r>
      <w:r w:rsidRPr="00457050">
        <w:t>) pursuant to regulation 42ZCZR</w:t>
      </w:r>
    </w:p>
    <w:p w14:paraId="1AA8F280" w14:textId="526B9285" w:rsidR="00457050" w:rsidRPr="00AB6F8A" w:rsidRDefault="00457050" w:rsidP="00AB6F8A">
      <w:pPr>
        <w:pStyle w:val="ListBullet"/>
      </w:pPr>
      <w:r w:rsidRPr="00457050">
        <w:t xml:space="preserve">the </w:t>
      </w:r>
      <w:r w:rsidRPr="00AB6F8A">
        <w:t xml:space="preserve">reasons for the final decision and </w:t>
      </w:r>
    </w:p>
    <w:p w14:paraId="5E6BC7C7" w14:textId="1BC1D2B9" w:rsidR="00457050" w:rsidRPr="00AB6F8A" w:rsidRDefault="00457050" w:rsidP="00AB6F8A">
      <w:pPr>
        <w:pStyle w:val="ListBullet"/>
      </w:pPr>
      <w:r w:rsidRPr="00AB6F8A">
        <w:t>the date of effect of the decision.</w:t>
      </w:r>
    </w:p>
    <w:p w14:paraId="67DC0EBB" w14:textId="6242BB51" w:rsidR="00457050" w:rsidRPr="00AB6F8A" w:rsidRDefault="00831B56" w:rsidP="00AB6F8A">
      <w:pPr>
        <w:rPr>
          <w:b/>
          <w:bCs/>
          <w:i/>
          <w:iCs/>
        </w:rPr>
      </w:pPr>
      <w:r w:rsidRPr="00AB6F8A">
        <w:rPr>
          <w:b/>
          <w:bCs/>
          <w:i/>
          <w:iCs/>
        </w:rPr>
        <w:t>Defined terms</w:t>
      </w:r>
    </w:p>
    <w:p w14:paraId="3518FC9A" w14:textId="39B18FB7" w:rsidR="00831B56" w:rsidRDefault="00831B56" w:rsidP="00AB6F8A">
      <w:r>
        <w:t>In this notice the following defined terms are used in addition to those above:</w:t>
      </w:r>
    </w:p>
    <w:p w14:paraId="6BE33439" w14:textId="29031A03" w:rsidR="00831B56" w:rsidRDefault="00831B56" w:rsidP="00AB6F8A">
      <w:pPr>
        <w:pStyle w:val="ListBullet"/>
      </w:pPr>
      <w:r>
        <w:t xml:space="preserve">the </w:t>
      </w:r>
      <w:r w:rsidRPr="00AA12EC">
        <w:t>Therapeutic Goods Act 1989</w:t>
      </w:r>
      <w:r>
        <w:t xml:space="preserve"> (</w:t>
      </w:r>
      <w:proofErr w:type="spellStart"/>
      <w:r>
        <w:t>Cth</w:t>
      </w:r>
      <w:proofErr w:type="spellEnd"/>
      <w:r>
        <w:t xml:space="preserve">) (the </w:t>
      </w:r>
      <w:r w:rsidRPr="00831B56">
        <w:rPr>
          <w:b/>
          <w:bCs/>
        </w:rPr>
        <w:t>Act</w:t>
      </w:r>
      <w:r>
        <w:t>)</w:t>
      </w:r>
    </w:p>
    <w:p w14:paraId="6550B5E6" w14:textId="5EBA37FF" w:rsidR="00831B56" w:rsidRDefault="00831B56" w:rsidP="00AB6F8A">
      <w:pPr>
        <w:pStyle w:val="ListBullet"/>
      </w:pPr>
      <w:r>
        <w:t xml:space="preserve">the </w:t>
      </w:r>
      <w:hyperlink r:id="rId12" w:history="1">
        <w:r w:rsidRPr="00AB6F8A">
          <w:rPr>
            <w:rStyle w:val="Hyperlink"/>
            <w:rFonts w:cs="Arial"/>
          </w:rPr>
          <w:t>Scheduling Policy Framework</w:t>
        </w:r>
      </w:hyperlink>
      <w:r>
        <w:t xml:space="preserve"> 2018 (the </w:t>
      </w:r>
      <w:r w:rsidRPr="00831B56">
        <w:rPr>
          <w:b/>
          <w:bCs/>
        </w:rPr>
        <w:t>SPF</w:t>
      </w:r>
      <w:r>
        <w:t>)</w:t>
      </w:r>
    </w:p>
    <w:p w14:paraId="4CDC567B" w14:textId="46FFCF22" w:rsidR="00831B56" w:rsidRDefault="00831B56" w:rsidP="00AB6F8A">
      <w:pPr>
        <w:pStyle w:val="ListBullet"/>
      </w:pPr>
      <w:r>
        <w:t>the Scheduling handbook</w:t>
      </w:r>
      <w:r w:rsidR="00FC1EB4">
        <w:t>,</w:t>
      </w:r>
      <w:r>
        <w:t xml:space="preserve"> </w:t>
      </w:r>
      <w:hyperlink r:id="rId13" w:history="1">
        <w:r w:rsidRPr="00AB6F8A">
          <w:rPr>
            <w:rStyle w:val="Hyperlink"/>
            <w:rFonts w:cs="Arial"/>
          </w:rPr>
          <w:t>Guidance for amending the Poisons Standard</w:t>
        </w:r>
      </w:hyperlink>
      <w:r w:rsidRPr="00AB6F8A">
        <w:t xml:space="preserve"> </w:t>
      </w:r>
      <w:r>
        <w:t xml:space="preserve">(the </w:t>
      </w:r>
      <w:r w:rsidRPr="00831B56">
        <w:rPr>
          <w:b/>
          <w:bCs/>
        </w:rPr>
        <w:t>Handbook</w:t>
      </w:r>
      <w:r>
        <w:t>) and</w:t>
      </w:r>
    </w:p>
    <w:p w14:paraId="78D91CCD" w14:textId="3DC73865" w:rsidR="00831B56" w:rsidRDefault="00831B56" w:rsidP="00AB6F8A">
      <w:pPr>
        <w:pStyle w:val="ListBullet"/>
      </w:pPr>
      <w:r>
        <w:t xml:space="preserve">the Therapeutic Goods Administration (the </w:t>
      </w:r>
      <w:r w:rsidRPr="00831B56">
        <w:rPr>
          <w:b/>
          <w:bCs/>
        </w:rPr>
        <w:t>TGA</w:t>
      </w:r>
      <w:r>
        <w:t>).</w:t>
      </w:r>
    </w:p>
    <w:p w14:paraId="1ECB50B6" w14:textId="5A17E978" w:rsidR="00831B56" w:rsidRPr="00831B56" w:rsidRDefault="00831B56" w:rsidP="00AB6F8A">
      <w:r w:rsidRPr="00831B56">
        <w:t>Note: additional terms are also defined for individual decisions.</w:t>
      </w:r>
    </w:p>
    <w:p w14:paraId="3952C828" w14:textId="48139A95" w:rsidR="00457050" w:rsidRPr="00F41DCE" w:rsidRDefault="00457050" w:rsidP="00967490">
      <w:pPr>
        <w:pStyle w:val="Heading2"/>
      </w:pPr>
      <w:bookmarkStart w:id="2" w:name="_Toc97640265"/>
      <w:bookmarkStart w:id="3" w:name="_Toc190166032"/>
      <w:r>
        <w:t>Final</w:t>
      </w:r>
      <w:r w:rsidRPr="00FA029A">
        <w:t xml:space="preserve"> decision on proposed amendment</w:t>
      </w:r>
      <w:r w:rsidR="00240153">
        <w:t>s</w:t>
      </w:r>
      <w:r w:rsidRPr="00FA029A">
        <w:t xml:space="preserve"> referred to the </w:t>
      </w:r>
      <w:r w:rsidRPr="00F41DCE">
        <w:t>Advisory Committee</w:t>
      </w:r>
      <w:r w:rsidR="00BA47FA">
        <w:t>s</w:t>
      </w:r>
      <w:r w:rsidRPr="00F41DCE">
        <w:t xml:space="preserve"> on Medicines and Chemicals Scheduling in jo</w:t>
      </w:r>
      <w:r>
        <w:t>int session (Joint ACMS-ACCS #</w:t>
      </w:r>
      <w:r w:rsidR="00317806">
        <w:t>3</w:t>
      </w:r>
      <w:r w:rsidR="00B81C97">
        <w:t>4</w:t>
      </w:r>
      <w:r>
        <w:t xml:space="preserve">, </w:t>
      </w:r>
      <w:r w:rsidR="00B81C97">
        <w:t>June</w:t>
      </w:r>
      <w:r>
        <w:t xml:space="preserve"> 20</w:t>
      </w:r>
      <w:r w:rsidR="00317806">
        <w:t>2</w:t>
      </w:r>
      <w:r w:rsidR="00B81C97">
        <w:t>3</w:t>
      </w:r>
      <w:r w:rsidRPr="00F41DCE">
        <w:t>)</w:t>
      </w:r>
      <w:bookmarkEnd w:id="2"/>
      <w:bookmarkEnd w:id="3"/>
    </w:p>
    <w:p w14:paraId="37D57355" w14:textId="4F8D6A8B" w:rsidR="00457050" w:rsidRPr="00094A0E" w:rsidRDefault="00457050" w:rsidP="00300CBB">
      <w:pPr>
        <w:pStyle w:val="Heading3"/>
      </w:pPr>
      <w:bookmarkStart w:id="4" w:name="_Toc190166033"/>
      <w:r>
        <w:t xml:space="preserve">Final decision in relation to </w:t>
      </w:r>
      <w:r w:rsidR="00094A0E">
        <w:t>amygdalin</w:t>
      </w:r>
      <w:r w:rsidR="00240153">
        <w:t>,</w:t>
      </w:r>
      <w:r w:rsidR="00094A0E">
        <w:t xml:space="preserve"> hydrocyanic acid</w:t>
      </w:r>
      <w:r w:rsidR="00240153">
        <w:t xml:space="preserve"> and Wild Cherry Bark</w:t>
      </w:r>
      <w:bookmarkEnd w:id="4"/>
    </w:p>
    <w:p w14:paraId="12B664B0" w14:textId="77777777" w:rsidR="00457050" w:rsidRPr="00BB34CD" w:rsidRDefault="00457050" w:rsidP="00BB34CD">
      <w:pPr>
        <w:rPr>
          <w:b/>
          <w:bCs/>
          <w:i/>
          <w:iCs/>
        </w:rPr>
      </w:pPr>
      <w:r w:rsidRPr="00BB34CD">
        <w:rPr>
          <w:b/>
          <w:bCs/>
          <w:i/>
          <w:iCs/>
        </w:rPr>
        <w:t>Proposal</w:t>
      </w:r>
    </w:p>
    <w:p w14:paraId="7A41817C" w14:textId="799A8F4F" w:rsidR="00457050" w:rsidRPr="00E951D8" w:rsidRDefault="00317806" w:rsidP="00BB34CD">
      <w:pPr>
        <w:rPr>
          <w:b/>
          <w:bCs/>
          <w:i/>
        </w:rPr>
      </w:pPr>
      <w:r>
        <w:t xml:space="preserve">The </w:t>
      </w:r>
      <w:r w:rsidR="00EC20D5">
        <w:t xml:space="preserve">Delegate received a proposal </w:t>
      </w:r>
      <w:r w:rsidR="001D4248">
        <w:t>to</w:t>
      </w:r>
      <w:r w:rsidR="001D4248" w:rsidRPr="001D4248">
        <w:t xml:space="preserve"> amend of the Poisons Standard to exclude preparations of Wild Cherry Bark from the Schedule 10 entry for amygdalin and the Schedule 4 entry for hydrocyanic acid</w:t>
      </w:r>
      <w:r w:rsidR="00240153">
        <w:t>.</w:t>
      </w:r>
      <w:r w:rsidR="001D4248" w:rsidRPr="001D4248">
        <w:t xml:space="preserve"> </w:t>
      </w:r>
      <w:r w:rsidR="001D4248" w:rsidRPr="00F76D8F">
        <w:t>Amygdalin and hydrocyanic acid are naturally occurring constituents of Wild Cherry Bark which is used in traditional medicine as an oral treatment for various self-limiting conditions, including cough suppression.</w:t>
      </w:r>
      <w:r w:rsidR="001D4248" w:rsidRPr="001D4248">
        <w:t xml:space="preserve"> The </w:t>
      </w:r>
      <w:r w:rsidR="00C7366B">
        <w:t xml:space="preserve">proposal sought an </w:t>
      </w:r>
      <w:r w:rsidR="001D4248" w:rsidRPr="001D4248">
        <w:t xml:space="preserve">exclusion </w:t>
      </w:r>
      <w:r w:rsidR="00C7366B">
        <w:t>for</w:t>
      </w:r>
      <w:r w:rsidR="001D4248">
        <w:t xml:space="preserve"> </w:t>
      </w:r>
      <w:r w:rsidR="00240153">
        <w:t>W</w:t>
      </w:r>
      <w:r w:rsidR="001D4248">
        <w:t xml:space="preserve">ild </w:t>
      </w:r>
      <w:r w:rsidR="00240153">
        <w:t>C</w:t>
      </w:r>
      <w:r w:rsidR="001D4248">
        <w:t xml:space="preserve">herry </w:t>
      </w:r>
      <w:r w:rsidR="00240153">
        <w:t>B</w:t>
      </w:r>
      <w:r w:rsidR="001D4248">
        <w:t xml:space="preserve">ark preparations listed on the listed on the </w:t>
      </w:r>
      <w:hyperlink r:id="rId14" w:history="1">
        <w:r w:rsidR="001D4248" w:rsidRPr="001D4248">
          <w:rPr>
            <w:rStyle w:val="Hyperlink"/>
          </w:rPr>
          <w:t>Australian Register of Therapeutic Goods</w:t>
        </w:r>
      </w:hyperlink>
      <w:r w:rsidR="001D4248" w:rsidRPr="001D4248">
        <w:t xml:space="preserve"> (ARTG)</w:t>
      </w:r>
      <w:r w:rsidR="001D4248">
        <w:t xml:space="preserve"> </w:t>
      </w:r>
      <w:r w:rsidR="001D4248" w:rsidRPr="001D4248">
        <w:t>subject to additional labelling requirements and the maximum recommended daily dose being less than 5 mg of amygdalin or 0.3 mg of hydrocyanic acid.</w:t>
      </w:r>
    </w:p>
    <w:p w14:paraId="14928BB6" w14:textId="5E0C1B37" w:rsidR="0066118B" w:rsidRDefault="0066118B" w:rsidP="00BB34CD">
      <w:pPr>
        <w:rPr>
          <w:b/>
          <w:bCs/>
          <w:i/>
          <w:iCs/>
        </w:rPr>
      </w:pPr>
      <w:r>
        <w:rPr>
          <w:b/>
          <w:bCs/>
          <w:i/>
          <w:iCs/>
        </w:rPr>
        <w:t>Interim decision</w:t>
      </w:r>
    </w:p>
    <w:p w14:paraId="1279FE88" w14:textId="3978D1D8" w:rsidR="00240153" w:rsidRDefault="0066118B">
      <w:pPr>
        <w:rPr>
          <w:b/>
          <w:bCs/>
          <w:i/>
          <w:iCs/>
        </w:rPr>
      </w:pPr>
      <w:r>
        <w:t>The Delegate</w:t>
      </w:r>
      <w:r w:rsidR="00EC20D5">
        <w:t xml:space="preserve"> made an</w:t>
      </w:r>
      <w:r>
        <w:t xml:space="preserve"> interim decision to not amend the Poisons Standard in relation to</w:t>
      </w:r>
      <w:r w:rsidR="00D61049">
        <w:t xml:space="preserve"> amygdalin </w:t>
      </w:r>
      <w:r w:rsidR="00231FFE">
        <w:t>and hydrocyanic acid</w:t>
      </w:r>
      <w:r>
        <w:t xml:space="preserve"> </w:t>
      </w:r>
      <w:r w:rsidR="00EC20D5">
        <w:t xml:space="preserve">which </w:t>
      </w:r>
      <w:r>
        <w:t xml:space="preserve">was published on </w:t>
      </w:r>
      <w:r w:rsidR="0039214B">
        <w:t>5</w:t>
      </w:r>
      <w:r>
        <w:t xml:space="preserve"> </w:t>
      </w:r>
      <w:r w:rsidR="00D22EE3">
        <w:t>October</w:t>
      </w:r>
      <w:r>
        <w:t xml:space="preserve"> 2023. Public consultation on the interim decision was </w:t>
      </w:r>
      <w:r w:rsidR="00377767">
        <w:t xml:space="preserve">undertaken during </w:t>
      </w:r>
      <w:r w:rsidR="003D7C8A">
        <w:t>5</w:t>
      </w:r>
      <w:r w:rsidR="00377767">
        <w:t xml:space="preserve"> </w:t>
      </w:r>
      <w:r w:rsidR="003D7C8A">
        <w:t>October</w:t>
      </w:r>
      <w:r w:rsidR="00377767">
        <w:t xml:space="preserve"> to 3 </w:t>
      </w:r>
      <w:r w:rsidR="003D7C8A">
        <w:t>November</w:t>
      </w:r>
      <w:r w:rsidR="00377767">
        <w:t xml:space="preserve"> 2023</w:t>
      </w:r>
      <w:r>
        <w:t>.</w:t>
      </w:r>
      <w:r w:rsidR="00240153">
        <w:rPr>
          <w:b/>
          <w:bCs/>
          <w:i/>
          <w:iCs/>
        </w:rPr>
        <w:br w:type="page"/>
      </w:r>
    </w:p>
    <w:p w14:paraId="1B938398" w14:textId="6EA6DD05" w:rsidR="00A43451" w:rsidRPr="00C871CF" w:rsidRDefault="00A43451">
      <w:pPr>
        <w:rPr>
          <w:b/>
          <w:bCs/>
          <w:i/>
          <w:iCs/>
        </w:rPr>
      </w:pPr>
      <w:r w:rsidRPr="00C871CF">
        <w:rPr>
          <w:b/>
          <w:bCs/>
          <w:i/>
          <w:iCs/>
        </w:rPr>
        <w:lastRenderedPageBreak/>
        <w:t>Additional consultation</w:t>
      </w:r>
    </w:p>
    <w:p w14:paraId="5D7652E3" w14:textId="1A28995F" w:rsidR="002325BF" w:rsidRDefault="008A684B">
      <w:pPr>
        <w:rPr>
          <w:b/>
          <w:bCs/>
          <w:i/>
          <w:iCs/>
        </w:rPr>
      </w:pPr>
      <w:r>
        <w:t>A</w:t>
      </w:r>
      <w:r w:rsidR="0066118B">
        <w:t xml:space="preserve">n additional consultation </w:t>
      </w:r>
      <w:r w:rsidR="00A43451" w:rsidRPr="00A43451">
        <w:t xml:space="preserve">seeking further advice from all interested parties on suggested changes to </w:t>
      </w:r>
      <w:r w:rsidR="00A43451">
        <w:t>scheduling of</w:t>
      </w:r>
      <w:r w:rsidR="00A43451" w:rsidRPr="00A43451">
        <w:t xml:space="preserve"> amygdalin and hydrocyanic acid</w:t>
      </w:r>
      <w:r w:rsidR="00B942F3">
        <w:t xml:space="preserve"> </w:t>
      </w:r>
      <w:r w:rsidR="0066118B">
        <w:t>was conducted from 1</w:t>
      </w:r>
      <w:r w:rsidR="00F20A9A">
        <w:t> </w:t>
      </w:r>
      <w:r w:rsidR="0066118B">
        <w:t>March 2024 to 12</w:t>
      </w:r>
      <w:r w:rsidR="00C871CF">
        <w:t> </w:t>
      </w:r>
      <w:r w:rsidR="0066118B">
        <w:t>April 2024.</w:t>
      </w:r>
      <w:r w:rsidR="00A43451">
        <w:t xml:space="preserve"> The suggested changes </w:t>
      </w:r>
      <w:r w:rsidR="00A43451" w:rsidRPr="00A43451">
        <w:t>also include</w:t>
      </w:r>
      <w:r w:rsidR="00A43451">
        <w:t>d</w:t>
      </w:r>
      <w:r w:rsidR="00A43451" w:rsidRPr="00A43451">
        <w:t xml:space="preserve"> an accompanying new entry for Wild Cherry Bark.</w:t>
      </w:r>
    </w:p>
    <w:p w14:paraId="3E11722D" w14:textId="1AA049D6" w:rsidR="00457050" w:rsidRPr="00BB34CD" w:rsidRDefault="00457050" w:rsidP="00BB34CD">
      <w:pPr>
        <w:rPr>
          <w:b/>
          <w:bCs/>
          <w:i/>
          <w:iCs/>
        </w:rPr>
      </w:pPr>
      <w:r w:rsidRPr="00BB34CD">
        <w:rPr>
          <w:b/>
          <w:bCs/>
          <w:i/>
          <w:iCs/>
        </w:rPr>
        <w:t>Final decision</w:t>
      </w:r>
    </w:p>
    <w:p w14:paraId="3E55F334" w14:textId="2F624BC5" w:rsidR="00457050" w:rsidRDefault="00457050" w:rsidP="00967490">
      <w:r>
        <w:t xml:space="preserve">Pursuant to regulation 42ZCZR of the Regulations, the Delegate has made a final decision to </w:t>
      </w:r>
      <w:r w:rsidR="00317806">
        <w:t xml:space="preserve">set aside </w:t>
      </w:r>
      <w:r w:rsidRPr="005203C8">
        <w:t xml:space="preserve">the interim </w:t>
      </w:r>
      <w:r w:rsidRPr="00317806">
        <w:t xml:space="preserve">decision and amend the current Poisons Standard in relation to </w:t>
      </w:r>
      <w:r w:rsidR="00DC03FE">
        <w:t>amygdalin</w:t>
      </w:r>
      <w:r w:rsidR="00240153">
        <w:t xml:space="preserve">, </w:t>
      </w:r>
      <w:r w:rsidR="00DC03FE">
        <w:t>hydrocyanic acid</w:t>
      </w:r>
      <w:r w:rsidR="00317806" w:rsidRPr="00317806">
        <w:t xml:space="preserve"> </w:t>
      </w:r>
      <w:r w:rsidR="00DA269D">
        <w:t xml:space="preserve">and Wild Cherry Bark </w:t>
      </w:r>
      <w:r w:rsidRPr="00317806">
        <w:t>as follows:</w:t>
      </w:r>
    </w:p>
    <w:p w14:paraId="1E7D6710" w14:textId="6B1726F4" w:rsidR="00DA269D" w:rsidRPr="00AF61B4" w:rsidRDefault="00DA269D" w:rsidP="00C871CF">
      <w:pPr>
        <w:ind w:firstLine="284"/>
        <w:rPr>
          <w:b/>
          <w:bCs/>
          <w:i/>
          <w:iCs/>
        </w:rPr>
      </w:pPr>
      <w:r w:rsidRPr="00AF61B4">
        <w:rPr>
          <w:b/>
          <w:bCs/>
          <w:i/>
          <w:iCs/>
        </w:rPr>
        <w:t>Wild Cherry Bark</w:t>
      </w:r>
    </w:p>
    <w:p w14:paraId="64DF6E2F" w14:textId="394EC8E2" w:rsidR="007A74F6" w:rsidRPr="007A74F6" w:rsidRDefault="007A74F6" w:rsidP="007A74F6">
      <w:pPr>
        <w:ind w:left="284"/>
        <w:rPr>
          <w:b/>
          <w:bCs/>
        </w:rPr>
      </w:pPr>
      <w:r w:rsidRPr="007A74F6">
        <w:rPr>
          <w:b/>
          <w:bCs/>
        </w:rPr>
        <w:t xml:space="preserve">Schedule </w:t>
      </w:r>
      <w:r w:rsidR="00861ED8">
        <w:rPr>
          <w:b/>
          <w:bCs/>
        </w:rPr>
        <w:t>10</w:t>
      </w:r>
      <w:r w:rsidRPr="007A74F6">
        <w:rPr>
          <w:b/>
          <w:bCs/>
        </w:rPr>
        <w:t xml:space="preserve"> – New entry</w:t>
      </w:r>
    </w:p>
    <w:p w14:paraId="03DBF347" w14:textId="0B7D92F9" w:rsidR="00A84C4E" w:rsidRDefault="00861ED8" w:rsidP="00EE01FB">
      <w:pPr>
        <w:ind w:left="567"/>
        <w:rPr>
          <w:color w:val="00B050"/>
          <w:u w:val="single"/>
        </w:rPr>
      </w:pPr>
      <w:r w:rsidRPr="006E670A">
        <w:rPr>
          <w:color w:val="00B050"/>
          <w:u w:val="single"/>
        </w:rPr>
        <w:t>WILD CHERRY BARK for therapeutic use</w:t>
      </w:r>
      <w:r w:rsidR="00E70EB1">
        <w:rPr>
          <w:color w:val="00B050"/>
          <w:u w:val="single"/>
        </w:rPr>
        <w:t xml:space="preserve"> </w:t>
      </w:r>
      <w:r w:rsidR="00E70EB1" w:rsidRPr="006E670A">
        <w:rPr>
          <w:b/>
          <w:bCs/>
          <w:color w:val="00B050"/>
          <w:u w:val="single"/>
        </w:rPr>
        <w:t xml:space="preserve">except </w:t>
      </w:r>
      <w:r w:rsidR="00E70EB1" w:rsidRPr="006E670A">
        <w:rPr>
          <w:color w:val="00B050"/>
          <w:u w:val="single"/>
        </w:rPr>
        <w:t>in preparations containing</w:t>
      </w:r>
      <w:r w:rsidR="00E70EB1">
        <w:rPr>
          <w:color w:val="00B050"/>
          <w:u w:val="single"/>
        </w:rPr>
        <w:t>:</w:t>
      </w:r>
    </w:p>
    <w:p w14:paraId="103B067E" w14:textId="12352426" w:rsidR="00E70EB1" w:rsidRDefault="00396DBF" w:rsidP="00396DBF">
      <w:pPr>
        <w:pStyle w:val="Additionallistbullet"/>
        <w:ind w:left="1281" w:hanging="357"/>
      </w:pPr>
      <w:r w:rsidRPr="006E670A">
        <w:t>10 mg/kg or less of amygdalin</w:t>
      </w:r>
      <w:r>
        <w:t>; and</w:t>
      </w:r>
    </w:p>
    <w:p w14:paraId="0F876B87" w14:textId="177DC89C" w:rsidR="00396DBF" w:rsidRPr="00396DBF" w:rsidRDefault="00396DBF" w:rsidP="00396DBF">
      <w:pPr>
        <w:pStyle w:val="Additionallistbullet"/>
        <w:ind w:left="1281" w:hanging="357"/>
      </w:pPr>
      <w:r w:rsidRPr="00F26DF8">
        <w:t>10 mg/kg or less of hydrocyanic acid</w:t>
      </w:r>
      <w:r w:rsidRPr="00396DBF">
        <w:t>.</w:t>
      </w:r>
    </w:p>
    <w:p w14:paraId="4D0F4FD9" w14:textId="723E5686" w:rsidR="00DA269D" w:rsidRPr="00AF61B4" w:rsidRDefault="00DA269D" w:rsidP="00A84C4E">
      <w:pPr>
        <w:ind w:left="284"/>
        <w:rPr>
          <w:b/>
          <w:bCs/>
          <w:i/>
          <w:iCs/>
        </w:rPr>
      </w:pPr>
      <w:r w:rsidRPr="00AF61B4">
        <w:rPr>
          <w:b/>
          <w:bCs/>
          <w:i/>
          <w:iCs/>
        </w:rPr>
        <w:t>Amygdalin</w:t>
      </w:r>
    </w:p>
    <w:p w14:paraId="4BB46B6C" w14:textId="56D1E371" w:rsidR="00A84C4E" w:rsidRPr="007A74F6" w:rsidRDefault="00A84C4E" w:rsidP="00A84C4E">
      <w:pPr>
        <w:ind w:left="284"/>
        <w:rPr>
          <w:b/>
          <w:bCs/>
        </w:rPr>
      </w:pPr>
      <w:r w:rsidRPr="007A74F6">
        <w:rPr>
          <w:b/>
          <w:bCs/>
        </w:rPr>
        <w:t xml:space="preserve">Schedule </w:t>
      </w:r>
      <w:r>
        <w:rPr>
          <w:b/>
          <w:bCs/>
        </w:rPr>
        <w:t>10</w:t>
      </w:r>
      <w:r w:rsidRPr="007A74F6">
        <w:rPr>
          <w:b/>
          <w:bCs/>
        </w:rPr>
        <w:t xml:space="preserve"> – </w:t>
      </w:r>
      <w:r>
        <w:rPr>
          <w:b/>
          <w:bCs/>
        </w:rPr>
        <w:t>Amend</w:t>
      </w:r>
      <w:r w:rsidRPr="007A74F6">
        <w:rPr>
          <w:b/>
          <w:bCs/>
        </w:rPr>
        <w:t xml:space="preserve"> entry</w:t>
      </w:r>
    </w:p>
    <w:p w14:paraId="4A80ADFA" w14:textId="1D6D0A3C" w:rsidR="00A84C4E" w:rsidRPr="00861ED8" w:rsidRDefault="001F6EDF" w:rsidP="00A84C4E">
      <w:pPr>
        <w:ind w:left="567"/>
        <w:rPr>
          <w:color w:val="00B050"/>
        </w:rPr>
      </w:pPr>
      <w:r w:rsidRPr="001F6EDF">
        <w:t>AMYGDALIN for therapeutic use</w:t>
      </w:r>
      <w:r w:rsidRPr="001F6EDF">
        <w:rPr>
          <w:color w:val="00B050"/>
        </w:rPr>
        <w:t xml:space="preserve"> </w:t>
      </w:r>
      <w:r w:rsidRPr="006E670A">
        <w:rPr>
          <w:b/>
          <w:bCs/>
          <w:color w:val="00B050"/>
          <w:u w:val="single"/>
        </w:rPr>
        <w:t xml:space="preserve">except </w:t>
      </w:r>
      <w:r w:rsidR="00EE01FB" w:rsidRPr="006E670A">
        <w:rPr>
          <w:color w:val="00B050"/>
          <w:u w:val="single"/>
        </w:rPr>
        <w:t>in preparations containing 10 mg/kg or less of amygdalin</w:t>
      </w:r>
      <w:r w:rsidRPr="001F6EDF">
        <w:t>.</w:t>
      </w:r>
    </w:p>
    <w:p w14:paraId="1B59431F" w14:textId="5C8A447F" w:rsidR="00DA269D" w:rsidRPr="00AF61B4" w:rsidRDefault="00DA269D" w:rsidP="005C33E3">
      <w:pPr>
        <w:ind w:left="284"/>
        <w:rPr>
          <w:b/>
          <w:bCs/>
          <w:i/>
          <w:iCs/>
        </w:rPr>
      </w:pPr>
      <w:r w:rsidRPr="00AF61B4">
        <w:rPr>
          <w:b/>
          <w:bCs/>
          <w:i/>
          <w:iCs/>
        </w:rPr>
        <w:t>Hydrocyanic acid</w:t>
      </w:r>
    </w:p>
    <w:p w14:paraId="51995FA1" w14:textId="0E66DDD7" w:rsidR="005C33E3" w:rsidRDefault="003634ED" w:rsidP="005C33E3">
      <w:pPr>
        <w:ind w:left="284"/>
        <w:rPr>
          <w:b/>
          <w:bCs/>
        </w:rPr>
      </w:pPr>
      <w:r>
        <w:rPr>
          <w:b/>
          <w:bCs/>
        </w:rPr>
        <w:t xml:space="preserve">Schedule 7 </w:t>
      </w:r>
      <w:r w:rsidR="005C33E3" w:rsidRPr="005C33E3">
        <w:rPr>
          <w:b/>
          <w:bCs/>
        </w:rPr>
        <w:t xml:space="preserve">– </w:t>
      </w:r>
      <w:r>
        <w:rPr>
          <w:b/>
          <w:bCs/>
        </w:rPr>
        <w:t>Amend entry</w:t>
      </w:r>
    </w:p>
    <w:p w14:paraId="76160956" w14:textId="77777777" w:rsidR="00026F54" w:rsidRDefault="00EC0D38" w:rsidP="003634ED">
      <w:pPr>
        <w:ind w:left="567"/>
      </w:pPr>
      <w:r>
        <w:t xml:space="preserve">HYDROCYANIC ACID </w:t>
      </w:r>
      <w:r>
        <w:rPr>
          <w:b/>
          <w:bCs/>
        </w:rPr>
        <w:t>except</w:t>
      </w:r>
      <w:r>
        <w:t>:</w:t>
      </w:r>
    </w:p>
    <w:p w14:paraId="51A32F1A" w14:textId="2178F063" w:rsidR="007F6174" w:rsidRDefault="00026F54" w:rsidP="00396DBF">
      <w:pPr>
        <w:pStyle w:val="Additionallistbullet"/>
        <w:numPr>
          <w:ilvl w:val="0"/>
          <w:numId w:val="28"/>
        </w:numPr>
      </w:pPr>
      <w:r>
        <w:t>when included in Schedule 4; or</w:t>
      </w:r>
    </w:p>
    <w:p w14:paraId="6D934379" w14:textId="49F5F80C" w:rsidR="00D9762C" w:rsidRPr="00C71F0D" w:rsidRDefault="00026F54" w:rsidP="006E49B1">
      <w:pPr>
        <w:pStyle w:val="Additionallistbullet"/>
      </w:pPr>
      <w:r>
        <w:t xml:space="preserve">its salts and derivatives other than cyanides </w:t>
      </w:r>
      <w:r w:rsidR="007F6174">
        <w:t>separately</w:t>
      </w:r>
      <w:r>
        <w:t xml:space="preserve"> specifi</w:t>
      </w:r>
      <w:r w:rsidR="007F6174">
        <w:t>ed in this Schedule</w:t>
      </w:r>
      <w:r w:rsidR="00E20D33" w:rsidRPr="006E670A">
        <w:t>; or</w:t>
      </w:r>
    </w:p>
    <w:p w14:paraId="0ED260F7" w14:textId="3EB7B6B1" w:rsidR="005C33E3" w:rsidRPr="006E670A" w:rsidRDefault="00C71F0D" w:rsidP="006E49B1">
      <w:pPr>
        <w:pStyle w:val="Additionallistbullet"/>
      </w:pPr>
      <w:r w:rsidRPr="006E670A">
        <w:t>in preparations containing 10 mg/kg or less of hydrocyanic acid</w:t>
      </w:r>
      <w:r w:rsidR="007F6174" w:rsidRPr="006E670A">
        <w:t>.</w:t>
      </w:r>
    </w:p>
    <w:p w14:paraId="4C092BE9" w14:textId="2746BA70" w:rsidR="00FA1289" w:rsidRDefault="00FA1289" w:rsidP="00FA1289">
      <w:pPr>
        <w:ind w:left="284"/>
        <w:rPr>
          <w:b/>
          <w:bCs/>
        </w:rPr>
      </w:pPr>
      <w:r>
        <w:rPr>
          <w:b/>
          <w:bCs/>
        </w:rPr>
        <w:t xml:space="preserve">Schedule 4 </w:t>
      </w:r>
      <w:r w:rsidRPr="005C33E3">
        <w:rPr>
          <w:b/>
          <w:bCs/>
        </w:rPr>
        <w:t xml:space="preserve">– </w:t>
      </w:r>
      <w:r>
        <w:rPr>
          <w:b/>
          <w:bCs/>
        </w:rPr>
        <w:t>Amend entry</w:t>
      </w:r>
    </w:p>
    <w:p w14:paraId="670B152C" w14:textId="2B532D7E" w:rsidR="00A43451" w:rsidRPr="00C871CF" w:rsidRDefault="00FA1289" w:rsidP="00DA269D">
      <w:pPr>
        <w:ind w:left="567"/>
      </w:pPr>
      <w:r>
        <w:t xml:space="preserve">HYDROCYANIC ACID for therapeutic use </w:t>
      </w:r>
      <w:r w:rsidRPr="00F26DF8">
        <w:rPr>
          <w:b/>
          <w:bCs/>
          <w:color w:val="00B050"/>
          <w:u w:val="single"/>
        </w:rPr>
        <w:t>except</w:t>
      </w:r>
      <w:r w:rsidR="009F28D9" w:rsidRPr="00F26DF8">
        <w:rPr>
          <w:u w:val="single"/>
        </w:rPr>
        <w:t xml:space="preserve"> </w:t>
      </w:r>
      <w:r w:rsidR="009F28D9" w:rsidRPr="00F26DF8">
        <w:rPr>
          <w:color w:val="00B050"/>
          <w:u w:val="single"/>
        </w:rPr>
        <w:t>in preparations containing 10 mg/kg or less of hydrocyanic acid</w:t>
      </w:r>
      <w:r w:rsidR="009F28D9">
        <w:t>.</w:t>
      </w:r>
    </w:p>
    <w:p w14:paraId="025FD6FB" w14:textId="006E1821" w:rsidR="00457050" w:rsidRPr="00BB34CD" w:rsidRDefault="00457050" w:rsidP="00BB34CD">
      <w:pPr>
        <w:rPr>
          <w:b/>
          <w:bCs/>
          <w:i/>
          <w:iCs/>
        </w:rPr>
      </w:pPr>
      <w:r w:rsidRPr="00BB34CD">
        <w:rPr>
          <w:b/>
          <w:bCs/>
          <w:i/>
          <w:iCs/>
        </w:rPr>
        <w:t>Materials considered</w:t>
      </w:r>
    </w:p>
    <w:p w14:paraId="31C6FA6E" w14:textId="77777777" w:rsidR="00457050" w:rsidRDefault="00457050" w:rsidP="00967490">
      <w:r>
        <w:t>In making this final decision, the Delegate considered the following material:</w:t>
      </w:r>
    </w:p>
    <w:p w14:paraId="39821DFD" w14:textId="17D830BE" w:rsidR="00457050" w:rsidRDefault="006119D9" w:rsidP="00AB6F8A">
      <w:pPr>
        <w:pStyle w:val="ListBullet"/>
      </w:pPr>
      <w:r>
        <w:t>t</w:t>
      </w:r>
      <w:r w:rsidR="00457050">
        <w:t xml:space="preserve">he </w:t>
      </w:r>
      <w:hyperlink r:id="rId15" w:history="1">
        <w:r w:rsidR="00457050" w:rsidRPr="003D7FB4">
          <w:rPr>
            <w:rStyle w:val="Hyperlink"/>
          </w:rPr>
          <w:t>application</w:t>
        </w:r>
      </w:hyperlink>
      <w:r w:rsidR="00457050">
        <w:t xml:space="preserve"> to amend the current Poisons Standard with respect to</w:t>
      </w:r>
      <w:r w:rsidR="00457050" w:rsidRPr="00697FD4">
        <w:t xml:space="preserve"> </w:t>
      </w:r>
      <w:r w:rsidR="00697FD4" w:rsidRPr="00697FD4">
        <w:t>amygdalin and hydrocyanic acid</w:t>
      </w:r>
      <w:r w:rsidR="00457050">
        <w:t xml:space="preserve"> (the </w:t>
      </w:r>
      <w:r w:rsidR="00457050" w:rsidRPr="004E2EBC">
        <w:rPr>
          <w:b/>
          <w:bCs/>
        </w:rPr>
        <w:t>Application</w:t>
      </w:r>
      <w:r w:rsidR="00457050">
        <w:t>)</w:t>
      </w:r>
    </w:p>
    <w:p w14:paraId="4FC53D17" w14:textId="5B4A89EC" w:rsidR="00457050" w:rsidRDefault="006119D9" w:rsidP="00AB6F8A">
      <w:pPr>
        <w:pStyle w:val="ListBullet"/>
      </w:pPr>
      <w:r>
        <w:t>t</w:t>
      </w:r>
      <w:r w:rsidR="00457050">
        <w:t xml:space="preserve">he </w:t>
      </w:r>
      <w:r w:rsidR="00BA7F4B">
        <w:t>36</w:t>
      </w:r>
      <w:r w:rsidR="00457050">
        <w:t xml:space="preserve"> </w:t>
      </w:r>
      <w:hyperlink r:id="rId16" w:history="1">
        <w:r w:rsidR="00457050" w:rsidRPr="005119E7">
          <w:rPr>
            <w:rStyle w:val="Hyperlink"/>
          </w:rPr>
          <w:t>public submissions</w:t>
        </w:r>
      </w:hyperlink>
      <w:r w:rsidR="00457050">
        <w:t xml:space="preserve"> received in response to the </w:t>
      </w:r>
      <w:hyperlink r:id="rId17" w:history="1">
        <w:r w:rsidR="00457050" w:rsidRPr="007205D8">
          <w:rPr>
            <w:rStyle w:val="Hyperlink"/>
          </w:rPr>
          <w:t>pre-meeting consultation</w:t>
        </w:r>
      </w:hyperlink>
      <w:r w:rsidR="00457050">
        <w:t xml:space="preserve"> under regulation 42ZCZK of the Regulations</w:t>
      </w:r>
    </w:p>
    <w:p w14:paraId="5CC56E73" w14:textId="690FB4B4" w:rsidR="00457050" w:rsidRDefault="006119D9" w:rsidP="00AB6F8A">
      <w:pPr>
        <w:pStyle w:val="ListBullet"/>
      </w:pPr>
      <w:r>
        <w:t>t</w:t>
      </w:r>
      <w:r w:rsidR="00457050">
        <w:t xml:space="preserve">he advice received from the </w:t>
      </w:r>
      <w:r w:rsidR="001D4FBF">
        <w:t>3</w:t>
      </w:r>
      <w:r w:rsidR="00A673A5">
        <w:t>4</w:t>
      </w:r>
      <w:r w:rsidR="00A673A5">
        <w:rPr>
          <w:vertAlign w:val="superscript"/>
        </w:rPr>
        <w:t>th</w:t>
      </w:r>
      <w:r w:rsidR="001D4FBF">
        <w:t xml:space="preserve"> </w:t>
      </w:r>
      <w:r w:rsidR="00457050" w:rsidRPr="001D4FBF">
        <w:t xml:space="preserve">meeting of the Advisory Committees on Medicines and Chemicals Scheduling in joint session (the </w:t>
      </w:r>
      <w:r w:rsidR="00457050" w:rsidRPr="001D4FBF">
        <w:rPr>
          <w:b/>
          <w:bCs/>
        </w:rPr>
        <w:t>Committee</w:t>
      </w:r>
      <w:r w:rsidR="00457050" w:rsidRPr="001D4FBF">
        <w:t>)</w:t>
      </w:r>
    </w:p>
    <w:p w14:paraId="47E4EBE1" w14:textId="7481617E" w:rsidR="00FC1EB4" w:rsidRDefault="00FC1EB4" w:rsidP="00AB6F8A">
      <w:pPr>
        <w:pStyle w:val="ListBullet"/>
      </w:pPr>
      <w:r>
        <w:t xml:space="preserve">the </w:t>
      </w:r>
      <w:hyperlink r:id="rId18" w:history="1">
        <w:r w:rsidRPr="003D7FB4">
          <w:rPr>
            <w:rStyle w:val="Hyperlink"/>
          </w:rPr>
          <w:t>interim decision</w:t>
        </w:r>
      </w:hyperlink>
      <w:r>
        <w:t xml:space="preserve"> relating to </w:t>
      </w:r>
      <w:r w:rsidR="00B24D1C" w:rsidRPr="00B24D1C">
        <w:t>amygdalin and hydrocyanic acid</w:t>
      </w:r>
      <w:r>
        <w:t xml:space="preserve"> and the materials considered as part of the interim decision, as published on </w:t>
      </w:r>
      <w:r w:rsidR="00B24D1C">
        <w:t>5</w:t>
      </w:r>
      <w:r w:rsidRPr="001D4FBF">
        <w:t xml:space="preserve"> </w:t>
      </w:r>
      <w:r w:rsidR="00B24D1C">
        <w:t>October</w:t>
      </w:r>
      <w:r w:rsidRPr="001D4FBF">
        <w:t xml:space="preserve"> 20</w:t>
      </w:r>
      <w:r w:rsidR="001D4FBF" w:rsidRPr="001D4FBF">
        <w:t>2</w:t>
      </w:r>
      <w:r w:rsidR="001D4FBF">
        <w:t>3</w:t>
      </w:r>
    </w:p>
    <w:p w14:paraId="1D2B1C7A" w14:textId="15DF6FB2" w:rsidR="00457050" w:rsidRDefault="006119D9" w:rsidP="00AB6F8A">
      <w:pPr>
        <w:pStyle w:val="ListBullet"/>
      </w:pPr>
      <w:r>
        <w:t>t</w:t>
      </w:r>
      <w:r w:rsidR="00457050">
        <w:t xml:space="preserve">he </w:t>
      </w:r>
      <w:r w:rsidR="001D4FBF">
        <w:t>5</w:t>
      </w:r>
      <w:r w:rsidR="00457050">
        <w:t xml:space="preserve"> </w:t>
      </w:r>
      <w:hyperlink r:id="rId19" w:history="1">
        <w:r w:rsidR="00457050" w:rsidRPr="00F50F9B">
          <w:rPr>
            <w:rStyle w:val="Hyperlink"/>
          </w:rPr>
          <w:t>public</w:t>
        </w:r>
        <w:r w:rsidR="00457050" w:rsidRPr="00F50F9B">
          <w:rPr>
            <w:rStyle w:val="Hyperlink"/>
            <w:rFonts w:asciiTheme="minorHAnsi" w:hAnsiTheme="minorHAnsi"/>
          </w:rPr>
          <w:t xml:space="preserve"> </w:t>
        </w:r>
        <w:r w:rsidR="00457050" w:rsidRPr="00F50F9B">
          <w:rPr>
            <w:rStyle w:val="Hyperlink"/>
          </w:rPr>
          <w:t>submissions</w:t>
        </w:r>
      </w:hyperlink>
      <w:r w:rsidR="00457050">
        <w:t xml:space="preserve"> received in response to the </w:t>
      </w:r>
      <w:hyperlink r:id="rId20" w:history="1">
        <w:r w:rsidR="00A43451">
          <w:rPr>
            <w:rStyle w:val="Hyperlink"/>
          </w:rPr>
          <w:t>consultation on interim decision</w:t>
        </w:r>
      </w:hyperlink>
      <w:r w:rsidR="00457050">
        <w:t xml:space="preserve"> </w:t>
      </w:r>
      <w:r w:rsidR="00457050" w:rsidRPr="002C1418">
        <w:t>under regulation 42ZCZP of the Regulations</w:t>
      </w:r>
    </w:p>
    <w:p w14:paraId="19147D2F" w14:textId="40D4B767" w:rsidR="001D4FBF" w:rsidRDefault="001D4FBF" w:rsidP="00AB6F8A">
      <w:pPr>
        <w:pStyle w:val="ListBullet"/>
      </w:pPr>
      <w:r>
        <w:t>the 1</w:t>
      </w:r>
      <w:r w:rsidR="00BD243A">
        <w:t>2</w:t>
      </w:r>
      <w:r>
        <w:t xml:space="preserve"> </w:t>
      </w:r>
      <w:hyperlink r:id="rId21" w:history="1">
        <w:r w:rsidRPr="00AA136C">
          <w:rPr>
            <w:rStyle w:val="Hyperlink"/>
          </w:rPr>
          <w:t>public submissions</w:t>
        </w:r>
      </w:hyperlink>
      <w:r>
        <w:t xml:space="preserve"> received in response to the </w:t>
      </w:r>
      <w:hyperlink r:id="rId22" w:history="1">
        <w:r w:rsidRPr="003D7FB4">
          <w:rPr>
            <w:rStyle w:val="Hyperlink"/>
          </w:rPr>
          <w:t>additional</w:t>
        </w:r>
        <w:r w:rsidRPr="001D4FBF">
          <w:rPr>
            <w:rStyle w:val="Hyperlink"/>
            <w:rFonts w:asciiTheme="minorHAnsi" w:hAnsiTheme="minorHAnsi"/>
          </w:rPr>
          <w:t xml:space="preserve"> </w:t>
        </w:r>
        <w:r w:rsidRPr="003D7FB4">
          <w:rPr>
            <w:rStyle w:val="Hyperlink"/>
          </w:rPr>
          <w:t>consultation</w:t>
        </w:r>
      </w:hyperlink>
      <w:r>
        <w:t xml:space="preserve"> </w:t>
      </w:r>
      <w:r w:rsidR="00A43451">
        <w:t>on the scheduling of amygdalin and hydrocyanic acid</w:t>
      </w:r>
      <w:r w:rsidR="008A684B">
        <w:t xml:space="preserve"> </w:t>
      </w:r>
      <w:r>
        <w:t xml:space="preserve">conducted </w:t>
      </w:r>
      <w:r w:rsidR="008A684B">
        <w:t xml:space="preserve">between 1 </w:t>
      </w:r>
      <w:r>
        <w:t>March and</w:t>
      </w:r>
      <w:r w:rsidR="008A684B">
        <w:t xml:space="preserve"> 12</w:t>
      </w:r>
      <w:r>
        <w:t xml:space="preserve"> April</w:t>
      </w:r>
      <w:r w:rsidR="0058058D">
        <w:t xml:space="preserve"> </w:t>
      </w:r>
      <w:r>
        <w:t>2024</w:t>
      </w:r>
    </w:p>
    <w:p w14:paraId="2EB9BE3E" w14:textId="20761D92" w:rsidR="0058058D" w:rsidRDefault="00FD1E1F" w:rsidP="00AB6F8A">
      <w:pPr>
        <w:pStyle w:val="ListBullet"/>
      </w:pPr>
      <w:r>
        <w:t>T</w:t>
      </w:r>
      <w:r w:rsidR="0058058D">
        <w:t>he</w:t>
      </w:r>
      <w:r w:rsidR="008C4A4F">
        <w:t xml:space="preserve"> </w:t>
      </w:r>
      <w:hyperlink r:id="rId23" w:history="1">
        <w:r w:rsidR="008C4A4F" w:rsidRPr="008C4A4F">
          <w:rPr>
            <w:rStyle w:val="Hyperlink"/>
          </w:rPr>
          <w:t>Therapeutic Goods</w:t>
        </w:r>
        <w:r w:rsidR="0058058D" w:rsidRPr="008C4A4F">
          <w:rPr>
            <w:rStyle w:val="Hyperlink"/>
          </w:rPr>
          <w:t xml:space="preserve"> </w:t>
        </w:r>
        <w:r w:rsidR="008C4A4F" w:rsidRPr="008C4A4F">
          <w:rPr>
            <w:rStyle w:val="Hyperlink"/>
          </w:rPr>
          <w:t>(</w:t>
        </w:r>
        <w:r w:rsidR="0058058D" w:rsidRPr="008C4A4F">
          <w:rPr>
            <w:rStyle w:val="Hyperlink"/>
          </w:rPr>
          <w:t>Permissible Ingredients</w:t>
        </w:r>
        <w:r w:rsidR="008C4A4F" w:rsidRPr="008C4A4F">
          <w:rPr>
            <w:rStyle w:val="Hyperlink"/>
          </w:rPr>
          <w:t>)</w:t>
        </w:r>
        <w:r w:rsidR="0058058D" w:rsidRPr="008C4A4F">
          <w:rPr>
            <w:rStyle w:val="Hyperlink"/>
          </w:rPr>
          <w:t xml:space="preserve"> Determination </w:t>
        </w:r>
        <w:r w:rsidR="0037500B" w:rsidRPr="008C4A4F">
          <w:rPr>
            <w:rStyle w:val="Hyperlink"/>
          </w:rPr>
          <w:t>(No. 2) 2024</w:t>
        </w:r>
      </w:hyperlink>
      <w:r w:rsidR="00650F43">
        <w:rPr>
          <w:rStyle w:val="Hyperlink"/>
        </w:rPr>
        <w:t xml:space="preserve"> </w:t>
      </w:r>
      <w:r w:rsidR="00650F43" w:rsidRPr="00650F43">
        <w:t>(PID)</w:t>
      </w:r>
    </w:p>
    <w:p w14:paraId="061F334A" w14:textId="3A6CD7BC" w:rsidR="00834289" w:rsidRDefault="00C871CF" w:rsidP="00C871CF">
      <w:pPr>
        <w:pStyle w:val="ListBullet"/>
      </w:pPr>
      <w:r w:rsidRPr="00C871CF">
        <w:lastRenderedPageBreak/>
        <w:t xml:space="preserve">Food Standards Australia New Zealand’s (FSANZ) </w:t>
      </w:r>
      <w:hyperlink r:id="rId24" w:history="1">
        <w:r w:rsidRPr="00C871CF">
          <w:rPr>
            <w:rStyle w:val="Hyperlink"/>
          </w:rPr>
          <w:t>survey of cyanogenic glycosides in plant-based foods in Australia and New Zealand</w:t>
        </w:r>
      </w:hyperlink>
      <w:r w:rsidRPr="00C871CF">
        <w:t xml:space="preserve"> (2010-13</w:t>
      </w:r>
      <w:r w:rsidR="0031440A">
        <w:t xml:space="preserve">; the </w:t>
      </w:r>
      <w:r w:rsidR="0031440A" w:rsidRPr="0031440A">
        <w:rPr>
          <w:b/>
          <w:bCs/>
        </w:rPr>
        <w:t>FSANZ Survey</w:t>
      </w:r>
      <w:r w:rsidRPr="00C871CF">
        <w:t>)</w:t>
      </w:r>
    </w:p>
    <w:p w14:paraId="03D479D0" w14:textId="534A4EFD" w:rsidR="004B55ED" w:rsidRDefault="00EE6785" w:rsidP="00AA0753">
      <w:pPr>
        <w:pStyle w:val="ListBullet"/>
      </w:pPr>
      <w:r>
        <w:t xml:space="preserve">The </w:t>
      </w:r>
      <w:hyperlink r:id="rId25" w:history="1">
        <w:r w:rsidR="00240153" w:rsidRPr="00240153">
          <w:rPr>
            <w:rStyle w:val="Hyperlink"/>
          </w:rPr>
          <w:t>Safety evaluation of certain food additives and contaminants</w:t>
        </w:r>
      </w:hyperlink>
      <w:r w:rsidR="00240153" w:rsidRPr="00240153">
        <w:t xml:space="preserve"> prepared by the </w:t>
      </w:r>
      <w:r w:rsidR="00240153">
        <w:t>s</w:t>
      </w:r>
      <w:r w:rsidR="00240153" w:rsidRPr="00240153">
        <w:t>eventy-fourth meeting of the Joint FAO/WHO Expert Committee on Food Additives (JECFA)</w:t>
      </w:r>
      <w:r w:rsidR="00AA0753">
        <w:t xml:space="preserve"> (2012</w:t>
      </w:r>
      <w:r w:rsidR="0031440A">
        <w:t xml:space="preserve">; the </w:t>
      </w:r>
      <w:r w:rsidR="0031440A" w:rsidRPr="0031440A">
        <w:rPr>
          <w:b/>
          <w:bCs/>
        </w:rPr>
        <w:t>JECFA Report</w:t>
      </w:r>
      <w:r w:rsidR="00AA0753">
        <w:t>)</w:t>
      </w:r>
    </w:p>
    <w:p w14:paraId="19F040F9" w14:textId="179DD969" w:rsidR="00457050" w:rsidRDefault="006119D9" w:rsidP="00AB6F8A">
      <w:pPr>
        <w:pStyle w:val="ListBullet"/>
      </w:pPr>
      <w:r>
        <w:t>s</w:t>
      </w:r>
      <w:r w:rsidR="00457050" w:rsidRPr="001169AC">
        <w:t>ubsection 52E(1) of</w:t>
      </w:r>
      <w:r w:rsidR="00A43451">
        <w:t xml:space="preserve"> the Act</w:t>
      </w:r>
      <w:r w:rsidR="00457050"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30F96354" w14:textId="0A28BB10" w:rsidR="00457050" w:rsidRDefault="006119D9" w:rsidP="00AB6F8A">
      <w:pPr>
        <w:pStyle w:val="ListBullet"/>
      </w:pPr>
      <w:r>
        <w:t>p</w:t>
      </w:r>
      <w:r w:rsidR="00BB34CD">
        <w:t xml:space="preserve">ursuant to paragraph 52E(2)(a) of the Act, the </w:t>
      </w:r>
      <w:r w:rsidR="00457050" w:rsidRPr="00BB34CD">
        <w:t>SPF</w:t>
      </w:r>
      <w:r w:rsidR="00FC1EB4">
        <w:t>,</w:t>
      </w:r>
      <w:r w:rsidR="00457050">
        <w:t xml:space="preserve"> </w:t>
      </w:r>
      <w:r w:rsidR="00457050" w:rsidRPr="007A74F6">
        <w:t>and</w:t>
      </w:r>
    </w:p>
    <w:p w14:paraId="5D214BE0" w14:textId="56305657" w:rsidR="002325BF" w:rsidRPr="00143BA1" w:rsidRDefault="006119D9" w:rsidP="00143BA1">
      <w:pPr>
        <w:pStyle w:val="ListBullet"/>
      </w:pPr>
      <w:r>
        <w:t>t</w:t>
      </w:r>
      <w:r w:rsidR="00457050">
        <w:t>he</w:t>
      </w:r>
      <w:r w:rsidR="00BB34CD">
        <w:t xml:space="preserve"> Handbook</w:t>
      </w:r>
      <w:r w:rsidR="00FC1EB4">
        <w:t>.</w:t>
      </w:r>
    </w:p>
    <w:p w14:paraId="20028C3B" w14:textId="1F56B9C4" w:rsidR="00457050" w:rsidRPr="00BB34CD" w:rsidRDefault="00457050" w:rsidP="00BB34CD">
      <w:pPr>
        <w:rPr>
          <w:b/>
          <w:bCs/>
          <w:i/>
          <w:iCs/>
        </w:rPr>
      </w:pPr>
      <w:r w:rsidRPr="00BB34CD">
        <w:rPr>
          <w:b/>
          <w:bCs/>
          <w:i/>
          <w:iCs/>
        </w:rPr>
        <w:t>Reasons for the final decision (including findings on material questions of fact)</w:t>
      </w:r>
    </w:p>
    <w:p w14:paraId="1CCA6D6E" w14:textId="041B27A8" w:rsidR="00624AA3" w:rsidRDefault="00457050" w:rsidP="007A74F6">
      <w:r w:rsidRPr="007A74F6">
        <w:t xml:space="preserve">I have made a final decision to set aside my interim decision to not amend the current Poisons Standard </w:t>
      </w:r>
      <w:r w:rsidR="0066118B">
        <w:t xml:space="preserve">in relation </w:t>
      </w:r>
      <w:r w:rsidR="008C70E9">
        <w:t>to amygdalin</w:t>
      </w:r>
      <w:r w:rsidR="009B7E86">
        <w:t>,</w:t>
      </w:r>
      <w:r w:rsidR="008C70E9">
        <w:t xml:space="preserve"> hydrocyanic acid</w:t>
      </w:r>
      <w:r w:rsidR="009B7E86">
        <w:t xml:space="preserve"> and Wild Cherry bark</w:t>
      </w:r>
      <w:r w:rsidR="007A74F6" w:rsidRPr="007A74F6">
        <w:t>, and instead amend the Poisons Standard in the manner set out above</w:t>
      </w:r>
      <w:r w:rsidRPr="007A74F6">
        <w:t xml:space="preserve">. In making my final decision, I have </w:t>
      </w:r>
      <w:proofErr w:type="gramStart"/>
      <w:r w:rsidRPr="007A74F6">
        <w:t>taken into account</w:t>
      </w:r>
      <w:proofErr w:type="gramEnd"/>
      <w:r w:rsidRPr="007A74F6">
        <w:t xml:space="preserve"> the material </w:t>
      </w:r>
      <w:r w:rsidR="00BA7EBA">
        <w:t xml:space="preserve">considered </w:t>
      </w:r>
      <w:r w:rsidRPr="007A74F6">
        <w:t xml:space="preserve">in </w:t>
      </w:r>
      <w:r w:rsidR="00BA7EBA">
        <w:t xml:space="preserve">making </w:t>
      </w:r>
      <w:r w:rsidRPr="007A74F6">
        <w:t>the interim decision</w:t>
      </w:r>
      <w:r w:rsidR="007A74F6" w:rsidRPr="007A74F6">
        <w:t xml:space="preserve">, the </w:t>
      </w:r>
      <w:r w:rsidR="008C70E9">
        <w:t>5</w:t>
      </w:r>
      <w:r w:rsidR="007A74F6" w:rsidRPr="007A74F6">
        <w:t xml:space="preserve"> public submissions received in response to the interim decision,</w:t>
      </w:r>
      <w:r w:rsidRPr="007A74F6">
        <w:t xml:space="preserve"> and the </w:t>
      </w:r>
      <w:r w:rsidR="003B474E">
        <w:t>12</w:t>
      </w:r>
      <w:r w:rsidR="007A74F6" w:rsidRPr="007A74F6">
        <w:t xml:space="preserve"> </w:t>
      </w:r>
      <w:r w:rsidRPr="007A74F6">
        <w:t>public submissions</w:t>
      </w:r>
      <w:r w:rsidR="0004645C" w:rsidRPr="007A74F6">
        <w:t xml:space="preserve"> </w:t>
      </w:r>
      <w:r w:rsidRPr="007A74F6">
        <w:t xml:space="preserve">received in response to the </w:t>
      </w:r>
      <w:r w:rsidR="007A74F6" w:rsidRPr="007A74F6">
        <w:t xml:space="preserve">additional consultation on the scheduling of </w:t>
      </w:r>
      <w:r w:rsidR="003B474E" w:rsidRPr="005A2DDA">
        <w:t xml:space="preserve">amygdalin </w:t>
      </w:r>
      <w:r w:rsidR="005A2DDA" w:rsidRPr="005A2DDA">
        <w:t>and hydrocyanic acid</w:t>
      </w:r>
      <w:r w:rsidR="005A2DDA">
        <w:t>.</w:t>
      </w:r>
    </w:p>
    <w:p w14:paraId="70C8B0A9" w14:textId="73DCAF1E" w:rsidR="00BF5DB7" w:rsidRPr="00AF61B4" w:rsidRDefault="00BF5DB7" w:rsidP="00C7366B">
      <w:pPr>
        <w:rPr>
          <w:b/>
          <w:bCs/>
          <w:i/>
          <w:iCs/>
        </w:rPr>
      </w:pPr>
      <w:r w:rsidRPr="00AF61B4">
        <w:rPr>
          <w:b/>
          <w:bCs/>
          <w:i/>
          <w:iCs/>
        </w:rPr>
        <w:t>Submissions on the interim decision</w:t>
      </w:r>
    </w:p>
    <w:p w14:paraId="4FEF69E5" w14:textId="0FD35191" w:rsidR="00A915BA" w:rsidRDefault="0086667B" w:rsidP="007A74F6">
      <w:r>
        <w:t>Of the submissions received in response to the</w:t>
      </w:r>
      <w:r w:rsidR="00A915BA">
        <w:t xml:space="preserve"> interim decision, </w:t>
      </w:r>
      <w:r w:rsidR="00B067B8">
        <w:t>1 submission was in support and 4 were opposed to the</w:t>
      </w:r>
      <w:r w:rsidR="00AA136C">
        <w:t xml:space="preserve"> interim decision to not amend the Poisons Standard</w:t>
      </w:r>
      <w:r w:rsidR="00B067B8">
        <w:t>.</w:t>
      </w:r>
      <w:r w:rsidR="00C90DF5">
        <w:t xml:space="preserve"> The submission in support of the interim decision</w:t>
      </w:r>
      <w:r w:rsidR="00C90DF5" w:rsidRPr="00C90DF5">
        <w:t xml:space="preserve"> </w:t>
      </w:r>
      <w:r w:rsidR="00C90DF5">
        <w:t xml:space="preserve">noted the </w:t>
      </w:r>
      <w:r w:rsidR="00C90DF5" w:rsidRPr="00C90DF5">
        <w:t>lack of scientific evidence to support the purported indications for use</w:t>
      </w:r>
      <w:r w:rsidR="00C90DF5">
        <w:t xml:space="preserve">, and the potential for </w:t>
      </w:r>
      <w:r w:rsidR="00C90DF5" w:rsidRPr="00C90DF5">
        <w:t xml:space="preserve">patients </w:t>
      </w:r>
      <w:r w:rsidR="00C90DF5">
        <w:t>to</w:t>
      </w:r>
      <w:r w:rsidR="00C90DF5" w:rsidRPr="00C90DF5">
        <w:t xml:space="preserve"> </w:t>
      </w:r>
      <w:r w:rsidR="00C90DF5">
        <w:t>delay seeking</w:t>
      </w:r>
      <w:r w:rsidR="00C90DF5" w:rsidRPr="00C90DF5">
        <w:t xml:space="preserve"> appropriate treatment for serious conditions</w:t>
      </w:r>
      <w:r w:rsidR="00206A6E">
        <w:t xml:space="preserve">. It also highlighted </w:t>
      </w:r>
      <w:r w:rsidR="00C90DF5" w:rsidRPr="00C90DF5">
        <w:t>the risk of cyanide poisoning or toxicity.</w:t>
      </w:r>
      <w:r w:rsidR="00C90DF5">
        <w:t xml:space="preserve"> </w:t>
      </w:r>
      <w:r w:rsidR="00AA136C">
        <w:t xml:space="preserve">Four </w:t>
      </w:r>
      <w:r w:rsidR="00BE3C43">
        <w:t xml:space="preserve">submissions </w:t>
      </w:r>
      <w:r w:rsidR="00C7366B">
        <w:t xml:space="preserve">were </w:t>
      </w:r>
      <w:r w:rsidR="00BE3C43">
        <w:t xml:space="preserve">opposed to the interim decision </w:t>
      </w:r>
      <w:r w:rsidR="00AA136C">
        <w:t xml:space="preserve">and </w:t>
      </w:r>
      <w:r w:rsidR="00BE3C43">
        <w:t>recommended implementing a concentration cut-off for amygdalin and hydrocyanic acid</w:t>
      </w:r>
      <w:r w:rsidR="00646246">
        <w:t xml:space="preserve"> as trace impurities of these substances are unlikely to pose a risk of toxicity</w:t>
      </w:r>
      <w:r w:rsidR="00AF6804">
        <w:t>.</w:t>
      </w:r>
      <w:r w:rsidR="003535A6">
        <w:t xml:space="preserve"> Two of these public submissions supported the creation of a concentration cut-off for the scheduling of amygdalin and hydrocyanic acid. One submission provided a proposed concentration cut-off of 10 mg/kg </w:t>
      </w:r>
      <w:r w:rsidR="00172E5A">
        <w:t>based on the general exemption for Schedule 1 to 6 substances outlined in part 2, division 1, section 11(d) of the Poisons Standard</w:t>
      </w:r>
      <w:r w:rsidR="00346E6F">
        <w:t xml:space="preserve">. </w:t>
      </w:r>
      <w:r w:rsidR="00575DBB">
        <w:t>T</w:t>
      </w:r>
      <w:r w:rsidR="00BD7025">
        <w:t xml:space="preserve">he submission highlighted that the proposed cut-offs provided a </w:t>
      </w:r>
      <w:r w:rsidR="00D0429B">
        <w:t xml:space="preserve">substantial margin of safety </w:t>
      </w:r>
      <w:r w:rsidR="00BD7025">
        <w:t xml:space="preserve">relative to </w:t>
      </w:r>
      <w:r w:rsidR="001163CB">
        <w:t>the</w:t>
      </w:r>
      <w:r w:rsidR="00BD7025">
        <w:t xml:space="preserve"> toxic dose</w:t>
      </w:r>
      <w:r w:rsidR="00575DBB">
        <w:t xml:space="preserve">. </w:t>
      </w:r>
      <w:r w:rsidR="00352F48">
        <w:t xml:space="preserve">They also noted that </w:t>
      </w:r>
      <w:r w:rsidR="00334D14" w:rsidRPr="00334D14">
        <w:t xml:space="preserve">liquid extracts of </w:t>
      </w:r>
      <w:r w:rsidR="00334D14">
        <w:t>Wild Cherry Bark</w:t>
      </w:r>
      <w:r w:rsidR="00334D14" w:rsidRPr="00334D14">
        <w:t xml:space="preserve"> for extemporaneous compounding and dispensing have</w:t>
      </w:r>
      <w:r w:rsidR="00C73D21">
        <w:t xml:space="preserve"> previously been available in Australia without </w:t>
      </w:r>
      <w:r w:rsidR="00EF170B">
        <w:t xml:space="preserve">any </w:t>
      </w:r>
      <w:r w:rsidR="00C73D21">
        <w:t xml:space="preserve">reported </w:t>
      </w:r>
      <w:r w:rsidR="00053542">
        <w:t>adverse events.</w:t>
      </w:r>
      <w:r w:rsidR="003535A6">
        <w:t xml:space="preserve"> T</w:t>
      </w:r>
      <w:r w:rsidR="0029356F">
        <w:t>here</w:t>
      </w:r>
      <w:r w:rsidR="00C73D21">
        <w:t xml:space="preserve"> </w:t>
      </w:r>
      <w:r w:rsidR="0029356F">
        <w:t>is no evidence of misuse</w:t>
      </w:r>
      <w:r w:rsidR="001E79CA">
        <w:t xml:space="preserve"> or diversion</w:t>
      </w:r>
      <w:r w:rsidR="0029356F">
        <w:t xml:space="preserve"> of Wild Cherry Bark </w:t>
      </w:r>
      <w:r w:rsidR="009B7E86">
        <w:t>preparations</w:t>
      </w:r>
      <w:r w:rsidR="00584510">
        <w:t>. Finally, the</w:t>
      </w:r>
      <w:r w:rsidR="006074EE">
        <w:t xml:space="preserve">se submissions noted that </w:t>
      </w:r>
      <w:r w:rsidR="00EF170B">
        <w:t xml:space="preserve">any </w:t>
      </w:r>
      <w:r w:rsidR="006074EE">
        <w:t>exempt preparation</w:t>
      </w:r>
      <w:r w:rsidR="00EF170B">
        <w:t xml:space="preserve"> will still be required to listed on the ARTG.</w:t>
      </w:r>
    </w:p>
    <w:p w14:paraId="7A44E131" w14:textId="4B9431AD" w:rsidR="00BF5DB7" w:rsidRPr="00AF61B4" w:rsidRDefault="00BF5DB7" w:rsidP="00C7366B">
      <w:pPr>
        <w:rPr>
          <w:b/>
          <w:bCs/>
          <w:i/>
          <w:iCs/>
        </w:rPr>
      </w:pPr>
      <w:r w:rsidRPr="00AF61B4">
        <w:rPr>
          <w:b/>
          <w:bCs/>
          <w:i/>
          <w:iCs/>
        </w:rPr>
        <w:t>Submissions received through the additional consultation</w:t>
      </w:r>
    </w:p>
    <w:p w14:paraId="06CF00E6" w14:textId="7CDA541A" w:rsidR="00BF5DB7" w:rsidRDefault="00BF5DB7" w:rsidP="007A74F6">
      <w:r>
        <w:t xml:space="preserve">The additional consultation </w:t>
      </w:r>
      <w:r w:rsidR="00086A09">
        <w:t>suggested</w:t>
      </w:r>
      <w:r>
        <w:t xml:space="preserve"> that preparations containing less than 10 mg/kg of amygdalin or hydrocyanic acid will be exempted from scheduling while Wild Cherry bark for the therapeutic purposes will be listed as a Schedule 10 substance. </w:t>
      </w:r>
      <w:r w:rsidR="00301B99">
        <w:t>The additional consultation also suggested the creation of a Schedule 10 entry for Wild Cherry Bark.</w:t>
      </w:r>
    </w:p>
    <w:p w14:paraId="69B2C629" w14:textId="1640BA7C" w:rsidR="00086A09" w:rsidRDefault="0031440A" w:rsidP="007A74F6">
      <w:r>
        <w:t>Four</w:t>
      </w:r>
      <w:r w:rsidR="007A5A69">
        <w:t xml:space="preserve"> submissions were </w:t>
      </w:r>
      <w:r w:rsidR="00BF5DB7">
        <w:t xml:space="preserve">received in support of the </w:t>
      </w:r>
      <w:r w:rsidR="00086A09">
        <w:t>suggested</w:t>
      </w:r>
      <w:r w:rsidR="00BF5DB7">
        <w:t xml:space="preserve"> changes while 5</w:t>
      </w:r>
      <w:r w:rsidR="003535A6">
        <w:t xml:space="preserve"> were</w:t>
      </w:r>
      <w:r w:rsidR="00BF5DB7">
        <w:t xml:space="preserve"> partially support</w:t>
      </w:r>
      <w:r w:rsidR="003535A6">
        <w:t>ive</w:t>
      </w:r>
      <w:r w:rsidR="00BF5DB7">
        <w:t>. Generally</w:t>
      </w:r>
      <w:r w:rsidR="00AA5859">
        <w:t>,</w:t>
      </w:r>
      <w:r w:rsidR="00BF5DB7">
        <w:t xml:space="preserve"> </w:t>
      </w:r>
      <w:r w:rsidR="00BD6C61">
        <w:t xml:space="preserve">submissions in support </w:t>
      </w:r>
      <w:r w:rsidR="00086A09">
        <w:t xml:space="preserve">or </w:t>
      </w:r>
      <w:r w:rsidR="00BD6C61">
        <w:t xml:space="preserve">partial support of the suggested </w:t>
      </w:r>
      <w:r w:rsidR="00086A09">
        <w:t>changes considered the</w:t>
      </w:r>
      <w:r w:rsidR="00722DD8">
        <w:t xml:space="preserve"> </w:t>
      </w:r>
      <w:r w:rsidR="006278C4">
        <w:t xml:space="preserve">10 mg/kg cut-off </w:t>
      </w:r>
      <w:r w:rsidR="00086A09">
        <w:t>to be</w:t>
      </w:r>
      <w:r w:rsidR="006278C4">
        <w:t xml:space="preserve"> unnecessarily restrictive</w:t>
      </w:r>
      <w:r w:rsidR="00BD6C61">
        <w:t xml:space="preserve">. A variety of alternative concentration cut-offs were proposed </w:t>
      </w:r>
      <w:r w:rsidR="000F7A1C">
        <w:t>and</w:t>
      </w:r>
      <w:r w:rsidR="00BD6C61">
        <w:t xml:space="preserve"> </w:t>
      </w:r>
      <w:r w:rsidR="00C7366B">
        <w:t>are</w:t>
      </w:r>
      <w:r w:rsidR="00BD6C61">
        <w:t xml:space="preserve"> discussed </w:t>
      </w:r>
      <w:r w:rsidR="00C7366B">
        <w:t>below</w:t>
      </w:r>
      <w:r w:rsidR="00AA5859">
        <w:t>.</w:t>
      </w:r>
    </w:p>
    <w:p w14:paraId="1925B029" w14:textId="40179F30" w:rsidR="00BD6C61" w:rsidRDefault="0087142C" w:rsidP="007A74F6">
      <w:r>
        <w:t xml:space="preserve">Two submissions opposed the suggested </w:t>
      </w:r>
      <w:r w:rsidR="00086A09">
        <w:t>changes</w:t>
      </w:r>
      <w:r>
        <w:t xml:space="preserve">. </w:t>
      </w:r>
      <w:r w:rsidR="00AE2C4C">
        <w:t>These submissions expressed concern that there is insufficient scientific evidence to support</w:t>
      </w:r>
      <w:r w:rsidR="004B439E">
        <w:t xml:space="preserve"> </w:t>
      </w:r>
      <w:r w:rsidR="004B439E" w:rsidRPr="004B439E">
        <w:t>the purported indications for use</w:t>
      </w:r>
      <w:r w:rsidR="004B439E">
        <w:t xml:space="preserve"> </w:t>
      </w:r>
      <w:r w:rsidR="00C7366B">
        <w:t>to</w:t>
      </w:r>
      <w:r w:rsidR="004B439E">
        <w:t xml:space="preserve"> justify </w:t>
      </w:r>
      <w:r w:rsidR="00AE2C4C">
        <w:t>down</w:t>
      </w:r>
      <w:r w:rsidR="00C7366B">
        <w:t>-</w:t>
      </w:r>
      <w:r w:rsidR="00AE2C4C">
        <w:t xml:space="preserve">scheduling of </w:t>
      </w:r>
      <w:r w:rsidR="007344C8">
        <w:t xml:space="preserve">amygdalin and hydrocyanic acid. They also </w:t>
      </w:r>
      <w:r w:rsidR="00360592">
        <w:t>highlighted</w:t>
      </w:r>
      <w:r w:rsidR="007344C8">
        <w:t xml:space="preserve"> the potential </w:t>
      </w:r>
      <w:r w:rsidR="00C7366B">
        <w:t xml:space="preserve">risk </w:t>
      </w:r>
      <w:r w:rsidR="007344C8">
        <w:t xml:space="preserve">that </w:t>
      </w:r>
      <w:r w:rsidR="004B439E">
        <w:t>use of therapeutics containing Wild Cherry Bark</w:t>
      </w:r>
      <w:r w:rsidR="00DB21C3">
        <w:t xml:space="preserve"> may delay </w:t>
      </w:r>
      <w:r w:rsidR="00F56B49">
        <w:t xml:space="preserve">consumers from seeking appropriate medical treatment for </w:t>
      </w:r>
      <w:r w:rsidR="00F56B49">
        <w:lastRenderedPageBreak/>
        <w:t>underlying</w:t>
      </w:r>
      <w:r w:rsidR="009E44CC">
        <w:t xml:space="preserve"> medical </w:t>
      </w:r>
      <w:r w:rsidR="00F56B49">
        <w:t>conditions</w:t>
      </w:r>
      <w:r w:rsidR="009E44CC">
        <w:t>. They also noted that,</w:t>
      </w:r>
      <w:r w:rsidR="006469F3">
        <w:t xml:space="preserve"> even low concentration</w:t>
      </w:r>
      <w:r w:rsidR="009E44CC">
        <w:t xml:space="preserve">s, these </w:t>
      </w:r>
      <w:r w:rsidR="006469F3">
        <w:t>preparations</w:t>
      </w:r>
      <w:r w:rsidR="00A72889">
        <w:t xml:space="preserve"> pose a risk of cyanide poisoning.</w:t>
      </w:r>
    </w:p>
    <w:p w14:paraId="3069BD6C" w14:textId="133F4F8B" w:rsidR="0086667B" w:rsidRDefault="009B7E86" w:rsidP="007A74F6">
      <w:r>
        <w:t>Responses</w:t>
      </w:r>
      <w:r w:rsidR="00862F62">
        <w:t xml:space="preserve"> </w:t>
      </w:r>
      <w:r w:rsidR="003C10E0">
        <w:t xml:space="preserve">received </w:t>
      </w:r>
      <w:r w:rsidR="00520BE5">
        <w:t>during the additional consultation</w:t>
      </w:r>
      <w:r>
        <w:t xml:space="preserve"> also commented on the suggested scheduling of Wild Cherry Bark. One </w:t>
      </w:r>
      <w:r w:rsidR="00026DC2">
        <w:t xml:space="preserve">submission indicated partial support of the creation of a Schedule 10 entry for </w:t>
      </w:r>
      <w:r w:rsidR="00F10213">
        <w:t>Wild Cherry Bark</w:t>
      </w:r>
      <w:r w:rsidR="00026DC2">
        <w:t xml:space="preserve">, whilst </w:t>
      </w:r>
      <w:r w:rsidR="00426E71">
        <w:t>9 submissions indicated they were opposed to the suggested entry.</w:t>
      </w:r>
      <w:r w:rsidR="009214F0">
        <w:t xml:space="preserve"> </w:t>
      </w:r>
      <w:r w:rsidR="00C66EE3">
        <w:t>S</w:t>
      </w:r>
      <w:r w:rsidR="00145BB2">
        <w:t>ubmissions</w:t>
      </w:r>
      <w:r w:rsidR="00C66EE3">
        <w:t xml:space="preserve"> in opposition</w:t>
      </w:r>
      <w:r w:rsidR="00145BB2">
        <w:t xml:space="preserve"> claim that</w:t>
      </w:r>
      <w:r w:rsidR="002C7E1E">
        <w:t xml:space="preserve"> there is no evidence that</w:t>
      </w:r>
      <w:r w:rsidR="00145BB2">
        <w:t xml:space="preserve"> </w:t>
      </w:r>
      <w:r w:rsidR="00F10213">
        <w:t xml:space="preserve">Wild Cherry Bark </w:t>
      </w:r>
      <w:r w:rsidR="00145BB2">
        <w:t xml:space="preserve">is </w:t>
      </w:r>
      <w:r w:rsidR="002C7E1E">
        <w:t>a substance of abuse</w:t>
      </w:r>
      <w:r w:rsidR="00BA30BB">
        <w:t xml:space="preserve"> and</w:t>
      </w:r>
      <w:r w:rsidR="00C66EE3">
        <w:t xml:space="preserve"> that it</w:t>
      </w:r>
      <w:r w:rsidR="00BA30BB">
        <w:t xml:space="preserve"> has a history of </w:t>
      </w:r>
      <w:r w:rsidR="002C3EBB">
        <w:t xml:space="preserve">safe usage in the </w:t>
      </w:r>
      <w:r w:rsidR="00757435">
        <w:t xml:space="preserve">traditional medicine </w:t>
      </w:r>
      <w:r w:rsidR="002C3EBB">
        <w:t>paradigm</w:t>
      </w:r>
      <w:r w:rsidR="00757435">
        <w:t xml:space="preserve">. </w:t>
      </w:r>
      <w:r w:rsidR="00AF03A5">
        <w:t xml:space="preserve">As such, the risks posed by </w:t>
      </w:r>
      <w:r w:rsidR="00F10213">
        <w:t xml:space="preserve">Wild Cherry Bark </w:t>
      </w:r>
      <w:r w:rsidR="00EA52F5">
        <w:t>are</w:t>
      </w:r>
      <w:r w:rsidR="00FC481D">
        <w:t xml:space="preserve"> broadly</w:t>
      </w:r>
      <w:r w:rsidR="00EA52F5">
        <w:t xml:space="preserve"> consistent with that of amygdalin and hydrocyanic acid</w:t>
      </w:r>
      <w:r w:rsidR="00FC481D">
        <w:t>, and therefore</w:t>
      </w:r>
      <w:r w:rsidR="00C66EE3">
        <w:t xml:space="preserve"> should</w:t>
      </w:r>
      <w:r w:rsidR="00385D34">
        <w:t xml:space="preserve"> not be included in Schedule 10, but</w:t>
      </w:r>
      <w:r w:rsidR="00FC481D">
        <w:t xml:space="preserve"> </w:t>
      </w:r>
      <w:r w:rsidR="00325994">
        <w:t>subject to the scheduling</w:t>
      </w:r>
      <w:r w:rsidR="007D5A93">
        <w:t xml:space="preserve"> of amygdalin and hydrocyanic acid, including their exemptions</w:t>
      </w:r>
      <w:r w:rsidR="00D40F0D">
        <w:t>.</w:t>
      </w:r>
    </w:p>
    <w:p w14:paraId="4F5D4514" w14:textId="085E6B11" w:rsidR="00F71DE0" w:rsidRPr="00AF61B4" w:rsidRDefault="002236AC" w:rsidP="00C7366B">
      <w:pPr>
        <w:rPr>
          <w:b/>
          <w:bCs/>
          <w:i/>
          <w:iCs/>
        </w:rPr>
      </w:pPr>
      <w:r w:rsidRPr="00AF61B4">
        <w:rPr>
          <w:b/>
          <w:bCs/>
          <w:i/>
          <w:iCs/>
        </w:rPr>
        <w:t>Determination of a cut-off for exemptions</w:t>
      </w:r>
    </w:p>
    <w:p w14:paraId="22A989B1" w14:textId="0B731345" w:rsidR="0031440A" w:rsidRDefault="00E03CAE" w:rsidP="007A74F6">
      <w:r w:rsidRPr="00E03CAE">
        <w:t>Amygdalin is a natural cyanogenic glycoside that can convert to highly toxic hydrocyanic acid in humans.</w:t>
      </w:r>
      <w:r>
        <w:t xml:space="preserve"> </w:t>
      </w:r>
      <w:r w:rsidR="009059C4">
        <w:t>F</w:t>
      </w:r>
      <w:r w:rsidR="0031440A" w:rsidRPr="0031440A">
        <w:t>or chronic or long</w:t>
      </w:r>
      <w:r w:rsidR="009059C4">
        <w:t>-</w:t>
      </w:r>
      <w:r w:rsidR="0031440A" w:rsidRPr="0031440A">
        <w:t xml:space="preserve">term </w:t>
      </w:r>
      <w:r w:rsidR="002D500E" w:rsidRPr="0031440A">
        <w:t>effects,</w:t>
      </w:r>
      <w:r w:rsidR="0031440A">
        <w:t xml:space="preserve"> </w:t>
      </w:r>
      <w:r w:rsidR="00C7366B">
        <w:t xml:space="preserve">the </w:t>
      </w:r>
      <w:r w:rsidR="00C7366B" w:rsidRPr="00C7366B">
        <w:t xml:space="preserve">Joint FAO/WHO Expert Committee on Food Additives </w:t>
      </w:r>
      <w:r w:rsidR="00C7366B">
        <w:t>(</w:t>
      </w:r>
      <w:r w:rsidR="0031440A">
        <w:t>JECFA</w:t>
      </w:r>
      <w:r w:rsidR="00C7366B">
        <w:t>)</w:t>
      </w:r>
      <w:r w:rsidR="0031440A">
        <w:t xml:space="preserve"> established a </w:t>
      </w:r>
      <w:r w:rsidR="0031440A" w:rsidRPr="0031440A">
        <w:t>provisional maximum tolerable daily intake (PMTDI)</w:t>
      </w:r>
      <w:r w:rsidR="0031440A">
        <w:t xml:space="preserve"> </w:t>
      </w:r>
      <w:r w:rsidR="0031440A" w:rsidRPr="0031440A">
        <w:t xml:space="preserve">of 20 µg </w:t>
      </w:r>
      <w:r w:rsidR="00C7366B">
        <w:t>HCN</w:t>
      </w:r>
      <w:r w:rsidR="0031440A" w:rsidRPr="0031440A">
        <w:t>/kg body weight</w:t>
      </w:r>
      <w:r w:rsidR="0031440A">
        <w:t xml:space="preserve">. </w:t>
      </w:r>
      <w:r w:rsidR="0031440A" w:rsidRPr="0031440A">
        <w:t xml:space="preserve">For acute effects, </w:t>
      </w:r>
      <w:r w:rsidR="0031440A">
        <w:t>an</w:t>
      </w:r>
      <w:r w:rsidR="0031440A" w:rsidRPr="0031440A">
        <w:t xml:space="preserve"> acute reference dose (</w:t>
      </w:r>
      <w:proofErr w:type="spellStart"/>
      <w:r w:rsidR="0031440A" w:rsidRPr="0031440A">
        <w:t>ARfD</w:t>
      </w:r>
      <w:proofErr w:type="spellEnd"/>
      <w:r w:rsidR="0031440A" w:rsidRPr="0031440A">
        <w:t>)</w:t>
      </w:r>
      <w:r w:rsidR="00970217">
        <w:rPr>
          <w:vertAlign w:val="superscript"/>
        </w:rPr>
        <w:t xml:space="preserve"> </w:t>
      </w:r>
      <w:r w:rsidR="0031440A" w:rsidRPr="0031440A">
        <w:t xml:space="preserve">of 80 µg HCN/kg body weight </w:t>
      </w:r>
      <w:r w:rsidR="0031440A">
        <w:t>was</w:t>
      </w:r>
      <w:r w:rsidR="0031440A" w:rsidRPr="0031440A">
        <w:t xml:space="preserve"> established by </w:t>
      </w:r>
      <w:r w:rsidR="00C7366B">
        <w:t>Food Standards Australia New Zealand (</w:t>
      </w:r>
      <w:r w:rsidR="0031440A" w:rsidRPr="0031440A">
        <w:t>FSANZ</w:t>
      </w:r>
      <w:r w:rsidR="00C7366B">
        <w:t>)</w:t>
      </w:r>
      <w:r w:rsidR="0031440A">
        <w:t>.</w:t>
      </w:r>
      <w:r w:rsidR="0062541C">
        <w:t xml:space="preserve"> However, </w:t>
      </w:r>
      <w:r w:rsidR="0062541C" w:rsidRPr="0062541C">
        <w:t xml:space="preserve">FSANZ did not establish a tolerable daily intake for humans (for chronic risk assessment purposes) due to a </w:t>
      </w:r>
      <w:r w:rsidR="00C7366B" w:rsidRPr="0062541C">
        <w:t>lack</w:t>
      </w:r>
      <w:r w:rsidR="0062541C" w:rsidRPr="0062541C">
        <w:t xml:space="preserve"> of suitable data.</w:t>
      </w:r>
    </w:p>
    <w:p w14:paraId="1AE9A060" w14:textId="6E6E798F" w:rsidR="00F16291" w:rsidRDefault="00F16291" w:rsidP="007A74F6">
      <w:r>
        <w:t xml:space="preserve">I acknowledge that </w:t>
      </w:r>
      <w:r w:rsidR="0062541C">
        <w:t xml:space="preserve">the public submissions proposed various </w:t>
      </w:r>
      <w:r>
        <w:t>alternative concentration cut-offs for amygdalin and hydrocyanic acid</w:t>
      </w:r>
      <w:r w:rsidR="00C7366B">
        <w:t>,</w:t>
      </w:r>
      <w:r>
        <w:t xml:space="preserve"> all of which would allow greater </w:t>
      </w:r>
      <w:r w:rsidR="0062541C">
        <w:t>than the suggested 10 mg/kg concentration cut-off</w:t>
      </w:r>
      <w:r>
        <w:t xml:space="preserve">. </w:t>
      </w:r>
      <w:r w:rsidR="0062541C">
        <w:t>These</w:t>
      </w:r>
      <w:r>
        <w:t xml:space="preserve"> submissions </w:t>
      </w:r>
      <w:r w:rsidR="0062541C">
        <w:t>estimated</w:t>
      </w:r>
      <w:r>
        <w:t xml:space="preserve"> a large margin of safety between the proposed concentration </w:t>
      </w:r>
      <w:r w:rsidR="0062541C">
        <w:t xml:space="preserve">cut-off </w:t>
      </w:r>
      <w:r>
        <w:t>and the PMTDI or acute reference dose (</w:t>
      </w:r>
      <w:proofErr w:type="spellStart"/>
      <w:r>
        <w:t>ARfD</w:t>
      </w:r>
      <w:proofErr w:type="spellEnd"/>
      <w:r>
        <w:t xml:space="preserve">) for hydrogen cyanide. However, these submissions failed to consider the potential for both </w:t>
      </w:r>
      <w:r w:rsidR="00AC1383">
        <w:t>therapeutic</w:t>
      </w:r>
      <w:r>
        <w:t xml:space="preserve"> and dietary consumption of cyanogenic compounds</w:t>
      </w:r>
      <w:r w:rsidR="009F1DE1">
        <w:t xml:space="preserve">. </w:t>
      </w:r>
      <w:r w:rsidR="00EB35AA" w:rsidRPr="00BE6F6F">
        <w:t xml:space="preserve">Dietary intake of cyanogenic glycoside containing foods can be highly variable and can result in inadvertent </w:t>
      </w:r>
      <w:r w:rsidR="00F828C8">
        <w:t>high</w:t>
      </w:r>
      <w:r w:rsidR="00EB35AA" w:rsidRPr="00BE6F6F">
        <w:t xml:space="preserve"> exposure</w:t>
      </w:r>
      <w:r w:rsidR="00F828C8">
        <w:t>s</w:t>
      </w:r>
      <w:r w:rsidR="00EB35AA" w:rsidRPr="00BE6F6F">
        <w:t xml:space="preserve">. </w:t>
      </w:r>
      <w:r w:rsidR="0062541C">
        <w:t>The FSANZ Report</w:t>
      </w:r>
      <w:r w:rsidR="006C757A">
        <w:rPr>
          <w:rStyle w:val="FootnoteReference"/>
        </w:rPr>
        <w:footnoteReference w:id="2"/>
      </w:r>
      <w:r w:rsidR="0062541C">
        <w:t xml:space="preserve"> noted that </w:t>
      </w:r>
      <w:r w:rsidR="002B4B43">
        <w:t>for</w:t>
      </w:r>
      <w:r w:rsidR="002B4B43" w:rsidRPr="002B4B43">
        <w:t xml:space="preserve"> </w:t>
      </w:r>
      <w:r w:rsidR="00EB35AA">
        <w:t xml:space="preserve">a </w:t>
      </w:r>
      <w:r w:rsidR="002B4B43" w:rsidRPr="002B4B43">
        <w:t xml:space="preserve">small number of foods (raw apricot kernels, cassava roots and bread containing linseed) acute dietary exposure </w:t>
      </w:r>
      <w:r w:rsidR="002B4B43">
        <w:t>alone could</w:t>
      </w:r>
      <w:r w:rsidR="002B4B43" w:rsidRPr="002B4B43">
        <w:t xml:space="preserve"> exceed the </w:t>
      </w:r>
      <w:proofErr w:type="spellStart"/>
      <w:r w:rsidR="002B4B43" w:rsidRPr="002B4B43">
        <w:t>ARfD</w:t>
      </w:r>
      <w:proofErr w:type="spellEnd"/>
      <w:r w:rsidR="002B4B43" w:rsidRPr="002B4B43">
        <w:t>.</w:t>
      </w:r>
    </w:p>
    <w:p w14:paraId="22AC0715" w14:textId="76558F9E" w:rsidR="009C7399" w:rsidDel="004B153A" w:rsidRDefault="002D6CBE" w:rsidP="009C7399">
      <w:r>
        <w:t xml:space="preserve">I </w:t>
      </w:r>
      <w:r w:rsidR="006F0D51">
        <w:t>remain in agreement with the Committee that there is</w:t>
      </w:r>
      <w:r w:rsidR="00F64819">
        <w:t xml:space="preserve"> limited </w:t>
      </w:r>
      <w:r w:rsidR="003D6597">
        <w:t>evidence to support defining a ‘safe dos</w:t>
      </w:r>
      <w:r w:rsidR="003112D7">
        <w:t>e</w:t>
      </w:r>
      <w:r w:rsidR="003D6597">
        <w:t xml:space="preserve">’ of these substances, particularly </w:t>
      </w:r>
      <w:r w:rsidR="00743B52">
        <w:t xml:space="preserve">when considering </w:t>
      </w:r>
      <w:r w:rsidR="009C7399">
        <w:t>combined</w:t>
      </w:r>
      <w:r w:rsidR="00743B52">
        <w:t xml:space="preserve"> therapeutic and dietary consumption</w:t>
      </w:r>
      <w:r w:rsidR="009C7399">
        <w:t xml:space="preserve"> which can be highly variable.</w:t>
      </w:r>
      <w:r w:rsidR="009C089F">
        <w:t xml:space="preserve"> </w:t>
      </w:r>
      <w:r w:rsidR="00F16291" w:rsidRPr="00F16291">
        <w:t xml:space="preserve">To account for the high </w:t>
      </w:r>
      <w:r w:rsidR="009C7399">
        <w:t xml:space="preserve">degree of </w:t>
      </w:r>
      <w:r w:rsidR="00F16291" w:rsidRPr="00F16291">
        <w:t>uncertainty</w:t>
      </w:r>
      <w:r w:rsidR="009C7399">
        <w:t>,</w:t>
      </w:r>
      <w:r w:rsidR="00F16291" w:rsidRPr="00F16291">
        <w:t xml:space="preserve"> I have decided to </w:t>
      </w:r>
      <w:r w:rsidR="00F16291">
        <w:t>implement a</w:t>
      </w:r>
      <w:r w:rsidR="00F16291" w:rsidRPr="00F16291">
        <w:t xml:space="preserve"> 10 mg/kg</w:t>
      </w:r>
      <w:r w:rsidR="00F16291">
        <w:t xml:space="preserve"> concentration cut-off</w:t>
      </w:r>
      <w:r w:rsidR="00C7366B">
        <w:t xml:space="preserve"> for both amygdalin and hydrocyanic acid</w:t>
      </w:r>
      <w:r w:rsidR="00F16291" w:rsidRPr="00F16291">
        <w:t xml:space="preserve">. This is </w:t>
      </w:r>
      <w:r w:rsidR="00F16291">
        <w:t xml:space="preserve">in </w:t>
      </w:r>
      <w:r w:rsidR="00F16291" w:rsidRPr="00F16291">
        <w:t>alignment with</w:t>
      </w:r>
      <w:r w:rsidR="00F16291">
        <w:t xml:space="preserve"> the</w:t>
      </w:r>
      <w:r w:rsidR="00F16291" w:rsidRPr="00F16291">
        <w:t xml:space="preserve"> general exemption</w:t>
      </w:r>
      <w:r w:rsidR="00F16291">
        <w:t xml:space="preserve"> for Schedule 1 to 6 substances</w:t>
      </w:r>
      <w:r w:rsidR="00F16291" w:rsidRPr="00F16291">
        <w:t xml:space="preserve"> </w:t>
      </w:r>
      <w:r w:rsidR="00F16291">
        <w:t>in the Poisons Standard</w:t>
      </w:r>
      <w:r w:rsidR="00C7366B">
        <w:t>. These concentration cutoffs are</w:t>
      </w:r>
      <w:r w:rsidR="009C7399">
        <w:t xml:space="preserve"> likely to provide</w:t>
      </w:r>
      <w:r w:rsidR="00F16291" w:rsidRPr="00F16291">
        <w:t xml:space="preserve"> </w:t>
      </w:r>
      <w:r w:rsidR="00C7366B">
        <w:t xml:space="preserve">an </w:t>
      </w:r>
      <w:r w:rsidR="00F16291" w:rsidRPr="00F16291">
        <w:t>a</w:t>
      </w:r>
      <w:r w:rsidR="00C7366B">
        <w:t>cceptable</w:t>
      </w:r>
      <w:r w:rsidR="00F16291" w:rsidRPr="00F16291">
        <w:t xml:space="preserve"> margin</w:t>
      </w:r>
      <w:r w:rsidR="00F16291">
        <w:t xml:space="preserve"> of safety</w:t>
      </w:r>
      <w:r w:rsidR="009C7399">
        <w:t xml:space="preserve"> </w:t>
      </w:r>
      <w:r w:rsidR="00C7366B">
        <w:t xml:space="preserve">for the therapeutic use of products containing amygdalin and/or hydrocyanic acid, </w:t>
      </w:r>
      <w:r w:rsidR="009C7399">
        <w:t xml:space="preserve">even </w:t>
      </w:r>
      <w:r w:rsidR="00C7366B">
        <w:t>in scenarios where a person has a</w:t>
      </w:r>
      <w:r w:rsidR="006037DC">
        <w:t xml:space="preserve"> high dietary exposure</w:t>
      </w:r>
      <w:r w:rsidR="009C7399">
        <w:t>.</w:t>
      </w:r>
    </w:p>
    <w:p w14:paraId="6D44E000" w14:textId="0D163BC2" w:rsidR="00CA112E" w:rsidRPr="002D500E" w:rsidRDefault="00CA112E" w:rsidP="00C7366B">
      <w:pPr>
        <w:rPr>
          <w:b/>
          <w:bCs/>
          <w:i/>
          <w:iCs/>
        </w:rPr>
      </w:pPr>
      <w:r w:rsidRPr="002D500E">
        <w:rPr>
          <w:b/>
          <w:bCs/>
          <w:i/>
          <w:iCs/>
        </w:rPr>
        <w:t>Creation of a Schedule 10 entry for</w:t>
      </w:r>
      <w:r w:rsidR="00F10213" w:rsidRPr="002D500E">
        <w:rPr>
          <w:b/>
          <w:bCs/>
          <w:i/>
          <w:iCs/>
        </w:rPr>
        <w:t xml:space="preserve"> Wild Cherry Bark</w:t>
      </w:r>
    </w:p>
    <w:p w14:paraId="4618AF01" w14:textId="062F953F" w:rsidR="00E67933" w:rsidRDefault="00680591" w:rsidP="007A74F6">
      <w:r>
        <w:t>Wild Cherry Bark contain</w:t>
      </w:r>
      <w:r w:rsidR="00492558">
        <w:t>s</w:t>
      </w:r>
      <w:r>
        <w:t xml:space="preserve"> amygdalin </w:t>
      </w:r>
      <w:r w:rsidR="00C7366B">
        <w:t xml:space="preserve">and hydrocyanic acid </w:t>
      </w:r>
      <w:r w:rsidR="00492558">
        <w:t>and is primarily used</w:t>
      </w:r>
      <w:r w:rsidR="0080038A">
        <w:t xml:space="preserve"> in</w:t>
      </w:r>
      <w:r w:rsidR="00492558">
        <w:t xml:space="preserve"> traditional medicines as </w:t>
      </w:r>
      <w:r w:rsidR="00C7366B">
        <w:t xml:space="preserve">an </w:t>
      </w:r>
      <w:r w:rsidR="00492558">
        <w:t>e</w:t>
      </w:r>
      <w:r w:rsidR="00492558" w:rsidRPr="00492558">
        <w:t xml:space="preserve">xpectorant, </w:t>
      </w:r>
      <w:r w:rsidR="00492558">
        <w:t>a</w:t>
      </w:r>
      <w:r w:rsidR="00492558" w:rsidRPr="00492558">
        <w:t xml:space="preserve">ntitussive, </w:t>
      </w:r>
      <w:r w:rsidR="00492558">
        <w:t>a</w:t>
      </w:r>
      <w:r w:rsidR="00492558" w:rsidRPr="00492558">
        <w:t xml:space="preserve">stringent, </w:t>
      </w:r>
      <w:r w:rsidR="00492558">
        <w:t>a</w:t>
      </w:r>
      <w:r w:rsidR="00492558" w:rsidRPr="00492558">
        <w:t>ntispasmodic</w:t>
      </w:r>
      <w:r w:rsidR="00492558">
        <w:t xml:space="preserve"> or a</w:t>
      </w:r>
      <w:r w:rsidR="00492558" w:rsidRPr="00492558">
        <w:t>nti-inflammatory</w:t>
      </w:r>
      <w:r w:rsidR="00492558">
        <w:t xml:space="preserve"> agent to treat</w:t>
      </w:r>
      <w:r w:rsidR="00492558" w:rsidRPr="00707982">
        <w:t xml:space="preserve"> self-limiting conditions</w:t>
      </w:r>
      <w:r w:rsidR="00492558">
        <w:t xml:space="preserve">. </w:t>
      </w:r>
      <w:r w:rsidR="00C7366B">
        <w:t>However, a</w:t>
      </w:r>
      <w:r w:rsidR="00492558">
        <w:t xml:space="preserve">mygdalin has </w:t>
      </w:r>
      <w:r w:rsidR="00C7366B">
        <w:t xml:space="preserve">also </w:t>
      </w:r>
      <w:r w:rsidR="00492558">
        <w:t xml:space="preserve">been </w:t>
      </w:r>
      <w:r w:rsidR="0080038A">
        <w:t>promoted</w:t>
      </w:r>
      <w:r w:rsidR="00B96246">
        <w:t xml:space="preserve"> as</w:t>
      </w:r>
      <w:r w:rsidR="00492558">
        <w:t xml:space="preserve"> an anti-cancer agent based </w:t>
      </w:r>
      <w:r w:rsidR="0080038A">
        <w:t xml:space="preserve">on </w:t>
      </w:r>
      <w:r w:rsidR="00492558" w:rsidRPr="0080038A">
        <w:rPr>
          <w:i/>
          <w:iCs/>
        </w:rPr>
        <w:t>in vitro</w:t>
      </w:r>
      <w:r w:rsidR="00492558">
        <w:t xml:space="preserve"> and animal studies </w:t>
      </w:r>
      <w:r w:rsidR="0080038A">
        <w:t>but th</w:t>
      </w:r>
      <w:r w:rsidR="00C7366B">
        <w:t>is i</w:t>
      </w:r>
      <w:r w:rsidR="0080038A">
        <w:t>ndication</w:t>
      </w:r>
      <w:r w:rsidR="00C7366B">
        <w:t xml:space="preserve"> is</w:t>
      </w:r>
      <w:r w:rsidR="0080038A">
        <w:t xml:space="preserve"> not supported by clinical evidence.</w:t>
      </w:r>
      <w:r w:rsidR="00971A3E">
        <w:rPr>
          <w:rStyle w:val="FootnoteReference"/>
        </w:rPr>
        <w:footnoteReference w:id="3"/>
      </w:r>
      <w:r w:rsidR="0080038A">
        <w:t xml:space="preserve"> Further, in one instance, one patient with </w:t>
      </w:r>
      <w:r w:rsidR="0080038A" w:rsidRPr="0080038A">
        <w:t>history of pancreatic adenocarcinoma</w:t>
      </w:r>
      <w:r w:rsidR="0080038A">
        <w:t xml:space="preserve"> developed severe c</w:t>
      </w:r>
      <w:r w:rsidR="0080038A" w:rsidRPr="0080038A">
        <w:t xml:space="preserve">yanide </w:t>
      </w:r>
      <w:r w:rsidR="0080038A">
        <w:t>t</w:t>
      </w:r>
      <w:r w:rsidR="0080038A" w:rsidRPr="0080038A">
        <w:t xml:space="preserve">oxicity from </w:t>
      </w:r>
      <w:r w:rsidR="00C7366B">
        <w:t xml:space="preserve">the ingestion of </w:t>
      </w:r>
      <w:r w:rsidR="0080038A">
        <w:t>a</w:t>
      </w:r>
      <w:r w:rsidR="0080038A" w:rsidRPr="0080038A">
        <w:t xml:space="preserve">mygdalin </w:t>
      </w:r>
      <w:r w:rsidR="0080038A">
        <w:t>t</w:t>
      </w:r>
      <w:r w:rsidR="0080038A" w:rsidRPr="0080038A">
        <w:t>ablets</w:t>
      </w:r>
      <w:r w:rsidR="0080038A">
        <w:t>.</w:t>
      </w:r>
      <w:r w:rsidR="001F6D8A">
        <w:rPr>
          <w:rStyle w:val="FootnoteReference"/>
        </w:rPr>
        <w:footnoteReference w:id="4"/>
      </w:r>
      <w:r w:rsidR="0080038A">
        <w:t xml:space="preserve"> It is possible that Wild Che</w:t>
      </w:r>
      <w:r w:rsidR="00B96246">
        <w:t>r</w:t>
      </w:r>
      <w:r w:rsidR="0080038A">
        <w:t>ry Bark preparations could be diverted for treatment of serio</w:t>
      </w:r>
      <w:r w:rsidR="00B96246">
        <w:t>u</w:t>
      </w:r>
      <w:r w:rsidR="0080038A">
        <w:t>s conditions and delay appropriate medical intervention for the underlying conditions</w:t>
      </w:r>
      <w:r w:rsidR="00E67933">
        <w:t>.</w:t>
      </w:r>
      <w:r w:rsidR="00E67933" w:rsidRPr="00E67933">
        <w:t xml:space="preserve"> </w:t>
      </w:r>
      <w:r w:rsidR="00E67933">
        <w:t xml:space="preserve">I remain of the opinion that there is limited evidence of the therapeutic value </w:t>
      </w:r>
      <w:r w:rsidR="00E67933">
        <w:lastRenderedPageBreak/>
        <w:t>and efficacy of Wild Cherry Bark and the risk to public health outweighs the limited evidence of therapeutic value.</w:t>
      </w:r>
      <w:r w:rsidR="004B1F29">
        <w:t xml:space="preserve"> </w:t>
      </w:r>
    </w:p>
    <w:p w14:paraId="7F90A2CD" w14:textId="5B898375" w:rsidR="007B67BA" w:rsidRDefault="000B217C" w:rsidP="007A74F6">
      <w:r>
        <w:t xml:space="preserve">I </w:t>
      </w:r>
      <w:r w:rsidR="00E67933">
        <w:t xml:space="preserve">also </w:t>
      </w:r>
      <w:r>
        <w:t xml:space="preserve">remain in agreement with the Committee that </w:t>
      </w:r>
      <w:r w:rsidR="00A93A73" w:rsidRPr="00A93A73">
        <w:t>the bioavailability of hydrocyanic acid and amygdalin present in Wild Cherry Bark can vary considerably and that this variability increases the risk of consumer exposure to toxic levels</w:t>
      </w:r>
      <w:r w:rsidR="00E67933">
        <w:t xml:space="preserve">. </w:t>
      </w:r>
      <w:r w:rsidR="00803D02">
        <w:t>P</w:t>
      </w:r>
      <w:r w:rsidR="00D263DF" w:rsidRPr="00D263DF">
        <w:t>roduct quality control would be difficult to reliably achieve due to the high variability of amygdalin and hydrocyanic acid content in Wild Cherry Bark</w:t>
      </w:r>
      <w:r w:rsidR="00E67933">
        <w:t xml:space="preserve">. </w:t>
      </w:r>
      <w:r w:rsidR="00C7366B">
        <w:t xml:space="preserve">Data provided by the applicant noted the variable concentration of </w:t>
      </w:r>
      <w:r w:rsidR="00301B99" w:rsidRPr="00301B99">
        <w:t xml:space="preserve">both amygdalin (62-242 mg/kg dried bark) and hydrocyanic acid (100-520 mg/kg dried bark) </w:t>
      </w:r>
      <w:r w:rsidR="00C7366B">
        <w:t>in Wild Cherry Bark</w:t>
      </w:r>
      <w:r w:rsidR="00301B99" w:rsidRPr="00301B99">
        <w:t>.</w:t>
      </w:r>
      <w:r w:rsidR="00301B99">
        <w:t xml:space="preserve"> </w:t>
      </w:r>
      <w:r w:rsidR="00A40770">
        <w:t xml:space="preserve">I note that Wild Cherry Bark </w:t>
      </w:r>
      <w:r w:rsidR="00E67933">
        <w:t xml:space="preserve">also </w:t>
      </w:r>
      <w:r w:rsidR="00A40770">
        <w:t xml:space="preserve">contains high levels of </w:t>
      </w:r>
      <w:proofErr w:type="spellStart"/>
      <w:r w:rsidR="00A40770">
        <w:t>prunazine</w:t>
      </w:r>
      <w:proofErr w:type="spellEnd"/>
      <w:r w:rsidR="00A40770">
        <w:t xml:space="preserve">, another cyanogenic glycoside, compared to other </w:t>
      </w:r>
      <w:r w:rsidR="00A40770" w:rsidRPr="00A40770">
        <w:t xml:space="preserve">raw </w:t>
      </w:r>
      <w:r w:rsidR="00A40770">
        <w:t>ingredients</w:t>
      </w:r>
      <w:r w:rsidR="00A40770" w:rsidRPr="00A40770">
        <w:t xml:space="preserve"> where the amygdalin content is lower</w:t>
      </w:r>
      <w:r w:rsidR="00C7366B">
        <w:t xml:space="preserve"> (</w:t>
      </w:r>
      <w:r w:rsidR="0041283C">
        <w:t xml:space="preserve">such as </w:t>
      </w:r>
      <w:r w:rsidR="0041283C" w:rsidRPr="0041283C">
        <w:t>Batsch fruit oil</w:t>
      </w:r>
      <w:r w:rsidR="0041283C">
        <w:t xml:space="preserve"> and apricot kernels</w:t>
      </w:r>
      <w:r w:rsidR="00C7366B">
        <w:t>)</w:t>
      </w:r>
      <w:r w:rsidR="00E67933">
        <w:t xml:space="preserve"> which further increases the risk of exposure to toxic levels of hydrocyanic acid</w:t>
      </w:r>
      <w:r w:rsidR="00E216E6">
        <w:t>.</w:t>
      </w:r>
      <w:r w:rsidR="00E216E6">
        <w:rPr>
          <w:rStyle w:val="FootnoteReference"/>
        </w:rPr>
        <w:footnoteReference w:id="5"/>
      </w:r>
    </w:p>
    <w:p w14:paraId="2F2D6791" w14:textId="36FB6F65" w:rsidR="00555706" w:rsidRDefault="007B67BA" w:rsidP="007A74F6">
      <w:r>
        <w:t xml:space="preserve">Considering </w:t>
      </w:r>
      <w:r w:rsidR="00820D8B">
        <w:t xml:space="preserve">the </w:t>
      </w:r>
      <w:r>
        <w:t xml:space="preserve">limited therapeutic value of Wild Cherry Bark, </w:t>
      </w:r>
      <w:r w:rsidR="00820D8B">
        <w:t>its</w:t>
      </w:r>
      <w:r>
        <w:t xml:space="preserve"> potential toxicity</w:t>
      </w:r>
      <w:r w:rsidR="00820D8B">
        <w:t>,</w:t>
      </w:r>
      <w:r>
        <w:t xml:space="preserve"> and </w:t>
      </w:r>
      <w:r w:rsidR="00820D8B">
        <w:t xml:space="preserve">the </w:t>
      </w:r>
      <w:r>
        <w:t xml:space="preserve">high and variable amygdalin and hydrocyanic acid I have decided to include Wild Cherry Bark in Schedule 10. </w:t>
      </w:r>
      <w:r w:rsidR="00E01C5E">
        <w:t xml:space="preserve">An exemption for Wild Cherry Bark preparations containing less than 10 mg/kg of amygdalin and hydrocyanic acid </w:t>
      </w:r>
      <w:r w:rsidR="00C7366B">
        <w:t>will</w:t>
      </w:r>
      <w:r>
        <w:t xml:space="preserve"> align with the scheduling </w:t>
      </w:r>
      <w:r w:rsidR="00C7366B">
        <w:t xml:space="preserve">entries for </w:t>
      </w:r>
      <w:r>
        <w:t>amygdalin and hydrocyanic acid</w:t>
      </w:r>
      <w:r w:rsidR="00E01C5E">
        <w:t>. The reasons for setting the 10 mg</w:t>
      </w:r>
      <w:r w:rsidR="00820D8B">
        <w:t>/</w:t>
      </w:r>
      <w:r w:rsidR="00E01C5E">
        <w:t xml:space="preserve">kg cut-off for amygdalin and hydrocyanic acid are outlined above. </w:t>
      </w:r>
      <w:r>
        <w:t xml:space="preserve">   </w:t>
      </w:r>
    </w:p>
    <w:p w14:paraId="26836684" w14:textId="5C7A5294" w:rsidR="004B153A" w:rsidRPr="002D500E" w:rsidRDefault="004B153A" w:rsidP="00C7366B">
      <w:pPr>
        <w:rPr>
          <w:b/>
          <w:bCs/>
        </w:rPr>
      </w:pPr>
      <w:r w:rsidRPr="002D500E">
        <w:rPr>
          <w:b/>
          <w:bCs/>
          <w:i/>
          <w:iCs/>
        </w:rPr>
        <w:t>Interaction with the PID</w:t>
      </w:r>
    </w:p>
    <w:p w14:paraId="35C561C6" w14:textId="66ED37ED" w:rsidR="007F1527" w:rsidRPr="007F1527" w:rsidRDefault="004B153A" w:rsidP="007F1527">
      <w:r>
        <w:t xml:space="preserve">The PID provides </w:t>
      </w:r>
      <w:r w:rsidR="004B1F29">
        <w:t xml:space="preserve">the </w:t>
      </w:r>
      <w:r w:rsidRPr="004B153A">
        <w:t>requirements for</w:t>
      </w:r>
      <w:r>
        <w:t xml:space="preserve"> use of low-risk ingredients in</w:t>
      </w:r>
      <w:r w:rsidRPr="004B153A">
        <w:t xml:space="preserve"> listed medicine formulations</w:t>
      </w:r>
      <w:r w:rsidR="004B1F29">
        <w:t xml:space="preserve"> including</w:t>
      </w:r>
      <w:r w:rsidRPr="004B153A">
        <w:t xml:space="preserve"> how an ingredient can be used, </w:t>
      </w:r>
      <w:r w:rsidR="004B1F29" w:rsidRPr="004B153A">
        <w:t>any quantity restrictions</w:t>
      </w:r>
      <w:r w:rsidR="004B1F29">
        <w:t xml:space="preserve"> and</w:t>
      </w:r>
      <w:r w:rsidR="004B1F29" w:rsidRPr="004B153A">
        <w:t xml:space="preserve"> </w:t>
      </w:r>
      <w:r w:rsidRPr="004B153A">
        <w:t xml:space="preserve">if </w:t>
      </w:r>
      <w:r w:rsidR="004B1F29">
        <w:t>any</w:t>
      </w:r>
      <w:r w:rsidRPr="004B153A">
        <w:t xml:space="preserve"> advisory statement </w:t>
      </w:r>
      <w:r w:rsidR="004B1F29">
        <w:t xml:space="preserve">label is required. </w:t>
      </w:r>
      <w:r w:rsidR="007F1527">
        <w:t xml:space="preserve">Amygdalin is a </w:t>
      </w:r>
      <w:r w:rsidR="007F1527" w:rsidRPr="007F1527">
        <w:t xml:space="preserve">mandatory component </w:t>
      </w:r>
      <w:r w:rsidR="007F1527">
        <w:t>for 20 ingredients and t</w:t>
      </w:r>
      <w:r w:rsidR="007F1527" w:rsidRPr="007F1527">
        <w:t xml:space="preserve">he concentration of </w:t>
      </w:r>
      <w:r w:rsidR="007F1527">
        <w:t>a</w:t>
      </w:r>
      <w:r w:rsidR="007F1527" w:rsidRPr="007F1527">
        <w:t xml:space="preserve">mygdalin in </w:t>
      </w:r>
      <w:r w:rsidR="007F1527">
        <w:t>a listed</w:t>
      </w:r>
      <w:r w:rsidR="007F1527" w:rsidRPr="007F1527">
        <w:t xml:space="preserve"> medicine </w:t>
      </w:r>
      <w:r w:rsidR="007F1527">
        <w:t xml:space="preserve">containing any of these ingredients must be zero. All these ingredients except for bitter almond oil and </w:t>
      </w:r>
      <w:r w:rsidR="007F1527">
        <w:rPr>
          <w:i/>
          <w:iCs/>
        </w:rPr>
        <w:t>Malus domestica</w:t>
      </w:r>
      <w:r w:rsidR="007F1527">
        <w:t xml:space="preserve"> also have a limit of </w:t>
      </w:r>
      <w:r w:rsidR="007F1527" w:rsidRPr="007F1527">
        <w:t>1</w:t>
      </w:r>
      <w:r w:rsidR="007F1527">
        <w:t xml:space="preserve"> </w:t>
      </w:r>
      <w:r w:rsidR="007F1527" w:rsidRPr="0031440A">
        <w:t>µg</w:t>
      </w:r>
      <w:r w:rsidR="007F1527" w:rsidRPr="007F1527">
        <w:t xml:space="preserve">/kg </w:t>
      </w:r>
      <w:r w:rsidR="007F1527">
        <w:t xml:space="preserve">on </w:t>
      </w:r>
      <w:r w:rsidR="007F1527" w:rsidRPr="007F1527">
        <w:t xml:space="preserve">hydrocyanic acid </w:t>
      </w:r>
      <w:r w:rsidR="007F1527">
        <w:t xml:space="preserve">content. </w:t>
      </w:r>
      <w:r w:rsidR="00971A3E">
        <w:t xml:space="preserve">Introducing a 10 mg/kg cut-off for amygdalin and hydrocyanic acid is less restrictive than PID and does not impact any of the current listed medicines. Classifying Wild Cherry Bark as Schedule 10 </w:t>
      </w:r>
      <w:r w:rsidR="00E01C5E">
        <w:t xml:space="preserve">with 10 mg/kg cut-offs for amygdalin and hydrocyanic acid </w:t>
      </w:r>
      <w:r w:rsidR="00971A3E">
        <w:t>also does impact any listed medicines</w:t>
      </w:r>
      <w:r w:rsidR="00E01C5E">
        <w:t>.</w:t>
      </w:r>
      <w:r w:rsidR="00971A3E">
        <w:t xml:space="preserve"> </w:t>
      </w:r>
    </w:p>
    <w:p w14:paraId="31E98D78" w14:textId="60F25A0F" w:rsidR="0041283C" w:rsidRDefault="00971A3E" w:rsidP="007A74F6">
      <w:r>
        <w:t>As the decision to amend the current Poisons Standard to introduce concentration cut-offs for amygdalin and hydrocyanic, and list Wild Cherry Bark as a Schedule 10 substance</w:t>
      </w:r>
      <w:r w:rsidR="00E01C5E">
        <w:t xml:space="preserve"> with similar cut-offs</w:t>
      </w:r>
      <w:r>
        <w:t xml:space="preserve">, does not impact the industry, </w:t>
      </w:r>
      <w:r w:rsidR="0041283C" w:rsidRPr="00A17B8F">
        <w:t xml:space="preserve">I have decided on an </w:t>
      </w:r>
      <w:r>
        <w:t xml:space="preserve">immediate </w:t>
      </w:r>
      <w:r w:rsidR="0041283C" w:rsidRPr="00A17B8F">
        <w:t xml:space="preserve">implementation date of 1 </w:t>
      </w:r>
      <w:r w:rsidR="0041283C">
        <w:t>June</w:t>
      </w:r>
      <w:r w:rsidR="0041283C" w:rsidRPr="00A17B8F">
        <w:t xml:space="preserve"> 2025</w:t>
      </w:r>
      <w:r w:rsidR="00AC1383">
        <w:t>.</w:t>
      </w:r>
      <w:r w:rsidR="0041283C" w:rsidRPr="00A17B8F">
        <w:t xml:space="preserve"> </w:t>
      </w:r>
    </w:p>
    <w:p w14:paraId="5CBC093C" w14:textId="741FED2E" w:rsidR="00457050" w:rsidRPr="00B76415" w:rsidRDefault="00457050" w:rsidP="00BB34CD">
      <w:r w:rsidRPr="00BB34CD">
        <w:rPr>
          <w:b/>
          <w:bCs/>
          <w:i/>
          <w:iCs/>
        </w:rPr>
        <w:t xml:space="preserve">Implementation date </w:t>
      </w:r>
    </w:p>
    <w:p w14:paraId="1C7DEDBF" w14:textId="73F5845B" w:rsidR="000D7942" w:rsidRPr="00215D48" w:rsidRDefault="00BA18E2" w:rsidP="00967490">
      <w:pPr>
        <w:sectPr w:rsidR="000D7942" w:rsidRPr="00215D48" w:rsidSect="00AE7C6A">
          <w:headerReference w:type="default" r:id="rId26"/>
          <w:footerReference w:type="default" r:id="rId27"/>
          <w:pgSz w:w="11906" w:h="16838" w:code="9"/>
          <w:pgMar w:top="1134" w:right="1418" w:bottom="1361" w:left="1418" w:header="573" w:footer="567" w:gutter="0"/>
          <w:cols w:space="708"/>
          <w:docGrid w:linePitch="360"/>
        </w:sectPr>
      </w:pPr>
      <w:r>
        <w:t xml:space="preserve">1 </w:t>
      </w:r>
      <w:r w:rsidR="00B46C51">
        <w:t>June</w:t>
      </w:r>
      <w:r>
        <w:t xml:space="preserve"> 202</w:t>
      </w:r>
      <w:r w:rsidR="00B46C51">
        <w:t>5</w:t>
      </w: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750B8D42" w14:textId="77777777" w:rsidTr="00564BBE">
        <w:trPr>
          <w:trHeight w:hRule="exact" w:val="565"/>
          <w:jc w:val="center"/>
        </w:trPr>
        <w:tc>
          <w:tcPr>
            <w:tcW w:w="9145" w:type="dxa"/>
          </w:tcPr>
          <w:p w14:paraId="72C7C633" w14:textId="77777777" w:rsidR="00F02AEC" w:rsidRPr="00215D48" w:rsidRDefault="00F02AEC" w:rsidP="00967490">
            <w:pPr>
              <w:pStyle w:val="TGASignoff"/>
            </w:pPr>
            <w:r w:rsidRPr="00D1612F">
              <w:rPr>
                <w:color w:val="auto"/>
              </w:rPr>
              <w:lastRenderedPageBreak/>
              <w:t>Therapeutic Goods Administration</w:t>
            </w:r>
          </w:p>
        </w:tc>
      </w:tr>
      <w:tr w:rsidR="00F02AEC" w:rsidRPr="00215D48" w14:paraId="24B1F6E1" w14:textId="77777777" w:rsidTr="00564BBE">
        <w:trPr>
          <w:trHeight w:val="963"/>
          <w:jc w:val="center"/>
        </w:trPr>
        <w:tc>
          <w:tcPr>
            <w:tcW w:w="9145" w:type="dxa"/>
            <w:tcMar>
              <w:top w:w="28" w:type="dxa"/>
            </w:tcMar>
          </w:tcPr>
          <w:p w14:paraId="57370B32" w14:textId="77777777" w:rsidR="00F02AEC" w:rsidRPr="005E3E9A" w:rsidRDefault="00F02AEC" w:rsidP="00300CBB">
            <w:pPr>
              <w:pStyle w:val="Address"/>
              <w:jc w:val="center"/>
              <w:rPr>
                <w:color w:val="auto"/>
              </w:rPr>
            </w:pPr>
            <w:r w:rsidRPr="005E3E9A">
              <w:rPr>
                <w:color w:val="auto"/>
              </w:rPr>
              <w:t>PO Box 100 Woden ACT 2606 Australia</w:t>
            </w:r>
          </w:p>
          <w:p w14:paraId="75B55E7E" w14:textId="77777777" w:rsidR="00F02AEC" w:rsidRPr="005E3E9A" w:rsidRDefault="00F02AEC" w:rsidP="00300CBB">
            <w:pPr>
              <w:pStyle w:val="Address"/>
              <w:jc w:val="center"/>
              <w:rPr>
                <w:color w:val="auto"/>
                <w:sz w:val="22"/>
              </w:rPr>
            </w:pPr>
            <w:r w:rsidRPr="005E3E9A">
              <w:rPr>
                <w:color w:val="auto"/>
              </w:rPr>
              <w:t>Email</w:t>
            </w:r>
            <w:r w:rsidRPr="00215D48">
              <w:t xml:space="preserve">: </w:t>
            </w:r>
            <w:hyperlink r:id="rId28" w:history="1">
              <w:r w:rsidRPr="00215D48">
                <w:rPr>
                  <w:rStyle w:val="Hyperlink"/>
                </w:rPr>
                <w:t>info@tga.gov.au</w:t>
              </w:r>
            </w:hyperlink>
            <w:r w:rsidRPr="00215D48">
              <w:t xml:space="preserve">  </w:t>
            </w:r>
            <w:r w:rsidRPr="005E3E9A">
              <w:rPr>
                <w:color w:val="auto"/>
              </w:rPr>
              <w:t xml:space="preserve">Phone: 1800 020 </w:t>
            </w:r>
            <w:proofErr w:type="gramStart"/>
            <w:r w:rsidRPr="005E3E9A">
              <w:rPr>
                <w:color w:val="auto"/>
              </w:rPr>
              <w:t>653  Fax</w:t>
            </w:r>
            <w:proofErr w:type="gramEnd"/>
            <w:r w:rsidRPr="005E3E9A">
              <w:rPr>
                <w:color w:val="auto"/>
              </w:rPr>
              <w:t>: 02 6203 1605</w:t>
            </w:r>
          </w:p>
          <w:p w14:paraId="49F7061A" w14:textId="77777777" w:rsidR="00F02AEC" w:rsidRPr="00215D48" w:rsidRDefault="00F02AEC" w:rsidP="00300CBB">
            <w:pPr>
              <w:pStyle w:val="Address"/>
              <w:jc w:val="center"/>
              <w:rPr>
                <w:rStyle w:val="Hyperlink"/>
                <w:b/>
                <w:color w:val="auto"/>
                <w:sz w:val="22"/>
              </w:rPr>
            </w:pPr>
            <w:hyperlink r:id="rId29" w:history="1">
              <w:r w:rsidRPr="00C4721A">
                <w:rPr>
                  <w:rStyle w:val="Hyperlink"/>
                  <w:b/>
                </w:rPr>
                <w:t>https://www.tga.gov.au</w:t>
              </w:r>
            </w:hyperlink>
          </w:p>
        </w:tc>
      </w:tr>
      <w:tr w:rsidR="00F02AEC" w:rsidRPr="00215D48" w14:paraId="1B62B233" w14:textId="77777777" w:rsidTr="00564BBE">
        <w:trPr>
          <w:trHeight w:val="251"/>
          <w:jc w:val="center"/>
        </w:trPr>
        <w:tc>
          <w:tcPr>
            <w:tcW w:w="9145" w:type="dxa"/>
            <w:tcMar>
              <w:top w:w="28" w:type="dxa"/>
            </w:tcMar>
          </w:tcPr>
          <w:p w14:paraId="5A58CAA3" w14:textId="0153A928" w:rsidR="00F02AEC" w:rsidRPr="00215D48" w:rsidRDefault="00F02AEC" w:rsidP="00300CBB">
            <w:pPr>
              <w:pStyle w:val="Address"/>
              <w:jc w:val="center"/>
            </w:pPr>
          </w:p>
        </w:tc>
      </w:tr>
    </w:tbl>
    <w:p w14:paraId="221B1587" w14:textId="77777777" w:rsidR="009F29CA" w:rsidRDefault="009F29CA" w:rsidP="00967490"/>
    <w:sectPr w:rsidR="009F29CA" w:rsidSect="00AE7C6A">
      <w:headerReference w:type="first" r:id="rId30"/>
      <w:footerReference w:type="first" r:id="rId31"/>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28808" w14:textId="77777777" w:rsidR="00981D2E" w:rsidRDefault="00981D2E" w:rsidP="00967490">
      <w:r>
        <w:separator/>
      </w:r>
    </w:p>
    <w:p w14:paraId="77998DFE" w14:textId="77777777" w:rsidR="00981D2E" w:rsidRDefault="00981D2E" w:rsidP="00967490"/>
    <w:p w14:paraId="58E94979" w14:textId="77777777" w:rsidR="00981D2E" w:rsidRDefault="00981D2E" w:rsidP="00967490"/>
  </w:endnote>
  <w:endnote w:type="continuationSeparator" w:id="0">
    <w:p w14:paraId="14472F89" w14:textId="77777777" w:rsidR="00981D2E" w:rsidRDefault="00981D2E" w:rsidP="00967490">
      <w:r>
        <w:continuationSeparator/>
      </w:r>
    </w:p>
    <w:p w14:paraId="09F764E1" w14:textId="77777777" w:rsidR="00981D2E" w:rsidRDefault="00981D2E" w:rsidP="00967490"/>
    <w:p w14:paraId="72E5B180" w14:textId="77777777" w:rsidR="00981D2E" w:rsidRDefault="00981D2E" w:rsidP="00967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0E0F9132" w14:textId="77777777" w:rsidTr="000B30E5">
      <w:trPr>
        <w:trHeight w:val="423"/>
      </w:trPr>
      <w:tc>
        <w:tcPr>
          <w:tcW w:w="4360" w:type="dxa"/>
          <w:tcBorders>
            <w:top w:val="single" w:sz="4" w:space="0" w:color="auto"/>
          </w:tcBorders>
        </w:tcPr>
        <w:p w14:paraId="397C609C" w14:textId="77777777" w:rsidR="00F02AEC" w:rsidRDefault="00F02AEC" w:rsidP="00967490">
          <w:pPr>
            <w:pStyle w:val="Footer"/>
          </w:pPr>
        </w:p>
        <w:p w14:paraId="7393120B" w14:textId="77777777" w:rsidR="00F02AEC" w:rsidRPr="00257138" w:rsidRDefault="00F02AEC" w:rsidP="00967490">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C2813E0" w14:textId="77777777" w:rsidR="00F02AEC" w:rsidRDefault="00F02AEC" w:rsidP="00967490">
              <w:pPr>
                <w:pStyle w:val="Footer"/>
              </w:pPr>
            </w:p>
            <w:p w14:paraId="588F5728" w14:textId="77777777" w:rsidR="00F02AEC" w:rsidRPr="00257138" w:rsidRDefault="00F02AEC" w:rsidP="00967490">
              <w:pPr>
                <w:pStyle w:val="Footer"/>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F02AEC" w:rsidRPr="00257138" w14:paraId="5A8E6528" w14:textId="77777777" w:rsidTr="000B30E5">
      <w:trPr>
        <w:trHeight w:val="263"/>
      </w:trPr>
      <w:tc>
        <w:tcPr>
          <w:tcW w:w="4360" w:type="dxa"/>
        </w:tcPr>
        <w:p w14:paraId="0641E1B7" w14:textId="77777777" w:rsidR="00F02AEC" w:rsidRPr="00257138" w:rsidRDefault="00F02AEC" w:rsidP="00967490">
          <w:pPr>
            <w:pStyle w:val="Footer"/>
          </w:pPr>
          <w:r w:rsidRPr="00257138">
            <w:t xml:space="preserve">V1.0 </w:t>
          </w:r>
          <w:r>
            <w:t>Month</w:t>
          </w:r>
          <w:r w:rsidRPr="00257138">
            <w:t xml:space="preserve"> 201</w:t>
          </w:r>
          <w:r>
            <w:t>2</w:t>
          </w:r>
        </w:p>
      </w:tc>
      <w:tc>
        <w:tcPr>
          <w:tcW w:w="4360" w:type="dxa"/>
        </w:tcPr>
        <w:p w14:paraId="287CE5F3" w14:textId="77777777" w:rsidR="00F02AEC" w:rsidRPr="00257138" w:rsidRDefault="00F02AEC" w:rsidP="00967490">
          <w:pPr>
            <w:pStyle w:val="Footer"/>
          </w:pPr>
        </w:p>
      </w:tc>
    </w:tr>
  </w:tbl>
  <w:p w14:paraId="23CB8D1E" w14:textId="77777777" w:rsidR="00F02AEC" w:rsidRPr="00826007" w:rsidRDefault="00F02AEC" w:rsidP="00967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2A3F" w14:textId="77777777" w:rsidR="00F02AEC" w:rsidRDefault="00F02AEC" w:rsidP="00967490">
    <w:pPr>
      <w:pStyle w:val="Footer"/>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938"/>
      <w:gridCol w:w="1275"/>
    </w:tblGrid>
    <w:tr w:rsidR="00F02AEC" w:rsidRPr="00DE78C9" w14:paraId="26871269" w14:textId="77777777" w:rsidTr="00321B93">
      <w:trPr>
        <w:trHeight w:val="423"/>
      </w:trPr>
      <w:tc>
        <w:tcPr>
          <w:tcW w:w="7938" w:type="dxa"/>
          <w:tcBorders>
            <w:top w:val="single" w:sz="4" w:space="0" w:color="auto"/>
          </w:tcBorders>
        </w:tcPr>
        <w:p w14:paraId="5FF3321B" w14:textId="2C556040" w:rsidR="00F02AEC" w:rsidRPr="00DE78C9" w:rsidRDefault="004B6C75" w:rsidP="00DE78C9">
          <w:pPr>
            <w:ind w:left="-110"/>
            <w:rPr>
              <w:rFonts w:asciiTheme="minorHAnsi" w:hAnsiTheme="minorHAnsi" w:cstheme="minorHAnsi"/>
              <w:sz w:val="18"/>
              <w:szCs w:val="18"/>
            </w:rPr>
          </w:pPr>
          <w:r w:rsidRPr="004B6C75">
            <w:rPr>
              <w:rFonts w:asciiTheme="minorHAnsi" w:hAnsiTheme="minorHAnsi" w:cstheme="minorHAnsi"/>
              <w:sz w:val="18"/>
              <w:szCs w:val="18"/>
            </w:rPr>
            <w:t>Notice of final decision to amend (or not amend) the current Poisons Standard</w:t>
          </w:r>
          <w:r w:rsidR="00F02AEC" w:rsidRPr="00DE78C9">
            <w:rPr>
              <w:rFonts w:asciiTheme="minorHAnsi" w:hAnsiTheme="minorHAnsi" w:cstheme="minorHAnsi"/>
              <w:sz w:val="18"/>
              <w:szCs w:val="18"/>
            </w:rPr>
            <w:t xml:space="preserve"> </w:t>
          </w:r>
          <w:r w:rsidR="00F02AEC" w:rsidRPr="00DE78C9">
            <w:rPr>
              <w:rFonts w:asciiTheme="minorHAnsi" w:hAnsiTheme="minorHAnsi" w:cstheme="minorHAnsi"/>
              <w:sz w:val="18"/>
              <w:szCs w:val="18"/>
            </w:rPr>
            <w:br/>
          </w:r>
          <w:r w:rsidR="00C959F6" w:rsidRPr="00C959F6">
            <w:rPr>
              <w:rFonts w:asciiTheme="minorHAnsi" w:hAnsiTheme="minorHAnsi" w:cstheme="minorHAnsi"/>
              <w:sz w:val="18"/>
              <w:szCs w:val="18"/>
            </w:rPr>
            <w:t>February</w:t>
          </w:r>
          <w:r w:rsidR="00F02AEC" w:rsidRPr="00C959F6">
            <w:rPr>
              <w:rFonts w:asciiTheme="minorHAnsi" w:hAnsiTheme="minorHAnsi" w:cstheme="minorHAnsi"/>
              <w:sz w:val="18"/>
              <w:szCs w:val="18"/>
            </w:rPr>
            <w:t xml:space="preserve"> </w:t>
          </w:r>
          <w:r w:rsidRPr="00C959F6">
            <w:rPr>
              <w:rFonts w:asciiTheme="minorHAnsi" w:hAnsiTheme="minorHAnsi" w:cstheme="minorHAnsi"/>
              <w:sz w:val="18"/>
              <w:szCs w:val="18"/>
            </w:rPr>
            <w:t>202</w:t>
          </w:r>
          <w:r w:rsidR="00C959F6" w:rsidRPr="00C959F6">
            <w:rPr>
              <w:rFonts w:asciiTheme="minorHAnsi" w:hAnsiTheme="minorHAnsi" w:cstheme="minorHAnsi"/>
              <w:sz w:val="18"/>
              <w:szCs w:val="18"/>
            </w:rPr>
            <w:t>5</w:t>
          </w:r>
        </w:p>
      </w:tc>
      <w:tc>
        <w:tcPr>
          <w:tcW w:w="1275" w:type="dxa"/>
          <w:tcBorders>
            <w:top w:val="single" w:sz="4" w:space="0" w:color="auto"/>
          </w:tcBorders>
        </w:tcPr>
        <w:sdt>
          <w:sdtPr>
            <w:rPr>
              <w:rFonts w:cstheme="minorHAnsi"/>
              <w:sz w:val="18"/>
              <w:szCs w:val="18"/>
            </w:rPr>
            <w:id w:val="11571659"/>
            <w:docPartObj>
              <w:docPartGallery w:val="Page Numbers (Top of Page)"/>
              <w:docPartUnique/>
            </w:docPartObj>
          </w:sdtPr>
          <w:sdtEndPr/>
          <w:sdtContent>
            <w:p w14:paraId="0FD62CF3" w14:textId="77777777" w:rsidR="00F02AEC" w:rsidRPr="00DE78C9" w:rsidRDefault="00F02AEC" w:rsidP="00321B93">
              <w:pPr>
                <w:ind w:left="173" w:right="-105"/>
                <w:jc w:val="right"/>
                <w:rPr>
                  <w:rFonts w:asciiTheme="minorHAnsi" w:hAnsiTheme="minorHAnsi" w:cstheme="minorHAnsi"/>
                  <w:sz w:val="18"/>
                  <w:szCs w:val="18"/>
                </w:rPr>
              </w:pPr>
              <w:r w:rsidRPr="00DE78C9">
                <w:rPr>
                  <w:rFonts w:asciiTheme="minorHAnsi" w:hAnsiTheme="minorHAnsi" w:cstheme="minorHAnsi"/>
                  <w:sz w:val="18"/>
                  <w:szCs w:val="18"/>
                </w:rPr>
                <w:t xml:space="preserve">Page </w:t>
              </w:r>
              <w:r w:rsidRPr="00DE78C9">
                <w:rPr>
                  <w:rFonts w:cstheme="minorHAnsi"/>
                  <w:sz w:val="18"/>
                  <w:szCs w:val="18"/>
                </w:rPr>
                <w:fldChar w:fldCharType="begin"/>
              </w:r>
              <w:r w:rsidRPr="00DE78C9">
                <w:rPr>
                  <w:rFonts w:asciiTheme="minorHAnsi" w:hAnsiTheme="minorHAnsi" w:cstheme="minorHAnsi"/>
                  <w:sz w:val="18"/>
                  <w:szCs w:val="18"/>
                </w:rPr>
                <w:instrText xml:space="preserve"> PAGE </w:instrText>
              </w:r>
              <w:r w:rsidRPr="00DE78C9">
                <w:rPr>
                  <w:rFonts w:cstheme="minorHAnsi"/>
                  <w:sz w:val="18"/>
                  <w:szCs w:val="18"/>
                </w:rPr>
                <w:fldChar w:fldCharType="separate"/>
              </w:r>
              <w:r w:rsidRPr="00DE78C9">
                <w:rPr>
                  <w:rFonts w:asciiTheme="minorHAnsi" w:hAnsiTheme="minorHAnsi" w:cstheme="minorHAnsi"/>
                  <w:noProof/>
                  <w:sz w:val="18"/>
                  <w:szCs w:val="18"/>
                </w:rPr>
                <w:t>6</w:t>
              </w:r>
              <w:r w:rsidRPr="00DE78C9">
                <w:rPr>
                  <w:rFonts w:cstheme="minorHAnsi"/>
                  <w:noProof/>
                  <w:sz w:val="18"/>
                  <w:szCs w:val="18"/>
                </w:rPr>
                <w:fldChar w:fldCharType="end"/>
              </w:r>
              <w:r w:rsidRPr="00DE78C9">
                <w:rPr>
                  <w:rFonts w:asciiTheme="minorHAnsi" w:hAnsiTheme="minorHAnsi" w:cstheme="minorHAnsi"/>
                  <w:sz w:val="18"/>
                  <w:szCs w:val="18"/>
                </w:rPr>
                <w:t xml:space="preserve"> of </w:t>
              </w:r>
              <w:r w:rsidRPr="00DE78C9">
                <w:rPr>
                  <w:rFonts w:cstheme="minorHAnsi"/>
                  <w:sz w:val="18"/>
                  <w:szCs w:val="18"/>
                </w:rPr>
                <w:fldChar w:fldCharType="begin"/>
              </w:r>
              <w:r w:rsidRPr="00DE78C9">
                <w:rPr>
                  <w:rFonts w:asciiTheme="minorHAnsi" w:hAnsiTheme="minorHAnsi" w:cstheme="minorHAnsi"/>
                  <w:sz w:val="18"/>
                  <w:szCs w:val="18"/>
                </w:rPr>
                <w:instrText xml:space="preserve"> NUMPAGES  </w:instrText>
              </w:r>
              <w:r w:rsidRPr="00DE78C9">
                <w:rPr>
                  <w:rFonts w:cstheme="minorHAnsi"/>
                  <w:sz w:val="18"/>
                  <w:szCs w:val="18"/>
                </w:rPr>
                <w:fldChar w:fldCharType="separate"/>
              </w:r>
              <w:r w:rsidRPr="00DE78C9">
                <w:rPr>
                  <w:rFonts w:asciiTheme="minorHAnsi" w:hAnsiTheme="minorHAnsi" w:cstheme="minorHAnsi"/>
                  <w:noProof/>
                  <w:sz w:val="18"/>
                  <w:szCs w:val="18"/>
                </w:rPr>
                <w:t>7</w:t>
              </w:r>
              <w:r w:rsidRPr="00DE78C9">
                <w:rPr>
                  <w:rFonts w:cstheme="minorHAnsi"/>
                  <w:noProof/>
                  <w:sz w:val="18"/>
                  <w:szCs w:val="18"/>
                </w:rPr>
                <w:fldChar w:fldCharType="end"/>
              </w:r>
            </w:p>
          </w:sdtContent>
        </w:sdt>
      </w:tc>
    </w:tr>
  </w:tbl>
  <w:p w14:paraId="26DA1F76" w14:textId="77777777" w:rsidR="00F02AEC" w:rsidRPr="00DE78C9" w:rsidRDefault="00F02AEC" w:rsidP="00DE78C9">
    <w:pPr>
      <w:rPr>
        <w:rFonts w:cstheme="minorHAns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EBDA" w14:textId="77777777" w:rsidR="009F29CA" w:rsidRPr="008E3C43" w:rsidRDefault="009F29CA" w:rsidP="0096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5BAB0" w14:textId="77777777" w:rsidR="00981D2E" w:rsidRDefault="00981D2E" w:rsidP="00967490">
      <w:r>
        <w:separator/>
      </w:r>
    </w:p>
  </w:footnote>
  <w:footnote w:type="continuationSeparator" w:id="0">
    <w:p w14:paraId="73795048" w14:textId="77777777" w:rsidR="00981D2E" w:rsidRDefault="00981D2E" w:rsidP="00967490">
      <w:r>
        <w:continuationSeparator/>
      </w:r>
    </w:p>
    <w:p w14:paraId="1009DC63" w14:textId="77777777" w:rsidR="00981D2E" w:rsidRDefault="00981D2E" w:rsidP="00967490"/>
    <w:p w14:paraId="65587524" w14:textId="77777777" w:rsidR="00981D2E" w:rsidRDefault="00981D2E" w:rsidP="00967490"/>
  </w:footnote>
  <w:footnote w:id="1">
    <w:p w14:paraId="799494EA" w14:textId="77777777" w:rsidR="00457050" w:rsidRPr="006119D9" w:rsidRDefault="00457050" w:rsidP="00757E6A">
      <w:pPr>
        <w:pStyle w:val="FootnoteText"/>
        <w:keepLines w:val="0"/>
        <w:rPr>
          <w:rFonts w:asciiTheme="minorHAnsi" w:hAnsiTheme="minorHAnsi" w:cstheme="minorHAnsi"/>
          <w:sz w:val="18"/>
          <w:szCs w:val="18"/>
        </w:rPr>
      </w:pPr>
      <w:r w:rsidRPr="006119D9">
        <w:rPr>
          <w:rStyle w:val="FootnoteReference"/>
          <w:rFonts w:asciiTheme="minorHAnsi" w:hAnsiTheme="minorHAnsi" w:cstheme="minorHAnsi"/>
          <w:sz w:val="18"/>
          <w:szCs w:val="18"/>
        </w:rPr>
        <w:footnoteRef/>
      </w:r>
      <w:r w:rsidRPr="006119D9">
        <w:rPr>
          <w:rFonts w:asciiTheme="minorHAnsi" w:hAnsiTheme="minorHAnsi" w:cstheme="minorHAnsi"/>
          <w:sz w:val="18"/>
          <w:szCs w:val="18"/>
        </w:rPr>
        <w:t xml:space="preserve"> For the purposes of s 52D of the </w:t>
      </w:r>
      <w:r w:rsidRPr="006119D9">
        <w:rPr>
          <w:rFonts w:asciiTheme="minorHAnsi" w:hAnsiTheme="minorHAnsi" w:cstheme="minorHAnsi"/>
          <w:i/>
          <w:iCs/>
          <w:sz w:val="18"/>
          <w:szCs w:val="18"/>
        </w:rPr>
        <w:t>Therapeutic Goods Act 1989</w:t>
      </w:r>
      <w:r w:rsidRPr="006119D9">
        <w:rPr>
          <w:rFonts w:asciiTheme="minorHAnsi" w:hAnsiTheme="minorHAnsi" w:cstheme="minorHAnsi"/>
          <w:sz w:val="18"/>
          <w:szCs w:val="18"/>
        </w:rPr>
        <w:t xml:space="preserve"> (Cth). </w:t>
      </w:r>
    </w:p>
  </w:footnote>
  <w:footnote w:id="2">
    <w:p w14:paraId="1F3A52E5" w14:textId="66826A03" w:rsidR="006C757A" w:rsidRDefault="006C757A">
      <w:pPr>
        <w:pStyle w:val="FootnoteText"/>
      </w:pPr>
      <w:r>
        <w:rPr>
          <w:rStyle w:val="FootnoteReference"/>
        </w:rPr>
        <w:footnoteRef/>
      </w:r>
      <w:r>
        <w:t xml:space="preserve"> </w:t>
      </w:r>
      <w:r w:rsidRPr="006C757A">
        <w:t xml:space="preserve">FSANZ </w:t>
      </w:r>
      <w:hyperlink r:id="rId1" w:history="1">
        <w:r w:rsidRPr="006C757A">
          <w:rPr>
            <w:rStyle w:val="Hyperlink"/>
          </w:rPr>
          <w:t>survey of cyanogenic glycosides in plant-based foods in Australia and New Zealand</w:t>
        </w:r>
      </w:hyperlink>
      <w:r w:rsidRPr="006C757A">
        <w:t xml:space="preserve"> 2010-13</w:t>
      </w:r>
    </w:p>
  </w:footnote>
  <w:footnote w:id="3">
    <w:p w14:paraId="4544B563" w14:textId="1D2D153F" w:rsidR="00971A3E" w:rsidRDefault="00971A3E">
      <w:pPr>
        <w:pStyle w:val="FootnoteText"/>
      </w:pPr>
      <w:r>
        <w:rPr>
          <w:rStyle w:val="FootnoteReference"/>
        </w:rPr>
        <w:footnoteRef/>
      </w:r>
      <w:r>
        <w:t xml:space="preserve"> </w:t>
      </w:r>
      <w:r w:rsidRPr="00971A3E">
        <w:t>Spanoudaki M, Stoumpou S, Papadopoulou SK, Karafyllaki D, Solovos E, Papadopoulos K, Giannakoula A, Giaginis C. Amygdalin as a Promising Anticancer Agent: Molecular Mechanisms and Future Perspectives for the Development of New Nanoformulations for Its Delivery. Int J Mol Sci. 2023 Sep 19;24(18):14270. doi: </w:t>
      </w:r>
      <w:hyperlink r:id="rId2" w:tgtFrame="_blank" w:history="1">
        <w:r w:rsidRPr="00971A3E">
          <w:rPr>
            <w:rStyle w:val="Hyperlink"/>
          </w:rPr>
          <w:t>10.3390/ijms241814270</w:t>
        </w:r>
      </w:hyperlink>
      <w:r w:rsidRPr="00971A3E">
        <w:t>.</w:t>
      </w:r>
    </w:p>
  </w:footnote>
  <w:footnote w:id="4">
    <w:p w14:paraId="18E78CB5" w14:textId="66D2B7D2" w:rsidR="001F6D8A" w:rsidRPr="001F6D8A" w:rsidRDefault="001F6D8A" w:rsidP="001F6D8A">
      <w:pPr>
        <w:pStyle w:val="FootnoteText"/>
      </w:pPr>
      <w:r>
        <w:rPr>
          <w:rStyle w:val="FootnoteReference"/>
        </w:rPr>
        <w:footnoteRef/>
      </w:r>
      <w:r>
        <w:t xml:space="preserve"> </w:t>
      </w:r>
      <w:r w:rsidRPr="001F6D8A">
        <w:t xml:space="preserve">Dang T, Nguyen C, Tran PN. Physician Beware: Severe Cyanide Toxicity from Amygdalin Tablets Ingestion. Case Rep Emerg Med. 2017;2017:4289527. doi: </w:t>
      </w:r>
      <w:hyperlink r:id="rId3" w:history="1">
        <w:r w:rsidRPr="001F6D8A">
          <w:rPr>
            <w:rStyle w:val="Hyperlink"/>
          </w:rPr>
          <w:t>10.1155/2017/4289527</w:t>
        </w:r>
      </w:hyperlink>
      <w:r w:rsidRPr="001F6D8A">
        <w:t>.</w:t>
      </w:r>
    </w:p>
    <w:p w14:paraId="053D45D6" w14:textId="060DBA3F" w:rsidR="001F6D8A" w:rsidRDefault="001F6D8A">
      <w:pPr>
        <w:pStyle w:val="FootnoteText"/>
      </w:pPr>
    </w:p>
  </w:footnote>
  <w:footnote w:id="5">
    <w:p w14:paraId="22AEE43D" w14:textId="52B3AB51" w:rsidR="00E216E6" w:rsidRPr="00E216E6" w:rsidRDefault="00E216E6">
      <w:pPr>
        <w:pStyle w:val="FootnoteText"/>
      </w:pPr>
      <w:r>
        <w:rPr>
          <w:rStyle w:val="FootnoteReference"/>
        </w:rPr>
        <w:footnoteRef/>
      </w:r>
      <w:r>
        <w:t xml:space="preserve"> Telichowska, Kobus-Cisowska and Szulc, (2020) </w:t>
      </w:r>
      <w:r w:rsidRPr="00E216E6">
        <w:t>Phytopharmacological Possibilities of Bird Cherry Prunus padus L. and Prunus serotina L. Species and Their Bioactive Phytochemicals</w:t>
      </w:r>
      <w:r>
        <w:t xml:space="preserve">, </w:t>
      </w:r>
      <w:r>
        <w:rPr>
          <w:i/>
          <w:iCs/>
        </w:rPr>
        <w:t>Nutrients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EADCC98" w14:textId="77777777" w:rsidTr="00F71E1E">
      <w:trPr>
        <w:trHeight w:hRule="exact" w:val="8845"/>
      </w:trPr>
      <w:tc>
        <w:tcPr>
          <w:tcW w:w="11964" w:type="dxa"/>
          <w:vAlign w:val="center"/>
        </w:tcPr>
        <w:p w14:paraId="17B03A00" w14:textId="151871C2" w:rsidR="00F02AEC" w:rsidRPr="002B29B2" w:rsidRDefault="00F02AEC" w:rsidP="00967490">
          <w:pPr>
            <w:rPr>
              <w:noProof/>
            </w:rPr>
          </w:pPr>
        </w:p>
      </w:tc>
    </w:tr>
  </w:tbl>
  <w:p w14:paraId="4C8EBEB5" w14:textId="77777777" w:rsidR="00F02AEC" w:rsidRDefault="00CB0550" w:rsidP="00967490">
    <w:pPr>
      <w:rPr>
        <w:noProof/>
      </w:rPr>
    </w:pPr>
    <w:r>
      <w:rPr>
        <w:noProof/>
        <w:lang w:eastAsia="en-AU"/>
      </w:rPr>
      <w:drawing>
        <wp:anchor distT="0" distB="0" distL="114300" distR="114300" simplePos="0" relativeHeight="251661312" behindDoc="0" locked="0" layoutInCell="1" allowOverlap="1" wp14:anchorId="276EFB66" wp14:editId="67AF2E27">
          <wp:simplePos x="0" y="0"/>
          <wp:positionH relativeFrom="column">
            <wp:posOffset>-400050</wp:posOffset>
          </wp:positionH>
          <wp:positionV relativeFrom="paragraph">
            <wp:posOffset>-116205</wp:posOffset>
          </wp:positionV>
          <wp:extent cx="2676525" cy="621665"/>
          <wp:effectExtent l="0" t="0" r="9525"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468A6D8D" wp14:editId="47999CD4">
          <wp:simplePos x="0" y="0"/>
          <wp:positionH relativeFrom="page">
            <wp:align>left</wp:align>
          </wp:positionH>
          <wp:positionV relativeFrom="page">
            <wp:posOffset>3239495</wp:posOffset>
          </wp:positionV>
          <wp:extent cx="7663815" cy="4323091"/>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9" w:type="dxa"/>
      <w:tblInd w:w="137" w:type="dxa"/>
      <w:tblLook w:val="04A0" w:firstRow="1" w:lastRow="0" w:firstColumn="1" w:lastColumn="0" w:noHBand="0" w:noVBand="1"/>
    </w:tblPr>
    <w:tblGrid>
      <w:gridCol w:w="9219"/>
    </w:tblGrid>
    <w:tr w:rsidR="00DE78C9" w:rsidRPr="00DE78C9" w14:paraId="4FDD4AE2" w14:textId="77777777" w:rsidTr="00DE78C9">
      <w:tc>
        <w:tcPr>
          <w:tcW w:w="9219" w:type="dxa"/>
          <w:tcBorders>
            <w:top w:val="nil"/>
            <w:left w:val="nil"/>
            <w:bottom w:val="single" w:sz="4" w:space="0" w:color="auto"/>
            <w:right w:val="nil"/>
          </w:tcBorders>
          <w:vAlign w:val="bottom"/>
        </w:tcPr>
        <w:p w14:paraId="01F5DAF3" w14:textId="442FDD67" w:rsidR="00DE78C9" w:rsidRPr="00DE78C9" w:rsidRDefault="00DE78C9" w:rsidP="00D15E47">
          <w:pPr>
            <w:spacing w:after="120"/>
            <w:ind w:right="-108"/>
            <w:jc w:val="right"/>
            <w:rPr>
              <w:rFonts w:asciiTheme="minorHAnsi" w:hAnsiTheme="minorHAnsi" w:cstheme="minorHAnsi"/>
              <w:sz w:val="18"/>
              <w:szCs w:val="18"/>
            </w:rPr>
          </w:pPr>
          <w:r w:rsidRPr="00DE78C9">
            <w:rPr>
              <w:rFonts w:asciiTheme="minorHAnsi" w:hAnsiTheme="minorHAnsi" w:cstheme="minorHAnsi"/>
              <w:sz w:val="18"/>
              <w:szCs w:val="18"/>
            </w:rPr>
            <w:t>Therapeutic Goods Administration</w:t>
          </w:r>
        </w:p>
      </w:tc>
    </w:tr>
  </w:tbl>
  <w:p w14:paraId="32203310" w14:textId="7A0A9018" w:rsidR="00F02AEC" w:rsidRPr="00DE78C9" w:rsidRDefault="00F02AEC" w:rsidP="00DE78C9">
    <w:pPr>
      <w:jc w:val="right"/>
      <w:rPr>
        <w:rFonts w:cstheme="minorHAns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D080" w14:textId="77777777" w:rsidR="009F29CA" w:rsidRPr="00FE501F" w:rsidRDefault="009F29CA" w:rsidP="00967490">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578109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26A5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56667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AC0538"/>
    <w:multiLevelType w:val="hybridMultilevel"/>
    <w:tmpl w:val="BF4A1AA0"/>
    <w:lvl w:ilvl="0" w:tplc="D640D6A4">
      <w:start w:val="1"/>
      <w:numFmt w:val="bullet"/>
      <w:lvlText w:val=""/>
      <w:lvlJc w:val="left"/>
      <w:pPr>
        <w:ind w:left="720" w:hanging="360"/>
      </w:pPr>
      <w:rPr>
        <w:rFonts w:ascii="Symbol" w:hAnsi="Symbol"/>
      </w:rPr>
    </w:lvl>
    <w:lvl w:ilvl="1" w:tplc="D5A4A2F2">
      <w:start w:val="1"/>
      <w:numFmt w:val="bullet"/>
      <w:lvlText w:val=""/>
      <w:lvlJc w:val="left"/>
      <w:pPr>
        <w:ind w:left="720" w:hanging="360"/>
      </w:pPr>
      <w:rPr>
        <w:rFonts w:ascii="Symbol" w:hAnsi="Symbol"/>
      </w:rPr>
    </w:lvl>
    <w:lvl w:ilvl="2" w:tplc="B01A5D9C">
      <w:start w:val="1"/>
      <w:numFmt w:val="bullet"/>
      <w:lvlText w:val=""/>
      <w:lvlJc w:val="left"/>
      <w:pPr>
        <w:ind w:left="720" w:hanging="360"/>
      </w:pPr>
      <w:rPr>
        <w:rFonts w:ascii="Symbol" w:hAnsi="Symbol"/>
      </w:rPr>
    </w:lvl>
    <w:lvl w:ilvl="3" w:tplc="8310601C">
      <w:start w:val="1"/>
      <w:numFmt w:val="bullet"/>
      <w:lvlText w:val=""/>
      <w:lvlJc w:val="left"/>
      <w:pPr>
        <w:ind w:left="720" w:hanging="360"/>
      </w:pPr>
      <w:rPr>
        <w:rFonts w:ascii="Symbol" w:hAnsi="Symbol"/>
      </w:rPr>
    </w:lvl>
    <w:lvl w:ilvl="4" w:tplc="96EC784C">
      <w:start w:val="1"/>
      <w:numFmt w:val="bullet"/>
      <w:lvlText w:val=""/>
      <w:lvlJc w:val="left"/>
      <w:pPr>
        <w:ind w:left="720" w:hanging="360"/>
      </w:pPr>
      <w:rPr>
        <w:rFonts w:ascii="Symbol" w:hAnsi="Symbol"/>
      </w:rPr>
    </w:lvl>
    <w:lvl w:ilvl="5" w:tplc="8EC48894">
      <w:start w:val="1"/>
      <w:numFmt w:val="bullet"/>
      <w:lvlText w:val=""/>
      <w:lvlJc w:val="left"/>
      <w:pPr>
        <w:ind w:left="720" w:hanging="360"/>
      </w:pPr>
      <w:rPr>
        <w:rFonts w:ascii="Symbol" w:hAnsi="Symbol"/>
      </w:rPr>
    </w:lvl>
    <w:lvl w:ilvl="6" w:tplc="39E8CA90">
      <w:start w:val="1"/>
      <w:numFmt w:val="bullet"/>
      <w:lvlText w:val=""/>
      <w:lvlJc w:val="left"/>
      <w:pPr>
        <w:ind w:left="720" w:hanging="360"/>
      </w:pPr>
      <w:rPr>
        <w:rFonts w:ascii="Symbol" w:hAnsi="Symbol"/>
      </w:rPr>
    </w:lvl>
    <w:lvl w:ilvl="7" w:tplc="948A010E">
      <w:start w:val="1"/>
      <w:numFmt w:val="bullet"/>
      <w:lvlText w:val=""/>
      <w:lvlJc w:val="left"/>
      <w:pPr>
        <w:ind w:left="720" w:hanging="360"/>
      </w:pPr>
      <w:rPr>
        <w:rFonts w:ascii="Symbol" w:hAnsi="Symbol"/>
      </w:rPr>
    </w:lvl>
    <w:lvl w:ilvl="8" w:tplc="C322A290">
      <w:start w:val="1"/>
      <w:numFmt w:val="bullet"/>
      <w:lvlText w:val=""/>
      <w:lvlJc w:val="left"/>
      <w:pPr>
        <w:ind w:left="720" w:hanging="360"/>
      </w:pPr>
      <w:rPr>
        <w:rFonts w:ascii="Symbol" w:hAnsi="Symbol"/>
      </w:rPr>
    </w:lvl>
  </w:abstractNum>
  <w:abstractNum w:abstractNumId="5" w15:restartNumberingAfterBreak="0">
    <w:nsid w:val="0F061117"/>
    <w:multiLevelType w:val="hybridMultilevel"/>
    <w:tmpl w:val="C9E61282"/>
    <w:lvl w:ilvl="0" w:tplc="5E2674E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2F92C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4536070"/>
    <w:multiLevelType w:val="hybridMultilevel"/>
    <w:tmpl w:val="07B8A18C"/>
    <w:lvl w:ilvl="0" w:tplc="067E673A">
      <w:start w:val="1"/>
      <w:numFmt w:val="bullet"/>
      <w:lvlText w:val=""/>
      <w:lvlJc w:val="left"/>
      <w:pPr>
        <w:ind w:left="720" w:hanging="360"/>
      </w:pPr>
      <w:rPr>
        <w:rFonts w:ascii="Symbol" w:hAnsi="Symbol"/>
      </w:rPr>
    </w:lvl>
    <w:lvl w:ilvl="1" w:tplc="A92213EE">
      <w:start w:val="1"/>
      <w:numFmt w:val="bullet"/>
      <w:lvlText w:val=""/>
      <w:lvlJc w:val="left"/>
      <w:pPr>
        <w:ind w:left="720" w:hanging="360"/>
      </w:pPr>
      <w:rPr>
        <w:rFonts w:ascii="Symbol" w:hAnsi="Symbol"/>
      </w:rPr>
    </w:lvl>
    <w:lvl w:ilvl="2" w:tplc="EC44A6D4">
      <w:start w:val="1"/>
      <w:numFmt w:val="bullet"/>
      <w:lvlText w:val=""/>
      <w:lvlJc w:val="left"/>
      <w:pPr>
        <w:ind w:left="720" w:hanging="360"/>
      </w:pPr>
      <w:rPr>
        <w:rFonts w:ascii="Symbol" w:hAnsi="Symbol"/>
      </w:rPr>
    </w:lvl>
    <w:lvl w:ilvl="3" w:tplc="85DEFDBC">
      <w:start w:val="1"/>
      <w:numFmt w:val="bullet"/>
      <w:lvlText w:val=""/>
      <w:lvlJc w:val="left"/>
      <w:pPr>
        <w:ind w:left="720" w:hanging="360"/>
      </w:pPr>
      <w:rPr>
        <w:rFonts w:ascii="Symbol" w:hAnsi="Symbol"/>
      </w:rPr>
    </w:lvl>
    <w:lvl w:ilvl="4" w:tplc="C9E263F4">
      <w:start w:val="1"/>
      <w:numFmt w:val="bullet"/>
      <w:lvlText w:val=""/>
      <w:lvlJc w:val="left"/>
      <w:pPr>
        <w:ind w:left="720" w:hanging="360"/>
      </w:pPr>
      <w:rPr>
        <w:rFonts w:ascii="Symbol" w:hAnsi="Symbol"/>
      </w:rPr>
    </w:lvl>
    <w:lvl w:ilvl="5" w:tplc="22CEA9B6">
      <w:start w:val="1"/>
      <w:numFmt w:val="bullet"/>
      <w:lvlText w:val=""/>
      <w:lvlJc w:val="left"/>
      <w:pPr>
        <w:ind w:left="720" w:hanging="360"/>
      </w:pPr>
      <w:rPr>
        <w:rFonts w:ascii="Symbol" w:hAnsi="Symbol"/>
      </w:rPr>
    </w:lvl>
    <w:lvl w:ilvl="6" w:tplc="3C8881E2">
      <w:start w:val="1"/>
      <w:numFmt w:val="bullet"/>
      <w:lvlText w:val=""/>
      <w:lvlJc w:val="left"/>
      <w:pPr>
        <w:ind w:left="720" w:hanging="360"/>
      </w:pPr>
      <w:rPr>
        <w:rFonts w:ascii="Symbol" w:hAnsi="Symbol"/>
      </w:rPr>
    </w:lvl>
    <w:lvl w:ilvl="7" w:tplc="20DC2404">
      <w:start w:val="1"/>
      <w:numFmt w:val="bullet"/>
      <w:lvlText w:val=""/>
      <w:lvlJc w:val="left"/>
      <w:pPr>
        <w:ind w:left="720" w:hanging="360"/>
      </w:pPr>
      <w:rPr>
        <w:rFonts w:ascii="Symbol" w:hAnsi="Symbol"/>
      </w:rPr>
    </w:lvl>
    <w:lvl w:ilvl="8" w:tplc="2EE20E50">
      <w:start w:val="1"/>
      <w:numFmt w:val="bullet"/>
      <w:lvlText w:val=""/>
      <w:lvlJc w:val="left"/>
      <w:pPr>
        <w:ind w:left="720" w:hanging="360"/>
      </w:pPr>
      <w:rPr>
        <w:rFonts w:ascii="Symbol" w:hAnsi="Symbol"/>
      </w:rPr>
    </w:lvl>
  </w:abstractNum>
  <w:abstractNum w:abstractNumId="9"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CEF3ACD"/>
    <w:multiLevelType w:val="multilevel"/>
    <w:tmpl w:val="0748BD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3FB1C56"/>
    <w:multiLevelType w:val="multilevel"/>
    <w:tmpl w:val="339EBC96"/>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3" w15:restartNumberingAfterBreak="0">
    <w:nsid w:val="29B83712"/>
    <w:multiLevelType w:val="hybridMultilevel"/>
    <w:tmpl w:val="E47CE5D0"/>
    <w:lvl w:ilvl="0" w:tplc="0498AE7A">
      <w:start w:val="1"/>
      <w:numFmt w:val="decimal"/>
      <w:lvlText w:val="%1."/>
      <w:lvlJc w:val="left"/>
      <w:pPr>
        <w:ind w:left="1020" w:hanging="360"/>
      </w:pPr>
    </w:lvl>
    <w:lvl w:ilvl="1" w:tplc="2B26C82A">
      <w:start w:val="1"/>
      <w:numFmt w:val="decimal"/>
      <w:lvlText w:val="%2."/>
      <w:lvlJc w:val="left"/>
      <w:pPr>
        <w:ind w:left="1020" w:hanging="360"/>
      </w:pPr>
    </w:lvl>
    <w:lvl w:ilvl="2" w:tplc="6F14E2EE">
      <w:start w:val="1"/>
      <w:numFmt w:val="decimal"/>
      <w:lvlText w:val="%3."/>
      <w:lvlJc w:val="left"/>
      <w:pPr>
        <w:ind w:left="1020" w:hanging="360"/>
      </w:pPr>
    </w:lvl>
    <w:lvl w:ilvl="3" w:tplc="5DC832B0">
      <w:start w:val="1"/>
      <w:numFmt w:val="decimal"/>
      <w:lvlText w:val="%4."/>
      <w:lvlJc w:val="left"/>
      <w:pPr>
        <w:ind w:left="1020" w:hanging="360"/>
      </w:pPr>
    </w:lvl>
    <w:lvl w:ilvl="4" w:tplc="DE7CE3DA">
      <w:start w:val="1"/>
      <w:numFmt w:val="decimal"/>
      <w:lvlText w:val="%5."/>
      <w:lvlJc w:val="left"/>
      <w:pPr>
        <w:ind w:left="1020" w:hanging="360"/>
      </w:pPr>
    </w:lvl>
    <w:lvl w:ilvl="5" w:tplc="B4A4784A">
      <w:start w:val="1"/>
      <w:numFmt w:val="decimal"/>
      <w:lvlText w:val="%6."/>
      <w:lvlJc w:val="left"/>
      <w:pPr>
        <w:ind w:left="1020" w:hanging="360"/>
      </w:pPr>
    </w:lvl>
    <w:lvl w:ilvl="6" w:tplc="18642038">
      <w:start w:val="1"/>
      <w:numFmt w:val="decimal"/>
      <w:lvlText w:val="%7."/>
      <w:lvlJc w:val="left"/>
      <w:pPr>
        <w:ind w:left="1020" w:hanging="360"/>
      </w:pPr>
    </w:lvl>
    <w:lvl w:ilvl="7" w:tplc="5F2A2F40">
      <w:start w:val="1"/>
      <w:numFmt w:val="decimal"/>
      <w:lvlText w:val="%8."/>
      <w:lvlJc w:val="left"/>
      <w:pPr>
        <w:ind w:left="1020" w:hanging="360"/>
      </w:pPr>
    </w:lvl>
    <w:lvl w:ilvl="8" w:tplc="FAD097A4">
      <w:start w:val="1"/>
      <w:numFmt w:val="decimal"/>
      <w:lvlText w:val="%9."/>
      <w:lvlJc w:val="left"/>
      <w:pPr>
        <w:ind w:left="1020" w:hanging="360"/>
      </w:pPr>
    </w:lvl>
  </w:abstractNum>
  <w:abstractNum w:abstractNumId="14" w15:restartNumberingAfterBreak="0">
    <w:nsid w:val="3112321A"/>
    <w:multiLevelType w:val="hybridMultilevel"/>
    <w:tmpl w:val="7EC25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B246CF"/>
    <w:multiLevelType w:val="hybridMultilevel"/>
    <w:tmpl w:val="29C822EE"/>
    <w:lvl w:ilvl="0" w:tplc="5B9CD4A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66C5738"/>
    <w:multiLevelType w:val="hybridMultilevel"/>
    <w:tmpl w:val="5D8E9460"/>
    <w:lvl w:ilvl="0" w:tplc="D166EE4A">
      <w:start w:val="1"/>
      <w:numFmt w:val="lowerLetter"/>
      <w:pStyle w:val="Additionallistbullet"/>
      <w:lvlText w:val="(%1)"/>
      <w:lvlJc w:val="left"/>
      <w:pPr>
        <w:ind w:left="1353"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4AC81915"/>
    <w:multiLevelType w:val="hybridMultilevel"/>
    <w:tmpl w:val="DA6ACC4E"/>
    <w:lvl w:ilvl="0" w:tplc="6DE082D8">
      <w:start w:val="1"/>
      <w:numFmt w:val="decimal"/>
      <w:lvlText w:val="%1."/>
      <w:lvlJc w:val="left"/>
      <w:pPr>
        <w:ind w:left="1020" w:hanging="360"/>
      </w:pPr>
    </w:lvl>
    <w:lvl w:ilvl="1" w:tplc="179C39FE">
      <w:start w:val="1"/>
      <w:numFmt w:val="decimal"/>
      <w:lvlText w:val="%2."/>
      <w:lvlJc w:val="left"/>
      <w:pPr>
        <w:ind w:left="1020" w:hanging="360"/>
      </w:pPr>
    </w:lvl>
    <w:lvl w:ilvl="2" w:tplc="1AAEC956">
      <w:start w:val="1"/>
      <w:numFmt w:val="decimal"/>
      <w:lvlText w:val="%3."/>
      <w:lvlJc w:val="left"/>
      <w:pPr>
        <w:ind w:left="1020" w:hanging="360"/>
      </w:pPr>
    </w:lvl>
    <w:lvl w:ilvl="3" w:tplc="A35EFCBE">
      <w:start w:val="1"/>
      <w:numFmt w:val="decimal"/>
      <w:lvlText w:val="%4."/>
      <w:lvlJc w:val="left"/>
      <w:pPr>
        <w:ind w:left="1020" w:hanging="360"/>
      </w:pPr>
    </w:lvl>
    <w:lvl w:ilvl="4" w:tplc="B672A3DA">
      <w:start w:val="1"/>
      <w:numFmt w:val="decimal"/>
      <w:lvlText w:val="%5."/>
      <w:lvlJc w:val="left"/>
      <w:pPr>
        <w:ind w:left="1020" w:hanging="360"/>
      </w:pPr>
    </w:lvl>
    <w:lvl w:ilvl="5" w:tplc="88AA4434">
      <w:start w:val="1"/>
      <w:numFmt w:val="decimal"/>
      <w:lvlText w:val="%6."/>
      <w:lvlJc w:val="left"/>
      <w:pPr>
        <w:ind w:left="1020" w:hanging="360"/>
      </w:pPr>
    </w:lvl>
    <w:lvl w:ilvl="6" w:tplc="EE7E197C">
      <w:start w:val="1"/>
      <w:numFmt w:val="decimal"/>
      <w:lvlText w:val="%7."/>
      <w:lvlJc w:val="left"/>
      <w:pPr>
        <w:ind w:left="1020" w:hanging="360"/>
      </w:pPr>
    </w:lvl>
    <w:lvl w:ilvl="7" w:tplc="2E886590">
      <w:start w:val="1"/>
      <w:numFmt w:val="decimal"/>
      <w:lvlText w:val="%8."/>
      <w:lvlJc w:val="left"/>
      <w:pPr>
        <w:ind w:left="1020" w:hanging="360"/>
      </w:pPr>
    </w:lvl>
    <w:lvl w:ilvl="8" w:tplc="AE186556">
      <w:start w:val="1"/>
      <w:numFmt w:val="decimal"/>
      <w:lvlText w:val="%9."/>
      <w:lvlJc w:val="left"/>
      <w:pPr>
        <w:ind w:left="1020" w:hanging="360"/>
      </w:pPr>
    </w:lvl>
  </w:abstractNum>
  <w:abstractNum w:abstractNumId="18" w15:restartNumberingAfterBreak="0">
    <w:nsid w:val="4F7912C9"/>
    <w:multiLevelType w:val="multilevel"/>
    <w:tmpl w:val="D6F4F1DE"/>
    <w:lvl w:ilvl="0">
      <w:start w:val="1"/>
      <w:numFmt w:val="bullet"/>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DA9739E"/>
    <w:multiLevelType w:val="hybridMultilevel"/>
    <w:tmpl w:val="96CA2DF4"/>
    <w:lvl w:ilvl="0" w:tplc="6764D464">
      <w:start w:val="1"/>
      <w:numFmt w:val="decimal"/>
      <w:lvlText w:val="%1."/>
      <w:lvlJc w:val="left"/>
      <w:pPr>
        <w:ind w:left="1020" w:hanging="360"/>
      </w:pPr>
    </w:lvl>
    <w:lvl w:ilvl="1" w:tplc="A1B4FEC4">
      <w:start w:val="1"/>
      <w:numFmt w:val="decimal"/>
      <w:lvlText w:val="%2."/>
      <w:lvlJc w:val="left"/>
      <w:pPr>
        <w:ind w:left="1020" w:hanging="360"/>
      </w:pPr>
    </w:lvl>
    <w:lvl w:ilvl="2" w:tplc="7460F3A6">
      <w:start w:val="1"/>
      <w:numFmt w:val="decimal"/>
      <w:lvlText w:val="%3."/>
      <w:lvlJc w:val="left"/>
      <w:pPr>
        <w:ind w:left="1020" w:hanging="360"/>
      </w:pPr>
    </w:lvl>
    <w:lvl w:ilvl="3" w:tplc="D6CA7BFE">
      <w:start w:val="1"/>
      <w:numFmt w:val="decimal"/>
      <w:lvlText w:val="%4."/>
      <w:lvlJc w:val="left"/>
      <w:pPr>
        <w:ind w:left="1020" w:hanging="360"/>
      </w:pPr>
    </w:lvl>
    <w:lvl w:ilvl="4" w:tplc="64D81ED8">
      <w:start w:val="1"/>
      <w:numFmt w:val="decimal"/>
      <w:lvlText w:val="%5."/>
      <w:lvlJc w:val="left"/>
      <w:pPr>
        <w:ind w:left="1020" w:hanging="360"/>
      </w:pPr>
    </w:lvl>
    <w:lvl w:ilvl="5" w:tplc="988A94FE">
      <w:start w:val="1"/>
      <w:numFmt w:val="decimal"/>
      <w:lvlText w:val="%6."/>
      <w:lvlJc w:val="left"/>
      <w:pPr>
        <w:ind w:left="1020" w:hanging="360"/>
      </w:pPr>
    </w:lvl>
    <w:lvl w:ilvl="6" w:tplc="689A4490">
      <w:start w:val="1"/>
      <w:numFmt w:val="decimal"/>
      <w:lvlText w:val="%7."/>
      <w:lvlJc w:val="left"/>
      <w:pPr>
        <w:ind w:left="1020" w:hanging="360"/>
      </w:pPr>
    </w:lvl>
    <w:lvl w:ilvl="7" w:tplc="DE10CC08">
      <w:start w:val="1"/>
      <w:numFmt w:val="decimal"/>
      <w:lvlText w:val="%8."/>
      <w:lvlJc w:val="left"/>
      <w:pPr>
        <w:ind w:left="1020" w:hanging="360"/>
      </w:pPr>
    </w:lvl>
    <w:lvl w:ilvl="8" w:tplc="C9AC7A2E">
      <w:start w:val="1"/>
      <w:numFmt w:val="decimal"/>
      <w:lvlText w:val="%9."/>
      <w:lvlJc w:val="left"/>
      <w:pPr>
        <w:ind w:left="1020" w:hanging="360"/>
      </w:pPr>
    </w:lvl>
  </w:abstractNum>
  <w:abstractNum w:abstractNumId="21" w15:restartNumberingAfterBreak="0">
    <w:nsid w:val="751D33C6"/>
    <w:multiLevelType w:val="hybridMultilevel"/>
    <w:tmpl w:val="EAA68CD0"/>
    <w:lvl w:ilvl="0" w:tplc="9F0AD624">
      <w:start w:val="1"/>
      <w:numFmt w:val="decimal"/>
      <w:lvlText w:val="%1."/>
      <w:lvlJc w:val="left"/>
      <w:pPr>
        <w:ind w:left="1020" w:hanging="360"/>
      </w:pPr>
    </w:lvl>
    <w:lvl w:ilvl="1" w:tplc="DC0C51B8">
      <w:start w:val="1"/>
      <w:numFmt w:val="decimal"/>
      <w:lvlText w:val="%2."/>
      <w:lvlJc w:val="left"/>
      <w:pPr>
        <w:ind w:left="1020" w:hanging="360"/>
      </w:pPr>
    </w:lvl>
    <w:lvl w:ilvl="2" w:tplc="815414C6">
      <w:start w:val="1"/>
      <w:numFmt w:val="decimal"/>
      <w:lvlText w:val="%3."/>
      <w:lvlJc w:val="left"/>
      <w:pPr>
        <w:ind w:left="1020" w:hanging="360"/>
      </w:pPr>
    </w:lvl>
    <w:lvl w:ilvl="3" w:tplc="6534F082">
      <w:start w:val="1"/>
      <w:numFmt w:val="decimal"/>
      <w:lvlText w:val="%4."/>
      <w:lvlJc w:val="left"/>
      <w:pPr>
        <w:ind w:left="1020" w:hanging="360"/>
      </w:pPr>
    </w:lvl>
    <w:lvl w:ilvl="4" w:tplc="45B24580">
      <w:start w:val="1"/>
      <w:numFmt w:val="decimal"/>
      <w:lvlText w:val="%5."/>
      <w:lvlJc w:val="left"/>
      <w:pPr>
        <w:ind w:left="1020" w:hanging="360"/>
      </w:pPr>
    </w:lvl>
    <w:lvl w:ilvl="5" w:tplc="CECA9DB2">
      <w:start w:val="1"/>
      <w:numFmt w:val="decimal"/>
      <w:lvlText w:val="%6."/>
      <w:lvlJc w:val="left"/>
      <w:pPr>
        <w:ind w:left="1020" w:hanging="360"/>
      </w:pPr>
    </w:lvl>
    <w:lvl w:ilvl="6" w:tplc="50541768">
      <w:start w:val="1"/>
      <w:numFmt w:val="decimal"/>
      <w:lvlText w:val="%7."/>
      <w:lvlJc w:val="left"/>
      <w:pPr>
        <w:ind w:left="1020" w:hanging="360"/>
      </w:pPr>
    </w:lvl>
    <w:lvl w:ilvl="7" w:tplc="45D8F63C">
      <w:start w:val="1"/>
      <w:numFmt w:val="decimal"/>
      <w:lvlText w:val="%8."/>
      <w:lvlJc w:val="left"/>
      <w:pPr>
        <w:ind w:left="1020" w:hanging="360"/>
      </w:pPr>
    </w:lvl>
    <w:lvl w:ilvl="8" w:tplc="091862D2">
      <w:start w:val="1"/>
      <w:numFmt w:val="decimal"/>
      <w:lvlText w:val="%9."/>
      <w:lvlJc w:val="left"/>
      <w:pPr>
        <w:ind w:left="1020" w:hanging="360"/>
      </w:pPr>
    </w:lvl>
  </w:abstractNum>
  <w:abstractNum w:abstractNumId="22" w15:restartNumberingAfterBreak="0">
    <w:nsid w:val="77E56D30"/>
    <w:multiLevelType w:val="hybridMultilevel"/>
    <w:tmpl w:val="AD0AF8E8"/>
    <w:lvl w:ilvl="0" w:tplc="AC326CF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15:restartNumberingAfterBreak="0">
    <w:nsid w:val="79C12510"/>
    <w:multiLevelType w:val="hybridMultilevel"/>
    <w:tmpl w:val="B64AC26E"/>
    <w:lvl w:ilvl="0" w:tplc="6730F6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1575018">
    <w:abstractNumId w:val="10"/>
    <w:lvlOverride w:ilvl="0">
      <w:lvl w:ilvl="0">
        <w:start w:val="4"/>
        <w:numFmt w:val="bullet"/>
        <w:pStyle w:val="ListBullet"/>
        <w:lvlText w:val="•"/>
        <w:lvlJc w:val="left"/>
        <w:pPr>
          <w:ind w:left="360" w:hanging="360"/>
        </w:pPr>
        <w:rPr>
          <w:rFonts w:ascii="Cambria" w:eastAsia="Cambria" w:hAnsi="Cambria" w:hint="default"/>
        </w:rPr>
      </w:lvl>
    </w:lvlOverride>
  </w:num>
  <w:num w:numId="2" w16cid:durableId="1035231497">
    <w:abstractNumId w:val="6"/>
  </w:num>
  <w:num w:numId="3" w16cid:durableId="1248614696">
    <w:abstractNumId w:val="9"/>
  </w:num>
  <w:num w:numId="4" w16cid:durableId="297951965">
    <w:abstractNumId w:val="19"/>
  </w:num>
  <w:num w:numId="5" w16cid:durableId="1535191726">
    <w:abstractNumId w:val="12"/>
  </w:num>
  <w:num w:numId="6" w16cid:durableId="224069918">
    <w:abstractNumId w:val="18"/>
  </w:num>
  <w:num w:numId="7" w16cid:durableId="1150249122">
    <w:abstractNumId w:val="11"/>
  </w:num>
  <w:num w:numId="8" w16cid:durableId="233053789">
    <w:abstractNumId w:val="2"/>
  </w:num>
  <w:num w:numId="9" w16cid:durableId="1393187700">
    <w:abstractNumId w:val="1"/>
  </w:num>
  <w:num w:numId="10" w16cid:durableId="91820601">
    <w:abstractNumId w:val="10"/>
  </w:num>
  <w:num w:numId="11" w16cid:durableId="1223715709">
    <w:abstractNumId w:val="23"/>
  </w:num>
  <w:num w:numId="12" w16cid:durableId="2036955452">
    <w:abstractNumId w:val="3"/>
  </w:num>
  <w:num w:numId="13" w16cid:durableId="903221944">
    <w:abstractNumId w:val="0"/>
  </w:num>
  <w:num w:numId="14" w16cid:durableId="356081965">
    <w:abstractNumId w:val="3"/>
  </w:num>
  <w:num w:numId="15" w16cid:durableId="554661670">
    <w:abstractNumId w:val="15"/>
  </w:num>
  <w:num w:numId="16" w16cid:durableId="1860771432">
    <w:abstractNumId w:val="14"/>
  </w:num>
  <w:num w:numId="17" w16cid:durableId="296451295">
    <w:abstractNumId w:val="17"/>
  </w:num>
  <w:num w:numId="18" w16cid:durableId="1316375970">
    <w:abstractNumId w:val="20"/>
  </w:num>
  <w:num w:numId="19" w16cid:durableId="2052411482">
    <w:abstractNumId w:val="13"/>
  </w:num>
  <w:num w:numId="20" w16cid:durableId="99685872">
    <w:abstractNumId w:val="16"/>
  </w:num>
  <w:num w:numId="21" w16cid:durableId="518668512">
    <w:abstractNumId w:val="5"/>
  </w:num>
  <w:num w:numId="22" w16cid:durableId="1037702542">
    <w:abstractNumId w:val="8"/>
  </w:num>
  <w:num w:numId="23" w16cid:durableId="2054965828">
    <w:abstractNumId w:val="4"/>
  </w:num>
  <w:num w:numId="24" w16cid:durableId="1651640075">
    <w:abstractNumId w:val="7"/>
  </w:num>
  <w:num w:numId="25" w16cid:durableId="1219052739">
    <w:abstractNumId w:val="21"/>
  </w:num>
  <w:num w:numId="26" w16cid:durableId="2099209438">
    <w:abstractNumId w:val="22"/>
  </w:num>
  <w:num w:numId="27" w16cid:durableId="1761639088">
    <w:abstractNumId w:val="16"/>
  </w:num>
  <w:num w:numId="28" w16cid:durableId="63646681">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50"/>
    <w:rsid w:val="00001F49"/>
    <w:rsid w:val="00002DF5"/>
    <w:rsid w:val="00003482"/>
    <w:rsid w:val="0000585F"/>
    <w:rsid w:val="00007A50"/>
    <w:rsid w:val="000210E0"/>
    <w:rsid w:val="00022153"/>
    <w:rsid w:val="000236E8"/>
    <w:rsid w:val="000251DF"/>
    <w:rsid w:val="00026326"/>
    <w:rsid w:val="00026DC2"/>
    <w:rsid w:val="00026F54"/>
    <w:rsid w:val="00030D25"/>
    <w:rsid w:val="000311BC"/>
    <w:rsid w:val="00036027"/>
    <w:rsid w:val="0004645C"/>
    <w:rsid w:val="00046F13"/>
    <w:rsid w:val="00053542"/>
    <w:rsid w:val="00060595"/>
    <w:rsid w:val="0006415A"/>
    <w:rsid w:val="00064DF8"/>
    <w:rsid w:val="000737AA"/>
    <w:rsid w:val="00074B61"/>
    <w:rsid w:val="000821FA"/>
    <w:rsid w:val="00083B94"/>
    <w:rsid w:val="00086A09"/>
    <w:rsid w:val="00090036"/>
    <w:rsid w:val="000931F4"/>
    <w:rsid w:val="00094A0E"/>
    <w:rsid w:val="00094B81"/>
    <w:rsid w:val="0009682A"/>
    <w:rsid w:val="000A34C7"/>
    <w:rsid w:val="000A461C"/>
    <w:rsid w:val="000A4BFB"/>
    <w:rsid w:val="000B217C"/>
    <w:rsid w:val="000B59FC"/>
    <w:rsid w:val="000C45BF"/>
    <w:rsid w:val="000D7942"/>
    <w:rsid w:val="000E65FC"/>
    <w:rsid w:val="000E70D0"/>
    <w:rsid w:val="000F4593"/>
    <w:rsid w:val="000F463A"/>
    <w:rsid w:val="000F7A1C"/>
    <w:rsid w:val="001009F9"/>
    <w:rsid w:val="0010469D"/>
    <w:rsid w:val="0010558A"/>
    <w:rsid w:val="00107E83"/>
    <w:rsid w:val="001163CB"/>
    <w:rsid w:val="001172A2"/>
    <w:rsid w:val="0012473C"/>
    <w:rsid w:val="001267D0"/>
    <w:rsid w:val="001267D2"/>
    <w:rsid w:val="00130579"/>
    <w:rsid w:val="00130DB2"/>
    <w:rsid w:val="00133B0C"/>
    <w:rsid w:val="00136066"/>
    <w:rsid w:val="0014024B"/>
    <w:rsid w:val="00142BF7"/>
    <w:rsid w:val="00143424"/>
    <w:rsid w:val="00143BA1"/>
    <w:rsid w:val="00145BB2"/>
    <w:rsid w:val="001475C4"/>
    <w:rsid w:val="00152002"/>
    <w:rsid w:val="0015241B"/>
    <w:rsid w:val="001561CE"/>
    <w:rsid w:val="00165329"/>
    <w:rsid w:val="00165CF7"/>
    <w:rsid w:val="00172E5A"/>
    <w:rsid w:val="001745BD"/>
    <w:rsid w:val="00175CD8"/>
    <w:rsid w:val="00184BC2"/>
    <w:rsid w:val="00184BDD"/>
    <w:rsid w:val="001858B2"/>
    <w:rsid w:val="00197715"/>
    <w:rsid w:val="001A53E4"/>
    <w:rsid w:val="001B0468"/>
    <w:rsid w:val="001B32DB"/>
    <w:rsid w:val="001C5AC7"/>
    <w:rsid w:val="001D0C58"/>
    <w:rsid w:val="001D4248"/>
    <w:rsid w:val="001D4FBF"/>
    <w:rsid w:val="001D565C"/>
    <w:rsid w:val="001E11D3"/>
    <w:rsid w:val="001E79CA"/>
    <w:rsid w:val="001F314E"/>
    <w:rsid w:val="001F3B69"/>
    <w:rsid w:val="001F6D8A"/>
    <w:rsid w:val="001F6DBF"/>
    <w:rsid w:val="001F6EDF"/>
    <w:rsid w:val="001F7EBA"/>
    <w:rsid w:val="00206A6E"/>
    <w:rsid w:val="00207165"/>
    <w:rsid w:val="0021013A"/>
    <w:rsid w:val="00213187"/>
    <w:rsid w:val="00214040"/>
    <w:rsid w:val="00217512"/>
    <w:rsid w:val="00220D40"/>
    <w:rsid w:val="002236AC"/>
    <w:rsid w:val="00231FFE"/>
    <w:rsid w:val="002325BF"/>
    <w:rsid w:val="00234A81"/>
    <w:rsid w:val="00240153"/>
    <w:rsid w:val="00242969"/>
    <w:rsid w:val="00242C96"/>
    <w:rsid w:val="00246EEC"/>
    <w:rsid w:val="00250EAC"/>
    <w:rsid w:val="00254189"/>
    <w:rsid w:val="002542D7"/>
    <w:rsid w:val="00270FA1"/>
    <w:rsid w:val="0029356F"/>
    <w:rsid w:val="00293BCD"/>
    <w:rsid w:val="002A03A5"/>
    <w:rsid w:val="002B2975"/>
    <w:rsid w:val="002B4B43"/>
    <w:rsid w:val="002B6BCF"/>
    <w:rsid w:val="002C2AFA"/>
    <w:rsid w:val="002C3EBB"/>
    <w:rsid w:val="002C3F2D"/>
    <w:rsid w:val="002C7E1E"/>
    <w:rsid w:val="002D119B"/>
    <w:rsid w:val="002D3BA5"/>
    <w:rsid w:val="002D500E"/>
    <w:rsid w:val="002D6CBE"/>
    <w:rsid w:val="002E7CDB"/>
    <w:rsid w:val="002F1894"/>
    <w:rsid w:val="00300123"/>
    <w:rsid w:val="003008D8"/>
    <w:rsid w:val="00300CBB"/>
    <w:rsid w:val="00301B99"/>
    <w:rsid w:val="003037C8"/>
    <w:rsid w:val="00304F0C"/>
    <w:rsid w:val="00310F77"/>
    <w:rsid w:val="003112D7"/>
    <w:rsid w:val="0031440A"/>
    <w:rsid w:val="00317806"/>
    <w:rsid w:val="00321B93"/>
    <w:rsid w:val="00323E9E"/>
    <w:rsid w:val="00325994"/>
    <w:rsid w:val="00334D14"/>
    <w:rsid w:val="00336CAC"/>
    <w:rsid w:val="00346E6F"/>
    <w:rsid w:val="00352F48"/>
    <w:rsid w:val="003535A6"/>
    <w:rsid w:val="0035444D"/>
    <w:rsid w:val="00360592"/>
    <w:rsid w:val="0036308C"/>
    <w:rsid w:val="003634ED"/>
    <w:rsid w:val="00365A26"/>
    <w:rsid w:val="00366B97"/>
    <w:rsid w:val="00366BB9"/>
    <w:rsid w:val="003732F7"/>
    <w:rsid w:val="0037500B"/>
    <w:rsid w:val="00377767"/>
    <w:rsid w:val="00383D98"/>
    <w:rsid w:val="0038528F"/>
    <w:rsid w:val="0038558F"/>
    <w:rsid w:val="00385D34"/>
    <w:rsid w:val="003862BC"/>
    <w:rsid w:val="00391FC3"/>
    <w:rsid w:val="0039214B"/>
    <w:rsid w:val="00393F58"/>
    <w:rsid w:val="00394D02"/>
    <w:rsid w:val="00396938"/>
    <w:rsid w:val="00396DBF"/>
    <w:rsid w:val="003A230B"/>
    <w:rsid w:val="003A44DB"/>
    <w:rsid w:val="003B46D9"/>
    <w:rsid w:val="003B474E"/>
    <w:rsid w:val="003B4AA0"/>
    <w:rsid w:val="003B60DF"/>
    <w:rsid w:val="003C10E0"/>
    <w:rsid w:val="003D542C"/>
    <w:rsid w:val="003D6597"/>
    <w:rsid w:val="003D68A7"/>
    <w:rsid w:val="003D7C8A"/>
    <w:rsid w:val="003D7FB4"/>
    <w:rsid w:val="003E31E5"/>
    <w:rsid w:val="003E7CCA"/>
    <w:rsid w:val="003F328E"/>
    <w:rsid w:val="003F3A3A"/>
    <w:rsid w:val="003F5E43"/>
    <w:rsid w:val="003F6648"/>
    <w:rsid w:val="00405033"/>
    <w:rsid w:val="00407EC4"/>
    <w:rsid w:val="0041283C"/>
    <w:rsid w:val="0041506F"/>
    <w:rsid w:val="00417E35"/>
    <w:rsid w:val="004246B8"/>
    <w:rsid w:val="00426E71"/>
    <w:rsid w:val="00427854"/>
    <w:rsid w:val="00433C3B"/>
    <w:rsid w:val="004354AC"/>
    <w:rsid w:val="00436E14"/>
    <w:rsid w:val="00437B35"/>
    <w:rsid w:val="00442D96"/>
    <w:rsid w:val="00450E24"/>
    <w:rsid w:val="00451541"/>
    <w:rsid w:val="004536C0"/>
    <w:rsid w:val="00456ED4"/>
    <w:rsid w:val="00457050"/>
    <w:rsid w:val="0045764E"/>
    <w:rsid w:val="004607E5"/>
    <w:rsid w:val="00465B0C"/>
    <w:rsid w:val="0047010C"/>
    <w:rsid w:val="0047669A"/>
    <w:rsid w:val="00482D72"/>
    <w:rsid w:val="004859A4"/>
    <w:rsid w:val="00492558"/>
    <w:rsid w:val="004941C7"/>
    <w:rsid w:val="004A335C"/>
    <w:rsid w:val="004B153A"/>
    <w:rsid w:val="004B1F29"/>
    <w:rsid w:val="004B439E"/>
    <w:rsid w:val="004B55ED"/>
    <w:rsid w:val="004B5FF4"/>
    <w:rsid w:val="004B6C75"/>
    <w:rsid w:val="004C1FF9"/>
    <w:rsid w:val="004C2542"/>
    <w:rsid w:val="004C290C"/>
    <w:rsid w:val="004C3E19"/>
    <w:rsid w:val="004C7F44"/>
    <w:rsid w:val="004D06D7"/>
    <w:rsid w:val="004D120B"/>
    <w:rsid w:val="004D2799"/>
    <w:rsid w:val="004D337A"/>
    <w:rsid w:val="004D3B94"/>
    <w:rsid w:val="004D764C"/>
    <w:rsid w:val="004E5AAC"/>
    <w:rsid w:val="0050097B"/>
    <w:rsid w:val="00503D20"/>
    <w:rsid w:val="0050478C"/>
    <w:rsid w:val="00504DE7"/>
    <w:rsid w:val="005119E7"/>
    <w:rsid w:val="00512830"/>
    <w:rsid w:val="005133D9"/>
    <w:rsid w:val="00520BE5"/>
    <w:rsid w:val="0052136E"/>
    <w:rsid w:val="0052374B"/>
    <w:rsid w:val="00527FF7"/>
    <w:rsid w:val="00536413"/>
    <w:rsid w:val="0054004E"/>
    <w:rsid w:val="005421DD"/>
    <w:rsid w:val="00543C0E"/>
    <w:rsid w:val="005469D3"/>
    <w:rsid w:val="005545AB"/>
    <w:rsid w:val="005546E3"/>
    <w:rsid w:val="00555706"/>
    <w:rsid w:val="0055580F"/>
    <w:rsid w:val="00560409"/>
    <w:rsid w:val="00564CD8"/>
    <w:rsid w:val="00570013"/>
    <w:rsid w:val="00573A7C"/>
    <w:rsid w:val="00575DBB"/>
    <w:rsid w:val="00576BC4"/>
    <w:rsid w:val="00577ACD"/>
    <w:rsid w:val="00580005"/>
    <w:rsid w:val="005801AD"/>
    <w:rsid w:val="0058058D"/>
    <w:rsid w:val="00584510"/>
    <w:rsid w:val="0058575E"/>
    <w:rsid w:val="00585BFB"/>
    <w:rsid w:val="00597B88"/>
    <w:rsid w:val="005A012D"/>
    <w:rsid w:val="005A1C1E"/>
    <w:rsid w:val="005A2DDA"/>
    <w:rsid w:val="005A344E"/>
    <w:rsid w:val="005A6E73"/>
    <w:rsid w:val="005A7580"/>
    <w:rsid w:val="005B5424"/>
    <w:rsid w:val="005C33E3"/>
    <w:rsid w:val="005C61D3"/>
    <w:rsid w:val="005C65E7"/>
    <w:rsid w:val="005D2C44"/>
    <w:rsid w:val="005E1E08"/>
    <w:rsid w:val="005E3E9A"/>
    <w:rsid w:val="005E68CC"/>
    <w:rsid w:val="005E7AF4"/>
    <w:rsid w:val="00602914"/>
    <w:rsid w:val="006037DC"/>
    <w:rsid w:val="0060617A"/>
    <w:rsid w:val="006074EE"/>
    <w:rsid w:val="006119D9"/>
    <w:rsid w:val="00611D53"/>
    <w:rsid w:val="00614C59"/>
    <w:rsid w:val="00615943"/>
    <w:rsid w:val="00617841"/>
    <w:rsid w:val="00620C4B"/>
    <w:rsid w:val="00620E9D"/>
    <w:rsid w:val="00624AA3"/>
    <w:rsid w:val="0062541C"/>
    <w:rsid w:val="006278C4"/>
    <w:rsid w:val="00627CFF"/>
    <w:rsid w:val="00646246"/>
    <w:rsid w:val="006469F3"/>
    <w:rsid w:val="00647254"/>
    <w:rsid w:val="00650F43"/>
    <w:rsid w:val="00653788"/>
    <w:rsid w:val="0066118B"/>
    <w:rsid w:val="006611FE"/>
    <w:rsid w:val="00663431"/>
    <w:rsid w:val="006734EA"/>
    <w:rsid w:val="00677A86"/>
    <w:rsid w:val="00677FE3"/>
    <w:rsid w:val="00680591"/>
    <w:rsid w:val="00682F32"/>
    <w:rsid w:val="006860F0"/>
    <w:rsid w:val="00697FD4"/>
    <w:rsid w:val="006A1F0B"/>
    <w:rsid w:val="006B2FFA"/>
    <w:rsid w:val="006B66A7"/>
    <w:rsid w:val="006B7980"/>
    <w:rsid w:val="006C1918"/>
    <w:rsid w:val="006C39FC"/>
    <w:rsid w:val="006C4FCA"/>
    <w:rsid w:val="006C757A"/>
    <w:rsid w:val="006D5931"/>
    <w:rsid w:val="006D68DC"/>
    <w:rsid w:val="006E17B8"/>
    <w:rsid w:val="006E49B1"/>
    <w:rsid w:val="006E670A"/>
    <w:rsid w:val="006F0D51"/>
    <w:rsid w:val="006F4873"/>
    <w:rsid w:val="0070149E"/>
    <w:rsid w:val="007018BB"/>
    <w:rsid w:val="00703F4A"/>
    <w:rsid w:val="00704173"/>
    <w:rsid w:val="00704A85"/>
    <w:rsid w:val="00706E07"/>
    <w:rsid w:val="00707982"/>
    <w:rsid w:val="007205D8"/>
    <w:rsid w:val="00722DD8"/>
    <w:rsid w:val="00725782"/>
    <w:rsid w:val="007258F8"/>
    <w:rsid w:val="00731F0A"/>
    <w:rsid w:val="007344C8"/>
    <w:rsid w:val="007345C3"/>
    <w:rsid w:val="0074236F"/>
    <w:rsid w:val="00743B52"/>
    <w:rsid w:val="007440F8"/>
    <w:rsid w:val="00746990"/>
    <w:rsid w:val="0075008A"/>
    <w:rsid w:val="00757435"/>
    <w:rsid w:val="00757E6A"/>
    <w:rsid w:val="00761E8E"/>
    <w:rsid w:val="00762D71"/>
    <w:rsid w:val="00763930"/>
    <w:rsid w:val="007644EF"/>
    <w:rsid w:val="007821F9"/>
    <w:rsid w:val="00783AA4"/>
    <w:rsid w:val="00783C45"/>
    <w:rsid w:val="00785FA3"/>
    <w:rsid w:val="00786119"/>
    <w:rsid w:val="00791947"/>
    <w:rsid w:val="00795F07"/>
    <w:rsid w:val="00796708"/>
    <w:rsid w:val="007A5A69"/>
    <w:rsid w:val="007A74F6"/>
    <w:rsid w:val="007A79F6"/>
    <w:rsid w:val="007B19AD"/>
    <w:rsid w:val="007B40D9"/>
    <w:rsid w:val="007B67BA"/>
    <w:rsid w:val="007B6FB8"/>
    <w:rsid w:val="007C3DBA"/>
    <w:rsid w:val="007D23AC"/>
    <w:rsid w:val="007D5A93"/>
    <w:rsid w:val="007E2D55"/>
    <w:rsid w:val="007E573A"/>
    <w:rsid w:val="007F0220"/>
    <w:rsid w:val="007F0A77"/>
    <w:rsid w:val="007F1527"/>
    <w:rsid w:val="007F6174"/>
    <w:rsid w:val="007F737A"/>
    <w:rsid w:val="0080038A"/>
    <w:rsid w:val="00803D02"/>
    <w:rsid w:val="008067FE"/>
    <w:rsid w:val="00820D8B"/>
    <w:rsid w:val="008301AF"/>
    <w:rsid w:val="00831B56"/>
    <w:rsid w:val="00831CC5"/>
    <w:rsid w:val="008329A9"/>
    <w:rsid w:val="008329DB"/>
    <w:rsid w:val="00834289"/>
    <w:rsid w:val="008347DB"/>
    <w:rsid w:val="00835CAC"/>
    <w:rsid w:val="008414B1"/>
    <w:rsid w:val="00861ED8"/>
    <w:rsid w:val="00862F62"/>
    <w:rsid w:val="0086342C"/>
    <w:rsid w:val="00865DAE"/>
    <w:rsid w:val="0086667B"/>
    <w:rsid w:val="0087142C"/>
    <w:rsid w:val="008765A0"/>
    <w:rsid w:val="008767DB"/>
    <w:rsid w:val="00880740"/>
    <w:rsid w:val="00880757"/>
    <w:rsid w:val="0088113A"/>
    <w:rsid w:val="00884FD3"/>
    <w:rsid w:val="008854A6"/>
    <w:rsid w:val="008919C9"/>
    <w:rsid w:val="008953F6"/>
    <w:rsid w:val="0089645C"/>
    <w:rsid w:val="0089779E"/>
    <w:rsid w:val="008A04DB"/>
    <w:rsid w:val="008A684B"/>
    <w:rsid w:val="008B5A67"/>
    <w:rsid w:val="008C1160"/>
    <w:rsid w:val="008C4A4F"/>
    <w:rsid w:val="008C70E9"/>
    <w:rsid w:val="008C760E"/>
    <w:rsid w:val="008D0C56"/>
    <w:rsid w:val="008D2B73"/>
    <w:rsid w:val="008D3E0D"/>
    <w:rsid w:val="008D4F4C"/>
    <w:rsid w:val="008D7055"/>
    <w:rsid w:val="008D7374"/>
    <w:rsid w:val="008E1833"/>
    <w:rsid w:val="008E2291"/>
    <w:rsid w:val="008E7E36"/>
    <w:rsid w:val="008F02F1"/>
    <w:rsid w:val="008F116B"/>
    <w:rsid w:val="008F295F"/>
    <w:rsid w:val="0090245D"/>
    <w:rsid w:val="00902C40"/>
    <w:rsid w:val="00903B2E"/>
    <w:rsid w:val="009059C4"/>
    <w:rsid w:val="00911513"/>
    <w:rsid w:val="00916F76"/>
    <w:rsid w:val="00917E4C"/>
    <w:rsid w:val="009214F0"/>
    <w:rsid w:val="0092186F"/>
    <w:rsid w:val="0092357C"/>
    <w:rsid w:val="0092672C"/>
    <w:rsid w:val="00930D58"/>
    <w:rsid w:val="0093233B"/>
    <w:rsid w:val="009540F9"/>
    <w:rsid w:val="00956CFF"/>
    <w:rsid w:val="00957559"/>
    <w:rsid w:val="00961D28"/>
    <w:rsid w:val="009636B9"/>
    <w:rsid w:val="00967490"/>
    <w:rsid w:val="00970217"/>
    <w:rsid w:val="00971A3E"/>
    <w:rsid w:val="00981D2E"/>
    <w:rsid w:val="00981EAD"/>
    <w:rsid w:val="009868B7"/>
    <w:rsid w:val="009909D1"/>
    <w:rsid w:val="009926CD"/>
    <w:rsid w:val="00995B77"/>
    <w:rsid w:val="009960E0"/>
    <w:rsid w:val="00997805"/>
    <w:rsid w:val="009979F6"/>
    <w:rsid w:val="00997C33"/>
    <w:rsid w:val="009A1339"/>
    <w:rsid w:val="009A4603"/>
    <w:rsid w:val="009A62A2"/>
    <w:rsid w:val="009A71A6"/>
    <w:rsid w:val="009B7901"/>
    <w:rsid w:val="009B7E86"/>
    <w:rsid w:val="009C089F"/>
    <w:rsid w:val="009C5568"/>
    <w:rsid w:val="009C6805"/>
    <w:rsid w:val="009C7399"/>
    <w:rsid w:val="009C7442"/>
    <w:rsid w:val="009D74BE"/>
    <w:rsid w:val="009E44CC"/>
    <w:rsid w:val="009E7E17"/>
    <w:rsid w:val="009F0B41"/>
    <w:rsid w:val="009F1DE1"/>
    <w:rsid w:val="009F28D9"/>
    <w:rsid w:val="009F29CA"/>
    <w:rsid w:val="009F3A12"/>
    <w:rsid w:val="009F7132"/>
    <w:rsid w:val="00A12525"/>
    <w:rsid w:val="00A13498"/>
    <w:rsid w:val="00A14978"/>
    <w:rsid w:val="00A14C3C"/>
    <w:rsid w:val="00A2349C"/>
    <w:rsid w:val="00A25843"/>
    <w:rsid w:val="00A273E0"/>
    <w:rsid w:val="00A3686B"/>
    <w:rsid w:val="00A40770"/>
    <w:rsid w:val="00A40CC3"/>
    <w:rsid w:val="00A43451"/>
    <w:rsid w:val="00A44884"/>
    <w:rsid w:val="00A47CA8"/>
    <w:rsid w:val="00A52A67"/>
    <w:rsid w:val="00A57C21"/>
    <w:rsid w:val="00A60E99"/>
    <w:rsid w:val="00A6110A"/>
    <w:rsid w:val="00A64C7F"/>
    <w:rsid w:val="00A673A5"/>
    <w:rsid w:val="00A72889"/>
    <w:rsid w:val="00A7746F"/>
    <w:rsid w:val="00A80A81"/>
    <w:rsid w:val="00A80F13"/>
    <w:rsid w:val="00A83C09"/>
    <w:rsid w:val="00A84C4E"/>
    <w:rsid w:val="00A84E54"/>
    <w:rsid w:val="00A87016"/>
    <w:rsid w:val="00A915BA"/>
    <w:rsid w:val="00A93A73"/>
    <w:rsid w:val="00A964A9"/>
    <w:rsid w:val="00AA0753"/>
    <w:rsid w:val="00AA12EC"/>
    <w:rsid w:val="00AA136C"/>
    <w:rsid w:val="00AA5859"/>
    <w:rsid w:val="00AA5C9F"/>
    <w:rsid w:val="00AB20E4"/>
    <w:rsid w:val="00AB2AEF"/>
    <w:rsid w:val="00AB567D"/>
    <w:rsid w:val="00AB66C8"/>
    <w:rsid w:val="00AB6F8A"/>
    <w:rsid w:val="00AB7CBF"/>
    <w:rsid w:val="00AB7DE9"/>
    <w:rsid w:val="00AC0460"/>
    <w:rsid w:val="00AC1383"/>
    <w:rsid w:val="00AC7450"/>
    <w:rsid w:val="00AD7868"/>
    <w:rsid w:val="00AE2C4C"/>
    <w:rsid w:val="00AE7A99"/>
    <w:rsid w:val="00AF03A5"/>
    <w:rsid w:val="00AF30F1"/>
    <w:rsid w:val="00AF61B4"/>
    <w:rsid w:val="00AF6804"/>
    <w:rsid w:val="00AF7066"/>
    <w:rsid w:val="00B04096"/>
    <w:rsid w:val="00B06625"/>
    <w:rsid w:val="00B067B8"/>
    <w:rsid w:val="00B134F7"/>
    <w:rsid w:val="00B142E5"/>
    <w:rsid w:val="00B1469E"/>
    <w:rsid w:val="00B167C2"/>
    <w:rsid w:val="00B21657"/>
    <w:rsid w:val="00B2250B"/>
    <w:rsid w:val="00B2304A"/>
    <w:rsid w:val="00B24D1C"/>
    <w:rsid w:val="00B263EA"/>
    <w:rsid w:val="00B325F0"/>
    <w:rsid w:val="00B32CB6"/>
    <w:rsid w:val="00B331EF"/>
    <w:rsid w:val="00B368EC"/>
    <w:rsid w:val="00B36C59"/>
    <w:rsid w:val="00B4647B"/>
    <w:rsid w:val="00B46BC0"/>
    <w:rsid w:val="00B46C51"/>
    <w:rsid w:val="00B46F3C"/>
    <w:rsid w:val="00B47EA9"/>
    <w:rsid w:val="00B51132"/>
    <w:rsid w:val="00B545B3"/>
    <w:rsid w:val="00B654E4"/>
    <w:rsid w:val="00B672AD"/>
    <w:rsid w:val="00B74066"/>
    <w:rsid w:val="00B76415"/>
    <w:rsid w:val="00B81C97"/>
    <w:rsid w:val="00B870F1"/>
    <w:rsid w:val="00B942F3"/>
    <w:rsid w:val="00B96246"/>
    <w:rsid w:val="00BA18E2"/>
    <w:rsid w:val="00BA1D90"/>
    <w:rsid w:val="00BA30BB"/>
    <w:rsid w:val="00BA47FA"/>
    <w:rsid w:val="00BA6170"/>
    <w:rsid w:val="00BA7EBA"/>
    <w:rsid w:val="00BA7F4B"/>
    <w:rsid w:val="00BB273F"/>
    <w:rsid w:val="00BB34CD"/>
    <w:rsid w:val="00BB417D"/>
    <w:rsid w:val="00BB5BDB"/>
    <w:rsid w:val="00BC020D"/>
    <w:rsid w:val="00BC3515"/>
    <w:rsid w:val="00BC5DEB"/>
    <w:rsid w:val="00BD243A"/>
    <w:rsid w:val="00BD2C55"/>
    <w:rsid w:val="00BD41CB"/>
    <w:rsid w:val="00BD6C61"/>
    <w:rsid w:val="00BD7025"/>
    <w:rsid w:val="00BE0386"/>
    <w:rsid w:val="00BE3440"/>
    <w:rsid w:val="00BE3C43"/>
    <w:rsid w:val="00BE4404"/>
    <w:rsid w:val="00BE6F6F"/>
    <w:rsid w:val="00BE7814"/>
    <w:rsid w:val="00BE783F"/>
    <w:rsid w:val="00BE7FDE"/>
    <w:rsid w:val="00BF0F5E"/>
    <w:rsid w:val="00BF5DB7"/>
    <w:rsid w:val="00BF7534"/>
    <w:rsid w:val="00C02E86"/>
    <w:rsid w:val="00C04A5F"/>
    <w:rsid w:val="00C0670A"/>
    <w:rsid w:val="00C070AE"/>
    <w:rsid w:val="00C12B83"/>
    <w:rsid w:val="00C1778D"/>
    <w:rsid w:val="00C228E8"/>
    <w:rsid w:val="00C23965"/>
    <w:rsid w:val="00C31259"/>
    <w:rsid w:val="00C3297F"/>
    <w:rsid w:val="00C3665C"/>
    <w:rsid w:val="00C404E1"/>
    <w:rsid w:val="00C4226B"/>
    <w:rsid w:val="00C44CF4"/>
    <w:rsid w:val="00C47B7E"/>
    <w:rsid w:val="00C56B1F"/>
    <w:rsid w:val="00C606A9"/>
    <w:rsid w:val="00C60A57"/>
    <w:rsid w:val="00C61894"/>
    <w:rsid w:val="00C621ED"/>
    <w:rsid w:val="00C62902"/>
    <w:rsid w:val="00C635F9"/>
    <w:rsid w:val="00C6381B"/>
    <w:rsid w:val="00C66EE3"/>
    <w:rsid w:val="00C71AB4"/>
    <w:rsid w:val="00C71F0D"/>
    <w:rsid w:val="00C7366B"/>
    <w:rsid w:val="00C73D21"/>
    <w:rsid w:val="00C7472D"/>
    <w:rsid w:val="00C7503E"/>
    <w:rsid w:val="00C753D0"/>
    <w:rsid w:val="00C77FD3"/>
    <w:rsid w:val="00C80E25"/>
    <w:rsid w:val="00C871CF"/>
    <w:rsid w:val="00C90DF5"/>
    <w:rsid w:val="00C9353F"/>
    <w:rsid w:val="00C95671"/>
    <w:rsid w:val="00C959DA"/>
    <w:rsid w:val="00C959F6"/>
    <w:rsid w:val="00C95C04"/>
    <w:rsid w:val="00C9663F"/>
    <w:rsid w:val="00CA112E"/>
    <w:rsid w:val="00CB0550"/>
    <w:rsid w:val="00CB5D48"/>
    <w:rsid w:val="00CB61B0"/>
    <w:rsid w:val="00CC2954"/>
    <w:rsid w:val="00CC5AF2"/>
    <w:rsid w:val="00CD019F"/>
    <w:rsid w:val="00CD33E9"/>
    <w:rsid w:val="00CE496E"/>
    <w:rsid w:val="00CF280B"/>
    <w:rsid w:val="00CF6495"/>
    <w:rsid w:val="00D0429B"/>
    <w:rsid w:val="00D05D10"/>
    <w:rsid w:val="00D078BE"/>
    <w:rsid w:val="00D11D26"/>
    <w:rsid w:val="00D12C81"/>
    <w:rsid w:val="00D13F8A"/>
    <w:rsid w:val="00D14C58"/>
    <w:rsid w:val="00D15E47"/>
    <w:rsid w:val="00D1612F"/>
    <w:rsid w:val="00D179DF"/>
    <w:rsid w:val="00D22D22"/>
    <w:rsid w:val="00D22EE3"/>
    <w:rsid w:val="00D263DF"/>
    <w:rsid w:val="00D3612B"/>
    <w:rsid w:val="00D40F0D"/>
    <w:rsid w:val="00D548FA"/>
    <w:rsid w:val="00D61049"/>
    <w:rsid w:val="00D6142C"/>
    <w:rsid w:val="00D650AC"/>
    <w:rsid w:val="00D76BEF"/>
    <w:rsid w:val="00D81445"/>
    <w:rsid w:val="00D81902"/>
    <w:rsid w:val="00D90A6D"/>
    <w:rsid w:val="00D90B10"/>
    <w:rsid w:val="00D91827"/>
    <w:rsid w:val="00D918D5"/>
    <w:rsid w:val="00D9442D"/>
    <w:rsid w:val="00D9762C"/>
    <w:rsid w:val="00DA269D"/>
    <w:rsid w:val="00DA399F"/>
    <w:rsid w:val="00DA4354"/>
    <w:rsid w:val="00DA4F5B"/>
    <w:rsid w:val="00DA5743"/>
    <w:rsid w:val="00DB21C3"/>
    <w:rsid w:val="00DC03FE"/>
    <w:rsid w:val="00DC1C3F"/>
    <w:rsid w:val="00DC2ECB"/>
    <w:rsid w:val="00DD0DD9"/>
    <w:rsid w:val="00DD5478"/>
    <w:rsid w:val="00DD6C4B"/>
    <w:rsid w:val="00DD71A5"/>
    <w:rsid w:val="00DE78C9"/>
    <w:rsid w:val="00DF2039"/>
    <w:rsid w:val="00DF3A98"/>
    <w:rsid w:val="00DF5A19"/>
    <w:rsid w:val="00E01C5E"/>
    <w:rsid w:val="00E03CAE"/>
    <w:rsid w:val="00E073FB"/>
    <w:rsid w:val="00E10F4B"/>
    <w:rsid w:val="00E1105E"/>
    <w:rsid w:val="00E12392"/>
    <w:rsid w:val="00E13839"/>
    <w:rsid w:val="00E20D33"/>
    <w:rsid w:val="00E216E6"/>
    <w:rsid w:val="00E22C7D"/>
    <w:rsid w:val="00E241D7"/>
    <w:rsid w:val="00E32495"/>
    <w:rsid w:val="00E3298B"/>
    <w:rsid w:val="00E42057"/>
    <w:rsid w:val="00E420F8"/>
    <w:rsid w:val="00E448A6"/>
    <w:rsid w:val="00E5032E"/>
    <w:rsid w:val="00E50E3F"/>
    <w:rsid w:val="00E53D3F"/>
    <w:rsid w:val="00E54689"/>
    <w:rsid w:val="00E56378"/>
    <w:rsid w:val="00E56AEB"/>
    <w:rsid w:val="00E67933"/>
    <w:rsid w:val="00E70E76"/>
    <w:rsid w:val="00E70EB1"/>
    <w:rsid w:val="00E764D0"/>
    <w:rsid w:val="00E76C88"/>
    <w:rsid w:val="00E81851"/>
    <w:rsid w:val="00E83759"/>
    <w:rsid w:val="00E849DC"/>
    <w:rsid w:val="00E95AD4"/>
    <w:rsid w:val="00E9738A"/>
    <w:rsid w:val="00EA27F7"/>
    <w:rsid w:val="00EA2C9B"/>
    <w:rsid w:val="00EA42D1"/>
    <w:rsid w:val="00EA52F5"/>
    <w:rsid w:val="00EB35AA"/>
    <w:rsid w:val="00EB3958"/>
    <w:rsid w:val="00EC0D38"/>
    <w:rsid w:val="00EC20D5"/>
    <w:rsid w:val="00EC2E87"/>
    <w:rsid w:val="00EC3349"/>
    <w:rsid w:val="00EC571E"/>
    <w:rsid w:val="00ED445C"/>
    <w:rsid w:val="00EE01FB"/>
    <w:rsid w:val="00EE2171"/>
    <w:rsid w:val="00EE35C9"/>
    <w:rsid w:val="00EE4BC9"/>
    <w:rsid w:val="00EE6785"/>
    <w:rsid w:val="00EF170B"/>
    <w:rsid w:val="00EF7E72"/>
    <w:rsid w:val="00F02AEC"/>
    <w:rsid w:val="00F03EB8"/>
    <w:rsid w:val="00F10213"/>
    <w:rsid w:val="00F121E5"/>
    <w:rsid w:val="00F13014"/>
    <w:rsid w:val="00F14F4F"/>
    <w:rsid w:val="00F16291"/>
    <w:rsid w:val="00F20A9A"/>
    <w:rsid w:val="00F21E6E"/>
    <w:rsid w:val="00F238F7"/>
    <w:rsid w:val="00F23D4F"/>
    <w:rsid w:val="00F26DF8"/>
    <w:rsid w:val="00F32F21"/>
    <w:rsid w:val="00F33159"/>
    <w:rsid w:val="00F4063B"/>
    <w:rsid w:val="00F41DFA"/>
    <w:rsid w:val="00F42A6C"/>
    <w:rsid w:val="00F445AD"/>
    <w:rsid w:val="00F5012E"/>
    <w:rsid w:val="00F50F9B"/>
    <w:rsid w:val="00F52376"/>
    <w:rsid w:val="00F53BF5"/>
    <w:rsid w:val="00F55935"/>
    <w:rsid w:val="00F56494"/>
    <w:rsid w:val="00F56B49"/>
    <w:rsid w:val="00F61269"/>
    <w:rsid w:val="00F64819"/>
    <w:rsid w:val="00F65C5D"/>
    <w:rsid w:val="00F67224"/>
    <w:rsid w:val="00F67821"/>
    <w:rsid w:val="00F70924"/>
    <w:rsid w:val="00F71DE0"/>
    <w:rsid w:val="00F76D8F"/>
    <w:rsid w:val="00F80F9F"/>
    <w:rsid w:val="00F8228E"/>
    <w:rsid w:val="00F828C8"/>
    <w:rsid w:val="00F862E7"/>
    <w:rsid w:val="00F955F4"/>
    <w:rsid w:val="00F95B9B"/>
    <w:rsid w:val="00FA1289"/>
    <w:rsid w:val="00FA49C3"/>
    <w:rsid w:val="00FA6A18"/>
    <w:rsid w:val="00FB16B8"/>
    <w:rsid w:val="00FB3C1E"/>
    <w:rsid w:val="00FB5801"/>
    <w:rsid w:val="00FC1EB4"/>
    <w:rsid w:val="00FC389A"/>
    <w:rsid w:val="00FC481D"/>
    <w:rsid w:val="00FD0B86"/>
    <w:rsid w:val="00FD1B36"/>
    <w:rsid w:val="00FD1E1F"/>
    <w:rsid w:val="00FE33DD"/>
    <w:rsid w:val="00FF04C2"/>
    <w:rsid w:val="00FF07E1"/>
    <w:rsid w:val="00FF14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CDAC"/>
  <w15:chartTrackingRefBased/>
  <w15:docId w15:val="{7A768782-7D07-4EEF-8EC8-D9D8A5E0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1B4"/>
    <w:rPr>
      <w:rFonts w:ascii="Arial" w:hAnsi="Arial"/>
    </w:rPr>
  </w:style>
  <w:style w:type="paragraph" w:styleId="Heading1">
    <w:name w:val="heading 1"/>
    <w:basedOn w:val="Normal"/>
    <w:next w:val="Normal"/>
    <w:link w:val="Heading1Char"/>
    <w:uiPriority w:val="9"/>
    <w:qFormat/>
    <w:rsid w:val="00AF61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F61B4"/>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AF61B4"/>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AF61B4"/>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AF61B4"/>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AF61B4"/>
    <w:pPr>
      <w:keepNext/>
      <w:keepLines/>
      <w:spacing w:before="240" w:line="240" w:lineRule="atLeast"/>
      <w:outlineLvl w:val="5"/>
    </w:pPr>
    <w:rPr>
      <w:rFonts w:eastAsia="Times New Roman" w:cs="Times New Roman"/>
      <w:bCs/>
      <w:color w:val="001871"/>
      <w:sz w:val="24"/>
      <w:szCs w:val="21"/>
    </w:rPr>
  </w:style>
  <w:style w:type="paragraph" w:styleId="Heading7">
    <w:name w:val="heading 7"/>
    <w:basedOn w:val="Normal"/>
    <w:next w:val="Normal"/>
    <w:link w:val="Heading7Char"/>
    <w:uiPriority w:val="9"/>
    <w:rsid w:val="00457050"/>
    <w:pPr>
      <w:keepNext/>
      <w:keepLines/>
      <w:spacing w:before="240" w:after="60" w:line="180" w:lineRule="atLeast"/>
      <w:ind w:left="1296" w:hanging="1296"/>
      <w:outlineLvl w:val="6"/>
    </w:pPr>
    <w:rPr>
      <w:rFonts w:ascii="Cambria" w:eastAsia="Times New Roman" w:hAnsi="Cambria" w:cs="Times New Roman"/>
      <w:bCs/>
      <w:i/>
    </w:rPr>
  </w:style>
  <w:style w:type="paragraph" w:styleId="Heading8">
    <w:name w:val="heading 8"/>
    <w:basedOn w:val="Normal"/>
    <w:next w:val="Normal"/>
    <w:link w:val="Heading8Char"/>
    <w:autoRedefine/>
    <w:uiPriority w:val="9"/>
    <w:semiHidden/>
    <w:unhideWhenUsed/>
    <w:qFormat/>
    <w:rsid w:val="00BE0386"/>
    <w:pPr>
      <w:keepNext/>
      <w:keepLines/>
      <w:spacing w:before="200" w:after="0" w:line="240" w:lineRule="atLeast"/>
      <w:ind w:left="1440" w:hanging="144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457050"/>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rsid w:val="00AF61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61B4"/>
  </w:style>
  <w:style w:type="table" w:customStyle="1" w:styleId="TableTGAblue2023">
    <w:name w:val="Table TGA blue 2023"/>
    <w:basedOn w:val="TableNormal"/>
    <w:uiPriority w:val="99"/>
    <w:qFormat/>
    <w:rsid w:val="00AF61B4"/>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character" w:customStyle="1" w:styleId="Heading2Char">
    <w:name w:val="Heading 2 Char"/>
    <w:basedOn w:val="DefaultParagraphFont"/>
    <w:link w:val="Heading2"/>
    <w:rsid w:val="00AF61B4"/>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AF61B4"/>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AF61B4"/>
    <w:rPr>
      <w:rFonts w:ascii="Arial" w:eastAsia="Cambria" w:hAnsi="Arial" w:cs="Times New Roman"/>
      <w:bCs/>
      <w:color w:val="001871"/>
      <w:sz w:val="28"/>
      <w:szCs w:val="26"/>
    </w:rPr>
  </w:style>
  <w:style w:type="character" w:customStyle="1" w:styleId="Heading5Char">
    <w:name w:val="Heading 5 Char"/>
    <w:basedOn w:val="DefaultParagraphFont"/>
    <w:link w:val="Heading5"/>
    <w:uiPriority w:val="9"/>
    <w:rsid w:val="00AF61B4"/>
    <w:rPr>
      <w:rFonts w:ascii="Arial" w:eastAsia="Times New Roman" w:hAnsi="Arial" w:cs="Times New Roman"/>
      <w:bCs/>
      <w:i/>
      <w:color w:val="001871"/>
      <w:sz w:val="26"/>
      <w:szCs w:val="26"/>
    </w:rPr>
  </w:style>
  <w:style w:type="character" w:customStyle="1" w:styleId="Heading6Char">
    <w:name w:val="Heading 6 Char"/>
    <w:basedOn w:val="DefaultParagraphFont"/>
    <w:link w:val="Heading6"/>
    <w:uiPriority w:val="9"/>
    <w:rsid w:val="00AF61B4"/>
    <w:rPr>
      <w:rFonts w:ascii="Arial" w:eastAsia="Times New Roman" w:hAnsi="Arial" w:cs="Times New Roman"/>
      <w:bCs/>
      <w:color w:val="001871"/>
      <w:sz w:val="24"/>
      <w:szCs w:val="21"/>
    </w:rPr>
  </w:style>
  <w:style w:type="paragraph" w:styleId="Date">
    <w:name w:val="Date"/>
    <w:basedOn w:val="Normal"/>
    <w:next w:val="Normal"/>
    <w:link w:val="DateChar"/>
    <w:uiPriority w:val="99"/>
    <w:rsid w:val="00AF61B4"/>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AF61B4"/>
    <w:rPr>
      <w:rFonts w:ascii="Arial" w:eastAsia="Cambria" w:hAnsi="Arial" w:cs="Times New Roman"/>
      <w:color w:val="333F4A"/>
      <w:sz w:val="28"/>
    </w:rPr>
  </w:style>
  <w:style w:type="paragraph" w:styleId="Footer">
    <w:name w:val="footer"/>
    <w:basedOn w:val="Normal"/>
    <w:link w:val="FooterChar"/>
    <w:uiPriority w:val="99"/>
    <w:rsid w:val="00AF61B4"/>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AF61B4"/>
    <w:rPr>
      <w:rFonts w:ascii="Arial" w:eastAsia="Cambria" w:hAnsi="Arial" w:cs="Times New Roman"/>
      <w:color w:val="333F4A"/>
      <w:sz w:val="17"/>
    </w:rPr>
  </w:style>
  <w:style w:type="paragraph" w:styleId="Header">
    <w:name w:val="header"/>
    <w:basedOn w:val="Normal"/>
    <w:link w:val="HeaderChar"/>
    <w:uiPriority w:val="99"/>
    <w:rsid w:val="00AF61B4"/>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AF61B4"/>
    <w:rPr>
      <w:rFonts w:ascii="Arial" w:eastAsia="Cambria" w:hAnsi="Arial" w:cs="Times New Roman"/>
      <w:color w:val="333F4A"/>
      <w:sz w:val="17"/>
    </w:rPr>
  </w:style>
  <w:style w:type="character" w:styleId="Hyperlink">
    <w:name w:val="Hyperlink"/>
    <w:basedOn w:val="DefaultParagraphFont"/>
    <w:uiPriority w:val="99"/>
    <w:unhideWhenUsed/>
    <w:rsid w:val="00AF61B4"/>
    <w:rPr>
      <w:rFonts w:ascii="Arial" w:hAnsi="Arial"/>
      <w:color w:val="0000FF"/>
      <w:u w:val="single"/>
    </w:rPr>
  </w:style>
  <w:style w:type="paragraph" w:customStyle="1" w:styleId="LegalCopy">
    <w:name w:val="Legal Copy"/>
    <w:basedOn w:val="Footer"/>
    <w:rsid w:val="00AF61B4"/>
  </w:style>
  <w:style w:type="paragraph" w:customStyle="1" w:styleId="LegalSubheading">
    <w:name w:val="Legal Subheading"/>
    <w:basedOn w:val="Normal"/>
    <w:rsid w:val="00AF61B4"/>
    <w:pPr>
      <w:outlineLvl w:val="1"/>
    </w:pPr>
    <w:rPr>
      <w:sz w:val="17"/>
    </w:rPr>
  </w:style>
  <w:style w:type="paragraph" w:styleId="ListBullet">
    <w:name w:val="List Bullet"/>
    <w:basedOn w:val="Normal"/>
    <w:link w:val="ListBulletChar"/>
    <w:autoRedefine/>
    <w:uiPriority w:val="2"/>
    <w:qFormat/>
    <w:rsid w:val="00AF61B4"/>
    <w:pPr>
      <w:numPr>
        <w:numId w:val="10"/>
      </w:numPr>
      <w:spacing w:before="120" w:after="180" w:line="240" w:lineRule="atLeast"/>
    </w:pPr>
    <w:rPr>
      <w:rFonts w:eastAsia="Cambria" w:cs="Times New Roman"/>
    </w:rPr>
  </w:style>
  <w:style w:type="paragraph" w:styleId="ListBullet2">
    <w:name w:val="List Bullet 2"/>
    <w:basedOn w:val="Normal"/>
    <w:uiPriority w:val="2"/>
    <w:qFormat/>
    <w:rsid w:val="00AF61B4"/>
    <w:pPr>
      <w:numPr>
        <w:ilvl w:val="1"/>
        <w:numId w:val="10"/>
      </w:numPr>
      <w:spacing w:before="120" w:after="180" w:line="240" w:lineRule="atLeast"/>
    </w:pPr>
    <w:rPr>
      <w:rFonts w:eastAsia="Cambria" w:cs="Times New Roman"/>
      <w:color w:val="333F48"/>
    </w:rPr>
  </w:style>
  <w:style w:type="paragraph" w:styleId="ListBullet3">
    <w:name w:val="List Bullet 3"/>
    <w:basedOn w:val="Normal"/>
    <w:uiPriority w:val="2"/>
    <w:qFormat/>
    <w:rsid w:val="00AF61B4"/>
    <w:pPr>
      <w:numPr>
        <w:numId w:val="3"/>
      </w:numPr>
      <w:spacing w:before="120" w:after="180" w:line="240" w:lineRule="atLeast"/>
    </w:pPr>
    <w:rPr>
      <w:rFonts w:eastAsia="Cambria" w:cs="Times New Roman"/>
      <w:color w:val="333F48"/>
    </w:rPr>
  </w:style>
  <w:style w:type="numbering" w:customStyle="1" w:styleId="ListBullets">
    <w:name w:val="ListBullets"/>
    <w:uiPriority w:val="99"/>
    <w:locked/>
    <w:rsid w:val="00AF61B4"/>
    <w:pPr>
      <w:numPr>
        <w:numId w:val="10"/>
      </w:numPr>
    </w:pPr>
  </w:style>
  <w:style w:type="paragraph" w:customStyle="1" w:styleId="Numberbullet0">
    <w:name w:val="Number bullet"/>
    <w:basedOn w:val="ListBullet"/>
    <w:uiPriority w:val="3"/>
    <w:qFormat/>
    <w:rsid w:val="00AF61B4"/>
    <w:pPr>
      <w:numPr>
        <w:numId w:val="2"/>
      </w:numPr>
    </w:pPr>
  </w:style>
  <w:style w:type="paragraph" w:customStyle="1" w:styleId="Numberbullet2">
    <w:name w:val="Number bullet 2"/>
    <w:basedOn w:val="ListBullet2"/>
    <w:uiPriority w:val="3"/>
    <w:qFormat/>
    <w:rsid w:val="00AF61B4"/>
    <w:pPr>
      <w:numPr>
        <w:numId w:val="2"/>
      </w:numPr>
    </w:pPr>
  </w:style>
  <w:style w:type="paragraph" w:customStyle="1" w:styleId="Numberbullet3">
    <w:name w:val="Number bullet 3"/>
    <w:basedOn w:val="Normal"/>
    <w:uiPriority w:val="3"/>
    <w:qFormat/>
    <w:rsid w:val="00AF61B4"/>
    <w:pPr>
      <w:numPr>
        <w:numId w:val="4"/>
      </w:numPr>
      <w:spacing w:before="120" w:after="180" w:line="240" w:lineRule="atLeast"/>
    </w:pPr>
    <w:rPr>
      <w:rFonts w:eastAsia="Cambria" w:cs="Times New Roman"/>
      <w:color w:val="333F48"/>
    </w:rPr>
  </w:style>
  <w:style w:type="numbering" w:customStyle="1" w:styleId="NumberBullet">
    <w:name w:val="NumberBullet"/>
    <w:uiPriority w:val="99"/>
    <w:locked/>
    <w:rsid w:val="00AF61B4"/>
    <w:pPr>
      <w:numPr>
        <w:numId w:val="2"/>
      </w:numPr>
    </w:pPr>
  </w:style>
  <w:style w:type="paragraph" w:styleId="Subtitle">
    <w:name w:val="Subtitle"/>
    <w:basedOn w:val="Normal"/>
    <w:link w:val="SubtitleChar"/>
    <w:uiPriority w:val="11"/>
    <w:rsid w:val="00AF61B4"/>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AF61B4"/>
    <w:rPr>
      <w:rFonts w:ascii="Arial" w:eastAsia="Times New Roman" w:hAnsi="Arial" w:cs="Times New Roman"/>
      <w:bCs/>
      <w:iCs/>
      <w:color w:val="006BA6"/>
      <w:sz w:val="40"/>
      <w:szCs w:val="24"/>
    </w:rPr>
  </w:style>
  <w:style w:type="table" w:styleId="TableGrid">
    <w:name w:val="Table Grid"/>
    <w:basedOn w:val="TableNormal"/>
    <w:uiPriority w:val="59"/>
    <w:rsid w:val="00AF61B4"/>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AF61B4"/>
    <w:pPr>
      <w:spacing w:before="120" w:after="360" w:line="240" w:lineRule="atLeast"/>
      <w:jc w:val="center"/>
    </w:pPr>
    <w:rPr>
      <w:rFonts w:eastAsia="Cambria" w:cs="Times New Roman"/>
      <w:b/>
      <w:color w:val="333F48"/>
      <w:sz w:val="28"/>
    </w:rPr>
  </w:style>
  <w:style w:type="paragraph" w:styleId="Title">
    <w:name w:val="Title"/>
    <w:link w:val="TitleChar"/>
    <w:uiPriority w:val="10"/>
    <w:rsid w:val="00AF61B4"/>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AF61B4"/>
    <w:rPr>
      <w:rFonts w:ascii="Arial" w:eastAsia="Times New Roman" w:hAnsi="Arial" w:cs="Times New Roman"/>
      <w:color w:val="001871"/>
      <w:spacing w:val="5"/>
      <w:kern w:val="28"/>
      <w:sz w:val="52"/>
      <w:szCs w:val="52"/>
    </w:rPr>
  </w:style>
  <w:style w:type="paragraph" w:styleId="TOC1">
    <w:name w:val="toc 1"/>
    <w:basedOn w:val="Normal"/>
    <w:next w:val="Normal"/>
    <w:autoRedefine/>
    <w:uiPriority w:val="39"/>
    <w:unhideWhenUsed/>
    <w:rsid w:val="00AF61B4"/>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AF61B4"/>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AF61B4"/>
    <w:pPr>
      <w:keepNext/>
      <w:keepLines/>
      <w:tabs>
        <w:tab w:val="right" w:leader="hyphen" w:pos="8505"/>
      </w:tabs>
      <w:spacing w:before="60" w:after="0" w:line="240" w:lineRule="atLeast"/>
      <w:ind w:left="851"/>
    </w:pPr>
    <w:rPr>
      <w:rFonts w:eastAsia="Cambria" w:cs="Times New Roman"/>
      <w:color w:val="333F48"/>
      <w:sz w:val="22"/>
    </w:rPr>
  </w:style>
  <w:style w:type="paragraph" w:styleId="FootnoteText">
    <w:name w:val="footnote text"/>
    <w:basedOn w:val="Normal"/>
    <w:link w:val="FootnoteTextChar"/>
    <w:rsid w:val="00AF61B4"/>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AF61B4"/>
    <w:rPr>
      <w:rFonts w:ascii="Arial" w:eastAsia="Cambria" w:hAnsi="Arial" w:cs="Times New Roman"/>
      <w:color w:val="333F48"/>
      <w:sz w:val="16"/>
    </w:rPr>
  </w:style>
  <w:style w:type="character" w:styleId="FootnoteReference">
    <w:name w:val="footnote reference"/>
    <w:basedOn w:val="DefaultParagraphFont"/>
    <w:uiPriority w:val="99"/>
    <w:unhideWhenUsed/>
    <w:rsid w:val="00AF61B4"/>
    <w:rPr>
      <w:vertAlign w:val="superscript"/>
    </w:rPr>
  </w:style>
  <w:style w:type="paragraph" w:customStyle="1" w:styleId="NonTOCheading2">
    <w:name w:val="Non TOC heading 2"/>
    <w:basedOn w:val="Normal"/>
    <w:next w:val="Normal"/>
    <w:rsid w:val="00AF61B4"/>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AF61B4"/>
    <w:pPr>
      <w:pBdr>
        <w:bottom w:val="none" w:sz="0" w:space="0" w:color="auto"/>
      </w:pBdr>
      <w:spacing w:line="240" w:lineRule="atLeast"/>
    </w:pPr>
  </w:style>
  <w:style w:type="paragraph" w:customStyle="1" w:styleId="Tabledescription">
    <w:name w:val="Table description"/>
    <w:basedOn w:val="Normal"/>
    <w:next w:val="Normal"/>
    <w:rsid w:val="00AF61B4"/>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AF61B4"/>
    <w:pPr>
      <w:keepNext/>
      <w:spacing w:before="120" w:after="180" w:line="240" w:lineRule="atLeast"/>
    </w:pPr>
    <w:rPr>
      <w:rFonts w:eastAsia="Cambria" w:cs="Times New Roman"/>
      <w:b/>
      <w:color w:val="333F48"/>
    </w:rPr>
  </w:style>
  <w:style w:type="paragraph" w:customStyle="1" w:styleId="Address">
    <w:name w:val="Address"/>
    <w:basedOn w:val="Normal"/>
    <w:rsid w:val="00AF61B4"/>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AF61B4"/>
    <w:pPr>
      <w:tabs>
        <w:tab w:val="left" w:pos="425"/>
      </w:tabs>
    </w:pPr>
  </w:style>
  <w:style w:type="paragraph" w:customStyle="1" w:styleId="ListBullet-donotcross">
    <w:name w:val="List Bullet - do not (cross)"/>
    <w:basedOn w:val="ListBullet"/>
    <w:autoRedefine/>
    <w:uiPriority w:val="1"/>
    <w:qFormat/>
    <w:rsid w:val="00AF61B4"/>
    <w:pPr>
      <w:ind w:left="357" w:hanging="357"/>
    </w:pPr>
    <w:rPr>
      <w:rFonts w:eastAsiaTheme="minorHAnsi" w:cstheme="minorBidi"/>
      <w:szCs w:val="22"/>
    </w:rPr>
  </w:style>
  <w:style w:type="table" w:customStyle="1" w:styleId="TGABlack2023">
    <w:name w:val="TGA Black 2023"/>
    <w:basedOn w:val="TableTGAblue2023"/>
    <w:uiPriority w:val="99"/>
    <w:rsid w:val="00AF61B4"/>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7Char">
    <w:name w:val="Heading 7 Char"/>
    <w:basedOn w:val="DefaultParagraphFont"/>
    <w:link w:val="Heading7"/>
    <w:uiPriority w:val="9"/>
    <w:rsid w:val="00457050"/>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BE0386"/>
    <w:rPr>
      <w:rFonts w:asciiTheme="majorHAnsi" w:eastAsiaTheme="majorEastAsia" w:hAnsiTheme="majorHAnsi" w:cstheme="majorBidi"/>
      <w:color w:val="000000" w:themeColor="text1"/>
      <w:sz w:val="22"/>
      <w:szCs w:val="22"/>
    </w:rPr>
  </w:style>
  <w:style w:type="character" w:customStyle="1" w:styleId="Heading9Char">
    <w:name w:val="Heading 9 Char"/>
    <w:basedOn w:val="DefaultParagraphFont"/>
    <w:link w:val="Heading9"/>
    <w:uiPriority w:val="9"/>
    <w:semiHidden/>
    <w:rsid w:val="00457050"/>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457050"/>
    <w:rPr>
      <w:sz w:val="16"/>
      <w:szCs w:val="16"/>
    </w:rPr>
  </w:style>
  <w:style w:type="paragraph" w:styleId="CommentText">
    <w:name w:val="annotation text"/>
    <w:basedOn w:val="Normal"/>
    <w:link w:val="CommentTextChar"/>
    <w:uiPriority w:val="99"/>
    <w:unhideWhenUsed/>
    <w:rsid w:val="00457050"/>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457050"/>
    <w:rPr>
      <w:rFonts w:ascii="Cambria" w:eastAsia="Cambria" w:hAnsi="Cambria" w:cs="Times New Roman"/>
    </w:rPr>
  </w:style>
  <w:style w:type="character" w:styleId="UnresolvedMention">
    <w:name w:val="Unresolved Mention"/>
    <w:basedOn w:val="DefaultParagraphFont"/>
    <w:uiPriority w:val="99"/>
    <w:semiHidden/>
    <w:unhideWhenUsed/>
    <w:rsid w:val="00AA12EC"/>
    <w:rPr>
      <w:color w:val="605E5C"/>
      <w:shd w:val="clear" w:color="auto" w:fill="E1DFDD"/>
    </w:rPr>
  </w:style>
  <w:style w:type="character" w:styleId="SubtleReference">
    <w:name w:val="Subtle Reference"/>
    <w:basedOn w:val="DefaultParagraphFont"/>
    <w:uiPriority w:val="31"/>
    <w:qFormat/>
    <w:rsid w:val="00BE0386"/>
    <w:rPr>
      <w:smallCaps/>
      <w:color w:val="000000" w:themeColor="text1"/>
    </w:rPr>
  </w:style>
  <w:style w:type="character" w:styleId="SubtleEmphasis">
    <w:name w:val="Subtle Emphasis"/>
    <w:basedOn w:val="DefaultParagraphFont"/>
    <w:uiPriority w:val="19"/>
    <w:qFormat/>
    <w:rsid w:val="00BE0386"/>
    <w:rPr>
      <w:i/>
      <w:iCs/>
      <w:color w:val="000000" w:themeColor="text1"/>
    </w:rPr>
  </w:style>
  <w:style w:type="paragraph" w:styleId="Quote">
    <w:name w:val="Quote"/>
    <w:basedOn w:val="Normal"/>
    <w:next w:val="Normal"/>
    <w:link w:val="QuoteChar"/>
    <w:autoRedefine/>
    <w:uiPriority w:val="29"/>
    <w:qFormat/>
    <w:rsid w:val="00BE0386"/>
    <w:pPr>
      <w:spacing w:before="200" w:after="160"/>
      <w:ind w:left="864" w:right="864"/>
      <w:jc w:val="center"/>
    </w:pPr>
    <w:rPr>
      <w:i/>
      <w:iCs/>
    </w:rPr>
  </w:style>
  <w:style w:type="character" w:customStyle="1" w:styleId="QuoteChar">
    <w:name w:val="Quote Char"/>
    <w:basedOn w:val="DefaultParagraphFont"/>
    <w:link w:val="Quote"/>
    <w:uiPriority w:val="29"/>
    <w:rsid w:val="00BE0386"/>
    <w:rPr>
      <w:i/>
      <w:iCs/>
      <w:color w:val="000000" w:themeColor="text1"/>
      <w:sz w:val="22"/>
      <w:szCs w:val="22"/>
    </w:rPr>
  </w:style>
  <w:style w:type="paragraph" w:styleId="NoSpacing">
    <w:name w:val="No Spacing"/>
    <w:autoRedefine/>
    <w:uiPriority w:val="1"/>
    <w:qFormat/>
    <w:rsid w:val="00BE0386"/>
    <w:pPr>
      <w:spacing w:after="0" w:line="240" w:lineRule="auto"/>
    </w:pPr>
    <w:rPr>
      <w:color w:val="000000" w:themeColor="text1"/>
      <w:sz w:val="22"/>
      <w:szCs w:val="22"/>
    </w:rPr>
  </w:style>
  <w:style w:type="character" w:styleId="Emphasis">
    <w:name w:val="Emphasis"/>
    <w:basedOn w:val="DefaultParagraphFont"/>
    <w:uiPriority w:val="20"/>
    <w:qFormat/>
    <w:rsid w:val="00BE0386"/>
    <w:rPr>
      <w:i/>
      <w:iCs/>
    </w:rPr>
  </w:style>
  <w:style w:type="character" w:styleId="Strong">
    <w:name w:val="Strong"/>
    <w:basedOn w:val="DefaultParagraphFont"/>
    <w:uiPriority w:val="22"/>
    <w:qFormat/>
    <w:rsid w:val="00BE0386"/>
    <w:rPr>
      <w:b/>
      <w:bCs/>
    </w:rPr>
  </w:style>
  <w:style w:type="character" w:styleId="BookTitle">
    <w:name w:val="Book Title"/>
    <w:basedOn w:val="DefaultParagraphFont"/>
    <w:uiPriority w:val="33"/>
    <w:qFormat/>
    <w:rsid w:val="00BE0386"/>
    <w:rPr>
      <w:b/>
      <w:bCs/>
      <w:i/>
      <w:iCs/>
      <w:spacing w:val="5"/>
    </w:rPr>
  </w:style>
  <w:style w:type="paragraph" w:styleId="ListParagraph">
    <w:name w:val="List Paragraph"/>
    <w:basedOn w:val="ListBullet"/>
    <w:link w:val="ListParagraphChar"/>
    <w:autoRedefine/>
    <w:uiPriority w:val="34"/>
    <w:qFormat/>
    <w:rsid w:val="00AF61B4"/>
    <w:pPr>
      <w:ind w:left="357" w:hanging="357"/>
      <w:contextualSpacing/>
    </w:pPr>
  </w:style>
  <w:style w:type="paragraph" w:styleId="CommentSubject">
    <w:name w:val="annotation subject"/>
    <w:basedOn w:val="CommentText"/>
    <w:next w:val="CommentText"/>
    <w:link w:val="CommentSubjectChar"/>
    <w:uiPriority w:val="99"/>
    <w:semiHidden/>
    <w:unhideWhenUsed/>
    <w:rsid w:val="006119D9"/>
    <w:pPr>
      <w:spacing w:before="0" w:after="12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119D9"/>
    <w:rPr>
      <w:rFonts w:ascii="Cambria" w:eastAsia="Cambria" w:hAnsi="Cambria" w:cs="Times New Roman"/>
      <w:b/>
      <w:bCs/>
      <w:color w:val="000000" w:themeColor="text1"/>
    </w:rPr>
  </w:style>
  <w:style w:type="character" w:customStyle="1" w:styleId="Heading1Char">
    <w:name w:val="Heading 1 Char"/>
    <w:basedOn w:val="DefaultParagraphFont"/>
    <w:link w:val="Heading1"/>
    <w:uiPriority w:val="9"/>
    <w:rsid w:val="00AF61B4"/>
    <w:rPr>
      <w:rFonts w:asciiTheme="majorHAnsi" w:eastAsiaTheme="majorEastAsia" w:hAnsiTheme="majorHAnsi" w:cstheme="majorBidi"/>
      <w:color w:val="2F5496" w:themeColor="accent1" w:themeShade="BF"/>
      <w:sz w:val="32"/>
      <w:szCs w:val="32"/>
    </w:rPr>
  </w:style>
  <w:style w:type="paragraph" w:customStyle="1" w:styleId="Legislation">
    <w:name w:val="Legislation"/>
    <w:basedOn w:val="Normal"/>
    <w:qFormat/>
    <w:rsid w:val="00AF61B4"/>
    <w:pPr>
      <w:jc w:val="center"/>
    </w:pPr>
    <w:rPr>
      <w:i/>
      <w:color w:val="333F48"/>
    </w:rPr>
  </w:style>
  <w:style w:type="paragraph" w:customStyle="1" w:styleId="Legislation-list">
    <w:name w:val="Legislation-list"/>
    <w:basedOn w:val="Numberbullet0"/>
    <w:qFormat/>
    <w:rsid w:val="00AF61B4"/>
    <w:pPr>
      <w:numPr>
        <w:numId w:val="12"/>
      </w:numPr>
      <w:jc w:val="center"/>
    </w:pPr>
    <w:rPr>
      <w:i/>
    </w:rPr>
  </w:style>
  <w:style w:type="paragraph" w:styleId="TOCHeading">
    <w:name w:val="TOC Heading"/>
    <w:basedOn w:val="Heading1"/>
    <w:next w:val="Normal"/>
    <w:uiPriority w:val="39"/>
    <w:unhideWhenUsed/>
    <w:qFormat/>
    <w:rsid w:val="00AF61B4"/>
    <w:pPr>
      <w:outlineLvl w:val="9"/>
    </w:pPr>
    <w:rPr>
      <w:lang w:val="en-US"/>
    </w:rPr>
  </w:style>
  <w:style w:type="character" w:styleId="PlaceholderText">
    <w:name w:val="Placeholder Text"/>
    <w:basedOn w:val="DefaultParagraphFont"/>
    <w:uiPriority w:val="99"/>
    <w:semiHidden/>
    <w:rsid w:val="00AF61B4"/>
    <w:rPr>
      <w:color w:val="808080"/>
    </w:rPr>
  </w:style>
  <w:style w:type="paragraph" w:styleId="Revision">
    <w:name w:val="Revision"/>
    <w:hidden/>
    <w:uiPriority w:val="99"/>
    <w:semiHidden/>
    <w:rsid w:val="00165CF7"/>
    <w:pPr>
      <w:spacing w:after="0" w:line="240" w:lineRule="auto"/>
    </w:pPr>
    <w:rPr>
      <w:rFonts w:ascii="Arial" w:hAnsi="Arial"/>
    </w:rPr>
  </w:style>
  <w:style w:type="character" w:customStyle="1" w:styleId="cf01">
    <w:name w:val="cf01"/>
    <w:basedOn w:val="DefaultParagraphFont"/>
    <w:rsid w:val="00C6381B"/>
    <w:rPr>
      <w:rFonts w:ascii="Segoe UI" w:hAnsi="Segoe UI" w:cs="Segoe UI" w:hint="default"/>
      <w:sz w:val="18"/>
      <w:szCs w:val="18"/>
    </w:rPr>
  </w:style>
  <w:style w:type="paragraph" w:customStyle="1" w:styleId="pf0">
    <w:name w:val="pf0"/>
    <w:basedOn w:val="Normal"/>
    <w:rsid w:val="00C6381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f1">
    <w:name w:val="pf1"/>
    <w:basedOn w:val="Normal"/>
    <w:rsid w:val="004C7F44"/>
    <w:pPr>
      <w:spacing w:before="100" w:beforeAutospacing="1" w:after="100" w:afterAutospacing="1" w:line="240" w:lineRule="auto"/>
      <w:ind w:left="360"/>
    </w:pPr>
    <w:rPr>
      <w:rFonts w:ascii="Times New Roman" w:eastAsia="Times New Roman" w:hAnsi="Times New Roman" w:cs="Times New Roman"/>
      <w:sz w:val="24"/>
      <w:szCs w:val="24"/>
      <w:lang w:eastAsia="en-AU"/>
    </w:rPr>
  </w:style>
  <w:style w:type="character" w:customStyle="1" w:styleId="cf11">
    <w:name w:val="cf11"/>
    <w:basedOn w:val="DefaultParagraphFont"/>
    <w:rsid w:val="004C7F44"/>
    <w:rPr>
      <w:rFonts w:ascii="Segoe UI" w:hAnsi="Segoe UI" w:cs="Segoe UI" w:hint="default"/>
      <w:sz w:val="18"/>
      <w:szCs w:val="18"/>
    </w:rPr>
  </w:style>
  <w:style w:type="character" w:customStyle="1" w:styleId="cf21">
    <w:name w:val="cf21"/>
    <w:basedOn w:val="DefaultParagraphFont"/>
    <w:rsid w:val="004C7F44"/>
    <w:rPr>
      <w:rFonts w:ascii="Segoe UI" w:hAnsi="Segoe UI" w:cs="Segoe UI" w:hint="default"/>
      <w:sz w:val="18"/>
      <w:szCs w:val="18"/>
      <w:shd w:val="clear" w:color="auto" w:fill="FFFF00"/>
    </w:rPr>
  </w:style>
  <w:style w:type="paragraph" w:styleId="NormalWeb">
    <w:name w:val="Normal (Web)"/>
    <w:basedOn w:val="Normal"/>
    <w:uiPriority w:val="99"/>
    <w:semiHidden/>
    <w:unhideWhenUsed/>
    <w:rsid w:val="004C7F4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groupname">
    <w:name w:val="groupname"/>
    <w:basedOn w:val="DefaultParagraphFont"/>
    <w:rsid w:val="00B325F0"/>
  </w:style>
  <w:style w:type="character" w:customStyle="1" w:styleId="author">
    <w:name w:val="author"/>
    <w:basedOn w:val="DefaultParagraphFont"/>
    <w:rsid w:val="00B325F0"/>
  </w:style>
  <w:style w:type="character" w:customStyle="1" w:styleId="pubyear">
    <w:name w:val="pubyear"/>
    <w:basedOn w:val="DefaultParagraphFont"/>
    <w:rsid w:val="00B325F0"/>
  </w:style>
  <w:style w:type="character" w:customStyle="1" w:styleId="articletitle">
    <w:name w:val="articletitle"/>
    <w:basedOn w:val="DefaultParagraphFont"/>
    <w:rsid w:val="00B325F0"/>
  </w:style>
  <w:style w:type="character" w:styleId="FollowedHyperlink">
    <w:name w:val="FollowedHyperlink"/>
    <w:basedOn w:val="DefaultParagraphFont"/>
    <w:uiPriority w:val="99"/>
    <w:semiHidden/>
    <w:unhideWhenUsed/>
    <w:rsid w:val="00FD0B86"/>
    <w:rPr>
      <w:color w:val="954F72" w:themeColor="followedHyperlink"/>
      <w:u w:val="single"/>
    </w:rPr>
  </w:style>
  <w:style w:type="paragraph" w:customStyle="1" w:styleId="Additionallistbullet">
    <w:name w:val="Additional list bullet"/>
    <w:basedOn w:val="ListParagraph"/>
    <w:link w:val="AdditionallistbulletChar"/>
    <w:qFormat/>
    <w:rsid w:val="006E670A"/>
    <w:pPr>
      <w:numPr>
        <w:numId w:val="20"/>
      </w:numPr>
      <w:contextualSpacing w:val="0"/>
    </w:pPr>
    <w:rPr>
      <w:rFonts w:eastAsiaTheme="minorHAnsi" w:cstheme="minorBidi"/>
      <w:color w:val="00B050"/>
      <w:u w:val="single"/>
    </w:rPr>
  </w:style>
  <w:style w:type="character" w:customStyle="1" w:styleId="ListBulletChar">
    <w:name w:val="List Bullet Char"/>
    <w:basedOn w:val="DefaultParagraphFont"/>
    <w:link w:val="ListBullet"/>
    <w:uiPriority w:val="2"/>
    <w:rsid w:val="00DF5A19"/>
    <w:rPr>
      <w:rFonts w:ascii="Arial" w:eastAsia="Cambria" w:hAnsi="Arial" w:cs="Times New Roman"/>
    </w:rPr>
  </w:style>
  <w:style w:type="character" w:customStyle="1" w:styleId="ListParagraphChar">
    <w:name w:val="List Paragraph Char"/>
    <w:basedOn w:val="ListBulletChar"/>
    <w:link w:val="ListParagraph"/>
    <w:uiPriority w:val="34"/>
    <w:rsid w:val="006E49B1"/>
    <w:rPr>
      <w:rFonts w:ascii="Arial" w:eastAsia="Cambria" w:hAnsi="Arial" w:cs="Times New Roman"/>
    </w:rPr>
  </w:style>
  <w:style w:type="character" w:customStyle="1" w:styleId="AdditionallistbulletChar">
    <w:name w:val="Additional list bullet Char"/>
    <w:basedOn w:val="ListParagraphChar"/>
    <w:link w:val="Additionallistbullet"/>
    <w:rsid w:val="006E670A"/>
    <w:rPr>
      <w:rFonts w:ascii="Arial" w:eastAsia="Cambria" w:hAnsi="Arial" w:cs="Times New Roman"/>
      <w:color w:val="00B05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9651">
      <w:bodyDiv w:val="1"/>
      <w:marLeft w:val="0"/>
      <w:marRight w:val="0"/>
      <w:marTop w:val="0"/>
      <w:marBottom w:val="0"/>
      <w:divBdr>
        <w:top w:val="none" w:sz="0" w:space="0" w:color="auto"/>
        <w:left w:val="none" w:sz="0" w:space="0" w:color="auto"/>
        <w:bottom w:val="none" w:sz="0" w:space="0" w:color="auto"/>
        <w:right w:val="none" w:sz="0" w:space="0" w:color="auto"/>
      </w:divBdr>
    </w:div>
    <w:div w:id="140392037">
      <w:bodyDiv w:val="1"/>
      <w:marLeft w:val="0"/>
      <w:marRight w:val="0"/>
      <w:marTop w:val="0"/>
      <w:marBottom w:val="0"/>
      <w:divBdr>
        <w:top w:val="none" w:sz="0" w:space="0" w:color="auto"/>
        <w:left w:val="none" w:sz="0" w:space="0" w:color="auto"/>
        <w:bottom w:val="none" w:sz="0" w:space="0" w:color="auto"/>
        <w:right w:val="none" w:sz="0" w:space="0" w:color="auto"/>
      </w:divBdr>
    </w:div>
    <w:div w:id="632445333">
      <w:bodyDiv w:val="1"/>
      <w:marLeft w:val="0"/>
      <w:marRight w:val="0"/>
      <w:marTop w:val="0"/>
      <w:marBottom w:val="0"/>
      <w:divBdr>
        <w:top w:val="none" w:sz="0" w:space="0" w:color="auto"/>
        <w:left w:val="none" w:sz="0" w:space="0" w:color="auto"/>
        <w:bottom w:val="none" w:sz="0" w:space="0" w:color="auto"/>
        <w:right w:val="none" w:sz="0" w:space="0" w:color="auto"/>
      </w:divBdr>
    </w:div>
    <w:div w:id="650330234">
      <w:bodyDiv w:val="1"/>
      <w:marLeft w:val="0"/>
      <w:marRight w:val="0"/>
      <w:marTop w:val="0"/>
      <w:marBottom w:val="0"/>
      <w:divBdr>
        <w:top w:val="none" w:sz="0" w:space="0" w:color="auto"/>
        <w:left w:val="none" w:sz="0" w:space="0" w:color="auto"/>
        <w:bottom w:val="none" w:sz="0" w:space="0" w:color="auto"/>
        <w:right w:val="none" w:sz="0" w:space="0" w:color="auto"/>
      </w:divBdr>
    </w:div>
    <w:div w:id="653067198">
      <w:bodyDiv w:val="1"/>
      <w:marLeft w:val="0"/>
      <w:marRight w:val="0"/>
      <w:marTop w:val="0"/>
      <w:marBottom w:val="0"/>
      <w:divBdr>
        <w:top w:val="none" w:sz="0" w:space="0" w:color="auto"/>
        <w:left w:val="none" w:sz="0" w:space="0" w:color="auto"/>
        <w:bottom w:val="none" w:sz="0" w:space="0" w:color="auto"/>
        <w:right w:val="none" w:sz="0" w:space="0" w:color="auto"/>
      </w:divBdr>
      <w:divsChild>
        <w:div w:id="124101893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657615728">
      <w:bodyDiv w:val="1"/>
      <w:marLeft w:val="0"/>
      <w:marRight w:val="0"/>
      <w:marTop w:val="0"/>
      <w:marBottom w:val="0"/>
      <w:divBdr>
        <w:top w:val="none" w:sz="0" w:space="0" w:color="auto"/>
        <w:left w:val="none" w:sz="0" w:space="0" w:color="auto"/>
        <w:bottom w:val="none" w:sz="0" w:space="0" w:color="auto"/>
        <w:right w:val="none" w:sz="0" w:space="0" w:color="auto"/>
      </w:divBdr>
    </w:div>
    <w:div w:id="958342806">
      <w:bodyDiv w:val="1"/>
      <w:marLeft w:val="0"/>
      <w:marRight w:val="0"/>
      <w:marTop w:val="0"/>
      <w:marBottom w:val="0"/>
      <w:divBdr>
        <w:top w:val="none" w:sz="0" w:space="0" w:color="auto"/>
        <w:left w:val="none" w:sz="0" w:space="0" w:color="auto"/>
        <w:bottom w:val="none" w:sz="0" w:space="0" w:color="auto"/>
        <w:right w:val="none" w:sz="0" w:space="0" w:color="auto"/>
      </w:divBdr>
    </w:div>
    <w:div w:id="1082606916">
      <w:bodyDiv w:val="1"/>
      <w:marLeft w:val="0"/>
      <w:marRight w:val="0"/>
      <w:marTop w:val="0"/>
      <w:marBottom w:val="0"/>
      <w:divBdr>
        <w:top w:val="none" w:sz="0" w:space="0" w:color="auto"/>
        <w:left w:val="none" w:sz="0" w:space="0" w:color="auto"/>
        <w:bottom w:val="none" w:sz="0" w:space="0" w:color="auto"/>
        <w:right w:val="none" w:sz="0" w:space="0" w:color="auto"/>
      </w:divBdr>
    </w:div>
    <w:div w:id="1264190014">
      <w:bodyDiv w:val="1"/>
      <w:marLeft w:val="0"/>
      <w:marRight w:val="0"/>
      <w:marTop w:val="0"/>
      <w:marBottom w:val="0"/>
      <w:divBdr>
        <w:top w:val="none" w:sz="0" w:space="0" w:color="auto"/>
        <w:left w:val="none" w:sz="0" w:space="0" w:color="auto"/>
        <w:bottom w:val="none" w:sz="0" w:space="0" w:color="auto"/>
        <w:right w:val="none" w:sz="0" w:space="0" w:color="auto"/>
      </w:divBdr>
    </w:div>
    <w:div w:id="1299798466">
      <w:bodyDiv w:val="1"/>
      <w:marLeft w:val="0"/>
      <w:marRight w:val="0"/>
      <w:marTop w:val="0"/>
      <w:marBottom w:val="0"/>
      <w:divBdr>
        <w:top w:val="none" w:sz="0" w:space="0" w:color="auto"/>
        <w:left w:val="none" w:sz="0" w:space="0" w:color="auto"/>
        <w:bottom w:val="none" w:sz="0" w:space="0" w:color="auto"/>
        <w:right w:val="none" w:sz="0" w:space="0" w:color="auto"/>
      </w:divBdr>
    </w:div>
    <w:div w:id="1333871819">
      <w:bodyDiv w:val="1"/>
      <w:marLeft w:val="0"/>
      <w:marRight w:val="0"/>
      <w:marTop w:val="0"/>
      <w:marBottom w:val="0"/>
      <w:divBdr>
        <w:top w:val="none" w:sz="0" w:space="0" w:color="auto"/>
        <w:left w:val="none" w:sz="0" w:space="0" w:color="auto"/>
        <w:bottom w:val="none" w:sz="0" w:space="0" w:color="auto"/>
        <w:right w:val="none" w:sz="0" w:space="0" w:color="auto"/>
      </w:divBdr>
      <w:divsChild>
        <w:div w:id="120876077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83893068">
      <w:bodyDiv w:val="1"/>
      <w:marLeft w:val="0"/>
      <w:marRight w:val="0"/>
      <w:marTop w:val="0"/>
      <w:marBottom w:val="0"/>
      <w:divBdr>
        <w:top w:val="none" w:sz="0" w:space="0" w:color="auto"/>
        <w:left w:val="none" w:sz="0" w:space="0" w:color="auto"/>
        <w:bottom w:val="none" w:sz="0" w:space="0" w:color="auto"/>
        <w:right w:val="none" w:sz="0" w:space="0" w:color="auto"/>
      </w:divBdr>
    </w:div>
    <w:div w:id="194780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ga.gov.au/publication/scheduling-handbook-guidance-amending-poisons-standard" TargetMode="External"/><Relationship Id="rId18" Type="http://schemas.openxmlformats.org/officeDocument/2006/relationships/hyperlink" Target="https://www.tga.gov.au/resources/publication/scheduling-decisions-interim/notice-interim-decisions-proposed-amendments-poisons-standard-acms-42-and-joint-acms-accs-34-june-2023"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consultations.tga.gov.au/tga/scheduling-interim-decision-gte-amygdalin/consultation/published_select_respondent" TargetMode="External"/><Relationship Id="rId7" Type="http://schemas.openxmlformats.org/officeDocument/2006/relationships/endnotes" Target="endnotes.xml"/><Relationship Id="rId12" Type="http://schemas.openxmlformats.org/officeDocument/2006/relationships/hyperlink" Target="https://www.tga.gov.au/publication/ahmac-scheduling-policy-framework-medicines-and-chemicals" TargetMode="External"/><Relationship Id="rId17" Type="http://schemas.openxmlformats.org/officeDocument/2006/relationships/hyperlink" Target="https://consultations.tga.gov.au/tga/scheduling-pre-meeting-june-2023/user_uploads/june-pre-meeting-public-notice-acms--42-acms-accs--34-1.pdf" TargetMode="External"/><Relationship Id="rId25" Type="http://schemas.openxmlformats.org/officeDocument/2006/relationships/hyperlink" Target="https://www.who.int/publications/i/item/978924166065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nsultations.tga.gov.au/tga/scheduling-pre-meeting-june-2023/" TargetMode="External"/><Relationship Id="rId20" Type="http://schemas.openxmlformats.org/officeDocument/2006/relationships/hyperlink" Target="https://consultations.tga.gov.au/tga/scheduling-interim-decision-june-2023" TargetMode="External"/><Relationship Id="rId29"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copyright@tga.gov.au" TargetMode="External"/><Relationship Id="rId24" Type="http://schemas.openxmlformats.org/officeDocument/2006/relationships/hyperlink" Target="https://www.foodstandards.gov.au/sites/default/files/science-data/surveillance/Documents/FINAL%20report%20on%20survey%20of%20cyanogenic%20glycosides%20in%20plant-based%20foods.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ga.gov.au/resources/consultation/consultation-proposed-amendments-poisons-standard-accs-acms-and-joint-accsacms-meetings-november-2022" TargetMode="External"/><Relationship Id="rId23" Type="http://schemas.openxmlformats.org/officeDocument/2006/relationships/hyperlink" Target="https://www.legislation.gov.au/F2024L00209/asmade/text" TargetMode="External"/><Relationship Id="rId28" Type="http://schemas.openxmlformats.org/officeDocument/2006/relationships/hyperlink" Target="mailto:info@tga.gov.au" TargetMode="External"/><Relationship Id="rId10" Type="http://schemas.openxmlformats.org/officeDocument/2006/relationships/footer" Target="footer2.xml"/><Relationship Id="rId19" Type="http://schemas.openxmlformats.org/officeDocument/2006/relationships/hyperlink" Target="https://consultations.tga.gov.au/tga/scheduling-interim-decision-june-2023/consultation/published_select_respondent"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ga.gov.au/resources/artg" TargetMode="External"/><Relationship Id="rId22" Type="http://schemas.openxmlformats.org/officeDocument/2006/relationships/hyperlink" Target="https://consultations.tga.gov.au/tga/scheduling-interim-decision-gte-amygdalin/" TargetMode="External"/><Relationship Id="rId27" Type="http://schemas.openxmlformats.org/officeDocument/2006/relationships/footer" Target="footer3.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55/2017/4289527" TargetMode="External"/><Relationship Id="rId2" Type="http://schemas.openxmlformats.org/officeDocument/2006/relationships/hyperlink" Target="https://doi.org/10.3390/ijms241814270" TargetMode="External"/><Relationship Id="rId1" Type="http://schemas.openxmlformats.org/officeDocument/2006/relationships/hyperlink" Target="https://www.foodstandards.gov.au/sites/default/files/science-data/surveillance/Documents/FINAL%20report%20on%20survey%20of%20cyanogenic%20glycosides%20in%20plant-based%20foo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DABC-F636-4C36-B469-12A47158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2</TotalTime>
  <Pages>9</Pages>
  <Words>2854</Words>
  <Characters>15760</Characters>
  <Application>Microsoft Office Word</Application>
  <DocSecurity>0</DocSecurity>
  <Lines>262</Lines>
  <Paragraphs>113</Paragraphs>
  <ScaleCrop>false</ScaleCrop>
  <HeadingPairs>
    <vt:vector size="2" baseType="variant">
      <vt:variant>
        <vt:lpstr>Title</vt:lpstr>
      </vt:variant>
      <vt:variant>
        <vt:i4>1</vt:i4>
      </vt:variant>
    </vt:vector>
  </HeadingPairs>
  <TitlesOfParts>
    <vt:vector size="1" baseType="lpstr">
      <vt:lpstr>Notice of final decision to amend (or not amend) the current Poisons Standard – amygdalin, hydrocyanic acid and Wild Cherry Bark, Joint ACMS ACCS #34</vt:lpstr>
    </vt:vector>
  </TitlesOfParts>
  <Company>Department of Health and Aged Care</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 to amend (or not amend) the current Poisons Standard – amygdalin, hydrocyanic acid and Wild Cherry Bark, Joint ACMS ACCS #34</dc:title>
  <dc:subject>poisons standard</dc:subject>
  <dc:creator>Therapeutic Goods Administration</dc:creator>
  <cp:keywords/>
  <dc:description/>
  <cp:lastModifiedBy>LACK, Janet</cp:lastModifiedBy>
  <cp:revision>3</cp:revision>
  <dcterms:created xsi:type="dcterms:W3CDTF">2025-02-19T22:28:00Z</dcterms:created>
  <dcterms:modified xsi:type="dcterms:W3CDTF">2025-02-19T22:30:00Z</dcterms:modified>
</cp:coreProperties>
</file>