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F061" w14:textId="77777777" w:rsidR="00F42792" w:rsidRDefault="00F42792"/>
    <w:p w14:paraId="234F7110" w14:textId="77777777" w:rsidR="005F6958" w:rsidRDefault="005F6958"/>
    <w:p w14:paraId="39B132A7" w14:textId="77777777" w:rsidR="005F6958" w:rsidRDefault="005F6958"/>
    <w:p w14:paraId="5324FC21" w14:textId="77777777" w:rsidR="00E02CCC" w:rsidRDefault="00E02CCC" w:rsidP="00E02CCC">
      <w:pPr>
        <w:pStyle w:val="Title"/>
      </w:pPr>
      <w:r w:rsidRPr="00196346">
        <w:t>Literature search and summaries of seven sunscreen active ingredients</w:t>
      </w:r>
    </w:p>
    <w:p w14:paraId="76153772" w14:textId="77777777" w:rsidR="00E02CCC" w:rsidRDefault="00E02CCC" w:rsidP="00E02CCC">
      <w:pPr>
        <w:pStyle w:val="Subtitle"/>
        <w:ind w:left="0"/>
      </w:pPr>
      <w:r w:rsidRPr="00196346">
        <w:t>Butyl methoxydibenzoylmethane (avobenzone), ethylhexyl triazone, homosalate, octocrylene, octyl methoxycinnamate (octinoxate), oxybenzone and phenylbenzimidazole sulfonic acid (PBSA)</w:t>
      </w:r>
    </w:p>
    <w:p w14:paraId="03BA7C82" w14:textId="77777777" w:rsidR="005F6958" w:rsidRDefault="005F6958"/>
    <w:p w14:paraId="24472700" w14:textId="77777777" w:rsidR="005F6958" w:rsidRDefault="005F6958"/>
    <w:p w14:paraId="58AFF611" w14:textId="77777777" w:rsidR="005F6958" w:rsidRDefault="005F6958"/>
    <w:p w14:paraId="717FDB47" w14:textId="77777777" w:rsidR="005F6958" w:rsidRDefault="005F6958"/>
    <w:p w14:paraId="510C26EE" w14:textId="77777777" w:rsidR="005F6958" w:rsidRDefault="005F6958"/>
    <w:p w14:paraId="5A3E6747" w14:textId="77777777" w:rsidR="005F6958" w:rsidRDefault="005F6958"/>
    <w:p w14:paraId="78527E91" w14:textId="77777777" w:rsidR="00E02CCC" w:rsidRDefault="00E02CCC" w:rsidP="00E02CCC">
      <w:pPr>
        <w:pStyle w:val="Date"/>
      </w:pPr>
      <w:r w:rsidRPr="00196346">
        <w:t>4 February 2025</w:t>
      </w:r>
    </w:p>
    <w:p w14:paraId="38FCD5B8" w14:textId="77777777" w:rsidR="005F6958" w:rsidRDefault="005F6958">
      <w:r>
        <w:br w:type="page"/>
      </w:r>
    </w:p>
    <w:p w14:paraId="569FB7E1"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485E09E1" w14:textId="55D97FC0" w:rsidR="0089410A" w:rsidRDefault="00DD3815" w:rsidP="004E2F19">
      <w:pPr>
        <w:pStyle w:val="LegalSubheading"/>
      </w:pPr>
      <w:bookmarkStart w:id="1" w:name="_Toc126664138"/>
      <w:r w:rsidRPr="00DD3815">
        <w:t>© Commonwealth of Australia</w:t>
      </w:r>
      <w:r w:rsidR="00F35094">
        <w:t xml:space="preserve"> 202</w:t>
      </w:r>
      <w:r w:rsidR="00026EBE">
        <w:t>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7" w:history="1">
        <w:r w:rsidRPr="00DD3815">
          <w:rPr>
            <w:rStyle w:val="Hyperlink"/>
            <w:rFonts w:cs="Arial"/>
            <w:b/>
            <w:bCs/>
          </w:rPr>
          <w:t>tga.copyright@tga.gov.au</w:t>
        </w:r>
      </w:hyperlink>
      <w:r w:rsidRPr="00DD3815">
        <w:t>&gt;.</w:t>
      </w:r>
      <w:bookmarkEnd w:id="1"/>
    </w:p>
    <w:p w14:paraId="5AADE018"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5B7ACD03" w14:textId="77777777" w:rsidR="0089410A" w:rsidRPr="00215D48" w:rsidRDefault="0089410A" w:rsidP="0089410A">
          <w:pPr>
            <w:pStyle w:val="NonTOCheading2"/>
          </w:pPr>
          <w:r w:rsidRPr="00215D48">
            <w:t>Contents</w:t>
          </w:r>
        </w:p>
        <w:p w14:paraId="16115A8D" w14:textId="33114B07" w:rsidR="00E94C79"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90081213" w:history="1">
            <w:r w:rsidR="00E94C79" w:rsidRPr="00C12982">
              <w:rPr>
                <w:rStyle w:val="Hyperlink"/>
                <w:noProof/>
              </w:rPr>
              <w:t>Executive summary</w:t>
            </w:r>
            <w:r w:rsidR="00E94C79">
              <w:rPr>
                <w:noProof/>
                <w:webHidden/>
              </w:rPr>
              <w:tab/>
            </w:r>
            <w:r w:rsidR="00E94C79">
              <w:rPr>
                <w:noProof/>
                <w:webHidden/>
              </w:rPr>
              <w:fldChar w:fldCharType="begin"/>
            </w:r>
            <w:r w:rsidR="00E94C79">
              <w:rPr>
                <w:noProof/>
                <w:webHidden/>
              </w:rPr>
              <w:instrText xml:space="preserve"> PAGEREF _Toc190081213 \h </w:instrText>
            </w:r>
            <w:r w:rsidR="00E94C79">
              <w:rPr>
                <w:noProof/>
                <w:webHidden/>
              </w:rPr>
            </w:r>
            <w:r w:rsidR="00E94C79">
              <w:rPr>
                <w:noProof/>
                <w:webHidden/>
              </w:rPr>
              <w:fldChar w:fldCharType="separate"/>
            </w:r>
            <w:r w:rsidR="00E94C79">
              <w:rPr>
                <w:noProof/>
                <w:webHidden/>
              </w:rPr>
              <w:t>4</w:t>
            </w:r>
            <w:r w:rsidR="00E94C79">
              <w:rPr>
                <w:noProof/>
                <w:webHidden/>
              </w:rPr>
              <w:fldChar w:fldCharType="end"/>
            </w:r>
          </w:hyperlink>
        </w:p>
        <w:p w14:paraId="32CB9C81" w14:textId="1E7F8C7D" w:rsidR="00E94C79" w:rsidRDefault="00E94C7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081214" w:history="1">
            <w:r w:rsidRPr="00C12982">
              <w:rPr>
                <w:rStyle w:val="Hyperlink"/>
                <w:noProof/>
              </w:rPr>
              <w:t>Introduction</w:t>
            </w:r>
            <w:r>
              <w:rPr>
                <w:noProof/>
                <w:webHidden/>
              </w:rPr>
              <w:tab/>
            </w:r>
            <w:r>
              <w:rPr>
                <w:noProof/>
                <w:webHidden/>
              </w:rPr>
              <w:fldChar w:fldCharType="begin"/>
            </w:r>
            <w:r>
              <w:rPr>
                <w:noProof/>
                <w:webHidden/>
              </w:rPr>
              <w:instrText xml:space="preserve"> PAGEREF _Toc190081214 \h </w:instrText>
            </w:r>
            <w:r>
              <w:rPr>
                <w:noProof/>
                <w:webHidden/>
              </w:rPr>
            </w:r>
            <w:r>
              <w:rPr>
                <w:noProof/>
                <w:webHidden/>
              </w:rPr>
              <w:fldChar w:fldCharType="separate"/>
            </w:r>
            <w:r>
              <w:rPr>
                <w:noProof/>
                <w:webHidden/>
              </w:rPr>
              <w:t>4</w:t>
            </w:r>
            <w:r>
              <w:rPr>
                <w:noProof/>
                <w:webHidden/>
              </w:rPr>
              <w:fldChar w:fldCharType="end"/>
            </w:r>
          </w:hyperlink>
        </w:p>
        <w:p w14:paraId="483FCD11" w14:textId="3DB7DD6D"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15" w:history="1">
            <w:r w:rsidRPr="00C12982">
              <w:rPr>
                <w:rStyle w:val="Hyperlink"/>
                <w:noProof/>
              </w:rPr>
              <w:t>What are these ingredients</w:t>
            </w:r>
            <w:r>
              <w:rPr>
                <w:noProof/>
                <w:webHidden/>
              </w:rPr>
              <w:tab/>
            </w:r>
            <w:r>
              <w:rPr>
                <w:noProof/>
                <w:webHidden/>
              </w:rPr>
              <w:fldChar w:fldCharType="begin"/>
            </w:r>
            <w:r>
              <w:rPr>
                <w:noProof/>
                <w:webHidden/>
              </w:rPr>
              <w:instrText xml:space="preserve"> PAGEREF _Toc190081215 \h </w:instrText>
            </w:r>
            <w:r>
              <w:rPr>
                <w:noProof/>
                <w:webHidden/>
              </w:rPr>
            </w:r>
            <w:r>
              <w:rPr>
                <w:noProof/>
                <w:webHidden/>
              </w:rPr>
              <w:fldChar w:fldCharType="separate"/>
            </w:r>
            <w:r>
              <w:rPr>
                <w:noProof/>
                <w:webHidden/>
              </w:rPr>
              <w:t>5</w:t>
            </w:r>
            <w:r>
              <w:rPr>
                <w:noProof/>
                <w:webHidden/>
              </w:rPr>
              <w:fldChar w:fldCharType="end"/>
            </w:r>
          </w:hyperlink>
        </w:p>
        <w:p w14:paraId="52AAD499" w14:textId="69DAC254"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16" w:history="1">
            <w:r w:rsidRPr="00C12982">
              <w:rPr>
                <w:rStyle w:val="Hyperlink"/>
                <w:noProof/>
              </w:rPr>
              <w:t>Current restrictions in Australia and overseas</w:t>
            </w:r>
            <w:r>
              <w:rPr>
                <w:noProof/>
                <w:webHidden/>
              </w:rPr>
              <w:tab/>
            </w:r>
            <w:r>
              <w:rPr>
                <w:noProof/>
                <w:webHidden/>
              </w:rPr>
              <w:fldChar w:fldCharType="begin"/>
            </w:r>
            <w:r>
              <w:rPr>
                <w:noProof/>
                <w:webHidden/>
              </w:rPr>
              <w:instrText xml:space="preserve"> PAGEREF _Toc190081216 \h </w:instrText>
            </w:r>
            <w:r>
              <w:rPr>
                <w:noProof/>
                <w:webHidden/>
              </w:rPr>
            </w:r>
            <w:r>
              <w:rPr>
                <w:noProof/>
                <w:webHidden/>
              </w:rPr>
              <w:fldChar w:fldCharType="separate"/>
            </w:r>
            <w:r>
              <w:rPr>
                <w:noProof/>
                <w:webHidden/>
              </w:rPr>
              <w:t>7</w:t>
            </w:r>
            <w:r>
              <w:rPr>
                <w:noProof/>
                <w:webHidden/>
              </w:rPr>
              <w:fldChar w:fldCharType="end"/>
            </w:r>
          </w:hyperlink>
        </w:p>
        <w:p w14:paraId="7EAAE019" w14:textId="683C6BDB"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17" w:history="1">
            <w:r w:rsidRPr="00C12982">
              <w:rPr>
                <w:rStyle w:val="Hyperlink"/>
                <w:noProof/>
              </w:rPr>
              <w:t>Literature search summary</w:t>
            </w:r>
            <w:r>
              <w:rPr>
                <w:noProof/>
                <w:webHidden/>
              </w:rPr>
              <w:tab/>
            </w:r>
            <w:r>
              <w:rPr>
                <w:noProof/>
                <w:webHidden/>
              </w:rPr>
              <w:fldChar w:fldCharType="begin"/>
            </w:r>
            <w:r>
              <w:rPr>
                <w:noProof/>
                <w:webHidden/>
              </w:rPr>
              <w:instrText xml:space="preserve"> PAGEREF _Toc190081217 \h </w:instrText>
            </w:r>
            <w:r>
              <w:rPr>
                <w:noProof/>
                <w:webHidden/>
              </w:rPr>
            </w:r>
            <w:r>
              <w:rPr>
                <w:noProof/>
                <w:webHidden/>
              </w:rPr>
              <w:fldChar w:fldCharType="separate"/>
            </w:r>
            <w:r>
              <w:rPr>
                <w:noProof/>
                <w:webHidden/>
              </w:rPr>
              <w:t>8</w:t>
            </w:r>
            <w:r>
              <w:rPr>
                <w:noProof/>
                <w:webHidden/>
              </w:rPr>
              <w:fldChar w:fldCharType="end"/>
            </w:r>
          </w:hyperlink>
        </w:p>
        <w:p w14:paraId="7C641C35" w14:textId="1D3BD0A6" w:rsidR="00E94C79" w:rsidRDefault="00E94C79">
          <w:pPr>
            <w:pStyle w:val="TOC3"/>
            <w:rPr>
              <w:rFonts w:asciiTheme="minorHAnsi" w:eastAsiaTheme="minorEastAsia" w:hAnsiTheme="minorHAnsi" w:cstheme="minorBidi"/>
              <w:noProof/>
              <w:color w:val="auto"/>
              <w:kern w:val="2"/>
              <w:sz w:val="24"/>
              <w:szCs w:val="24"/>
              <w:lang w:eastAsia="en-AU"/>
              <w14:ligatures w14:val="standardContextual"/>
            </w:rPr>
          </w:pPr>
          <w:hyperlink w:anchor="_Toc190081218" w:history="1">
            <w:r w:rsidRPr="00C12982">
              <w:rPr>
                <w:rStyle w:val="Hyperlink"/>
                <w:noProof/>
              </w:rPr>
              <w:t>Method of data search</w:t>
            </w:r>
            <w:r>
              <w:rPr>
                <w:noProof/>
                <w:webHidden/>
              </w:rPr>
              <w:tab/>
            </w:r>
            <w:r>
              <w:rPr>
                <w:noProof/>
                <w:webHidden/>
              </w:rPr>
              <w:fldChar w:fldCharType="begin"/>
            </w:r>
            <w:r>
              <w:rPr>
                <w:noProof/>
                <w:webHidden/>
              </w:rPr>
              <w:instrText xml:space="preserve"> PAGEREF _Toc190081218 \h </w:instrText>
            </w:r>
            <w:r>
              <w:rPr>
                <w:noProof/>
                <w:webHidden/>
              </w:rPr>
            </w:r>
            <w:r>
              <w:rPr>
                <w:noProof/>
                <w:webHidden/>
              </w:rPr>
              <w:fldChar w:fldCharType="separate"/>
            </w:r>
            <w:r>
              <w:rPr>
                <w:noProof/>
                <w:webHidden/>
              </w:rPr>
              <w:t>8</w:t>
            </w:r>
            <w:r>
              <w:rPr>
                <w:noProof/>
                <w:webHidden/>
              </w:rPr>
              <w:fldChar w:fldCharType="end"/>
            </w:r>
          </w:hyperlink>
        </w:p>
        <w:p w14:paraId="279B2AA5" w14:textId="32EC21C0" w:rsidR="00E94C79" w:rsidRDefault="00E94C7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081219" w:history="1">
            <w:r w:rsidRPr="00C12982">
              <w:rPr>
                <w:rStyle w:val="Hyperlink"/>
                <w:noProof/>
              </w:rPr>
              <w:t>Pharmacokinetics</w:t>
            </w:r>
            <w:r>
              <w:rPr>
                <w:noProof/>
                <w:webHidden/>
              </w:rPr>
              <w:tab/>
            </w:r>
            <w:r>
              <w:rPr>
                <w:noProof/>
                <w:webHidden/>
              </w:rPr>
              <w:fldChar w:fldCharType="begin"/>
            </w:r>
            <w:r>
              <w:rPr>
                <w:noProof/>
                <w:webHidden/>
              </w:rPr>
              <w:instrText xml:space="preserve"> PAGEREF _Toc190081219 \h </w:instrText>
            </w:r>
            <w:r>
              <w:rPr>
                <w:noProof/>
                <w:webHidden/>
              </w:rPr>
            </w:r>
            <w:r>
              <w:rPr>
                <w:noProof/>
                <w:webHidden/>
              </w:rPr>
              <w:fldChar w:fldCharType="separate"/>
            </w:r>
            <w:r>
              <w:rPr>
                <w:noProof/>
                <w:webHidden/>
              </w:rPr>
              <w:t>9</w:t>
            </w:r>
            <w:r>
              <w:rPr>
                <w:noProof/>
                <w:webHidden/>
              </w:rPr>
              <w:fldChar w:fldCharType="end"/>
            </w:r>
          </w:hyperlink>
        </w:p>
        <w:p w14:paraId="06BFCC7E" w14:textId="226DE586" w:rsidR="00E94C79" w:rsidRDefault="00E94C79">
          <w:pPr>
            <w:pStyle w:val="TOC3"/>
            <w:rPr>
              <w:rFonts w:asciiTheme="minorHAnsi" w:eastAsiaTheme="minorEastAsia" w:hAnsiTheme="minorHAnsi" w:cstheme="minorBidi"/>
              <w:noProof/>
              <w:color w:val="auto"/>
              <w:kern w:val="2"/>
              <w:sz w:val="24"/>
              <w:szCs w:val="24"/>
              <w:lang w:eastAsia="en-AU"/>
              <w14:ligatures w14:val="standardContextual"/>
            </w:rPr>
          </w:pPr>
          <w:hyperlink w:anchor="_Toc190081220" w:history="1">
            <w:r w:rsidRPr="00C12982">
              <w:rPr>
                <w:rStyle w:val="Hyperlink"/>
                <w:noProof/>
              </w:rPr>
              <w:t>Avobenzone</w:t>
            </w:r>
            <w:r>
              <w:rPr>
                <w:noProof/>
                <w:webHidden/>
              </w:rPr>
              <w:tab/>
            </w:r>
            <w:r>
              <w:rPr>
                <w:noProof/>
                <w:webHidden/>
              </w:rPr>
              <w:fldChar w:fldCharType="begin"/>
            </w:r>
            <w:r>
              <w:rPr>
                <w:noProof/>
                <w:webHidden/>
              </w:rPr>
              <w:instrText xml:space="preserve"> PAGEREF _Toc190081220 \h </w:instrText>
            </w:r>
            <w:r>
              <w:rPr>
                <w:noProof/>
                <w:webHidden/>
              </w:rPr>
            </w:r>
            <w:r>
              <w:rPr>
                <w:noProof/>
                <w:webHidden/>
              </w:rPr>
              <w:fldChar w:fldCharType="separate"/>
            </w:r>
            <w:r>
              <w:rPr>
                <w:noProof/>
                <w:webHidden/>
              </w:rPr>
              <w:t>9</w:t>
            </w:r>
            <w:r>
              <w:rPr>
                <w:noProof/>
                <w:webHidden/>
              </w:rPr>
              <w:fldChar w:fldCharType="end"/>
            </w:r>
          </w:hyperlink>
        </w:p>
        <w:p w14:paraId="0714BB5E" w14:textId="5578BFC8" w:rsidR="00E94C79" w:rsidRDefault="00E94C79">
          <w:pPr>
            <w:pStyle w:val="TOC3"/>
            <w:rPr>
              <w:rFonts w:asciiTheme="minorHAnsi" w:eastAsiaTheme="minorEastAsia" w:hAnsiTheme="minorHAnsi" w:cstheme="minorBidi"/>
              <w:noProof/>
              <w:color w:val="auto"/>
              <w:kern w:val="2"/>
              <w:sz w:val="24"/>
              <w:szCs w:val="24"/>
              <w:lang w:eastAsia="en-AU"/>
              <w14:ligatures w14:val="standardContextual"/>
            </w:rPr>
          </w:pPr>
          <w:hyperlink w:anchor="_Toc190081221" w:history="1">
            <w:r w:rsidRPr="00C12982">
              <w:rPr>
                <w:rStyle w:val="Hyperlink"/>
                <w:noProof/>
              </w:rPr>
              <w:t>Ethylhexyl triazone</w:t>
            </w:r>
            <w:r>
              <w:rPr>
                <w:noProof/>
                <w:webHidden/>
              </w:rPr>
              <w:tab/>
            </w:r>
            <w:r>
              <w:rPr>
                <w:noProof/>
                <w:webHidden/>
              </w:rPr>
              <w:fldChar w:fldCharType="begin"/>
            </w:r>
            <w:r>
              <w:rPr>
                <w:noProof/>
                <w:webHidden/>
              </w:rPr>
              <w:instrText xml:space="preserve"> PAGEREF _Toc190081221 \h </w:instrText>
            </w:r>
            <w:r>
              <w:rPr>
                <w:noProof/>
                <w:webHidden/>
              </w:rPr>
            </w:r>
            <w:r>
              <w:rPr>
                <w:noProof/>
                <w:webHidden/>
              </w:rPr>
              <w:fldChar w:fldCharType="separate"/>
            </w:r>
            <w:r>
              <w:rPr>
                <w:noProof/>
                <w:webHidden/>
              </w:rPr>
              <w:t>10</w:t>
            </w:r>
            <w:r>
              <w:rPr>
                <w:noProof/>
                <w:webHidden/>
              </w:rPr>
              <w:fldChar w:fldCharType="end"/>
            </w:r>
          </w:hyperlink>
        </w:p>
        <w:p w14:paraId="4164C477" w14:textId="037B177F" w:rsidR="00E94C79" w:rsidRDefault="00E94C79">
          <w:pPr>
            <w:pStyle w:val="TOC3"/>
            <w:rPr>
              <w:rFonts w:asciiTheme="minorHAnsi" w:eastAsiaTheme="minorEastAsia" w:hAnsiTheme="minorHAnsi" w:cstheme="minorBidi"/>
              <w:noProof/>
              <w:color w:val="auto"/>
              <w:kern w:val="2"/>
              <w:sz w:val="24"/>
              <w:szCs w:val="24"/>
              <w:lang w:eastAsia="en-AU"/>
              <w14:ligatures w14:val="standardContextual"/>
            </w:rPr>
          </w:pPr>
          <w:hyperlink w:anchor="_Toc190081222" w:history="1">
            <w:r w:rsidRPr="00C12982">
              <w:rPr>
                <w:rStyle w:val="Hyperlink"/>
                <w:noProof/>
              </w:rPr>
              <w:t>Homosalate</w:t>
            </w:r>
            <w:r>
              <w:rPr>
                <w:noProof/>
                <w:webHidden/>
              </w:rPr>
              <w:tab/>
            </w:r>
            <w:r>
              <w:rPr>
                <w:noProof/>
                <w:webHidden/>
              </w:rPr>
              <w:fldChar w:fldCharType="begin"/>
            </w:r>
            <w:r>
              <w:rPr>
                <w:noProof/>
                <w:webHidden/>
              </w:rPr>
              <w:instrText xml:space="preserve"> PAGEREF _Toc190081222 \h </w:instrText>
            </w:r>
            <w:r>
              <w:rPr>
                <w:noProof/>
                <w:webHidden/>
              </w:rPr>
            </w:r>
            <w:r>
              <w:rPr>
                <w:noProof/>
                <w:webHidden/>
              </w:rPr>
              <w:fldChar w:fldCharType="separate"/>
            </w:r>
            <w:r>
              <w:rPr>
                <w:noProof/>
                <w:webHidden/>
              </w:rPr>
              <w:t>11</w:t>
            </w:r>
            <w:r>
              <w:rPr>
                <w:noProof/>
                <w:webHidden/>
              </w:rPr>
              <w:fldChar w:fldCharType="end"/>
            </w:r>
          </w:hyperlink>
        </w:p>
        <w:p w14:paraId="51D1CF5D" w14:textId="3F1CA48C" w:rsidR="00E94C79" w:rsidRDefault="00E94C79">
          <w:pPr>
            <w:pStyle w:val="TOC3"/>
            <w:rPr>
              <w:rFonts w:asciiTheme="minorHAnsi" w:eastAsiaTheme="minorEastAsia" w:hAnsiTheme="minorHAnsi" w:cstheme="minorBidi"/>
              <w:noProof/>
              <w:color w:val="auto"/>
              <w:kern w:val="2"/>
              <w:sz w:val="24"/>
              <w:szCs w:val="24"/>
              <w:lang w:eastAsia="en-AU"/>
              <w14:ligatures w14:val="standardContextual"/>
            </w:rPr>
          </w:pPr>
          <w:hyperlink w:anchor="_Toc190081223" w:history="1">
            <w:r w:rsidRPr="00C12982">
              <w:rPr>
                <w:rStyle w:val="Hyperlink"/>
                <w:noProof/>
              </w:rPr>
              <w:t>Octocrylene</w:t>
            </w:r>
            <w:r>
              <w:rPr>
                <w:noProof/>
                <w:webHidden/>
              </w:rPr>
              <w:tab/>
            </w:r>
            <w:r>
              <w:rPr>
                <w:noProof/>
                <w:webHidden/>
              </w:rPr>
              <w:fldChar w:fldCharType="begin"/>
            </w:r>
            <w:r>
              <w:rPr>
                <w:noProof/>
                <w:webHidden/>
              </w:rPr>
              <w:instrText xml:space="preserve"> PAGEREF _Toc190081223 \h </w:instrText>
            </w:r>
            <w:r>
              <w:rPr>
                <w:noProof/>
                <w:webHidden/>
              </w:rPr>
            </w:r>
            <w:r>
              <w:rPr>
                <w:noProof/>
                <w:webHidden/>
              </w:rPr>
              <w:fldChar w:fldCharType="separate"/>
            </w:r>
            <w:r>
              <w:rPr>
                <w:noProof/>
                <w:webHidden/>
              </w:rPr>
              <w:t>11</w:t>
            </w:r>
            <w:r>
              <w:rPr>
                <w:noProof/>
                <w:webHidden/>
              </w:rPr>
              <w:fldChar w:fldCharType="end"/>
            </w:r>
          </w:hyperlink>
        </w:p>
        <w:p w14:paraId="790CFD38" w14:textId="11DB204B" w:rsidR="00E94C79" w:rsidRDefault="00E94C79">
          <w:pPr>
            <w:pStyle w:val="TOC3"/>
            <w:rPr>
              <w:rFonts w:asciiTheme="minorHAnsi" w:eastAsiaTheme="minorEastAsia" w:hAnsiTheme="minorHAnsi" w:cstheme="minorBidi"/>
              <w:noProof/>
              <w:color w:val="auto"/>
              <w:kern w:val="2"/>
              <w:sz w:val="24"/>
              <w:szCs w:val="24"/>
              <w:lang w:eastAsia="en-AU"/>
              <w14:ligatures w14:val="standardContextual"/>
            </w:rPr>
          </w:pPr>
          <w:hyperlink w:anchor="_Toc190081224" w:history="1">
            <w:r w:rsidRPr="00C12982">
              <w:rPr>
                <w:rStyle w:val="Hyperlink"/>
                <w:noProof/>
              </w:rPr>
              <w:t>Octinoxate</w:t>
            </w:r>
            <w:r>
              <w:rPr>
                <w:noProof/>
                <w:webHidden/>
              </w:rPr>
              <w:tab/>
            </w:r>
            <w:r>
              <w:rPr>
                <w:noProof/>
                <w:webHidden/>
              </w:rPr>
              <w:fldChar w:fldCharType="begin"/>
            </w:r>
            <w:r>
              <w:rPr>
                <w:noProof/>
                <w:webHidden/>
              </w:rPr>
              <w:instrText xml:space="preserve"> PAGEREF _Toc190081224 \h </w:instrText>
            </w:r>
            <w:r>
              <w:rPr>
                <w:noProof/>
                <w:webHidden/>
              </w:rPr>
            </w:r>
            <w:r>
              <w:rPr>
                <w:noProof/>
                <w:webHidden/>
              </w:rPr>
              <w:fldChar w:fldCharType="separate"/>
            </w:r>
            <w:r>
              <w:rPr>
                <w:noProof/>
                <w:webHidden/>
              </w:rPr>
              <w:t>13</w:t>
            </w:r>
            <w:r>
              <w:rPr>
                <w:noProof/>
                <w:webHidden/>
              </w:rPr>
              <w:fldChar w:fldCharType="end"/>
            </w:r>
          </w:hyperlink>
        </w:p>
        <w:p w14:paraId="025B56C4" w14:textId="1ED48575" w:rsidR="00E94C79" w:rsidRDefault="00E94C79">
          <w:pPr>
            <w:pStyle w:val="TOC3"/>
            <w:rPr>
              <w:rFonts w:asciiTheme="minorHAnsi" w:eastAsiaTheme="minorEastAsia" w:hAnsiTheme="minorHAnsi" w:cstheme="minorBidi"/>
              <w:noProof/>
              <w:color w:val="auto"/>
              <w:kern w:val="2"/>
              <w:sz w:val="24"/>
              <w:szCs w:val="24"/>
              <w:lang w:eastAsia="en-AU"/>
              <w14:ligatures w14:val="standardContextual"/>
            </w:rPr>
          </w:pPr>
          <w:hyperlink w:anchor="_Toc190081225" w:history="1">
            <w:r w:rsidRPr="00C12982">
              <w:rPr>
                <w:rStyle w:val="Hyperlink"/>
                <w:noProof/>
              </w:rPr>
              <w:t>Oxybenzone</w:t>
            </w:r>
            <w:r>
              <w:rPr>
                <w:noProof/>
                <w:webHidden/>
              </w:rPr>
              <w:tab/>
            </w:r>
            <w:r>
              <w:rPr>
                <w:noProof/>
                <w:webHidden/>
              </w:rPr>
              <w:fldChar w:fldCharType="begin"/>
            </w:r>
            <w:r>
              <w:rPr>
                <w:noProof/>
                <w:webHidden/>
              </w:rPr>
              <w:instrText xml:space="preserve"> PAGEREF _Toc190081225 \h </w:instrText>
            </w:r>
            <w:r>
              <w:rPr>
                <w:noProof/>
                <w:webHidden/>
              </w:rPr>
            </w:r>
            <w:r>
              <w:rPr>
                <w:noProof/>
                <w:webHidden/>
              </w:rPr>
              <w:fldChar w:fldCharType="separate"/>
            </w:r>
            <w:r>
              <w:rPr>
                <w:noProof/>
                <w:webHidden/>
              </w:rPr>
              <w:t>14</w:t>
            </w:r>
            <w:r>
              <w:rPr>
                <w:noProof/>
                <w:webHidden/>
              </w:rPr>
              <w:fldChar w:fldCharType="end"/>
            </w:r>
          </w:hyperlink>
        </w:p>
        <w:p w14:paraId="051C55C7" w14:textId="2D3F038E" w:rsidR="00E94C79" w:rsidRDefault="00E94C79">
          <w:pPr>
            <w:pStyle w:val="TOC3"/>
            <w:rPr>
              <w:rFonts w:asciiTheme="minorHAnsi" w:eastAsiaTheme="minorEastAsia" w:hAnsiTheme="minorHAnsi" w:cstheme="minorBidi"/>
              <w:noProof/>
              <w:color w:val="auto"/>
              <w:kern w:val="2"/>
              <w:sz w:val="24"/>
              <w:szCs w:val="24"/>
              <w:lang w:eastAsia="en-AU"/>
              <w14:ligatures w14:val="standardContextual"/>
            </w:rPr>
          </w:pPr>
          <w:hyperlink w:anchor="_Toc190081226" w:history="1">
            <w:r w:rsidRPr="00C12982">
              <w:rPr>
                <w:rStyle w:val="Hyperlink"/>
                <w:noProof/>
              </w:rPr>
              <w:t>Phenylbenzimidazole sulfonic acid</w:t>
            </w:r>
            <w:r>
              <w:rPr>
                <w:noProof/>
                <w:webHidden/>
              </w:rPr>
              <w:tab/>
            </w:r>
            <w:r>
              <w:rPr>
                <w:noProof/>
                <w:webHidden/>
              </w:rPr>
              <w:fldChar w:fldCharType="begin"/>
            </w:r>
            <w:r>
              <w:rPr>
                <w:noProof/>
                <w:webHidden/>
              </w:rPr>
              <w:instrText xml:space="preserve"> PAGEREF _Toc190081226 \h </w:instrText>
            </w:r>
            <w:r>
              <w:rPr>
                <w:noProof/>
                <w:webHidden/>
              </w:rPr>
            </w:r>
            <w:r>
              <w:rPr>
                <w:noProof/>
                <w:webHidden/>
              </w:rPr>
              <w:fldChar w:fldCharType="separate"/>
            </w:r>
            <w:r>
              <w:rPr>
                <w:noProof/>
                <w:webHidden/>
              </w:rPr>
              <w:t>14</w:t>
            </w:r>
            <w:r>
              <w:rPr>
                <w:noProof/>
                <w:webHidden/>
              </w:rPr>
              <w:fldChar w:fldCharType="end"/>
            </w:r>
          </w:hyperlink>
        </w:p>
        <w:p w14:paraId="2B136C18" w14:textId="2C6E2F61" w:rsidR="00E94C79" w:rsidRDefault="00E94C7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081227" w:history="1">
            <w:r w:rsidRPr="00C12982">
              <w:rPr>
                <w:rStyle w:val="Hyperlink"/>
                <w:noProof/>
              </w:rPr>
              <w:t>Clinical trials</w:t>
            </w:r>
            <w:r>
              <w:rPr>
                <w:noProof/>
                <w:webHidden/>
              </w:rPr>
              <w:tab/>
            </w:r>
            <w:r>
              <w:rPr>
                <w:noProof/>
                <w:webHidden/>
              </w:rPr>
              <w:fldChar w:fldCharType="begin"/>
            </w:r>
            <w:r>
              <w:rPr>
                <w:noProof/>
                <w:webHidden/>
              </w:rPr>
              <w:instrText xml:space="preserve"> PAGEREF _Toc190081227 \h </w:instrText>
            </w:r>
            <w:r>
              <w:rPr>
                <w:noProof/>
                <w:webHidden/>
              </w:rPr>
            </w:r>
            <w:r>
              <w:rPr>
                <w:noProof/>
                <w:webHidden/>
              </w:rPr>
              <w:fldChar w:fldCharType="separate"/>
            </w:r>
            <w:r>
              <w:rPr>
                <w:noProof/>
                <w:webHidden/>
              </w:rPr>
              <w:t>15</w:t>
            </w:r>
            <w:r>
              <w:rPr>
                <w:noProof/>
                <w:webHidden/>
              </w:rPr>
              <w:fldChar w:fldCharType="end"/>
            </w:r>
          </w:hyperlink>
        </w:p>
        <w:p w14:paraId="2326930D" w14:textId="7DC53522" w:rsidR="00E94C79" w:rsidRDefault="00E94C7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081228" w:history="1">
            <w:r w:rsidRPr="00C12982">
              <w:rPr>
                <w:rStyle w:val="Hyperlink"/>
                <w:noProof/>
              </w:rPr>
              <w:t>Toxicity</w:t>
            </w:r>
            <w:r>
              <w:rPr>
                <w:noProof/>
                <w:webHidden/>
              </w:rPr>
              <w:tab/>
            </w:r>
            <w:r>
              <w:rPr>
                <w:noProof/>
                <w:webHidden/>
              </w:rPr>
              <w:fldChar w:fldCharType="begin"/>
            </w:r>
            <w:r>
              <w:rPr>
                <w:noProof/>
                <w:webHidden/>
              </w:rPr>
              <w:instrText xml:space="preserve"> PAGEREF _Toc190081228 \h </w:instrText>
            </w:r>
            <w:r>
              <w:rPr>
                <w:noProof/>
                <w:webHidden/>
              </w:rPr>
            </w:r>
            <w:r>
              <w:rPr>
                <w:noProof/>
                <w:webHidden/>
              </w:rPr>
              <w:fldChar w:fldCharType="separate"/>
            </w:r>
            <w:r>
              <w:rPr>
                <w:noProof/>
                <w:webHidden/>
              </w:rPr>
              <w:t>16</w:t>
            </w:r>
            <w:r>
              <w:rPr>
                <w:noProof/>
                <w:webHidden/>
              </w:rPr>
              <w:fldChar w:fldCharType="end"/>
            </w:r>
          </w:hyperlink>
        </w:p>
        <w:p w14:paraId="19E4291D" w14:textId="4E0C4722"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29" w:history="1">
            <w:r w:rsidRPr="00C12982">
              <w:rPr>
                <w:rStyle w:val="Hyperlink"/>
                <w:noProof/>
              </w:rPr>
              <w:t>Acute toxicity</w:t>
            </w:r>
            <w:r>
              <w:rPr>
                <w:noProof/>
                <w:webHidden/>
              </w:rPr>
              <w:tab/>
            </w:r>
            <w:r>
              <w:rPr>
                <w:noProof/>
                <w:webHidden/>
              </w:rPr>
              <w:fldChar w:fldCharType="begin"/>
            </w:r>
            <w:r>
              <w:rPr>
                <w:noProof/>
                <w:webHidden/>
              </w:rPr>
              <w:instrText xml:space="preserve"> PAGEREF _Toc190081229 \h </w:instrText>
            </w:r>
            <w:r>
              <w:rPr>
                <w:noProof/>
                <w:webHidden/>
              </w:rPr>
            </w:r>
            <w:r>
              <w:rPr>
                <w:noProof/>
                <w:webHidden/>
              </w:rPr>
              <w:fldChar w:fldCharType="separate"/>
            </w:r>
            <w:r>
              <w:rPr>
                <w:noProof/>
                <w:webHidden/>
              </w:rPr>
              <w:t>16</w:t>
            </w:r>
            <w:r>
              <w:rPr>
                <w:noProof/>
                <w:webHidden/>
              </w:rPr>
              <w:fldChar w:fldCharType="end"/>
            </w:r>
          </w:hyperlink>
        </w:p>
        <w:p w14:paraId="6109EF06" w14:textId="20C00B23"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30" w:history="1">
            <w:r w:rsidRPr="00C12982">
              <w:rPr>
                <w:rStyle w:val="Hyperlink"/>
                <w:noProof/>
              </w:rPr>
              <w:t>Local tolerance</w:t>
            </w:r>
            <w:r>
              <w:rPr>
                <w:noProof/>
                <w:webHidden/>
              </w:rPr>
              <w:tab/>
            </w:r>
            <w:r>
              <w:rPr>
                <w:noProof/>
                <w:webHidden/>
              </w:rPr>
              <w:fldChar w:fldCharType="begin"/>
            </w:r>
            <w:r>
              <w:rPr>
                <w:noProof/>
                <w:webHidden/>
              </w:rPr>
              <w:instrText xml:space="preserve"> PAGEREF _Toc190081230 \h </w:instrText>
            </w:r>
            <w:r>
              <w:rPr>
                <w:noProof/>
                <w:webHidden/>
              </w:rPr>
            </w:r>
            <w:r>
              <w:rPr>
                <w:noProof/>
                <w:webHidden/>
              </w:rPr>
              <w:fldChar w:fldCharType="separate"/>
            </w:r>
            <w:r>
              <w:rPr>
                <w:noProof/>
                <w:webHidden/>
              </w:rPr>
              <w:t>17</w:t>
            </w:r>
            <w:r>
              <w:rPr>
                <w:noProof/>
                <w:webHidden/>
              </w:rPr>
              <w:fldChar w:fldCharType="end"/>
            </w:r>
          </w:hyperlink>
        </w:p>
        <w:p w14:paraId="5523A530" w14:textId="573A7B19"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31" w:history="1">
            <w:r w:rsidRPr="00C12982">
              <w:rPr>
                <w:rStyle w:val="Hyperlink"/>
                <w:noProof/>
              </w:rPr>
              <w:t>Sensitisation</w:t>
            </w:r>
            <w:r>
              <w:rPr>
                <w:noProof/>
                <w:webHidden/>
              </w:rPr>
              <w:tab/>
            </w:r>
            <w:r>
              <w:rPr>
                <w:noProof/>
                <w:webHidden/>
              </w:rPr>
              <w:fldChar w:fldCharType="begin"/>
            </w:r>
            <w:r>
              <w:rPr>
                <w:noProof/>
                <w:webHidden/>
              </w:rPr>
              <w:instrText xml:space="preserve"> PAGEREF _Toc190081231 \h </w:instrText>
            </w:r>
            <w:r>
              <w:rPr>
                <w:noProof/>
                <w:webHidden/>
              </w:rPr>
            </w:r>
            <w:r>
              <w:rPr>
                <w:noProof/>
                <w:webHidden/>
              </w:rPr>
              <w:fldChar w:fldCharType="separate"/>
            </w:r>
            <w:r>
              <w:rPr>
                <w:noProof/>
                <w:webHidden/>
              </w:rPr>
              <w:t>18</w:t>
            </w:r>
            <w:r>
              <w:rPr>
                <w:noProof/>
                <w:webHidden/>
              </w:rPr>
              <w:fldChar w:fldCharType="end"/>
            </w:r>
          </w:hyperlink>
        </w:p>
        <w:p w14:paraId="53850917" w14:textId="53E10973"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32" w:history="1">
            <w:r w:rsidRPr="00C12982">
              <w:rPr>
                <w:rStyle w:val="Hyperlink"/>
                <w:noProof/>
              </w:rPr>
              <w:t>Repeat dose toxicity</w:t>
            </w:r>
            <w:r>
              <w:rPr>
                <w:noProof/>
                <w:webHidden/>
              </w:rPr>
              <w:tab/>
            </w:r>
            <w:r>
              <w:rPr>
                <w:noProof/>
                <w:webHidden/>
              </w:rPr>
              <w:fldChar w:fldCharType="begin"/>
            </w:r>
            <w:r>
              <w:rPr>
                <w:noProof/>
                <w:webHidden/>
              </w:rPr>
              <w:instrText xml:space="preserve"> PAGEREF _Toc190081232 \h </w:instrText>
            </w:r>
            <w:r>
              <w:rPr>
                <w:noProof/>
                <w:webHidden/>
              </w:rPr>
            </w:r>
            <w:r>
              <w:rPr>
                <w:noProof/>
                <w:webHidden/>
              </w:rPr>
              <w:fldChar w:fldCharType="separate"/>
            </w:r>
            <w:r>
              <w:rPr>
                <w:noProof/>
                <w:webHidden/>
              </w:rPr>
              <w:t>18</w:t>
            </w:r>
            <w:r>
              <w:rPr>
                <w:noProof/>
                <w:webHidden/>
              </w:rPr>
              <w:fldChar w:fldCharType="end"/>
            </w:r>
          </w:hyperlink>
        </w:p>
        <w:p w14:paraId="31BA8B5A" w14:textId="4B704C3C"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33" w:history="1">
            <w:r w:rsidRPr="00C12982">
              <w:rPr>
                <w:rStyle w:val="Hyperlink"/>
                <w:noProof/>
              </w:rPr>
              <w:t>Genotoxicity</w:t>
            </w:r>
            <w:r>
              <w:rPr>
                <w:noProof/>
                <w:webHidden/>
              </w:rPr>
              <w:tab/>
            </w:r>
            <w:r>
              <w:rPr>
                <w:noProof/>
                <w:webHidden/>
              </w:rPr>
              <w:fldChar w:fldCharType="begin"/>
            </w:r>
            <w:r>
              <w:rPr>
                <w:noProof/>
                <w:webHidden/>
              </w:rPr>
              <w:instrText xml:space="preserve"> PAGEREF _Toc190081233 \h </w:instrText>
            </w:r>
            <w:r>
              <w:rPr>
                <w:noProof/>
                <w:webHidden/>
              </w:rPr>
            </w:r>
            <w:r>
              <w:rPr>
                <w:noProof/>
                <w:webHidden/>
              </w:rPr>
              <w:fldChar w:fldCharType="separate"/>
            </w:r>
            <w:r>
              <w:rPr>
                <w:noProof/>
                <w:webHidden/>
              </w:rPr>
              <w:t>26</w:t>
            </w:r>
            <w:r>
              <w:rPr>
                <w:noProof/>
                <w:webHidden/>
              </w:rPr>
              <w:fldChar w:fldCharType="end"/>
            </w:r>
          </w:hyperlink>
        </w:p>
        <w:p w14:paraId="5C80C6EC" w14:textId="5FBA91CD"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34" w:history="1">
            <w:r w:rsidRPr="00C12982">
              <w:rPr>
                <w:rStyle w:val="Hyperlink"/>
                <w:noProof/>
              </w:rPr>
              <w:t>Carcinogenicity</w:t>
            </w:r>
            <w:r>
              <w:rPr>
                <w:noProof/>
                <w:webHidden/>
              </w:rPr>
              <w:tab/>
            </w:r>
            <w:r>
              <w:rPr>
                <w:noProof/>
                <w:webHidden/>
              </w:rPr>
              <w:fldChar w:fldCharType="begin"/>
            </w:r>
            <w:r>
              <w:rPr>
                <w:noProof/>
                <w:webHidden/>
              </w:rPr>
              <w:instrText xml:space="preserve"> PAGEREF _Toc190081234 \h </w:instrText>
            </w:r>
            <w:r>
              <w:rPr>
                <w:noProof/>
                <w:webHidden/>
              </w:rPr>
            </w:r>
            <w:r>
              <w:rPr>
                <w:noProof/>
                <w:webHidden/>
              </w:rPr>
              <w:fldChar w:fldCharType="separate"/>
            </w:r>
            <w:r>
              <w:rPr>
                <w:noProof/>
                <w:webHidden/>
              </w:rPr>
              <w:t>27</w:t>
            </w:r>
            <w:r>
              <w:rPr>
                <w:noProof/>
                <w:webHidden/>
              </w:rPr>
              <w:fldChar w:fldCharType="end"/>
            </w:r>
          </w:hyperlink>
        </w:p>
        <w:p w14:paraId="535C33A9" w14:textId="30873469"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35" w:history="1">
            <w:r w:rsidRPr="00C12982">
              <w:rPr>
                <w:rStyle w:val="Hyperlink"/>
                <w:noProof/>
              </w:rPr>
              <w:t>Reproductive and developmental studies</w:t>
            </w:r>
            <w:r>
              <w:rPr>
                <w:noProof/>
                <w:webHidden/>
              </w:rPr>
              <w:tab/>
            </w:r>
            <w:r>
              <w:rPr>
                <w:noProof/>
                <w:webHidden/>
              </w:rPr>
              <w:fldChar w:fldCharType="begin"/>
            </w:r>
            <w:r>
              <w:rPr>
                <w:noProof/>
                <w:webHidden/>
              </w:rPr>
              <w:instrText xml:space="preserve"> PAGEREF _Toc190081235 \h </w:instrText>
            </w:r>
            <w:r>
              <w:rPr>
                <w:noProof/>
                <w:webHidden/>
              </w:rPr>
            </w:r>
            <w:r>
              <w:rPr>
                <w:noProof/>
                <w:webHidden/>
              </w:rPr>
              <w:fldChar w:fldCharType="separate"/>
            </w:r>
            <w:r>
              <w:rPr>
                <w:noProof/>
                <w:webHidden/>
              </w:rPr>
              <w:t>28</w:t>
            </w:r>
            <w:r>
              <w:rPr>
                <w:noProof/>
                <w:webHidden/>
              </w:rPr>
              <w:fldChar w:fldCharType="end"/>
            </w:r>
          </w:hyperlink>
        </w:p>
        <w:p w14:paraId="1336B1C4" w14:textId="2019E346"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36" w:history="1">
            <w:r w:rsidRPr="00C12982">
              <w:rPr>
                <w:rStyle w:val="Hyperlink"/>
                <w:noProof/>
              </w:rPr>
              <w:t>Endocrine activity modulation</w:t>
            </w:r>
            <w:r>
              <w:rPr>
                <w:noProof/>
                <w:webHidden/>
              </w:rPr>
              <w:tab/>
            </w:r>
            <w:r>
              <w:rPr>
                <w:noProof/>
                <w:webHidden/>
              </w:rPr>
              <w:fldChar w:fldCharType="begin"/>
            </w:r>
            <w:r>
              <w:rPr>
                <w:noProof/>
                <w:webHidden/>
              </w:rPr>
              <w:instrText xml:space="preserve"> PAGEREF _Toc190081236 \h </w:instrText>
            </w:r>
            <w:r>
              <w:rPr>
                <w:noProof/>
                <w:webHidden/>
              </w:rPr>
            </w:r>
            <w:r>
              <w:rPr>
                <w:noProof/>
                <w:webHidden/>
              </w:rPr>
              <w:fldChar w:fldCharType="separate"/>
            </w:r>
            <w:r>
              <w:rPr>
                <w:noProof/>
                <w:webHidden/>
              </w:rPr>
              <w:t>32</w:t>
            </w:r>
            <w:r>
              <w:rPr>
                <w:noProof/>
                <w:webHidden/>
              </w:rPr>
              <w:fldChar w:fldCharType="end"/>
            </w:r>
          </w:hyperlink>
        </w:p>
        <w:p w14:paraId="344E57BD" w14:textId="470276BC"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37" w:history="1">
            <w:r w:rsidRPr="00C12982">
              <w:rPr>
                <w:rStyle w:val="Hyperlink"/>
                <w:noProof/>
              </w:rPr>
              <w:t>Other studies</w:t>
            </w:r>
            <w:r>
              <w:rPr>
                <w:noProof/>
                <w:webHidden/>
              </w:rPr>
              <w:tab/>
            </w:r>
            <w:r>
              <w:rPr>
                <w:noProof/>
                <w:webHidden/>
              </w:rPr>
              <w:fldChar w:fldCharType="begin"/>
            </w:r>
            <w:r>
              <w:rPr>
                <w:noProof/>
                <w:webHidden/>
              </w:rPr>
              <w:instrText xml:space="preserve"> PAGEREF _Toc190081237 \h </w:instrText>
            </w:r>
            <w:r>
              <w:rPr>
                <w:noProof/>
                <w:webHidden/>
              </w:rPr>
            </w:r>
            <w:r>
              <w:rPr>
                <w:noProof/>
                <w:webHidden/>
              </w:rPr>
              <w:fldChar w:fldCharType="separate"/>
            </w:r>
            <w:r>
              <w:rPr>
                <w:noProof/>
                <w:webHidden/>
              </w:rPr>
              <w:t>36</w:t>
            </w:r>
            <w:r>
              <w:rPr>
                <w:noProof/>
                <w:webHidden/>
              </w:rPr>
              <w:fldChar w:fldCharType="end"/>
            </w:r>
          </w:hyperlink>
        </w:p>
        <w:p w14:paraId="3C88B598" w14:textId="379545BD" w:rsidR="00E94C79" w:rsidRDefault="00E94C79">
          <w:pPr>
            <w:pStyle w:val="TOC2"/>
            <w:rPr>
              <w:rFonts w:asciiTheme="minorHAnsi" w:eastAsiaTheme="minorEastAsia" w:hAnsiTheme="minorHAnsi" w:cstheme="minorBidi"/>
              <w:noProof/>
              <w:color w:val="auto"/>
              <w:kern w:val="2"/>
              <w:szCs w:val="24"/>
              <w:lang w:eastAsia="en-AU"/>
              <w14:ligatures w14:val="standardContextual"/>
            </w:rPr>
          </w:pPr>
          <w:hyperlink w:anchor="_Toc190081238" w:history="1">
            <w:r w:rsidRPr="00C12982">
              <w:rPr>
                <w:rStyle w:val="Hyperlink"/>
                <w:noProof/>
              </w:rPr>
              <w:t>NOAEL and DA values for risk assessment</w:t>
            </w:r>
            <w:r>
              <w:rPr>
                <w:noProof/>
                <w:webHidden/>
              </w:rPr>
              <w:tab/>
            </w:r>
            <w:r>
              <w:rPr>
                <w:noProof/>
                <w:webHidden/>
              </w:rPr>
              <w:fldChar w:fldCharType="begin"/>
            </w:r>
            <w:r>
              <w:rPr>
                <w:noProof/>
                <w:webHidden/>
              </w:rPr>
              <w:instrText xml:space="preserve"> PAGEREF _Toc190081238 \h </w:instrText>
            </w:r>
            <w:r>
              <w:rPr>
                <w:noProof/>
                <w:webHidden/>
              </w:rPr>
            </w:r>
            <w:r>
              <w:rPr>
                <w:noProof/>
                <w:webHidden/>
              </w:rPr>
              <w:fldChar w:fldCharType="separate"/>
            </w:r>
            <w:r>
              <w:rPr>
                <w:noProof/>
                <w:webHidden/>
              </w:rPr>
              <w:t>40</w:t>
            </w:r>
            <w:r>
              <w:rPr>
                <w:noProof/>
                <w:webHidden/>
              </w:rPr>
              <w:fldChar w:fldCharType="end"/>
            </w:r>
          </w:hyperlink>
        </w:p>
        <w:p w14:paraId="63AB4A14" w14:textId="5DAB9545" w:rsidR="00E94C79" w:rsidRDefault="00E94C7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081239" w:history="1">
            <w:r w:rsidRPr="00C12982">
              <w:rPr>
                <w:rStyle w:val="Hyperlink"/>
                <w:noProof/>
              </w:rPr>
              <w:t>APPENDIX</w:t>
            </w:r>
            <w:r>
              <w:rPr>
                <w:noProof/>
                <w:webHidden/>
              </w:rPr>
              <w:tab/>
            </w:r>
            <w:r>
              <w:rPr>
                <w:noProof/>
                <w:webHidden/>
              </w:rPr>
              <w:fldChar w:fldCharType="begin"/>
            </w:r>
            <w:r>
              <w:rPr>
                <w:noProof/>
                <w:webHidden/>
              </w:rPr>
              <w:instrText xml:space="preserve"> PAGEREF _Toc190081239 \h </w:instrText>
            </w:r>
            <w:r>
              <w:rPr>
                <w:noProof/>
                <w:webHidden/>
              </w:rPr>
            </w:r>
            <w:r>
              <w:rPr>
                <w:noProof/>
                <w:webHidden/>
              </w:rPr>
              <w:fldChar w:fldCharType="separate"/>
            </w:r>
            <w:r>
              <w:rPr>
                <w:noProof/>
                <w:webHidden/>
              </w:rPr>
              <w:t>41</w:t>
            </w:r>
            <w:r>
              <w:rPr>
                <w:noProof/>
                <w:webHidden/>
              </w:rPr>
              <w:fldChar w:fldCharType="end"/>
            </w:r>
          </w:hyperlink>
        </w:p>
        <w:p w14:paraId="3D45D481" w14:textId="7A879984" w:rsidR="00E94C79" w:rsidRDefault="00E94C79">
          <w:pPr>
            <w:pStyle w:val="TOC3"/>
            <w:rPr>
              <w:rFonts w:asciiTheme="minorHAnsi" w:eastAsiaTheme="minorEastAsia" w:hAnsiTheme="minorHAnsi" w:cstheme="minorBidi"/>
              <w:noProof/>
              <w:color w:val="auto"/>
              <w:kern w:val="2"/>
              <w:sz w:val="24"/>
              <w:szCs w:val="24"/>
              <w:lang w:eastAsia="en-AU"/>
              <w14:ligatures w14:val="standardContextual"/>
            </w:rPr>
          </w:pPr>
          <w:hyperlink w:anchor="_Toc190081240" w:history="1">
            <w:r w:rsidRPr="00C12982">
              <w:rPr>
                <w:rStyle w:val="Hyperlink"/>
                <w:noProof/>
              </w:rPr>
              <w:t>Search strategy</w:t>
            </w:r>
            <w:r>
              <w:rPr>
                <w:noProof/>
                <w:webHidden/>
              </w:rPr>
              <w:tab/>
            </w:r>
            <w:r>
              <w:rPr>
                <w:noProof/>
                <w:webHidden/>
              </w:rPr>
              <w:fldChar w:fldCharType="begin"/>
            </w:r>
            <w:r>
              <w:rPr>
                <w:noProof/>
                <w:webHidden/>
              </w:rPr>
              <w:instrText xml:space="preserve"> PAGEREF _Toc190081240 \h </w:instrText>
            </w:r>
            <w:r>
              <w:rPr>
                <w:noProof/>
                <w:webHidden/>
              </w:rPr>
            </w:r>
            <w:r>
              <w:rPr>
                <w:noProof/>
                <w:webHidden/>
              </w:rPr>
              <w:fldChar w:fldCharType="separate"/>
            </w:r>
            <w:r>
              <w:rPr>
                <w:noProof/>
                <w:webHidden/>
              </w:rPr>
              <w:t>41</w:t>
            </w:r>
            <w:r>
              <w:rPr>
                <w:noProof/>
                <w:webHidden/>
              </w:rPr>
              <w:fldChar w:fldCharType="end"/>
            </w:r>
          </w:hyperlink>
        </w:p>
        <w:p w14:paraId="3AF640A4" w14:textId="4B947F87" w:rsidR="00E94C79" w:rsidRDefault="00E94C7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081241" w:history="1">
            <w:r w:rsidRPr="00C12982">
              <w:rPr>
                <w:rStyle w:val="Hyperlink"/>
                <w:noProof/>
              </w:rPr>
              <w:t>BIBLIOGRAPHY</w:t>
            </w:r>
            <w:r>
              <w:rPr>
                <w:noProof/>
                <w:webHidden/>
              </w:rPr>
              <w:tab/>
            </w:r>
            <w:r>
              <w:rPr>
                <w:noProof/>
                <w:webHidden/>
              </w:rPr>
              <w:fldChar w:fldCharType="begin"/>
            </w:r>
            <w:r>
              <w:rPr>
                <w:noProof/>
                <w:webHidden/>
              </w:rPr>
              <w:instrText xml:space="preserve"> PAGEREF _Toc190081241 \h </w:instrText>
            </w:r>
            <w:r>
              <w:rPr>
                <w:noProof/>
                <w:webHidden/>
              </w:rPr>
            </w:r>
            <w:r>
              <w:rPr>
                <w:noProof/>
                <w:webHidden/>
              </w:rPr>
              <w:fldChar w:fldCharType="separate"/>
            </w:r>
            <w:r>
              <w:rPr>
                <w:noProof/>
                <w:webHidden/>
              </w:rPr>
              <w:t>45</w:t>
            </w:r>
            <w:r>
              <w:rPr>
                <w:noProof/>
                <w:webHidden/>
              </w:rPr>
              <w:fldChar w:fldCharType="end"/>
            </w:r>
          </w:hyperlink>
        </w:p>
        <w:p w14:paraId="3DF597D4" w14:textId="141A9D03" w:rsidR="0089410A" w:rsidRDefault="0089410A" w:rsidP="0089410A">
          <w:r w:rsidRPr="00215D48">
            <w:fldChar w:fldCharType="end"/>
          </w:r>
        </w:p>
      </w:sdtContent>
    </w:sdt>
    <w:p w14:paraId="11CE6B52" w14:textId="77777777" w:rsidR="0089410A" w:rsidRDefault="0089410A"/>
    <w:p w14:paraId="36F7F152" w14:textId="77777777" w:rsidR="00DD3815" w:rsidRDefault="00DD3815" w:rsidP="00DD3815">
      <w:pPr>
        <w:pStyle w:val="LegalSubheading"/>
        <w:rPr>
          <w:b/>
          <w:bCs/>
        </w:rPr>
      </w:pPr>
    </w:p>
    <w:p w14:paraId="60F1AA08" w14:textId="77777777" w:rsidR="0089410A" w:rsidRDefault="0089410A">
      <w:pPr>
        <w:rPr>
          <w:rFonts w:eastAsia="Cambria" w:cs="Times New Roman"/>
          <w:bCs/>
          <w:color w:val="333F4A"/>
          <w:sz w:val="17"/>
        </w:rPr>
      </w:pPr>
      <w:r>
        <w:rPr>
          <w:b/>
          <w:bCs/>
        </w:rPr>
        <w:br w:type="page"/>
      </w:r>
    </w:p>
    <w:p w14:paraId="46B30D61" w14:textId="77777777" w:rsidR="00026EBE" w:rsidRDefault="00026EBE" w:rsidP="00026EBE">
      <w:pPr>
        <w:pStyle w:val="Heading2"/>
        <w:rPr>
          <w:rFonts w:asciiTheme="minorHAnsi" w:hAnsiTheme="minorHAnsi" w:cstheme="minorHAnsi"/>
        </w:rPr>
      </w:pPr>
      <w:bookmarkStart w:id="2" w:name="_Toc173830108"/>
      <w:bookmarkStart w:id="3" w:name="_Toc189819943"/>
      <w:bookmarkStart w:id="4" w:name="_Toc190081213"/>
      <w:r>
        <w:t>Executive summary</w:t>
      </w:r>
      <w:bookmarkEnd w:id="2"/>
      <w:bookmarkEnd w:id="3"/>
      <w:bookmarkEnd w:id="4"/>
    </w:p>
    <w:p w14:paraId="5E15260B" w14:textId="77777777" w:rsidR="00026EBE" w:rsidRPr="00196346" w:rsidRDefault="00026EBE" w:rsidP="00026EBE">
      <w:pPr>
        <w:spacing w:line="240" w:lineRule="auto"/>
        <w:rPr>
          <w:rFonts w:asciiTheme="minorHAnsi" w:hAnsiTheme="minorHAnsi" w:cstheme="minorHAnsi"/>
        </w:rPr>
      </w:pPr>
      <w:r>
        <w:rPr>
          <w:rFonts w:asciiTheme="minorHAnsi" w:hAnsiTheme="minorHAnsi" w:cstheme="minorHAnsi"/>
        </w:rPr>
        <w:t>We have</w:t>
      </w:r>
      <w:r w:rsidRPr="00196346">
        <w:rPr>
          <w:rFonts w:asciiTheme="minorHAnsi" w:hAnsiTheme="minorHAnsi" w:cstheme="minorHAnsi"/>
        </w:rPr>
        <w:t xml:space="preserve"> conducted a literature search investigating information relevant to the safety assessment of the following seven sunscreen active ingredients available for use in Australia:</w:t>
      </w:r>
    </w:p>
    <w:p w14:paraId="6C614BBC" w14:textId="77777777" w:rsidR="00026EBE" w:rsidRPr="00681DCD" w:rsidRDefault="00026EBE" w:rsidP="00026EBE">
      <w:pPr>
        <w:pStyle w:val="ListBullet"/>
      </w:pPr>
      <w:bookmarkStart w:id="5" w:name="_Hlk105661088"/>
      <w:r>
        <w:t>b</w:t>
      </w:r>
      <w:r w:rsidRPr="00681DCD">
        <w:t>utyl methoxydibenzoylmethane</w:t>
      </w:r>
      <w:r w:rsidRPr="00F07EE8">
        <w:t xml:space="preserve"> </w:t>
      </w:r>
      <w:r>
        <w:t>(a</w:t>
      </w:r>
      <w:r w:rsidRPr="00681DCD">
        <w:t>vobenzone)</w:t>
      </w:r>
    </w:p>
    <w:p w14:paraId="6BA36008" w14:textId="77777777" w:rsidR="00026EBE" w:rsidRPr="00681DCD" w:rsidRDefault="00026EBE" w:rsidP="00026EBE">
      <w:pPr>
        <w:pStyle w:val="ListBullet"/>
      </w:pPr>
      <w:r w:rsidRPr="00681DCD">
        <w:t xml:space="preserve">ethylhexyl triazone </w:t>
      </w:r>
    </w:p>
    <w:p w14:paraId="75A8131B" w14:textId="77777777" w:rsidR="00026EBE" w:rsidRPr="00681DCD" w:rsidRDefault="00026EBE" w:rsidP="00026EBE">
      <w:pPr>
        <w:pStyle w:val="ListBullet"/>
      </w:pPr>
      <w:r w:rsidRPr="00681DCD">
        <w:t>homosalate</w:t>
      </w:r>
    </w:p>
    <w:p w14:paraId="4BF1EAEB" w14:textId="77777777" w:rsidR="00026EBE" w:rsidRPr="00681DCD" w:rsidRDefault="00026EBE" w:rsidP="00026EBE">
      <w:pPr>
        <w:pStyle w:val="ListBullet"/>
      </w:pPr>
      <w:r w:rsidRPr="00681DCD">
        <w:t>octocrylene</w:t>
      </w:r>
    </w:p>
    <w:p w14:paraId="1ACE19CE" w14:textId="77777777" w:rsidR="00026EBE" w:rsidRDefault="00026EBE" w:rsidP="00026EBE">
      <w:pPr>
        <w:pStyle w:val="ListBullet"/>
      </w:pPr>
      <w:r w:rsidRPr="00F07EE8">
        <w:t>octyl methoxycinnamate (octinoxate)</w:t>
      </w:r>
    </w:p>
    <w:p w14:paraId="6FC0C4E8" w14:textId="77777777" w:rsidR="00026EBE" w:rsidRPr="00681DCD" w:rsidRDefault="00026EBE" w:rsidP="00026EBE">
      <w:pPr>
        <w:pStyle w:val="ListBullet"/>
      </w:pPr>
      <w:r w:rsidRPr="00681DCD">
        <w:t xml:space="preserve">oxybenzone </w:t>
      </w:r>
    </w:p>
    <w:p w14:paraId="514EE6A6" w14:textId="77777777" w:rsidR="00026EBE" w:rsidRPr="00681DCD" w:rsidRDefault="00026EBE" w:rsidP="00026EBE">
      <w:pPr>
        <w:pStyle w:val="ListBullet"/>
      </w:pPr>
      <w:r w:rsidRPr="00681DCD">
        <w:t xml:space="preserve">phenylbenzimidazole sulfonic acid </w:t>
      </w:r>
    </w:p>
    <w:p w14:paraId="5AF35D92" w14:textId="77777777" w:rsidR="00026EBE" w:rsidRDefault="00026EBE" w:rsidP="00026EBE">
      <w:r w:rsidRPr="00CA6DCB">
        <w:t xml:space="preserve">The </w:t>
      </w:r>
      <w:r>
        <w:t xml:space="preserve">purpose of this </w:t>
      </w:r>
      <w:r w:rsidRPr="00CA6DCB">
        <w:t xml:space="preserve">review </w:t>
      </w:r>
      <w:r>
        <w:t>was</w:t>
      </w:r>
      <w:r w:rsidRPr="00CA6DCB">
        <w:t xml:space="preserve"> to provide an overview of the publicly available safety information</w:t>
      </w:r>
      <w:r>
        <w:t xml:space="preserve"> </w:t>
      </w:r>
      <w:r w:rsidRPr="00CA6DCB">
        <w:t>for these ingredients needed to assess the</w:t>
      </w:r>
      <w:r>
        <w:t>ir</w:t>
      </w:r>
      <w:r w:rsidRPr="00CA6DCB">
        <w:t xml:space="preserve"> suitability</w:t>
      </w:r>
      <w:r>
        <w:t xml:space="preserve"> for use in therapeutic </w:t>
      </w:r>
      <w:r w:rsidRPr="00CA6DCB">
        <w:t>sunscreens</w:t>
      </w:r>
      <w:r>
        <w:t xml:space="preserve"> listed on the ARTG</w:t>
      </w:r>
      <w:r w:rsidRPr="00CA6DCB">
        <w:t>.</w:t>
      </w:r>
      <w:r w:rsidRPr="0074486E">
        <w:t xml:space="preserve"> </w:t>
      </w:r>
      <w:r>
        <w:t xml:space="preserve">The findings will inform the need for any risk management actions to ensure public safety. </w:t>
      </w:r>
    </w:p>
    <w:p w14:paraId="4559A020" w14:textId="77777777" w:rsidR="00026EBE" w:rsidRPr="00681DCD" w:rsidRDefault="00026EBE" w:rsidP="00026EBE">
      <w:pPr>
        <w:rPr>
          <w:rFonts w:cs="Arial"/>
        </w:rPr>
      </w:pPr>
      <w:r w:rsidRPr="00681DCD">
        <w:rPr>
          <w:rFonts w:cs="Arial"/>
        </w:rPr>
        <w:t xml:space="preserve">These ingredients were prioritised for this targeted review based on the availability of nonclinical safety data to TGA, their reported use in </w:t>
      </w:r>
      <w:r>
        <w:rPr>
          <w:rFonts w:cs="Arial"/>
        </w:rPr>
        <w:t xml:space="preserve">a </w:t>
      </w:r>
      <w:r w:rsidRPr="00681DCD">
        <w:rPr>
          <w:rFonts w:cs="Arial"/>
        </w:rPr>
        <w:t xml:space="preserve">higher number of sunscreen products marketed in Australia, and safety signals reported overseas. The literature includes available national and international safety assessment reports and peer reviewed publications. </w:t>
      </w:r>
    </w:p>
    <w:p w14:paraId="1A60CFA8" w14:textId="77777777" w:rsidR="00026EBE" w:rsidRPr="00681DCD" w:rsidRDefault="00026EBE" w:rsidP="00026EBE">
      <w:pPr>
        <w:rPr>
          <w:rFonts w:cs="Arial"/>
        </w:rPr>
      </w:pPr>
      <w:r w:rsidRPr="00681DCD">
        <w:rPr>
          <w:rFonts w:cs="Arial"/>
        </w:rPr>
        <w:t xml:space="preserve">The two main issues considered in this review </w:t>
      </w:r>
      <w:r>
        <w:rPr>
          <w:rFonts w:cs="Arial"/>
        </w:rPr>
        <w:t>were</w:t>
      </w:r>
      <w:r w:rsidRPr="00681DCD">
        <w:rPr>
          <w:rFonts w:cs="Arial"/>
        </w:rPr>
        <w:t xml:space="preserve"> the evidence for the ability of these ingredients to penetrate the skin to reach viable cells systemically, and the potential toxicity exerted by them. </w:t>
      </w:r>
      <w:bookmarkEnd w:id="5"/>
    </w:p>
    <w:p w14:paraId="0F0B2651" w14:textId="77777777" w:rsidR="00026EBE" w:rsidRPr="0037105A" w:rsidRDefault="00026EBE" w:rsidP="00026EBE">
      <w:pPr>
        <w:pStyle w:val="Heading2"/>
      </w:pPr>
      <w:bookmarkStart w:id="6" w:name="_Toc296419607"/>
      <w:bookmarkStart w:id="7" w:name="_Toc100664698"/>
      <w:bookmarkStart w:id="8" w:name="_Toc157439268"/>
      <w:bookmarkStart w:id="9" w:name="_Toc173830109"/>
      <w:bookmarkStart w:id="10" w:name="_Toc189819944"/>
      <w:bookmarkStart w:id="11" w:name="_Toc190081214"/>
      <w:r w:rsidRPr="0037105A">
        <w:t>Introduction</w:t>
      </w:r>
      <w:bookmarkEnd w:id="6"/>
      <w:bookmarkEnd w:id="7"/>
      <w:bookmarkEnd w:id="8"/>
      <w:bookmarkEnd w:id="9"/>
      <w:bookmarkEnd w:id="10"/>
      <w:bookmarkEnd w:id="11"/>
    </w:p>
    <w:p w14:paraId="39C9B370" w14:textId="77777777" w:rsidR="00026EBE" w:rsidRPr="0037105A" w:rsidRDefault="00026EBE" w:rsidP="00026EBE">
      <w:pPr>
        <w:shd w:val="clear" w:color="auto" w:fill="FFFFFF"/>
        <w:spacing w:after="0" w:line="0" w:lineRule="auto"/>
        <w:rPr>
          <w:rFonts w:eastAsia="Times New Roman"/>
          <w:color w:val="C75143"/>
          <w:lang w:eastAsia="en-AU"/>
        </w:rPr>
      </w:pPr>
      <w:r w:rsidRPr="0037105A">
        <w:rPr>
          <w:rFonts w:eastAsia="Times New Roman"/>
          <w:color w:val="C75143"/>
          <w:lang w:eastAsia="en-AU"/>
        </w:rPr>
        <w:t>Method of data search</w:t>
      </w:r>
    </w:p>
    <w:p w14:paraId="09F5AA81" w14:textId="77777777" w:rsidR="00026EBE" w:rsidRPr="004C58B0" w:rsidRDefault="00026EBE" w:rsidP="00026EBE">
      <w:pPr>
        <w:shd w:val="clear" w:color="auto" w:fill="FFFFFF"/>
        <w:spacing w:after="0" w:line="0" w:lineRule="auto"/>
        <w:rPr>
          <w:rFonts w:eastAsia="Times New Roman"/>
          <w:color w:val="231F20"/>
          <w:lang w:eastAsia="en-AU"/>
        </w:rPr>
      </w:pPr>
      <w:r w:rsidRPr="006E0B18">
        <w:rPr>
          <w:rFonts w:eastAsia="Times New Roman"/>
          <w:color w:val="231F20"/>
          <w:lang w:eastAsia="en-AU"/>
        </w:rPr>
        <w:t>Octocrylene has been recently registered at the European level in</w:t>
      </w:r>
    </w:p>
    <w:p w14:paraId="309AD009"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Regulation (EC) No. 1907/2006 concerning the Registration,</w:t>
      </w:r>
    </w:p>
    <w:p w14:paraId="3E2BB373"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Evaluation, Authorisation and Restriction of Chemicals. It is</w:t>
      </w:r>
    </w:p>
    <w:p w14:paraId="2D9015E0"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under assessment by the ECHA. Although the assessment has</w:t>
      </w:r>
    </w:p>
    <w:p w14:paraId="0BA3F6B7"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not been ﬁnalized because additional data were requested by the</w:t>
      </w:r>
    </w:p>
    <w:p w14:paraId="2C3C70C5"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ECHA from the product manufacturers, summaries of safety</w:t>
      </w:r>
    </w:p>
    <w:p w14:paraId="25BF0870"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data are available since 2014 and were recently updated with</w:t>
      </w:r>
    </w:p>
    <w:p w14:paraId="2CB3867B"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additional data on ECHA website.</w:t>
      </w:r>
    </w:p>
    <w:p w14:paraId="7E3AF5B2"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5</w:t>
      </w:r>
    </w:p>
    <w:p w14:paraId="36F0A5C6"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In addition, published safety</w:t>
      </w:r>
    </w:p>
    <w:p w14:paraId="49147D5D"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data on octocrylene were updated by searching publications in</w:t>
      </w:r>
    </w:p>
    <w:p w14:paraId="321A29DC"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peer-reviewed journals available on PubMed at the end of Jan-</w:t>
      </w:r>
    </w:p>
    <w:p w14:paraId="30C4A4EE" w14:textId="77777777" w:rsidR="00026EBE" w:rsidRPr="004C58B0" w:rsidRDefault="00026EBE" w:rsidP="00026EBE">
      <w:pPr>
        <w:shd w:val="clear" w:color="auto" w:fill="FFFFFF"/>
        <w:spacing w:after="0" w:line="0" w:lineRule="auto"/>
        <w:rPr>
          <w:rFonts w:eastAsia="Times New Roman"/>
          <w:color w:val="231F20"/>
          <w:lang w:eastAsia="en-AU"/>
        </w:rPr>
      </w:pPr>
      <w:proofErr w:type="spellStart"/>
      <w:r w:rsidRPr="004C58B0">
        <w:rPr>
          <w:rFonts w:eastAsia="Times New Roman"/>
          <w:color w:val="231F20"/>
          <w:lang w:eastAsia="en-AU"/>
        </w:rPr>
        <w:t>uary</w:t>
      </w:r>
      <w:proofErr w:type="spellEnd"/>
      <w:r w:rsidRPr="004C58B0">
        <w:rPr>
          <w:rFonts w:eastAsia="Times New Roman"/>
          <w:color w:val="231F20"/>
          <w:lang w:eastAsia="en-AU"/>
        </w:rPr>
        <w:t xml:space="preserve"> 2019. The following search terms were used: ‘octocrylene’</w:t>
      </w:r>
    </w:p>
    <w:p w14:paraId="02F8074C"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OR ‘</w:t>
      </w:r>
      <w:proofErr w:type="spellStart"/>
      <w:r w:rsidRPr="004C58B0">
        <w:rPr>
          <w:rFonts w:eastAsia="Times New Roman"/>
          <w:color w:val="231F20"/>
          <w:lang w:eastAsia="en-AU"/>
        </w:rPr>
        <w:t>octocrilene</w:t>
      </w:r>
      <w:proofErr w:type="spellEnd"/>
      <w:r w:rsidRPr="004C58B0">
        <w:rPr>
          <w:rFonts w:eastAsia="Times New Roman"/>
          <w:color w:val="231F20"/>
          <w:lang w:eastAsia="en-AU"/>
        </w:rPr>
        <w:t>’. No limits for publication dates were set. The</w:t>
      </w:r>
    </w:p>
    <w:p w14:paraId="003C9101"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articles were screened by two reviewers based on titles and</w:t>
      </w:r>
    </w:p>
    <w:p w14:paraId="2E939527"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abstracts, only those dealing with the safety of octocrylene were</w:t>
      </w:r>
    </w:p>
    <w:p w14:paraId="6ECDD612"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selected. Of note, all articles dealing with environmental effects</w:t>
      </w:r>
    </w:p>
    <w:p w14:paraId="699A6979"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of octocrylene were excluded. Finally, a manual search of data</w:t>
      </w:r>
    </w:p>
    <w:p w14:paraId="63CD2763"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available in grey literature was conducted.</w:t>
      </w:r>
    </w:p>
    <w:p w14:paraId="506CF866" w14:textId="77777777" w:rsidR="00026EBE" w:rsidRPr="004C58B0" w:rsidRDefault="00026EBE" w:rsidP="00026EBE">
      <w:pPr>
        <w:shd w:val="clear" w:color="auto" w:fill="FFFFFF"/>
        <w:spacing w:after="0" w:line="0" w:lineRule="auto"/>
        <w:rPr>
          <w:rFonts w:eastAsia="Times New Roman"/>
          <w:color w:val="C75143"/>
          <w:lang w:eastAsia="en-AU"/>
        </w:rPr>
      </w:pPr>
      <w:r w:rsidRPr="004C58B0">
        <w:rPr>
          <w:rFonts w:eastAsia="Times New Roman"/>
          <w:color w:val="C75143"/>
          <w:lang w:eastAsia="en-AU"/>
        </w:rPr>
        <w:t>Method of data search</w:t>
      </w:r>
    </w:p>
    <w:p w14:paraId="7F824F6C"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Octocrylene has been recently registered at the European level in</w:t>
      </w:r>
    </w:p>
    <w:p w14:paraId="452DD16E"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Regulation (EC) No. 1907/2006 concerning the Registration,</w:t>
      </w:r>
    </w:p>
    <w:p w14:paraId="09C831B8"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Evaluation, Authorisation and Restriction of Chemicals. It is</w:t>
      </w:r>
    </w:p>
    <w:p w14:paraId="602821A1"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under assessment by the ECHA. Although the assessment has</w:t>
      </w:r>
    </w:p>
    <w:p w14:paraId="7E9F09C2"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not been ﬁnalized because additional data were requested by the</w:t>
      </w:r>
    </w:p>
    <w:p w14:paraId="36464360"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ECHA from the product manufacturers, summaries of safety</w:t>
      </w:r>
    </w:p>
    <w:p w14:paraId="409382EE"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data are available since 2014 and were recently updated with</w:t>
      </w:r>
    </w:p>
    <w:p w14:paraId="7612C21E"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additional data on ECHA website.</w:t>
      </w:r>
    </w:p>
    <w:p w14:paraId="48ADFB0C"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5</w:t>
      </w:r>
    </w:p>
    <w:p w14:paraId="5584E8D4"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In addition, published safety</w:t>
      </w:r>
    </w:p>
    <w:p w14:paraId="66E4F550"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data on octocrylene were updated by searching publications in</w:t>
      </w:r>
    </w:p>
    <w:p w14:paraId="78A3F844"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peer-reviewed journals available on PubMed at the end of Jan-</w:t>
      </w:r>
    </w:p>
    <w:p w14:paraId="457852B9" w14:textId="77777777" w:rsidR="00026EBE" w:rsidRPr="004C58B0" w:rsidRDefault="00026EBE" w:rsidP="00026EBE">
      <w:pPr>
        <w:shd w:val="clear" w:color="auto" w:fill="FFFFFF"/>
        <w:spacing w:after="0" w:line="0" w:lineRule="auto"/>
        <w:rPr>
          <w:rFonts w:eastAsia="Times New Roman"/>
          <w:color w:val="231F20"/>
          <w:lang w:eastAsia="en-AU"/>
        </w:rPr>
      </w:pPr>
      <w:proofErr w:type="spellStart"/>
      <w:r w:rsidRPr="004C58B0">
        <w:rPr>
          <w:rFonts w:eastAsia="Times New Roman"/>
          <w:color w:val="231F20"/>
          <w:lang w:eastAsia="en-AU"/>
        </w:rPr>
        <w:t>uary</w:t>
      </w:r>
      <w:proofErr w:type="spellEnd"/>
      <w:r w:rsidRPr="004C58B0">
        <w:rPr>
          <w:rFonts w:eastAsia="Times New Roman"/>
          <w:color w:val="231F20"/>
          <w:lang w:eastAsia="en-AU"/>
        </w:rPr>
        <w:t xml:space="preserve"> 2019. The following search terms were used: ‘octocrylene’</w:t>
      </w:r>
    </w:p>
    <w:p w14:paraId="340A4D2A"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OR ‘</w:t>
      </w:r>
      <w:proofErr w:type="spellStart"/>
      <w:r w:rsidRPr="004C58B0">
        <w:rPr>
          <w:rFonts w:eastAsia="Times New Roman"/>
          <w:color w:val="231F20"/>
          <w:lang w:eastAsia="en-AU"/>
        </w:rPr>
        <w:t>octocrilene</w:t>
      </w:r>
      <w:proofErr w:type="spellEnd"/>
      <w:r w:rsidRPr="004C58B0">
        <w:rPr>
          <w:rFonts w:eastAsia="Times New Roman"/>
          <w:color w:val="231F20"/>
          <w:lang w:eastAsia="en-AU"/>
        </w:rPr>
        <w:t>’. No limits for publication dates were set. The</w:t>
      </w:r>
    </w:p>
    <w:p w14:paraId="0A3F0274"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articles were screened by two reviewers based on titles and</w:t>
      </w:r>
    </w:p>
    <w:p w14:paraId="2E4DC67A"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abstracts, only those dealing with the safety of octocrylene were</w:t>
      </w:r>
    </w:p>
    <w:p w14:paraId="78C401D8"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selected. Of note, all articles dealing with environmental effects</w:t>
      </w:r>
    </w:p>
    <w:p w14:paraId="1287BF45"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of octocrylene were excluded. Finally, a manual search of data</w:t>
      </w:r>
    </w:p>
    <w:p w14:paraId="7CC18105" w14:textId="77777777" w:rsidR="00026EBE" w:rsidRPr="004C58B0" w:rsidRDefault="00026EBE" w:rsidP="00026EBE">
      <w:pPr>
        <w:shd w:val="clear" w:color="auto" w:fill="FFFFFF"/>
        <w:spacing w:after="0" w:line="0" w:lineRule="auto"/>
        <w:rPr>
          <w:rFonts w:eastAsia="Times New Roman"/>
          <w:color w:val="231F20"/>
          <w:lang w:eastAsia="en-AU"/>
        </w:rPr>
      </w:pPr>
      <w:r w:rsidRPr="004C58B0">
        <w:rPr>
          <w:rFonts w:eastAsia="Times New Roman"/>
          <w:color w:val="231F20"/>
          <w:lang w:eastAsia="en-AU"/>
        </w:rPr>
        <w:t>available in grey literature was conducted.</w:t>
      </w:r>
    </w:p>
    <w:p w14:paraId="267F9D8C" w14:textId="77777777" w:rsidR="00026EBE" w:rsidRPr="00D55C27" w:rsidRDefault="00026EBE" w:rsidP="00026EBE">
      <w:pPr>
        <w:rPr>
          <w:lang w:val="en"/>
        </w:rPr>
      </w:pPr>
      <w:r w:rsidRPr="00D55C27">
        <w:t xml:space="preserve">The </w:t>
      </w:r>
      <w:hyperlink r:id="rId8" w:history="1">
        <w:r w:rsidRPr="00C90187">
          <w:rPr>
            <w:rStyle w:val="Hyperlink"/>
            <w:rFonts w:ascii="Cambria" w:hAnsi="Cambria"/>
          </w:rPr>
          <w:t xml:space="preserve">Therapeutic Goods (Permissible Ingredients) Determination (No. </w:t>
        </w:r>
        <w:r>
          <w:rPr>
            <w:rStyle w:val="Hyperlink"/>
            <w:rFonts w:ascii="Cambria" w:hAnsi="Cambria"/>
          </w:rPr>
          <w:t>3</w:t>
        </w:r>
        <w:r w:rsidRPr="00C90187">
          <w:rPr>
            <w:rStyle w:val="Hyperlink"/>
            <w:rFonts w:ascii="Cambria" w:hAnsi="Cambria"/>
          </w:rPr>
          <w:t>) 2024</w:t>
        </w:r>
      </w:hyperlink>
      <w:r w:rsidRPr="00D55C27">
        <w:t xml:space="preserve"> currently lists 3</w:t>
      </w:r>
      <w:r>
        <w:t>0</w:t>
      </w:r>
      <w:r w:rsidRPr="00D55C27">
        <w:t xml:space="preserve"> </w:t>
      </w:r>
      <w:r>
        <w:t xml:space="preserve">sunscreen </w:t>
      </w:r>
      <w:r w:rsidRPr="00D55C27">
        <w:t xml:space="preserve">active ingredients approved for use in Australia. The safety of these ingredients has been addressed by various means, including assessment of toxicological data, utilisation of overseas regulatory reports, and consideration by committees such as the then Medicines Evaluation Committee. </w:t>
      </w:r>
    </w:p>
    <w:p w14:paraId="08CBB9BD" w14:textId="77777777" w:rsidR="00026EBE" w:rsidRPr="00196346" w:rsidRDefault="00026EBE" w:rsidP="00026EBE">
      <w:r w:rsidRPr="00196346">
        <w:t>In 2019, the US FDA published a guidance for industry concerning safety and effectiveness data necessary to determine that a sunscreen active ingredient is generally recognized as safe and effective (GRASE) under the Sunscreen Innovation Act. This introduced a new requirement to conduct Maximal Usage Trials (</w:t>
      </w:r>
      <w:proofErr w:type="spellStart"/>
      <w:r w:rsidRPr="00196346">
        <w:t>MUsT</w:t>
      </w:r>
      <w:proofErr w:type="spellEnd"/>
      <w:r w:rsidRPr="00196346">
        <w:t xml:space="preserve">) </w:t>
      </w:r>
      <w:proofErr w:type="gramStart"/>
      <w:r w:rsidRPr="00196346">
        <w:t>in order to</w:t>
      </w:r>
      <w:proofErr w:type="gramEnd"/>
      <w:r w:rsidRPr="00196346">
        <w:t xml:space="preserve"> study human absorption correlating to real-world use (FDA 2019a). This was followed by the publication of a US FDA proposed rule in 2019 elaborating the requirement for testing and labelling of sunscreens by manufacturers (FDA 2019b). The rule divided the 16 active ingredients approved in USA into three categories: </w:t>
      </w:r>
    </w:p>
    <w:p w14:paraId="0AA12BC7" w14:textId="77777777" w:rsidR="00026EBE" w:rsidRPr="00CA6DCB" w:rsidRDefault="00026EBE" w:rsidP="00026EBE">
      <w:pPr>
        <w:pStyle w:val="ListBullet"/>
      </w:pPr>
      <w:r w:rsidRPr="00CA6DCB">
        <w:t xml:space="preserve">category I (GRASE) includes </w:t>
      </w:r>
      <w:proofErr w:type="spellStart"/>
      <w:r w:rsidRPr="00CA6DCB">
        <w:t>ZnO</w:t>
      </w:r>
      <w:proofErr w:type="spellEnd"/>
      <w:r w:rsidRPr="00CA6DCB">
        <w:t xml:space="preserve"> and </w:t>
      </w:r>
      <w:proofErr w:type="gramStart"/>
      <w:r w:rsidRPr="00CA6DCB">
        <w:t>TiO</w:t>
      </w:r>
      <w:r w:rsidRPr="00CA6DCB">
        <w:rPr>
          <w:vertAlign w:val="subscript"/>
        </w:rPr>
        <w:t>2</w:t>
      </w:r>
      <w:r w:rsidRPr="00CA6DCB">
        <w:t>;</w:t>
      </w:r>
      <w:proofErr w:type="gramEnd"/>
      <w:r w:rsidRPr="00CA6DCB">
        <w:t xml:space="preserve"> </w:t>
      </w:r>
    </w:p>
    <w:p w14:paraId="641939E6" w14:textId="77777777" w:rsidR="00026EBE" w:rsidRPr="00CA6DCB" w:rsidRDefault="00026EBE" w:rsidP="00026EBE">
      <w:pPr>
        <w:pStyle w:val="ListBullet"/>
      </w:pPr>
      <w:r w:rsidRPr="00CA6DCB">
        <w:t xml:space="preserve">category II (not GRASE) includes trolamine salicylate and para-aminobenzoic acid (PABA) (neither of which is used in products currently marketed in Australia); and </w:t>
      </w:r>
    </w:p>
    <w:p w14:paraId="36CF06C5" w14:textId="77777777" w:rsidR="00026EBE" w:rsidRPr="00CA6DCB" w:rsidRDefault="00026EBE" w:rsidP="00026EBE">
      <w:pPr>
        <w:pStyle w:val="ListBullet"/>
      </w:pPr>
      <w:r w:rsidRPr="00CA6DCB">
        <w:t xml:space="preserve">category III (additional data needed) includes the remaining 12 organic filters (cinoxate, </w:t>
      </w:r>
      <w:proofErr w:type="spellStart"/>
      <w:r w:rsidRPr="00CA6DCB">
        <w:t>dioxybenzone</w:t>
      </w:r>
      <w:proofErr w:type="spellEnd"/>
      <w:r w:rsidRPr="00CA6DCB">
        <w:t xml:space="preserve">, </w:t>
      </w:r>
      <w:proofErr w:type="spellStart"/>
      <w:r w:rsidRPr="00CA6DCB">
        <w:t>ensulizole</w:t>
      </w:r>
      <w:proofErr w:type="spellEnd"/>
      <w:r w:rsidRPr="00CA6DCB">
        <w:t xml:space="preserve">, homosalate, </w:t>
      </w:r>
      <w:proofErr w:type="spellStart"/>
      <w:r w:rsidRPr="00CA6DCB">
        <w:t>meradimate</w:t>
      </w:r>
      <w:proofErr w:type="spellEnd"/>
      <w:r w:rsidRPr="00CA6DCB">
        <w:t xml:space="preserve">, octinoxate, </w:t>
      </w:r>
      <w:proofErr w:type="spellStart"/>
      <w:r w:rsidRPr="00CA6DCB">
        <w:t>octisalate</w:t>
      </w:r>
      <w:proofErr w:type="spellEnd"/>
      <w:r w:rsidRPr="00CA6DCB">
        <w:t xml:space="preserve">, octocrylene, padimate O, </w:t>
      </w:r>
      <w:proofErr w:type="spellStart"/>
      <w:r w:rsidRPr="00CA6DCB">
        <w:t>sulisobenzone</w:t>
      </w:r>
      <w:proofErr w:type="spellEnd"/>
      <w:r w:rsidRPr="00CA6DCB">
        <w:t xml:space="preserve">, oxybenzone, avobenzone; (FDA 2019b)). </w:t>
      </w:r>
      <w:proofErr w:type="spellStart"/>
      <w:r w:rsidRPr="00CA6DCB">
        <w:t>Ensulizole</w:t>
      </w:r>
      <w:proofErr w:type="spellEnd"/>
      <w:r w:rsidRPr="00CA6DCB">
        <w:t xml:space="preserve">, homosalate, octinoxate, </w:t>
      </w:r>
      <w:proofErr w:type="spellStart"/>
      <w:r w:rsidRPr="00CA6DCB">
        <w:t>octisalate</w:t>
      </w:r>
      <w:proofErr w:type="spellEnd"/>
      <w:r w:rsidRPr="00CA6DCB">
        <w:t xml:space="preserve">, octocrylene, oxybenzone, avobenzone are currently used in Australian products. </w:t>
      </w:r>
    </w:p>
    <w:p w14:paraId="3F4381B8" w14:textId="77777777" w:rsidR="00026EBE" w:rsidRPr="002C7324" w:rsidRDefault="00026EBE" w:rsidP="00026EBE">
      <w:bookmarkStart w:id="12" w:name="_Hlk172797597"/>
      <w:r w:rsidRPr="002C7324">
        <w:t>The US FDA has proposed that the category III ingredients are not GRASE, because the public record does not currently contain sufficient data to support positive GRASE determinations and additional data</w:t>
      </w:r>
      <w:r>
        <w:t xml:space="preserve"> is required</w:t>
      </w:r>
      <w:r w:rsidRPr="002C7324">
        <w:t xml:space="preserve">. The US FDA </w:t>
      </w:r>
      <w:r>
        <w:t>has</w:t>
      </w:r>
      <w:r w:rsidRPr="002C7324">
        <w:t xml:space="preserve"> also emphasised that they have not concluded that the active ingredients proposed as non-GRASE are unsafe for use in sunscreens but have requested additional information to evaluate their GRASE status </w:t>
      </w:r>
      <w:proofErr w:type="gramStart"/>
      <w:r w:rsidRPr="002C7324">
        <w:t>in light of</w:t>
      </w:r>
      <w:proofErr w:type="gramEnd"/>
      <w:r w:rsidRPr="002C7324">
        <w:t xml:space="preserve"> changed conditions, including substantially increased sunscreen usage and evolving information about potential risks since the</w:t>
      </w:r>
      <w:r>
        <w:t>ir</w:t>
      </w:r>
      <w:r w:rsidRPr="002C7324">
        <w:t xml:space="preserve"> original evaluat</w:t>
      </w:r>
      <w:r>
        <w:t>ion</w:t>
      </w:r>
      <w:r w:rsidRPr="002C7324">
        <w:t xml:space="preserve">. The US FDA has yet to publish their findings or final order and have noted they are reviewing these ingredients to determine if they are GRASE before they can establish a final order. </w:t>
      </w:r>
    </w:p>
    <w:bookmarkEnd w:id="12"/>
    <w:p w14:paraId="1BD434A1" w14:textId="77777777" w:rsidR="00026EBE" w:rsidRPr="00196346" w:rsidRDefault="00026EBE" w:rsidP="00026EBE">
      <w:r w:rsidRPr="00196346">
        <w:t xml:space="preserve">Given the greater use and importance of sunscreens in Australia; and the current interest by the US FDA in the ongoing safety of sunscreen active ingredients, the TGA has conducted an audit of its safety data holdings to better understand the safety profile of these ingredients. </w:t>
      </w:r>
    </w:p>
    <w:p w14:paraId="36F3D496" w14:textId="77777777" w:rsidR="00026EBE" w:rsidRPr="00196346" w:rsidRDefault="00026EBE" w:rsidP="00026EBE">
      <w:pPr>
        <w:rPr>
          <w:rFonts w:cstheme="minorHAnsi"/>
        </w:rPr>
      </w:pPr>
      <w:r w:rsidRPr="00196346">
        <w:rPr>
          <w:rFonts w:cstheme="minorHAnsi"/>
        </w:rPr>
        <w:t xml:space="preserve">As part of this audit, it was noted that some of the category III (additional data needed) organic filters have been widely used in sunscreen products in Australia. One of them was </w:t>
      </w:r>
      <w:proofErr w:type="spellStart"/>
      <w:r w:rsidRPr="00196346">
        <w:rPr>
          <w:rFonts w:cstheme="minorHAnsi"/>
        </w:rPr>
        <w:t>octisalate</w:t>
      </w:r>
      <w:proofErr w:type="spellEnd"/>
      <w:r w:rsidRPr="00196346">
        <w:rPr>
          <w:rFonts w:cstheme="minorHAnsi"/>
        </w:rPr>
        <w:t xml:space="preserve"> (octyl salicylate also known as ethylhexyl salicylate). Based on the available information, the Cosmetic Ingredient Review Expert Panel (Cosmetic Ingredient Review 2019) reached the conclusion that </w:t>
      </w:r>
      <w:proofErr w:type="spellStart"/>
      <w:r w:rsidRPr="00196346">
        <w:rPr>
          <w:rFonts w:cstheme="minorHAnsi"/>
        </w:rPr>
        <w:t>octisalate</w:t>
      </w:r>
      <w:proofErr w:type="spellEnd"/>
      <w:r w:rsidRPr="00196346">
        <w:rPr>
          <w:rFonts w:cstheme="minorHAnsi"/>
        </w:rPr>
        <w:t xml:space="preserve"> is safe when used in cosmetics in the European use settings and concentration (at 0.003% to 5% concentration as of 2018 data) described in the safety assessment when formulated to be non-irritating and non-sensitizing, which may be based on a quantitative risk assessment (QRA). As such, the literature review was not conducted for </w:t>
      </w:r>
      <w:proofErr w:type="spellStart"/>
      <w:r w:rsidRPr="00196346">
        <w:rPr>
          <w:rFonts w:cstheme="minorHAnsi"/>
        </w:rPr>
        <w:t>octisalate</w:t>
      </w:r>
      <w:proofErr w:type="spellEnd"/>
      <w:r w:rsidRPr="00196346">
        <w:rPr>
          <w:rFonts w:cstheme="minorHAnsi"/>
        </w:rPr>
        <w:t xml:space="preserve"> (octyl salicylate).</w:t>
      </w:r>
    </w:p>
    <w:p w14:paraId="432F5F00" w14:textId="77777777" w:rsidR="00026EBE" w:rsidRPr="00196346" w:rsidRDefault="00026EBE" w:rsidP="00026EBE">
      <w:r w:rsidRPr="00196346">
        <w:t xml:space="preserve">A literature search was conducted for the scientific information available for seven active ingredients avobenzone, ethylhexyl triazone (EHT), homosalate, octinoxate, octocrylene, oxybenzone and phenylbenzimidazole sulfonic acid (PBSA) for use in sunscreens. These ingredients have been widely used in sunscreen products in Australia. The review is intended to provide an overview of the publicly available safety information for these ingredients needed to assess the suitability of these ingredients for use in therapeutic sunscreens.  </w:t>
      </w:r>
    </w:p>
    <w:p w14:paraId="0B5C5B0B" w14:textId="77777777" w:rsidR="00026EBE" w:rsidRDefault="00026EBE" w:rsidP="00026EBE">
      <w:pPr>
        <w:pStyle w:val="Heading3"/>
      </w:pPr>
      <w:bookmarkStart w:id="13" w:name="_Toc173830110"/>
      <w:bookmarkStart w:id="14" w:name="_Toc189819945"/>
      <w:bookmarkStart w:id="15" w:name="_Toc190081215"/>
      <w:r>
        <w:t>What are these ingredients</w:t>
      </w:r>
      <w:bookmarkEnd w:id="13"/>
      <w:bookmarkEnd w:id="14"/>
      <w:bookmarkEnd w:id="15"/>
    </w:p>
    <w:p w14:paraId="711D78E1" w14:textId="77777777" w:rsidR="00026EBE" w:rsidRPr="00B57CCA" w:rsidRDefault="00026EBE" w:rsidP="00026EBE">
      <w:pPr>
        <w:pStyle w:val="Standard"/>
        <w:rPr>
          <w:rFonts w:ascii="Arial" w:hAnsi="Arial" w:cs="Arial"/>
          <w:sz w:val="20"/>
          <w:szCs w:val="20"/>
        </w:rPr>
      </w:pPr>
      <w:r w:rsidRPr="00B57CCA">
        <w:rPr>
          <w:rFonts w:ascii="Arial" w:hAnsi="Arial" w:cs="Arial"/>
          <w:sz w:val="20"/>
          <w:szCs w:val="20"/>
        </w:rPr>
        <w:t xml:space="preserve">The chemical and physical properties and the molecular structures of these seven ingredients are provided in the following tables (Yap </w:t>
      </w:r>
      <w:r w:rsidRPr="00B57CCA">
        <w:rPr>
          <w:rFonts w:ascii="Arial" w:hAnsi="Arial" w:cs="Arial"/>
          <w:i/>
          <w:sz w:val="20"/>
          <w:szCs w:val="20"/>
        </w:rPr>
        <w:t>et al.</w:t>
      </w:r>
      <w:r w:rsidRPr="00B57CCA">
        <w:rPr>
          <w:rFonts w:ascii="Arial" w:hAnsi="Arial" w:cs="Arial"/>
          <w:sz w:val="20"/>
          <w:szCs w:val="20"/>
        </w:rPr>
        <w:t xml:space="preserve"> 2017; Gilbert </w:t>
      </w:r>
      <w:r w:rsidRPr="00B57CCA">
        <w:rPr>
          <w:rFonts w:ascii="Arial" w:hAnsi="Arial" w:cs="Arial"/>
          <w:i/>
          <w:sz w:val="20"/>
          <w:szCs w:val="20"/>
        </w:rPr>
        <w:t xml:space="preserve">et al. </w:t>
      </w:r>
      <w:r w:rsidRPr="00B57CCA">
        <w:rPr>
          <w:rFonts w:ascii="Arial" w:hAnsi="Arial" w:cs="Arial"/>
          <w:sz w:val="20"/>
          <w:szCs w:val="20"/>
        </w:rPr>
        <w:t>2013).</w:t>
      </w:r>
    </w:p>
    <w:p w14:paraId="12B33F4F" w14:textId="77777777" w:rsidR="00026EBE" w:rsidRDefault="00026EBE" w:rsidP="00026EBE">
      <w:pPr>
        <w:pStyle w:val="Tabletitle"/>
      </w:pPr>
      <w:r>
        <w:t>T</w:t>
      </w:r>
      <w:r w:rsidRPr="008466F9">
        <w:t xml:space="preserve">able </w:t>
      </w:r>
      <w:r>
        <w:t>0-</w:t>
      </w:r>
      <w:r w:rsidRPr="008466F9">
        <w:t>1 chemical and physical properties of the active ingredients under review</w:t>
      </w: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246"/>
        <w:gridCol w:w="1054"/>
        <w:gridCol w:w="1659"/>
        <w:gridCol w:w="993"/>
        <w:gridCol w:w="1071"/>
        <w:gridCol w:w="770"/>
        <w:gridCol w:w="994"/>
        <w:gridCol w:w="567"/>
        <w:gridCol w:w="1842"/>
      </w:tblGrid>
      <w:tr w:rsidR="00026EBE" w:rsidRPr="0074486E" w14:paraId="67916D75" w14:textId="77777777" w:rsidTr="000850F6">
        <w:trPr>
          <w:trHeight w:val="229"/>
          <w:tblHeader/>
          <w:jc w:val="center"/>
        </w:trPr>
        <w:tc>
          <w:tcPr>
            <w:tcW w:w="1246" w:type="dxa"/>
            <w:vMerge w:val="restart"/>
            <w:shd w:val="clear" w:color="auto" w:fill="BDCFF0" w:themeFill="accent2" w:themeFillTint="66"/>
            <w:tcMar>
              <w:top w:w="28" w:type="dxa"/>
              <w:left w:w="57" w:type="dxa"/>
              <w:bottom w:w="28" w:type="dxa"/>
              <w:right w:w="57" w:type="dxa"/>
            </w:tcMar>
            <w:vAlign w:val="center"/>
          </w:tcPr>
          <w:p w14:paraId="01907F03" w14:textId="77777777" w:rsidR="00026EBE" w:rsidRPr="00B57CCA" w:rsidRDefault="00026EBE" w:rsidP="000850F6">
            <w:pPr>
              <w:pStyle w:val="TableHeader"/>
              <w:rPr>
                <w:rFonts w:ascii="Arial" w:hAnsi="Arial" w:cs="Arial"/>
                <w:color w:val="00348C" w:themeColor="accent1" w:themeShade="BF"/>
              </w:rPr>
            </w:pPr>
            <w:r w:rsidRPr="00B57CCA">
              <w:rPr>
                <w:rFonts w:ascii="Arial" w:hAnsi="Arial" w:cs="Arial"/>
                <w:color w:val="00348C" w:themeColor="accent1" w:themeShade="BF"/>
              </w:rPr>
              <w:t>Active ingredient (</w:t>
            </w:r>
            <w:r w:rsidRPr="00B57CCA">
              <w:rPr>
                <w:rFonts w:ascii="Arial" w:hAnsi="Arial" w:cs="Arial"/>
                <w:i/>
                <w:color w:val="00348C" w:themeColor="accent1" w:themeShade="BF"/>
              </w:rPr>
              <w:t>absorption spectrum</w:t>
            </w:r>
            <w:r w:rsidRPr="00B57CCA">
              <w:rPr>
                <w:rFonts w:ascii="Arial" w:hAnsi="Arial" w:cs="Arial"/>
                <w:color w:val="00348C" w:themeColor="accent1" w:themeShade="BF"/>
              </w:rPr>
              <w:t>)</w:t>
            </w:r>
          </w:p>
        </w:tc>
        <w:tc>
          <w:tcPr>
            <w:tcW w:w="1054" w:type="dxa"/>
            <w:vMerge w:val="restart"/>
            <w:shd w:val="clear" w:color="auto" w:fill="BDCFF0" w:themeFill="accent2" w:themeFillTint="66"/>
            <w:vAlign w:val="center"/>
          </w:tcPr>
          <w:p w14:paraId="1F654A3E" w14:textId="77777777" w:rsidR="00026EBE" w:rsidRPr="00B57CCA" w:rsidRDefault="00026EBE" w:rsidP="000850F6">
            <w:pPr>
              <w:pStyle w:val="TableHeader"/>
              <w:rPr>
                <w:rFonts w:ascii="Arial" w:hAnsi="Arial" w:cs="Arial"/>
                <w:color w:val="00348C" w:themeColor="accent1" w:themeShade="BF"/>
              </w:rPr>
            </w:pPr>
            <w:r w:rsidRPr="00B57CCA">
              <w:rPr>
                <w:rFonts w:ascii="Arial" w:hAnsi="Arial" w:cs="Arial"/>
                <w:color w:val="00348C" w:themeColor="accent1" w:themeShade="BF"/>
              </w:rPr>
              <w:t>CAS no.</w:t>
            </w:r>
          </w:p>
        </w:tc>
        <w:tc>
          <w:tcPr>
            <w:tcW w:w="1659" w:type="dxa"/>
            <w:vMerge w:val="restart"/>
            <w:shd w:val="clear" w:color="auto" w:fill="BDCFF0" w:themeFill="accent2" w:themeFillTint="66"/>
            <w:vAlign w:val="center"/>
          </w:tcPr>
          <w:p w14:paraId="0BDDF030" w14:textId="77777777" w:rsidR="00026EBE" w:rsidRPr="00B57CCA" w:rsidRDefault="00026EBE" w:rsidP="000850F6">
            <w:pPr>
              <w:pStyle w:val="TableHeader"/>
              <w:rPr>
                <w:rFonts w:ascii="Arial" w:hAnsi="Arial" w:cs="Arial"/>
                <w:color w:val="00348C" w:themeColor="accent1" w:themeShade="BF"/>
              </w:rPr>
            </w:pPr>
            <w:r w:rsidRPr="00B57CCA">
              <w:rPr>
                <w:rFonts w:ascii="Arial" w:hAnsi="Arial" w:cs="Arial"/>
                <w:color w:val="00348C" w:themeColor="accent1" w:themeShade="BF"/>
              </w:rPr>
              <w:t>Chemical name</w:t>
            </w:r>
          </w:p>
        </w:tc>
        <w:tc>
          <w:tcPr>
            <w:tcW w:w="993" w:type="dxa"/>
            <w:vMerge w:val="restart"/>
            <w:shd w:val="clear" w:color="auto" w:fill="BDCFF0" w:themeFill="accent2" w:themeFillTint="66"/>
            <w:tcMar>
              <w:left w:w="57" w:type="dxa"/>
              <w:right w:w="57" w:type="dxa"/>
            </w:tcMar>
            <w:vAlign w:val="center"/>
          </w:tcPr>
          <w:p w14:paraId="5C54213D" w14:textId="77777777" w:rsidR="00026EBE" w:rsidRPr="00B57CCA" w:rsidRDefault="00026EBE" w:rsidP="000850F6">
            <w:pPr>
              <w:pStyle w:val="TableHeader"/>
              <w:rPr>
                <w:rFonts w:ascii="Arial" w:hAnsi="Arial" w:cs="Arial"/>
                <w:color w:val="00348C" w:themeColor="accent1" w:themeShade="BF"/>
              </w:rPr>
            </w:pPr>
            <w:r w:rsidRPr="00B57CCA">
              <w:rPr>
                <w:rFonts w:ascii="Arial" w:hAnsi="Arial" w:cs="Arial"/>
                <w:color w:val="00348C" w:themeColor="accent1" w:themeShade="BF"/>
              </w:rPr>
              <w:t>Molecular formula</w:t>
            </w:r>
          </w:p>
        </w:tc>
        <w:tc>
          <w:tcPr>
            <w:tcW w:w="3402" w:type="dxa"/>
            <w:gridSpan w:val="4"/>
            <w:shd w:val="clear" w:color="auto" w:fill="BDCFF0" w:themeFill="accent2" w:themeFillTint="66"/>
          </w:tcPr>
          <w:p w14:paraId="228C0168" w14:textId="77777777" w:rsidR="00026EBE" w:rsidRPr="00B57CCA" w:rsidRDefault="00026EBE" w:rsidP="000850F6">
            <w:pPr>
              <w:pStyle w:val="TableHeader"/>
              <w:rPr>
                <w:rFonts w:ascii="Arial" w:hAnsi="Arial" w:cs="Arial"/>
                <w:color w:val="00348C" w:themeColor="accent1" w:themeShade="BF"/>
              </w:rPr>
            </w:pPr>
            <w:r w:rsidRPr="00B57CCA">
              <w:rPr>
                <w:rFonts w:ascii="Arial" w:hAnsi="Arial" w:cs="Arial"/>
                <w:color w:val="00348C" w:themeColor="accent1" w:themeShade="BF"/>
              </w:rPr>
              <w:t xml:space="preserve">Physical properties  </w:t>
            </w:r>
          </w:p>
        </w:tc>
        <w:tc>
          <w:tcPr>
            <w:tcW w:w="1842" w:type="dxa"/>
            <w:vMerge w:val="restart"/>
            <w:shd w:val="clear" w:color="auto" w:fill="BDCFF0" w:themeFill="accent2" w:themeFillTint="66"/>
            <w:vAlign w:val="center"/>
          </w:tcPr>
          <w:p w14:paraId="701EC5A6" w14:textId="77777777" w:rsidR="00026EBE" w:rsidRPr="00B57CCA" w:rsidRDefault="00026EBE" w:rsidP="000850F6">
            <w:pPr>
              <w:pStyle w:val="TableHeader"/>
              <w:rPr>
                <w:rFonts w:ascii="Arial" w:hAnsi="Arial" w:cs="Arial"/>
                <w:color w:val="00348C" w:themeColor="accent1" w:themeShade="BF"/>
              </w:rPr>
            </w:pPr>
            <w:r w:rsidRPr="00B57CCA">
              <w:rPr>
                <w:rFonts w:ascii="Arial" w:hAnsi="Arial" w:cs="Arial"/>
                <w:color w:val="00348C" w:themeColor="accent1" w:themeShade="BF"/>
              </w:rPr>
              <w:t>Other names</w:t>
            </w:r>
          </w:p>
        </w:tc>
      </w:tr>
      <w:tr w:rsidR="00026EBE" w:rsidRPr="0074486E" w14:paraId="23E8C424" w14:textId="77777777" w:rsidTr="000850F6">
        <w:trPr>
          <w:trHeight w:val="228"/>
          <w:tblHeader/>
          <w:jc w:val="center"/>
        </w:trPr>
        <w:tc>
          <w:tcPr>
            <w:tcW w:w="1246" w:type="dxa"/>
            <w:vMerge/>
            <w:tcBorders>
              <w:bottom w:val="single" w:sz="8" w:space="0" w:color="auto"/>
            </w:tcBorders>
            <w:shd w:val="clear" w:color="auto" w:fill="E6E6E6"/>
            <w:tcMar>
              <w:top w:w="28" w:type="dxa"/>
              <w:left w:w="57" w:type="dxa"/>
              <w:bottom w:w="28" w:type="dxa"/>
              <w:right w:w="57" w:type="dxa"/>
            </w:tcMar>
            <w:vAlign w:val="center"/>
          </w:tcPr>
          <w:p w14:paraId="512120F5" w14:textId="77777777" w:rsidR="00026EBE" w:rsidRPr="00A0428D" w:rsidRDefault="00026EBE" w:rsidP="000850F6">
            <w:pPr>
              <w:pStyle w:val="Tabletextleft"/>
              <w:rPr>
                <w:sz w:val="19"/>
                <w:szCs w:val="19"/>
              </w:rPr>
            </w:pPr>
          </w:p>
        </w:tc>
        <w:tc>
          <w:tcPr>
            <w:tcW w:w="1054" w:type="dxa"/>
            <w:vMerge/>
            <w:tcBorders>
              <w:bottom w:val="single" w:sz="8" w:space="0" w:color="auto"/>
            </w:tcBorders>
            <w:shd w:val="clear" w:color="auto" w:fill="E6E6E6"/>
            <w:vAlign w:val="center"/>
          </w:tcPr>
          <w:p w14:paraId="7EFA2FB7" w14:textId="77777777" w:rsidR="00026EBE" w:rsidRPr="00A0428D" w:rsidRDefault="00026EBE" w:rsidP="000850F6">
            <w:pPr>
              <w:pStyle w:val="Tabletextleft"/>
              <w:rPr>
                <w:sz w:val="19"/>
                <w:szCs w:val="19"/>
              </w:rPr>
            </w:pPr>
          </w:p>
        </w:tc>
        <w:tc>
          <w:tcPr>
            <w:tcW w:w="1659" w:type="dxa"/>
            <w:vMerge/>
            <w:tcBorders>
              <w:bottom w:val="single" w:sz="8" w:space="0" w:color="auto"/>
            </w:tcBorders>
            <w:shd w:val="clear" w:color="auto" w:fill="E6E6E6"/>
            <w:vAlign w:val="center"/>
          </w:tcPr>
          <w:p w14:paraId="5F058214" w14:textId="77777777" w:rsidR="00026EBE" w:rsidRPr="00A0428D" w:rsidRDefault="00026EBE" w:rsidP="000850F6">
            <w:pPr>
              <w:pStyle w:val="Tabletextleft"/>
              <w:rPr>
                <w:sz w:val="19"/>
                <w:szCs w:val="19"/>
              </w:rPr>
            </w:pPr>
          </w:p>
        </w:tc>
        <w:tc>
          <w:tcPr>
            <w:tcW w:w="993" w:type="dxa"/>
            <w:vMerge/>
            <w:tcBorders>
              <w:bottom w:val="single" w:sz="8" w:space="0" w:color="auto"/>
            </w:tcBorders>
            <w:shd w:val="clear" w:color="auto" w:fill="E6E6E6"/>
            <w:tcMar>
              <w:left w:w="57" w:type="dxa"/>
              <w:right w:w="57" w:type="dxa"/>
            </w:tcMar>
            <w:vAlign w:val="center"/>
          </w:tcPr>
          <w:p w14:paraId="715C2A2E" w14:textId="77777777" w:rsidR="00026EBE" w:rsidRPr="00A0428D" w:rsidRDefault="00026EBE" w:rsidP="000850F6">
            <w:pPr>
              <w:pStyle w:val="Tabletextleft"/>
              <w:rPr>
                <w:sz w:val="19"/>
                <w:szCs w:val="19"/>
              </w:rPr>
            </w:pPr>
          </w:p>
        </w:tc>
        <w:tc>
          <w:tcPr>
            <w:tcW w:w="1071" w:type="dxa"/>
            <w:shd w:val="clear" w:color="auto" w:fill="BDCFF0" w:themeFill="accent2" w:themeFillTint="66"/>
          </w:tcPr>
          <w:p w14:paraId="77CB1CA5" w14:textId="77777777" w:rsidR="00026EBE" w:rsidRPr="00B57CCA" w:rsidRDefault="00026EBE" w:rsidP="000850F6">
            <w:pPr>
              <w:pStyle w:val="Tabletextleft"/>
              <w:ind w:right="-119"/>
              <w:rPr>
                <w:rFonts w:ascii="Arial" w:hAnsi="Arial" w:cs="Arial"/>
                <w:b/>
                <w:bCs/>
                <w:color w:val="00348C" w:themeColor="accent1" w:themeShade="BF"/>
              </w:rPr>
            </w:pPr>
            <w:r w:rsidRPr="00B57CCA">
              <w:rPr>
                <w:rFonts w:ascii="Arial" w:hAnsi="Arial" w:cs="Arial"/>
                <w:b/>
                <w:bCs/>
                <w:color w:val="00348C" w:themeColor="accent1" w:themeShade="BF"/>
              </w:rPr>
              <w:t xml:space="preserve">Water solubility </w:t>
            </w:r>
          </w:p>
        </w:tc>
        <w:tc>
          <w:tcPr>
            <w:tcW w:w="770" w:type="dxa"/>
            <w:shd w:val="clear" w:color="auto" w:fill="BDCFF0" w:themeFill="accent2" w:themeFillTint="66"/>
          </w:tcPr>
          <w:p w14:paraId="4616E28C" w14:textId="77777777" w:rsidR="00026EBE" w:rsidRPr="00B57CCA" w:rsidRDefault="00026EBE" w:rsidP="000850F6">
            <w:pPr>
              <w:pStyle w:val="Tabletextleft"/>
              <w:rPr>
                <w:rFonts w:ascii="Arial" w:hAnsi="Arial" w:cs="Arial"/>
                <w:b/>
                <w:bCs/>
                <w:color w:val="00348C" w:themeColor="accent1" w:themeShade="BF"/>
              </w:rPr>
            </w:pPr>
            <w:r w:rsidRPr="00B57CCA">
              <w:rPr>
                <w:rFonts w:ascii="Arial" w:hAnsi="Arial" w:cs="Arial"/>
                <w:b/>
                <w:bCs/>
                <w:color w:val="00348C" w:themeColor="accent1" w:themeShade="BF"/>
              </w:rPr>
              <w:t>MW g/mol</w:t>
            </w:r>
          </w:p>
        </w:tc>
        <w:tc>
          <w:tcPr>
            <w:tcW w:w="994" w:type="dxa"/>
            <w:shd w:val="clear" w:color="auto" w:fill="BDCFF0" w:themeFill="accent2" w:themeFillTint="66"/>
          </w:tcPr>
          <w:p w14:paraId="76FDF165" w14:textId="77777777" w:rsidR="00026EBE" w:rsidRPr="00B57CCA" w:rsidRDefault="00026EBE" w:rsidP="000850F6">
            <w:pPr>
              <w:pStyle w:val="Tabletextleft"/>
              <w:rPr>
                <w:rFonts w:ascii="Arial" w:hAnsi="Arial" w:cs="Arial"/>
                <w:b/>
                <w:bCs/>
                <w:color w:val="00348C" w:themeColor="accent1" w:themeShade="BF"/>
              </w:rPr>
            </w:pPr>
            <w:r w:rsidRPr="00B57CCA">
              <w:rPr>
                <w:rFonts w:ascii="Arial" w:hAnsi="Arial" w:cs="Arial"/>
                <w:b/>
                <w:bCs/>
                <w:color w:val="00348C" w:themeColor="accent1" w:themeShade="BF"/>
              </w:rPr>
              <w:t>Density</w:t>
            </w:r>
          </w:p>
        </w:tc>
        <w:tc>
          <w:tcPr>
            <w:tcW w:w="567" w:type="dxa"/>
            <w:shd w:val="clear" w:color="auto" w:fill="BDCFF0" w:themeFill="accent2" w:themeFillTint="66"/>
          </w:tcPr>
          <w:p w14:paraId="0722960C" w14:textId="77777777" w:rsidR="00026EBE" w:rsidRPr="00B57CCA" w:rsidRDefault="00026EBE" w:rsidP="000850F6">
            <w:pPr>
              <w:pStyle w:val="Tabletextleft"/>
              <w:rPr>
                <w:rFonts w:ascii="Arial" w:hAnsi="Arial" w:cs="Arial"/>
                <w:b/>
                <w:bCs/>
                <w:color w:val="00348C" w:themeColor="accent1" w:themeShade="BF"/>
              </w:rPr>
            </w:pPr>
            <w:r w:rsidRPr="00B57CCA">
              <w:rPr>
                <w:rFonts w:ascii="Arial" w:hAnsi="Arial" w:cs="Arial"/>
                <w:b/>
                <w:bCs/>
                <w:color w:val="00348C" w:themeColor="accent1" w:themeShade="BF"/>
              </w:rPr>
              <w:t>Log P</w:t>
            </w:r>
            <w:r w:rsidRPr="00B57CCA">
              <w:rPr>
                <w:rFonts w:ascii="Arial" w:hAnsi="Arial" w:cs="Arial"/>
                <w:b/>
                <w:bCs/>
                <w:color w:val="00348C" w:themeColor="accent1" w:themeShade="BF"/>
                <w:vertAlign w:val="subscript"/>
              </w:rPr>
              <w:t>ow</w:t>
            </w:r>
          </w:p>
        </w:tc>
        <w:tc>
          <w:tcPr>
            <w:tcW w:w="1842" w:type="dxa"/>
            <w:vMerge/>
            <w:tcBorders>
              <w:bottom w:val="single" w:sz="8" w:space="0" w:color="auto"/>
            </w:tcBorders>
            <w:shd w:val="clear" w:color="auto" w:fill="E6E6E6"/>
            <w:vAlign w:val="center"/>
          </w:tcPr>
          <w:p w14:paraId="54E302A1" w14:textId="77777777" w:rsidR="00026EBE" w:rsidRPr="0074486E" w:rsidRDefault="00026EBE" w:rsidP="000850F6">
            <w:pPr>
              <w:pStyle w:val="Tabletextleft"/>
              <w:rPr>
                <w:sz w:val="22"/>
                <w:szCs w:val="22"/>
              </w:rPr>
            </w:pPr>
          </w:p>
        </w:tc>
      </w:tr>
      <w:tr w:rsidR="00026EBE" w:rsidRPr="0074486E" w14:paraId="4F40A56F" w14:textId="77777777" w:rsidTr="000850F6">
        <w:trPr>
          <w:trHeight w:val="255"/>
          <w:jc w:val="center"/>
        </w:trPr>
        <w:tc>
          <w:tcPr>
            <w:tcW w:w="1246" w:type="dxa"/>
            <w:shd w:val="clear" w:color="auto" w:fill="auto"/>
            <w:tcMar>
              <w:top w:w="57" w:type="dxa"/>
              <w:bottom w:w="57" w:type="dxa"/>
            </w:tcMar>
            <w:vAlign w:val="center"/>
          </w:tcPr>
          <w:p w14:paraId="33B950E7" w14:textId="77777777" w:rsidR="00026EBE" w:rsidRPr="00B57CCA" w:rsidRDefault="00026EBE" w:rsidP="000850F6">
            <w:pPr>
              <w:pStyle w:val="Tabletext"/>
              <w:rPr>
                <w:rFonts w:ascii="Arial" w:eastAsia="Cambria" w:hAnsi="Arial" w:cs="Arial"/>
                <w:sz w:val="18"/>
                <w:szCs w:val="18"/>
              </w:rPr>
            </w:pPr>
            <w:r w:rsidRPr="00B57CCA">
              <w:rPr>
                <w:rFonts w:ascii="Arial" w:hAnsi="Arial" w:cs="Arial"/>
                <w:sz w:val="18"/>
                <w:szCs w:val="18"/>
              </w:rPr>
              <w:t xml:space="preserve">Avobenzone </w:t>
            </w:r>
            <w:r w:rsidRPr="00B57CCA">
              <w:rPr>
                <w:rFonts w:ascii="Arial" w:eastAsia="Cambria" w:hAnsi="Arial" w:cs="Arial"/>
                <w:sz w:val="18"/>
                <w:szCs w:val="18"/>
              </w:rPr>
              <w:t>(</w:t>
            </w:r>
            <w:r w:rsidRPr="00B57CCA">
              <w:rPr>
                <w:rFonts w:ascii="Arial" w:hAnsi="Arial" w:cs="Arial"/>
                <w:sz w:val="18"/>
                <w:szCs w:val="18"/>
              </w:rPr>
              <w:t>BMDM</w:t>
            </w:r>
            <w:r w:rsidRPr="00B57CCA">
              <w:rPr>
                <w:rFonts w:ascii="Arial" w:eastAsia="Cambria" w:hAnsi="Arial" w:cs="Arial"/>
                <w:sz w:val="18"/>
                <w:szCs w:val="18"/>
              </w:rPr>
              <w:t xml:space="preserve"> or BMDBM)</w:t>
            </w:r>
          </w:p>
          <w:p w14:paraId="67616DC1" w14:textId="77777777" w:rsidR="00026EBE" w:rsidRPr="00B57CCA" w:rsidRDefault="00026EBE" w:rsidP="000850F6">
            <w:pPr>
              <w:pStyle w:val="Tabletext"/>
              <w:rPr>
                <w:rFonts w:ascii="Arial" w:hAnsi="Arial" w:cs="Arial"/>
                <w:i/>
                <w:sz w:val="18"/>
                <w:szCs w:val="18"/>
              </w:rPr>
            </w:pPr>
            <w:r w:rsidRPr="00B57CCA">
              <w:rPr>
                <w:rFonts w:ascii="Arial" w:hAnsi="Arial" w:cs="Arial"/>
                <w:i/>
                <w:sz w:val="18"/>
                <w:szCs w:val="18"/>
              </w:rPr>
              <w:t>UVA</w:t>
            </w:r>
          </w:p>
        </w:tc>
        <w:tc>
          <w:tcPr>
            <w:tcW w:w="1054" w:type="dxa"/>
            <w:shd w:val="clear" w:color="auto" w:fill="auto"/>
            <w:vAlign w:val="center"/>
          </w:tcPr>
          <w:p w14:paraId="1FBC7C07"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70356-09-1</w:t>
            </w:r>
          </w:p>
        </w:tc>
        <w:tc>
          <w:tcPr>
            <w:tcW w:w="1659" w:type="dxa"/>
            <w:shd w:val="clear" w:color="auto" w:fill="auto"/>
            <w:vAlign w:val="center"/>
          </w:tcPr>
          <w:p w14:paraId="1CEED623"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1,3-Propanedione, 1-[4-(1,1-</w:t>
            </w:r>
            <w:proofErr w:type="gramStart"/>
            <w:r w:rsidRPr="00B57CCA">
              <w:rPr>
                <w:rFonts w:ascii="Arial" w:hAnsi="Arial" w:cs="Arial"/>
                <w:sz w:val="18"/>
                <w:szCs w:val="18"/>
              </w:rPr>
              <w:t>dimethylethyl)phenyl</w:t>
            </w:r>
            <w:proofErr w:type="gramEnd"/>
            <w:r w:rsidRPr="00B57CCA">
              <w:rPr>
                <w:rFonts w:ascii="Arial" w:hAnsi="Arial" w:cs="Arial"/>
                <w:sz w:val="18"/>
                <w:szCs w:val="18"/>
              </w:rPr>
              <w:t>]-3-(4-methoxyphenyl)-</w:t>
            </w:r>
          </w:p>
        </w:tc>
        <w:tc>
          <w:tcPr>
            <w:tcW w:w="993" w:type="dxa"/>
            <w:shd w:val="clear" w:color="auto" w:fill="auto"/>
            <w:vAlign w:val="center"/>
          </w:tcPr>
          <w:p w14:paraId="1199BC08"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C</w:t>
            </w:r>
            <w:r w:rsidRPr="00B57CCA">
              <w:rPr>
                <w:rFonts w:ascii="Arial" w:hAnsi="Arial" w:cs="Arial"/>
                <w:sz w:val="18"/>
                <w:szCs w:val="18"/>
                <w:vertAlign w:val="subscript"/>
              </w:rPr>
              <w:t>20</w:t>
            </w:r>
            <w:r w:rsidRPr="00B57CCA">
              <w:rPr>
                <w:rFonts w:ascii="Arial" w:hAnsi="Arial" w:cs="Arial"/>
                <w:sz w:val="18"/>
                <w:szCs w:val="18"/>
              </w:rPr>
              <w:t>H</w:t>
            </w:r>
            <w:r w:rsidRPr="00B57CCA">
              <w:rPr>
                <w:rFonts w:ascii="Arial" w:hAnsi="Arial" w:cs="Arial"/>
                <w:sz w:val="18"/>
                <w:szCs w:val="18"/>
                <w:vertAlign w:val="subscript"/>
              </w:rPr>
              <w:t>22</w:t>
            </w:r>
            <w:r w:rsidRPr="00B57CCA">
              <w:rPr>
                <w:rFonts w:ascii="Arial" w:hAnsi="Arial" w:cs="Arial"/>
                <w:sz w:val="18"/>
                <w:szCs w:val="18"/>
              </w:rPr>
              <w:t>O</w:t>
            </w:r>
            <w:r w:rsidRPr="00B57CCA">
              <w:rPr>
                <w:rFonts w:ascii="Arial" w:hAnsi="Arial" w:cs="Arial"/>
                <w:sz w:val="18"/>
                <w:szCs w:val="18"/>
                <w:vertAlign w:val="subscript"/>
              </w:rPr>
              <w:t>3</w:t>
            </w:r>
          </w:p>
        </w:tc>
        <w:tc>
          <w:tcPr>
            <w:tcW w:w="1071" w:type="dxa"/>
            <w:shd w:val="clear" w:color="auto" w:fill="auto"/>
            <w:vAlign w:val="center"/>
          </w:tcPr>
          <w:p w14:paraId="51CF450A"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 xml:space="preserve">0.01 mg/L </w:t>
            </w:r>
          </w:p>
        </w:tc>
        <w:tc>
          <w:tcPr>
            <w:tcW w:w="770" w:type="dxa"/>
            <w:shd w:val="clear" w:color="auto" w:fill="auto"/>
            <w:vAlign w:val="center"/>
          </w:tcPr>
          <w:p w14:paraId="17986B13"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310.4</w:t>
            </w:r>
          </w:p>
        </w:tc>
        <w:tc>
          <w:tcPr>
            <w:tcW w:w="994" w:type="dxa"/>
            <w:vAlign w:val="center"/>
          </w:tcPr>
          <w:p w14:paraId="4D507498"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1.1±0.1 g/cm</w:t>
            </w:r>
            <w:r w:rsidRPr="00B57CCA">
              <w:rPr>
                <w:rFonts w:ascii="Arial" w:hAnsi="Arial" w:cs="Arial"/>
                <w:sz w:val="18"/>
                <w:szCs w:val="18"/>
                <w:vertAlign w:val="superscript"/>
              </w:rPr>
              <w:t>3</w:t>
            </w:r>
          </w:p>
        </w:tc>
        <w:tc>
          <w:tcPr>
            <w:tcW w:w="567" w:type="dxa"/>
            <w:shd w:val="clear" w:color="auto" w:fill="auto"/>
            <w:vAlign w:val="center"/>
          </w:tcPr>
          <w:p w14:paraId="2295CA01"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4.5-6.1</w:t>
            </w:r>
          </w:p>
        </w:tc>
        <w:tc>
          <w:tcPr>
            <w:tcW w:w="1842" w:type="dxa"/>
            <w:vAlign w:val="center"/>
          </w:tcPr>
          <w:p w14:paraId="67735995" w14:textId="77777777" w:rsidR="00026EBE" w:rsidRPr="00B57CCA" w:rsidRDefault="00026EBE" w:rsidP="000850F6">
            <w:pPr>
              <w:pStyle w:val="Tabletext"/>
              <w:rPr>
                <w:rFonts w:ascii="Arial" w:eastAsiaTheme="minorHAnsi" w:hAnsi="Arial" w:cs="Arial"/>
                <w:sz w:val="18"/>
                <w:szCs w:val="18"/>
              </w:rPr>
            </w:pPr>
            <w:r w:rsidRPr="00B57CCA">
              <w:rPr>
                <w:rFonts w:ascii="Arial" w:hAnsi="Arial" w:cs="Arial"/>
                <w:sz w:val="18"/>
                <w:szCs w:val="18"/>
              </w:rPr>
              <w:t>Butyl methoxydibenzoylmethane</w:t>
            </w:r>
            <w:r w:rsidRPr="00B57CCA">
              <w:rPr>
                <w:rFonts w:ascii="Arial" w:eastAsiaTheme="minorHAnsi" w:hAnsi="Arial" w:cs="Arial"/>
                <w:sz w:val="18"/>
                <w:szCs w:val="18"/>
              </w:rPr>
              <w:t xml:space="preserve">, </w:t>
            </w:r>
            <w:proofErr w:type="spellStart"/>
            <w:r w:rsidRPr="00B57CCA">
              <w:rPr>
                <w:rFonts w:ascii="Arial" w:hAnsi="Arial" w:cs="Arial"/>
                <w:sz w:val="18"/>
                <w:szCs w:val="18"/>
              </w:rPr>
              <w:t>Eusolex</w:t>
            </w:r>
            <w:proofErr w:type="spellEnd"/>
            <w:r w:rsidRPr="00B57CCA">
              <w:rPr>
                <w:rFonts w:ascii="Arial" w:eastAsia="Cambria" w:hAnsi="Arial" w:cs="Arial"/>
                <w:sz w:val="18"/>
                <w:szCs w:val="18"/>
              </w:rPr>
              <w:t xml:space="preserve">® 020, </w:t>
            </w:r>
            <w:proofErr w:type="spellStart"/>
            <w:r w:rsidRPr="00B57CCA">
              <w:rPr>
                <w:rFonts w:ascii="Arial" w:eastAsia="Cambria" w:hAnsi="Arial" w:cs="Arial"/>
                <w:sz w:val="18"/>
                <w:szCs w:val="18"/>
              </w:rPr>
              <w:t>Parsol</w:t>
            </w:r>
            <w:proofErr w:type="spellEnd"/>
            <w:r w:rsidRPr="00B57CCA">
              <w:rPr>
                <w:rFonts w:ascii="Arial" w:eastAsia="Cambria" w:hAnsi="Arial" w:cs="Arial"/>
                <w:sz w:val="18"/>
                <w:szCs w:val="18"/>
              </w:rPr>
              <w:t>® 1789, 4-tert-butyl-4’methoxydibenzoylmethane, BMDBM</w:t>
            </w:r>
          </w:p>
        </w:tc>
      </w:tr>
      <w:tr w:rsidR="00026EBE" w:rsidRPr="0074486E" w14:paraId="0C44ACF0" w14:textId="77777777" w:rsidTr="000850F6">
        <w:trPr>
          <w:trHeight w:val="255"/>
          <w:jc w:val="center"/>
        </w:trPr>
        <w:tc>
          <w:tcPr>
            <w:tcW w:w="1246" w:type="dxa"/>
            <w:shd w:val="clear" w:color="auto" w:fill="auto"/>
            <w:tcMar>
              <w:top w:w="57" w:type="dxa"/>
              <w:bottom w:w="57" w:type="dxa"/>
            </w:tcMar>
            <w:vAlign w:val="center"/>
          </w:tcPr>
          <w:p w14:paraId="7E177A46"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Ethylhexyl triazone (EHT)</w:t>
            </w:r>
          </w:p>
          <w:p w14:paraId="65BABF4C" w14:textId="77777777" w:rsidR="00026EBE" w:rsidRPr="00B57CCA" w:rsidRDefault="00026EBE" w:rsidP="000850F6">
            <w:pPr>
              <w:pStyle w:val="Tabletext"/>
              <w:rPr>
                <w:rFonts w:ascii="Arial" w:hAnsi="Arial" w:cs="Arial"/>
                <w:sz w:val="18"/>
                <w:szCs w:val="18"/>
              </w:rPr>
            </w:pPr>
            <w:r w:rsidRPr="00B57CCA">
              <w:rPr>
                <w:rFonts w:ascii="Arial" w:hAnsi="Arial" w:cs="Arial"/>
                <w:i/>
                <w:sz w:val="18"/>
                <w:szCs w:val="18"/>
              </w:rPr>
              <w:t>UVB</w:t>
            </w:r>
          </w:p>
        </w:tc>
        <w:tc>
          <w:tcPr>
            <w:tcW w:w="1054" w:type="dxa"/>
            <w:shd w:val="clear" w:color="auto" w:fill="auto"/>
            <w:vAlign w:val="center"/>
          </w:tcPr>
          <w:p w14:paraId="4849A7CB"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 xml:space="preserve">88122-99-0 </w:t>
            </w:r>
          </w:p>
        </w:tc>
        <w:tc>
          <w:tcPr>
            <w:tcW w:w="1659" w:type="dxa"/>
            <w:shd w:val="clear" w:color="auto" w:fill="auto"/>
            <w:vAlign w:val="center"/>
          </w:tcPr>
          <w:p w14:paraId="4CB6E0C6"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2,4,6-Trianilino-(p-carbo-2’-ethylhexyl-l’-oxy)-1,3,5- triazine</w:t>
            </w:r>
          </w:p>
        </w:tc>
        <w:tc>
          <w:tcPr>
            <w:tcW w:w="993" w:type="dxa"/>
            <w:shd w:val="clear" w:color="auto" w:fill="auto"/>
            <w:vAlign w:val="center"/>
          </w:tcPr>
          <w:p w14:paraId="1ED9F774"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C</w:t>
            </w:r>
            <w:r w:rsidRPr="00B57CCA">
              <w:rPr>
                <w:rFonts w:ascii="Arial" w:hAnsi="Arial" w:cs="Arial"/>
                <w:sz w:val="18"/>
                <w:szCs w:val="18"/>
                <w:vertAlign w:val="subscript"/>
              </w:rPr>
              <w:t>48</w:t>
            </w:r>
            <w:r w:rsidRPr="00B57CCA">
              <w:rPr>
                <w:rFonts w:ascii="Arial" w:hAnsi="Arial" w:cs="Arial"/>
                <w:sz w:val="18"/>
                <w:szCs w:val="18"/>
              </w:rPr>
              <w:t>H</w:t>
            </w:r>
            <w:r w:rsidRPr="00B57CCA">
              <w:rPr>
                <w:rFonts w:ascii="Arial" w:hAnsi="Arial" w:cs="Arial"/>
                <w:sz w:val="18"/>
                <w:szCs w:val="18"/>
                <w:vertAlign w:val="subscript"/>
              </w:rPr>
              <w:t>66</w:t>
            </w:r>
            <w:r w:rsidRPr="00B57CCA">
              <w:rPr>
                <w:rFonts w:ascii="Arial" w:hAnsi="Arial" w:cs="Arial"/>
                <w:sz w:val="18"/>
                <w:szCs w:val="18"/>
              </w:rPr>
              <w:t>N</w:t>
            </w:r>
            <w:r w:rsidRPr="00B57CCA">
              <w:rPr>
                <w:rFonts w:ascii="Arial" w:hAnsi="Arial" w:cs="Arial"/>
                <w:sz w:val="18"/>
                <w:szCs w:val="18"/>
                <w:vertAlign w:val="subscript"/>
              </w:rPr>
              <w:t>6</w:t>
            </w:r>
            <w:r w:rsidRPr="00B57CCA">
              <w:rPr>
                <w:rFonts w:ascii="Arial" w:hAnsi="Arial" w:cs="Arial"/>
                <w:sz w:val="18"/>
                <w:szCs w:val="18"/>
              </w:rPr>
              <w:t>O</w:t>
            </w:r>
            <w:r w:rsidRPr="00B57CCA">
              <w:rPr>
                <w:rFonts w:ascii="Arial" w:hAnsi="Arial" w:cs="Arial"/>
                <w:sz w:val="18"/>
                <w:szCs w:val="18"/>
                <w:vertAlign w:val="subscript"/>
              </w:rPr>
              <w:t>6</w:t>
            </w:r>
          </w:p>
        </w:tc>
        <w:tc>
          <w:tcPr>
            <w:tcW w:w="1071" w:type="dxa"/>
            <w:shd w:val="clear" w:color="auto" w:fill="auto"/>
            <w:vAlign w:val="center"/>
          </w:tcPr>
          <w:p w14:paraId="2AF6E9B8"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0.005 mg/L at 20°C</w:t>
            </w:r>
          </w:p>
        </w:tc>
        <w:tc>
          <w:tcPr>
            <w:tcW w:w="770" w:type="dxa"/>
            <w:shd w:val="clear" w:color="auto" w:fill="auto"/>
            <w:vAlign w:val="center"/>
          </w:tcPr>
          <w:p w14:paraId="5D7103BF"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823.1</w:t>
            </w:r>
          </w:p>
        </w:tc>
        <w:tc>
          <w:tcPr>
            <w:tcW w:w="994" w:type="dxa"/>
            <w:vAlign w:val="center"/>
          </w:tcPr>
          <w:p w14:paraId="53A9904D"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1.1±0.1 g/cm</w:t>
            </w:r>
            <w:r w:rsidRPr="00B57CCA">
              <w:rPr>
                <w:rFonts w:ascii="Arial" w:hAnsi="Arial" w:cs="Arial"/>
                <w:sz w:val="18"/>
                <w:szCs w:val="18"/>
                <w:vertAlign w:val="superscript"/>
              </w:rPr>
              <w:t>3</w:t>
            </w:r>
          </w:p>
        </w:tc>
        <w:tc>
          <w:tcPr>
            <w:tcW w:w="567" w:type="dxa"/>
            <w:shd w:val="clear" w:color="auto" w:fill="auto"/>
            <w:vAlign w:val="center"/>
          </w:tcPr>
          <w:p w14:paraId="2B11B29D"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 xml:space="preserve">15.5 </w:t>
            </w:r>
          </w:p>
        </w:tc>
        <w:tc>
          <w:tcPr>
            <w:tcW w:w="1842" w:type="dxa"/>
            <w:vAlign w:val="center"/>
          </w:tcPr>
          <w:p w14:paraId="60FE064D" w14:textId="77777777" w:rsidR="00026EBE" w:rsidRPr="00B57CCA" w:rsidRDefault="00026EBE" w:rsidP="000850F6">
            <w:pPr>
              <w:pStyle w:val="Tabletext"/>
              <w:rPr>
                <w:rFonts w:ascii="Arial" w:eastAsiaTheme="minorHAnsi" w:hAnsi="Arial" w:cs="Arial"/>
                <w:sz w:val="18"/>
                <w:szCs w:val="18"/>
              </w:rPr>
            </w:pPr>
            <w:proofErr w:type="spellStart"/>
            <w:r w:rsidRPr="00B57CCA">
              <w:rPr>
                <w:rFonts w:ascii="Arial" w:hAnsi="Arial" w:cs="Arial"/>
                <w:sz w:val="18"/>
                <w:szCs w:val="18"/>
              </w:rPr>
              <w:t>Uvinul</w:t>
            </w:r>
            <w:proofErr w:type="spellEnd"/>
            <w:r w:rsidRPr="00B57CCA">
              <w:rPr>
                <w:rFonts w:ascii="Arial" w:hAnsi="Arial" w:cs="Arial"/>
                <w:sz w:val="18"/>
                <w:szCs w:val="18"/>
              </w:rPr>
              <w:t xml:space="preserve"> T150, (octyl triazone)</w:t>
            </w:r>
          </w:p>
        </w:tc>
      </w:tr>
      <w:tr w:rsidR="00026EBE" w:rsidRPr="0074486E" w14:paraId="08AB409A" w14:textId="77777777" w:rsidTr="000850F6">
        <w:trPr>
          <w:trHeight w:val="255"/>
          <w:jc w:val="center"/>
        </w:trPr>
        <w:tc>
          <w:tcPr>
            <w:tcW w:w="1246" w:type="dxa"/>
            <w:shd w:val="clear" w:color="auto" w:fill="auto"/>
            <w:tcMar>
              <w:top w:w="57" w:type="dxa"/>
              <w:bottom w:w="57" w:type="dxa"/>
            </w:tcMar>
            <w:vAlign w:val="center"/>
          </w:tcPr>
          <w:p w14:paraId="41AB3B6B"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Homosalate</w:t>
            </w:r>
          </w:p>
          <w:p w14:paraId="6113559B" w14:textId="77777777" w:rsidR="00026EBE" w:rsidRPr="00B57CCA" w:rsidRDefault="00026EBE" w:rsidP="000850F6">
            <w:pPr>
              <w:pStyle w:val="Tabletext"/>
              <w:rPr>
                <w:rFonts w:ascii="Arial" w:hAnsi="Arial" w:cs="Arial"/>
                <w:i/>
                <w:sz w:val="18"/>
                <w:szCs w:val="18"/>
              </w:rPr>
            </w:pPr>
            <w:r w:rsidRPr="00B57CCA">
              <w:rPr>
                <w:rFonts w:ascii="Arial" w:hAnsi="Arial" w:cs="Arial"/>
                <w:i/>
                <w:sz w:val="18"/>
                <w:szCs w:val="18"/>
              </w:rPr>
              <w:t xml:space="preserve">UVB </w:t>
            </w:r>
          </w:p>
        </w:tc>
        <w:tc>
          <w:tcPr>
            <w:tcW w:w="1054" w:type="dxa"/>
            <w:shd w:val="clear" w:color="auto" w:fill="auto"/>
            <w:vAlign w:val="center"/>
          </w:tcPr>
          <w:p w14:paraId="3DC7FE11"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118-56-9</w:t>
            </w:r>
          </w:p>
        </w:tc>
        <w:tc>
          <w:tcPr>
            <w:tcW w:w="1659" w:type="dxa"/>
            <w:shd w:val="clear" w:color="auto" w:fill="auto"/>
            <w:vAlign w:val="center"/>
          </w:tcPr>
          <w:p w14:paraId="3C6A9516"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3,3,5-trimethylcyclohexyl) 2-hydroxybenzoate</w:t>
            </w:r>
          </w:p>
        </w:tc>
        <w:tc>
          <w:tcPr>
            <w:tcW w:w="993" w:type="dxa"/>
            <w:shd w:val="clear" w:color="auto" w:fill="auto"/>
            <w:vAlign w:val="center"/>
          </w:tcPr>
          <w:p w14:paraId="5FE64EB2"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C</w:t>
            </w:r>
            <w:r w:rsidRPr="00B57CCA">
              <w:rPr>
                <w:rFonts w:ascii="Arial" w:hAnsi="Arial" w:cs="Arial"/>
                <w:sz w:val="18"/>
                <w:szCs w:val="18"/>
                <w:vertAlign w:val="subscript"/>
              </w:rPr>
              <w:t>16</w:t>
            </w:r>
            <w:r w:rsidRPr="00B57CCA">
              <w:rPr>
                <w:rFonts w:ascii="Arial" w:hAnsi="Arial" w:cs="Arial"/>
                <w:sz w:val="18"/>
                <w:szCs w:val="18"/>
              </w:rPr>
              <w:t>H</w:t>
            </w:r>
            <w:r w:rsidRPr="00B57CCA">
              <w:rPr>
                <w:rFonts w:ascii="Arial" w:hAnsi="Arial" w:cs="Arial"/>
                <w:sz w:val="18"/>
                <w:szCs w:val="18"/>
                <w:vertAlign w:val="subscript"/>
              </w:rPr>
              <w:t>22</w:t>
            </w:r>
            <w:r w:rsidRPr="00B57CCA">
              <w:rPr>
                <w:rFonts w:ascii="Arial" w:hAnsi="Arial" w:cs="Arial"/>
                <w:sz w:val="18"/>
                <w:szCs w:val="18"/>
              </w:rPr>
              <w:t>O</w:t>
            </w:r>
            <w:r w:rsidRPr="00B57CCA">
              <w:rPr>
                <w:rFonts w:ascii="Arial" w:hAnsi="Arial" w:cs="Arial"/>
                <w:sz w:val="18"/>
                <w:szCs w:val="18"/>
                <w:vertAlign w:val="subscript"/>
              </w:rPr>
              <w:t>3</w:t>
            </w:r>
          </w:p>
        </w:tc>
        <w:tc>
          <w:tcPr>
            <w:tcW w:w="1071" w:type="dxa"/>
            <w:shd w:val="clear" w:color="auto" w:fill="auto"/>
            <w:vAlign w:val="center"/>
          </w:tcPr>
          <w:p w14:paraId="2165FD79"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0.4 mg/L at 25°C</w:t>
            </w:r>
          </w:p>
        </w:tc>
        <w:tc>
          <w:tcPr>
            <w:tcW w:w="770" w:type="dxa"/>
            <w:shd w:val="clear" w:color="auto" w:fill="auto"/>
            <w:vAlign w:val="center"/>
          </w:tcPr>
          <w:p w14:paraId="60B9D9A1"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 xml:space="preserve">262.3 </w:t>
            </w:r>
          </w:p>
        </w:tc>
        <w:tc>
          <w:tcPr>
            <w:tcW w:w="994" w:type="dxa"/>
            <w:vAlign w:val="center"/>
          </w:tcPr>
          <w:p w14:paraId="54DEEB0D"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1.045 g/cm</w:t>
            </w:r>
            <w:r w:rsidRPr="00B57CCA">
              <w:rPr>
                <w:rFonts w:ascii="Arial" w:hAnsi="Arial" w:cs="Arial"/>
                <w:sz w:val="18"/>
                <w:szCs w:val="18"/>
                <w:vertAlign w:val="superscript"/>
              </w:rPr>
              <w:t>3</w:t>
            </w:r>
          </w:p>
        </w:tc>
        <w:tc>
          <w:tcPr>
            <w:tcW w:w="567" w:type="dxa"/>
            <w:shd w:val="clear" w:color="auto" w:fill="auto"/>
            <w:vAlign w:val="center"/>
          </w:tcPr>
          <w:p w14:paraId="06EC2B57"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4.7</w:t>
            </w:r>
          </w:p>
        </w:tc>
        <w:tc>
          <w:tcPr>
            <w:tcW w:w="1842" w:type="dxa"/>
            <w:vAlign w:val="center"/>
          </w:tcPr>
          <w:p w14:paraId="2D476560"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Benzoic Acid, 2-Hydroxy-, 3,3,5-Trimethylcyclohexyl Ester Cyclohexanol, 3,3,5-trimethyl-, salicylate.</w:t>
            </w:r>
          </w:p>
          <w:p w14:paraId="2708D344" w14:textId="77777777" w:rsidR="00026EBE" w:rsidRPr="00B57CCA" w:rsidRDefault="00026EBE" w:rsidP="000850F6">
            <w:pPr>
              <w:pStyle w:val="Tabletext"/>
              <w:rPr>
                <w:rFonts w:ascii="Arial" w:hAnsi="Arial" w:cs="Arial"/>
                <w:sz w:val="18"/>
                <w:szCs w:val="18"/>
              </w:rPr>
            </w:pPr>
            <w:proofErr w:type="spellStart"/>
            <w:r w:rsidRPr="00B57CCA">
              <w:rPr>
                <w:rFonts w:ascii="Arial" w:hAnsi="Arial" w:cs="Arial"/>
                <w:sz w:val="18"/>
                <w:szCs w:val="18"/>
              </w:rPr>
              <w:t>Homomethyl</w:t>
            </w:r>
            <w:proofErr w:type="spellEnd"/>
            <w:r w:rsidRPr="00B57CCA">
              <w:rPr>
                <w:rFonts w:ascii="Arial" w:hAnsi="Arial" w:cs="Arial"/>
                <w:sz w:val="18"/>
                <w:szCs w:val="18"/>
              </w:rPr>
              <w:t xml:space="preserve"> salicylate </w:t>
            </w:r>
          </w:p>
          <w:p w14:paraId="189DA4CF"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Salicylic acid, 3,3,5-trimethylcyclohexyl ester</w:t>
            </w:r>
          </w:p>
          <w:p w14:paraId="72C84927" w14:textId="77777777" w:rsidR="00026EBE" w:rsidRPr="00B57CCA" w:rsidRDefault="00026EBE" w:rsidP="000850F6">
            <w:pPr>
              <w:pStyle w:val="Tabletext"/>
              <w:rPr>
                <w:rFonts w:ascii="Arial" w:eastAsiaTheme="minorHAnsi" w:hAnsi="Arial" w:cs="Arial"/>
                <w:sz w:val="18"/>
                <w:szCs w:val="18"/>
              </w:rPr>
            </w:pPr>
            <w:r w:rsidRPr="00B57CCA">
              <w:rPr>
                <w:rFonts w:ascii="Arial" w:hAnsi="Arial" w:cs="Arial"/>
                <w:sz w:val="18"/>
                <w:szCs w:val="18"/>
              </w:rPr>
              <w:t xml:space="preserve">Caswell No. 482B, Neo </w:t>
            </w:r>
            <w:proofErr w:type="spellStart"/>
            <w:r w:rsidRPr="00B57CCA">
              <w:rPr>
                <w:rFonts w:ascii="Arial" w:hAnsi="Arial" w:cs="Arial"/>
                <w:sz w:val="18"/>
                <w:szCs w:val="18"/>
              </w:rPr>
              <w:t>Heliopan</w:t>
            </w:r>
            <w:proofErr w:type="spellEnd"/>
            <w:r w:rsidRPr="00B57CCA">
              <w:rPr>
                <w:rFonts w:ascii="Arial" w:hAnsi="Arial" w:cs="Arial"/>
                <w:sz w:val="18"/>
                <w:szCs w:val="18"/>
              </w:rPr>
              <w:t xml:space="preserve">® HMS, CCRIS 4885, </w:t>
            </w:r>
            <w:proofErr w:type="spellStart"/>
            <w:r w:rsidRPr="00B57CCA">
              <w:rPr>
                <w:rFonts w:ascii="Arial" w:hAnsi="Arial" w:cs="Arial"/>
                <w:sz w:val="18"/>
                <w:szCs w:val="18"/>
              </w:rPr>
              <w:t>Filtersol</w:t>
            </w:r>
            <w:proofErr w:type="spellEnd"/>
            <w:r w:rsidRPr="00B57CCA">
              <w:rPr>
                <w:rFonts w:ascii="Arial" w:hAnsi="Arial" w:cs="Arial"/>
                <w:sz w:val="18"/>
                <w:szCs w:val="18"/>
              </w:rPr>
              <w:t xml:space="preserve"> ''A''</w:t>
            </w:r>
          </w:p>
        </w:tc>
      </w:tr>
      <w:tr w:rsidR="00026EBE" w:rsidRPr="0074486E" w14:paraId="2BA5112A" w14:textId="77777777" w:rsidTr="000850F6">
        <w:trPr>
          <w:trHeight w:val="255"/>
          <w:jc w:val="center"/>
        </w:trPr>
        <w:tc>
          <w:tcPr>
            <w:tcW w:w="1246" w:type="dxa"/>
            <w:shd w:val="clear" w:color="auto" w:fill="auto"/>
            <w:tcMar>
              <w:top w:w="57" w:type="dxa"/>
              <w:bottom w:w="57" w:type="dxa"/>
            </w:tcMar>
            <w:vAlign w:val="center"/>
          </w:tcPr>
          <w:p w14:paraId="2CDA08EC"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Octinoxate (OMC or EHMC)</w:t>
            </w:r>
          </w:p>
          <w:p w14:paraId="43950952" w14:textId="77777777" w:rsidR="00026EBE" w:rsidRPr="00B57CCA" w:rsidRDefault="00026EBE" w:rsidP="000850F6">
            <w:pPr>
              <w:pStyle w:val="Tabletext"/>
              <w:rPr>
                <w:rFonts w:ascii="Arial" w:hAnsi="Arial" w:cs="Arial"/>
                <w:i/>
                <w:sz w:val="18"/>
                <w:szCs w:val="18"/>
              </w:rPr>
            </w:pPr>
            <w:r w:rsidRPr="00B57CCA">
              <w:rPr>
                <w:rFonts w:ascii="Arial" w:hAnsi="Arial" w:cs="Arial"/>
                <w:i/>
                <w:sz w:val="18"/>
                <w:szCs w:val="18"/>
              </w:rPr>
              <w:t>UVB</w:t>
            </w:r>
          </w:p>
        </w:tc>
        <w:tc>
          <w:tcPr>
            <w:tcW w:w="1054" w:type="dxa"/>
            <w:shd w:val="clear" w:color="auto" w:fill="auto"/>
            <w:vAlign w:val="center"/>
          </w:tcPr>
          <w:p w14:paraId="4793627C"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5466-77-3</w:t>
            </w:r>
          </w:p>
        </w:tc>
        <w:tc>
          <w:tcPr>
            <w:tcW w:w="1659" w:type="dxa"/>
            <w:shd w:val="clear" w:color="auto" w:fill="auto"/>
            <w:vAlign w:val="center"/>
          </w:tcPr>
          <w:p w14:paraId="7C3604C3"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2-Ethylhexyl 4-methoxycinnamate</w:t>
            </w:r>
          </w:p>
        </w:tc>
        <w:tc>
          <w:tcPr>
            <w:tcW w:w="993" w:type="dxa"/>
            <w:shd w:val="clear" w:color="auto" w:fill="auto"/>
            <w:vAlign w:val="center"/>
          </w:tcPr>
          <w:p w14:paraId="3F61A540"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C</w:t>
            </w:r>
            <w:r w:rsidRPr="00B57CCA">
              <w:rPr>
                <w:rFonts w:ascii="Arial" w:hAnsi="Arial" w:cs="Arial"/>
                <w:sz w:val="18"/>
                <w:szCs w:val="18"/>
                <w:vertAlign w:val="subscript"/>
              </w:rPr>
              <w:t>18</w:t>
            </w:r>
            <w:r w:rsidRPr="00B57CCA">
              <w:rPr>
                <w:rFonts w:ascii="Arial" w:hAnsi="Arial" w:cs="Arial"/>
                <w:sz w:val="18"/>
                <w:szCs w:val="18"/>
              </w:rPr>
              <w:t>H</w:t>
            </w:r>
            <w:r w:rsidRPr="00B57CCA">
              <w:rPr>
                <w:rFonts w:ascii="Arial" w:hAnsi="Arial" w:cs="Arial"/>
                <w:sz w:val="18"/>
                <w:szCs w:val="18"/>
                <w:vertAlign w:val="subscript"/>
              </w:rPr>
              <w:t>26</w:t>
            </w:r>
            <w:r w:rsidRPr="00B57CCA">
              <w:rPr>
                <w:rFonts w:ascii="Arial" w:hAnsi="Arial" w:cs="Arial"/>
                <w:sz w:val="18"/>
                <w:szCs w:val="18"/>
              </w:rPr>
              <w:t>O</w:t>
            </w:r>
            <w:r w:rsidRPr="00B57CCA">
              <w:rPr>
                <w:rFonts w:ascii="Arial" w:hAnsi="Arial" w:cs="Arial"/>
                <w:sz w:val="18"/>
                <w:szCs w:val="18"/>
                <w:vertAlign w:val="subscript"/>
              </w:rPr>
              <w:t>3</w:t>
            </w:r>
          </w:p>
        </w:tc>
        <w:tc>
          <w:tcPr>
            <w:tcW w:w="1071" w:type="dxa"/>
            <w:shd w:val="clear" w:color="auto" w:fill="auto"/>
            <w:vAlign w:val="center"/>
          </w:tcPr>
          <w:p w14:paraId="200D5E32"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0.1 g/100 mL at 27°C</w:t>
            </w:r>
          </w:p>
        </w:tc>
        <w:tc>
          <w:tcPr>
            <w:tcW w:w="770" w:type="dxa"/>
            <w:shd w:val="clear" w:color="auto" w:fill="auto"/>
            <w:vAlign w:val="center"/>
          </w:tcPr>
          <w:p w14:paraId="3BE364C1"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 xml:space="preserve">290.4 </w:t>
            </w:r>
          </w:p>
        </w:tc>
        <w:tc>
          <w:tcPr>
            <w:tcW w:w="994" w:type="dxa"/>
            <w:vAlign w:val="center"/>
          </w:tcPr>
          <w:p w14:paraId="1D9D099F"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1.01 to 1.02 g/cm</w:t>
            </w:r>
            <w:r w:rsidRPr="00B57CCA">
              <w:rPr>
                <w:rFonts w:ascii="Arial" w:hAnsi="Arial" w:cs="Arial"/>
                <w:sz w:val="18"/>
                <w:szCs w:val="18"/>
                <w:vertAlign w:val="superscript"/>
              </w:rPr>
              <w:t>3</w:t>
            </w:r>
          </w:p>
        </w:tc>
        <w:tc>
          <w:tcPr>
            <w:tcW w:w="567" w:type="dxa"/>
            <w:shd w:val="clear" w:color="auto" w:fill="auto"/>
            <w:vAlign w:val="center"/>
          </w:tcPr>
          <w:p w14:paraId="2C86D382"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5.9</w:t>
            </w:r>
          </w:p>
        </w:tc>
        <w:tc>
          <w:tcPr>
            <w:tcW w:w="1842" w:type="dxa"/>
            <w:vAlign w:val="center"/>
          </w:tcPr>
          <w:p w14:paraId="4B6CE549" w14:textId="77777777" w:rsidR="00026EBE" w:rsidRPr="00B57CCA" w:rsidRDefault="00026EBE" w:rsidP="000850F6">
            <w:pPr>
              <w:pStyle w:val="Tabletext"/>
              <w:rPr>
                <w:rFonts w:ascii="Arial" w:hAnsi="Arial" w:cs="Arial"/>
                <w:sz w:val="18"/>
                <w:szCs w:val="18"/>
              </w:rPr>
            </w:pPr>
            <w:r w:rsidRPr="00B57CCA">
              <w:rPr>
                <w:rFonts w:ascii="Arial" w:eastAsiaTheme="minorHAnsi" w:hAnsi="Arial" w:cs="Arial"/>
                <w:sz w:val="18"/>
                <w:szCs w:val="18"/>
              </w:rPr>
              <w:t xml:space="preserve">EHMC or octyl-methoxycinnamate (OMC) </w:t>
            </w:r>
          </w:p>
        </w:tc>
      </w:tr>
      <w:tr w:rsidR="00026EBE" w:rsidRPr="0074486E" w14:paraId="3B196AF9" w14:textId="77777777" w:rsidTr="000850F6">
        <w:trPr>
          <w:trHeight w:val="255"/>
          <w:jc w:val="center"/>
        </w:trPr>
        <w:tc>
          <w:tcPr>
            <w:tcW w:w="1246" w:type="dxa"/>
            <w:shd w:val="clear" w:color="auto" w:fill="auto"/>
            <w:tcMar>
              <w:top w:w="57" w:type="dxa"/>
              <w:bottom w:w="57" w:type="dxa"/>
            </w:tcMar>
            <w:vAlign w:val="center"/>
          </w:tcPr>
          <w:p w14:paraId="76904475"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Octocrylene (OC)</w:t>
            </w:r>
          </w:p>
          <w:p w14:paraId="179F324B" w14:textId="77777777" w:rsidR="00026EBE" w:rsidRPr="00B57CCA" w:rsidRDefault="00026EBE" w:rsidP="000850F6">
            <w:pPr>
              <w:pStyle w:val="Tabletext"/>
              <w:rPr>
                <w:rFonts w:ascii="Arial" w:hAnsi="Arial" w:cs="Arial"/>
                <w:i/>
                <w:sz w:val="18"/>
                <w:szCs w:val="18"/>
              </w:rPr>
            </w:pPr>
            <w:r w:rsidRPr="00B57CCA">
              <w:rPr>
                <w:rFonts w:ascii="Arial" w:hAnsi="Arial" w:cs="Arial"/>
                <w:i/>
                <w:sz w:val="18"/>
                <w:szCs w:val="18"/>
              </w:rPr>
              <w:t>UVB</w:t>
            </w:r>
          </w:p>
        </w:tc>
        <w:tc>
          <w:tcPr>
            <w:tcW w:w="1054" w:type="dxa"/>
            <w:shd w:val="clear" w:color="auto" w:fill="auto"/>
            <w:vAlign w:val="center"/>
          </w:tcPr>
          <w:p w14:paraId="51592F67"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6197-30-4</w:t>
            </w:r>
          </w:p>
        </w:tc>
        <w:tc>
          <w:tcPr>
            <w:tcW w:w="1659" w:type="dxa"/>
            <w:shd w:val="clear" w:color="auto" w:fill="auto"/>
            <w:vAlign w:val="center"/>
          </w:tcPr>
          <w:p w14:paraId="657C592F"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2-Propenoic acid, 2-cyano-3,3-diphenyl-, 2-ethylhexyl ester</w:t>
            </w:r>
          </w:p>
        </w:tc>
        <w:tc>
          <w:tcPr>
            <w:tcW w:w="993" w:type="dxa"/>
            <w:shd w:val="clear" w:color="auto" w:fill="auto"/>
            <w:vAlign w:val="center"/>
          </w:tcPr>
          <w:p w14:paraId="6E7646F3"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C</w:t>
            </w:r>
            <w:r w:rsidRPr="00B57CCA">
              <w:rPr>
                <w:rFonts w:ascii="Arial" w:hAnsi="Arial" w:cs="Arial"/>
                <w:sz w:val="18"/>
                <w:szCs w:val="18"/>
                <w:vertAlign w:val="subscript"/>
              </w:rPr>
              <w:t>24</w:t>
            </w:r>
            <w:r w:rsidRPr="00B57CCA">
              <w:rPr>
                <w:rFonts w:ascii="Arial" w:hAnsi="Arial" w:cs="Arial"/>
                <w:sz w:val="18"/>
                <w:szCs w:val="18"/>
              </w:rPr>
              <w:t>H</w:t>
            </w:r>
            <w:r w:rsidRPr="00B57CCA">
              <w:rPr>
                <w:rFonts w:ascii="Arial" w:hAnsi="Arial" w:cs="Arial"/>
                <w:sz w:val="18"/>
                <w:szCs w:val="18"/>
                <w:vertAlign w:val="subscript"/>
              </w:rPr>
              <w:t>27</w:t>
            </w:r>
            <w:r w:rsidRPr="00B57CCA">
              <w:rPr>
                <w:rFonts w:ascii="Arial" w:hAnsi="Arial" w:cs="Arial"/>
                <w:sz w:val="18"/>
                <w:szCs w:val="18"/>
              </w:rPr>
              <w:t>NO</w:t>
            </w:r>
            <w:r w:rsidRPr="00B57CCA">
              <w:rPr>
                <w:rFonts w:ascii="Arial" w:hAnsi="Arial" w:cs="Arial"/>
                <w:sz w:val="18"/>
                <w:szCs w:val="18"/>
                <w:vertAlign w:val="subscript"/>
              </w:rPr>
              <w:t>2</w:t>
            </w:r>
          </w:p>
        </w:tc>
        <w:tc>
          <w:tcPr>
            <w:tcW w:w="1071" w:type="dxa"/>
            <w:shd w:val="clear" w:color="auto" w:fill="auto"/>
            <w:vAlign w:val="center"/>
          </w:tcPr>
          <w:p w14:paraId="4A8CC12D"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 xml:space="preserve">40 </w:t>
            </w:r>
            <w:proofErr w:type="spellStart"/>
            <w:r w:rsidRPr="00B57CCA">
              <w:rPr>
                <w:rFonts w:ascii="Arial" w:hAnsi="Arial" w:cs="Arial"/>
                <w:sz w:val="18"/>
                <w:szCs w:val="18"/>
              </w:rPr>
              <w:t>μg</w:t>
            </w:r>
            <w:proofErr w:type="spellEnd"/>
            <w:r w:rsidRPr="00B57CCA">
              <w:rPr>
                <w:rFonts w:ascii="Arial" w:hAnsi="Arial" w:cs="Arial"/>
                <w:sz w:val="18"/>
                <w:szCs w:val="18"/>
              </w:rPr>
              <w:t xml:space="preserve">/L at 20 °C </w:t>
            </w:r>
          </w:p>
        </w:tc>
        <w:tc>
          <w:tcPr>
            <w:tcW w:w="770" w:type="dxa"/>
            <w:shd w:val="clear" w:color="auto" w:fill="auto"/>
            <w:vAlign w:val="center"/>
          </w:tcPr>
          <w:p w14:paraId="14DBC094"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 xml:space="preserve">361.5 </w:t>
            </w:r>
          </w:p>
        </w:tc>
        <w:tc>
          <w:tcPr>
            <w:tcW w:w="994" w:type="dxa"/>
            <w:vAlign w:val="center"/>
          </w:tcPr>
          <w:p w14:paraId="4D77B074"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1.051 g/mL</w:t>
            </w:r>
          </w:p>
        </w:tc>
        <w:tc>
          <w:tcPr>
            <w:tcW w:w="567" w:type="dxa"/>
            <w:shd w:val="clear" w:color="auto" w:fill="auto"/>
            <w:vAlign w:val="center"/>
          </w:tcPr>
          <w:p w14:paraId="03B91EF2"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 xml:space="preserve">6.1 </w:t>
            </w:r>
          </w:p>
        </w:tc>
        <w:tc>
          <w:tcPr>
            <w:tcW w:w="1842" w:type="dxa"/>
            <w:vAlign w:val="center"/>
          </w:tcPr>
          <w:p w14:paraId="6FE4E45B"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 xml:space="preserve">2-Cyano-3,3-diphenyl acrylic acid, 2-ethylhexyl ester, 2-Ethylhexyl-2-cyano-3,3 </w:t>
            </w:r>
            <w:proofErr w:type="spellStart"/>
            <w:r w:rsidRPr="00B57CCA">
              <w:rPr>
                <w:rFonts w:ascii="Arial" w:hAnsi="Arial" w:cs="Arial"/>
                <w:sz w:val="18"/>
                <w:szCs w:val="18"/>
              </w:rPr>
              <w:t>diphenylacrylate</w:t>
            </w:r>
            <w:proofErr w:type="spellEnd"/>
            <w:r w:rsidRPr="00B57CCA">
              <w:rPr>
                <w:rFonts w:ascii="Arial" w:hAnsi="Arial" w:cs="Arial"/>
                <w:sz w:val="18"/>
                <w:szCs w:val="18"/>
              </w:rPr>
              <w:t xml:space="preserve">, </w:t>
            </w:r>
            <w:proofErr w:type="gramStart"/>
            <w:r w:rsidRPr="00B57CCA">
              <w:rPr>
                <w:rFonts w:ascii="Arial" w:hAnsi="Arial" w:cs="Arial"/>
                <w:sz w:val="18"/>
                <w:szCs w:val="18"/>
              </w:rPr>
              <w:t>K.SORB</w:t>
            </w:r>
            <w:proofErr w:type="gramEnd"/>
            <w:r w:rsidRPr="00B57CCA">
              <w:rPr>
                <w:rFonts w:ascii="Arial" w:hAnsi="Arial" w:cs="Arial"/>
                <w:sz w:val="18"/>
                <w:szCs w:val="18"/>
              </w:rPr>
              <w:t xml:space="preserve"> 1139, Octocrylene USP, </w:t>
            </w:r>
            <w:proofErr w:type="spellStart"/>
            <w:r w:rsidRPr="00B57CCA">
              <w:rPr>
                <w:rFonts w:ascii="Arial" w:hAnsi="Arial" w:cs="Arial"/>
                <w:sz w:val="18"/>
                <w:szCs w:val="18"/>
              </w:rPr>
              <w:t>Parsol</w:t>
            </w:r>
            <w:proofErr w:type="spellEnd"/>
            <w:r w:rsidRPr="00B57CCA">
              <w:rPr>
                <w:rFonts w:ascii="Arial" w:hAnsi="Arial" w:cs="Arial"/>
                <w:sz w:val="18"/>
                <w:szCs w:val="18"/>
              </w:rPr>
              <w:t xml:space="preserve"> 340, </w:t>
            </w:r>
            <w:proofErr w:type="spellStart"/>
            <w:r w:rsidRPr="00B57CCA">
              <w:rPr>
                <w:rFonts w:ascii="Arial" w:hAnsi="Arial" w:cs="Arial"/>
                <w:sz w:val="18"/>
                <w:szCs w:val="18"/>
              </w:rPr>
              <w:t>Sunkem</w:t>
            </w:r>
            <w:proofErr w:type="spellEnd"/>
            <w:r w:rsidRPr="00B57CCA">
              <w:rPr>
                <w:rFonts w:ascii="Arial" w:hAnsi="Arial" w:cs="Arial"/>
                <w:sz w:val="18"/>
                <w:szCs w:val="18"/>
              </w:rPr>
              <w:t xml:space="preserve"> OTC, Sunobel®23 OCT, </w:t>
            </w:r>
            <w:proofErr w:type="spellStart"/>
            <w:r w:rsidRPr="00B57CCA">
              <w:rPr>
                <w:rFonts w:ascii="Arial" w:hAnsi="Arial" w:cs="Arial"/>
                <w:sz w:val="18"/>
                <w:szCs w:val="18"/>
              </w:rPr>
              <w:t>Uvinul</w:t>
            </w:r>
            <w:proofErr w:type="spellEnd"/>
            <w:r w:rsidRPr="00B57CCA">
              <w:rPr>
                <w:rFonts w:ascii="Arial" w:hAnsi="Arial" w:cs="Arial"/>
                <w:sz w:val="18"/>
                <w:szCs w:val="18"/>
              </w:rPr>
              <w:t xml:space="preserve"> 3039, 24 UVINUL N 539 T</w:t>
            </w:r>
          </w:p>
        </w:tc>
      </w:tr>
      <w:tr w:rsidR="00026EBE" w:rsidRPr="0074486E" w14:paraId="2EF518F3" w14:textId="77777777" w:rsidTr="000850F6">
        <w:trPr>
          <w:trHeight w:val="255"/>
          <w:jc w:val="center"/>
        </w:trPr>
        <w:tc>
          <w:tcPr>
            <w:tcW w:w="1246" w:type="dxa"/>
            <w:shd w:val="clear" w:color="auto" w:fill="auto"/>
            <w:tcMar>
              <w:top w:w="57" w:type="dxa"/>
              <w:bottom w:w="57" w:type="dxa"/>
            </w:tcMar>
            <w:vAlign w:val="center"/>
          </w:tcPr>
          <w:p w14:paraId="5929AC4B"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Oxybenzone (BP-3)</w:t>
            </w:r>
          </w:p>
          <w:p w14:paraId="2EC3B148" w14:textId="77777777" w:rsidR="00026EBE" w:rsidRPr="00B57CCA" w:rsidRDefault="00026EBE" w:rsidP="000850F6">
            <w:pPr>
              <w:pStyle w:val="Tabletext"/>
              <w:rPr>
                <w:rFonts w:ascii="Arial" w:hAnsi="Arial" w:cs="Arial"/>
                <w:i/>
                <w:sz w:val="18"/>
                <w:szCs w:val="18"/>
              </w:rPr>
            </w:pPr>
            <w:r w:rsidRPr="00B57CCA">
              <w:rPr>
                <w:rFonts w:ascii="Arial" w:hAnsi="Arial" w:cs="Arial"/>
                <w:i/>
                <w:sz w:val="18"/>
                <w:szCs w:val="18"/>
              </w:rPr>
              <w:t>UVB</w:t>
            </w:r>
          </w:p>
        </w:tc>
        <w:tc>
          <w:tcPr>
            <w:tcW w:w="1054" w:type="dxa"/>
            <w:shd w:val="clear" w:color="auto" w:fill="auto"/>
            <w:vAlign w:val="center"/>
          </w:tcPr>
          <w:p w14:paraId="2474F08C"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131-57-7</w:t>
            </w:r>
          </w:p>
        </w:tc>
        <w:tc>
          <w:tcPr>
            <w:tcW w:w="1659" w:type="dxa"/>
            <w:shd w:val="clear" w:color="auto" w:fill="auto"/>
            <w:vAlign w:val="center"/>
          </w:tcPr>
          <w:p w14:paraId="353CF916"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2-benzoyl-5-methoxyphenol; 4-Methoxy-2-hydroxybenzophenone</w:t>
            </w:r>
          </w:p>
        </w:tc>
        <w:tc>
          <w:tcPr>
            <w:tcW w:w="993" w:type="dxa"/>
            <w:shd w:val="clear" w:color="auto" w:fill="auto"/>
            <w:vAlign w:val="center"/>
          </w:tcPr>
          <w:p w14:paraId="7F2C8CBE"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C</w:t>
            </w:r>
            <w:r w:rsidRPr="00B57CCA">
              <w:rPr>
                <w:rFonts w:ascii="Arial" w:hAnsi="Arial" w:cs="Arial"/>
                <w:sz w:val="18"/>
                <w:szCs w:val="18"/>
                <w:vertAlign w:val="subscript"/>
              </w:rPr>
              <w:t>14</w:t>
            </w:r>
            <w:r w:rsidRPr="00B57CCA">
              <w:rPr>
                <w:rFonts w:ascii="Arial" w:hAnsi="Arial" w:cs="Arial"/>
                <w:sz w:val="18"/>
                <w:szCs w:val="18"/>
              </w:rPr>
              <w:t>H</w:t>
            </w:r>
            <w:r w:rsidRPr="00B57CCA">
              <w:rPr>
                <w:rFonts w:ascii="Arial" w:hAnsi="Arial" w:cs="Arial"/>
                <w:sz w:val="18"/>
                <w:szCs w:val="18"/>
                <w:vertAlign w:val="subscript"/>
              </w:rPr>
              <w:t>12</w:t>
            </w:r>
            <w:r w:rsidRPr="00B57CCA">
              <w:rPr>
                <w:rFonts w:ascii="Arial" w:hAnsi="Arial" w:cs="Arial"/>
                <w:sz w:val="18"/>
                <w:szCs w:val="18"/>
              </w:rPr>
              <w:t>O</w:t>
            </w:r>
            <w:r w:rsidRPr="00B57CCA">
              <w:rPr>
                <w:rFonts w:ascii="Arial" w:hAnsi="Arial" w:cs="Arial"/>
                <w:sz w:val="18"/>
                <w:szCs w:val="18"/>
                <w:vertAlign w:val="subscript"/>
              </w:rPr>
              <w:t>3</w:t>
            </w:r>
          </w:p>
        </w:tc>
        <w:tc>
          <w:tcPr>
            <w:tcW w:w="1071" w:type="dxa"/>
            <w:shd w:val="clear" w:color="auto" w:fill="auto"/>
            <w:vAlign w:val="center"/>
          </w:tcPr>
          <w:p w14:paraId="6B20475D"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0.0037 g/L at 20°C</w:t>
            </w:r>
          </w:p>
        </w:tc>
        <w:tc>
          <w:tcPr>
            <w:tcW w:w="770" w:type="dxa"/>
            <w:shd w:val="clear" w:color="auto" w:fill="auto"/>
            <w:vAlign w:val="center"/>
          </w:tcPr>
          <w:p w14:paraId="505E9BD1"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228.3</w:t>
            </w:r>
          </w:p>
        </w:tc>
        <w:tc>
          <w:tcPr>
            <w:tcW w:w="994" w:type="dxa"/>
            <w:vAlign w:val="center"/>
          </w:tcPr>
          <w:p w14:paraId="588C8375"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1.32 g/mL</w:t>
            </w:r>
          </w:p>
        </w:tc>
        <w:tc>
          <w:tcPr>
            <w:tcW w:w="567" w:type="dxa"/>
            <w:shd w:val="clear" w:color="auto" w:fill="auto"/>
            <w:vAlign w:val="center"/>
          </w:tcPr>
          <w:p w14:paraId="219BF3E0"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 xml:space="preserve">&gt;3.7 </w:t>
            </w:r>
          </w:p>
        </w:tc>
        <w:tc>
          <w:tcPr>
            <w:tcW w:w="1842" w:type="dxa"/>
            <w:vAlign w:val="center"/>
          </w:tcPr>
          <w:p w14:paraId="76E7A014"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Benzophenone-3</w:t>
            </w:r>
          </w:p>
        </w:tc>
      </w:tr>
      <w:tr w:rsidR="00026EBE" w:rsidRPr="0074486E" w14:paraId="4A6D44F6" w14:textId="77777777" w:rsidTr="000850F6">
        <w:trPr>
          <w:trHeight w:val="255"/>
          <w:jc w:val="center"/>
        </w:trPr>
        <w:tc>
          <w:tcPr>
            <w:tcW w:w="1246" w:type="dxa"/>
            <w:tcBorders>
              <w:bottom w:val="single" w:sz="4" w:space="0" w:color="auto"/>
            </w:tcBorders>
            <w:shd w:val="clear" w:color="auto" w:fill="auto"/>
            <w:tcMar>
              <w:top w:w="57" w:type="dxa"/>
              <w:bottom w:w="57" w:type="dxa"/>
            </w:tcMar>
            <w:vAlign w:val="center"/>
          </w:tcPr>
          <w:p w14:paraId="0BCAFB85" w14:textId="77777777" w:rsidR="00026EBE" w:rsidRPr="00B57CCA" w:rsidRDefault="00026EBE" w:rsidP="000850F6">
            <w:pPr>
              <w:pStyle w:val="Tabletext"/>
              <w:rPr>
                <w:rFonts w:ascii="Arial" w:hAnsi="Arial" w:cs="Arial"/>
                <w:sz w:val="18"/>
                <w:szCs w:val="18"/>
              </w:rPr>
            </w:pPr>
            <w:proofErr w:type="spellStart"/>
            <w:r w:rsidRPr="00B57CCA">
              <w:rPr>
                <w:rFonts w:ascii="Arial" w:hAnsi="Arial" w:cs="Arial"/>
                <w:sz w:val="18"/>
                <w:szCs w:val="18"/>
              </w:rPr>
              <w:t>Phenylbenz</w:t>
            </w:r>
            <w:proofErr w:type="spellEnd"/>
            <w:r w:rsidRPr="00B57CCA">
              <w:rPr>
                <w:rFonts w:ascii="Arial" w:hAnsi="Arial" w:cs="Arial"/>
                <w:sz w:val="18"/>
                <w:szCs w:val="18"/>
              </w:rPr>
              <w:t>-imidazole sulfonic acid (PBSA)</w:t>
            </w:r>
          </w:p>
          <w:p w14:paraId="051FDD9C" w14:textId="77777777" w:rsidR="00026EBE" w:rsidRPr="00B57CCA" w:rsidRDefault="00026EBE" w:rsidP="000850F6">
            <w:pPr>
              <w:pStyle w:val="Tabletext"/>
              <w:rPr>
                <w:rFonts w:ascii="Arial" w:hAnsi="Arial" w:cs="Arial"/>
                <w:i/>
                <w:sz w:val="18"/>
                <w:szCs w:val="18"/>
              </w:rPr>
            </w:pPr>
            <w:r w:rsidRPr="00B57CCA">
              <w:rPr>
                <w:rFonts w:ascii="Arial" w:hAnsi="Arial" w:cs="Arial"/>
                <w:i/>
                <w:sz w:val="18"/>
                <w:szCs w:val="18"/>
              </w:rPr>
              <w:t>UVB</w:t>
            </w:r>
          </w:p>
        </w:tc>
        <w:tc>
          <w:tcPr>
            <w:tcW w:w="1054" w:type="dxa"/>
            <w:tcBorders>
              <w:bottom w:val="single" w:sz="4" w:space="0" w:color="auto"/>
            </w:tcBorders>
            <w:shd w:val="clear" w:color="auto" w:fill="auto"/>
            <w:vAlign w:val="center"/>
          </w:tcPr>
          <w:p w14:paraId="3285574E"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27503-81-7</w:t>
            </w:r>
          </w:p>
        </w:tc>
        <w:tc>
          <w:tcPr>
            <w:tcW w:w="1659" w:type="dxa"/>
            <w:tcBorders>
              <w:bottom w:val="single" w:sz="4" w:space="0" w:color="auto"/>
            </w:tcBorders>
            <w:shd w:val="clear" w:color="auto" w:fill="auto"/>
            <w:vAlign w:val="center"/>
          </w:tcPr>
          <w:p w14:paraId="40731690"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2-Phenylbenzimidazole-5-sulfonic acid</w:t>
            </w:r>
          </w:p>
        </w:tc>
        <w:tc>
          <w:tcPr>
            <w:tcW w:w="993" w:type="dxa"/>
            <w:tcBorders>
              <w:bottom w:val="single" w:sz="4" w:space="0" w:color="auto"/>
            </w:tcBorders>
            <w:shd w:val="clear" w:color="auto" w:fill="auto"/>
            <w:vAlign w:val="center"/>
          </w:tcPr>
          <w:p w14:paraId="1A357A3E"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C</w:t>
            </w:r>
            <w:r w:rsidRPr="00B57CCA">
              <w:rPr>
                <w:rFonts w:ascii="Arial" w:hAnsi="Arial" w:cs="Arial"/>
                <w:sz w:val="18"/>
                <w:szCs w:val="18"/>
                <w:vertAlign w:val="subscript"/>
              </w:rPr>
              <w:t>13</w:t>
            </w:r>
            <w:r w:rsidRPr="00B57CCA">
              <w:rPr>
                <w:rFonts w:ascii="Arial" w:hAnsi="Arial" w:cs="Arial"/>
                <w:sz w:val="18"/>
                <w:szCs w:val="18"/>
              </w:rPr>
              <w:t>H</w:t>
            </w:r>
            <w:r w:rsidRPr="00B57CCA">
              <w:rPr>
                <w:rFonts w:ascii="Arial" w:hAnsi="Arial" w:cs="Arial"/>
                <w:sz w:val="18"/>
                <w:szCs w:val="18"/>
                <w:vertAlign w:val="subscript"/>
              </w:rPr>
              <w:t>10</w:t>
            </w:r>
            <w:r w:rsidRPr="00B57CCA">
              <w:rPr>
                <w:rFonts w:ascii="Arial" w:hAnsi="Arial" w:cs="Arial"/>
                <w:sz w:val="18"/>
                <w:szCs w:val="18"/>
              </w:rPr>
              <w:t>N</w:t>
            </w:r>
            <w:r w:rsidRPr="00B57CCA">
              <w:rPr>
                <w:rFonts w:ascii="Arial" w:hAnsi="Arial" w:cs="Arial"/>
                <w:sz w:val="18"/>
                <w:szCs w:val="18"/>
                <w:vertAlign w:val="subscript"/>
              </w:rPr>
              <w:t>2</w:t>
            </w:r>
            <w:r w:rsidRPr="00B57CCA">
              <w:rPr>
                <w:rFonts w:ascii="Arial" w:hAnsi="Arial" w:cs="Arial"/>
                <w:sz w:val="18"/>
                <w:szCs w:val="18"/>
              </w:rPr>
              <w:t>O</w:t>
            </w:r>
            <w:r w:rsidRPr="00B57CCA">
              <w:rPr>
                <w:rFonts w:ascii="Arial" w:hAnsi="Arial" w:cs="Arial"/>
                <w:sz w:val="18"/>
                <w:szCs w:val="18"/>
                <w:vertAlign w:val="subscript"/>
              </w:rPr>
              <w:t>3</w:t>
            </w:r>
            <w:r w:rsidRPr="00B57CCA">
              <w:rPr>
                <w:rFonts w:ascii="Arial" w:hAnsi="Arial" w:cs="Arial"/>
                <w:sz w:val="18"/>
                <w:szCs w:val="18"/>
              </w:rPr>
              <w:t>S</w:t>
            </w:r>
          </w:p>
        </w:tc>
        <w:tc>
          <w:tcPr>
            <w:tcW w:w="1071" w:type="dxa"/>
            <w:tcBorders>
              <w:bottom w:val="single" w:sz="4" w:space="0" w:color="auto"/>
            </w:tcBorders>
            <w:shd w:val="clear" w:color="auto" w:fill="auto"/>
            <w:vAlign w:val="center"/>
          </w:tcPr>
          <w:p w14:paraId="109F4D88"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&gt; 30%</w:t>
            </w:r>
          </w:p>
        </w:tc>
        <w:tc>
          <w:tcPr>
            <w:tcW w:w="770" w:type="dxa"/>
            <w:tcBorders>
              <w:bottom w:val="single" w:sz="4" w:space="0" w:color="auto"/>
            </w:tcBorders>
            <w:shd w:val="clear" w:color="auto" w:fill="auto"/>
            <w:vAlign w:val="center"/>
          </w:tcPr>
          <w:p w14:paraId="4A6E05F0"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274.3</w:t>
            </w:r>
          </w:p>
        </w:tc>
        <w:tc>
          <w:tcPr>
            <w:tcW w:w="994" w:type="dxa"/>
            <w:tcBorders>
              <w:bottom w:val="single" w:sz="4" w:space="0" w:color="auto"/>
            </w:tcBorders>
            <w:vAlign w:val="center"/>
          </w:tcPr>
          <w:p w14:paraId="79E6B67B"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1.5 g/cm</w:t>
            </w:r>
            <w:r w:rsidRPr="00B57CCA">
              <w:rPr>
                <w:rFonts w:ascii="Arial" w:hAnsi="Arial" w:cs="Arial"/>
                <w:sz w:val="18"/>
                <w:szCs w:val="18"/>
                <w:vertAlign w:val="superscript"/>
              </w:rPr>
              <w:t>3</w:t>
            </w:r>
          </w:p>
        </w:tc>
        <w:tc>
          <w:tcPr>
            <w:tcW w:w="567" w:type="dxa"/>
            <w:tcBorders>
              <w:bottom w:val="single" w:sz="4" w:space="0" w:color="auto"/>
            </w:tcBorders>
            <w:shd w:val="clear" w:color="auto" w:fill="auto"/>
            <w:vAlign w:val="center"/>
          </w:tcPr>
          <w:p w14:paraId="22F374E9" w14:textId="77777777" w:rsidR="00026EBE" w:rsidRPr="00B57CCA" w:rsidRDefault="00026EBE" w:rsidP="000850F6">
            <w:pPr>
              <w:pStyle w:val="Tabletext"/>
              <w:rPr>
                <w:rFonts w:ascii="Arial" w:hAnsi="Arial" w:cs="Arial"/>
                <w:sz w:val="18"/>
                <w:szCs w:val="18"/>
              </w:rPr>
            </w:pPr>
            <w:r w:rsidRPr="00B57CCA">
              <w:rPr>
                <w:rFonts w:ascii="Arial" w:hAnsi="Arial" w:cs="Arial"/>
                <w:sz w:val="18"/>
                <w:szCs w:val="18"/>
              </w:rPr>
              <w:t>-1.1 at pH 5</w:t>
            </w:r>
          </w:p>
        </w:tc>
        <w:tc>
          <w:tcPr>
            <w:tcW w:w="1842" w:type="dxa"/>
            <w:tcBorders>
              <w:bottom w:val="single" w:sz="4" w:space="0" w:color="auto"/>
            </w:tcBorders>
            <w:vAlign w:val="center"/>
          </w:tcPr>
          <w:p w14:paraId="70D8DB98" w14:textId="77777777" w:rsidR="00026EBE" w:rsidRPr="00B57CCA" w:rsidRDefault="00026EBE" w:rsidP="000850F6">
            <w:pPr>
              <w:pStyle w:val="Tabletext"/>
              <w:rPr>
                <w:rFonts w:ascii="Arial" w:hAnsi="Arial" w:cs="Arial"/>
                <w:sz w:val="18"/>
                <w:szCs w:val="18"/>
              </w:rPr>
            </w:pPr>
            <w:proofErr w:type="spellStart"/>
            <w:r w:rsidRPr="00B57CCA">
              <w:rPr>
                <w:rFonts w:ascii="Arial" w:hAnsi="Arial" w:cs="Arial"/>
                <w:sz w:val="18"/>
                <w:szCs w:val="18"/>
              </w:rPr>
              <w:t>Ensulizole</w:t>
            </w:r>
            <w:proofErr w:type="spellEnd"/>
            <w:r w:rsidRPr="00B57CCA">
              <w:rPr>
                <w:rFonts w:ascii="Arial" w:hAnsi="Arial" w:cs="Arial"/>
                <w:sz w:val="18"/>
                <w:szCs w:val="18"/>
              </w:rPr>
              <w:t>, Benzimidazole, 2-phenyl, 5-sulfonic acid</w:t>
            </w:r>
          </w:p>
        </w:tc>
      </w:tr>
    </w:tbl>
    <w:p w14:paraId="5CFB7D30" w14:textId="77777777" w:rsidR="00026EBE" w:rsidRPr="001A69CA" w:rsidRDefault="00026EBE" w:rsidP="00026EBE">
      <w:pPr>
        <w:pStyle w:val="Tabledescription"/>
      </w:pPr>
      <w:r w:rsidRPr="00323D93">
        <w:t>*</w:t>
      </w:r>
      <w:proofErr w:type="gramStart"/>
      <w:r w:rsidRPr="00323D93">
        <w:t>the</w:t>
      </w:r>
      <w:proofErr w:type="gramEnd"/>
      <w:r w:rsidRPr="00323D93">
        <w:t xml:space="preserve"> active ingredients are referred to throughout the report as either their AAN, INN or the abbreviated names.</w:t>
      </w:r>
    </w:p>
    <w:p w14:paraId="36FE82E3" w14:textId="77777777" w:rsidR="00026EBE" w:rsidRDefault="00026EBE" w:rsidP="00026EBE">
      <w:pPr>
        <w:pStyle w:val="Tabletitle"/>
        <w:pageBreakBefore/>
      </w:pPr>
      <w:r w:rsidRPr="0074486E">
        <w:t>Table</w:t>
      </w:r>
      <w:r>
        <w:t xml:space="preserve"> 0-</w:t>
      </w:r>
      <w:r w:rsidRPr="0074486E">
        <w:fldChar w:fldCharType="begin"/>
      </w:r>
      <w:r w:rsidRPr="0074486E">
        <w:instrText xml:space="preserve"> SEQ Table \* ARABIC \s 1 </w:instrText>
      </w:r>
      <w:r w:rsidRPr="0074486E">
        <w:fldChar w:fldCharType="separate"/>
      </w:r>
      <w:r>
        <w:rPr>
          <w:noProof/>
        </w:rPr>
        <w:t>2</w:t>
      </w:r>
      <w:r w:rsidRPr="0074486E">
        <w:fldChar w:fldCharType="end"/>
      </w:r>
      <w:r w:rsidRPr="0074486E">
        <w:t xml:space="preserve"> Molecular structure of the active ingredients under review</w:t>
      </w:r>
    </w:p>
    <w:tbl>
      <w:tblPr>
        <w:tblStyle w:val="TableTGAblue2023"/>
        <w:tblW w:w="0" w:type="auto"/>
        <w:tblLook w:val="04A0" w:firstRow="1" w:lastRow="0" w:firstColumn="1" w:lastColumn="0" w:noHBand="0" w:noVBand="1"/>
      </w:tblPr>
      <w:tblGrid>
        <w:gridCol w:w="4508"/>
        <w:gridCol w:w="4508"/>
      </w:tblGrid>
      <w:tr w:rsidR="00026EBE" w14:paraId="61A31086" w14:textId="77777777" w:rsidTr="0008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CF0203F" w14:textId="77777777" w:rsidR="00026EBE" w:rsidRDefault="00026EBE" w:rsidP="000850F6">
            <w:r w:rsidRPr="0074486E">
              <w:t xml:space="preserve">Active ingredient </w:t>
            </w:r>
          </w:p>
        </w:tc>
        <w:tc>
          <w:tcPr>
            <w:tcW w:w="4508" w:type="dxa"/>
          </w:tcPr>
          <w:p w14:paraId="0311EC4E"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t>Structure</w:t>
            </w:r>
          </w:p>
        </w:tc>
      </w:tr>
      <w:tr w:rsidR="00026EBE" w14:paraId="0A49E999" w14:textId="77777777" w:rsidTr="000850F6">
        <w:tc>
          <w:tcPr>
            <w:cnfStyle w:val="001000000000" w:firstRow="0" w:lastRow="0" w:firstColumn="1" w:lastColumn="0" w:oddVBand="0" w:evenVBand="0" w:oddHBand="0" w:evenHBand="0" w:firstRowFirstColumn="0" w:firstRowLastColumn="0" w:lastRowFirstColumn="0" w:lastRowLastColumn="0"/>
            <w:tcW w:w="4508" w:type="dxa"/>
            <w:vAlign w:val="center"/>
          </w:tcPr>
          <w:p w14:paraId="47BDDA9E" w14:textId="77777777" w:rsidR="00026EBE" w:rsidRDefault="00026EBE" w:rsidP="000850F6">
            <w:r w:rsidRPr="00A0428D">
              <w:t>Avobenzone</w:t>
            </w:r>
          </w:p>
        </w:tc>
        <w:tc>
          <w:tcPr>
            <w:tcW w:w="4508" w:type="dxa"/>
          </w:tcPr>
          <w:p w14:paraId="5978CC7E"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rPr>
                <w:noProof/>
                <w:sz w:val="22"/>
                <w:szCs w:val="22"/>
              </w:rPr>
              <w:drawing>
                <wp:inline distT="0" distB="0" distL="0" distR="0" wp14:anchorId="556F41AC" wp14:editId="1316D349">
                  <wp:extent cx="1828800" cy="701827"/>
                  <wp:effectExtent l="0" t="0" r="0" b="3175"/>
                  <wp:docPr id="14" name="Picture 14"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tructure of a chemical formula&#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036" cy="713431"/>
                          </a:xfrm>
                          <a:prstGeom prst="rect">
                            <a:avLst/>
                          </a:prstGeom>
                          <a:noFill/>
                          <a:ln>
                            <a:noFill/>
                          </a:ln>
                        </pic:spPr>
                      </pic:pic>
                    </a:graphicData>
                  </a:graphic>
                </wp:inline>
              </w:drawing>
            </w:r>
          </w:p>
        </w:tc>
      </w:tr>
      <w:tr w:rsidR="00026EBE" w14:paraId="64034A54" w14:textId="77777777" w:rsidTr="000850F6">
        <w:tc>
          <w:tcPr>
            <w:cnfStyle w:val="001000000000" w:firstRow="0" w:lastRow="0" w:firstColumn="1" w:lastColumn="0" w:oddVBand="0" w:evenVBand="0" w:oddHBand="0" w:evenHBand="0" w:firstRowFirstColumn="0" w:firstRowLastColumn="0" w:lastRowFirstColumn="0" w:lastRowLastColumn="0"/>
            <w:tcW w:w="4508" w:type="dxa"/>
            <w:vAlign w:val="center"/>
          </w:tcPr>
          <w:p w14:paraId="509354AB" w14:textId="77777777" w:rsidR="00026EBE" w:rsidRDefault="00026EBE" w:rsidP="000850F6">
            <w:r w:rsidRPr="00A0428D">
              <w:t>Ethylhexyl triazone</w:t>
            </w:r>
          </w:p>
        </w:tc>
        <w:tc>
          <w:tcPr>
            <w:tcW w:w="4508" w:type="dxa"/>
          </w:tcPr>
          <w:p w14:paraId="3F2405E7"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rPr>
                <w:noProof/>
                <w:sz w:val="22"/>
                <w:szCs w:val="22"/>
              </w:rPr>
              <w:drawing>
                <wp:inline distT="0" distB="0" distL="0" distR="0" wp14:anchorId="6A0A6CE4" wp14:editId="6193181C">
                  <wp:extent cx="1060935" cy="1170665"/>
                  <wp:effectExtent l="0" t="0" r="6350" b="0"/>
                  <wp:docPr id="15" name="Picture 15"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tructure of a chemical formula&#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1368" cy="1193212"/>
                          </a:xfrm>
                          <a:prstGeom prst="rect">
                            <a:avLst/>
                          </a:prstGeom>
                          <a:noFill/>
                          <a:ln>
                            <a:noFill/>
                          </a:ln>
                        </pic:spPr>
                      </pic:pic>
                    </a:graphicData>
                  </a:graphic>
                </wp:inline>
              </w:drawing>
            </w:r>
          </w:p>
        </w:tc>
      </w:tr>
      <w:tr w:rsidR="00026EBE" w14:paraId="303DCBCC" w14:textId="77777777" w:rsidTr="000850F6">
        <w:tc>
          <w:tcPr>
            <w:cnfStyle w:val="001000000000" w:firstRow="0" w:lastRow="0" w:firstColumn="1" w:lastColumn="0" w:oddVBand="0" w:evenVBand="0" w:oddHBand="0" w:evenHBand="0" w:firstRowFirstColumn="0" w:firstRowLastColumn="0" w:lastRowFirstColumn="0" w:lastRowLastColumn="0"/>
            <w:tcW w:w="4508" w:type="dxa"/>
            <w:vAlign w:val="center"/>
          </w:tcPr>
          <w:p w14:paraId="6D47696E" w14:textId="77777777" w:rsidR="00026EBE" w:rsidRDefault="00026EBE" w:rsidP="000850F6">
            <w:r w:rsidRPr="00A0428D">
              <w:t>Homosalate</w:t>
            </w:r>
          </w:p>
        </w:tc>
        <w:tc>
          <w:tcPr>
            <w:tcW w:w="4508" w:type="dxa"/>
          </w:tcPr>
          <w:p w14:paraId="67A496E5"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rPr>
                <w:noProof/>
                <w:sz w:val="22"/>
                <w:szCs w:val="22"/>
              </w:rPr>
              <w:drawing>
                <wp:inline distT="0" distB="0" distL="0" distR="0" wp14:anchorId="01CE42FB" wp14:editId="6310DC70">
                  <wp:extent cx="846193" cy="941725"/>
                  <wp:effectExtent l="9207" t="0" r="1588" b="1587"/>
                  <wp:docPr id="16" name="Picture 16" descr="A structure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tructure of a molecule&#10;&#10;Description automatically generated"/>
                          <pic:cNvPicPr/>
                        </pic:nvPicPr>
                        <pic:blipFill>
                          <a:blip r:embed="rId11"/>
                          <a:stretch>
                            <a:fillRect/>
                          </a:stretch>
                        </pic:blipFill>
                        <pic:spPr>
                          <a:xfrm rot="5400000">
                            <a:off x="0" y="0"/>
                            <a:ext cx="869169" cy="967295"/>
                          </a:xfrm>
                          <a:prstGeom prst="rect">
                            <a:avLst/>
                          </a:prstGeom>
                        </pic:spPr>
                      </pic:pic>
                    </a:graphicData>
                  </a:graphic>
                </wp:inline>
              </w:drawing>
            </w:r>
          </w:p>
        </w:tc>
      </w:tr>
      <w:tr w:rsidR="00026EBE" w14:paraId="1F5926D8" w14:textId="77777777" w:rsidTr="000850F6">
        <w:tc>
          <w:tcPr>
            <w:cnfStyle w:val="001000000000" w:firstRow="0" w:lastRow="0" w:firstColumn="1" w:lastColumn="0" w:oddVBand="0" w:evenVBand="0" w:oddHBand="0" w:evenHBand="0" w:firstRowFirstColumn="0" w:firstRowLastColumn="0" w:lastRowFirstColumn="0" w:lastRowLastColumn="0"/>
            <w:tcW w:w="4508" w:type="dxa"/>
            <w:vAlign w:val="center"/>
          </w:tcPr>
          <w:p w14:paraId="4DC02D92" w14:textId="77777777" w:rsidR="00026EBE" w:rsidRDefault="00026EBE" w:rsidP="000850F6">
            <w:r w:rsidRPr="00A0428D">
              <w:t>Octinoxate</w:t>
            </w:r>
          </w:p>
        </w:tc>
        <w:tc>
          <w:tcPr>
            <w:tcW w:w="4508" w:type="dxa"/>
          </w:tcPr>
          <w:p w14:paraId="60A1196C"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rPr>
                <w:noProof/>
                <w:sz w:val="22"/>
                <w:szCs w:val="22"/>
              </w:rPr>
              <w:drawing>
                <wp:inline distT="0" distB="0" distL="0" distR="0" wp14:anchorId="648E8058" wp14:editId="18E58E9B">
                  <wp:extent cx="1046141" cy="1747669"/>
                  <wp:effectExtent l="0" t="7937" r="0" b="0"/>
                  <wp:docPr id="19" name="Picture 19"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tructure of a chemical formula&#10;&#10;Description automatically generated"/>
                          <pic:cNvPicPr/>
                        </pic:nvPicPr>
                        <pic:blipFill>
                          <a:blip r:embed="rId12"/>
                          <a:stretch>
                            <a:fillRect/>
                          </a:stretch>
                        </pic:blipFill>
                        <pic:spPr>
                          <a:xfrm rot="16200000">
                            <a:off x="0" y="0"/>
                            <a:ext cx="1074084" cy="1794350"/>
                          </a:xfrm>
                          <a:prstGeom prst="rect">
                            <a:avLst/>
                          </a:prstGeom>
                        </pic:spPr>
                      </pic:pic>
                    </a:graphicData>
                  </a:graphic>
                </wp:inline>
              </w:drawing>
            </w:r>
          </w:p>
        </w:tc>
      </w:tr>
      <w:tr w:rsidR="00026EBE" w14:paraId="41F351B2" w14:textId="77777777" w:rsidTr="000850F6">
        <w:tc>
          <w:tcPr>
            <w:cnfStyle w:val="001000000000" w:firstRow="0" w:lastRow="0" w:firstColumn="1" w:lastColumn="0" w:oddVBand="0" w:evenVBand="0" w:oddHBand="0" w:evenHBand="0" w:firstRowFirstColumn="0" w:firstRowLastColumn="0" w:lastRowFirstColumn="0" w:lastRowLastColumn="0"/>
            <w:tcW w:w="4508" w:type="dxa"/>
            <w:vAlign w:val="center"/>
          </w:tcPr>
          <w:p w14:paraId="3A33E172" w14:textId="77777777" w:rsidR="00026EBE" w:rsidRDefault="00026EBE" w:rsidP="000850F6">
            <w:r w:rsidRPr="00B90D6F">
              <w:t>Octocrylene</w:t>
            </w:r>
          </w:p>
        </w:tc>
        <w:tc>
          <w:tcPr>
            <w:tcW w:w="4508" w:type="dxa"/>
          </w:tcPr>
          <w:p w14:paraId="735C95F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rPr>
                <w:noProof/>
                <w:sz w:val="22"/>
                <w:szCs w:val="22"/>
              </w:rPr>
              <w:drawing>
                <wp:inline distT="0" distB="0" distL="0" distR="0" wp14:anchorId="795C7BBD" wp14:editId="399C8296">
                  <wp:extent cx="1554480" cy="868375"/>
                  <wp:effectExtent l="0" t="0" r="7620" b="8255"/>
                  <wp:docPr id="20" name="Picture 20"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tructure of a chemical formula&#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6851" cy="875286"/>
                          </a:xfrm>
                          <a:prstGeom prst="rect">
                            <a:avLst/>
                          </a:prstGeom>
                          <a:noFill/>
                        </pic:spPr>
                      </pic:pic>
                    </a:graphicData>
                  </a:graphic>
                </wp:inline>
              </w:drawing>
            </w:r>
          </w:p>
        </w:tc>
      </w:tr>
      <w:tr w:rsidR="00026EBE" w14:paraId="1697A411" w14:textId="77777777" w:rsidTr="000850F6">
        <w:tc>
          <w:tcPr>
            <w:cnfStyle w:val="001000000000" w:firstRow="0" w:lastRow="0" w:firstColumn="1" w:lastColumn="0" w:oddVBand="0" w:evenVBand="0" w:oddHBand="0" w:evenHBand="0" w:firstRowFirstColumn="0" w:firstRowLastColumn="0" w:lastRowFirstColumn="0" w:lastRowLastColumn="0"/>
            <w:tcW w:w="4508" w:type="dxa"/>
          </w:tcPr>
          <w:p w14:paraId="2E91EF75" w14:textId="77777777" w:rsidR="00026EBE" w:rsidRDefault="00026EBE" w:rsidP="000850F6">
            <w:r>
              <w:t>Oxybenzone</w:t>
            </w:r>
          </w:p>
        </w:tc>
        <w:tc>
          <w:tcPr>
            <w:tcW w:w="4508" w:type="dxa"/>
          </w:tcPr>
          <w:p w14:paraId="2F9C3485"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018F4FE" wp14:editId="444A89C3">
                  <wp:extent cx="1377950" cy="768350"/>
                  <wp:effectExtent l="0" t="0" r="0" b="0"/>
                  <wp:docPr id="2023342819" name="Picture 1"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42819" name="Picture 1" descr="A structure of a chemical formula&#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0" cy="768350"/>
                          </a:xfrm>
                          <a:prstGeom prst="rect">
                            <a:avLst/>
                          </a:prstGeom>
                          <a:noFill/>
                        </pic:spPr>
                      </pic:pic>
                    </a:graphicData>
                  </a:graphic>
                </wp:inline>
              </w:drawing>
            </w:r>
          </w:p>
        </w:tc>
      </w:tr>
      <w:tr w:rsidR="00026EBE" w14:paraId="2669027C" w14:textId="77777777" w:rsidTr="000850F6">
        <w:tc>
          <w:tcPr>
            <w:cnfStyle w:val="001000000000" w:firstRow="0" w:lastRow="0" w:firstColumn="1" w:lastColumn="0" w:oddVBand="0" w:evenVBand="0" w:oddHBand="0" w:evenHBand="0" w:firstRowFirstColumn="0" w:firstRowLastColumn="0" w:lastRowFirstColumn="0" w:lastRowLastColumn="0"/>
            <w:tcW w:w="4508" w:type="dxa"/>
          </w:tcPr>
          <w:p w14:paraId="527DDA2B" w14:textId="77777777" w:rsidR="00026EBE" w:rsidRDefault="00026EBE" w:rsidP="000850F6">
            <w:r>
              <w:t>Phenylbenzimidazole sulfonic acid</w:t>
            </w:r>
          </w:p>
        </w:tc>
        <w:tc>
          <w:tcPr>
            <w:tcW w:w="4508" w:type="dxa"/>
          </w:tcPr>
          <w:p w14:paraId="41279417"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C3D8447" wp14:editId="7A93CC70">
                  <wp:extent cx="1810385" cy="926465"/>
                  <wp:effectExtent l="0" t="0" r="0" b="6985"/>
                  <wp:docPr id="1139512487" name="Picture 2"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12487" name="Picture 2" descr="A structure of a chemical formula&#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0385" cy="926465"/>
                          </a:xfrm>
                          <a:prstGeom prst="rect">
                            <a:avLst/>
                          </a:prstGeom>
                          <a:noFill/>
                        </pic:spPr>
                      </pic:pic>
                    </a:graphicData>
                  </a:graphic>
                </wp:inline>
              </w:drawing>
            </w:r>
          </w:p>
        </w:tc>
      </w:tr>
    </w:tbl>
    <w:p w14:paraId="25911781" w14:textId="77777777" w:rsidR="00026EBE" w:rsidRDefault="00026EBE" w:rsidP="00026EBE">
      <w:pPr>
        <w:pStyle w:val="Heading3"/>
      </w:pPr>
      <w:bookmarkStart w:id="16" w:name="_Toc189819946"/>
      <w:bookmarkStart w:id="17" w:name="_Toc190081216"/>
      <w:r>
        <w:t>Current restrictions in Australia and overseas</w:t>
      </w:r>
      <w:bookmarkEnd w:id="16"/>
      <w:bookmarkEnd w:id="17"/>
    </w:p>
    <w:p w14:paraId="4A3F7C24" w14:textId="77777777" w:rsidR="00026EBE" w:rsidRPr="0074486E" w:rsidRDefault="00026EBE" w:rsidP="00026EBE">
      <w:r w:rsidRPr="0074486E">
        <w:t xml:space="preserve">The following ingredients are currently approved in Australia for use as active ingredients in </w:t>
      </w:r>
      <w:r>
        <w:t xml:space="preserve">therapeutic </w:t>
      </w:r>
      <w:r w:rsidRPr="0074486E">
        <w:t xml:space="preserve">sunscreens for dermal application (see the table below), not to be used in topical products for eyes, with appropriate safety warnings </w:t>
      </w:r>
      <w:r>
        <w:t>mandated on</w:t>
      </w:r>
      <w:r w:rsidRPr="0074486E">
        <w:t xml:space="preserve"> the label. It is noted that </w:t>
      </w:r>
      <w:r>
        <w:t>the regulation of sunscreens differs internationally, for example the USA regulate these as OTC drugs while they are regulated as cosmetics in the EU</w:t>
      </w:r>
      <w:r w:rsidRPr="0074486E">
        <w:t xml:space="preserve">. </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2400"/>
        <w:gridCol w:w="1134"/>
        <w:gridCol w:w="2126"/>
        <w:gridCol w:w="1134"/>
        <w:gridCol w:w="1134"/>
        <w:gridCol w:w="1541"/>
      </w:tblGrid>
      <w:tr w:rsidR="00026EBE" w:rsidRPr="00B90D6F" w14:paraId="0766D76C" w14:textId="77777777" w:rsidTr="000850F6">
        <w:trPr>
          <w:cantSplit/>
          <w:trHeight w:val="160"/>
          <w:tblHeader/>
          <w:jc w:val="center"/>
        </w:trPr>
        <w:tc>
          <w:tcPr>
            <w:tcW w:w="2400" w:type="dxa"/>
            <w:vMerge w:val="restart"/>
            <w:tcBorders>
              <w:top w:val="single" w:sz="8" w:space="0" w:color="auto"/>
            </w:tcBorders>
            <w:shd w:val="clear" w:color="auto" w:fill="BDCFF0" w:themeFill="accent2" w:themeFillTint="66"/>
            <w:tcMar>
              <w:top w:w="28" w:type="dxa"/>
              <w:left w:w="57" w:type="dxa"/>
              <w:bottom w:w="28" w:type="dxa"/>
              <w:right w:w="57" w:type="dxa"/>
            </w:tcMar>
            <w:vAlign w:val="center"/>
          </w:tcPr>
          <w:p w14:paraId="008A477A" w14:textId="77777777" w:rsidR="00026EBE" w:rsidRPr="002C09FF" w:rsidRDefault="00026EBE" w:rsidP="000850F6">
            <w:pPr>
              <w:rPr>
                <w:b/>
                <w:color w:val="00348C" w:themeColor="accent1" w:themeShade="BF"/>
                <w:sz w:val="22"/>
                <w:szCs w:val="22"/>
              </w:rPr>
            </w:pPr>
            <w:r w:rsidRPr="002C09FF">
              <w:rPr>
                <w:b/>
                <w:color w:val="00348C" w:themeColor="accent1" w:themeShade="BF"/>
                <w:sz w:val="22"/>
                <w:szCs w:val="22"/>
              </w:rPr>
              <w:t>Active ingredient</w:t>
            </w:r>
          </w:p>
        </w:tc>
        <w:tc>
          <w:tcPr>
            <w:tcW w:w="7069" w:type="dxa"/>
            <w:gridSpan w:val="5"/>
            <w:tcBorders>
              <w:top w:val="single" w:sz="8" w:space="0" w:color="auto"/>
              <w:bottom w:val="single" w:sz="8" w:space="0" w:color="auto"/>
            </w:tcBorders>
            <w:shd w:val="clear" w:color="auto" w:fill="BDCFF0" w:themeFill="accent2" w:themeFillTint="66"/>
            <w:vAlign w:val="center"/>
          </w:tcPr>
          <w:p w14:paraId="53E4B0FE" w14:textId="77777777" w:rsidR="00026EBE" w:rsidRPr="002C09FF" w:rsidRDefault="00026EBE" w:rsidP="000850F6">
            <w:pPr>
              <w:jc w:val="center"/>
              <w:rPr>
                <w:b/>
                <w:color w:val="00348C" w:themeColor="accent1" w:themeShade="BF"/>
                <w:sz w:val="22"/>
                <w:szCs w:val="22"/>
              </w:rPr>
            </w:pPr>
            <w:r w:rsidRPr="002C09FF">
              <w:rPr>
                <w:b/>
                <w:color w:val="00348C" w:themeColor="accent1" w:themeShade="BF"/>
                <w:sz w:val="22"/>
                <w:szCs w:val="22"/>
              </w:rPr>
              <w:t>Maximum % approved</w:t>
            </w:r>
          </w:p>
        </w:tc>
      </w:tr>
      <w:tr w:rsidR="00026EBE" w:rsidRPr="00B90D6F" w14:paraId="67618B2F" w14:textId="77777777" w:rsidTr="000850F6">
        <w:trPr>
          <w:cantSplit/>
          <w:trHeight w:val="160"/>
          <w:tblHeader/>
          <w:jc w:val="center"/>
        </w:trPr>
        <w:tc>
          <w:tcPr>
            <w:tcW w:w="2400" w:type="dxa"/>
            <w:vMerge/>
            <w:tcBorders>
              <w:bottom w:val="single" w:sz="8" w:space="0" w:color="auto"/>
            </w:tcBorders>
            <w:shd w:val="clear" w:color="auto" w:fill="BDCFF0" w:themeFill="accent2" w:themeFillTint="66"/>
            <w:tcMar>
              <w:top w:w="28" w:type="dxa"/>
              <w:left w:w="57" w:type="dxa"/>
              <w:bottom w:w="28" w:type="dxa"/>
              <w:right w:w="57" w:type="dxa"/>
            </w:tcMar>
            <w:vAlign w:val="center"/>
          </w:tcPr>
          <w:p w14:paraId="0F62EC54" w14:textId="77777777" w:rsidR="00026EBE" w:rsidRPr="002C09FF" w:rsidRDefault="00026EBE" w:rsidP="000850F6">
            <w:pPr>
              <w:rPr>
                <w:b/>
                <w:color w:val="00348C" w:themeColor="accent1" w:themeShade="BF"/>
                <w:sz w:val="22"/>
                <w:szCs w:val="22"/>
              </w:rPr>
            </w:pPr>
          </w:p>
        </w:tc>
        <w:tc>
          <w:tcPr>
            <w:tcW w:w="1134" w:type="dxa"/>
            <w:tcBorders>
              <w:top w:val="single" w:sz="8" w:space="0" w:color="auto"/>
              <w:bottom w:val="single" w:sz="8" w:space="0" w:color="auto"/>
            </w:tcBorders>
            <w:shd w:val="clear" w:color="auto" w:fill="BDCFF0" w:themeFill="accent2" w:themeFillTint="66"/>
            <w:vAlign w:val="center"/>
          </w:tcPr>
          <w:p w14:paraId="61111ECA" w14:textId="77777777" w:rsidR="00026EBE" w:rsidRPr="002C09FF" w:rsidRDefault="00026EBE" w:rsidP="000850F6">
            <w:pPr>
              <w:rPr>
                <w:b/>
                <w:color w:val="00348C" w:themeColor="accent1" w:themeShade="BF"/>
                <w:sz w:val="22"/>
                <w:szCs w:val="22"/>
              </w:rPr>
            </w:pPr>
            <w:r w:rsidRPr="002C09FF">
              <w:rPr>
                <w:b/>
                <w:color w:val="00348C" w:themeColor="accent1" w:themeShade="BF"/>
                <w:sz w:val="22"/>
                <w:szCs w:val="22"/>
              </w:rPr>
              <w:t>Australia</w:t>
            </w:r>
          </w:p>
        </w:tc>
        <w:tc>
          <w:tcPr>
            <w:tcW w:w="2126" w:type="dxa"/>
            <w:tcBorders>
              <w:top w:val="single" w:sz="8" w:space="0" w:color="auto"/>
              <w:bottom w:val="single" w:sz="8" w:space="0" w:color="auto"/>
            </w:tcBorders>
            <w:shd w:val="clear" w:color="auto" w:fill="BDCFF0" w:themeFill="accent2" w:themeFillTint="66"/>
            <w:tcMar>
              <w:left w:w="57" w:type="dxa"/>
              <w:right w:w="57" w:type="dxa"/>
            </w:tcMar>
            <w:vAlign w:val="center"/>
          </w:tcPr>
          <w:p w14:paraId="68D72823" w14:textId="77777777" w:rsidR="00026EBE" w:rsidRPr="002C09FF" w:rsidRDefault="00026EBE" w:rsidP="000850F6">
            <w:pPr>
              <w:rPr>
                <w:b/>
                <w:color w:val="00348C" w:themeColor="accent1" w:themeShade="BF"/>
                <w:sz w:val="22"/>
                <w:szCs w:val="22"/>
              </w:rPr>
            </w:pPr>
            <w:r w:rsidRPr="002C09FF">
              <w:rPr>
                <w:b/>
                <w:color w:val="00348C" w:themeColor="accent1" w:themeShade="BF"/>
                <w:sz w:val="22"/>
                <w:szCs w:val="22"/>
              </w:rPr>
              <w:t>EU</w:t>
            </w:r>
          </w:p>
        </w:tc>
        <w:tc>
          <w:tcPr>
            <w:tcW w:w="1134" w:type="dxa"/>
            <w:tcBorders>
              <w:top w:val="single" w:sz="8" w:space="0" w:color="auto"/>
              <w:bottom w:val="single" w:sz="8" w:space="0" w:color="auto"/>
            </w:tcBorders>
            <w:shd w:val="clear" w:color="auto" w:fill="BDCFF0" w:themeFill="accent2" w:themeFillTint="66"/>
            <w:tcMar>
              <w:left w:w="57" w:type="dxa"/>
              <w:right w:w="57" w:type="dxa"/>
            </w:tcMar>
            <w:vAlign w:val="center"/>
          </w:tcPr>
          <w:p w14:paraId="212BB11D" w14:textId="77777777" w:rsidR="00026EBE" w:rsidRPr="002C09FF" w:rsidRDefault="00026EBE" w:rsidP="000850F6">
            <w:pPr>
              <w:rPr>
                <w:b/>
                <w:color w:val="00348C" w:themeColor="accent1" w:themeShade="BF"/>
                <w:sz w:val="22"/>
                <w:szCs w:val="22"/>
              </w:rPr>
            </w:pPr>
            <w:r w:rsidRPr="002C09FF">
              <w:rPr>
                <w:b/>
                <w:color w:val="00348C" w:themeColor="accent1" w:themeShade="BF"/>
                <w:sz w:val="22"/>
                <w:szCs w:val="22"/>
              </w:rPr>
              <w:t>USA</w:t>
            </w:r>
          </w:p>
        </w:tc>
        <w:tc>
          <w:tcPr>
            <w:tcW w:w="1134" w:type="dxa"/>
            <w:tcBorders>
              <w:top w:val="single" w:sz="8" w:space="0" w:color="auto"/>
              <w:bottom w:val="single" w:sz="8" w:space="0" w:color="auto"/>
            </w:tcBorders>
            <w:shd w:val="clear" w:color="auto" w:fill="BDCFF0" w:themeFill="accent2" w:themeFillTint="66"/>
            <w:vAlign w:val="center"/>
          </w:tcPr>
          <w:p w14:paraId="24367CAE" w14:textId="77777777" w:rsidR="00026EBE" w:rsidRPr="002C09FF" w:rsidRDefault="00026EBE" w:rsidP="000850F6">
            <w:pPr>
              <w:rPr>
                <w:b/>
                <w:color w:val="00348C" w:themeColor="accent1" w:themeShade="BF"/>
                <w:sz w:val="22"/>
                <w:szCs w:val="22"/>
              </w:rPr>
            </w:pPr>
            <w:r w:rsidRPr="002C09FF">
              <w:rPr>
                <w:b/>
                <w:color w:val="00348C" w:themeColor="accent1" w:themeShade="BF"/>
                <w:sz w:val="22"/>
                <w:szCs w:val="22"/>
              </w:rPr>
              <w:t>Canada</w:t>
            </w:r>
            <w:r w:rsidRPr="002C09FF">
              <w:rPr>
                <w:b/>
                <w:color w:val="00348C" w:themeColor="accent1" w:themeShade="BF"/>
                <w:sz w:val="22"/>
                <w:szCs w:val="22"/>
                <w:vertAlign w:val="superscript"/>
              </w:rPr>
              <w:footnoteReference w:id="1"/>
            </w:r>
          </w:p>
        </w:tc>
        <w:tc>
          <w:tcPr>
            <w:tcW w:w="1541" w:type="dxa"/>
            <w:tcBorders>
              <w:top w:val="single" w:sz="8" w:space="0" w:color="auto"/>
              <w:bottom w:val="single" w:sz="8" w:space="0" w:color="auto"/>
            </w:tcBorders>
            <w:shd w:val="clear" w:color="auto" w:fill="BDCFF0" w:themeFill="accent2" w:themeFillTint="66"/>
            <w:tcMar>
              <w:left w:w="57" w:type="dxa"/>
              <w:right w:w="57" w:type="dxa"/>
            </w:tcMar>
            <w:vAlign w:val="center"/>
          </w:tcPr>
          <w:p w14:paraId="5959DC34" w14:textId="77777777" w:rsidR="00026EBE" w:rsidRPr="002C09FF" w:rsidRDefault="00026EBE" w:rsidP="000850F6">
            <w:pPr>
              <w:rPr>
                <w:b/>
                <w:color w:val="00348C" w:themeColor="accent1" w:themeShade="BF"/>
                <w:sz w:val="22"/>
                <w:szCs w:val="22"/>
              </w:rPr>
            </w:pPr>
            <w:r w:rsidRPr="002C09FF">
              <w:rPr>
                <w:b/>
                <w:color w:val="00348C" w:themeColor="accent1" w:themeShade="BF"/>
                <w:sz w:val="22"/>
                <w:szCs w:val="22"/>
              </w:rPr>
              <w:t>Japan</w:t>
            </w:r>
            <w:r w:rsidRPr="002C09FF">
              <w:rPr>
                <w:b/>
                <w:color w:val="00348C" w:themeColor="accent1" w:themeShade="BF"/>
                <w:sz w:val="22"/>
                <w:szCs w:val="22"/>
                <w:vertAlign w:val="superscript"/>
              </w:rPr>
              <w:footnoteReference w:id="2"/>
            </w:r>
          </w:p>
        </w:tc>
      </w:tr>
      <w:tr w:rsidR="00026EBE" w:rsidRPr="00B90D6F" w14:paraId="0E92C570" w14:textId="77777777" w:rsidTr="000850F6">
        <w:trPr>
          <w:cantSplit/>
          <w:trHeight w:val="253"/>
          <w:jc w:val="center"/>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2425712D" w14:textId="77777777" w:rsidR="00026EBE" w:rsidRPr="002C09FF" w:rsidRDefault="00026EBE" w:rsidP="000850F6">
            <w:pPr>
              <w:rPr>
                <w:sz w:val="18"/>
                <w:szCs w:val="18"/>
              </w:rPr>
            </w:pPr>
            <w:r w:rsidRPr="002C09FF">
              <w:rPr>
                <w:sz w:val="18"/>
                <w:szCs w:val="18"/>
              </w:rPr>
              <w:t>Avobenzone</w:t>
            </w:r>
          </w:p>
        </w:tc>
        <w:tc>
          <w:tcPr>
            <w:tcW w:w="1134" w:type="dxa"/>
            <w:tcBorders>
              <w:top w:val="single" w:sz="4" w:space="0" w:color="auto"/>
              <w:left w:val="single" w:sz="4" w:space="0" w:color="auto"/>
              <w:bottom w:val="single" w:sz="4" w:space="0" w:color="auto"/>
              <w:right w:val="single" w:sz="4" w:space="0" w:color="auto"/>
            </w:tcBorders>
            <w:vAlign w:val="center"/>
          </w:tcPr>
          <w:p w14:paraId="4B73A2CA" w14:textId="77777777" w:rsidR="00026EBE" w:rsidRPr="002C09FF" w:rsidRDefault="00026EBE" w:rsidP="000850F6">
            <w:pPr>
              <w:rPr>
                <w:sz w:val="18"/>
                <w:szCs w:val="18"/>
              </w:rPr>
            </w:pPr>
            <w:r w:rsidRPr="002C09FF">
              <w:rPr>
                <w:sz w:val="18"/>
                <w:szCs w:val="18"/>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38F840" w14:textId="77777777" w:rsidR="00026EBE" w:rsidRPr="002C09FF" w:rsidRDefault="00026EBE" w:rsidP="000850F6">
            <w:pPr>
              <w:rPr>
                <w:sz w:val="18"/>
                <w:szCs w:val="18"/>
              </w:rPr>
            </w:pPr>
            <w:r w:rsidRPr="002C09FF">
              <w:rPr>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98730F" w14:textId="77777777" w:rsidR="00026EBE" w:rsidRPr="002C09FF" w:rsidRDefault="00026EBE" w:rsidP="000850F6">
            <w:pPr>
              <w:rPr>
                <w:sz w:val="18"/>
                <w:szCs w:val="18"/>
              </w:rPr>
            </w:pPr>
            <w:r w:rsidRPr="002C09FF">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14:paraId="2582EF0D" w14:textId="77777777" w:rsidR="00026EBE" w:rsidRPr="002C09FF" w:rsidRDefault="00026EBE" w:rsidP="000850F6">
            <w:pPr>
              <w:rPr>
                <w:sz w:val="18"/>
                <w:szCs w:val="18"/>
              </w:rPr>
            </w:pPr>
            <w:r w:rsidRPr="002C09FF">
              <w:rPr>
                <w:sz w:val="18"/>
                <w:szCs w:val="18"/>
              </w:rPr>
              <w:t>3</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2B198F14" w14:textId="77777777" w:rsidR="00026EBE" w:rsidRPr="002C09FF" w:rsidRDefault="00026EBE" w:rsidP="000850F6">
            <w:pPr>
              <w:rPr>
                <w:sz w:val="18"/>
                <w:szCs w:val="18"/>
              </w:rPr>
            </w:pPr>
            <w:r w:rsidRPr="002C09FF">
              <w:rPr>
                <w:sz w:val="18"/>
                <w:szCs w:val="18"/>
              </w:rPr>
              <w:t>10</w:t>
            </w:r>
          </w:p>
        </w:tc>
      </w:tr>
      <w:tr w:rsidR="00026EBE" w:rsidRPr="00B90D6F" w14:paraId="21042277" w14:textId="77777777" w:rsidTr="000850F6">
        <w:trPr>
          <w:cantSplit/>
          <w:trHeight w:val="253"/>
          <w:jc w:val="center"/>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2FAD24FE" w14:textId="77777777" w:rsidR="00026EBE" w:rsidRPr="002C09FF" w:rsidRDefault="00026EBE" w:rsidP="000850F6">
            <w:pPr>
              <w:rPr>
                <w:sz w:val="18"/>
                <w:szCs w:val="18"/>
              </w:rPr>
            </w:pPr>
            <w:r w:rsidRPr="002C09FF">
              <w:rPr>
                <w:sz w:val="18"/>
                <w:szCs w:val="18"/>
              </w:rPr>
              <w:t xml:space="preserve">Ethylhexyl triazone </w:t>
            </w:r>
            <w:r w:rsidRPr="002C09FF">
              <w:rPr>
                <w:sz w:val="18"/>
                <w:szCs w:val="18"/>
                <w:vertAlign w:val="superscript"/>
              </w:rPr>
              <w:t>ϯ</w:t>
            </w:r>
          </w:p>
        </w:tc>
        <w:tc>
          <w:tcPr>
            <w:tcW w:w="1134" w:type="dxa"/>
            <w:tcBorders>
              <w:top w:val="single" w:sz="4" w:space="0" w:color="auto"/>
              <w:left w:val="single" w:sz="4" w:space="0" w:color="auto"/>
              <w:bottom w:val="single" w:sz="4" w:space="0" w:color="auto"/>
              <w:right w:val="single" w:sz="4" w:space="0" w:color="auto"/>
            </w:tcBorders>
            <w:vAlign w:val="center"/>
          </w:tcPr>
          <w:p w14:paraId="2070ECCE" w14:textId="77777777" w:rsidR="00026EBE" w:rsidRPr="002C09FF" w:rsidRDefault="00026EBE" w:rsidP="000850F6">
            <w:pPr>
              <w:rPr>
                <w:sz w:val="18"/>
                <w:szCs w:val="18"/>
              </w:rPr>
            </w:pPr>
            <w:r w:rsidRPr="002C09FF">
              <w:rPr>
                <w:sz w:val="18"/>
                <w:szCs w:val="18"/>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396E15" w14:textId="77777777" w:rsidR="00026EBE" w:rsidRPr="002C09FF" w:rsidRDefault="00026EBE" w:rsidP="000850F6">
            <w:pPr>
              <w:rPr>
                <w:sz w:val="18"/>
                <w:szCs w:val="18"/>
              </w:rPr>
            </w:pPr>
            <w:r w:rsidRPr="002C09FF">
              <w:rPr>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0EDE6" w14:textId="77777777" w:rsidR="00026EBE" w:rsidRPr="002C09FF" w:rsidRDefault="00026EBE" w:rsidP="000850F6">
            <w:pPr>
              <w:rPr>
                <w:sz w:val="18"/>
                <w:szCs w:val="18"/>
              </w:rPr>
            </w:pPr>
            <w:r w:rsidRPr="002C09FF">
              <w:rPr>
                <w:sz w:val="18"/>
                <w:szCs w:val="18"/>
              </w:rPr>
              <w:t>Not approved</w:t>
            </w:r>
          </w:p>
        </w:tc>
        <w:tc>
          <w:tcPr>
            <w:tcW w:w="1134" w:type="dxa"/>
            <w:tcBorders>
              <w:top w:val="single" w:sz="4" w:space="0" w:color="auto"/>
              <w:left w:val="single" w:sz="4" w:space="0" w:color="auto"/>
              <w:bottom w:val="single" w:sz="4" w:space="0" w:color="auto"/>
              <w:right w:val="single" w:sz="4" w:space="0" w:color="auto"/>
            </w:tcBorders>
            <w:vAlign w:val="center"/>
          </w:tcPr>
          <w:p w14:paraId="12F37B55" w14:textId="77777777" w:rsidR="00026EBE" w:rsidRPr="002C09FF" w:rsidRDefault="00026EBE" w:rsidP="000850F6">
            <w:pPr>
              <w:rPr>
                <w:sz w:val="18"/>
                <w:szCs w:val="18"/>
              </w:rPr>
            </w:pPr>
            <w:r w:rsidRPr="002C09FF">
              <w:rPr>
                <w:sz w:val="18"/>
                <w:szCs w:val="18"/>
              </w:rPr>
              <w:t>Not approved</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21CF1923" w14:textId="77777777" w:rsidR="00026EBE" w:rsidRPr="002C09FF" w:rsidRDefault="00026EBE" w:rsidP="000850F6">
            <w:pPr>
              <w:rPr>
                <w:sz w:val="18"/>
                <w:szCs w:val="18"/>
              </w:rPr>
            </w:pPr>
            <w:r w:rsidRPr="002C09FF">
              <w:rPr>
                <w:sz w:val="18"/>
                <w:szCs w:val="18"/>
              </w:rPr>
              <w:t>5</w:t>
            </w:r>
          </w:p>
        </w:tc>
      </w:tr>
      <w:tr w:rsidR="00026EBE" w:rsidRPr="00B90D6F" w14:paraId="7946C36F" w14:textId="77777777" w:rsidTr="000850F6">
        <w:trPr>
          <w:cantSplit/>
          <w:trHeight w:val="253"/>
          <w:jc w:val="center"/>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36AB0566" w14:textId="77777777" w:rsidR="00026EBE" w:rsidRPr="002C09FF" w:rsidRDefault="00026EBE" w:rsidP="000850F6">
            <w:pPr>
              <w:rPr>
                <w:sz w:val="18"/>
                <w:szCs w:val="18"/>
              </w:rPr>
            </w:pPr>
            <w:r w:rsidRPr="002C09FF">
              <w:rPr>
                <w:sz w:val="18"/>
                <w:szCs w:val="18"/>
              </w:rPr>
              <w:t>Homosalate</w:t>
            </w:r>
          </w:p>
        </w:tc>
        <w:tc>
          <w:tcPr>
            <w:tcW w:w="1134" w:type="dxa"/>
            <w:tcBorders>
              <w:top w:val="single" w:sz="4" w:space="0" w:color="auto"/>
              <w:left w:val="single" w:sz="4" w:space="0" w:color="auto"/>
              <w:bottom w:val="single" w:sz="4" w:space="0" w:color="auto"/>
              <w:right w:val="single" w:sz="4" w:space="0" w:color="auto"/>
            </w:tcBorders>
            <w:vAlign w:val="center"/>
          </w:tcPr>
          <w:p w14:paraId="59FAEF8C" w14:textId="77777777" w:rsidR="00026EBE" w:rsidRPr="002C09FF" w:rsidRDefault="00026EBE" w:rsidP="000850F6">
            <w:pPr>
              <w:rPr>
                <w:sz w:val="18"/>
                <w:szCs w:val="18"/>
              </w:rPr>
            </w:pPr>
            <w:r w:rsidRPr="002C09FF">
              <w:rPr>
                <w:sz w:val="18"/>
                <w:szCs w:val="18"/>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AC4B15E" w14:textId="77777777" w:rsidR="00026EBE" w:rsidRPr="002C09FF" w:rsidRDefault="00026EBE" w:rsidP="000850F6">
            <w:pPr>
              <w:rPr>
                <w:sz w:val="18"/>
                <w:szCs w:val="18"/>
              </w:rPr>
            </w:pPr>
            <w:r w:rsidRPr="002C09FF">
              <w:rPr>
                <w:sz w:val="18"/>
                <w:szCs w:val="18"/>
              </w:rPr>
              <w:t>7.34 (restricted to face product)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51F04" w14:textId="77777777" w:rsidR="00026EBE" w:rsidRPr="002C09FF" w:rsidRDefault="00026EBE" w:rsidP="000850F6">
            <w:pPr>
              <w:rPr>
                <w:sz w:val="18"/>
                <w:szCs w:val="18"/>
              </w:rPr>
            </w:pPr>
            <w:r w:rsidRPr="002C09FF">
              <w:rPr>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tcPr>
          <w:p w14:paraId="2913BB50" w14:textId="77777777" w:rsidR="00026EBE" w:rsidRPr="002C09FF" w:rsidRDefault="00026EBE" w:rsidP="000850F6">
            <w:pPr>
              <w:rPr>
                <w:sz w:val="18"/>
                <w:szCs w:val="18"/>
              </w:rPr>
            </w:pPr>
            <w:r w:rsidRPr="002C09FF">
              <w:rPr>
                <w:sz w:val="18"/>
                <w:szCs w:val="18"/>
              </w:rPr>
              <w:t>15</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7505C440" w14:textId="77777777" w:rsidR="00026EBE" w:rsidRPr="002C09FF" w:rsidRDefault="00026EBE" w:rsidP="000850F6">
            <w:pPr>
              <w:rPr>
                <w:sz w:val="18"/>
                <w:szCs w:val="18"/>
              </w:rPr>
            </w:pPr>
            <w:r w:rsidRPr="002C09FF">
              <w:rPr>
                <w:sz w:val="18"/>
                <w:szCs w:val="18"/>
              </w:rPr>
              <w:t>10 (restricted in all types of cosmetics)</w:t>
            </w:r>
          </w:p>
        </w:tc>
      </w:tr>
      <w:tr w:rsidR="00026EBE" w:rsidRPr="00B90D6F" w14:paraId="5C60A60E" w14:textId="77777777" w:rsidTr="000850F6">
        <w:trPr>
          <w:cantSplit/>
          <w:trHeight w:val="253"/>
          <w:jc w:val="center"/>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2AC460A7" w14:textId="77777777" w:rsidR="00026EBE" w:rsidRPr="002C09FF" w:rsidRDefault="00026EBE" w:rsidP="000850F6">
            <w:pPr>
              <w:rPr>
                <w:sz w:val="18"/>
                <w:szCs w:val="18"/>
              </w:rPr>
            </w:pPr>
            <w:r w:rsidRPr="002C09FF">
              <w:rPr>
                <w:sz w:val="18"/>
                <w:szCs w:val="18"/>
              </w:rPr>
              <w:t>Octinoxate</w:t>
            </w:r>
          </w:p>
        </w:tc>
        <w:tc>
          <w:tcPr>
            <w:tcW w:w="1134" w:type="dxa"/>
            <w:tcBorders>
              <w:top w:val="single" w:sz="4" w:space="0" w:color="auto"/>
              <w:left w:val="single" w:sz="4" w:space="0" w:color="auto"/>
              <w:bottom w:val="single" w:sz="4" w:space="0" w:color="auto"/>
              <w:right w:val="single" w:sz="4" w:space="0" w:color="auto"/>
            </w:tcBorders>
            <w:vAlign w:val="center"/>
          </w:tcPr>
          <w:p w14:paraId="4ABCACBA" w14:textId="77777777" w:rsidR="00026EBE" w:rsidRPr="002C09FF" w:rsidRDefault="00026EBE" w:rsidP="000850F6">
            <w:pPr>
              <w:rPr>
                <w:sz w:val="18"/>
                <w:szCs w:val="18"/>
              </w:rPr>
            </w:pPr>
            <w:r w:rsidRPr="002C09FF">
              <w:rPr>
                <w:sz w:val="18"/>
                <w:szCs w:val="18"/>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3B2F0A" w14:textId="77777777" w:rsidR="00026EBE" w:rsidRPr="002C09FF" w:rsidRDefault="00026EBE" w:rsidP="000850F6">
            <w:pPr>
              <w:rPr>
                <w:sz w:val="18"/>
                <w:szCs w:val="18"/>
              </w:rPr>
            </w:pPr>
            <w:r w:rsidRPr="002C09FF">
              <w:rPr>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8879CF" w14:textId="77777777" w:rsidR="00026EBE" w:rsidRPr="002C09FF" w:rsidRDefault="00026EBE" w:rsidP="000850F6">
            <w:pPr>
              <w:rPr>
                <w:sz w:val="18"/>
                <w:szCs w:val="18"/>
              </w:rPr>
            </w:pPr>
            <w:r w:rsidRPr="002C09FF">
              <w:rPr>
                <w:sz w:val="18"/>
                <w:szCs w:val="18"/>
              </w:rPr>
              <w:t>7.5</w:t>
            </w:r>
          </w:p>
        </w:tc>
        <w:tc>
          <w:tcPr>
            <w:tcW w:w="1134" w:type="dxa"/>
            <w:tcBorders>
              <w:top w:val="single" w:sz="4" w:space="0" w:color="auto"/>
              <w:left w:val="single" w:sz="4" w:space="0" w:color="auto"/>
              <w:bottom w:val="single" w:sz="4" w:space="0" w:color="auto"/>
              <w:right w:val="single" w:sz="4" w:space="0" w:color="auto"/>
            </w:tcBorders>
            <w:vAlign w:val="center"/>
          </w:tcPr>
          <w:p w14:paraId="1EB5D89C" w14:textId="77777777" w:rsidR="00026EBE" w:rsidRPr="002C09FF" w:rsidRDefault="00026EBE" w:rsidP="000850F6">
            <w:pPr>
              <w:rPr>
                <w:sz w:val="18"/>
                <w:szCs w:val="18"/>
              </w:rPr>
            </w:pPr>
            <w:r w:rsidRPr="002C09FF">
              <w:rPr>
                <w:sz w:val="18"/>
                <w:szCs w:val="18"/>
              </w:rPr>
              <w:t>7.5</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4143AD6B" w14:textId="77777777" w:rsidR="00026EBE" w:rsidRPr="002C09FF" w:rsidRDefault="00026EBE" w:rsidP="000850F6">
            <w:pPr>
              <w:rPr>
                <w:sz w:val="18"/>
                <w:szCs w:val="18"/>
              </w:rPr>
            </w:pPr>
            <w:r w:rsidRPr="002C09FF">
              <w:rPr>
                <w:sz w:val="18"/>
                <w:szCs w:val="18"/>
              </w:rPr>
              <w:t>10</w:t>
            </w:r>
          </w:p>
        </w:tc>
      </w:tr>
      <w:tr w:rsidR="00026EBE" w:rsidRPr="00B90D6F" w14:paraId="009EB4D0" w14:textId="77777777" w:rsidTr="000850F6">
        <w:trPr>
          <w:cantSplit/>
          <w:trHeight w:val="253"/>
          <w:jc w:val="center"/>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2CF4C2B" w14:textId="77777777" w:rsidR="00026EBE" w:rsidRPr="002C09FF" w:rsidRDefault="00026EBE" w:rsidP="000850F6">
            <w:pPr>
              <w:rPr>
                <w:sz w:val="18"/>
                <w:szCs w:val="18"/>
              </w:rPr>
            </w:pPr>
            <w:r w:rsidRPr="002C09FF">
              <w:rPr>
                <w:sz w:val="18"/>
                <w:szCs w:val="18"/>
              </w:rPr>
              <w:t>Octocrylene**</w:t>
            </w:r>
          </w:p>
        </w:tc>
        <w:tc>
          <w:tcPr>
            <w:tcW w:w="1134" w:type="dxa"/>
            <w:tcBorders>
              <w:top w:val="single" w:sz="4" w:space="0" w:color="auto"/>
              <w:left w:val="single" w:sz="4" w:space="0" w:color="auto"/>
              <w:bottom w:val="single" w:sz="4" w:space="0" w:color="auto"/>
              <w:right w:val="single" w:sz="4" w:space="0" w:color="auto"/>
            </w:tcBorders>
            <w:vAlign w:val="center"/>
          </w:tcPr>
          <w:p w14:paraId="65A9C25E" w14:textId="77777777" w:rsidR="00026EBE" w:rsidRPr="002C09FF" w:rsidRDefault="00026EBE" w:rsidP="000850F6">
            <w:pPr>
              <w:rPr>
                <w:sz w:val="18"/>
                <w:szCs w:val="18"/>
              </w:rPr>
            </w:pPr>
            <w:r w:rsidRPr="002C09FF">
              <w:rPr>
                <w:sz w:val="18"/>
                <w:szCs w:val="18"/>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928B8F" w14:textId="77777777" w:rsidR="00026EBE" w:rsidRPr="002C09FF" w:rsidRDefault="00026EBE" w:rsidP="000850F6">
            <w:pPr>
              <w:rPr>
                <w:sz w:val="18"/>
                <w:szCs w:val="18"/>
              </w:rPr>
            </w:pPr>
            <w:r w:rsidRPr="002C09FF">
              <w:rPr>
                <w:sz w:val="18"/>
                <w:szCs w:val="18"/>
              </w:rPr>
              <w:t>9 (propellant spray products); 10 (other products)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00BDA5" w14:textId="77777777" w:rsidR="00026EBE" w:rsidRPr="002C09FF" w:rsidRDefault="00026EBE" w:rsidP="000850F6">
            <w:pPr>
              <w:rPr>
                <w:sz w:val="18"/>
                <w:szCs w:val="18"/>
              </w:rPr>
            </w:pPr>
            <w:r w:rsidRPr="002C09FF">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07854D6" w14:textId="77777777" w:rsidR="00026EBE" w:rsidRPr="002C09FF" w:rsidRDefault="00026EBE" w:rsidP="000850F6">
            <w:pPr>
              <w:rPr>
                <w:sz w:val="18"/>
                <w:szCs w:val="18"/>
              </w:rPr>
            </w:pPr>
            <w:r w:rsidRPr="002C09FF">
              <w:rPr>
                <w:sz w:val="18"/>
                <w:szCs w:val="18"/>
              </w:rPr>
              <w:t>10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235B4CD1" w14:textId="77777777" w:rsidR="00026EBE" w:rsidRPr="002C09FF" w:rsidRDefault="00026EBE" w:rsidP="000850F6">
            <w:pPr>
              <w:rPr>
                <w:sz w:val="18"/>
                <w:szCs w:val="18"/>
              </w:rPr>
            </w:pPr>
            <w:r w:rsidRPr="002C09FF">
              <w:rPr>
                <w:sz w:val="18"/>
                <w:szCs w:val="18"/>
              </w:rPr>
              <w:t>10 (restricted in all types of cosmetics)</w:t>
            </w:r>
          </w:p>
        </w:tc>
      </w:tr>
      <w:tr w:rsidR="00026EBE" w:rsidRPr="00B90D6F" w14:paraId="4B1EE1EF" w14:textId="77777777" w:rsidTr="000850F6">
        <w:trPr>
          <w:cantSplit/>
          <w:trHeight w:val="253"/>
          <w:jc w:val="center"/>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638B4818" w14:textId="77777777" w:rsidR="00026EBE" w:rsidRPr="002C09FF" w:rsidRDefault="00026EBE" w:rsidP="000850F6">
            <w:pPr>
              <w:rPr>
                <w:sz w:val="18"/>
                <w:szCs w:val="18"/>
              </w:rPr>
            </w:pPr>
            <w:r w:rsidRPr="002C09FF">
              <w:rPr>
                <w:sz w:val="18"/>
                <w:szCs w:val="18"/>
              </w:rPr>
              <w:t>Oxybenzone</w:t>
            </w:r>
            <w:r w:rsidRPr="002C09FF">
              <w:rPr>
                <w:sz w:val="18"/>
                <w:szCs w:val="18"/>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tcPr>
          <w:p w14:paraId="7159AF93" w14:textId="77777777" w:rsidR="00026EBE" w:rsidRPr="002C09FF" w:rsidRDefault="00026EBE" w:rsidP="000850F6">
            <w:pPr>
              <w:rPr>
                <w:sz w:val="18"/>
                <w:szCs w:val="18"/>
              </w:rPr>
            </w:pPr>
            <w:r w:rsidRPr="002C09FF">
              <w:rPr>
                <w:sz w:val="18"/>
                <w:szCs w:val="18"/>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B188D9" w14:textId="77777777" w:rsidR="00026EBE" w:rsidRPr="002C09FF" w:rsidRDefault="00026EBE" w:rsidP="000850F6">
            <w:pPr>
              <w:rPr>
                <w:sz w:val="18"/>
                <w:szCs w:val="18"/>
              </w:rPr>
            </w:pPr>
            <w:r w:rsidRPr="002C09FF">
              <w:rPr>
                <w:sz w:val="18"/>
                <w:szCs w:val="18"/>
              </w:rPr>
              <w:t>6 (for face /hand products, excluding propellent and pump spray products); 2.2 (for body products)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DBBCC7" w14:textId="77777777" w:rsidR="00026EBE" w:rsidRPr="002C09FF" w:rsidRDefault="00026EBE" w:rsidP="000850F6">
            <w:pPr>
              <w:rPr>
                <w:sz w:val="18"/>
                <w:szCs w:val="18"/>
              </w:rPr>
            </w:pPr>
            <w:r w:rsidRPr="002C09FF">
              <w:rPr>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14:paraId="21E6173B" w14:textId="77777777" w:rsidR="00026EBE" w:rsidRPr="002C09FF" w:rsidRDefault="00026EBE" w:rsidP="000850F6">
            <w:pPr>
              <w:rPr>
                <w:sz w:val="18"/>
                <w:szCs w:val="18"/>
              </w:rPr>
            </w:pPr>
            <w:r w:rsidRPr="002C09FF">
              <w:rPr>
                <w:sz w:val="18"/>
                <w:szCs w:val="18"/>
              </w:rPr>
              <w:t>6</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1315EC82" w14:textId="77777777" w:rsidR="00026EBE" w:rsidRPr="002C09FF" w:rsidRDefault="00026EBE" w:rsidP="000850F6">
            <w:pPr>
              <w:rPr>
                <w:sz w:val="18"/>
                <w:szCs w:val="18"/>
              </w:rPr>
            </w:pPr>
            <w:r w:rsidRPr="002C09FF">
              <w:rPr>
                <w:sz w:val="18"/>
                <w:szCs w:val="18"/>
              </w:rPr>
              <w:t>5 (cosmetics not used for mucosa and not to be washed away)</w:t>
            </w:r>
          </w:p>
        </w:tc>
      </w:tr>
      <w:tr w:rsidR="00026EBE" w:rsidRPr="00B90D6F" w14:paraId="6DBFD209" w14:textId="77777777" w:rsidTr="000850F6">
        <w:trPr>
          <w:cantSplit/>
          <w:trHeight w:val="253"/>
          <w:jc w:val="center"/>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7ACE7C31" w14:textId="77777777" w:rsidR="00026EBE" w:rsidRPr="002C09FF" w:rsidRDefault="00026EBE" w:rsidP="000850F6">
            <w:pPr>
              <w:rPr>
                <w:sz w:val="18"/>
                <w:szCs w:val="18"/>
              </w:rPr>
            </w:pPr>
            <w:r w:rsidRPr="002C09FF">
              <w:rPr>
                <w:sz w:val="18"/>
                <w:szCs w:val="18"/>
              </w:rPr>
              <w:t xml:space="preserve">Phenylbenzimidazole sulfonic acid </w:t>
            </w:r>
            <w:r w:rsidRPr="002C09FF">
              <w:rPr>
                <w:sz w:val="18"/>
                <w:szCs w:val="18"/>
                <w:vertAlign w:val="superscript"/>
              </w:rPr>
              <w:t>γ</w:t>
            </w:r>
          </w:p>
        </w:tc>
        <w:tc>
          <w:tcPr>
            <w:tcW w:w="1134" w:type="dxa"/>
            <w:tcBorders>
              <w:top w:val="single" w:sz="4" w:space="0" w:color="auto"/>
              <w:left w:val="single" w:sz="4" w:space="0" w:color="auto"/>
              <w:bottom w:val="single" w:sz="4" w:space="0" w:color="auto"/>
              <w:right w:val="single" w:sz="4" w:space="0" w:color="auto"/>
            </w:tcBorders>
            <w:vAlign w:val="center"/>
          </w:tcPr>
          <w:p w14:paraId="5E7F52FE" w14:textId="77777777" w:rsidR="00026EBE" w:rsidRPr="002C09FF" w:rsidRDefault="00026EBE" w:rsidP="000850F6">
            <w:pPr>
              <w:rPr>
                <w:sz w:val="18"/>
                <w:szCs w:val="18"/>
              </w:rPr>
            </w:pPr>
            <w:r w:rsidRPr="002C09FF">
              <w:rPr>
                <w:sz w:val="18"/>
                <w:szCs w:val="18"/>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9FC964" w14:textId="77777777" w:rsidR="00026EBE" w:rsidRPr="002C09FF" w:rsidRDefault="00026EBE" w:rsidP="000850F6">
            <w:pPr>
              <w:rPr>
                <w:sz w:val="18"/>
                <w:szCs w:val="18"/>
              </w:rPr>
            </w:pPr>
            <w:r w:rsidRPr="002C09FF">
              <w:rPr>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FDE97A" w14:textId="77777777" w:rsidR="00026EBE" w:rsidRPr="002C09FF" w:rsidRDefault="00026EBE" w:rsidP="000850F6">
            <w:pPr>
              <w:rPr>
                <w:sz w:val="18"/>
                <w:szCs w:val="18"/>
              </w:rPr>
            </w:pPr>
            <w:r w:rsidRPr="002C09FF">
              <w:rPr>
                <w:sz w:val="18"/>
                <w:szCs w:val="18"/>
              </w:rPr>
              <w:t xml:space="preserve">4 (referred to as </w:t>
            </w:r>
            <w:proofErr w:type="spellStart"/>
            <w:r w:rsidRPr="002C09FF">
              <w:rPr>
                <w:sz w:val="18"/>
                <w:szCs w:val="18"/>
              </w:rPr>
              <w:t>Ensulizole</w:t>
            </w:r>
            <w:proofErr w:type="spellEnd"/>
            <w:r w:rsidRPr="002C09FF">
              <w:rPr>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0F2D998" w14:textId="77777777" w:rsidR="00026EBE" w:rsidRPr="002C09FF" w:rsidRDefault="00026EBE" w:rsidP="000850F6">
            <w:pPr>
              <w:rPr>
                <w:sz w:val="18"/>
                <w:szCs w:val="18"/>
              </w:rPr>
            </w:pPr>
            <w:r w:rsidRPr="002C09FF">
              <w:rPr>
                <w:sz w:val="18"/>
                <w:szCs w:val="18"/>
              </w:rPr>
              <w:t>4</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3F9261D4" w14:textId="77777777" w:rsidR="00026EBE" w:rsidRPr="002C09FF" w:rsidRDefault="00026EBE" w:rsidP="000850F6">
            <w:pPr>
              <w:rPr>
                <w:sz w:val="18"/>
                <w:szCs w:val="18"/>
              </w:rPr>
            </w:pPr>
            <w:r w:rsidRPr="002C09FF">
              <w:rPr>
                <w:sz w:val="18"/>
                <w:szCs w:val="18"/>
              </w:rPr>
              <w:t>3 (cosmetics not used for mucosa and to be/not to be washed away)</w:t>
            </w:r>
          </w:p>
        </w:tc>
      </w:tr>
    </w:tbl>
    <w:p w14:paraId="72E9A32B" w14:textId="77777777" w:rsidR="00026EBE" w:rsidRDefault="00026EBE" w:rsidP="00026EBE">
      <w:pPr>
        <w:pStyle w:val="Tabledescription"/>
      </w:pPr>
      <w:r>
        <w:t>**Octocrylene is approved as a UV filter in cosmetic formulation at ≤10% (as acid) in both Europe (Annex VI/10) and USA. The specific migration limit (SML) of octocrylene from food contact materials is 0.05 mg/kg (FDA 2018); European Parliament and the Council (2009); Restriction in EU - Benzophenone as an impurity and/or degradation product of Octocrylene shall be kept at trace level.</w:t>
      </w:r>
    </w:p>
    <w:p w14:paraId="0825AB3A" w14:textId="77777777" w:rsidR="00026EBE" w:rsidRDefault="00026EBE" w:rsidP="00026EBE">
      <w:pPr>
        <w:pStyle w:val="Tabledescription"/>
      </w:pPr>
      <w:proofErr w:type="spellStart"/>
      <w:r>
        <w:t>ϯEU</w:t>
      </w:r>
      <w:proofErr w:type="spellEnd"/>
      <w:r>
        <w:t xml:space="preserve">: Annex VI, Regulation (EC) No. 1223/2009; γ EU: cosmetics directive in annex VII, part 1 list of permitted UV filters under entry </w:t>
      </w:r>
      <w:proofErr w:type="gramStart"/>
      <w:r>
        <w:t>6;</w:t>
      </w:r>
      <w:proofErr w:type="gramEnd"/>
      <w:r>
        <w:t xml:space="preserve"> </w:t>
      </w:r>
    </w:p>
    <w:p w14:paraId="28267443" w14:textId="77777777" w:rsidR="00026EBE" w:rsidRDefault="00026EBE" w:rsidP="00026EBE">
      <w:pPr>
        <w:pStyle w:val="Tabledescription"/>
      </w:pPr>
      <w:r>
        <w:t>∆ Annex VI/4, oxybenzone is also allowed at concentrations of up to 0.5 % to protect product formulations in all other cosmetic products (Annex VI/4).</w:t>
      </w:r>
    </w:p>
    <w:p w14:paraId="6646FDE9" w14:textId="77777777" w:rsidR="00026EBE" w:rsidRDefault="00026EBE" w:rsidP="00026EBE">
      <w:pPr>
        <w:pStyle w:val="Heading3"/>
      </w:pPr>
      <w:bookmarkStart w:id="18" w:name="_Toc173830112"/>
      <w:bookmarkStart w:id="19" w:name="_Toc189819947"/>
      <w:bookmarkStart w:id="20" w:name="_Toc100664699"/>
      <w:bookmarkStart w:id="21" w:name="_Toc157439269"/>
      <w:bookmarkStart w:id="22" w:name="_Toc190081217"/>
      <w:r>
        <w:t>Literature search summary</w:t>
      </w:r>
      <w:bookmarkEnd w:id="18"/>
      <w:bookmarkEnd w:id="19"/>
      <w:bookmarkEnd w:id="22"/>
    </w:p>
    <w:p w14:paraId="4C87D01A" w14:textId="77777777" w:rsidR="00026EBE" w:rsidRPr="0074486E" w:rsidRDefault="00026EBE" w:rsidP="00E94C79">
      <w:pPr>
        <w:pStyle w:val="Heading4"/>
      </w:pPr>
      <w:bookmarkStart w:id="23" w:name="_Toc173830113"/>
      <w:bookmarkStart w:id="24" w:name="_Toc189819948"/>
      <w:bookmarkStart w:id="25" w:name="_Toc190081218"/>
      <w:r w:rsidRPr="0074486E">
        <w:t>Method of data search</w:t>
      </w:r>
      <w:bookmarkEnd w:id="20"/>
      <w:bookmarkEnd w:id="21"/>
      <w:bookmarkEnd w:id="23"/>
      <w:bookmarkEnd w:id="24"/>
      <w:bookmarkEnd w:id="25"/>
      <w:r w:rsidRPr="0074486E">
        <w:t xml:space="preserve"> </w:t>
      </w:r>
    </w:p>
    <w:p w14:paraId="114743F9" w14:textId="77777777" w:rsidR="00026EBE" w:rsidRPr="0074486E" w:rsidRDefault="00026EBE" w:rsidP="00026EBE">
      <w:r>
        <w:t>The</w:t>
      </w:r>
      <w:r w:rsidRPr="0074486E">
        <w:t xml:space="preserve"> literature review was conducted </w:t>
      </w:r>
      <w:r>
        <w:t>using k</w:t>
      </w:r>
      <w:r w:rsidRPr="0074486E">
        <w:t xml:space="preserve">eywords </w:t>
      </w:r>
      <w:r>
        <w:t xml:space="preserve">such as </w:t>
      </w:r>
      <w:r w:rsidRPr="0074486E">
        <w:t>the chemical name,</w:t>
      </w:r>
      <w:r>
        <w:t xml:space="preserve"> Australian Approved Name (</w:t>
      </w:r>
      <w:r w:rsidRPr="0074486E">
        <w:t>AAN</w:t>
      </w:r>
      <w:r>
        <w:t>)</w:t>
      </w:r>
      <w:r w:rsidRPr="0074486E">
        <w:t xml:space="preserve"> or the </w:t>
      </w:r>
      <w:r>
        <w:t>International Nomenclature Cosmetic Ingredient (</w:t>
      </w:r>
      <w:r w:rsidRPr="0074486E">
        <w:t>INCI</w:t>
      </w:r>
      <w:r>
        <w:t>)</w:t>
      </w:r>
      <w:r w:rsidRPr="0074486E">
        <w:t xml:space="preserve"> names, and “sunscreen” as the search items. Publications </w:t>
      </w:r>
      <w:r>
        <w:t>during a</w:t>
      </w:r>
      <w:r w:rsidRPr="0074486E">
        <w:t xml:space="preserve"> </w:t>
      </w:r>
      <w:r>
        <w:t>15</w:t>
      </w:r>
      <w:r w:rsidRPr="0074486E">
        <w:t>-year</w:t>
      </w:r>
      <w:r>
        <w:t xml:space="preserve"> period</w:t>
      </w:r>
      <w:r w:rsidRPr="0074486E">
        <w:t xml:space="preserve"> were searched (</w:t>
      </w:r>
      <w:r>
        <w:t xml:space="preserve">between </w:t>
      </w:r>
      <w:r w:rsidRPr="0074486E">
        <w:t>2008</w:t>
      </w:r>
      <w:r>
        <w:t xml:space="preserve"> and March </w:t>
      </w:r>
      <w:r w:rsidRPr="0074486E">
        <w:t>202</w:t>
      </w:r>
      <w:r>
        <w:t>3</w:t>
      </w:r>
      <w:r w:rsidRPr="0074486E">
        <w:t>)</w:t>
      </w:r>
      <w:bookmarkStart w:id="26" w:name="_Hlk172709947"/>
      <w:r w:rsidRPr="002C7324">
        <w:t>.</w:t>
      </w:r>
      <w:bookmarkEnd w:id="26"/>
      <w:r>
        <w:rPr>
          <w:color w:val="00B050"/>
        </w:rPr>
        <w:t xml:space="preserve"> </w:t>
      </w:r>
      <w:r>
        <w:t xml:space="preserve">See the Appendix </w:t>
      </w:r>
      <w:r>
        <w:fldChar w:fldCharType="begin"/>
      </w:r>
      <w:r>
        <w:instrText xml:space="preserve"> REF _Ref88819380 \r \h </w:instrText>
      </w:r>
      <w:r>
        <w:fldChar w:fldCharType="separate"/>
      </w:r>
      <w:r>
        <w:t>0</w:t>
      </w:r>
      <w:r>
        <w:fldChar w:fldCharType="end"/>
      </w:r>
      <w:r>
        <w:t xml:space="preserve"> for details. </w:t>
      </w:r>
    </w:p>
    <w:p w14:paraId="760768B7" w14:textId="77777777" w:rsidR="00026EBE" w:rsidRPr="0074486E" w:rsidRDefault="00026EBE" w:rsidP="00026EBE">
      <w:r w:rsidRPr="0074486E">
        <w:t xml:space="preserve">In summary, the following data sources have been used for the literature search: </w:t>
      </w:r>
    </w:p>
    <w:p w14:paraId="15493CB4" w14:textId="77777777" w:rsidR="00026EBE" w:rsidRPr="0074486E" w:rsidRDefault="00026EBE" w:rsidP="00026EBE">
      <w:pPr>
        <w:pStyle w:val="ListBullet"/>
      </w:pPr>
      <w:r w:rsidRPr="0074486E">
        <w:t>Assessments from national regulatory agencies (e.g., AICIS, previously known as NICNAS) where available.</w:t>
      </w:r>
    </w:p>
    <w:p w14:paraId="35AA818F" w14:textId="77777777" w:rsidR="00026EBE" w:rsidRPr="0074486E" w:rsidRDefault="00026EBE" w:rsidP="00026EBE">
      <w:pPr>
        <w:pStyle w:val="ListBullet"/>
      </w:pPr>
      <w:r w:rsidRPr="0074486E">
        <w:t>Opinions from the Scientific Committee on Consumer Safety (SCCS, previously known as SCC</w:t>
      </w:r>
      <w:r>
        <w:t>NFP</w:t>
      </w:r>
      <w:r w:rsidRPr="0074486E">
        <w:t>/SCCP</w:t>
      </w:r>
      <w:r>
        <w:t>/SCC</w:t>
      </w:r>
      <w:r w:rsidRPr="0074486E">
        <w:t>) where available.</w:t>
      </w:r>
      <w:r w:rsidRPr="0074486E">
        <w:rPr>
          <w:rStyle w:val="FootnoteReference"/>
          <w:sz w:val="22"/>
        </w:rPr>
        <w:footnoteReference w:id="3"/>
      </w:r>
      <w:r w:rsidRPr="0074486E">
        <w:t xml:space="preserve"> </w:t>
      </w:r>
    </w:p>
    <w:p w14:paraId="69391F51" w14:textId="77777777" w:rsidR="00026EBE" w:rsidRPr="0074486E" w:rsidRDefault="00026EBE" w:rsidP="00026EBE">
      <w:pPr>
        <w:pStyle w:val="ListBullet"/>
      </w:pPr>
      <w:r w:rsidRPr="0074486E">
        <w:t>Information identified through literature search in PubMed and on the internet where a newer SCCS is not available.</w:t>
      </w:r>
    </w:p>
    <w:p w14:paraId="4F73547F" w14:textId="77777777" w:rsidR="00026EBE" w:rsidRPr="0074486E" w:rsidRDefault="00026EBE" w:rsidP="00026EBE">
      <w:pPr>
        <w:pStyle w:val="ListBullet"/>
      </w:pPr>
      <w:r w:rsidRPr="0074486E">
        <w:t>The publicly available registration dossiers for the ingredients submitted by industry under the EU REACH</w:t>
      </w:r>
      <w:r w:rsidRPr="00D47D55" w:rsidDel="00D47D55">
        <w:rPr>
          <w:rStyle w:val="FootnoteReference"/>
          <w:sz w:val="22"/>
        </w:rPr>
        <w:t xml:space="preserve"> </w:t>
      </w:r>
      <w:r>
        <w:t>(</w:t>
      </w:r>
      <w:r w:rsidRPr="00470F7D">
        <w:t>Registration, Evaluation, Authorisation and Restriction of Chemicals</w:t>
      </w:r>
      <w:r>
        <w:t>)</w:t>
      </w:r>
      <w:r w:rsidRPr="0074486E">
        <w:t xml:space="preserve"> Regulation and available on the website of the European Chemicals Agency (ECHA). This information includes unpublished study summaries submitted by industry, in response to the standard data requirements of the REACH Regulation. Data from key studies in the registration dossiers have been considered </w:t>
      </w:r>
      <w:r>
        <w:t>for assessment in</w:t>
      </w:r>
      <w:r w:rsidRPr="0074486E">
        <w:t xml:space="preserve"> this review. </w:t>
      </w:r>
    </w:p>
    <w:p w14:paraId="167D5F76" w14:textId="77777777" w:rsidR="00026EBE" w:rsidRPr="0074486E" w:rsidRDefault="00026EBE" w:rsidP="00026EBE">
      <w:r w:rsidRPr="0074486E">
        <w:t xml:space="preserve">Information on the health hazards is available for all the selected ingredients considered, although the amount of information available varies considerably and does not cover all toxicological endpoints for all ingredients. Endocrine </w:t>
      </w:r>
      <w:r>
        <w:t>activity modulation</w:t>
      </w:r>
      <w:r w:rsidRPr="0074486E">
        <w:t xml:space="preserve"> properties of ingredients may give rise to a concern for human health. The evaluation of endocrine </w:t>
      </w:r>
      <w:r>
        <w:t>activity modulation</w:t>
      </w:r>
      <w:r w:rsidRPr="0074486E">
        <w:t xml:space="preserve"> properties was described collectively. Of note, all articles dealing with environmental </w:t>
      </w:r>
      <w:r>
        <w:t>matters</w:t>
      </w:r>
      <w:r w:rsidRPr="0074486E">
        <w:t xml:space="preserve"> </w:t>
      </w:r>
      <w:r>
        <w:t>relating to</w:t>
      </w:r>
      <w:r w:rsidRPr="0074486E">
        <w:t xml:space="preserve"> the ingredients were excluded</w:t>
      </w:r>
      <w:r>
        <w:t xml:space="preserve"> as they do not fall under Australian therapeutic goods legislation</w:t>
      </w:r>
      <w:r w:rsidRPr="0074486E">
        <w:t>.</w:t>
      </w:r>
    </w:p>
    <w:p w14:paraId="62C3E4BE" w14:textId="77777777" w:rsidR="00026EBE" w:rsidRDefault="00026EBE" w:rsidP="00026EBE">
      <w:pPr>
        <w:pStyle w:val="Heading2"/>
      </w:pPr>
      <w:bookmarkStart w:id="27" w:name="_Toc296419618"/>
      <w:bookmarkStart w:id="28" w:name="_Toc100664702"/>
      <w:bookmarkStart w:id="29" w:name="_Toc157439272"/>
      <w:bookmarkStart w:id="30" w:name="_Toc173830114"/>
      <w:bookmarkStart w:id="31" w:name="_Toc189819949"/>
      <w:bookmarkStart w:id="32" w:name="_Ref87951856"/>
      <w:bookmarkStart w:id="33" w:name="_Toc190081219"/>
      <w:r w:rsidRPr="0074486E">
        <w:t>Pharmacokinetics</w:t>
      </w:r>
      <w:bookmarkEnd w:id="27"/>
      <w:bookmarkEnd w:id="28"/>
      <w:bookmarkEnd w:id="29"/>
      <w:bookmarkEnd w:id="30"/>
      <w:bookmarkEnd w:id="31"/>
      <w:bookmarkEnd w:id="33"/>
    </w:p>
    <w:bookmarkEnd w:id="32"/>
    <w:p w14:paraId="102B33AE" w14:textId="77777777" w:rsidR="00026EBE" w:rsidRPr="002D45A6" w:rsidRDefault="00026EBE" w:rsidP="00026EBE">
      <w:r>
        <w:t>The main safety concerns for these active ingredients arise from the knowledge gap around the toxicokinetic and pharmacokinetics data. C</w:t>
      </w:r>
      <w:r w:rsidRPr="002A0321">
        <w:t xml:space="preserve">utaneous </w:t>
      </w:r>
      <w:r w:rsidRPr="006B4310">
        <w:t>permeation</w:t>
      </w:r>
      <w:r w:rsidRPr="002A0321">
        <w:t xml:space="preserve"> is a critical parameter</w:t>
      </w:r>
      <w:r>
        <w:t xml:space="preserve"> in the kinetics of these active ingredients</w:t>
      </w:r>
      <w:r w:rsidRPr="002A0321">
        <w:t>. Although most organic</w:t>
      </w:r>
      <w:r>
        <w:t xml:space="preserve"> </w:t>
      </w:r>
      <w:r w:rsidRPr="002A0321">
        <w:t xml:space="preserve">UV filters are lipophilic, </w:t>
      </w:r>
      <w:r w:rsidRPr="009C5979">
        <w:rPr>
          <w:i/>
          <w:iCs/>
        </w:rPr>
        <w:t>in vitro</w:t>
      </w:r>
      <w:r w:rsidRPr="002A0321">
        <w:t xml:space="preserve"> cell</w:t>
      </w:r>
      <w:r>
        <w:t xml:space="preserve"> </w:t>
      </w:r>
      <w:r w:rsidRPr="006B4310">
        <w:t>permeation</w:t>
      </w:r>
      <w:r w:rsidRPr="002A0321">
        <w:t xml:space="preserve"> studies</w:t>
      </w:r>
      <w:r>
        <w:t xml:space="preserve"> were also conducted with some of these ingredients to</w:t>
      </w:r>
      <w:r w:rsidRPr="002A0321">
        <w:t xml:space="preserve"> </w:t>
      </w:r>
      <w:r>
        <w:t xml:space="preserve">demonstrate </w:t>
      </w:r>
      <w:r w:rsidRPr="002A0321">
        <w:t xml:space="preserve">systemic absorption by intact skin. </w:t>
      </w:r>
      <w:r>
        <w:t xml:space="preserve">Dermal absorption data from either relevant SCCS opinion, ECHA dossiers, AICIS assessments or published literature were reviewed in this document. Limited </w:t>
      </w:r>
      <w:r w:rsidRPr="006B4310">
        <w:t>permeation</w:t>
      </w:r>
      <w:r>
        <w:t xml:space="preserve"> data were noted for some active ingredients. I</w:t>
      </w:r>
      <w:r w:rsidRPr="002D45A6">
        <w:t>n the absence of dermal toxicity data, oral toxicity data w</w:t>
      </w:r>
      <w:r>
        <w:t>ere</w:t>
      </w:r>
      <w:r w:rsidRPr="002D45A6">
        <w:t xml:space="preserve"> considered </w:t>
      </w:r>
      <w:r>
        <w:t xml:space="preserve">when considering systemic toxicity in the </w:t>
      </w:r>
      <w:r w:rsidRPr="002D45A6">
        <w:t xml:space="preserve">worst-case scenario. </w:t>
      </w:r>
      <w:r>
        <w:t>Where appropriate, the dermal absorption value from the most recent SCCS opinions for the relevant active ingredients, were noted. Note that dermal absorption values apply to intact skin and may not be applicable for abraded skin or areas of sensitive skin e.g. lips.</w:t>
      </w:r>
    </w:p>
    <w:p w14:paraId="646A47D7" w14:textId="77777777" w:rsidR="00026EBE" w:rsidRPr="0074486E" w:rsidRDefault="00026EBE" w:rsidP="00E94C79">
      <w:pPr>
        <w:pStyle w:val="Heading4"/>
      </w:pPr>
      <w:bookmarkStart w:id="34" w:name="_Toc100664703"/>
      <w:bookmarkStart w:id="35" w:name="_Toc157439273"/>
      <w:bookmarkStart w:id="36" w:name="_Toc173830115"/>
      <w:bookmarkStart w:id="37" w:name="_Toc189819950"/>
      <w:bookmarkStart w:id="38" w:name="_Toc190081220"/>
      <w:r w:rsidRPr="0074486E">
        <w:t>Avobenzone</w:t>
      </w:r>
      <w:bookmarkEnd w:id="34"/>
      <w:bookmarkEnd w:id="35"/>
      <w:bookmarkEnd w:id="36"/>
      <w:bookmarkEnd w:id="37"/>
      <w:bookmarkEnd w:id="38"/>
      <w:r w:rsidRPr="0074486E">
        <w:t xml:space="preserve"> </w:t>
      </w:r>
    </w:p>
    <w:p w14:paraId="5C52F4B2" w14:textId="77777777" w:rsidR="00026EBE" w:rsidRPr="00F51D16" w:rsidRDefault="00026EBE" w:rsidP="00026EBE">
      <w:r w:rsidRPr="008C5D86">
        <w:t xml:space="preserve">The molecular weight of </w:t>
      </w:r>
      <w:r>
        <w:t>avobenzone</w:t>
      </w:r>
      <w:r w:rsidRPr="008C5D86">
        <w:t xml:space="preserve"> is in the range (MW &lt; 500 D) where skin penetration can </w:t>
      </w:r>
      <w:proofErr w:type="gramStart"/>
      <w:r w:rsidRPr="008C5D86">
        <w:t>occur</w:t>
      </w:r>
      <w:proofErr w:type="gramEnd"/>
      <w:r w:rsidRPr="008C5D86">
        <w:t xml:space="preserve"> but the log P</w:t>
      </w:r>
      <w:r w:rsidRPr="009F5266">
        <w:rPr>
          <w:vertAlign w:val="subscript"/>
        </w:rPr>
        <w:t>ow</w:t>
      </w:r>
      <w:r w:rsidRPr="008C5D86">
        <w:t xml:space="preserve"> is slightly above the range favouring penetration (log P</w:t>
      </w:r>
      <w:r w:rsidRPr="009F5266">
        <w:rPr>
          <w:vertAlign w:val="subscript"/>
        </w:rPr>
        <w:t xml:space="preserve">ow </w:t>
      </w:r>
      <w:r w:rsidRPr="008C5D86">
        <w:t xml:space="preserve">in range -1 to +4). </w:t>
      </w:r>
      <w:r>
        <w:t xml:space="preserve">Avobenzone has a low </w:t>
      </w:r>
      <w:r w:rsidRPr="008C5D86">
        <w:t xml:space="preserve">water solubility. </w:t>
      </w:r>
      <w:r>
        <w:t>B</w:t>
      </w:r>
      <w:r w:rsidRPr="00F51D16">
        <w:t xml:space="preserve">ased on these </w:t>
      </w:r>
      <w:proofErr w:type="spellStart"/>
      <w:r w:rsidRPr="00F51D16">
        <w:t>physico</w:t>
      </w:r>
      <w:proofErr w:type="spellEnd"/>
      <w:r w:rsidRPr="00F51D16">
        <w:t>-chemical data, only low dermal penetration is expected.</w:t>
      </w:r>
    </w:p>
    <w:p w14:paraId="75823896" w14:textId="77777777" w:rsidR="00026EBE" w:rsidRDefault="00026EBE" w:rsidP="00026EBE">
      <w:r>
        <w:t>The toxicokinetic data for avobenzone were assessed in ECHA 2021 (</w:t>
      </w:r>
      <w:r w:rsidRPr="0074486E">
        <w:t>ECHA 2021A)</w:t>
      </w:r>
      <w:r>
        <w:t xml:space="preserve">. The executive summary of the assessed data is given below (for details see </w:t>
      </w:r>
      <w:r w:rsidRPr="0074486E">
        <w:t>ECHA 2021A</w:t>
      </w:r>
      <w:r>
        <w:t xml:space="preserve">). </w:t>
      </w:r>
    </w:p>
    <w:p w14:paraId="1FC1D039" w14:textId="77777777" w:rsidR="00026EBE" w:rsidRPr="008C5D86" w:rsidRDefault="00026EBE" w:rsidP="00026EBE">
      <w:pPr>
        <w:pStyle w:val="ListBullet"/>
      </w:pPr>
      <w:r w:rsidRPr="008C5D86">
        <w:t xml:space="preserve">In a </w:t>
      </w:r>
      <w:proofErr w:type="gramStart"/>
      <w:r w:rsidRPr="008C5D86">
        <w:t>21 day</w:t>
      </w:r>
      <w:proofErr w:type="gramEnd"/>
      <w:r w:rsidRPr="008C5D86">
        <w:t xml:space="preserve"> dermal rabbit toxicity study (Keller 1980), </w:t>
      </w:r>
      <w:r>
        <w:t>there was an</w:t>
      </w:r>
      <w:r w:rsidRPr="008C5D86">
        <w:t xml:space="preserve"> absence of a biological response </w:t>
      </w:r>
      <w:r>
        <w:t>(</w:t>
      </w:r>
      <w:r w:rsidRPr="008C5D86">
        <w:t xml:space="preserve">no adverse effects were observed in rats up to the high dose of 360 mg/kg </w:t>
      </w:r>
      <w:proofErr w:type="spellStart"/>
      <w:r w:rsidRPr="008C5D86">
        <w:t>bw</w:t>
      </w:r>
      <w:proofErr w:type="spellEnd"/>
      <w:r w:rsidRPr="008C5D86">
        <w:t>/day, both in groups with intact skin or with abraded skin),</w:t>
      </w:r>
      <w:r>
        <w:t xml:space="preserve"> and</w:t>
      </w:r>
      <w:r w:rsidRPr="008C5D86">
        <w:t xml:space="preserve"> there was no indication of systemic bioavailability following dermal exposure.</w:t>
      </w:r>
    </w:p>
    <w:p w14:paraId="695DECC0" w14:textId="77777777" w:rsidR="00026EBE" w:rsidRPr="008C5D86" w:rsidRDefault="00026EBE" w:rsidP="00026EBE">
      <w:pPr>
        <w:pStyle w:val="ListBullet"/>
      </w:pPr>
      <w:r w:rsidRPr="008A6B9A">
        <w:rPr>
          <w:i/>
          <w:iCs/>
        </w:rPr>
        <w:t>In vitro</w:t>
      </w:r>
      <w:r w:rsidRPr="008C5D86">
        <w:t xml:space="preserve"> studies with isolated pig skin using </w:t>
      </w:r>
      <w:r w:rsidRPr="008C5D86">
        <w:rPr>
          <w:vertAlign w:val="superscript"/>
        </w:rPr>
        <w:t>14</w:t>
      </w:r>
      <w:r w:rsidRPr="008C5D86">
        <w:t>C-labelled BMBDM</w:t>
      </w:r>
      <w:r>
        <w:t xml:space="preserve"> (avobenzone)</w:t>
      </w:r>
      <w:r w:rsidRPr="008C5D86">
        <w:t xml:space="preserve"> at a concentration of 2</w:t>
      </w:r>
      <w:r>
        <w:t>% or 7.5</w:t>
      </w:r>
      <w:r w:rsidRPr="008C5D86">
        <w:t xml:space="preserve"> % in cream formulations exposed for 6 hours, showed that majority of the topically applied BMDBM remained on the skin surface</w:t>
      </w:r>
      <w:r>
        <w:t xml:space="preserve"> (95%)</w:t>
      </w:r>
      <w:r w:rsidRPr="008C5D86">
        <w:t>,</w:t>
      </w:r>
      <w:r>
        <w:t xml:space="preserve"> </w:t>
      </w:r>
      <w:r w:rsidRPr="008C5D86">
        <w:t>1.0-1.7% were found on the stratum corneum, 0.9-3.4% absorbed in the skin and only a minimum (≤ 0.5%) was found to pass the skin. Briefly, the results indicate a low penetration rate of avobenzone when applied on pig skin (up to 1.5 % of applied radioactivity 6 h post application). Dermal penetration in pig skin was not influenced by UV light (</w:t>
      </w:r>
      <w:r w:rsidRPr="0074486E">
        <w:t>ECHA 2021A</w:t>
      </w:r>
      <w:r w:rsidRPr="008C5D86">
        <w:t xml:space="preserve">). </w:t>
      </w:r>
    </w:p>
    <w:p w14:paraId="53507DFB" w14:textId="77777777" w:rsidR="00026EBE" w:rsidRPr="008C5D86" w:rsidRDefault="00026EBE" w:rsidP="00026EBE">
      <w:pPr>
        <w:pStyle w:val="ListBullet"/>
      </w:pPr>
      <w:r w:rsidRPr="0014353A">
        <w:t>In an</w:t>
      </w:r>
      <w:r>
        <w:rPr>
          <w:i/>
          <w:iCs/>
        </w:rPr>
        <w:t xml:space="preserve"> </w:t>
      </w:r>
      <w:r w:rsidRPr="008A6B9A">
        <w:rPr>
          <w:i/>
          <w:iCs/>
        </w:rPr>
        <w:t>in vitro</w:t>
      </w:r>
      <w:r w:rsidRPr="0014353A">
        <w:t xml:space="preserve"> study (DSM 1982) with </w:t>
      </w:r>
      <w:r w:rsidRPr="0014353A">
        <w:rPr>
          <w:vertAlign w:val="superscript"/>
        </w:rPr>
        <w:t>14</w:t>
      </w:r>
      <w:r w:rsidRPr="0014353A">
        <w:t>C-labelled BMDBM</w:t>
      </w:r>
      <w:r>
        <w:t xml:space="preserve"> (avobenzone)</w:t>
      </w:r>
      <w:r w:rsidRPr="0014353A">
        <w:t xml:space="preserve"> using isolated human abdominal cadaver skin, up to 2.7 % of the applied radioactivity was observed in the epidermis, 7.3 % in the dermis 18 hr post dose but no activity was found in the collection fluid at any time and lower skin corium contained only 0.34 % after the longest exposure period</w:t>
      </w:r>
      <w:r>
        <w:t xml:space="preserve"> (</w:t>
      </w:r>
      <w:r w:rsidRPr="0074486E">
        <w:t>ECHA 2021A</w:t>
      </w:r>
      <w:r>
        <w:t>).</w:t>
      </w:r>
    </w:p>
    <w:p w14:paraId="51FDE62A" w14:textId="77777777" w:rsidR="00026EBE" w:rsidRPr="0014353A" w:rsidRDefault="00026EBE" w:rsidP="00026EBE">
      <w:pPr>
        <w:pStyle w:val="ListBullet"/>
      </w:pPr>
      <w:r w:rsidRPr="0014353A">
        <w:t xml:space="preserve">A human </w:t>
      </w:r>
      <w:r w:rsidRPr="0014353A">
        <w:rPr>
          <w:i/>
          <w:iCs/>
        </w:rPr>
        <w:t>in vivo</w:t>
      </w:r>
      <w:r w:rsidRPr="0014353A">
        <w:t xml:space="preserve"> study also indicate</w:t>
      </w:r>
      <w:r>
        <w:t>d</w:t>
      </w:r>
      <w:r w:rsidRPr="0014353A">
        <w:t xml:space="preserve"> a very low level of systemic penetration of BMDBM</w:t>
      </w:r>
      <w:r>
        <w:t xml:space="preserve"> (avobenzone)</w:t>
      </w:r>
      <w:r w:rsidRPr="008C5D86">
        <w:t xml:space="preserve"> </w:t>
      </w:r>
      <w:r w:rsidRPr="0014353A">
        <w:t>or its metabolites. In the study, a preliminary study (occluded) was followed by the main study where human volunteers were exposed to a 10% solution of </w:t>
      </w:r>
      <w:r w:rsidRPr="0014353A">
        <w:rPr>
          <w:vertAlign w:val="superscript"/>
        </w:rPr>
        <w:t>14</w:t>
      </w:r>
      <w:r w:rsidRPr="0014353A">
        <w:t xml:space="preserve">C-labelled BMBDM in </w:t>
      </w:r>
      <w:proofErr w:type="spellStart"/>
      <w:r w:rsidRPr="0014353A">
        <w:t>carbitol</w:t>
      </w:r>
      <w:proofErr w:type="spellEnd"/>
      <w:r w:rsidRPr="0014353A">
        <w:t xml:space="preserve"> for 8 hours.</w:t>
      </w:r>
      <w:r w:rsidRPr="008C5D86">
        <w:rPr>
          <w:rStyle w:val="FootnoteReference"/>
          <w:sz w:val="22"/>
        </w:rPr>
        <w:footnoteReference w:id="4"/>
      </w:r>
      <w:r w:rsidRPr="0014353A">
        <w:t xml:space="preserve"> The amounts of BMDBM found in the urine were 0.08 and 0.016 % for the occluded and non-occluded experiment, respectively. No radioactivity was found in the blood or faeces in any subject. Therefore, these data confirm only a very low level of systemic penetration of BMDBM or its metabolites</w:t>
      </w:r>
      <w:r>
        <w:t xml:space="preserve"> (</w:t>
      </w:r>
      <w:r w:rsidRPr="0074486E">
        <w:t>ECHA 2021A</w:t>
      </w:r>
      <w:r>
        <w:t>).</w:t>
      </w:r>
    </w:p>
    <w:p w14:paraId="1473CD40" w14:textId="77777777" w:rsidR="00026EBE" w:rsidRDefault="00026EBE" w:rsidP="00026EBE">
      <w:r>
        <w:t>A</w:t>
      </w:r>
      <w:r w:rsidRPr="0074486E">
        <w:t xml:space="preserve"> recent study demonstrated that there was very poor skin permeation of avobenzone after single or repeated applications</w:t>
      </w:r>
      <w:r>
        <w:t xml:space="preserve"> of sunscreens </w:t>
      </w:r>
      <w:r w:rsidRPr="0074486E">
        <w:t xml:space="preserve">(Montenegro </w:t>
      </w:r>
      <w:r w:rsidRPr="0074486E">
        <w:rPr>
          <w:i/>
        </w:rPr>
        <w:t xml:space="preserve">et al. </w:t>
      </w:r>
      <w:r w:rsidRPr="0074486E">
        <w:t>2018).</w:t>
      </w:r>
      <w:r>
        <w:t xml:space="preserve"> However, r</w:t>
      </w:r>
      <w:r w:rsidRPr="0074486E">
        <w:t>ecent randomised clinical trials indicate that avobenzone was systemically absorbed in human</w:t>
      </w:r>
      <w:r>
        <w:t>s</w:t>
      </w:r>
      <w:r w:rsidRPr="0074486E">
        <w:t xml:space="preserve"> </w:t>
      </w:r>
      <w:r w:rsidRPr="00D47D0D">
        <w:t>(</w:t>
      </w:r>
      <w:bookmarkStart w:id="39" w:name="_Hlk173138476"/>
      <w:r>
        <w:t>s</w:t>
      </w:r>
      <w:r w:rsidRPr="00D47D0D">
        <w:t xml:space="preserve">ee </w:t>
      </w:r>
      <w:hyperlink w:anchor="_Clinical_trials" w:history="1">
        <w:r w:rsidRPr="000F183B">
          <w:rPr>
            <w:rStyle w:val="Hyperlink"/>
            <w:b/>
            <w:bCs/>
          </w:rPr>
          <w:t>Clinical Trials</w:t>
        </w:r>
      </w:hyperlink>
      <w:bookmarkEnd w:id="39"/>
      <w:r w:rsidRPr="002C7324">
        <w:t>).</w:t>
      </w:r>
    </w:p>
    <w:p w14:paraId="3995CA9F" w14:textId="77777777" w:rsidR="00026EBE" w:rsidRPr="00CE76A7" w:rsidRDefault="00026EBE" w:rsidP="00026EBE">
      <w:r w:rsidRPr="00CE76A7">
        <w:t>In the absence of further kinetic data for avobenzone</w:t>
      </w:r>
      <w:r>
        <w:t xml:space="preserve"> and</w:t>
      </w:r>
      <w:r w:rsidRPr="00CE76A7">
        <w:t xml:space="preserve"> based on the data from the </w:t>
      </w:r>
      <w:r w:rsidRPr="008A6B9A">
        <w:rPr>
          <w:i/>
        </w:rPr>
        <w:t>in vitro</w:t>
      </w:r>
      <w:r w:rsidRPr="00CE76A7">
        <w:t xml:space="preserve"> study using isolated human abdominal cadaver skin (</w:t>
      </w:r>
      <w:r w:rsidRPr="00003338">
        <w:t>(ECHA 2021A</w:t>
      </w:r>
      <w:r w:rsidRPr="00CE76A7">
        <w:t xml:space="preserve">), </w:t>
      </w:r>
      <w:r w:rsidRPr="00D55C27">
        <w:rPr>
          <w:b/>
          <w:bCs/>
        </w:rPr>
        <w:t>a 7.3% dermal absorption</w:t>
      </w:r>
      <w:r w:rsidRPr="00CE76A7">
        <w:t xml:space="preserve"> of avobenzone was assumed. </w:t>
      </w:r>
    </w:p>
    <w:p w14:paraId="428AFC58" w14:textId="77777777" w:rsidR="00026EBE" w:rsidRPr="0074486E" w:rsidRDefault="00026EBE" w:rsidP="00E94C79">
      <w:pPr>
        <w:pStyle w:val="Heading4"/>
      </w:pPr>
      <w:bookmarkStart w:id="40" w:name="_Toc100664704"/>
      <w:bookmarkStart w:id="41" w:name="_Toc157439274"/>
      <w:bookmarkStart w:id="42" w:name="_Toc173830116"/>
      <w:bookmarkStart w:id="43" w:name="_Toc189819951"/>
      <w:bookmarkStart w:id="44" w:name="_Toc190081221"/>
      <w:r w:rsidRPr="0074486E">
        <w:t>Ethylhexyl triazone</w:t>
      </w:r>
      <w:bookmarkEnd w:id="40"/>
      <w:bookmarkEnd w:id="41"/>
      <w:bookmarkEnd w:id="42"/>
      <w:bookmarkEnd w:id="43"/>
      <w:bookmarkEnd w:id="44"/>
    </w:p>
    <w:p w14:paraId="68FF99DA" w14:textId="77777777" w:rsidR="00026EBE" w:rsidRPr="00FD6E3B" w:rsidRDefault="00026EBE" w:rsidP="00026EBE">
      <w:pPr>
        <w:rPr>
          <w:rFonts w:asciiTheme="minorHAnsi" w:hAnsiTheme="minorHAnsi" w:cstheme="minorHAnsi"/>
        </w:rPr>
      </w:pPr>
      <w:r w:rsidRPr="00FD6E3B">
        <w:rPr>
          <w:rFonts w:asciiTheme="minorHAnsi" w:hAnsiTheme="minorHAnsi" w:cstheme="minorHAnsi"/>
        </w:rPr>
        <w:t>No specific pharmacokinetic data are available for ethylhexyl triazone. The ingredient is expected to have low oral and dermal bioavailability based on its physiochemical properties (Molecular weight &gt; 500 Dalton and Log P</w:t>
      </w:r>
      <w:r w:rsidRPr="00FD6E3B">
        <w:rPr>
          <w:rFonts w:asciiTheme="minorHAnsi" w:hAnsiTheme="minorHAnsi" w:cstheme="minorHAnsi"/>
          <w:vertAlign w:val="subscript"/>
        </w:rPr>
        <w:t>ow</w:t>
      </w:r>
      <w:r w:rsidRPr="00FD6E3B">
        <w:rPr>
          <w:rFonts w:asciiTheme="minorHAnsi" w:hAnsiTheme="minorHAnsi" w:cstheme="minorHAnsi"/>
        </w:rPr>
        <w:t xml:space="preserve"> &gt; 4; Table 2.1)  </w:t>
      </w:r>
    </w:p>
    <w:p w14:paraId="30BE30E4" w14:textId="77777777" w:rsidR="00026EBE" w:rsidRPr="00FD6E3B" w:rsidRDefault="00026EBE" w:rsidP="00026EBE">
      <w:pPr>
        <w:pStyle w:val="Standard"/>
        <w:rPr>
          <w:rFonts w:asciiTheme="minorHAnsi" w:hAnsiTheme="minorHAnsi" w:cstheme="minorHAnsi"/>
          <w:sz w:val="20"/>
          <w:szCs w:val="20"/>
        </w:rPr>
      </w:pPr>
      <w:r w:rsidRPr="00FD6E3B">
        <w:rPr>
          <w:rFonts w:asciiTheme="minorHAnsi" w:hAnsiTheme="minorHAnsi" w:cstheme="minorHAnsi"/>
          <w:sz w:val="20"/>
          <w:szCs w:val="20"/>
        </w:rPr>
        <w:t xml:space="preserve">Ethylhexyl triazone did not penetrate the receptor fluid in an </w:t>
      </w:r>
      <w:r w:rsidRPr="00FD6E3B">
        <w:rPr>
          <w:rFonts w:asciiTheme="minorHAnsi" w:hAnsiTheme="minorHAnsi" w:cstheme="minorHAnsi"/>
          <w:i/>
          <w:sz w:val="20"/>
          <w:szCs w:val="20"/>
        </w:rPr>
        <w:t>in vitro</w:t>
      </w:r>
      <w:r w:rsidRPr="00FD6E3B">
        <w:rPr>
          <w:rFonts w:asciiTheme="minorHAnsi" w:hAnsiTheme="minorHAnsi" w:cstheme="minorHAnsi"/>
          <w:sz w:val="20"/>
          <w:szCs w:val="20"/>
        </w:rPr>
        <w:t xml:space="preserve"> study by Monti </w:t>
      </w:r>
      <w:r w:rsidRPr="00FD6E3B">
        <w:rPr>
          <w:rFonts w:asciiTheme="minorHAnsi" w:hAnsiTheme="minorHAnsi" w:cstheme="minorHAnsi"/>
          <w:i/>
          <w:sz w:val="20"/>
          <w:szCs w:val="20"/>
        </w:rPr>
        <w:t>et al.</w:t>
      </w:r>
      <w:r w:rsidRPr="00FD6E3B">
        <w:rPr>
          <w:rFonts w:asciiTheme="minorHAnsi" w:hAnsiTheme="minorHAnsi" w:cstheme="minorHAnsi"/>
          <w:sz w:val="20"/>
          <w:szCs w:val="20"/>
        </w:rPr>
        <w:t xml:space="preserve"> (2008) when applied to the reconstructed human skin model and the rat skin. However, BASF (1995) reported </w:t>
      </w:r>
      <w:r w:rsidRPr="00FD6E3B">
        <w:rPr>
          <w:rFonts w:asciiTheme="minorHAnsi" w:hAnsiTheme="minorHAnsi" w:cstheme="minorHAnsi"/>
          <w:i/>
          <w:sz w:val="20"/>
          <w:szCs w:val="20"/>
        </w:rPr>
        <w:t>in vitro</w:t>
      </w:r>
      <w:r w:rsidRPr="00FD6E3B">
        <w:rPr>
          <w:rFonts w:asciiTheme="minorHAnsi" w:hAnsiTheme="minorHAnsi" w:cstheme="minorHAnsi"/>
          <w:sz w:val="20"/>
          <w:szCs w:val="20"/>
        </w:rPr>
        <w:t xml:space="preserve"> permeation of ethylhexyl triazone in the sunscreen formulation, but no value was provided.</w:t>
      </w:r>
    </w:p>
    <w:p w14:paraId="0B665580" w14:textId="77777777" w:rsidR="00026EBE" w:rsidRPr="0074486E" w:rsidRDefault="00026EBE" w:rsidP="00026EBE">
      <w:r w:rsidRPr="00FD6E3B">
        <w:rPr>
          <w:rFonts w:asciiTheme="minorHAnsi" w:hAnsiTheme="minorHAnsi" w:cstheme="minorHAnsi"/>
        </w:rPr>
        <w:t xml:space="preserve">In an </w:t>
      </w:r>
      <w:r w:rsidRPr="00FD6E3B">
        <w:rPr>
          <w:rFonts w:asciiTheme="minorHAnsi" w:hAnsiTheme="minorHAnsi" w:cstheme="minorHAnsi"/>
          <w:i/>
        </w:rPr>
        <w:t>in vitro</w:t>
      </w:r>
      <w:r w:rsidRPr="00FD6E3B">
        <w:rPr>
          <w:rFonts w:asciiTheme="minorHAnsi" w:hAnsiTheme="minorHAnsi" w:cstheme="minorHAnsi"/>
        </w:rPr>
        <w:t xml:space="preserve"> diffusion study (6-h exposure of the </w:t>
      </w:r>
      <w:r w:rsidRPr="00FD6E3B">
        <w:rPr>
          <w:rFonts w:asciiTheme="minorHAnsi" w:hAnsiTheme="minorHAnsi" w:cstheme="minorHAnsi"/>
          <w:i/>
        </w:rPr>
        <w:t>ex-vivo</w:t>
      </w:r>
      <w:r w:rsidRPr="00FD6E3B">
        <w:rPr>
          <w:rFonts w:asciiTheme="minorHAnsi" w:hAnsiTheme="minorHAnsi" w:cstheme="minorHAnsi"/>
        </w:rPr>
        <w:t xml:space="preserve"> porcine-ear skin to the sunscreen, water-oil emulsion containing 10% oxybenzone and 5% ethylhexyl triazone, doses of 1 mg/cm</w:t>
      </w:r>
      <w:r w:rsidRPr="00FD6E3B">
        <w:rPr>
          <w:rFonts w:asciiTheme="minorHAnsi" w:hAnsiTheme="minorHAnsi" w:cstheme="minorHAnsi"/>
          <w:vertAlign w:val="superscript"/>
        </w:rPr>
        <w:t>2</w:t>
      </w:r>
      <w:r w:rsidRPr="00FD6E3B">
        <w:rPr>
          <w:rFonts w:asciiTheme="minorHAnsi" w:hAnsiTheme="minorHAnsi" w:cstheme="minorHAnsi"/>
        </w:rPr>
        <w:t xml:space="preserve"> and 2 mg/cm</w:t>
      </w:r>
      <w:r w:rsidRPr="00FD6E3B">
        <w:rPr>
          <w:rFonts w:asciiTheme="minorHAnsi" w:hAnsiTheme="minorHAnsi" w:cstheme="minorHAnsi"/>
          <w:vertAlign w:val="superscript"/>
        </w:rPr>
        <w:t>2</w:t>
      </w:r>
      <w:r w:rsidRPr="00FD6E3B">
        <w:rPr>
          <w:rFonts w:asciiTheme="minorHAnsi" w:hAnsiTheme="minorHAnsi" w:cstheme="minorHAnsi"/>
        </w:rPr>
        <w:t>), 23.2 ± 4.1 mg/cm</w:t>
      </w:r>
      <w:r w:rsidRPr="00FD6E3B">
        <w:rPr>
          <w:rFonts w:asciiTheme="minorHAnsi" w:hAnsiTheme="minorHAnsi" w:cstheme="minorHAnsi"/>
          <w:vertAlign w:val="superscript"/>
        </w:rPr>
        <w:t>2</w:t>
      </w:r>
      <w:r w:rsidRPr="00FD6E3B">
        <w:rPr>
          <w:rFonts w:asciiTheme="minorHAnsi" w:hAnsiTheme="minorHAnsi" w:cstheme="minorHAnsi"/>
        </w:rPr>
        <w:t xml:space="preserve"> and 18.3 ± 2.5 </w:t>
      </w:r>
      <w:proofErr w:type="spellStart"/>
      <w:r w:rsidRPr="00FD6E3B">
        <w:rPr>
          <w:rFonts w:asciiTheme="minorHAnsi" w:hAnsiTheme="minorHAnsi" w:cstheme="minorHAnsi"/>
        </w:rPr>
        <w:t>μg</w:t>
      </w:r>
      <w:proofErr w:type="spellEnd"/>
      <w:r w:rsidRPr="00FD6E3B">
        <w:rPr>
          <w:rFonts w:asciiTheme="minorHAnsi" w:hAnsiTheme="minorHAnsi" w:cstheme="minorHAnsi"/>
        </w:rPr>
        <w:t>/cm</w:t>
      </w:r>
      <w:r w:rsidRPr="00FD6E3B">
        <w:rPr>
          <w:rFonts w:asciiTheme="minorHAnsi" w:hAnsiTheme="minorHAnsi" w:cstheme="minorHAnsi"/>
          <w:vertAlign w:val="superscript"/>
        </w:rPr>
        <w:t>2</w:t>
      </w:r>
      <w:r w:rsidRPr="00FD6E3B">
        <w:rPr>
          <w:rFonts w:asciiTheme="minorHAnsi" w:hAnsiTheme="minorHAnsi" w:cstheme="minorHAnsi"/>
        </w:rPr>
        <w:t xml:space="preserve"> of oxybenzone and ethylhexyl triazone, respectively were found in the stratum corneum, whereas 1.5 ± 0.3 mg/cm</w:t>
      </w:r>
      <w:r w:rsidRPr="00FD6E3B">
        <w:rPr>
          <w:rFonts w:asciiTheme="minorHAnsi" w:hAnsiTheme="minorHAnsi" w:cstheme="minorHAnsi"/>
          <w:vertAlign w:val="superscript"/>
        </w:rPr>
        <w:t>2</w:t>
      </w:r>
      <w:r w:rsidRPr="00FD6E3B">
        <w:rPr>
          <w:rFonts w:asciiTheme="minorHAnsi" w:hAnsiTheme="minorHAnsi" w:cstheme="minorHAnsi"/>
        </w:rPr>
        <w:t xml:space="preserve"> of oxybenzone was found in the receptor fluid (</w:t>
      </w:r>
      <w:proofErr w:type="spellStart"/>
      <w:r w:rsidRPr="00FD6E3B">
        <w:rPr>
          <w:rFonts w:asciiTheme="minorHAnsi" w:hAnsiTheme="minorHAnsi" w:cstheme="minorHAnsi"/>
        </w:rPr>
        <w:t>Hojerová</w:t>
      </w:r>
      <w:proofErr w:type="spellEnd"/>
      <w:r w:rsidRPr="00FD6E3B">
        <w:rPr>
          <w:rFonts w:asciiTheme="minorHAnsi" w:hAnsiTheme="minorHAnsi" w:cstheme="minorHAnsi"/>
        </w:rPr>
        <w:t> </w:t>
      </w:r>
      <w:r w:rsidRPr="00FD6E3B">
        <w:rPr>
          <w:rFonts w:asciiTheme="minorHAnsi" w:hAnsiTheme="minorHAnsi" w:cstheme="minorHAnsi"/>
          <w:i/>
        </w:rPr>
        <w:t>et al.</w:t>
      </w:r>
      <w:r w:rsidRPr="00FD6E3B">
        <w:rPr>
          <w:rFonts w:asciiTheme="minorHAnsi" w:hAnsiTheme="minorHAnsi" w:cstheme="minorHAnsi"/>
        </w:rPr>
        <w:t xml:space="preserve"> 2017). Ethylhexyl triazone was not determined in the receptor fluid. The study authors concluded, that approximately 0.54 mg/cm</w:t>
      </w:r>
      <w:r w:rsidRPr="00FD6E3B">
        <w:rPr>
          <w:rFonts w:asciiTheme="minorHAnsi" w:hAnsiTheme="minorHAnsi" w:cstheme="minorHAnsi"/>
          <w:vertAlign w:val="superscript"/>
        </w:rPr>
        <w:t>2</w:t>
      </w:r>
      <w:r w:rsidRPr="00FD6E3B">
        <w:rPr>
          <w:rFonts w:asciiTheme="minorHAnsi" w:hAnsiTheme="minorHAnsi" w:cstheme="minorHAnsi"/>
        </w:rPr>
        <w:t xml:space="preserve"> of ethylhexyl triazone (i.e., ~1.08% of the amount of ingredient applied) permeated the excised human epidermis into the receptor fluid.  Approximately 1.3 and 1.8 × higher content of oxybenzone and ethylhexyl triazone were found in the viable epidermis and dermis, respectively, and 2.3- and 1.5-times higher content in the receptor fluid,</w:t>
      </w:r>
      <w:r w:rsidRPr="0074486E">
        <w:t xml:space="preserve"> respectively, when the study was conducted on shaved skin. Insignificant percutaneous absorption of ethylhexyl triazone across the shaved skin was noted. The total recovery in the whole study (intact and/or shaved skin) was 87.5- 90.4% </w:t>
      </w:r>
      <w:r>
        <w:t>consistent with</w:t>
      </w:r>
      <w:r w:rsidRPr="0074486E">
        <w:t xml:space="preserve"> the recovery (85- 115%) allowed by the SCCS (2016). The SED after the sunscreen application at 1 mg/cm</w:t>
      </w:r>
      <w:r w:rsidRPr="0074486E">
        <w:rPr>
          <w:vertAlign w:val="superscript"/>
        </w:rPr>
        <w:t>2</w:t>
      </w:r>
      <w:r w:rsidRPr="0074486E">
        <w:t xml:space="preserve"> for 6 h</w:t>
      </w:r>
      <w:r>
        <w:t xml:space="preserve"> on the:</w:t>
      </w:r>
      <w:r w:rsidRPr="0074486E">
        <w:t xml:space="preserve"> (</w:t>
      </w:r>
      <w:proofErr w:type="spellStart"/>
      <w:r w:rsidRPr="0074486E">
        <w:t>i</w:t>
      </w:r>
      <w:proofErr w:type="spellEnd"/>
      <w:r w:rsidRPr="0074486E">
        <w:t>) face;</w:t>
      </w:r>
      <w:r>
        <w:t xml:space="preserve"> and</w:t>
      </w:r>
      <w:r w:rsidRPr="0074486E">
        <w:t xml:space="preserve"> (ii) whole-body skin, was (</w:t>
      </w:r>
      <w:proofErr w:type="spellStart"/>
      <w:r w:rsidRPr="0074486E">
        <w:t>i</w:t>
      </w:r>
      <w:proofErr w:type="spellEnd"/>
      <w:r w:rsidRPr="0074486E">
        <w:t>) 136 and 30; (ii) 4200 and 933 mg/kg</w:t>
      </w:r>
      <w:r>
        <w:t xml:space="preserve"> </w:t>
      </w:r>
      <w:proofErr w:type="spellStart"/>
      <w:r w:rsidRPr="0074486E">
        <w:t>bw</w:t>
      </w:r>
      <w:proofErr w:type="spellEnd"/>
      <w:r w:rsidRPr="0074486E">
        <w:t>/day for oxybenzone and ethylhexyl triazone, respectively. Reapplication caused approximately 1.4 -fold increase in the SED values indicating partial saturation after the first application.</w:t>
      </w:r>
    </w:p>
    <w:p w14:paraId="6FEACB97" w14:textId="77777777" w:rsidR="00026EBE" w:rsidRPr="002C7324" w:rsidRDefault="00026EBE" w:rsidP="00026EBE">
      <w:r w:rsidRPr="002C7324">
        <w:t xml:space="preserve">Preferential </w:t>
      </w:r>
      <w:r w:rsidRPr="002C7324">
        <w:rPr>
          <w:rFonts w:cs="AdvOT863180fb"/>
        </w:rPr>
        <w:t>e</w:t>
      </w:r>
      <w:r w:rsidRPr="002C7324">
        <w:t xml:space="preserve">thylhexyl triazone distribution into stratum corneum was also noted by Sauce </w:t>
      </w:r>
      <w:r w:rsidRPr="002C7324">
        <w:rPr>
          <w:i/>
          <w:iCs/>
        </w:rPr>
        <w:t>et al</w:t>
      </w:r>
      <w:r w:rsidRPr="002C7324">
        <w:t>. (2020) in tape strip samples obtained from human volunteers (</w:t>
      </w:r>
      <w:r w:rsidRPr="002C7324">
        <w:rPr>
          <w:i/>
          <w:iCs/>
        </w:rPr>
        <w:t xml:space="preserve">n </w:t>
      </w:r>
      <w:r w:rsidRPr="002C7324">
        <w:t xml:space="preserve">= 12) treated with </w:t>
      </w:r>
      <w:r w:rsidRPr="002C7324">
        <w:rPr>
          <w:rFonts w:eastAsia="CharisSIL" w:cs="CharisSIL"/>
        </w:rPr>
        <w:t xml:space="preserve">100 </w:t>
      </w:r>
      <w:proofErr w:type="spellStart"/>
      <w:r w:rsidRPr="002C7324">
        <w:rPr>
          <w:rFonts w:eastAsia="CharisSIL" w:cs="CharisSIL"/>
        </w:rPr>
        <w:t>μg</w:t>
      </w:r>
      <w:proofErr w:type="spellEnd"/>
      <w:r w:rsidRPr="002C7324">
        <w:rPr>
          <w:rFonts w:eastAsia="CharisSIL" w:cs="CharisSIL"/>
        </w:rPr>
        <w:t>/mL</w:t>
      </w:r>
      <w:r w:rsidRPr="002C7324">
        <w:t xml:space="preserve"> of the compound emulsified in cosmetic oil/water formulation (5% w/w) and applied at </w:t>
      </w:r>
      <w:r w:rsidRPr="002C7324">
        <w:rPr>
          <w:rFonts w:eastAsia="CharisSIL" w:cs="CharisSIL"/>
        </w:rPr>
        <w:t>2.0 mg/2.25 cm</w:t>
      </w:r>
      <w:r w:rsidRPr="002C7324">
        <w:rPr>
          <w:rFonts w:eastAsia="CharisSIL" w:cs="CharisSIL"/>
          <w:vertAlign w:val="superscript"/>
        </w:rPr>
        <w:t>2</w:t>
      </w:r>
      <w:r w:rsidRPr="002C7324">
        <w:t xml:space="preserve"> for 2 h. However, only first 10 </w:t>
      </w:r>
      <w:proofErr w:type="spellStart"/>
      <w:r w:rsidRPr="002C7324">
        <w:t>μm</w:t>
      </w:r>
      <w:proofErr w:type="spellEnd"/>
      <w:r w:rsidRPr="002C7324">
        <w:t xml:space="preserve"> of the upper layers was collected (thickness of stratum corneum is ~30 </w:t>
      </w:r>
      <w:proofErr w:type="spellStart"/>
      <w:r w:rsidRPr="002C7324">
        <w:t>μm</w:t>
      </w:r>
      <w:proofErr w:type="spellEnd"/>
      <w:r w:rsidRPr="002C7324">
        <w:t xml:space="preserve">) and given that the total recovery observed in this section was </w:t>
      </w:r>
      <w:r w:rsidRPr="002C7324">
        <w:rPr>
          <w:rFonts w:eastAsia="CharisSIL" w:cs="CharisSIL"/>
        </w:rPr>
        <w:t>56.34</w:t>
      </w:r>
      <w:r w:rsidRPr="002C7324">
        <w:t xml:space="preserve"> %, the authors concluded that the remaining 44.66% of the dose penetrated deeper strata. </w:t>
      </w:r>
    </w:p>
    <w:p w14:paraId="1D91539F" w14:textId="77777777" w:rsidR="00026EBE" w:rsidRDefault="00026EBE" w:rsidP="00026EBE">
      <w:r w:rsidRPr="0074486E">
        <w:t xml:space="preserve">An </w:t>
      </w:r>
      <w:r w:rsidRPr="0074486E">
        <w:rPr>
          <w:i/>
        </w:rPr>
        <w:t>in vivo</w:t>
      </w:r>
      <w:r w:rsidRPr="0074486E">
        <w:t xml:space="preserve"> study investigating the penetration of ethylhexyl triazone in human stratum corneum demonstrated that </w:t>
      </w:r>
      <w:r w:rsidRPr="0074486E">
        <w:rPr>
          <w:bCs/>
        </w:rPr>
        <w:t>21.9% (± 4.9)</w:t>
      </w:r>
      <w:r w:rsidRPr="0074486E">
        <w:t xml:space="preserve"> of the applied ethylhexyl triazone dose diffused into the stratum corneum. However, the skin penetration reduced significantly (</w:t>
      </w:r>
      <w:r>
        <w:t xml:space="preserve">by </w:t>
      </w:r>
      <w:r w:rsidRPr="0074486E">
        <w:t>45.7%) when ethylhexyl triazone was applied in microencapsulated form (Scalia </w:t>
      </w:r>
      <w:r w:rsidRPr="0074486E">
        <w:rPr>
          <w:i/>
        </w:rPr>
        <w:t>et al.</w:t>
      </w:r>
      <w:r w:rsidRPr="0074486E">
        <w:t xml:space="preserve"> 2019).  </w:t>
      </w:r>
    </w:p>
    <w:p w14:paraId="6B41C6A9" w14:textId="77777777" w:rsidR="00026EBE" w:rsidRDefault="00026EBE" w:rsidP="00026EBE">
      <w:pPr>
        <w:rPr>
          <w:b/>
          <w:bCs/>
        </w:rPr>
      </w:pPr>
      <w:r w:rsidRPr="006071CA">
        <w:t>In the absence of an appropriate dermal absorption value for ethylhexyl triazone, a</w:t>
      </w:r>
      <w:r w:rsidRPr="002C7324">
        <w:rPr>
          <w:b/>
          <w:bCs/>
        </w:rPr>
        <w:t xml:space="preserve"> dermal absorption</w:t>
      </w:r>
      <w:r>
        <w:rPr>
          <w:b/>
          <w:bCs/>
        </w:rPr>
        <w:t xml:space="preserve"> of 10%</w:t>
      </w:r>
      <w:r w:rsidRPr="006071CA">
        <w:t xml:space="preserve"> was assume</w:t>
      </w:r>
      <w:r w:rsidRPr="002C7324">
        <w:t>d based upon physicochemical parameters.</w:t>
      </w:r>
      <w:r w:rsidRPr="00455EC8">
        <w:rPr>
          <w:b/>
          <w:bCs/>
        </w:rPr>
        <w:t xml:space="preserve"> </w:t>
      </w:r>
    </w:p>
    <w:p w14:paraId="4EA936BC" w14:textId="77777777" w:rsidR="00026EBE" w:rsidRPr="008F1AED" w:rsidRDefault="00026EBE" w:rsidP="00E94C79">
      <w:pPr>
        <w:pStyle w:val="Heading4"/>
      </w:pPr>
      <w:bookmarkStart w:id="45" w:name="_Toc100664705"/>
      <w:bookmarkStart w:id="46" w:name="_Toc157439275"/>
      <w:bookmarkStart w:id="47" w:name="_Toc173830117"/>
      <w:bookmarkStart w:id="48" w:name="_Toc189819952"/>
      <w:bookmarkStart w:id="49" w:name="_Toc190081222"/>
      <w:r w:rsidRPr="008F1AED">
        <w:t>Homosalate</w:t>
      </w:r>
      <w:bookmarkEnd w:id="45"/>
      <w:bookmarkEnd w:id="46"/>
      <w:bookmarkEnd w:id="47"/>
      <w:bookmarkEnd w:id="48"/>
      <w:bookmarkEnd w:id="49"/>
    </w:p>
    <w:p w14:paraId="4CA5B7EB" w14:textId="77777777" w:rsidR="00026EBE" w:rsidRPr="00385FC3" w:rsidRDefault="00026EBE" w:rsidP="00026EBE">
      <w:pPr>
        <w:rPr>
          <w:rFonts w:asciiTheme="minorHAnsi" w:hAnsiTheme="minorHAnsi" w:cstheme="minorHAnsi"/>
        </w:rPr>
      </w:pPr>
      <w:r w:rsidRPr="00385FC3">
        <w:rPr>
          <w:rFonts w:asciiTheme="minorHAnsi" w:hAnsiTheme="minorHAnsi" w:cstheme="minorHAnsi"/>
        </w:rPr>
        <w:t xml:space="preserve">Studies in animals and human skin showed that homosalate could penetrate the skin in a variable manner. </w:t>
      </w:r>
      <w:r w:rsidRPr="00385FC3">
        <w:rPr>
          <w:rFonts w:asciiTheme="minorHAnsi" w:hAnsiTheme="minorHAnsi" w:cstheme="minorHAnsi"/>
          <w:i/>
        </w:rPr>
        <w:t>In vitro</w:t>
      </w:r>
      <w:r w:rsidRPr="00385FC3">
        <w:rPr>
          <w:rFonts w:asciiTheme="minorHAnsi" w:hAnsiTheme="minorHAnsi" w:cstheme="minorHAnsi"/>
        </w:rPr>
        <w:t xml:space="preserve"> experiments indicated that about 1.1% of the applied dose was absorbed by human skin (range: 0.9-2.0</w:t>
      </w:r>
      <w:bookmarkStart w:id="50" w:name="_Ref68795902"/>
      <w:r w:rsidRPr="00385FC3">
        <w:rPr>
          <w:rFonts w:asciiTheme="minorHAnsi" w:hAnsiTheme="minorHAnsi" w:cstheme="minorHAnsi"/>
        </w:rPr>
        <w:t xml:space="preserve">%) (CTFA 2005). </w:t>
      </w:r>
    </w:p>
    <w:bookmarkEnd w:id="50"/>
    <w:p w14:paraId="0C8D8DB6" w14:textId="77777777" w:rsidR="00026EBE" w:rsidRPr="00385FC3" w:rsidRDefault="00026EBE" w:rsidP="00026EBE">
      <w:pPr>
        <w:rPr>
          <w:rFonts w:asciiTheme="minorHAnsi" w:hAnsiTheme="minorHAnsi" w:cstheme="minorHAnsi"/>
        </w:rPr>
      </w:pPr>
      <w:r w:rsidRPr="00385FC3">
        <w:rPr>
          <w:rFonts w:asciiTheme="minorHAnsi" w:hAnsiTheme="minorHAnsi" w:cstheme="minorHAnsi"/>
        </w:rPr>
        <w:t>Maximum plasma concentrations of homosalate after topical application varied between 13.9 and 23.1 ng/ml and t</w:t>
      </w:r>
      <w:r w:rsidRPr="00385FC3">
        <w:rPr>
          <w:rFonts w:asciiTheme="minorHAnsi" w:hAnsiTheme="minorHAnsi" w:cstheme="minorHAnsi"/>
          <w:vertAlign w:val="subscript"/>
        </w:rPr>
        <w:t>½</w:t>
      </w:r>
      <w:r w:rsidRPr="00385FC3">
        <w:rPr>
          <w:rFonts w:asciiTheme="minorHAnsi" w:hAnsiTheme="minorHAnsi" w:cstheme="minorHAnsi"/>
        </w:rPr>
        <w:t xml:space="preserve"> between 46.9 and 78.4 h in clinical trials (see </w:t>
      </w:r>
      <w:hyperlink w:anchor="_Clinical_trials" w:history="1">
        <w:r w:rsidRPr="00385FC3">
          <w:rPr>
            <w:rStyle w:val="Hyperlink"/>
            <w:rFonts w:asciiTheme="minorHAnsi" w:hAnsiTheme="minorHAnsi" w:cstheme="minorHAnsi"/>
            <w:b/>
            <w:bCs/>
          </w:rPr>
          <w:t>Clinical Trials</w:t>
        </w:r>
      </w:hyperlink>
      <w:r w:rsidRPr="00385FC3">
        <w:rPr>
          <w:rFonts w:asciiTheme="minorHAnsi" w:hAnsiTheme="minorHAnsi" w:cstheme="minorHAnsi"/>
        </w:rPr>
        <w:t xml:space="preserve">). Homosalate was also detected in human milk samples after topical application in samples from different cohorts (2004, 2005, 2006) (Schlumpf </w:t>
      </w:r>
      <w:r w:rsidRPr="00385FC3">
        <w:rPr>
          <w:rFonts w:asciiTheme="minorHAnsi" w:hAnsiTheme="minorHAnsi" w:cstheme="minorHAnsi"/>
          <w:i/>
        </w:rPr>
        <w:t>et al.</w:t>
      </w:r>
      <w:r w:rsidRPr="00385FC3">
        <w:rPr>
          <w:rFonts w:asciiTheme="minorHAnsi" w:hAnsiTheme="minorHAnsi" w:cstheme="minorHAnsi"/>
        </w:rPr>
        <w:t xml:space="preserve"> 2010). 15.1% of mothers reported use of homosalate exclusively in sunscreens with no additional use of other cosmetics. Homosalate was detected in 5.56% of total milk samples. However, homosalate could not be detected in human breast tissue samples (Barr 2018).</w:t>
      </w:r>
    </w:p>
    <w:p w14:paraId="2D8242B4" w14:textId="77777777" w:rsidR="00026EBE" w:rsidRPr="00385FC3" w:rsidRDefault="00026EBE" w:rsidP="00026EBE">
      <w:pPr>
        <w:rPr>
          <w:rFonts w:asciiTheme="minorHAnsi" w:hAnsiTheme="minorHAnsi" w:cstheme="minorHAnsi"/>
          <w:lang w:eastAsia="en-AU"/>
        </w:rPr>
      </w:pPr>
      <w:r w:rsidRPr="00385FC3">
        <w:rPr>
          <w:rFonts w:asciiTheme="minorHAnsi" w:hAnsiTheme="minorHAnsi" w:cstheme="minorHAnsi"/>
          <w:lang w:eastAsia="en-AU"/>
        </w:rPr>
        <w:t xml:space="preserve">The </w:t>
      </w:r>
      <w:r w:rsidRPr="00385FC3">
        <w:rPr>
          <w:rFonts w:asciiTheme="minorHAnsi" w:hAnsiTheme="minorHAnsi" w:cstheme="minorHAnsi"/>
          <w:i/>
          <w:lang w:eastAsia="en-AU"/>
        </w:rPr>
        <w:t>in vitro</w:t>
      </w:r>
      <w:r w:rsidRPr="00385FC3">
        <w:rPr>
          <w:rFonts w:asciiTheme="minorHAnsi" w:hAnsiTheme="minorHAnsi" w:cstheme="minorHAnsi"/>
          <w:lang w:eastAsia="en-AU"/>
        </w:rPr>
        <w:t xml:space="preserve"> metabolism of homosalate was investigated in rat and human liver microsomes. Homosalate (10 mM) incubated with human or rat liver microsomes (1 mg/ml protein) was hydrolysed into salicylic acid and 3,3, 5-trimethylcyclohexanol. In addition, conjugation and hydroxylation of intact homosalate was detected </w:t>
      </w:r>
      <w:r w:rsidRPr="00385FC3">
        <w:rPr>
          <w:rFonts w:asciiTheme="minorHAnsi" w:hAnsiTheme="minorHAnsi" w:cstheme="minorHAnsi"/>
          <w:i/>
          <w:iCs/>
          <w:lang w:eastAsia="en-AU"/>
        </w:rPr>
        <w:t>in vitro</w:t>
      </w:r>
      <w:r w:rsidRPr="00385FC3">
        <w:rPr>
          <w:rFonts w:asciiTheme="minorHAnsi" w:hAnsiTheme="minorHAnsi" w:cstheme="minorHAnsi"/>
          <w:lang w:eastAsia="en-AU"/>
        </w:rPr>
        <w:t xml:space="preserve">. </w:t>
      </w:r>
    </w:p>
    <w:p w14:paraId="7945C715" w14:textId="77777777" w:rsidR="00026EBE" w:rsidRPr="00385FC3" w:rsidRDefault="00026EBE" w:rsidP="00026EBE">
      <w:pPr>
        <w:rPr>
          <w:rFonts w:asciiTheme="minorHAnsi" w:hAnsiTheme="minorHAnsi" w:cstheme="minorHAnsi"/>
          <w:lang w:eastAsia="en-AU"/>
        </w:rPr>
      </w:pPr>
      <w:r w:rsidRPr="00385FC3">
        <w:rPr>
          <w:rFonts w:asciiTheme="minorHAnsi" w:hAnsiTheme="minorHAnsi" w:cstheme="minorHAnsi"/>
          <w:lang w:eastAsia="en-AU"/>
        </w:rPr>
        <w:t>Commercial products often contain mixtures of cis- and trans-homosalate isomers (</w:t>
      </w:r>
      <w:r w:rsidRPr="00385FC3">
        <w:rPr>
          <w:rFonts w:asciiTheme="minorHAnsi" w:hAnsiTheme="minorHAnsi" w:cstheme="minorHAnsi"/>
          <w:i/>
          <w:iCs/>
          <w:lang w:eastAsia="en-AU"/>
        </w:rPr>
        <w:t>cis</w:t>
      </w:r>
      <w:r w:rsidRPr="00385FC3">
        <w:rPr>
          <w:rFonts w:asciiTheme="minorHAnsi" w:hAnsiTheme="minorHAnsi" w:cstheme="minorHAnsi"/>
          <w:lang w:eastAsia="en-AU"/>
        </w:rPr>
        <w:t xml:space="preserve">-HMS and </w:t>
      </w:r>
      <w:r w:rsidRPr="00385FC3">
        <w:rPr>
          <w:rFonts w:asciiTheme="minorHAnsi" w:hAnsiTheme="minorHAnsi" w:cstheme="minorHAnsi"/>
          <w:i/>
          <w:iCs/>
          <w:lang w:eastAsia="en-AU"/>
        </w:rPr>
        <w:t>trans</w:t>
      </w:r>
      <w:r w:rsidRPr="00385FC3">
        <w:rPr>
          <w:rFonts w:asciiTheme="minorHAnsi" w:hAnsiTheme="minorHAnsi" w:cstheme="minorHAnsi"/>
          <w:lang w:eastAsia="en-AU"/>
        </w:rPr>
        <w:t xml:space="preserve">-HMS respectively). Ebert </w:t>
      </w:r>
      <w:r w:rsidRPr="00385FC3">
        <w:rPr>
          <w:rFonts w:asciiTheme="minorHAnsi" w:hAnsiTheme="minorHAnsi" w:cstheme="minorHAnsi"/>
          <w:i/>
          <w:iCs/>
          <w:lang w:eastAsia="en-AU"/>
        </w:rPr>
        <w:t>et al.</w:t>
      </w:r>
      <w:r w:rsidRPr="00385FC3">
        <w:rPr>
          <w:rFonts w:asciiTheme="minorHAnsi" w:hAnsiTheme="minorHAnsi" w:cstheme="minorHAnsi"/>
          <w:lang w:eastAsia="en-AU"/>
        </w:rPr>
        <w:t xml:space="preserve"> (2022) reported 87.2 - 91.9% of </w:t>
      </w:r>
      <w:r w:rsidRPr="00385FC3">
        <w:rPr>
          <w:rFonts w:asciiTheme="minorHAnsi" w:hAnsiTheme="minorHAnsi" w:cstheme="minorHAnsi"/>
          <w:i/>
          <w:iCs/>
          <w:lang w:eastAsia="en-AU"/>
        </w:rPr>
        <w:t>cis</w:t>
      </w:r>
      <w:r w:rsidRPr="00385FC3">
        <w:rPr>
          <w:rFonts w:asciiTheme="minorHAnsi" w:hAnsiTheme="minorHAnsi" w:cstheme="minorHAnsi"/>
          <w:lang w:eastAsia="en-AU"/>
        </w:rPr>
        <w:t xml:space="preserve">-HMS and 8.1-12.8% of </w:t>
      </w:r>
      <w:r w:rsidRPr="00385FC3">
        <w:rPr>
          <w:rFonts w:asciiTheme="minorHAnsi" w:hAnsiTheme="minorHAnsi" w:cstheme="minorHAnsi"/>
          <w:i/>
          <w:iCs/>
          <w:lang w:eastAsia="en-AU"/>
        </w:rPr>
        <w:t>trans</w:t>
      </w:r>
      <w:r w:rsidRPr="00385FC3">
        <w:rPr>
          <w:rFonts w:asciiTheme="minorHAnsi" w:hAnsiTheme="minorHAnsi" w:cstheme="minorHAnsi"/>
          <w:lang w:eastAsia="en-AU"/>
        </w:rPr>
        <w:t xml:space="preserve">-HMS in total homosalate content in 10 examined sunscreen products. However, following oral administration, homosalate isomers displayed diastereoselective metabolism, which was skewed towards </w:t>
      </w:r>
      <w:r w:rsidRPr="00385FC3">
        <w:rPr>
          <w:rFonts w:asciiTheme="minorHAnsi" w:hAnsiTheme="minorHAnsi" w:cstheme="minorHAnsi"/>
          <w:i/>
          <w:iCs/>
          <w:lang w:eastAsia="en-AU"/>
        </w:rPr>
        <w:t>trans</w:t>
      </w:r>
      <w:r w:rsidRPr="00385FC3">
        <w:rPr>
          <w:rFonts w:asciiTheme="minorHAnsi" w:hAnsiTheme="minorHAnsi" w:cstheme="minorHAnsi"/>
          <w:lang w:eastAsia="en-AU"/>
        </w:rPr>
        <w:t xml:space="preserve">-HMS e.g., metabolite levels derived from </w:t>
      </w:r>
      <w:r w:rsidRPr="00385FC3">
        <w:rPr>
          <w:rFonts w:asciiTheme="minorHAnsi" w:hAnsiTheme="minorHAnsi" w:cstheme="minorHAnsi"/>
          <w:i/>
          <w:iCs/>
          <w:lang w:eastAsia="en-AU"/>
        </w:rPr>
        <w:t>trans</w:t>
      </w:r>
      <w:r w:rsidRPr="00385FC3">
        <w:rPr>
          <w:rFonts w:asciiTheme="minorHAnsi" w:hAnsiTheme="minorHAnsi" w:cstheme="minorHAnsi"/>
          <w:lang w:eastAsia="en-AU"/>
        </w:rPr>
        <w:t xml:space="preserve">-HMS (6.4 %), including carboxylic acid and alkyl-hydroxylated compounds, were 142-fold higher compared to </w:t>
      </w:r>
      <w:r w:rsidRPr="00385FC3">
        <w:rPr>
          <w:rFonts w:asciiTheme="minorHAnsi" w:hAnsiTheme="minorHAnsi" w:cstheme="minorHAnsi"/>
          <w:i/>
          <w:iCs/>
          <w:lang w:eastAsia="en-AU"/>
        </w:rPr>
        <w:t>cis</w:t>
      </w:r>
      <w:r w:rsidRPr="00385FC3">
        <w:rPr>
          <w:rFonts w:asciiTheme="minorHAnsi" w:hAnsiTheme="minorHAnsi" w:cstheme="minorHAnsi"/>
          <w:lang w:eastAsia="en-AU"/>
        </w:rPr>
        <w:t xml:space="preserve">-HMS (0.045 %) while its bioavailability was 10-times higher. Although it is currently unknown whether homosalate applied dermally also undergoes divergent isomer metabolism, preliminary data of Ebert </w:t>
      </w:r>
      <w:r w:rsidRPr="00385FC3">
        <w:rPr>
          <w:rFonts w:asciiTheme="minorHAnsi" w:hAnsiTheme="minorHAnsi" w:cstheme="minorHAnsi"/>
          <w:i/>
          <w:iCs/>
          <w:lang w:eastAsia="en-AU"/>
        </w:rPr>
        <w:t>et al.</w:t>
      </w:r>
      <w:r w:rsidRPr="00385FC3">
        <w:rPr>
          <w:rFonts w:asciiTheme="minorHAnsi" w:hAnsiTheme="minorHAnsi" w:cstheme="minorHAnsi"/>
          <w:lang w:eastAsia="en-AU"/>
        </w:rPr>
        <w:t xml:space="preserve"> agree with the findings from the oral study.</w:t>
      </w:r>
    </w:p>
    <w:p w14:paraId="04F36CB7" w14:textId="77777777" w:rsidR="00026EBE" w:rsidRPr="00385FC3" w:rsidRDefault="00026EBE" w:rsidP="00026EBE">
      <w:pPr>
        <w:rPr>
          <w:rFonts w:asciiTheme="minorHAnsi" w:hAnsiTheme="minorHAnsi" w:cstheme="minorHAnsi"/>
          <w:lang w:eastAsia="en-AU"/>
        </w:rPr>
      </w:pPr>
      <w:r w:rsidRPr="00385FC3">
        <w:rPr>
          <w:rFonts w:asciiTheme="minorHAnsi" w:hAnsiTheme="minorHAnsi" w:cstheme="minorHAnsi"/>
          <w:lang w:eastAsia="en-AU"/>
        </w:rPr>
        <w:t>The SCCS selected a new skin penetration study using human skin from which a dermal absorption of 5.3% (mean +1SD: 3.86±1.43) was derived (SCCS 2020)</w:t>
      </w:r>
      <w:r w:rsidRPr="00385FC3">
        <w:rPr>
          <w:rFonts w:asciiTheme="minorHAnsi" w:eastAsia="Cambria" w:hAnsiTheme="minorHAnsi" w:cstheme="minorHAnsi"/>
        </w:rPr>
        <w:t>.</w:t>
      </w:r>
      <w:r w:rsidRPr="00385FC3">
        <w:rPr>
          <w:rStyle w:val="FootnoteReference"/>
          <w:rFonts w:asciiTheme="minorHAnsi" w:eastAsia="Cambria" w:hAnsiTheme="minorHAnsi" w:cstheme="minorHAnsi"/>
        </w:rPr>
        <w:footnoteReference w:id="5"/>
      </w:r>
      <w:r w:rsidRPr="00385FC3">
        <w:rPr>
          <w:rFonts w:asciiTheme="minorHAnsi" w:eastAsia="Cambria" w:hAnsiTheme="minorHAnsi" w:cstheme="minorHAnsi"/>
        </w:rPr>
        <w:t xml:space="preserve"> </w:t>
      </w:r>
    </w:p>
    <w:p w14:paraId="099E542B" w14:textId="77777777" w:rsidR="00026EBE" w:rsidRPr="0074486E" w:rsidRDefault="00026EBE" w:rsidP="00E94C79">
      <w:pPr>
        <w:pStyle w:val="Heading4"/>
      </w:pPr>
      <w:bookmarkStart w:id="51" w:name="_Toc100664706"/>
      <w:bookmarkStart w:id="52" w:name="_Toc157439276"/>
      <w:bookmarkStart w:id="53" w:name="_Toc173830118"/>
      <w:bookmarkStart w:id="54" w:name="_Toc189819953"/>
      <w:bookmarkStart w:id="55" w:name="_Toc190081223"/>
      <w:r w:rsidRPr="0074486E">
        <w:t>Octocrylene</w:t>
      </w:r>
      <w:bookmarkEnd w:id="51"/>
      <w:bookmarkEnd w:id="52"/>
      <w:bookmarkEnd w:id="53"/>
      <w:bookmarkEnd w:id="54"/>
      <w:bookmarkEnd w:id="55"/>
    </w:p>
    <w:p w14:paraId="1A0FA521" w14:textId="77777777" w:rsidR="00026EBE" w:rsidRPr="00CA39C6" w:rsidRDefault="00026EBE" w:rsidP="00026EBE">
      <w:r w:rsidRPr="0074486E">
        <w:t>Octocrylene is expected to be absorbed in the GI tract by micellar solubilisation based on its physicochemical properties (ECHA 2020b).</w:t>
      </w:r>
      <w:r w:rsidRPr="0074486E" w:rsidDel="00021679">
        <w:rPr>
          <w:vertAlign w:val="superscript"/>
        </w:rPr>
        <w:t xml:space="preserve"> </w:t>
      </w:r>
      <w:r w:rsidRPr="0074486E">
        <w:t>The inhalational uptake of octocrylene is likely to be low due to the very low vapour pressure (4</w:t>
      </w:r>
      <w:r>
        <w:t xml:space="preserve"> x</w:t>
      </w:r>
      <w:r w:rsidRPr="0074486E">
        <w:t>10</w:t>
      </w:r>
      <w:r w:rsidRPr="0074486E">
        <w:rPr>
          <w:vertAlign w:val="superscript"/>
        </w:rPr>
        <w:t>-7</w:t>
      </w:r>
      <w:r w:rsidRPr="0074486E">
        <w:t xml:space="preserve"> Pa at 20°C) (ECHA 2020b).</w:t>
      </w:r>
      <w:r w:rsidRPr="0074486E" w:rsidDel="00A67305">
        <w:rPr>
          <w:vertAlign w:val="superscript"/>
        </w:rPr>
        <w:t xml:space="preserve"> </w:t>
      </w:r>
    </w:p>
    <w:p w14:paraId="653E9C9B" w14:textId="77777777" w:rsidR="00026EBE" w:rsidRPr="0074486E" w:rsidRDefault="00026EBE" w:rsidP="00026EBE">
      <w:r w:rsidRPr="00FD09E2">
        <w:t xml:space="preserve">Octocrylene has been found to induce xenobiotic-metabolising enzymes based on mechanistic studies, oral repeated dose toxicity and reproductive/developmental toxicity studies (SCCS 2021a; ECHA 2020b). An </w:t>
      </w:r>
      <w:r w:rsidRPr="00FD09E2">
        <w:rPr>
          <w:i/>
        </w:rPr>
        <w:t>in vitro</w:t>
      </w:r>
      <w:r w:rsidRPr="00FD09E2">
        <w:t xml:space="preserve"> study on the hydrolysis-stability in rat liver S9 fraction indicated that octocrylene was metabolized in liver S9 fraction only (ECHA 2020b).</w:t>
      </w:r>
      <w:r w:rsidRPr="0074486E">
        <w:t xml:space="preserve"> </w:t>
      </w:r>
    </w:p>
    <w:p w14:paraId="2E0ADA4D" w14:textId="77777777" w:rsidR="00026EBE" w:rsidRPr="0074486E" w:rsidRDefault="00026EBE" w:rsidP="00026EBE">
      <w:r w:rsidRPr="0074486E">
        <w:rPr>
          <w:bCs/>
        </w:rPr>
        <w:t>Human octocrylene metabolism and the pathways w</w:t>
      </w:r>
      <w:r>
        <w:rPr>
          <w:bCs/>
        </w:rPr>
        <w:t>ere</w:t>
      </w:r>
      <w:r w:rsidRPr="0074486E">
        <w:rPr>
          <w:bCs/>
        </w:rPr>
        <w:t xml:space="preserve"> described by Bury </w:t>
      </w:r>
      <w:r w:rsidRPr="0074486E">
        <w:rPr>
          <w:bCs/>
          <w:i/>
        </w:rPr>
        <w:t>et al.,</w:t>
      </w:r>
      <w:r w:rsidRPr="0074486E">
        <w:rPr>
          <w:bCs/>
        </w:rPr>
        <w:t xml:space="preserve"> (2019). </w:t>
      </w:r>
      <w:r w:rsidRPr="0074486E">
        <w:t>Six metabolites of octocrylene were detected in human urine after both oral and dermal exposure simulating a regular-use scenario with whole body application to octocrylene. 2-cyano-3,3-diphenylacrylic acid (CDAA) was identified as the major urinary metabolite (~45% of the octocrylene dose) followed by 2-ethyl-5-hydroxyhexyl 2-cyano-3,3-diphenyl acrylate (5OH–OC) and 2-(carboxymethyl) butyl 2-cyano-3,3-diphenyl acrylate (</w:t>
      </w:r>
      <w:proofErr w:type="spellStart"/>
      <w:r w:rsidRPr="0074486E">
        <w:t>dinor</w:t>
      </w:r>
      <w:proofErr w:type="spellEnd"/>
      <w:r w:rsidRPr="0074486E">
        <w:t xml:space="preserve"> OC carboxylic acid, DOCCA). Faecal excretion was observed. </w:t>
      </w:r>
      <w:r w:rsidRPr="0074486E">
        <w:rPr>
          <w:i/>
          <w:iCs/>
        </w:rPr>
        <w:t xml:space="preserve">In vitro </w:t>
      </w:r>
      <w:r w:rsidRPr="0074486E">
        <w:rPr>
          <w:iCs/>
        </w:rPr>
        <w:t>study</w:t>
      </w:r>
      <w:r w:rsidRPr="0074486E">
        <w:t xml:space="preserve"> with human and rat liver microsomes</w:t>
      </w:r>
      <w:r w:rsidRPr="0074486E">
        <w:rPr>
          <w:iCs/>
        </w:rPr>
        <w:t xml:space="preserve"> </w:t>
      </w:r>
      <w:r w:rsidRPr="0074486E">
        <w:t xml:space="preserve">in the presence of NADPH and glutathione (GSH) suggested that the ester bond of octocrylene can be hydrolysed to form 3,3-diphenyl cyanoacrylate (DPCA) and 2-ethylhexanol based on the chemical structure of octocrylene (Guesmi </w:t>
      </w:r>
      <w:r w:rsidRPr="0074486E">
        <w:rPr>
          <w:i/>
        </w:rPr>
        <w:t>et al.</w:t>
      </w:r>
      <w:r w:rsidRPr="0074486E">
        <w:t xml:space="preserve"> 2020).</w:t>
      </w:r>
    </w:p>
    <w:p w14:paraId="71657657" w14:textId="77777777" w:rsidR="00026EBE" w:rsidRDefault="00026EBE" w:rsidP="00026EBE">
      <w:r w:rsidRPr="0074486E">
        <w:t xml:space="preserve">Dermal exposure resulted in much lower concentrations of metabolites with considerably delayed elimination despite much higher octocrylene (&gt; 25-fold) applied dermally (dermal dose 217 mg </w:t>
      </w:r>
      <w:r w:rsidRPr="0074486E">
        <w:rPr>
          <w:i/>
        </w:rPr>
        <w:t>vs</w:t>
      </w:r>
      <w:r w:rsidRPr="0074486E">
        <w:t xml:space="preserve"> oral dose ~5 mg). This suggests a slower uptake of octocrylene through the skin.</w:t>
      </w:r>
    </w:p>
    <w:p w14:paraId="5C79D48D" w14:textId="77777777" w:rsidR="00026EBE" w:rsidRPr="004C7D2C" w:rsidRDefault="00026EBE" w:rsidP="00026EBE">
      <w:pPr>
        <w:pStyle w:val="Tabletitle"/>
      </w:pPr>
      <w:r>
        <w:t>T</w:t>
      </w:r>
      <w:r w:rsidRPr="008466F9">
        <w:t xml:space="preserve">able </w:t>
      </w:r>
      <w:r>
        <w:t>0-</w:t>
      </w:r>
      <w:r w:rsidRPr="008466F9">
        <w:t xml:space="preserve">1 </w:t>
      </w:r>
      <w:r w:rsidRPr="004C7D2C">
        <w:t xml:space="preserve">Toxicokinetic data in urine after oral and dermal exposure to octocrylene (adapted from Bury </w:t>
      </w:r>
      <w:r w:rsidRPr="004C7D2C">
        <w:rPr>
          <w:i/>
          <w:iCs/>
        </w:rPr>
        <w:t>et al</w:t>
      </w:r>
      <w:r w:rsidRPr="004C7D2C">
        <w:t xml:space="preserve"> </w:t>
      </w:r>
      <w:proofErr w:type="gramStart"/>
      <w:r w:rsidRPr="004C7D2C">
        <w:t>2019)*</w:t>
      </w:r>
      <w:proofErr w:type="gramEnd"/>
    </w:p>
    <w:tbl>
      <w:tblPr>
        <w:tblStyle w:val="TableTGAblue2023"/>
        <w:tblW w:w="0" w:type="auto"/>
        <w:tblLook w:val="04A0" w:firstRow="1" w:lastRow="0" w:firstColumn="1" w:lastColumn="0" w:noHBand="0" w:noVBand="1"/>
      </w:tblPr>
      <w:tblGrid>
        <w:gridCol w:w="1045"/>
        <w:gridCol w:w="1022"/>
        <w:gridCol w:w="1120"/>
        <w:gridCol w:w="1960"/>
        <w:gridCol w:w="2057"/>
        <w:gridCol w:w="1812"/>
      </w:tblGrid>
      <w:tr w:rsidR="00026EBE" w14:paraId="7CBE176C" w14:textId="77777777" w:rsidTr="0008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7" w:type="dxa"/>
            <w:gridSpan w:val="3"/>
          </w:tcPr>
          <w:p w14:paraId="48DC0342" w14:textId="77777777" w:rsidR="00026EBE" w:rsidRDefault="00026EBE" w:rsidP="000850F6">
            <w:r>
              <w:t>Text</w:t>
            </w:r>
          </w:p>
        </w:tc>
        <w:tc>
          <w:tcPr>
            <w:tcW w:w="1960" w:type="dxa"/>
            <w:vAlign w:val="center"/>
          </w:tcPr>
          <w:p w14:paraId="3B75D33E"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rsidRPr="0074486E">
              <w:t>CDAA</w:t>
            </w:r>
          </w:p>
        </w:tc>
        <w:tc>
          <w:tcPr>
            <w:tcW w:w="2057" w:type="dxa"/>
            <w:vAlign w:val="center"/>
          </w:tcPr>
          <w:p w14:paraId="3235CA51"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rsidRPr="0074486E">
              <w:t>5OH-OC</w:t>
            </w:r>
          </w:p>
        </w:tc>
        <w:tc>
          <w:tcPr>
            <w:tcW w:w="1812" w:type="dxa"/>
            <w:vAlign w:val="center"/>
          </w:tcPr>
          <w:p w14:paraId="549F4244"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rsidRPr="0074486E">
              <w:t>DOCCA</w:t>
            </w:r>
          </w:p>
        </w:tc>
      </w:tr>
      <w:tr w:rsidR="00026EBE" w14:paraId="35A8303E" w14:textId="77777777" w:rsidTr="000850F6">
        <w:tc>
          <w:tcPr>
            <w:cnfStyle w:val="001000000000" w:firstRow="0" w:lastRow="0" w:firstColumn="1" w:lastColumn="0" w:oddVBand="0" w:evenVBand="0" w:oddHBand="0" w:evenHBand="0" w:firstRowFirstColumn="0" w:firstRowLastColumn="0" w:lastRowFirstColumn="0" w:lastRowLastColumn="0"/>
            <w:tcW w:w="1045" w:type="dxa"/>
            <w:vMerge w:val="restart"/>
          </w:tcPr>
          <w:p w14:paraId="23957994" w14:textId="77777777" w:rsidR="00026EBE" w:rsidRPr="004C7D2C" w:rsidRDefault="00026EBE" w:rsidP="000850F6">
            <w:pPr>
              <w:pStyle w:val="Tabletextleft"/>
              <w:rPr>
                <w:rFonts w:asciiTheme="minorHAnsi" w:hAnsiTheme="minorHAnsi" w:cstheme="minorHAnsi"/>
              </w:rPr>
            </w:pPr>
            <w:r w:rsidRPr="004C7D2C">
              <w:rPr>
                <w:rFonts w:asciiTheme="minorHAnsi" w:hAnsiTheme="minorHAnsi" w:cstheme="minorHAnsi"/>
              </w:rPr>
              <w:t xml:space="preserve">Oral </w:t>
            </w:r>
          </w:p>
          <w:p w14:paraId="3865F99C" w14:textId="77777777" w:rsidR="00026EBE" w:rsidRPr="004C7D2C" w:rsidRDefault="00026EBE" w:rsidP="000850F6">
            <w:pPr>
              <w:rPr>
                <w:rFonts w:asciiTheme="minorHAnsi" w:hAnsiTheme="minorHAnsi" w:cstheme="minorHAnsi"/>
              </w:rPr>
            </w:pPr>
            <w:r w:rsidRPr="004C7D2C">
              <w:rPr>
                <w:rFonts w:asciiTheme="minorHAnsi" w:hAnsiTheme="minorHAnsi" w:cstheme="minorHAnsi"/>
              </w:rPr>
              <w:t>(</w:t>
            </w:r>
            <w:r w:rsidRPr="004C7D2C">
              <w:rPr>
                <w:rFonts w:asciiTheme="minorHAnsi" w:hAnsiTheme="minorHAnsi" w:cstheme="minorHAnsi"/>
                <w:i/>
                <w:iCs/>
              </w:rPr>
              <w:t>n</w:t>
            </w:r>
            <w:r w:rsidRPr="004C7D2C">
              <w:rPr>
                <w:rFonts w:asciiTheme="minorHAnsi" w:hAnsiTheme="minorHAnsi" w:cstheme="minorHAnsi"/>
              </w:rPr>
              <w:t>=3)</w:t>
            </w:r>
          </w:p>
        </w:tc>
        <w:tc>
          <w:tcPr>
            <w:tcW w:w="2142" w:type="dxa"/>
            <w:gridSpan w:val="2"/>
            <w:vAlign w:val="center"/>
          </w:tcPr>
          <w:p w14:paraId="3B259D27"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Concentration (</w:t>
            </w:r>
            <w:proofErr w:type="spellStart"/>
            <w:r w:rsidRPr="0074486E">
              <w:t>μg</w:t>
            </w:r>
            <w:proofErr w:type="spellEnd"/>
            <w:r w:rsidRPr="0074486E">
              <w:t>/g creatinine)</w:t>
            </w:r>
          </w:p>
        </w:tc>
        <w:tc>
          <w:tcPr>
            <w:tcW w:w="1960" w:type="dxa"/>
            <w:vAlign w:val="center"/>
          </w:tcPr>
          <w:p w14:paraId="2D0AC5F3"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2450 (1150-4410)</w:t>
            </w:r>
          </w:p>
        </w:tc>
        <w:tc>
          <w:tcPr>
            <w:tcW w:w="2057" w:type="dxa"/>
            <w:vAlign w:val="center"/>
          </w:tcPr>
          <w:p w14:paraId="1158BA85"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1.85 (1.62-2.11)</w:t>
            </w:r>
          </w:p>
        </w:tc>
        <w:tc>
          <w:tcPr>
            <w:tcW w:w="1812" w:type="dxa"/>
            <w:vAlign w:val="center"/>
          </w:tcPr>
          <w:p w14:paraId="13F83F7C"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10.6 (9.94-11.1)</w:t>
            </w:r>
          </w:p>
        </w:tc>
      </w:tr>
      <w:tr w:rsidR="00026EBE" w14:paraId="3B557223" w14:textId="77777777" w:rsidTr="000850F6">
        <w:tc>
          <w:tcPr>
            <w:cnfStyle w:val="001000000000" w:firstRow="0" w:lastRow="0" w:firstColumn="1" w:lastColumn="0" w:oddVBand="0" w:evenVBand="0" w:oddHBand="0" w:evenHBand="0" w:firstRowFirstColumn="0" w:firstRowLastColumn="0" w:lastRowFirstColumn="0" w:lastRowLastColumn="0"/>
            <w:tcW w:w="1045" w:type="dxa"/>
            <w:vMerge/>
          </w:tcPr>
          <w:p w14:paraId="104F9D35" w14:textId="77777777" w:rsidR="00026EBE" w:rsidRPr="004C7D2C" w:rsidRDefault="00026EBE" w:rsidP="000850F6">
            <w:pPr>
              <w:rPr>
                <w:rFonts w:asciiTheme="minorHAnsi" w:hAnsiTheme="minorHAnsi" w:cstheme="minorHAnsi"/>
              </w:rPr>
            </w:pPr>
          </w:p>
        </w:tc>
        <w:tc>
          <w:tcPr>
            <w:tcW w:w="2142" w:type="dxa"/>
            <w:gridSpan w:val="2"/>
            <w:vAlign w:val="center"/>
          </w:tcPr>
          <w:p w14:paraId="594EB63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proofErr w:type="spellStart"/>
            <w:r w:rsidRPr="0074486E">
              <w:t>t</w:t>
            </w:r>
            <w:r w:rsidRPr="0074486E">
              <w:rPr>
                <w:vertAlign w:val="subscript"/>
              </w:rPr>
              <w:t>max</w:t>
            </w:r>
            <w:proofErr w:type="spellEnd"/>
            <w:r w:rsidRPr="0074486E">
              <w:t xml:space="preserve"> (hours)</w:t>
            </w:r>
          </w:p>
        </w:tc>
        <w:tc>
          <w:tcPr>
            <w:tcW w:w="1960" w:type="dxa"/>
            <w:vAlign w:val="center"/>
          </w:tcPr>
          <w:p w14:paraId="3BB081FE"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4.2 (2.7-5.0)</w:t>
            </w:r>
          </w:p>
        </w:tc>
        <w:tc>
          <w:tcPr>
            <w:tcW w:w="2057" w:type="dxa"/>
            <w:vAlign w:val="center"/>
          </w:tcPr>
          <w:p w14:paraId="7D77C157"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3.2 (1.4-4.4)</w:t>
            </w:r>
          </w:p>
        </w:tc>
        <w:tc>
          <w:tcPr>
            <w:tcW w:w="1812" w:type="dxa"/>
            <w:vAlign w:val="center"/>
          </w:tcPr>
          <w:p w14:paraId="76411F2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3.6 (1.4-5.0)</w:t>
            </w:r>
          </w:p>
        </w:tc>
      </w:tr>
      <w:tr w:rsidR="00026EBE" w14:paraId="65DAB24E" w14:textId="77777777" w:rsidTr="000850F6">
        <w:tc>
          <w:tcPr>
            <w:cnfStyle w:val="001000000000" w:firstRow="0" w:lastRow="0" w:firstColumn="1" w:lastColumn="0" w:oddVBand="0" w:evenVBand="0" w:oddHBand="0" w:evenHBand="0" w:firstRowFirstColumn="0" w:firstRowLastColumn="0" w:lastRowFirstColumn="0" w:lastRowLastColumn="0"/>
            <w:tcW w:w="1045" w:type="dxa"/>
            <w:vMerge/>
          </w:tcPr>
          <w:p w14:paraId="5808877F" w14:textId="77777777" w:rsidR="00026EBE" w:rsidRPr="004C7D2C" w:rsidRDefault="00026EBE" w:rsidP="000850F6">
            <w:pPr>
              <w:rPr>
                <w:rFonts w:asciiTheme="minorHAnsi" w:hAnsiTheme="minorHAnsi" w:cstheme="minorHAnsi"/>
              </w:rPr>
            </w:pPr>
          </w:p>
        </w:tc>
        <w:tc>
          <w:tcPr>
            <w:tcW w:w="1022" w:type="dxa"/>
            <w:vMerge w:val="restart"/>
          </w:tcPr>
          <w:p w14:paraId="5A430AB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t</w:t>
            </w:r>
            <w:r w:rsidRPr="0074486E">
              <w:rPr>
                <w:vertAlign w:val="subscript"/>
              </w:rPr>
              <w:t>½</w:t>
            </w:r>
            <w:r w:rsidRPr="0074486E">
              <w:t xml:space="preserve"> (hours)</w:t>
            </w:r>
          </w:p>
        </w:tc>
        <w:tc>
          <w:tcPr>
            <w:tcW w:w="1120" w:type="dxa"/>
            <w:vAlign w:val="center"/>
          </w:tcPr>
          <w:p w14:paraId="58FF3126"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1</w:t>
            </w:r>
            <w:r w:rsidRPr="0074486E">
              <w:rPr>
                <w:vertAlign w:val="superscript"/>
              </w:rPr>
              <w:t>st</w:t>
            </w:r>
            <w:r w:rsidRPr="0074486E">
              <w:t xml:space="preserve"> phase</w:t>
            </w:r>
          </w:p>
        </w:tc>
        <w:tc>
          <w:tcPr>
            <w:tcW w:w="1960" w:type="dxa"/>
            <w:vAlign w:val="center"/>
          </w:tcPr>
          <w:p w14:paraId="510D65C1"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5.7 (3.8-7.1)</w:t>
            </w:r>
          </w:p>
        </w:tc>
        <w:tc>
          <w:tcPr>
            <w:tcW w:w="2057" w:type="dxa"/>
            <w:vAlign w:val="center"/>
          </w:tcPr>
          <w:p w14:paraId="0A058CFC"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1.3 (1.1-1.5)</w:t>
            </w:r>
          </w:p>
        </w:tc>
        <w:tc>
          <w:tcPr>
            <w:tcW w:w="1812" w:type="dxa"/>
            <w:vAlign w:val="center"/>
          </w:tcPr>
          <w:p w14:paraId="11FE5A4B"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3.0 (2.1-3.6)</w:t>
            </w:r>
          </w:p>
        </w:tc>
      </w:tr>
      <w:tr w:rsidR="00026EBE" w14:paraId="27531D97" w14:textId="77777777" w:rsidTr="000850F6">
        <w:tc>
          <w:tcPr>
            <w:cnfStyle w:val="001000000000" w:firstRow="0" w:lastRow="0" w:firstColumn="1" w:lastColumn="0" w:oddVBand="0" w:evenVBand="0" w:oddHBand="0" w:evenHBand="0" w:firstRowFirstColumn="0" w:firstRowLastColumn="0" w:lastRowFirstColumn="0" w:lastRowLastColumn="0"/>
            <w:tcW w:w="1045" w:type="dxa"/>
            <w:vMerge/>
          </w:tcPr>
          <w:p w14:paraId="11F749FB" w14:textId="77777777" w:rsidR="00026EBE" w:rsidRPr="004C7D2C" w:rsidRDefault="00026EBE" w:rsidP="000850F6">
            <w:pPr>
              <w:rPr>
                <w:rFonts w:asciiTheme="minorHAnsi" w:hAnsiTheme="minorHAnsi" w:cstheme="minorHAnsi"/>
              </w:rPr>
            </w:pPr>
          </w:p>
        </w:tc>
        <w:tc>
          <w:tcPr>
            <w:tcW w:w="1022" w:type="dxa"/>
            <w:vMerge/>
          </w:tcPr>
          <w:p w14:paraId="56DDEE6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p>
        </w:tc>
        <w:tc>
          <w:tcPr>
            <w:tcW w:w="1120" w:type="dxa"/>
            <w:vAlign w:val="center"/>
          </w:tcPr>
          <w:p w14:paraId="1B0F1B64"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2</w:t>
            </w:r>
            <w:r w:rsidRPr="0074486E">
              <w:rPr>
                <w:vertAlign w:val="superscript"/>
              </w:rPr>
              <w:t>nd</w:t>
            </w:r>
            <w:r w:rsidRPr="0074486E">
              <w:t xml:space="preserve"> phase</w:t>
            </w:r>
          </w:p>
        </w:tc>
        <w:tc>
          <w:tcPr>
            <w:tcW w:w="1960" w:type="dxa"/>
            <w:vAlign w:val="center"/>
          </w:tcPr>
          <w:p w14:paraId="2D9A937C"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16 (14-20)</w:t>
            </w:r>
          </w:p>
        </w:tc>
        <w:tc>
          <w:tcPr>
            <w:tcW w:w="2057" w:type="dxa"/>
            <w:vAlign w:val="center"/>
          </w:tcPr>
          <w:p w14:paraId="1E18D2D1"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6.4 (5.7-7.5)</w:t>
            </w:r>
          </w:p>
        </w:tc>
        <w:tc>
          <w:tcPr>
            <w:tcW w:w="1812" w:type="dxa"/>
            <w:vAlign w:val="center"/>
          </w:tcPr>
          <w:p w14:paraId="395C5C71"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16 (10-21)</w:t>
            </w:r>
          </w:p>
        </w:tc>
      </w:tr>
      <w:tr w:rsidR="00026EBE" w14:paraId="070ACD07" w14:textId="77777777" w:rsidTr="000850F6">
        <w:tc>
          <w:tcPr>
            <w:cnfStyle w:val="001000000000" w:firstRow="0" w:lastRow="0" w:firstColumn="1" w:lastColumn="0" w:oddVBand="0" w:evenVBand="0" w:oddHBand="0" w:evenHBand="0" w:firstRowFirstColumn="0" w:firstRowLastColumn="0" w:lastRowFirstColumn="0" w:lastRowLastColumn="0"/>
            <w:tcW w:w="1045" w:type="dxa"/>
          </w:tcPr>
          <w:p w14:paraId="3AA2E8B9" w14:textId="77777777" w:rsidR="00026EBE" w:rsidRPr="004C7D2C" w:rsidRDefault="00026EBE" w:rsidP="000850F6">
            <w:pPr>
              <w:pStyle w:val="Tabletextleft"/>
              <w:rPr>
                <w:rFonts w:asciiTheme="minorHAnsi" w:hAnsiTheme="minorHAnsi" w:cstheme="minorHAnsi"/>
              </w:rPr>
            </w:pPr>
            <w:r w:rsidRPr="004C7D2C">
              <w:rPr>
                <w:rFonts w:asciiTheme="minorHAnsi" w:hAnsiTheme="minorHAnsi" w:cstheme="minorHAnsi"/>
              </w:rPr>
              <w:t xml:space="preserve">Dermal </w:t>
            </w:r>
          </w:p>
          <w:p w14:paraId="16C6C3E5" w14:textId="77777777" w:rsidR="00026EBE" w:rsidRPr="004C7D2C" w:rsidRDefault="00026EBE" w:rsidP="000850F6">
            <w:pPr>
              <w:rPr>
                <w:rFonts w:asciiTheme="minorHAnsi" w:hAnsiTheme="minorHAnsi" w:cstheme="minorHAnsi"/>
              </w:rPr>
            </w:pPr>
            <w:r w:rsidRPr="004C7D2C">
              <w:rPr>
                <w:rFonts w:asciiTheme="minorHAnsi" w:hAnsiTheme="minorHAnsi" w:cstheme="minorHAnsi"/>
              </w:rPr>
              <w:t>(</w:t>
            </w:r>
            <w:r w:rsidRPr="004C7D2C">
              <w:rPr>
                <w:rFonts w:asciiTheme="minorHAnsi" w:hAnsiTheme="minorHAnsi" w:cstheme="minorHAnsi"/>
                <w:i/>
                <w:iCs/>
              </w:rPr>
              <w:t>n</w:t>
            </w:r>
            <w:r w:rsidRPr="004C7D2C">
              <w:rPr>
                <w:rFonts w:asciiTheme="minorHAnsi" w:hAnsiTheme="minorHAnsi" w:cstheme="minorHAnsi"/>
              </w:rPr>
              <w:t>=1)</w:t>
            </w:r>
          </w:p>
        </w:tc>
        <w:tc>
          <w:tcPr>
            <w:tcW w:w="2142" w:type="dxa"/>
            <w:gridSpan w:val="2"/>
          </w:tcPr>
          <w:p w14:paraId="6255F4FE"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Concentration (</w:t>
            </w:r>
            <w:proofErr w:type="spellStart"/>
            <w:r w:rsidRPr="0074486E">
              <w:t>μg</w:t>
            </w:r>
            <w:proofErr w:type="spellEnd"/>
            <w:r w:rsidRPr="0074486E">
              <w:t>/g creatinine)</w:t>
            </w:r>
          </w:p>
        </w:tc>
        <w:tc>
          <w:tcPr>
            <w:tcW w:w="1960" w:type="dxa"/>
            <w:vAlign w:val="center"/>
          </w:tcPr>
          <w:p w14:paraId="16A49515"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71.4</w:t>
            </w:r>
          </w:p>
        </w:tc>
        <w:tc>
          <w:tcPr>
            <w:tcW w:w="2057" w:type="dxa"/>
            <w:vAlign w:val="center"/>
          </w:tcPr>
          <w:p w14:paraId="42F8142E"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0.14</w:t>
            </w:r>
          </w:p>
        </w:tc>
        <w:tc>
          <w:tcPr>
            <w:tcW w:w="1812" w:type="dxa"/>
            <w:vAlign w:val="center"/>
          </w:tcPr>
          <w:p w14:paraId="422B027A"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4486E">
              <w:t>1.15</w:t>
            </w:r>
          </w:p>
        </w:tc>
      </w:tr>
    </w:tbl>
    <w:p w14:paraId="44683CB1" w14:textId="77777777" w:rsidR="00026EBE" w:rsidRPr="005B3800" w:rsidRDefault="00026EBE" w:rsidP="00026EBE">
      <w:pPr>
        <w:rPr>
          <w:sz w:val="16"/>
          <w:szCs w:val="16"/>
        </w:rPr>
      </w:pPr>
      <w:r w:rsidRPr="005B3800">
        <w:rPr>
          <w:sz w:val="16"/>
          <w:szCs w:val="16"/>
        </w:rPr>
        <w:t>*Median (range) values are reported.</w:t>
      </w:r>
    </w:p>
    <w:p w14:paraId="6DED2026" w14:textId="77777777" w:rsidR="00026EBE" w:rsidRPr="00385FC3" w:rsidRDefault="00026EBE" w:rsidP="00026EBE">
      <w:r w:rsidRPr="00385FC3">
        <w:t xml:space="preserve">Following dermal application of octocrylene (8-10%) in </w:t>
      </w:r>
      <w:r w:rsidRPr="00385FC3">
        <w:rPr>
          <w:i/>
        </w:rPr>
        <w:t>in vitro</w:t>
      </w:r>
      <w:r w:rsidRPr="00385FC3">
        <w:t xml:space="preserve"> studies, poor skin penetration (&lt; 5%) of octocrylene was observed with mostly remaining in the stratum corneum (Freitas </w:t>
      </w:r>
      <w:r w:rsidRPr="00385FC3">
        <w:rPr>
          <w:i/>
        </w:rPr>
        <w:t>et al.</w:t>
      </w:r>
      <w:r w:rsidRPr="00385FC3">
        <w:t xml:space="preserve"> 2015; </w:t>
      </w:r>
      <w:proofErr w:type="spellStart"/>
      <w:r w:rsidRPr="00385FC3">
        <w:t>Potard</w:t>
      </w:r>
      <w:proofErr w:type="spellEnd"/>
      <w:r w:rsidRPr="00385FC3">
        <w:t xml:space="preserve"> </w:t>
      </w:r>
      <w:r w:rsidRPr="00385FC3">
        <w:rPr>
          <w:i/>
        </w:rPr>
        <w:t>et al.</w:t>
      </w:r>
      <w:r w:rsidRPr="00385FC3">
        <w:t xml:space="preserve"> 2000; Hayden </w:t>
      </w:r>
      <w:r w:rsidRPr="00385FC3">
        <w:rPr>
          <w:i/>
        </w:rPr>
        <w:t>et al.</w:t>
      </w:r>
      <w:r w:rsidRPr="00385FC3">
        <w:t xml:space="preserve"> 2005). The dermal absorption (%) was not determined in these studies. Similar findings were observed in a study with a formulation (8% octocrylene) applied on freshly </w:t>
      </w:r>
      <w:proofErr w:type="spellStart"/>
      <w:r w:rsidRPr="00385FC3">
        <w:t>dermatomized</w:t>
      </w:r>
      <w:proofErr w:type="spellEnd"/>
      <w:r w:rsidRPr="00385FC3">
        <w:t xml:space="preserve"> human skin (344 ± 61 µm) in static diffusion cells at a dose of 3 mg/cm</w:t>
      </w:r>
      <w:r w:rsidRPr="00385FC3">
        <w:rPr>
          <w:vertAlign w:val="superscript"/>
        </w:rPr>
        <w:t>2</w:t>
      </w:r>
      <w:r w:rsidRPr="00385FC3">
        <w:t xml:space="preserve"> for a 16-hour period. 0.1%, 0.005% and 4.3% of the applied dose were found in epidermis, dermis and in the stratum corneum, respectively (ECHA 2020b). No octocrylene was detectable in the receptor fluid. After 24 hours of dosing, octocrylene bioavailability (epidermis, dermis and receptor fluid) was estimated ~ 0.1% of the applied dose (ECHA 2020b; SCCS 2021a). In another study, a cream formulation (8% octocrylene) was applied for 16 hours (3 mg formulation/cm</w:t>
      </w:r>
      <w:r w:rsidRPr="00385FC3">
        <w:rPr>
          <w:vertAlign w:val="superscript"/>
        </w:rPr>
        <w:t>2</w:t>
      </w:r>
      <w:r w:rsidRPr="00385FC3">
        <w:t xml:space="preserve">) on freshly </w:t>
      </w:r>
      <w:proofErr w:type="spellStart"/>
      <w:r w:rsidRPr="00385FC3">
        <w:t>dermatomed</w:t>
      </w:r>
      <w:proofErr w:type="spellEnd"/>
      <w:r w:rsidRPr="00385FC3">
        <w:t xml:space="preserve"> pig (700 ± 50 µm) and human (350 ± 50 µm) skin in static diffusion cells (ECHA 2020b). In the study with pig skin, no octocrylene was detectable in the receptor fluid whereas 2.8% and 0.3% of the applied dose were found in pig epidermis and dermis, respectively, and 14% were detected in the stratum corneum. In the study with human epidermis and dermis, only 0.125% of the applied dose were found, whereas 5.4% was determined for human stratum corneum. Based on these data, the amount bioavailable (epidermis, dermis and receptor fluid) represents approximately 0.2% and 3% of the applied dose in the human and pig skin, respectively (ECHA 2020b). The SCCS (2021a) also referred to the octocrylene Chemical Safety Report (2010) which indicated a low dermal absorption rate (≤ 0.25%). </w:t>
      </w:r>
    </w:p>
    <w:p w14:paraId="3CF74771" w14:textId="77777777" w:rsidR="00026EBE" w:rsidRPr="00385FC3" w:rsidRDefault="00026EBE" w:rsidP="00026EBE">
      <w:pPr>
        <w:rPr>
          <w:rFonts w:cs="Arial"/>
        </w:rPr>
      </w:pPr>
      <w:r w:rsidRPr="00385FC3">
        <w:rPr>
          <w:rFonts w:cs="Arial"/>
        </w:rPr>
        <w:t xml:space="preserve">A recent </w:t>
      </w:r>
      <w:r w:rsidRPr="00385FC3">
        <w:rPr>
          <w:rFonts w:cs="Arial"/>
          <w:i/>
          <w:iCs/>
        </w:rPr>
        <w:t>in vitro</w:t>
      </w:r>
      <w:r w:rsidRPr="00385FC3">
        <w:rPr>
          <w:rFonts w:cs="Arial"/>
        </w:rPr>
        <w:t xml:space="preserve"> study (Fabian and Landsiedel 2020, as cited in SCCS 2021a) with a formulation (10% octocrylene) applied at a dose of 3 mg formulation/cm</w:t>
      </w:r>
      <w:r w:rsidRPr="00385FC3">
        <w:rPr>
          <w:rFonts w:cs="Arial"/>
          <w:vertAlign w:val="superscript"/>
        </w:rPr>
        <w:t>2</w:t>
      </w:r>
      <w:r w:rsidRPr="00385FC3">
        <w:rPr>
          <w:rFonts w:cs="Arial"/>
        </w:rPr>
        <w:t xml:space="preserve"> on </w:t>
      </w:r>
      <w:proofErr w:type="spellStart"/>
      <w:r w:rsidRPr="00385FC3">
        <w:rPr>
          <w:rFonts w:cs="Arial"/>
        </w:rPr>
        <w:t>dermatomized</w:t>
      </w:r>
      <w:proofErr w:type="spellEnd"/>
      <w:r w:rsidRPr="00385FC3">
        <w:rPr>
          <w:rFonts w:cs="Arial"/>
        </w:rPr>
        <w:t xml:space="preserve"> human skin preparations (</w:t>
      </w:r>
      <w:r w:rsidRPr="00385FC3">
        <w:rPr>
          <w:rFonts w:cs="Arial"/>
          <w:i/>
        </w:rPr>
        <w:t xml:space="preserve">n </w:t>
      </w:r>
      <w:r w:rsidRPr="00385FC3">
        <w:rPr>
          <w:rFonts w:cs="Arial"/>
        </w:rPr>
        <w:t xml:space="preserve">=12 skin samples from six females) for 24 hours was evaluated by SCCS (2021a). At 24 hours post-dose, the amount considered as absorbed (epidermis, dermis and receptor fluid) was estimated to be a maximum of 0.45±0.52 </w:t>
      </w:r>
      <w:proofErr w:type="spellStart"/>
      <w:r w:rsidRPr="00385FC3">
        <w:rPr>
          <w:rFonts w:cs="Arial"/>
        </w:rPr>
        <w:t>μg</w:t>
      </w:r>
      <w:proofErr w:type="spellEnd"/>
      <w:r w:rsidRPr="00385FC3">
        <w:rPr>
          <w:rFonts w:cs="Arial"/>
        </w:rPr>
        <w:t>/cm</w:t>
      </w:r>
      <w:r w:rsidRPr="00385FC3">
        <w:rPr>
          <w:rFonts w:cs="Arial"/>
          <w:vertAlign w:val="superscript"/>
        </w:rPr>
        <w:t>2</w:t>
      </w:r>
      <w:r w:rsidRPr="00385FC3">
        <w:rPr>
          <w:rFonts w:cs="Arial"/>
        </w:rPr>
        <w:t xml:space="preserve"> (~ 0.15% of the applied dose) consistent with previous findings. The </w:t>
      </w:r>
      <w:r w:rsidRPr="00385FC3">
        <w:rPr>
          <w:rFonts w:cs="Arial"/>
          <w:b/>
          <w:bCs/>
        </w:rPr>
        <w:t>dermal absorption of 0.97 µg/cm</w:t>
      </w:r>
      <w:r w:rsidRPr="00385FC3">
        <w:rPr>
          <w:rFonts w:cs="Arial"/>
          <w:b/>
          <w:bCs/>
          <w:vertAlign w:val="superscript"/>
        </w:rPr>
        <w:t>2</w:t>
      </w:r>
      <w:r w:rsidRPr="00385FC3">
        <w:rPr>
          <w:rFonts w:cs="Arial"/>
        </w:rPr>
        <w:t xml:space="preserve"> (Fabian and Landsiedel 2020, as cited in SCCS 2021a) was considered a worst-case scenario for octocrylene and was used in the calculation of SED and MoS by the SCCS (2021a).</w:t>
      </w:r>
    </w:p>
    <w:p w14:paraId="757C9AC8" w14:textId="77777777" w:rsidR="00026EBE" w:rsidRPr="0074486E" w:rsidRDefault="00026EBE" w:rsidP="00E94C79">
      <w:pPr>
        <w:pStyle w:val="Heading4"/>
      </w:pPr>
      <w:bookmarkStart w:id="56" w:name="_Toc100664707"/>
      <w:bookmarkStart w:id="57" w:name="_Toc157439277"/>
      <w:bookmarkStart w:id="58" w:name="_Toc173830119"/>
      <w:bookmarkStart w:id="59" w:name="_Toc189819954"/>
      <w:bookmarkStart w:id="60" w:name="_Toc190081224"/>
      <w:r w:rsidRPr="0074486E">
        <w:t>Octinoxate</w:t>
      </w:r>
      <w:bookmarkEnd w:id="56"/>
      <w:bookmarkEnd w:id="57"/>
      <w:bookmarkEnd w:id="58"/>
      <w:bookmarkEnd w:id="59"/>
      <w:bookmarkEnd w:id="60"/>
      <w:r w:rsidRPr="0074486E">
        <w:t xml:space="preserve"> </w:t>
      </w:r>
    </w:p>
    <w:p w14:paraId="484AD79A" w14:textId="77777777" w:rsidR="00026EBE" w:rsidRPr="00385FC3" w:rsidRDefault="00026EBE" w:rsidP="00026EBE">
      <w:pPr>
        <w:autoSpaceDE w:val="0"/>
        <w:autoSpaceDN w:val="0"/>
        <w:adjustRightInd w:val="0"/>
        <w:rPr>
          <w:rFonts w:eastAsia="Cambria" w:cs="Arial"/>
        </w:rPr>
      </w:pPr>
      <w:r w:rsidRPr="00385FC3">
        <w:rPr>
          <w:rFonts w:eastAsia="Times New Roman" w:cs="Arial"/>
          <w:lang w:eastAsia="en-AU"/>
        </w:rPr>
        <w:t xml:space="preserve">Octinoxate absorption studies (oral and dermal) in rats and mice indicate octinoxate can be absorbed dermally and orally </w:t>
      </w:r>
      <w:r w:rsidRPr="00385FC3">
        <w:rPr>
          <w:rFonts w:eastAsia="Cambria" w:cs="Arial"/>
        </w:rPr>
        <w:t xml:space="preserve">(Fennell </w:t>
      </w:r>
      <w:r w:rsidRPr="00385FC3">
        <w:rPr>
          <w:rFonts w:eastAsia="Cambria" w:cs="Arial"/>
          <w:i/>
        </w:rPr>
        <w:t>et al.</w:t>
      </w:r>
      <w:r w:rsidRPr="00385FC3">
        <w:rPr>
          <w:rFonts w:eastAsia="Cambria" w:cs="Arial"/>
        </w:rPr>
        <w:t xml:space="preserve"> 2018). Octinoxate was rapidly cleared from rat hepatocytes (half-life ≤3.16 min) compared to human hepatocytes (half-life ≤48 min). [</w:t>
      </w:r>
      <w:r w:rsidRPr="00385FC3">
        <w:rPr>
          <w:rFonts w:eastAsia="Cambria" w:cs="Arial"/>
          <w:vertAlign w:val="superscript"/>
        </w:rPr>
        <w:t>14</w:t>
      </w:r>
      <w:r w:rsidRPr="00385FC3">
        <w:rPr>
          <w:rFonts w:eastAsia="Cambria" w:cs="Arial"/>
        </w:rPr>
        <w:t>C]-octinoxate was extensively absorbed and excreted primarily in urine by 72 h after oral administration (65-80%) and a lesser extent (3-8%) in faeces and as CO</w:t>
      </w:r>
      <w:r w:rsidRPr="00385FC3">
        <w:rPr>
          <w:rFonts w:eastAsia="Cambria" w:cs="Arial"/>
          <w:vertAlign w:val="subscript"/>
        </w:rPr>
        <w:t>2</w:t>
      </w:r>
      <w:r w:rsidRPr="00385FC3">
        <w:rPr>
          <w:rFonts w:eastAsia="Cambria" w:cs="Arial"/>
        </w:rPr>
        <w:t xml:space="preserve"> (1-4%).  </w:t>
      </w:r>
    </w:p>
    <w:p w14:paraId="7A3E0CFA" w14:textId="77777777" w:rsidR="00026EBE" w:rsidRPr="00385FC3" w:rsidRDefault="00026EBE" w:rsidP="00026EBE">
      <w:pPr>
        <w:autoSpaceDE w:val="0"/>
        <w:autoSpaceDN w:val="0"/>
        <w:adjustRightInd w:val="0"/>
        <w:rPr>
          <w:rFonts w:eastAsia="Times New Roman" w:cs="Arial"/>
          <w:lang w:eastAsia="en-AU"/>
        </w:rPr>
      </w:pPr>
      <w:r w:rsidRPr="00385FC3">
        <w:rPr>
          <w:rFonts w:eastAsia="Times New Roman" w:cs="Arial"/>
          <w:lang w:eastAsia="en-AU"/>
        </w:rPr>
        <w:t xml:space="preserve">Five metabolites were found in rat urine after oral exposure to octinoxate (200 mg/kg </w:t>
      </w:r>
      <w:proofErr w:type="spellStart"/>
      <w:r w:rsidRPr="00385FC3">
        <w:rPr>
          <w:rFonts w:eastAsia="Times New Roman" w:cs="Arial"/>
          <w:lang w:eastAsia="en-AU"/>
        </w:rPr>
        <w:t>bw</w:t>
      </w:r>
      <w:proofErr w:type="spellEnd"/>
      <w:r w:rsidRPr="00385FC3">
        <w:rPr>
          <w:rFonts w:eastAsia="Times New Roman" w:cs="Arial"/>
          <w:lang w:eastAsia="en-AU"/>
        </w:rPr>
        <w:t xml:space="preserve"> and 1000 mg/kg </w:t>
      </w:r>
      <w:proofErr w:type="spellStart"/>
      <w:r w:rsidRPr="00385FC3">
        <w:rPr>
          <w:rFonts w:eastAsia="Times New Roman" w:cs="Arial"/>
          <w:lang w:eastAsia="en-AU"/>
        </w:rPr>
        <w:t>bw</w:t>
      </w:r>
      <w:proofErr w:type="spellEnd"/>
      <w:r w:rsidRPr="00385FC3">
        <w:rPr>
          <w:rFonts w:eastAsia="Times New Roman" w:cs="Arial"/>
          <w:lang w:eastAsia="en-AU"/>
        </w:rPr>
        <w:t xml:space="preserve">) (Huang </w:t>
      </w:r>
      <w:r w:rsidRPr="00385FC3">
        <w:rPr>
          <w:rFonts w:eastAsia="Times New Roman" w:cs="Arial"/>
          <w:i/>
          <w:lang w:eastAsia="en-AU"/>
        </w:rPr>
        <w:t>et al.</w:t>
      </w:r>
      <w:r w:rsidRPr="00385FC3">
        <w:rPr>
          <w:rFonts w:eastAsia="Times New Roman" w:cs="Arial"/>
          <w:lang w:eastAsia="en-AU"/>
        </w:rPr>
        <w:t xml:space="preserve"> 2019).  The major metabolites of octinoxate were 4-methoxycinnamic acid (4-MCA) and 4′-methoxyacetophenone (4′-MAP). The concentration of two metabolites was found to be much higher than octinoxate, highlighting that measuring octinoxate alone could not comprehensively evaluate the human exposure to octinoxate. </w:t>
      </w:r>
    </w:p>
    <w:p w14:paraId="3984D173" w14:textId="77777777" w:rsidR="00026EBE" w:rsidRPr="00385FC3" w:rsidRDefault="00026EBE" w:rsidP="00026EBE">
      <w:pPr>
        <w:rPr>
          <w:rFonts w:eastAsia="Times New Roman" w:cs="Arial"/>
          <w:snapToGrid w:val="0"/>
          <w:kern w:val="16"/>
          <w:lang w:eastAsia="en-AU"/>
        </w:rPr>
      </w:pPr>
      <w:r w:rsidRPr="00385FC3">
        <w:rPr>
          <w:rFonts w:eastAsia="Times New Roman" w:cs="Arial"/>
          <w:snapToGrid w:val="0"/>
          <w:kern w:val="16"/>
          <w:lang w:eastAsia="en-AU"/>
        </w:rPr>
        <w:t>Dermal penetration was observed to be dependent on the vehicles, when using the tape-stripping technique. Significantly greater amounts were absorbed when the chemical was applied in emulsions than when microencapsulated (HSDB). Octinoxate was able to penetrate the skin, and derivatives were formed when it was applied with oleaginous cream as a vehicle on excised rat skin. In contrast, octinoxate penetration was not observed following the administration of octinoxate as entrapped into solid lipid microspheres (SLM)</w:t>
      </w:r>
      <w:bookmarkStart w:id="61" w:name="_Ref65671276"/>
      <w:r w:rsidRPr="00385FC3">
        <w:rPr>
          <w:rFonts w:eastAsia="Times New Roman" w:cs="Arial"/>
          <w:snapToGrid w:val="0"/>
          <w:kern w:val="16"/>
          <w:lang w:eastAsia="en-AU"/>
        </w:rPr>
        <w:t xml:space="preserve"> (Yener </w:t>
      </w:r>
      <w:r w:rsidRPr="00385FC3">
        <w:rPr>
          <w:rFonts w:eastAsia="Times New Roman" w:cs="Arial"/>
          <w:i/>
          <w:snapToGrid w:val="0"/>
          <w:kern w:val="16"/>
          <w:lang w:eastAsia="en-AU"/>
        </w:rPr>
        <w:t>et al.</w:t>
      </w:r>
      <w:r w:rsidRPr="00385FC3">
        <w:rPr>
          <w:rFonts w:eastAsia="Times New Roman" w:cs="Arial"/>
          <w:snapToGrid w:val="0"/>
          <w:kern w:val="16"/>
          <w:lang w:eastAsia="en-AU"/>
        </w:rPr>
        <w:t xml:space="preserve"> 2003).</w:t>
      </w:r>
      <w:bookmarkEnd w:id="61"/>
      <w:r w:rsidRPr="00385FC3">
        <w:rPr>
          <w:rFonts w:eastAsia="Times New Roman" w:cs="Arial"/>
          <w:snapToGrid w:val="0"/>
          <w:kern w:val="16"/>
          <w:lang w:eastAsia="en-AU"/>
        </w:rPr>
        <w:t xml:space="preserve"> </w:t>
      </w:r>
    </w:p>
    <w:p w14:paraId="376401B8" w14:textId="77777777" w:rsidR="00026EBE" w:rsidRPr="00385FC3" w:rsidRDefault="00026EBE" w:rsidP="00026EBE">
      <w:pPr>
        <w:rPr>
          <w:rFonts w:eastAsia="Times New Roman" w:cs="Arial"/>
          <w:snapToGrid w:val="0"/>
          <w:kern w:val="16"/>
          <w:lang w:eastAsia="en-AU"/>
        </w:rPr>
      </w:pPr>
      <w:r w:rsidRPr="00385FC3">
        <w:rPr>
          <w:rFonts w:eastAsia="Times New Roman" w:cs="Arial"/>
          <w:snapToGrid w:val="0"/>
          <w:kern w:val="16"/>
          <w:lang w:eastAsia="en-AU"/>
        </w:rPr>
        <w:t xml:space="preserve">Studies with porcine skin showed that about 9% of the applied dose of octinoxate penetrates the skin with a flux of 27 </w:t>
      </w:r>
      <w:proofErr w:type="spellStart"/>
      <w:r w:rsidRPr="00385FC3">
        <w:rPr>
          <w:rFonts w:eastAsia="Times New Roman" w:cs="Arial"/>
          <w:snapToGrid w:val="0"/>
          <w:kern w:val="16"/>
          <w:lang w:eastAsia="en-AU"/>
        </w:rPr>
        <w:t>μg</w:t>
      </w:r>
      <w:proofErr w:type="spellEnd"/>
      <w:r w:rsidRPr="00385FC3">
        <w:rPr>
          <w:rFonts w:eastAsia="Times New Roman" w:cs="Arial"/>
          <w:snapToGrid w:val="0"/>
          <w:kern w:val="16"/>
          <w:lang w:eastAsia="en-AU"/>
        </w:rPr>
        <w:t>/cm</w:t>
      </w:r>
      <w:r w:rsidRPr="00385FC3">
        <w:rPr>
          <w:rFonts w:eastAsia="Times New Roman" w:cs="Arial"/>
          <w:snapToGrid w:val="0"/>
          <w:kern w:val="16"/>
          <w:vertAlign w:val="superscript"/>
          <w:lang w:eastAsia="en-AU"/>
        </w:rPr>
        <w:t>2</w:t>
      </w:r>
      <w:r w:rsidRPr="00385FC3">
        <w:rPr>
          <w:rFonts w:eastAsia="Times New Roman" w:cs="Arial"/>
          <w:snapToGrid w:val="0"/>
          <w:kern w:val="16"/>
          <w:lang w:eastAsia="en-AU"/>
        </w:rPr>
        <w:t>·h</w:t>
      </w:r>
      <w:bookmarkStart w:id="62" w:name="_Ref65671283"/>
      <w:r w:rsidRPr="00385FC3">
        <w:rPr>
          <w:rFonts w:eastAsia="Times New Roman" w:cs="Arial"/>
          <w:snapToGrid w:val="0"/>
          <w:kern w:val="16"/>
          <w:lang w:eastAsia="en-AU"/>
        </w:rPr>
        <w:t xml:space="preserve"> (</w:t>
      </w:r>
      <w:r w:rsidRPr="00385FC3">
        <w:rPr>
          <w:rFonts w:cs="Arial"/>
        </w:rPr>
        <w:t>Touitou and Godin 2008)</w:t>
      </w:r>
      <w:bookmarkEnd w:id="62"/>
      <w:r w:rsidRPr="00385FC3">
        <w:rPr>
          <w:rFonts w:eastAsia="Times New Roman" w:cs="Arial"/>
          <w:snapToGrid w:val="0"/>
          <w:kern w:val="16"/>
          <w:lang w:eastAsia="en-AU"/>
        </w:rPr>
        <w:t xml:space="preserve">. An accumulation of ~9% of octinoxate in epidermis and ~2-3% in dermis </w:t>
      </w:r>
      <w:proofErr w:type="gramStart"/>
      <w:r w:rsidRPr="00385FC3">
        <w:rPr>
          <w:rFonts w:eastAsia="Times New Roman" w:cs="Arial"/>
          <w:snapToGrid w:val="0"/>
          <w:kern w:val="16"/>
          <w:lang w:eastAsia="en-AU"/>
        </w:rPr>
        <w:t>were</w:t>
      </w:r>
      <w:proofErr w:type="gramEnd"/>
      <w:r w:rsidRPr="00385FC3">
        <w:rPr>
          <w:rFonts w:eastAsia="Times New Roman" w:cs="Arial"/>
          <w:snapToGrid w:val="0"/>
          <w:kern w:val="16"/>
          <w:lang w:eastAsia="en-AU"/>
        </w:rPr>
        <w:t xml:space="preserve"> observed following application of 2 mg/cm</w:t>
      </w:r>
      <w:r w:rsidRPr="00385FC3">
        <w:rPr>
          <w:rFonts w:eastAsia="Times New Roman" w:cs="Arial"/>
          <w:snapToGrid w:val="0"/>
          <w:kern w:val="16"/>
          <w:vertAlign w:val="superscript"/>
          <w:lang w:eastAsia="en-AU"/>
        </w:rPr>
        <w:t>2</w:t>
      </w:r>
      <w:r w:rsidRPr="00385FC3">
        <w:rPr>
          <w:rFonts w:eastAsia="Times New Roman" w:cs="Arial"/>
          <w:snapToGrid w:val="0"/>
          <w:kern w:val="16"/>
          <w:lang w:eastAsia="en-AU"/>
        </w:rPr>
        <w:t xml:space="preserve"> and 0.5 mg/cm</w:t>
      </w:r>
      <w:r w:rsidRPr="00385FC3">
        <w:rPr>
          <w:rFonts w:eastAsia="Times New Roman" w:cs="Arial"/>
          <w:snapToGrid w:val="0"/>
          <w:kern w:val="16"/>
          <w:vertAlign w:val="superscript"/>
          <w:lang w:eastAsia="en-AU"/>
        </w:rPr>
        <w:t>2</w:t>
      </w:r>
      <w:r w:rsidRPr="00385FC3">
        <w:rPr>
          <w:rFonts w:eastAsia="Times New Roman" w:cs="Arial"/>
          <w:snapToGrid w:val="0"/>
          <w:kern w:val="16"/>
          <w:lang w:eastAsia="en-AU"/>
        </w:rPr>
        <w:t xml:space="preserve"> of octinoxate, respectively for 6 h exposure (</w:t>
      </w:r>
      <w:r w:rsidRPr="00385FC3">
        <w:rPr>
          <w:rFonts w:cs="Arial"/>
        </w:rPr>
        <w:t xml:space="preserve">Schneider </w:t>
      </w:r>
      <w:r w:rsidRPr="00385FC3">
        <w:rPr>
          <w:rFonts w:cs="Arial"/>
          <w:i/>
        </w:rPr>
        <w:t>et al.</w:t>
      </w:r>
      <w:r w:rsidRPr="00385FC3">
        <w:rPr>
          <w:rFonts w:cs="Arial"/>
        </w:rPr>
        <w:t xml:space="preserve"> 2005</w:t>
      </w:r>
      <w:r w:rsidRPr="00385FC3">
        <w:rPr>
          <w:rFonts w:eastAsia="Times New Roman" w:cs="Arial"/>
          <w:snapToGrid w:val="0"/>
          <w:kern w:val="16"/>
          <w:lang w:eastAsia="en-AU"/>
        </w:rPr>
        <w:t>).</w:t>
      </w:r>
      <w:r w:rsidRPr="00385FC3">
        <w:rPr>
          <w:rFonts w:eastAsia="Times New Roman" w:cs="Arial"/>
          <w:i/>
          <w:snapToGrid w:val="0"/>
          <w:kern w:val="16"/>
          <w:lang w:eastAsia="en-AU"/>
        </w:rPr>
        <w:t xml:space="preserve"> </w:t>
      </w:r>
      <w:r w:rsidRPr="00385FC3">
        <w:rPr>
          <w:rFonts w:eastAsia="Times New Roman" w:cs="Arial"/>
          <w:snapToGrid w:val="0"/>
          <w:kern w:val="16"/>
          <w:lang w:eastAsia="en-AU"/>
        </w:rPr>
        <w:t xml:space="preserve">Octinoxate accumulation is expected to increase over time as the accumulation in dermis was found to be ~12-15% of the dose applied and 2-4% of the dose was found to cross the dermis and </w:t>
      </w:r>
      <w:proofErr w:type="gramStart"/>
      <w:r w:rsidRPr="00385FC3">
        <w:rPr>
          <w:rFonts w:eastAsia="Times New Roman" w:cs="Arial"/>
          <w:snapToGrid w:val="0"/>
          <w:kern w:val="16"/>
          <w:lang w:eastAsia="en-AU"/>
        </w:rPr>
        <w:t>enter into</w:t>
      </w:r>
      <w:proofErr w:type="gramEnd"/>
      <w:r w:rsidRPr="00385FC3">
        <w:rPr>
          <w:rFonts w:eastAsia="Times New Roman" w:cs="Arial"/>
          <w:snapToGrid w:val="0"/>
          <w:kern w:val="16"/>
          <w:lang w:eastAsia="en-AU"/>
        </w:rPr>
        <w:t xml:space="preserve"> the circulation after 24 hours. </w:t>
      </w:r>
    </w:p>
    <w:p w14:paraId="12A2BAA0" w14:textId="77777777" w:rsidR="00026EBE" w:rsidRPr="00385FC3" w:rsidRDefault="00026EBE" w:rsidP="00026EBE">
      <w:pPr>
        <w:rPr>
          <w:rFonts w:eastAsia="Times New Roman" w:cs="Arial"/>
          <w:snapToGrid w:val="0"/>
          <w:kern w:val="16"/>
          <w:lang w:eastAsia="en-AU"/>
        </w:rPr>
      </w:pPr>
      <w:r w:rsidRPr="00385FC3">
        <w:rPr>
          <w:rFonts w:eastAsia="Times New Roman" w:cs="Arial"/>
          <w:snapToGrid w:val="0"/>
          <w:kern w:val="16"/>
          <w:lang w:eastAsia="en-AU"/>
        </w:rPr>
        <w:t xml:space="preserve">An </w:t>
      </w:r>
      <w:r w:rsidRPr="00385FC3">
        <w:rPr>
          <w:rFonts w:eastAsia="Times New Roman" w:cs="Arial"/>
          <w:i/>
          <w:iCs/>
          <w:snapToGrid w:val="0"/>
          <w:kern w:val="16"/>
          <w:lang w:eastAsia="en-AU"/>
        </w:rPr>
        <w:t>in vitro</w:t>
      </w:r>
      <w:r w:rsidRPr="00385FC3">
        <w:rPr>
          <w:rFonts w:eastAsia="Times New Roman" w:cs="Arial"/>
          <w:snapToGrid w:val="0"/>
          <w:kern w:val="16"/>
          <w:lang w:eastAsia="en-AU"/>
        </w:rPr>
        <w:t xml:space="preserve"> absorption study with sunscreen (O/W , oil in water emulsion and W/O, water in oil emulsion) containing octinoxate or EHMC (10%) on full-thickness pig-ear skin, mimicking human in-use conditions revealed the skin distribution of octinoxate from the sunscreen dose of 0.5 mg/cm</w:t>
      </w:r>
      <w:r w:rsidRPr="00385FC3">
        <w:rPr>
          <w:rFonts w:eastAsia="Times New Roman" w:cs="Arial"/>
          <w:snapToGrid w:val="0"/>
          <w:kern w:val="16"/>
          <w:vertAlign w:val="superscript"/>
          <w:lang w:eastAsia="en-AU"/>
        </w:rPr>
        <w:t>2</w:t>
      </w:r>
      <w:r w:rsidRPr="00385FC3">
        <w:rPr>
          <w:rFonts w:eastAsia="Times New Roman" w:cs="Arial"/>
          <w:snapToGrid w:val="0"/>
          <w:kern w:val="16"/>
          <w:lang w:eastAsia="en-AU"/>
        </w:rPr>
        <w:t xml:space="preserve"> after 6-h exposure to the epidermis of frozen-stored skin was 4.8± 0.7 </w:t>
      </w:r>
      <w:proofErr w:type="spellStart"/>
      <w:r w:rsidRPr="00385FC3">
        <w:rPr>
          <w:rFonts w:eastAsia="Times New Roman" w:cs="Arial"/>
          <w:snapToGrid w:val="0"/>
          <w:kern w:val="16"/>
          <w:lang w:eastAsia="en-AU"/>
        </w:rPr>
        <w:t>μg</w:t>
      </w:r>
      <w:proofErr w:type="spellEnd"/>
      <w:r w:rsidRPr="00385FC3">
        <w:rPr>
          <w:rFonts w:eastAsia="Times New Roman" w:cs="Arial"/>
          <w:snapToGrid w:val="0"/>
          <w:kern w:val="16"/>
          <w:lang w:eastAsia="en-AU"/>
        </w:rPr>
        <w:t>/cm</w:t>
      </w:r>
      <w:r w:rsidRPr="00385FC3">
        <w:rPr>
          <w:rFonts w:eastAsia="Times New Roman" w:cs="Arial"/>
          <w:snapToGrid w:val="0"/>
          <w:kern w:val="16"/>
          <w:vertAlign w:val="superscript"/>
          <w:lang w:eastAsia="en-AU"/>
        </w:rPr>
        <w:t>2</w:t>
      </w:r>
      <w:r w:rsidRPr="00385FC3">
        <w:rPr>
          <w:rFonts w:eastAsia="Times New Roman" w:cs="Arial"/>
          <w:snapToGrid w:val="0"/>
          <w:kern w:val="16"/>
          <w:lang w:eastAsia="en-AU"/>
        </w:rPr>
        <w:t xml:space="preserve">,  dermis 1.2 ± 0.1 </w:t>
      </w:r>
      <w:proofErr w:type="spellStart"/>
      <w:r w:rsidRPr="00385FC3">
        <w:rPr>
          <w:rFonts w:eastAsia="Times New Roman" w:cs="Arial"/>
          <w:snapToGrid w:val="0"/>
          <w:kern w:val="16"/>
          <w:lang w:eastAsia="en-AU"/>
        </w:rPr>
        <w:t>μg</w:t>
      </w:r>
      <w:proofErr w:type="spellEnd"/>
      <w:r w:rsidRPr="00385FC3">
        <w:rPr>
          <w:rFonts w:eastAsia="Times New Roman" w:cs="Arial"/>
          <w:snapToGrid w:val="0"/>
          <w:kern w:val="16"/>
          <w:lang w:eastAsia="en-AU"/>
        </w:rPr>
        <w:t>/cm</w:t>
      </w:r>
      <w:r w:rsidRPr="00385FC3">
        <w:rPr>
          <w:rFonts w:eastAsia="Times New Roman" w:cs="Arial"/>
          <w:snapToGrid w:val="0"/>
          <w:kern w:val="16"/>
          <w:vertAlign w:val="superscript"/>
          <w:lang w:eastAsia="en-AU"/>
        </w:rPr>
        <w:t xml:space="preserve">2 </w:t>
      </w:r>
      <w:r w:rsidRPr="00385FC3">
        <w:rPr>
          <w:rFonts w:eastAsia="Times New Roman" w:cs="Arial"/>
          <w:snapToGrid w:val="0"/>
          <w:kern w:val="16"/>
          <w:lang w:eastAsia="en-AU"/>
        </w:rPr>
        <w:t xml:space="preserve">and undetectable in receptor fluid,  whereas 3.4 ± 0.6 </w:t>
      </w:r>
      <w:proofErr w:type="spellStart"/>
      <w:r w:rsidRPr="00385FC3">
        <w:rPr>
          <w:rFonts w:eastAsia="Times New Roman" w:cs="Arial"/>
          <w:snapToGrid w:val="0"/>
          <w:kern w:val="16"/>
          <w:lang w:eastAsia="en-AU"/>
        </w:rPr>
        <w:t>μg</w:t>
      </w:r>
      <w:proofErr w:type="spellEnd"/>
      <w:r w:rsidRPr="00385FC3">
        <w:rPr>
          <w:rFonts w:eastAsia="Times New Roman" w:cs="Arial"/>
          <w:snapToGrid w:val="0"/>
          <w:kern w:val="16"/>
          <w:lang w:eastAsia="en-AU"/>
        </w:rPr>
        <w:t>/cm</w:t>
      </w:r>
      <w:r w:rsidRPr="00385FC3">
        <w:rPr>
          <w:rFonts w:eastAsia="Times New Roman" w:cs="Arial"/>
          <w:snapToGrid w:val="0"/>
          <w:kern w:val="16"/>
          <w:vertAlign w:val="superscript"/>
          <w:lang w:eastAsia="en-AU"/>
        </w:rPr>
        <w:t>2</w:t>
      </w:r>
      <w:r w:rsidRPr="00385FC3">
        <w:rPr>
          <w:rFonts w:eastAsia="Times New Roman" w:cs="Arial"/>
          <w:snapToGrid w:val="0"/>
          <w:kern w:val="16"/>
          <w:lang w:eastAsia="en-AU"/>
        </w:rPr>
        <w:t xml:space="preserve"> ,</w:t>
      </w:r>
      <w:r w:rsidRPr="00385FC3">
        <w:rPr>
          <w:rFonts w:eastAsia="Times New Roman" w:cs="Arial"/>
          <w:snapToGrid w:val="0"/>
          <w:kern w:val="16"/>
          <w:vertAlign w:val="superscript"/>
          <w:lang w:eastAsia="en-AU"/>
        </w:rPr>
        <w:t xml:space="preserve"> </w:t>
      </w:r>
      <w:r w:rsidRPr="00385FC3">
        <w:rPr>
          <w:rFonts w:eastAsia="Times New Roman" w:cs="Arial"/>
          <w:snapToGrid w:val="0"/>
          <w:kern w:val="16"/>
          <w:lang w:eastAsia="en-AU"/>
        </w:rPr>
        <w:t xml:space="preserve"> 2.1 ± 0.4 </w:t>
      </w:r>
      <w:proofErr w:type="spellStart"/>
      <w:r w:rsidRPr="00385FC3">
        <w:rPr>
          <w:rFonts w:eastAsia="Times New Roman" w:cs="Arial"/>
          <w:snapToGrid w:val="0"/>
          <w:kern w:val="16"/>
          <w:lang w:eastAsia="en-AU"/>
        </w:rPr>
        <w:t>μg</w:t>
      </w:r>
      <w:proofErr w:type="spellEnd"/>
      <w:r w:rsidRPr="00385FC3">
        <w:rPr>
          <w:rFonts w:eastAsia="Times New Roman" w:cs="Arial"/>
          <w:snapToGrid w:val="0"/>
          <w:kern w:val="16"/>
          <w:lang w:eastAsia="en-AU"/>
        </w:rPr>
        <w:t>/cm</w:t>
      </w:r>
      <w:r w:rsidRPr="00385FC3">
        <w:rPr>
          <w:rFonts w:eastAsia="Times New Roman" w:cs="Arial"/>
          <w:snapToGrid w:val="0"/>
          <w:kern w:val="16"/>
          <w:vertAlign w:val="superscript"/>
          <w:lang w:eastAsia="en-AU"/>
        </w:rPr>
        <w:t xml:space="preserve">2 </w:t>
      </w:r>
      <w:r w:rsidRPr="00385FC3">
        <w:rPr>
          <w:rFonts w:eastAsia="Times New Roman" w:cs="Arial"/>
          <w:snapToGrid w:val="0"/>
          <w:kern w:val="16"/>
          <w:lang w:eastAsia="en-AU"/>
        </w:rPr>
        <w:t>and</w:t>
      </w:r>
      <w:r w:rsidRPr="00385FC3">
        <w:rPr>
          <w:rFonts w:eastAsia="Times New Roman" w:cs="Arial"/>
          <w:snapToGrid w:val="0"/>
          <w:kern w:val="16"/>
          <w:vertAlign w:val="superscript"/>
          <w:lang w:eastAsia="en-AU"/>
        </w:rPr>
        <w:t xml:space="preserve">   </w:t>
      </w:r>
      <w:r w:rsidRPr="00385FC3">
        <w:rPr>
          <w:rFonts w:eastAsia="Times New Roman" w:cs="Arial"/>
          <w:snapToGrid w:val="0"/>
          <w:kern w:val="16"/>
          <w:lang w:eastAsia="en-AU"/>
        </w:rPr>
        <w:t xml:space="preserve">0.9 ± 0.1 </w:t>
      </w:r>
      <w:proofErr w:type="spellStart"/>
      <w:r w:rsidRPr="00385FC3">
        <w:rPr>
          <w:rFonts w:eastAsia="Times New Roman" w:cs="Arial"/>
          <w:snapToGrid w:val="0"/>
          <w:kern w:val="16"/>
          <w:lang w:eastAsia="en-AU"/>
        </w:rPr>
        <w:t>μg</w:t>
      </w:r>
      <w:proofErr w:type="spellEnd"/>
      <w:r w:rsidRPr="00385FC3">
        <w:rPr>
          <w:rFonts w:eastAsia="Times New Roman" w:cs="Arial"/>
          <w:snapToGrid w:val="0"/>
          <w:kern w:val="16"/>
          <w:lang w:eastAsia="en-AU"/>
        </w:rPr>
        <w:t>/cm</w:t>
      </w:r>
      <w:r w:rsidRPr="00385FC3">
        <w:rPr>
          <w:rFonts w:eastAsia="Times New Roman" w:cs="Arial"/>
          <w:snapToGrid w:val="0"/>
          <w:kern w:val="16"/>
          <w:vertAlign w:val="superscript"/>
          <w:lang w:eastAsia="en-AU"/>
        </w:rPr>
        <w:t xml:space="preserve">2  </w:t>
      </w:r>
      <w:r w:rsidRPr="00385FC3">
        <w:rPr>
          <w:rFonts w:eastAsia="Times New Roman" w:cs="Arial"/>
          <w:snapToGrid w:val="0"/>
          <w:kern w:val="16"/>
          <w:lang w:eastAsia="en-AU"/>
        </w:rPr>
        <w:t>of</w:t>
      </w:r>
      <w:r w:rsidRPr="00385FC3">
        <w:rPr>
          <w:rFonts w:eastAsia="Times New Roman" w:cs="Arial"/>
          <w:snapToGrid w:val="0"/>
          <w:kern w:val="16"/>
          <w:vertAlign w:val="superscript"/>
          <w:lang w:eastAsia="en-AU"/>
        </w:rPr>
        <w:t xml:space="preserve"> </w:t>
      </w:r>
      <w:r w:rsidRPr="00385FC3">
        <w:rPr>
          <w:rFonts w:eastAsia="Times New Roman" w:cs="Arial"/>
          <w:snapToGrid w:val="0"/>
          <w:kern w:val="16"/>
          <w:lang w:eastAsia="en-AU"/>
        </w:rPr>
        <w:t>octinoxate was distributed to epidermis,  dermis and receptor fluid after following 18-h permeation, respectively (</w:t>
      </w:r>
      <w:r w:rsidRPr="00385FC3">
        <w:rPr>
          <w:rFonts w:cs="Arial"/>
        </w:rPr>
        <w:t xml:space="preserve">Klimova </w:t>
      </w:r>
      <w:r w:rsidRPr="00385FC3">
        <w:rPr>
          <w:rFonts w:cs="Arial"/>
          <w:i/>
        </w:rPr>
        <w:t xml:space="preserve">et al. </w:t>
      </w:r>
      <w:r w:rsidRPr="00385FC3">
        <w:rPr>
          <w:rFonts w:cs="Arial"/>
        </w:rPr>
        <w:t>2015</w:t>
      </w:r>
      <w:r w:rsidRPr="00385FC3">
        <w:rPr>
          <w:rFonts w:eastAsia="Times New Roman" w:cs="Arial"/>
          <w:snapToGrid w:val="0"/>
          <w:kern w:val="16"/>
          <w:lang w:eastAsia="en-AU"/>
        </w:rPr>
        <w:t>). Almost two-fold higher absorption was noted when water in oil emulsion containing 10% octinoxate was applied on pig skin in the same study (</w:t>
      </w:r>
      <w:r w:rsidRPr="00385FC3">
        <w:rPr>
          <w:rFonts w:cs="Arial"/>
        </w:rPr>
        <w:t xml:space="preserve">Klimova </w:t>
      </w:r>
      <w:r w:rsidRPr="00385FC3">
        <w:rPr>
          <w:rFonts w:cs="Arial"/>
          <w:i/>
        </w:rPr>
        <w:t xml:space="preserve">et al. </w:t>
      </w:r>
      <w:r w:rsidRPr="00385FC3">
        <w:rPr>
          <w:rFonts w:cs="Arial"/>
        </w:rPr>
        <w:t>2015</w:t>
      </w:r>
      <w:r w:rsidRPr="00385FC3">
        <w:rPr>
          <w:rFonts w:eastAsia="Times New Roman" w:cs="Arial"/>
          <w:snapToGrid w:val="0"/>
          <w:kern w:val="16"/>
          <w:lang w:eastAsia="en-AU"/>
        </w:rPr>
        <w:t xml:space="preserve">). </w:t>
      </w:r>
    </w:p>
    <w:p w14:paraId="07DE4A3F" w14:textId="77777777" w:rsidR="00026EBE" w:rsidRPr="00385FC3" w:rsidRDefault="00026EBE" w:rsidP="00026EBE">
      <w:pPr>
        <w:rPr>
          <w:rFonts w:eastAsia="Times New Roman" w:cs="Arial"/>
          <w:snapToGrid w:val="0"/>
          <w:kern w:val="16"/>
          <w:lang w:eastAsia="en-AU"/>
        </w:rPr>
      </w:pPr>
      <w:r w:rsidRPr="00385FC3">
        <w:rPr>
          <w:rFonts w:eastAsia="Times New Roman" w:cs="Arial"/>
          <w:snapToGrid w:val="0"/>
          <w:kern w:val="16"/>
          <w:lang w:eastAsia="en-AU"/>
        </w:rPr>
        <w:t>In this study, the authors “</w:t>
      </w:r>
      <w:r w:rsidRPr="00385FC3">
        <w:rPr>
          <w:rFonts w:eastAsia="Times New Roman" w:cs="Arial"/>
          <w:i/>
          <w:snapToGrid w:val="0"/>
          <w:kern w:val="16"/>
          <w:lang w:eastAsia="en-AU"/>
        </w:rPr>
        <w:t xml:space="preserve">tried to mimic the real-life habits of consumers when applying sunscreen as closely as possible”.  </w:t>
      </w:r>
      <w:r w:rsidRPr="00385FC3">
        <w:rPr>
          <w:rFonts w:eastAsia="Times New Roman" w:cs="Arial"/>
          <w:snapToGrid w:val="0"/>
          <w:kern w:val="16"/>
          <w:lang w:eastAsia="en-AU"/>
        </w:rPr>
        <w:t>In this way the time of exposition was reduced to 6 hours (in contrast of classic studies using long skin exposure), and a smaller dose of sunscreen was used (0.5 mg/cm</w:t>
      </w:r>
      <w:r w:rsidRPr="00385FC3">
        <w:rPr>
          <w:rFonts w:eastAsia="Times New Roman" w:cs="Arial"/>
          <w:snapToGrid w:val="0"/>
          <w:kern w:val="16"/>
          <w:vertAlign w:val="superscript"/>
          <w:lang w:eastAsia="en-AU"/>
        </w:rPr>
        <w:t>2</w:t>
      </w:r>
      <w:r w:rsidRPr="00385FC3">
        <w:rPr>
          <w:rFonts w:eastAsia="Times New Roman" w:cs="Arial"/>
          <w:snapToGrid w:val="0"/>
          <w:kern w:val="16"/>
          <w:lang w:eastAsia="en-AU"/>
        </w:rPr>
        <w:t>) (</w:t>
      </w:r>
      <w:r w:rsidRPr="00385FC3">
        <w:rPr>
          <w:rFonts w:cs="Arial"/>
        </w:rPr>
        <w:t xml:space="preserve">Klimova </w:t>
      </w:r>
      <w:r w:rsidRPr="00385FC3">
        <w:rPr>
          <w:rFonts w:cs="Arial"/>
          <w:i/>
        </w:rPr>
        <w:t xml:space="preserve">et al. </w:t>
      </w:r>
      <w:r w:rsidRPr="00385FC3">
        <w:rPr>
          <w:rFonts w:cs="Arial"/>
        </w:rPr>
        <w:t>2015</w:t>
      </w:r>
      <w:r w:rsidRPr="00385FC3">
        <w:rPr>
          <w:rFonts w:eastAsia="Times New Roman" w:cs="Arial"/>
          <w:snapToGrid w:val="0"/>
          <w:kern w:val="16"/>
          <w:lang w:eastAsia="en-AU"/>
        </w:rPr>
        <w:t>). Considering that some chemical substances, instead of passing entirely through the skin, can remain partly in the skin and released later in time, the dermal absorption was evaluated at the end of the exposure period and then following washing and an 18-h permeation.</w:t>
      </w:r>
    </w:p>
    <w:p w14:paraId="75D2F640" w14:textId="77777777" w:rsidR="00026EBE" w:rsidRPr="00385FC3" w:rsidRDefault="00026EBE" w:rsidP="00026EBE">
      <w:pPr>
        <w:rPr>
          <w:rFonts w:eastAsia="Times New Roman" w:cs="Arial"/>
          <w:snapToGrid w:val="0"/>
          <w:kern w:val="16"/>
          <w:lang w:eastAsia="en-AU"/>
        </w:rPr>
      </w:pPr>
      <w:r w:rsidRPr="00385FC3">
        <w:rPr>
          <w:rFonts w:eastAsia="Times New Roman" w:cs="Arial"/>
          <w:snapToGrid w:val="0"/>
          <w:kern w:val="16"/>
          <w:lang w:eastAsia="en-AU"/>
        </w:rPr>
        <w:t>The dermal absorption was obtained by the sum of the filter absorbed in the dermis and the receptor fluid (RF) (which was considered systematically available), corrected by the fresh/frozen – stored skin permeability coefficient. It is noted that pig-ear skin has been recognized by the international authorities and scientists as a practical alternative and relevant model for predicting permeability of cosmetic ingredients in humans (</w:t>
      </w:r>
      <w:r w:rsidRPr="00385FC3">
        <w:rPr>
          <w:rFonts w:cs="Arial"/>
        </w:rPr>
        <w:t xml:space="preserve">Klimova </w:t>
      </w:r>
      <w:r w:rsidRPr="00385FC3">
        <w:rPr>
          <w:rFonts w:cs="Arial"/>
          <w:i/>
        </w:rPr>
        <w:t xml:space="preserve">et al. </w:t>
      </w:r>
      <w:r w:rsidRPr="00385FC3">
        <w:rPr>
          <w:rFonts w:cs="Arial"/>
        </w:rPr>
        <w:t>2015</w:t>
      </w:r>
      <w:r w:rsidRPr="00385FC3">
        <w:rPr>
          <w:rFonts w:eastAsia="Times New Roman" w:cs="Arial"/>
          <w:snapToGrid w:val="0"/>
          <w:kern w:val="16"/>
          <w:lang w:eastAsia="en-AU"/>
        </w:rPr>
        <w:t>).</w:t>
      </w:r>
    </w:p>
    <w:p w14:paraId="393DEB43" w14:textId="77777777" w:rsidR="00026EBE" w:rsidRPr="00385FC3" w:rsidRDefault="00026EBE" w:rsidP="00026EBE">
      <w:pPr>
        <w:rPr>
          <w:rFonts w:eastAsia="Times New Roman" w:cs="Arial"/>
          <w:snapToGrid w:val="0"/>
          <w:kern w:val="16"/>
          <w:lang w:eastAsia="en-AU"/>
        </w:rPr>
      </w:pPr>
      <w:r w:rsidRPr="00385FC3">
        <w:rPr>
          <w:rFonts w:eastAsia="Times New Roman" w:cs="Arial"/>
          <w:snapToGrid w:val="0"/>
          <w:kern w:val="16"/>
          <w:lang w:eastAsia="en-AU"/>
        </w:rPr>
        <w:t xml:space="preserve">Human </w:t>
      </w:r>
      <w:r w:rsidRPr="00385FC3">
        <w:rPr>
          <w:rFonts w:eastAsia="Times New Roman" w:cs="Arial"/>
          <w:i/>
          <w:snapToGrid w:val="0"/>
          <w:kern w:val="16"/>
          <w:lang w:eastAsia="en-AU"/>
        </w:rPr>
        <w:t>in vitro</w:t>
      </w:r>
      <w:r w:rsidRPr="00385FC3">
        <w:rPr>
          <w:rFonts w:eastAsia="Times New Roman" w:cs="Arial"/>
          <w:snapToGrid w:val="0"/>
          <w:kern w:val="16"/>
          <w:lang w:eastAsia="en-AU"/>
        </w:rPr>
        <w:t xml:space="preserve"> and </w:t>
      </w:r>
      <w:r w:rsidRPr="00385FC3">
        <w:rPr>
          <w:rFonts w:eastAsia="Times New Roman" w:cs="Arial"/>
          <w:i/>
          <w:snapToGrid w:val="0"/>
          <w:kern w:val="16"/>
          <w:lang w:eastAsia="en-AU"/>
        </w:rPr>
        <w:t xml:space="preserve">in vivo </w:t>
      </w:r>
      <w:r w:rsidRPr="00385FC3">
        <w:rPr>
          <w:rFonts w:eastAsia="Times New Roman" w:cs="Arial"/>
          <w:snapToGrid w:val="0"/>
          <w:kern w:val="16"/>
          <w:lang w:eastAsia="en-AU"/>
        </w:rPr>
        <w:t>studies showed that the permeation of octinoxate in human skin was dependent on both the lipid lipophilicity and structure of the lipid used in the microemulsion and the type of surfactant used (</w:t>
      </w:r>
      <w:r w:rsidRPr="00385FC3">
        <w:rPr>
          <w:rFonts w:cs="Arial"/>
        </w:rPr>
        <w:t xml:space="preserve">Montenegro </w:t>
      </w:r>
      <w:r w:rsidRPr="00385FC3">
        <w:rPr>
          <w:rFonts w:cs="Arial"/>
          <w:i/>
        </w:rPr>
        <w:t>et al</w:t>
      </w:r>
      <w:r w:rsidRPr="00385FC3">
        <w:rPr>
          <w:rFonts w:cs="Arial"/>
        </w:rPr>
        <w:t>. 2011</w:t>
      </w:r>
      <w:r w:rsidRPr="00385FC3">
        <w:rPr>
          <w:rFonts w:eastAsia="Times New Roman" w:cs="Arial"/>
          <w:snapToGrid w:val="0"/>
          <w:kern w:val="16"/>
          <w:lang w:eastAsia="en-AU"/>
        </w:rPr>
        <w:t>; TGA 2020).</w:t>
      </w:r>
      <w:r w:rsidRPr="00385FC3" w:rsidDel="00A67305">
        <w:rPr>
          <w:rFonts w:eastAsia="Times New Roman" w:cs="Arial"/>
          <w:snapToGrid w:val="0"/>
          <w:kern w:val="16"/>
          <w:vertAlign w:val="superscript"/>
          <w:lang w:eastAsia="en-AU"/>
        </w:rPr>
        <w:t xml:space="preserve"> </w:t>
      </w:r>
    </w:p>
    <w:p w14:paraId="1777467A" w14:textId="77777777" w:rsidR="00026EBE" w:rsidRPr="00385FC3" w:rsidRDefault="00026EBE" w:rsidP="00026EBE">
      <w:pPr>
        <w:rPr>
          <w:rFonts w:eastAsia="Times New Roman" w:cs="Arial"/>
          <w:snapToGrid w:val="0"/>
          <w:kern w:val="16"/>
          <w:lang w:eastAsia="en-AU"/>
        </w:rPr>
      </w:pPr>
      <w:r w:rsidRPr="00385FC3">
        <w:rPr>
          <w:rFonts w:eastAsia="Times New Roman" w:cs="Arial"/>
          <w:snapToGrid w:val="0"/>
          <w:kern w:val="16"/>
          <w:lang w:eastAsia="en-AU"/>
        </w:rPr>
        <w:t xml:space="preserve">The systemic absorption of octinoxate in humans was demonstrated by Janjua </w:t>
      </w:r>
      <w:r w:rsidRPr="00385FC3">
        <w:rPr>
          <w:rFonts w:eastAsia="Times New Roman" w:cs="Arial"/>
          <w:i/>
          <w:snapToGrid w:val="0"/>
          <w:kern w:val="16"/>
          <w:lang w:eastAsia="en-AU"/>
        </w:rPr>
        <w:t xml:space="preserve">et al </w:t>
      </w:r>
      <w:r w:rsidRPr="00385FC3">
        <w:rPr>
          <w:rFonts w:eastAsia="Times New Roman" w:cs="Arial"/>
          <w:snapToGrid w:val="0"/>
          <w:kern w:val="16"/>
          <w:lang w:eastAsia="en-AU"/>
        </w:rPr>
        <w:t>(2008). Maximum plasma concentration of octinoxate was reached at ~ 3 h (10 ng/ml for females and 20 ng/ml for males) following daily whole-body topical application of 2 mg/</w:t>
      </w:r>
      <w:r w:rsidRPr="00385FC3">
        <w:rPr>
          <w:rFonts w:eastAsia="Times New Roman" w:cs="Arial"/>
          <w:iCs/>
          <w:snapToGrid w:val="0"/>
          <w:kern w:val="16"/>
          <w:lang w:eastAsia="en-AU"/>
        </w:rPr>
        <w:t>cm</w:t>
      </w:r>
      <w:r w:rsidRPr="00385FC3">
        <w:rPr>
          <w:rFonts w:eastAsia="Times New Roman" w:cs="Arial"/>
          <w:iCs/>
          <w:snapToGrid w:val="0"/>
          <w:kern w:val="16"/>
          <w:vertAlign w:val="superscript"/>
          <w:lang w:eastAsia="en-AU"/>
        </w:rPr>
        <w:t xml:space="preserve">2 </w:t>
      </w:r>
      <w:r w:rsidRPr="00385FC3">
        <w:rPr>
          <w:rFonts w:eastAsia="Times New Roman" w:cs="Arial"/>
          <w:iCs/>
          <w:snapToGrid w:val="0"/>
          <w:kern w:val="16"/>
          <w:lang w:eastAsia="en-AU"/>
        </w:rPr>
        <w:t>of cream formulation w</w:t>
      </w:r>
      <w:r w:rsidRPr="00385FC3">
        <w:rPr>
          <w:rFonts w:eastAsia="Times New Roman" w:cs="Arial"/>
          <w:snapToGrid w:val="0"/>
          <w:kern w:val="16"/>
          <w:lang w:eastAsia="en-AU"/>
        </w:rPr>
        <w:t>ith 10% octinoxate. Octinoxate was also detected in urine (5 and 8 ng/mL in females and males, respectively).  Similar findings were reported following a 4-day exposure to this ingredient, which were detectable in the human plasma just 2 h following application</w:t>
      </w:r>
      <w:bookmarkStart w:id="63" w:name="_Ref63437361"/>
      <w:r w:rsidRPr="00385FC3">
        <w:rPr>
          <w:rFonts w:eastAsia="Times New Roman" w:cs="Arial"/>
          <w:snapToGrid w:val="0"/>
          <w:kern w:val="16"/>
          <w:lang w:eastAsia="en-AU"/>
        </w:rPr>
        <w:t xml:space="preserve"> (</w:t>
      </w:r>
      <w:r w:rsidRPr="00385FC3">
        <w:rPr>
          <w:rFonts w:cs="Arial"/>
        </w:rPr>
        <w:t xml:space="preserve">Janjua </w:t>
      </w:r>
      <w:r w:rsidRPr="00385FC3">
        <w:rPr>
          <w:rFonts w:cs="Arial"/>
          <w:i/>
        </w:rPr>
        <w:t>et al.</w:t>
      </w:r>
      <w:r w:rsidRPr="00385FC3">
        <w:rPr>
          <w:rFonts w:cs="Arial"/>
        </w:rPr>
        <w:t xml:space="preserve"> 2004</w:t>
      </w:r>
      <w:r w:rsidRPr="00385FC3">
        <w:rPr>
          <w:rFonts w:eastAsia="Times New Roman" w:cs="Arial"/>
          <w:snapToGrid w:val="0"/>
          <w:kern w:val="16"/>
          <w:lang w:eastAsia="en-AU"/>
        </w:rPr>
        <w:t>).</w:t>
      </w:r>
      <w:bookmarkEnd w:id="63"/>
    </w:p>
    <w:p w14:paraId="55D787B1" w14:textId="77777777" w:rsidR="00026EBE" w:rsidRPr="00385FC3" w:rsidRDefault="00026EBE" w:rsidP="00026EBE">
      <w:pPr>
        <w:rPr>
          <w:rFonts w:eastAsia="Times New Roman" w:cs="Arial"/>
          <w:snapToGrid w:val="0"/>
          <w:kern w:val="16"/>
          <w:lang w:eastAsia="en-AU"/>
        </w:rPr>
      </w:pPr>
      <w:r w:rsidRPr="00385FC3">
        <w:rPr>
          <w:rFonts w:eastAsia="Times New Roman" w:cs="Arial"/>
          <w:snapToGrid w:val="0"/>
          <w:kern w:val="16"/>
          <w:lang w:eastAsia="en-AU"/>
        </w:rPr>
        <w:t xml:space="preserve">Another human study reported in SCC (2000) with a cream formulation containing 10% octinoxate suggested that an insignificant amount of octinoxate was absorbed under the conditions of the experiment (SCC 2000). Applications were made to the interscapular area and there was no evidence of any rise in plasma levels after 24 h. In addition, the urine concentration of octinoxate did not change during the experiment (collected until 96 h). </w:t>
      </w:r>
    </w:p>
    <w:p w14:paraId="487D752E" w14:textId="77777777" w:rsidR="00026EBE" w:rsidRPr="00385FC3" w:rsidRDefault="00026EBE" w:rsidP="00026EBE">
      <w:pPr>
        <w:rPr>
          <w:rFonts w:eastAsia="Times New Roman" w:cs="Arial"/>
          <w:snapToGrid w:val="0"/>
          <w:kern w:val="16"/>
          <w:lang w:eastAsia="en-AU"/>
        </w:rPr>
      </w:pPr>
      <w:r w:rsidRPr="00385FC3">
        <w:rPr>
          <w:rFonts w:eastAsia="Times New Roman" w:cs="Arial"/>
          <w:snapToGrid w:val="0"/>
          <w:kern w:val="16"/>
          <w:lang w:eastAsia="en-AU"/>
        </w:rPr>
        <w:t>Based on all dermal absorption studies described above, no clear relationship between applied dose and dermal absorption could be established for octinoxate. Therefore, a</w:t>
      </w:r>
      <w:r w:rsidRPr="00385FC3">
        <w:rPr>
          <w:rFonts w:eastAsia="Times New Roman" w:cs="Arial"/>
          <w:b/>
          <w:bCs/>
          <w:snapToGrid w:val="0"/>
          <w:kern w:val="16"/>
          <w:lang w:eastAsia="en-AU"/>
        </w:rPr>
        <w:t xml:space="preserve"> dermal absorption of 1.77 µg/cm</w:t>
      </w:r>
      <w:r w:rsidRPr="00385FC3">
        <w:rPr>
          <w:rFonts w:eastAsia="Times New Roman" w:cs="Arial"/>
          <w:b/>
          <w:bCs/>
          <w:snapToGrid w:val="0"/>
          <w:kern w:val="16"/>
          <w:vertAlign w:val="superscript"/>
          <w:lang w:eastAsia="en-AU"/>
        </w:rPr>
        <w:t>2</w:t>
      </w:r>
      <w:r w:rsidRPr="00385FC3">
        <w:rPr>
          <w:rFonts w:eastAsia="Times New Roman" w:cs="Arial"/>
          <w:b/>
          <w:bCs/>
          <w:snapToGrid w:val="0"/>
          <w:kern w:val="16"/>
          <w:lang w:eastAsia="en-AU"/>
        </w:rPr>
        <w:t xml:space="preserve"> </w:t>
      </w:r>
      <w:r w:rsidRPr="00385FC3">
        <w:rPr>
          <w:rFonts w:eastAsia="Times New Roman" w:cs="Arial"/>
          <w:snapToGrid w:val="0"/>
          <w:kern w:val="16"/>
          <w:lang w:eastAsia="en-AU"/>
        </w:rPr>
        <w:t>was considered a worst-case scenario</w:t>
      </w:r>
      <w:r w:rsidRPr="00385FC3">
        <w:rPr>
          <w:rFonts w:eastAsia="Times New Roman" w:cs="Arial"/>
          <w:b/>
          <w:bCs/>
          <w:snapToGrid w:val="0"/>
          <w:kern w:val="16"/>
          <w:lang w:eastAsia="en-AU"/>
        </w:rPr>
        <w:t xml:space="preserve"> </w:t>
      </w:r>
      <w:r w:rsidRPr="00385FC3">
        <w:rPr>
          <w:rFonts w:eastAsia="Times New Roman" w:cs="Arial"/>
          <w:snapToGrid w:val="0"/>
          <w:kern w:val="16"/>
          <w:lang w:eastAsia="en-AU"/>
        </w:rPr>
        <w:t>(</w:t>
      </w:r>
      <w:r w:rsidRPr="00385FC3">
        <w:rPr>
          <w:rFonts w:cs="Arial"/>
        </w:rPr>
        <w:t xml:space="preserve">Klimova </w:t>
      </w:r>
      <w:r w:rsidRPr="00385FC3">
        <w:rPr>
          <w:rFonts w:cs="Arial"/>
          <w:i/>
        </w:rPr>
        <w:t xml:space="preserve">et al. </w:t>
      </w:r>
      <w:r w:rsidRPr="00385FC3">
        <w:rPr>
          <w:rFonts w:cs="Arial"/>
        </w:rPr>
        <w:t>2015</w:t>
      </w:r>
      <w:r w:rsidRPr="00385FC3">
        <w:rPr>
          <w:rFonts w:eastAsia="Times New Roman" w:cs="Arial"/>
          <w:snapToGrid w:val="0"/>
          <w:kern w:val="16"/>
          <w:lang w:eastAsia="en-AU"/>
        </w:rPr>
        <w:t>).</w:t>
      </w:r>
      <w:r w:rsidRPr="00385FC3">
        <w:rPr>
          <w:rFonts w:cs="Arial"/>
          <w:b/>
          <w:bCs/>
          <w:iCs/>
        </w:rPr>
        <w:t xml:space="preserve">  </w:t>
      </w:r>
    </w:p>
    <w:p w14:paraId="1005446C" w14:textId="77777777" w:rsidR="00026EBE" w:rsidRPr="0074486E" w:rsidRDefault="00026EBE" w:rsidP="00E94C79">
      <w:pPr>
        <w:pStyle w:val="Heading4"/>
      </w:pPr>
      <w:bookmarkStart w:id="64" w:name="_Toc100664708"/>
      <w:bookmarkStart w:id="65" w:name="_Toc157439278"/>
      <w:bookmarkStart w:id="66" w:name="_Toc173830120"/>
      <w:bookmarkStart w:id="67" w:name="_Toc189819955"/>
      <w:bookmarkStart w:id="68" w:name="_Toc190081225"/>
      <w:r w:rsidRPr="0074486E">
        <w:t>Oxybenzone</w:t>
      </w:r>
      <w:bookmarkEnd w:id="64"/>
      <w:bookmarkEnd w:id="65"/>
      <w:bookmarkEnd w:id="66"/>
      <w:bookmarkEnd w:id="67"/>
      <w:bookmarkEnd w:id="68"/>
      <w:r w:rsidRPr="0074486E">
        <w:t xml:space="preserve"> </w:t>
      </w:r>
    </w:p>
    <w:p w14:paraId="351EAD7D" w14:textId="77777777" w:rsidR="00026EBE" w:rsidRPr="00385FC3" w:rsidRDefault="00026EBE" w:rsidP="00026EBE">
      <w:pPr>
        <w:rPr>
          <w:color w:val="00B050"/>
        </w:rPr>
      </w:pPr>
      <w:r w:rsidRPr="00385FC3">
        <w:t>Oxybenzone is expected to be rapidly absorbed after oral, intravenous or topical skin administration based upon studies in rats and piglets as per European Safety assessment reports (SCCS 2021c). Oxybenzone was well absorbed following a single gavage administration of [</w:t>
      </w:r>
      <w:r w:rsidRPr="00385FC3">
        <w:rPr>
          <w:vertAlign w:val="superscript"/>
        </w:rPr>
        <w:t>14</w:t>
      </w:r>
      <w:r w:rsidRPr="00385FC3">
        <w:t xml:space="preserve">C]-oxybenzone (3.01 to 2570 mg/kg) in male rats, with the administered dose excreted primarily </w:t>
      </w:r>
      <w:r w:rsidRPr="00385FC3">
        <w:rPr>
          <w:i/>
          <w:iCs/>
        </w:rPr>
        <w:t xml:space="preserve">via </w:t>
      </w:r>
      <w:r w:rsidRPr="00385FC3">
        <w:t xml:space="preserve">urine (63.9% to 72.9%) and faeces (19.3% to 41.7%) by 72 hours post-administration. The radioactivity remaining in tissues 72 hours after administration was low (~0.1%) in all dose groups. Oxybenzone is widely distributed in rats.  Jung </w:t>
      </w:r>
      <w:r w:rsidRPr="00385FC3">
        <w:rPr>
          <w:i/>
          <w:iCs/>
        </w:rPr>
        <w:t>et al.</w:t>
      </w:r>
      <w:r w:rsidRPr="00385FC3">
        <w:t xml:space="preserve"> (2022) assessed that bioavailability in rats following topical application as 6.9%.</w:t>
      </w:r>
      <w:r w:rsidRPr="00385FC3">
        <w:rPr>
          <w:color w:val="00B050"/>
        </w:rPr>
        <w:t xml:space="preserve">  </w:t>
      </w:r>
    </w:p>
    <w:p w14:paraId="74F26E79" w14:textId="77777777" w:rsidR="00026EBE" w:rsidRPr="00385FC3" w:rsidRDefault="00026EBE" w:rsidP="00026EBE">
      <w:r w:rsidRPr="00385FC3">
        <w:t>Oxybenzone is metabolised in rats to 2-OH BP and BP-1, with a trace of 2, 3, 4-triOH BP. The major metabolite of oxybenzone, 2,4-diOH BP (BP-1) was present in most tissues including the liver, kidney, testes, intestine, spleen and skin six hours post-dose. Liver was the major distribution site of oxybenzone and BP-1 (SCCS 2021c). BP-1 is also the major metabolite in humans. Oxybenzone metabolites were detected in piglet plasma 2 hours post dose after dermal administration of oxybenzone (SCCS 2021c). Systemic absorption of oxybenzone has been demonstrated in recent clinical studies (Section 2.1). Oxybenzone binds to human serum albumin with Ka= 1.32 x 10</w:t>
      </w:r>
      <w:r w:rsidRPr="00385FC3">
        <w:rPr>
          <w:vertAlign w:val="superscript"/>
        </w:rPr>
        <w:t xml:space="preserve">5 </w:t>
      </w:r>
      <w:r w:rsidRPr="00385FC3">
        <w:t>L/mol.</w:t>
      </w:r>
    </w:p>
    <w:p w14:paraId="1384FE89" w14:textId="77777777" w:rsidR="00026EBE" w:rsidRPr="00385FC3" w:rsidRDefault="00026EBE" w:rsidP="00026EBE">
      <w:r w:rsidRPr="00385FC3">
        <w:t xml:space="preserve">Elimination of oxybenzone is predominately </w:t>
      </w:r>
      <w:r w:rsidRPr="00385FC3">
        <w:rPr>
          <w:i/>
        </w:rPr>
        <w:t>via</w:t>
      </w:r>
      <w:r w:rsidRPr="00385FC3">
        <w:t xml:space="preserve"> the urine (39-57%) and faeces (24-42%) in rats and mice, with differences observed between the species or the route of administration (oral or dermal). Following topical application studies in piglets, the elimination half-lives of oxybenzone ranged from 7.14 and 8.04 h</w:t>
      </w:r>
      <w:r w:rsidRPr="00385FC3" w:rsidDel="003D6976">
        <w:t xml:space="preserve"> </w:t>
      </w:r>
      <w:r w:rsidRPr="00385FC3">
        <w:t xml:space="preserve">(SCCS 2021c), while in rats it was 18.3 h (Jung </w:t>
      </w:r>
      <w:r w:rsidRPr="00385FC3">
        <w:rPr>
          <w:i/>
          <w:iCs/>
        </w:rPr>
        <w:t>et al.</w:t>
      </w:r>
      <w:r w:rsidRPr="00385FC3">
        <w:t xml:space="preserve"> 2022).</w:t>
      </w:r>
    </w:p>
    <w:p w14:paraId="70259ADE" w14:textId="77777777" w:rsidR="00026EBE" w:rsidRPr="009A168B" w:rsidRDefault="00026EBE" w:rsidP="00026EBE">
      <w:pPr>
        <w:rPr>
          <w:rFonts w:asciiTheme="minorHAnsi" w:hAnsiTheme="minorHAnsi" w:cstheme="minorHAnsi"/>
          <w:sz w:val="22"/>
        </w:rPr>
      </w:pPr>
      <w:proofErr w:type="gramStart"/>
      <w:r w:rsidRPr="00385FC3">
        <w:t>A number of</w:t>
      </w:r>
      <w:proofErr w:type="gramEnd"/>
      <w:r w:rsidRPr="00385FC3">
        <w:t xml:space="preserve"> </w:t>
      </w:r>
      <w:r w:rsidRPr="00385FC3">
        <w:rPr>
          <w:i/>
        </w:rPr>
        <w:t>in vitro</w:t>
      </w:r>
      <w:r w:rsidRPr="00385FC3">
        <w:t xml:space="preserve"> and </w:t>
      </w:r>
      <w:r w:rsidRPr="00385FC3">
        <w:rPr>
          <w:i/>
        </w:rPr>
        <w:t>in vivo</w:t>
      </w:r>
      <w:r w:rsidRPr="00385FC3">
        <w:t xml:space="preserve"> dermal absorption studies have been evaluated by the SCCP 2008 and SCCS 2021c. Following application of 6% oxybenzone, the </w:t>
      </w:r>
      <w:r w:rsidRPr="00385FC3">
        <w:rPr>
          <w:b/>
          <w:bCs/>
        </w:rPr>
        <w:t>dermal absorption of oxybenzone was determined to be 9.9%.</w:t>
      </w:r>
      <w:r w:rsidRPr="00385FC3">
        <w:t xml:space="preserve"> The dermal absorption value of 9.9% was calculated by the SCCP using an </w:t>
      </w:r>
      <w:r w:rsidRPr="00385FC3">
        <w:rPr>
          <w:i/>
          <w:iCs/>
        </w:rPr>
        <w:t>in vitro</w:t>
      </w:r>
      <w:r w:rsidRPr="00385FC3">
        <w:rPr>
          <w:i/>
        </w:rPr>
        <w:t xml:space="preserve"> </w:t>
      </w:r>
      <w:r w:rsidRPr="00385FC3">
        <w:t>study using pig ear skin and applying a safety factor of 2 standard deviations to account for limitations in the data set (3.1% + 2 SD [2 x</w:t>
      </w:r>
      <w:r w:rsidRPr="009A168B">
        <w:rPr>
          <w:rFonts w:asciiTheme="minorHAnsi" w:hAnsiTheme="minorHAnsi" w:cstheme="minorHAnsi"/>
          <w:sz w:val="22"/>
        </w:rPr>
        <w:t xml:space="preserve"> 3.4%] = 9.9%) (SCCS 2021c). This </w:t>
      </w:r>
      <w:r w:rsidRPr="009A168B">
        <w:rPr>
          <w:rFonts w:asciiTheme="minorHAnsi" w:hAnsiTheme="minorHAnsi" w:cstheme="minorHAnsi"/>
          <w:i/>
          <w:iCs/>
          <w:sz w:val="22"/>
        </w:rPr>
        <w:t>in vitro</w:t>
      </w:r>
      <w:r w:rsidRPr="009A168B">
        <w:rPr>
          <w:rFonts w:asciiTheme="minorHAnsi" w:hAnsiTheme="minorHAnsi" w:cstheme="minorHAnsi"/>
          <w:sz w:val="22"/>
        </w:rPr>
        <w:t xml:space="preserve"> study was chosen for oxybenzone in the absence of adequate information from </w:t>
      </w:r>
      <w:r w:rsidRPr="009A168B">
        <w:rPr>
          <w:rFonts w:asciiTheme="minorHAnsi" w:hAnsiTheme="minorHAnsi" w:cstheme="minorHAnsi"/>
          <w:i/>
          <w:iCs/>
          <w:sz w:val="22"/>
        </w:rPr>
        <w:t>in vivo</w:t>
      </w:r>
      <w:r w:rsidRPr="009A168B">
        <w:rPr>
          <w:rFonts w:asciiTheme="minorHAnsi" w:hAnsiTheme="minorHAnsi" w:cstheme="minorHAnsi"/>
          <w:sz w:val="22"/>
        </w:rPr>
        <w:t xml:space="preserve"> studies. </w:t>
      </w:r>
    </w:p>
    <w:p w14:paraId="6DB33354" w14:textId="77777777" w:rsidR="00026EBE" w:rsidRPr="0074486E" w:rsidRDefault="00026EBE" w:rsidP="00E94C79">
      <w:pPr>
        <w:pStyle w:val="Heading4"/>
      </w:pPr>
      <w:bookmarkStart w:id="69" w:name="_Toc100664709"/>
      <w:bookmarkStart w:id="70" w:name="_Toc157439279"/>
      <w:bookmarkStart w:id="71" w:name="_Toc173830121"/>
      <w:bookmarkStart w:id="72" w:name="_Toc189819956"/>
      <w:bookmarkStart w:id="73" w:name="_Toc190081226"/>
      <w:r w:rsidRPr="00F6401A">
        <w:t>Phenylbenzimidazole sulfonic acid</w:t>
      </w:r>
      <w:bookmarkEnd w:id="69"/>
      <w:bookmarkEnd w:id="70"/>
      <w:bookmarkEnd w:id="71"/>
      <w:bookmarkEnd w:id="72"/>
      <w:bookmarkEnd w:id="73"/>
    </w:p>
    <w:p w14:paraId="0EC500F3" w14:textId="77777777" w:rsidR="00026EBE" w:rsidRPr="00385FC3" w:rsidRDefault="00026EBE" w:rsidP="00026EBE">
      <w:pPr>
        <w:rPr>
          <w:snapToGrid w:val="0"/>
        </w:rPr>
      </w:pPr>
      <w:r w:rsidRPr="00385FC3">
        <w:rPr>
          <w:snapToGrid w:val="0"/>
        </w:rPr>
        <w:t>Absorption and plasma kinetics of PBSA were examined in pregnant rats (SCCP 2006b). [</w:t>
      </w:r>
      <w:r w:rsidRPr="00385FC3">
        <w:rPr>
          <w:rFonts w:eastAsia="Cambria"/>
          <w:snapToGrid w:val="0"/>
          <w:vertAlign w:val="superscript"/>
        </w:rPr>
        <w:t>14</w:t>
      </w:r>
      <w:proofErr w:type="gramStart"/>
      <w:r w:rsidRPr="00385FC3">
        <w:rPr>
          <w:rFonts w:eastAsia="Cambria"/>
          <w:snapToGrid w:val="0"/>
        </w:rPr>
        <w:t>C]</w:t>
      </w:r>
      <w:r w:rsidRPr="00385FC3">
        <w:rPr>
          <w:rFonts w:eastAsia="Cambria"/>
          <w:snapToGrid w:val="0"/>
        </w:rPr>
        <w:noBreakHyphen/>
      </w:r>
      <w:proofErr w:type="gramEnd"/>
      <w:r w:rsidRPr="00385FC3">
        <w:rPr>
          <w:snapToGrid w:val="0"/>
        </w:rPr>
        <w:t xml:space="preserve">PBSA sodium salt was administered to pregnant rats on day 18 of gestation (1 mg/kg </w:t>
      </w:r>
      <w:proofErr w:type="spellStart"/>
      <w:r w:rsidRPr="00385FC3">
        <w:rPr>
          <w:snapToGrid w:val="0"/>
        </w:rPr>
        <w:t>bw</w:t>
      </w:r>
      <w:proofErr w:type="spellEnd"/>
      <w:r w:rsidRPr="00385FC3">
        <w:rPr>
          <w:snapToGrid w:val="0"/>
        </w:rPr>
        <w:t xml:space="preserve"> IV or 1000 mg/kg </w:t>
      </w:r>
      <w:proofErr w:type="spellStart"/>
      <w:r w:rsidRPr="00385FC3">
        <w:rPr>
          <w:snapToGrid w:val="0"/>
        </w:rPr>
        <w:t>bw</w:t>
      </w:r>
      <w:proofErr w:type="spellEnd"/>
      <w:r w:rsidRPr="00385FC3">
        <w:rPr>
          <w:snapToGrid w:val="0"/>
        </w:rPr>
        <w:t xml:space="preserve"> PO, single dose). The pharmacokinetic parameters were: </w:t>
      </w:r>
      <w:proofErr w:type="spellStart"/>
      <w:r w:rsidRPr="00385FC3">
        <w:rPr>
          <w:rFonts w:eastAsia="Cambria"/>
        </w:rPr>
        <w:t>T</w:t>
      </w:r>
      <w:r w:rsidRPr="00385FC3">
        <w:rPr>
          <w:rFonts w:eastAsia="Cambria"/>
          <w:vertAlign w:val="subscript"/>
        </w:rPr>
        <w:t>max</w:t>
      </w:r>
      <w:proofErr w:type="spellEnd"/>
      <w:r w:rsidRPr="00385FC3">
        <w:rPr>
          <w:snapToGrid w:val="0"/>
        </w:rPr>
        <w:t xml:space="preserve"> 5 min (IV) and 15 min (oral), with a </w:t>
      </w:r>
      <w:r w:rsidRPr="00385FC3">
        <w:rPr>
          <w:rFonts w:eastAsia="Cambria"/>
        </w:rPr>
        <w:t>t</w:t>
      </w:r>
      <w:r w:rsidRPr="00385FC3">
        <w:rPr>
          <w:rFonts w:eastAsia="Cambria"/>
          <w:vertAlign w:val="subscript"/>
        </w:rPr>
        <w:t>½</w:t>
      </w:r>
      <w:r w:rsidRPr="00385FC3">
        <w:rPr>
          <w:snapToGrid w:val="0"/>
        </w:rPr>
        <w:t xml:space="preserve"> of 0.4 h (IV) and 24 h (oral). The amount of absorption from the gastrointestinal tract was estimated to be 3 – 4%.  </w:t>
      </w:r>
    </w:p>
    <w:p w14:paraId="36C21F41" w14:textId="77777777" w:rsidR="00026EBE" w:rsidRPr="00385FC3" w:rsidRDefault="00026EBE" w:rsidP="00026EBE">
      <w:pPr>
        <w:rPr>
          <w:snapToGrid w:val="0"/>
        </w:rPr>
      </w:pPr>
      <w:r w:rsidRPr="00385FC3">
        <w:rPr>
          <w:snapToGrid w:val="0"/>
        </w:rPr>
        <w:t>Dermal penetration was examined in male volunteers (SCCP 2006b).</w:t>
      </w:r>
      <w:r w:rsidRPr="00385FC3">
        <w:rPr>
          <w:snapToGrid w:val="0"/>
          <w:vertAlign w:val="superscript"/>
        </w:rPr>
        <w:t xml:space="preserve"> </w:t>
      </w:r>
      <w:r w:rsidRPr="00385FC3">
        <w:rPr>
          <w:snapToGrid w:val="0"/>
        </w:rPr>
        <w:t xml:space="preserve">Although the penetration rate of PBSA was not established, cumulative penetration of 0.159% (range 0.107-0.259%) of the applied dose (8% formulation of PBSA), was derived from total excretion. Total recovery of radioactivity was 78.8%. There was no indication of accumulation in any of the organs investigated. Trace amounts of radioactivity are found in brain and </w:t>
      </w:r>
      <w:proofErr w:type="spellStart"/>
      <w:r w:rsidRPr="00385FC3">
        <w:rPr>
          <w:snapToGrid w:val="0"/>
        </w:rPr>
        <w:t>fetuses</w:t>
      </w:r>
      <w:proofErr w:type="spellEnd"/>
      <w:r w:rsidRPr="00385FC3">
        <w:rPr>
          <w:snapToGrid w:val="0"/>
        </w:rPr>
        <w:t xml:space="preserve"> after IV administration but not following oral administration. This indicates that both blood/brain- and placental barriers were not passed. No data on metabolism were available. </w:t>
      </w:r>
    </w:p>
    <w:p w14:paraId="5035C433" w14:textId="77777777" w:rsidR="00026EBE" w:rsidRPr="00385FC3" w:rsidRDefault="00026EBE" w:rsidP="00026EBE">
      <w:pPr>
        <w:rPr>
          <w:snapToGrid w:val="0"/>
          <w:color w:val="4C8E3A"/>
        </w:rPr>
      </w:pPr>
      <w:r w:rsidRPr="00385FC3">
        <w:rPr>
          <w:snapToGrid w:val="0"/>
        </w:rPr>
        <w:t>Excretory pathways were examined in male rats (SCCP 2006b).</w:t>
      </w:r>
      <w:r w:rsidRPr="00385FC3">
        <w:rPr>
          <w:b/>
          <w:snapToGrid w:val="0"/>
          <w:color w:val="4C8E3A"/>
        </w:rPr>
        <w:t xml:space="preserve"> </w:t>
      </w:r>
      <w:r w:rsidRPr="00385FC3">
        <w:rPr>
          <w:snapToGrid w:val="0"/>
        </w:rPr>
        <w:t>Elimination of PBSA sodium salt was virtually completed by 72 hours. Elimination occurs</w:t>
      </w:r>
      <w:r w:rsidRPr="00385FC3">
        <w:rPr>
          <w:i/>
          <w:snapToGrid w:val="0"/>
        </w:rPr>
        <w:t xml:space="preserve"> via</w:t>
      </w:r>
      <w:r w:rsidRPr="00385FC3">
        <w:rPr>
          <w:snapToGrid w:val="0"/>
        </w:rPr>
        <w:t xml:space="preserve"> urine and faeces in male rats. In pregnant rats, elimination predominantly occurred </w:t>
      </w:r>
      <w:r w:rsidRPr="00385FC3">
        <w:rPr>
          <w:i/>
          <w:snapToGrid w:val="0"/>
        </w:rPr>
        <w:t>via</w:t>
      </w:r>
      <w:r w:rsidRPr="00385FC3">
        <w:rPr>
          <w:snapToGrid w:val="0"/>
        </w:rPr>
        <w:t xml:space="preserve"> the faeces following oral administration and </w:t>
      </w:r>
      <w:r w:rsidRPr="00385FC3">
        <w:rPr>
          <w:i/>
          <w:snapToGrid w:val="0"/>
        </w:rPr>
        <w:t xml:space="preserve">via </w:t>
      </w:r>
      <w:r w:rsidRPr="00385FC3">
        <w:rPr>
          <w:snapToGrid w:val="0"/>
        </w:rPr>
        <w:t xml:space="preserve">both the urine and faeces following IV administration. Maximum </w:t>
      </w:r>
      <w:r w:rsidRPr="00385FC3">
        <w:rPr>
          <w:b/>
          <w:bCs/>
          <w:snapToGrid w:val="0"/>
        </w:rPr>
        <w:t xml:space="preserve">absorption through the skin of 0.259% (0.416 </w:t>
      </w:r>
      <w:proofErr w:type="spellStart"/>
      <w:r w:rsidRPr="00385FC3">
        <w:rPr>
          <w:b/>
          <w:bCs/>
          <w:snapToGrid w:val="0"/>
        </w:rPr>
        <w:t>μg</w:t>
      </w:r>
      <w:proofErr w:type="spellEnd"/>
      <w:r w:rsidRPr="00385FC3">
        <w:rPr>
          <w:b/>
          <w:bCs/>
          <w:snapToGrid w:val="0"/>
        </w:rPr>
        <w:t>/cm</w:t>
      </w:r>
      <w:r w:rsidRPr="00385FC3">
        <w:rPr>
          <w:b/>
          <w:bCs/>
          <w:snapToGrid w:val="0"/>
          <w:vertAlign w:val="superscript"/>
        </w:rPr>
        <w:t>2</w:t>
      </w:r>
      <w:r w:rsidRPr="00385FC3">
        <w:rPr>
          <w:b/>
          <w:bCs/>
          <w:snapToGrid w:val="0"/>
        </w:rPr>
        <w:t>) determined</w:t>
      </w:r>
      <w:r w:rsidRPr="00385FC3">
        <w:rPr>
          <w:snapToGrid w:val="0"/>
        </w:rPr>
        <w:t xml:space="preserve"> in the </w:t>
      </w:r>
      <w:r w:rsidRPr="00385FC3">
        <w:rPr>
          <w:i/>
          <w:iCs/>
          <w:snapToGrid w:val="0"/>
        </w:rPr>
        <w:t>in vivo</w:t>
      </w:r>
      <w:r w:rsidRPr="00385FC3">
        <w:rPr>
          <w:snapToGrid w:val="0"/>
        </w:rPr>
        <w:t xml:space="preserve"> study in humans following application of an 8% formulation of PBSA was used by the SCCP to determine the margin of safety for PBSA </w:t>
      </w:r>
      <w:bookmarkStart w:id="74" w:name="_Hlk87964294"/>
      <w:r w:rsidRPr="00385FC3">
        <w:rPr>
          <w:snapToGrid w:val="0"/>
        </w:rPr>
        <w:t xml:space="preserve">(SCCP 2006b).  </w:t>
      </w:r>
    </w:p>
    <w:p w14:paraId="39B4AC39" w14:textId="77777777" w:rsidR="00026EBE" w:rsidRPr="0074486E" w:rsidRDefault="00026EBE" w:rsidP="00026EBE">
      <w:pPr>
        <w:pStyle w:val="Heading2"/>
      </w:pPr>
      <w:bookmarkStart w:id="75" w:name="_Clinical_trials"/>
      <w:bookmarkStart w:id="76" w:name="_Toc64877741"/>
      <w:bookmarkStart w:id="77" w:name="_Toc100664710"/>
      <w:bookmarkStart w:id="78" w:name="_Toc157439280"/>
      <w:bookmarkStart w:id="79" w:name="_Toc173830122"/>
      <w:bookmarkStart w:id="80" w:name="_Toc189819957"/>
      <w:bookmarkStart w:id="81" w:name="_Toc190081227"/>
      <w:bookmarkEnd w:id="74"/>
      <w:bookmarkEnd w:id="75"/>
      <w:r w:rsidRPr="0074486E">
        <w:t>Clinical trials</w:t>
      </w:r>
      <w:bookmarkEnd w:id="76"/>
      <w:bookmarkEnd w:id="77"/>
      <w:bookmarkEnd w:id="78"/>
      <w:bookmarkEnd w:id="79"/>
      <w:bookmarkEnd w:id="80"/>
      <w:bookmarkEnd w:id="81"/>
    </w:p>
    <w:p w14:paraId="633FDC6C" w14:textId="77777777" w:rsidR="00026EBE" w:rsidRPr="00385FC3" w:rsidRDefault="00026EBE" w:rsidP="00026EBE">
      <w:pPr>
        <w:rPr>
          <w:color w:val="00B050"/>
        </w:rPr>
      </w:pPr>
      <w:r w:rsidRPr="00385FC3">
        <w:t>In a recent randomised clinical trial, healthy volunteers (</w:t>
      </w:r>
      <w:r w:rsidRPr="00385FC3">
        <w:rPr>
          <w:i/>
        </w:rPr>
        <w:t>n</w:t>
      </w:r>
      <w:r w:rsidRPr="00385FC3">
        <w:t>=24; 6/ group) were treated with four sunscreen products, four times per day for 4 days, in indoor conditions, at a rate of 2 mg/cm</w:t>
      </w:r>
      <w:r w:rsidRPr="00385FC3">
        <w:rPr>
          <w:vertAlign w:val="superscript"/>
        </w:rPr>
        <w:t>2</w:t>
      </w:r>
      <w:r w:rsidRPr="00385FC3">
        <w:t xml:space="preserve"> on 75% of body surface area. The sunscreen products were spray 1 (3% avobenzone/ 6% oxybenzone/2.35 % octocrylene/ 0% </w:t>
      </w:r>
      <w:proofErr w:type="spellStart"/>
      <w:r w:rsidRPr="00385FC3">
        <w:t>ecamsule</w:t>
      </w:r>
      <w:proofErr w:type="spellEnd"/>
      <w:r w:rsidRPr="00385FC3">
        <w:rPr>
          <w:rStyle w:val="FootnoteReference"/>
          <w:rFonts w:cs="Arial"/>
        </w:rPr>
        <w:footnoteReference w:id="6"/>
      </w:r>
      <w:r w:rsidRPr="00385FC3">
        <w:t xml:space="preserve">), spray 2 (3% avobenzone/5% oxybenzone/ 10% octocrylene/ 0% </w:t>
      </w:r>
      <w:proofErr w:type="spellStart"/>
      <w:r w:rsidRPr="00385FC3">
        <w:t>ecamsule</w:t>
      </w:r>
      <w:proofErr w:type="spellEnd"/>
      <w:r w:rsidRPr="00385FC3">
        <w:t xml:space="preserve">), lotion (3% avobenzone/ 4% oxybenzone/ 6% octocrylene/ 0% </w:t>
      </w:r>
      <w:proofErr w:type="spellStart"/>
      <w:r w:rsidRPr="00385FC3">
        <w:t>ecamsule</w:t>
      </w:r>
      <w:proofErr w:type="spellEnd"/>
      <w:r w:rsidRPr="00385FC3">
        <w:t xml:space="preserve">); and cream (2% avobenzone/ 0% oxybenzone/ 10% octocrylene/ 2% </w:t>
      </w:r>
      <w:proofErr w:type="spellStart"/>
      <w:r w:rsidRPr="00385FC3">
        <w:t>ecamsule</w:t>
      </w:r>
      <w:proofErr w:type="spellEnd"/>
      <w:r w:rsidRPr="00385FC3">
        <w:t>). The overall maximum plasma concentrations (</w:t>
      </w:r>
      <w:proofErr w:type="spellStart"/>
      <w:r w:rsidRPr="00385FC3">
        <w:rPr>
          <w:rFonts w:eastAsia="Cambria"/>
        </w:rPr>
        <w:t>C</w:t>
      </w:r>
      <w:r w:rsidRPr="00385FC3">
        <w:rPr>
          <w:rFonts w:eastAsia="Cambria"/>
          <w:vertAlign w:val="subscript"/>
        </w:rPr>
        <w:t>max</w:t>
      </w:r>
      <w:proofErr w:type="spellEnd"/>
      <w:r w:rsidRPr="00385FC3">
        <w:t>) of avobenzone, oxybenzone and octocrylene ranged from 4 to 4.3 ng/mL, 169.3 to 209.6 ng/mL and 2.9 to 7.8 ng/mL, respectively. The AUC increased from day 1 to day 4 and terminal half-life (</w:t>
      </w:r>
      <w:r w:rsidRPr="00385FC3">
        <w:rPr>
          <w:rFonts w:eastAsia="Cambria"/>
        </w:rPr>
        <w:t>t</w:t>
      </w:r>
      <w:r w:rsidRPr="00385FC3">
        <w:rPr>
          <w:rFonts w:eastAsia="Cambria"/>
          <w:vertAlign w:val="subscript"/>
        </w:rPr>
        <w:t>½</w:t>
      </w:r>
      <w:r w:rsidRPr="00385FC3">
        <w:rPr>
          <w:rFonts w:eastAsia="Cambria"/>
        </w:rPr>
        <w:t>)</w:t>
      </w:r>
      <w:r w:rsidRPr="00385FC3">
        <w:t xml:space="preserve"> was relatively long (33-55 h, 27-31 h and 42–84 h, respectively), suggesting a possible accumulation of the ingredients (Matta </w:t>
      </w:r>
      <w:r w:rsidRPr="00385FC3">
        <w:rPr>
          <w:i/>
        </w:rPr>
        <w:t>et al.</w:t>
      </w:r>
      <w:r w:rsidRPr="00385FC3">
        <w:t xml:space="preserve"> 2019). The systemic exposure of avobenzone and oxybenzone in human plasma was re-quantified by Pilli </w:t>
      </w:r>
      <w:r w:rsidRPr="00385FC3">
        <w:rPr>
          <w:i/>
          <w:iCs/>
        </w:rPr>
        <w:t>et al.</w:t>
      </w:r>
      <w:r w:rsidRPr="00385FC3">
        <w:t xml:space="preserve"> (2021) using novel UHPLC-MS/MS method and in general, the </w:t>
      </w:r>
      <w:proofErr w:type="spellStart"/>
      <w:r w:rsidRPr="00385FC3">
        <w:rPr>
          <w:rFonts w:eastAsia="Cambria"/>
        </w:rPr>
        <w:t>C</w:t>
      </w:r>
      <w:r w:rsidRPr="00385FC3">
        <w:rPr>
          <w:rFonts w:eastAsia="Cambria"/>
          <w:vertAlign w:val="subscript"/>
        </w:rPr>
        <w:t>max</w:t>
      </w:r>
      <w:proofErr w:type="spellEnd"/>
      <w:r w:rsidRPr="00385FC3">
        <w:t xml:space="preserve"> values were comparable to the results obtained previously. </w:t>
      </w:r>
    </w:p>
    <w:p w14:paraId="23F813A5" w14:textId="77777777" w:rsidR="00026EBE" w:rsidRPr="00385FC3" w:rsidRDefault="00026EBE" w:rsidP="00026EBE">
      <w:r w:rsidRPr="00385FC3">
        <w:t xml:space="preserve">Similar findings were observed in a follow up study with six active ingredients (avobenzone, oxybenzone, octocrylene, homosalate, </w:t>
      </w:r>
      <w:proofErr w:type="spellStart"/>
      <w:r w:rsidRPr="00385FC3">
        <w:t>octisalate</w:t>
      </w:r>
      <w:proofErr w:type="spellEnd"/>
      <w:r w:rsidRPr="00385FC3">
        <w:rPr>
          <w:rStyle w:val="FootnoteReference"/>
          <w:rFonts w:cs="Arial"/>
        </w:rPr>
        <w:footnoteReference w:id="7"/>
      </w:r>
      <w:r w:rsidRPr="00385FC3">
        <w:t xml:space="preserve">, and octinoxate) (Matta </w:t>
      </w:r>
      <w:r w:rsidRPr="00385FC3">
        <w:rPr>
          <w:i/>
        </w:rPr>
        <w:t>et al.</w:t>
      </w:r>
      <w:r w:rsidRPr="00385FC3">
        <w:t xml:space="preserve"> 2020).  </w:t>
      </w:r>
      <w:r w:rsidRPr="00385FC3">
        <w:rPr>
          <w:iCs/>
        </w:rPr>
        <w:t>Four groups (</w:t>
      </w:r>
      <w:r w:rsidRPr="00385FC3">
        <w:rPr>
          <w:i/>
          <w:iCs/>
        </w:rPr>
        <w:t>n</w:t>
      </w:r>
      <w:r w:rsidRPr="00385FC3">
        <w:rPr>
          <w:iCs/>
        </w:rPr>
        <w:t>=12) of healthy adults received 2 mg/cm</w:t>
      </w:r>
      <w:r w:rsidRPr="00385FC3">
        <w:rPr>
          <w:iCs/>
          <w:vertAlign w:val="superscript"/>
        </w:rPr>
        <w:t xml:space="preserve">2 </w:t>
      </w:r>
      <w:r w:rsidRPr="00385FC3">
        <w:rPr>
          <w:iCs/>
        </w:rPr>
        <w:t>(75% of body surface area) on day 1 and 4 times on day 2 to day 4 at 2-hour intervals and blood samples were collected over 21 days from each participant.</w:t>
      </w:r>
      <w:r w:rsidRPr="00385FC3">
        <w:t xml:space="preserve"> </w:t>
      </w:r>
    </w:p>
    <w:p w14:paraId="7F1676CE" w14:textId="77777777" w:rsidR="00026EBE" w:rsidRDefault="00026EBE" w:rsidP="00026EBE">
      <w:r w:rsidRPr="00385FC3">
        <w:t xml:space="preserve">The </w:t>
      </w:r>
      <w:proofErr w:type="spellStart"/>
      <w:r w:rsidRPr="00385FC3">
        <w:rPr>
          <w:rFonts w:eastAsia="Cambria"/>
        </w:rPr>
        <w:t>C</w:t>
      </w:r>
      <w:r w:rsidRPr="00385FC3">
        <w:rPr>
          <w:rFonts w:eastAsia="Cambria"/>
          <w:vertAlign w:val="subscript"/>
        </w:rPr>
        <w:t>max</w:t>
      </w:r>
      <w:proofErr w:type="spellEnd"/>
      <w:r w:rsidRPr="00385FC3">
        <w:t xml:space="preserve"> of all these ingredients exceeded the US FDA threshold (&gt; 0.5 ng/mL) after a single application and remained above the threshold until day 7 for avobenzone (95%; </w:t>
      </w:r>
      <w:r w:rsidRPr="00385FC3">
        <w:rPr>
          <w:i/>
        </w:rPr>
        <w:t>n</w:t>
      </w:r>
      <w:r w:rsidRPr="00385FC3">
        <w:t xml:space="preserve"> = 42/44), </w:t>
      </w:r>
      <w:proofErr w:type="spellStart"/>
      <w:r w:rsidRPr="00385FC3">
        <w:t>octisalate</w:t>
      </w:r>
      <w:proofErr w:type="spellEnd"/>
      <w:r w:rsidRPr="00385FC3">
        <w:t xml:space="preserve"> (75%; </w:t>
      </w:r>
      <w:r w:rsidRPr="00385FC3">
        <w:rPr>
          <w:i/>
        </w:rPr>
        <w:t>n</w:t>
      </w:r>
      <w:r w:rsidRPr="00385FC3">
        <w:t xml:space="preserve"> = 24/32), and octinoxate (90%; </w:t>
      </w:r>
      <w:r w:rsidRPr="00385FC3">
        <w:rPr>
          <w:i/>
        </w:rPr>
        <w:t>n</w:t>
      </w:r>
      <w:r w:rsidRPr="00385FC3">
        <w:t xml:space="preserve"> = 18/20); day 10 for octocrylene (67%; </w:t>
      </w:r>
      <w:r w:rsidRPr="00385FC3">
        <w:rPr>
          <w:i/>
        </w:rPr>
        <w:t>n</w:t>
      </w:r>
      <w:r w:rsidRPr="00385FC3">
        <w:t xml:space="preserve"> = 22/33); and day 21 for homosalate (55%; </w:t>
      </w:r>
      <w:r w:rsidRPr="00385FC3">
        <w:rPr>
          <w:i/>
        </w:rPr>
        <w:t>n</w:t>
      </w:r>
      <w:r w:rsidRPr="00385FC3">
        <w:t xml:space="preserve"> = 17/31) and oxybenzone (96%; </w:t>
      </w:r>
      <w:r w:rsidRPr="00385FC3">
        <w:rPr>
          <w:i/>
        </w:rPr>
        <w:t xml:space="preserve">n </w:t>
      </w:r>
      <w:r w:rsidRPr="00385FC3">
        <w:t xml:space="preserve">= 22/23). The overall exposure throughout the study (Days 1-21) is summarised in the following table taken from Matta </w:t>
      </w:r>
      <w:r w:rsidRPr="00385FC3">
        <w:rPr>
          <w:i/>
        </w:rPr>
        <w:t>et al.</w:t>
      </w:r>
      <w:r w:rsidRPr="00385FC3">
        <w:t xml:space="preserve"> (2020).</w:t>
      </w:r>
    </w:p>
    <w:tbl>
      <w:tblPr>
        <w:tblStyle w:val="TableTGAblue2023"/>
        <w:tblW w:w="0" w:type="auto"/>
        <w:tblLook w:val="04A0" w:firstRow="1" w:lastRow="0" w:firstColumn="1" w:lastColumn="0" w:noHBand="0" w:noVBand="1"/>
      </w:tblPr>
      <w:tblGrid>
        <w:gridCol w:w="1696"/>
        <w:gridCol w:w="1925"/>
        <w:gridCol w:w="1792"/>
        <w:gridCol w:w="1819"/>
        <w:gridCol w:w="1784"/>
      </w:tblGrid>
      <w:tr w:rsidR="00026EBE" w14:paraId="790ED74F" w14:textId="77777777" w:rsidTr="0008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1BD8C32F" w14:textId="77777777" w:rsidR="00026EBE" w:rsidRDefault="00026EBE" w:rsidP="000850F6"/>
        </w:tc>
        <w:tc>
          <w:tcPr>
            <w:tcW w:w="7320" w:type="dxa"/>
            <w:gridSpan w:val="4"/>
          </w:tcPr>
          <w:p w14:paraId="65C4AFC6" w14:textId="77777777" w:rsidR="00026EBE" w:rsidRPr="00F90D8D" w:rsidRDefault="00026EBE" w:rsidP="000850F6">
            <w:pPr>
              <w:pStyle w:val="TableHead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rPr>
            </w:pPr>
            <w:r w:rsidRPr="00F90D8D">
              <w:rPr>
                <w:rFonts w:ascii="Arial" w:hAnsi="Arial" w:cs="Arial"/>
                <w:b/>
                <w:bCs/>
                <w:sz w:val="22"/>
                <w:szCs w:val="22"/>
              </w:rPr>
              <w:t>Geometric mean maximum plasma concentration, ng/mL</w:t>
            </w:r>
          </w:p>
          <w:p w14:paraId="459826A1" w14:textId="77777777" w:rsidR="00026EBE" w:rsidRDefault="00026EBE" w:rsidP="000850F6">
            <w:pPr>
              <w:jc w:val="center"/>
              <w:cnfStyle w:val="100000000000" w:firstRow="1" w:lastRow="0" w:firstColumn="0" w:lastColumn="0" w:oddVBand="0" w:evenVBand="0" w:oddHBand="0" w:evenHBand="0" w:firstRowFirstColumn="0" w:firstRowLastColumn="0" w:lastRowFirstColumn="0" w:lastRowLastColumn="0"/>
            </w:pPr>
            <w:r w:rsidRPr="008B0EDE">
              <w:t>(coefficient of variation, %)</w:t>
            </w:r>
          </w:p>
        </w:tc>
      </w:tr>
      <w:tr w:rsidR="00026EBE" w14:paraId="3A24A614" w14:textId="77777777" w:rsidTr="000850F6">
        <w:tc>
          <w:tcPr>
            <w:cnfStyle w:val="001000000000" w:firstRow="0" w:lastRow="0" w:firstColumn="1" w:lastColumn="0" w:oddVBand="0" w:evenVBand="0" w:oddHBand="0" w:evenHBand="0" w:firstRowFirstColumn="0" w:firstRowLastColumn="0" w:lastRowFirstColumn="0" w:lastRowLastColumn="0"/>
            <w:tcW w:w="1696" w:type="dxa"/>
            <w:vMerge/>
          </w:tcPr>
          <w:p w14:paraId="4966F652" w14:textId="77777777" w:rsidR="00026EBE" w:rsidRDefault="00026EBE" w:rsidP="000850F6"/>
        </w:tc>
        <w:tc>
          <w:tcPr>
            <w:tcW w:w="1925" w:type="dxa"/>
            <w:shd w:val="clear" w:color="auto" w:fill="BDCFF0" w:themeFill="accent2" w:themeFillTint="66"/>
          </w:tcPr>
          <w:p w14:paraId="0E04951D" w14:textId="77777777" w:rsidR="00026EBE" w:rsidRPr="00A65555" w:rsidRDefault="00026EBE" w:rsidP="000850F6">
            <w:pPr>
              <w:keepNext/>
              <w:cnfStyle w:val="000000000000" w:firstRow="0" w:lastRow="0" w:firstColumn="0" w:lastColumn="0" w:oddVBand="0" w:evenVBand="0" w:oddHBand="0" w:evenHBand="0" w:firstRowFirstColumn="0" w:firstRowLastColumn="0" w:lastRowFirstColumn="0" w:lastRowLastColumn="0"/>
              <w:rPr>
                <w:b/>
                <w:color w:val="263287"/>
                <w:szCs w:val="18"/>
              </w:rPr>
            </w:pPr>
            <w:r w:rsidRPr="00A65555">
              <w:rPr>
                <w:b/>
                <w:color w:val="263287"/>
                <w:szCs w:val="18"/>
              </w:rPr>
              <w:t>Lotion</w:t>
            </w:r>
          </w:p>
        </w:tc>
        <w:tc>
          <w:tcPr>
            <w:tcW w:w="1792" w:type="dxa"/>
            <w:shd w:val="clear" w:color="auto" w:fill="BDCFF0" w:themeFill="accent2" w:themeFillTint="66"/>
          </w:tcPr>
          <w:p w14:paraId="60D92D89" w14:textId="77777777" w:rsidR="00026EBE" w:rsidRPr="00A65555" w:rsidRDefault="00026EBE" w:rsidP="000850F6">
            <w:pPr>
              <w:keepNext/>
              <w:cnfStyle w:val="000000000000" w:firstRow="0" w:lastRow="0" w:firstColumn="0" w:lastColumn="0" w:oddVBand="0" w:evenVBand="0" w:oddHBand="0" w:evenHBand="0" w:firstRowFirstColumn="0" w:firstRowLastColumn="0" w:lastRowFirstColumn="0" w:lastRowLastColumn="0"/>
              <w:rPr>
                <w:b/>
                <w:color w:val="263287"/>
                <w:szCs w:val="18"/>
              </w:rPr>
            </w:pPr>
            <w:r w:rsidRPr="00A65555">
              <w:rPr>
                <w:b/>
                <w:color w:val="263287"/>
                <w:szCs w:val="18"/>
              </w:rPr>
              <w:t>Aerosol spray</w:t>
            </w:r>
          </w:p>
        </w:tc>
        <w:tc>
          <w:tcPr>
            <w:tcW w:w="1819" w:type="dxa"/>
            <w:shd w:val="clear" w:color="auto" w:fill="BDCFF0" w:themeFill="accent2" w:themeFillTint="66"/>
          </w:tcPr>
          <w:p w14:paraId="06B4BCDC" w14:textId="77777777" w:rsidR="00026EBE" w:rsidRPr="00A65555" w:rsidRDefault="00026EBE" w:rsidP="000850F6">
            <w:pPr>
              <w:keepNext/>
              <w:cnfStyle w:val="000000000000" w:firstRow="0" w:lastRow="0" w:firstColumn="0" w:lastColumn="0" w:oddVBand="0" w:evenVBand="0" w:oddHBand="0" w:evenHBand="0" w:firstRowFirstColumn="0" w:firstRowLastColumn="0" w:lastRowFirstColumn="0" w:lastRowLastColumn="0"/>
              <w:rPr>
                <w:b/>
                <w:color w:val="263287"/>
                <w:szCs w:val="18"/>
              </w:rPr>
            </w:pPr>
            <w:proofErr w:type="spellStart"/>
            <w:r w:rsidRPr="00A65555">
              <w:rPr>
                <w:b/>
                <w:color w:val="263287"/>
                <w:szCs w:val="18"/>
              </w:rPr>
              <w:t>Nonaresol</w:t>
            </w:r>
            <w:proofErr w:type="spellEnd"/>
            <w:r w:rsidRPr="00A65555">
              <w:rPr>
                <w:b/>
                <w:color w:val="263287"/>
                <w:szCs w:val="18"/>
              </w:rPr>
              <w:t xml:space="preserve"> spray</w:t>
            </w:r>
          </w:p>
        </w:tc>
        <w:tc>
          <w:tcPr>
            <w:tcW w:w="1784" w:type="dxa"/>
            <w:shd w:val="clear" w:color="auto" w:fill="BDCFF0" w:themeFill="accent2" w:themeFillTint="66"/>
          </w:tcPr>
          <w:p w14:paraId="5EBE0076" w14:textId="77777777" w:rsidR="00026EBE" w:rsidRPr="00A65555" w:rsidRDefault="00026EBE" w:rsidP="000850F6">
            <w:pPr>
              <w:keepNext/>
              <w:cnfStyle w:val="000000000000" w:firstRow="0" w:lastRow="0" w:firstColumn="0" w:lastColumn="0" w:oddVBand="0" w:evenVBand="0" w:oddHBand="0" w:evenHBand="0" w:firstRowFirstColumn="0" w:firstRowLastColumn="0" w:lastRowFirstColumn="0" w:lastRowLastColumn="0"/>
              <w:rPr>
                <w:b/>
                <w:color w:val="263287"/>
                <w:szCs w:val="18"/>
              </w:rPr>
            </w:pPr>
            <w:r w:rsidRPr="00A65555">
              <w:rPr>
                <w:b/>
                <w:color w:val="263287"/>
                <w:szCs w:val="18"/>
              </w:rPr>
              <w:t>Pump spray</w:t>
            </w:r>
          </w:p>
        </w:tc>
      </w:tr>
      <w:tr w:rsidR="00026EBE" w14:paraId="4246AE78" w14:textId="77777777" w:rsidTr="000850F6">
        <w:tc>
          <w:tcPr>
            <w:cnfStyle w:val="001000000000" w:firstRow="0" w:lastRow="0" w:firstColumn="1" w:lastColumn="0" w:oddVBand="0" w:evenVBand="0" w:oddHBand="0" w:evenHBand="0" w:firstRowFirstColumn="0" w:firstRowLastColumn="0" w:lastRowFirstColumn="0" w:lastRowLastColumn="0"/>
            <w:tcW w:w="1696" w:type="dxa"/>
          </w:tcPr>
          <w:p w14:paraId="2B0426BB" w14:textId="77777777" w:rsidR="00026EBE" w:rsidRDefault="00026EBE" w:rsidP="000850F6">
            <w:r>
              <w:t>Avobenzone</w:t>
            </w:r>
          </w:p>
        </w:tc>
        <w:tc>
          <w:tcPr>
            <w:tcW w:w="1925" w:type="dxa"/>
          </w:tcPr>
          <w:p w14:paraId="594EA920"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7.1 (73.9)</w:t>
            </w:r>
          </w:p>
        </w:tc>
        <w:tc>
          <w:tcPr>
            <w:tcW w:w="1792" w:type="dxa"/>
          </w:tcPr>
          <w:p w14:paraId="39BB1E9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3.5 (70.9)</w:t>
            </w:r>
          </w:p>
        </w:tc>
        <w:tc>
          <w:tcPr>
            <w:tcW w:w="1819" w:type="dxa"/>
          </w:tcPr>
          <w:p w14:paraId="5A92861D"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3.5</w:t>
            </w:r>
            <w:r w:rsidRPr="008277F8">
              <w:t xml:space="preserve"> (</w:t>
            </w:r>
            <w:r w:rsidRPr="00A43C1C">
              <w:t>73.0</w:t>
            </w:r>
            <w:r w:rsidRPr="00361DD3">
              <w:t>)</w:t>
            </w:r>
          </w:p>
        </w:tc>
        <w:tc>
          <w:tcPr>
            <w:tcW w:w="1784" w:type="dxa"/>
          </w:tcPr>
          <w:p w14:paraId="422FE3E5"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F7DAC">
              <w:t>3.3 (47.8)</w:t>
            </w:r>
          </w:p>
        </w:tc>
      </w:tr>
      <w:tr w:rsidR="00026EBE" w14:paraId="65FBF4AA" w14:textId="77777777" w:rsidTr="000850F6">
        <w:tc>
          <w:tcPr>
            <w:cnfStyle w:val="001000000000" w:firstRow="0" w:lastRow="0" w:firstColumn="1" w:lastColumn="0" w:oddVBand="0" w:evenVBand="0" w:oddHBand="0" w:evenHBand="0" w:firstRowFirstColumn="0" w:firstRowLastColumn="0" w:lastRowFirstColumn="0" w:lastRowLastColumn="0"/>
            <w:tcW w:w="1696" w:type="dxa"/>
          </w:tcPr>
          <w:p w14:paraId="2CA0091D" w14:textId="77777777" w:rsidR="00026EBE" w:rsidRDefault="00026EBE" w:rsidP="000850F6">
            <w:r>
              <w:t>Oxybenzone</w:t>
            </w:r>
          </w:p>
        </w:tc>
        <w:tc>
          <w:tcPr>
            <w:tcW w:w="1925" w:type="dxa"/>
          </w:tcPr>
          <w:p w14:paraId="128A570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258.1 (53.0)</w:t>
            </w:r>
          </w:p>
        </w:tc>
        <w:tc>
          <w:tcPr>
            <w:tcW w:w="1792" w:type="dxa"/>
          </w:tcPr>
          <w:p w14:paraId="6038A76A"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180.1 (57.3)</w:t>
            </w:r>
          </w:p>
        </w:tc>
        <w:tc>
          <w:tcPr>
            <w:tcW w:w="1819" w:type="dxa"/>
          </w:tcPr>
          <w:p w14:paraId="787B767B"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NA</w:t>
            </w:r>
          </w:p>
        </w:tc>
        <w:tc>
          <w:tcPr>
            <w:tcW w:w="1784" w:type="dxa"/>
          </w:tcPr>
          <w:p w14:paraId="337D38E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8277F8">
              <w:t>NA</w:t>
            </w:r>
          </w:p>
        </w:tc>
      </w:tr>
      <w:tr w:rsidR="00026EBE" w14:paraId="411B0E81" w14:textId="77777777" w:rsidTr="000850F6">
        <w:tc>
          <w:tcPr>
            <w:cnfStyle w:val="001000000000" w:firstRow="0" w:lastRow="0" w:firstColumn="1" w:lastColumn="0" w:oddVBand="0" w:evenVBand="0" w:oddHBand="0" w:evenHBand="0" w:firstRowFirstColumn="0" w:firstRowLastColumn="0" w:lastRowFirstColumn="0" w:lastRowLastColumn="0"/>
            <w:tcW w:w="1696" w:type="dxa"/>
          </w:tcPr>
          <w:p w14:paraId="0DE6114D" w14:textId="77777777" w:rsidR="00026EBE" w:rsidRDefault="00026EBE" w:rsidP="000850F6">
            <w:r>
              <w:t>Octocrylene</w:t>
            </w:r>
          </w:p>
        </w:tc>
        <w:tc>
          <w:tcPr>
            <w:tcW w:w="1925" w:type="dxa"/>
          </w:tcPr>
          <w:p w14:paraId="4E326DE5"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7.8 (87.1)</w:t>
            </w:r>
          </w:p>
        </w:tc>
        <w:tc>
          <w:tcPr>
            <w:tcW w:w="1792" w:type="dxa"/>
          </w:tcPr>
          <w:p w14:paraId="7FAEC97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6.6 (78.1)</w:t>
            </w:r>
          </w:p>
        </w:tc>
        <w:tc>
          <w:tcPr>
            <w:tcW w:w="1819" w:type="dxa"/>
          </w:tcPr>
          <w:p w14:paraId="6F750F2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6.6</w:t>
            </w:r>
            <w:r w:rsidRPr="008277F8">
              <w:t xml:space="preserve"> (103.9</w:t>
            </w:r>
            <w:r w:rsidRPr="00A43C1C">
              <w:t>)</w:t>
            </w:r>
          </w:p>
        </w:tc>
        <w:tc>
          <w:tcPr>
            <w:tcW w:w="1784" w:type="dxa"/>
          </w:tcPr>
          <w:p w14:paraId="78D2913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FE7C23">
              <w:t>NA</w:t>
            </w:r>
          </w:p>
        </w:tc>
      </w:tr>
      <w:tr w:rsidR="00026EBE" w14:paraId="4D68CB45" w14:textId="77777777" w:rsidTr="000850F6">
        <w:tc>
          <w:tcPr>
            <w:cnfStyle w:val="001000000000" w:firstRow="0" w:lastRow="0" w:firstColumn="1" w:lastColumn="0" w:oddVBand="0" w:evenVBand="0" w:oddHBand="0" w:evenHBand="0" w:firstRowFirstColumn="0" w:firstRowLastColumn="0" w:lastRowFirstColumn="0" w:lastRowLastColumn="0"/>
            <w:tcW w:w="1696" w:type="dxa"/>
          </w:tcPr>
          <w:p w14:paraId="46084501" w14:textId="77777777" w:rsidR="00026EBE" w:rsidRDefault="00026EBE" w:rsidP="000850F6">
            <w:r>
              <w:t>Homosalate</w:t>
            </w:r>
          </w:p>
        </w:tc>
        <w:tc>
          <w:tcPr>
            <w:tcW w:w="1925" w:type="dxa"/>
          </w:tcPr>
          <w:p w14:paraId="464BFE8C"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NA</w:t>
            </w:r>
          </w:p>
        </w:tc>
        <w:tc>
          <w:tcPr>
            <w:tcW w:w="1792" w:type="dxa"/>
          </w:tcPr>
          <w:p w14:paraId="6C7109C3"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23.1 (68.0)</w:t>
            </w:r>
          </w:p>
        </w:tc>
        <w:tc>
          <w:tcPr>
            <w:tcW w:w="1819" w:type="dxa"/>
          </w:tcPr>
          <w:p w14:paraId="479073ED"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17.9</w:t>
            </w:r>
            <w:r w:rsidRPr="008277F8">
              <w:t xml:space="preserve"> (61.7</w:t>
            </w:r>
            <w:r w:rsidRPr="00A43C1C">
              <w:t>)</w:t>
            </w:r>
          </w:p>
        </w:tc>
        <w:tc>
          <w:tcPr>
            <w:tcW w:w="1784" w:type="dxa"/>
          </w:tcPr>
          <w:p w14:paraId="0BBC2F21"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FE7C23">
              <w:t>1</w:t>
            </w:r>
            <w:r w:rsidRPr="00CA4CC9">
              <w:t>3.9</w:t>
            </w:r>
            <w:r w:rsidRPr="00CF52F5">
              <w:t xml:space="preserve"> </w:t>
            </w:r>
            <w:r w:rsidRPr="00DC5688">
              <w:t>(</w:t>
            </w:r>
            <w:r w:rsidRPr="007F7DAC">
              <w:t>70.2)</w:t>
            </w:r>
          </w:p>
        </w:tc>
      </w:tr>
      <w:tr w:rsidR="00026EBE" w14:paraId="2A25030C" w14:textId="77777777" w:rsidTr="000850F6">
        <w:tc>
          <w:tcPr>
            <w:cnfStyle w:val="001000000000" w:firstRow="0" w:lastRow="0" w:firstColumn="1" w:lastColumn="0" w:oddVBand="0" w:evenVBand="0" w:oddHBand="0" w:evenHBand="0" w:firstRowFirstColumn="0" w:firstRowLastColumn="0" w:lastRowFirstColumn="0" w:lastRowLastColumn="0"/>
            <w:tcW w:w="1696" w:type="dxa"/>
          </w:tcPr>
          <w:p w14:paraId="484AFE71" w14:textId="77777777" w:rsidR="00026EBE" w:rsidRDefault="00026EBE" w:rsidP="000850F6">
            <w:proofErr w:type="spellStart"/>
            <w:r>
              <w:t>Octisalate</w:t>
            </w:r>
            <w:proofErr w:type="spellEnd"/>
          </w:p>
        </w:tc>
        <w:tc>
          <w:tcPr>
            <w:tcW w:w="1925" w:type="dxa"/>
          </w:tcPr>
          <w:p w14:paraId="00100FDE"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NA</w:t>
            </w:r>
          </w:p>
        </w:tc>
        <w:tc>
          <w:tcPr>
            <w:tcW w:w="1792" w:type="dxa"/>
          </w:tcPr>
          <w:p w14:paraId="033D70D3"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5.1 (81.6)</w:t>
            </w:r>
          </w:p>
        </w:tc>
        <w:tc>
          <w:tcPr>
            <w:tcW w:w="1819" w:type="dxa"/>
          </w:tcPr>
          <w:p w14:paraId="671DF278"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5.9</w:t>
            </w:r>
            <w:r w:rsidRPr="008277F8">
              <w:t xml:space="preserve"> (</w:t>
            </w:r>
            <w:r w:rsidRPr="00A43C1C">
              <w:t>7</w:t>
            </w:r>
            <w:r w:rsidRPr="00361DD3">
              <w:t>7.4</w:t>
            </w:r>
            <w:r w:rsidRPr="00FE7C23">
              <w:t>)</w:t>
            </w:r>
          </w:p>
        </w:tc>
        <w:tc>
          <w:tcPr>
            <w:tcW w:w="1784" w:type="dxa"/>
          </w:tcPr>
          <w:p w14:paraId="02EBC65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7F7DAC">
              <w:t>4.6 (97.6)</w:t>
            </w:r>
          </w:p>
        </w:tc>
      </w:tr>
      <w:tr w:rsidR="00026EBE" w14:paraId="165D48EA" w14:textId="77777777" w:rsidTr="000850F6">
        <w:tc>
          <w:tcPr>
            <w:cnfStyle w:val="001000000000" w:firstRow="0" w:lastRow="0" w:firstColumn="1" w:lastColumn="0" w:oddVBand="0" w:evenVBand="0" w:oddHBand="0" w:evenHBand="0" w:firstRowFirstColumn="0" w:firstRowLastColumn="0" w:lastRowFirstColumn="0" w:lastRowLastColumn="0"/>
            <w:tcW w:w="1696" w:type="dxa"/>
          </w:tcPr>
          <w:p w14:paraId="68F2BE79" w14:textId="77777777" w:rsidR="00026EBE" w:rsidRDefault="00026EBE" w:rsidP="000850F6">
            <w:r>
              <w:t>Octinoxate</w:t>
            </w:r>
          </w:p>
        </w:tc>
        <w:tc>
          <w:tcPr>
            <w:tcW w:w="1925" w:type="dxa"/>
          </w:tcPr>
          <w:p w14:paraId="43821401"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NA</w:t>
            </w:r>
          </w:p>
        </w:tc>
        <w:tc>
          <w:tcPr>
            <w:tcW w:w="1792" w:type="dxa"/>
          </w:tcPr>
          <w:p w14:paraId="7046415A"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NA</w:t>
            </w:r>
          </w:p>
        </w:tc>
        <w:tc>
          <w:tcPr>
            <w:tcW w:w="1819" w:type="dxa"/>
          </w:tcPr>
          <w:p w14:paraId="5246157A"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7.9 (86.5)</w:t>
            </w:r>
          </w:p>
        </w:tc>
        <w:tc>
          <w:tcPr>
            <w:tcW w:w="1784" w:type="dxa"/>
          </w:tcPr>
          <w:p w14:paraId="65B2C5DB"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4E094D">
              <w:t>5.2</w:t>
            </w:r>
            <w:r w:rsidRPr="008277F8">
              <w:t xml:space="preserve"> (</w:t>
            </w:r>
            <w:r w:rsidRPr="00A43C1C">
              <w:t>68.2</w:t>
            </w:r>
            <w:r w:rsidRPr="00361DD3">
              <w:t>)</w:t>
            </w:r>
          </w:p>
        </w:tc>
      </w:tr>
    </w:tbl>
    <w:p w14:paraId="13C2F122" w14:textId="77777777" w:rsidR="00026EBE" w:rsidRDefault="00026EBE" w:rsidP="00026EBE"/>
    <w:p w14:paraId="38A95AB4" w14:textId="77777777" w:rsidR="00026EBE" w:rsidRPr="00385FC3" w:rsidRDefault="00026EBE" w:rsidP="00026EBE">
      <w:r w:rsidRPr="00385FC3">
        <w:t xml:space="preserve">Another study investigating systemic absorption of avobenzone and octocrylene using real-life exposure scenario demonstrated similar systemic absorption of the ingredients (Hiller </w:t>
      </w:r>
      <w:r w:rsidRPr="00385FC3">
        <w:rPr>
          <w:i/>
        </w:rPr>
        <w:t>et al.</w:t>
      </w:r>
      <w:r w:rsidRPr="00385FC3">
        <w:t xml:space="preserve"> 2018). Following dermal exposure, avobenzone, octocrylene and CDAA (major urinary metabolite of octocrylene) reached concentrations up to 11.3 </w:t>
      </w:r>
      <w:proofErr w:type="spellStart"/>
      <w:r w:rsidRPr="00385FC3">
        <w:t>μg</w:t>
      </w:r>
      <w:proofErr w:type="spellEnd"/>
      <w:r w:rsidRPr="00385FC3">
        <w:t xml:space="preserve">/L, 25 </w:t>
      </w:r>
      <w:proofErr w:type="spellStart"/>
      <w:r w:rsidRPr="00385FC3">
        <w:t>μg</w:t>
      </w:r>
      <w:proofErr w:type="spellEnd"/>
      <w:r w:rsidRPr="00385FC3">
        <w:t xml:space="preserve">/L and 1352 </w:t>
      </w:r>
      <w:proofErr w:type="spellStart"/>
      <w:r w:rsidRPr="00385FC3">
        <w:t>μg</w:t>
      </w:r>
      <w:proofErr w:type="spellEnd"/>
      <w:r w:rsidRPr="00385FC3">
        <w:t>/L, respectively, in plasma (</w:t>
      </w:r>
      <w:r w:rsidRPr="00385FC3">
        <w:fldChar w:fldCharType="begin"/>
      </w:r>
      <w:r w:rsidRPr="00385FC3">
        <w:instrText xml:space="preserve"> REF _Ref63861885 \h  \* MERGEFORMAT </w:instrText>
      </w:r>
      <w:r w:rsidRPr="00385FC3">
        <w:fldChar w:fldCharType="separate"/>
      </w:r>
      <w:r w:rsidRPr="00385FC3">
        <w:t xml:space="preserve">Table </w:t>
      </w:r>
      <w:r w:rsidRPr="00385FC3">
        <w:rPr>
          <w:noProof/>
        </w:rPr>
        <w:t>0</w:t>
      </w:r>
      <w:r w:rsidRPr="00385FC3">
        <w:rPr>
          <w:noProof/>
        </w:rPr>
        <w:noBreakHyphen/>
        <w:t>2</w:t>
      </w:r>
      <w:r w:rsidRPr="00385FC3">
        <w:fldChar w:fldCharType="end"/>
      </w:r>
      <w:r w:rsidRPr="00385FC3">
        <w:t>). When kinetic models were fitted for octocrylene and CDAA in plasma and CDAA in urine, concentration peaks reached between 10 and 16 h after first application and elimination half-life (</w:t>
      </w:r>
      <w:r w:rsidRPr="00385FC3">
        <w:rPr>
          <w:rFonts w:eastAsia="Cambria"/>
        </w:rPr>
        <w:t>t</w:t>
      </w:r>
      <w:r w:rsidRPr="00385FC3">
        <w:rPr>
          <w:rFonts w:eastAsia="Cambria"/>
          <w:vertAlign w:val="subscript"/>
        </w:rPr>
        <w:t>½</w:t>
      </w:r>
      <w:r w:rsidRPr="00385FC3">
        <w:t xml:space="preserve">) were 36-48 hours. Octocrylene and CDAA showed slower elimination. </w:t>
      </w:r>
    </w:p>
    <w:p w14:paraId="54096B74" w14:textId="77777777" w:rsidR="00026EBE" w:rsidRDefault="00026EBE" w:rsidP="00026EBE">
      <w:pPr>
        <w:pStyle w:val="Tabletitle"/>
      </w:pPr>
      <w:bookmarkStart w:id="82" w:name="_Ref63861885"/>
      <w:r w:rsidRPr="0074486E">
        <w:t xml:space="preserve">Table </w:t>
      </w:r>
      <w:r w:rsidRPr="0074486E">
        <w:fldChar w:fldCharType="begin"/>
      </w:r>
      <w:r w:rsidRPr="0074486E">
        <w:instrText xml:space="preserve"> STYLEREF 1 \s </w:instrText>
      </w:r>
      <w:r w:rsidRPr="0074486E">
        <w:fldChar w:fldCharType="separate"/>
      </w:r>
      <w:r>
        <w:rPr>
          <w:noProof/>
        </w:rPr>
        <w:t>0</w:t>
      </w:r>
      <w:r w:rsidRPr="0074486E">
        <w:fldChar w:fldCharType="end"/>
      </w:r>
      <w:r w:rsidRPr="0074486E">
        <w:noBreakHyphen/>
      </w:r>
      <w:r w:rsidRPr="0074486E">
        <w:fldChar w:fldCharType="begin"/>
      </w:r>
      <w:r w:rsidRPr="0074486E">
        <w:instrText xml:space="preserve"> SEQ Table \* ARABIC \s 1 </w:instrText>
      </w:r>
      <w:r w:rsidRPr="0074486E">
        <w:fldChar w:fldCharType="separate"/>
      </w:r>
      <w:r>
        <w:rPr>
          <w:noProof/>
        </w:rPr>
        <w:t>2</w:t>
      </w:r>
      <w:r w:rsidRPr="0074486E">
        <w:fldChar w:fldCharType="end"/>
      </w:r>
      <w:bookmarkEnd w:id="82"/>
      <w:r w:rsidRPr="0074486E">
        <w:t xml:space="preserve"> Toxicokinetic data in humans following dermal exposure to octocrylene and avobenzone  </w:t>
      </w:r>
    </w:p>
    <w:tbl>
      <w:tblPr>
        <w:tblStyle w:val="TableTGAblue2023"/>
        <w:tblW w:w="0" w:type="auto"/>
        <w:tblLook w:val="04A0" w:firstRow="1" w:lastRow="0" w:firstColumn="1" w:lastColumn="0" w:noHBand="0" w:noVBand="1"/>
      </w:tblPr>
      <w:tblGrid>
        <w:gridCol w:w="1450"/>
        <w:gridCol w:w="1167"/>
        <w:gridCol w:w="2143"/>
        <w:gridCol w:w="2146"/>
        <w:gridCol w:w="2110"/>
      </w:tblGrid>
      <w:tr w:rsidR="00026EBE" w14:paraId="0F882801" w14:textId="77777777" w:rsidTr="0008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7" w:type="dxa"/>
            <w:gridSpan w:val="2"/>
          </w:tcPr>
          <w:p w14:paraId="086C2699" w14:textId="77777777" w:rsidR="00026EBE" w:rsidRDefault="00026EBE" w:rsidP="000850F6">
            <w:pPr>
              <w:jc w:val="center"/>
            </w:pPr>
            <w:r>
              <w:t>Study details</w:t>
            </w:r>
          </w:p>
        </w:tc>
        <w:tc>
          <w:tcPr>
            <w:tcW w:w="6399" w:type="dxa"/>
            <w:gridSpan w:val="3"/>
          </w:tcPr>
          <w:p w14:paraId="38116CD0" w14:textId="77777777" w:rsidR="00026EBE" w:rsidRDefault="00026EBE" w:rsidP="000850F6">
            <w:pPr>
              <w:jc w:val="center"/>
              <w:cnfStyle w:val="100000000000" w:firstRow="1" w:lastRow="0" w:firstColumn="0" w:lastColumn="0" w:oddVBand="0" w:evenVBand="0" w:oddHBand="0" w:evenHBand="0" w:firstRowFirstColumn="0" w:firstRowLastColumn="0" w:lastRowFirstColumn="0" w:lastRowLastColumn="0"/>
            </w:pPr>
            <w:r w:rsidRPr="00922EBF">
              <w:rPr>
                <w:i/>
                <w:iCs/>
              </w:rPr>
              <w:t>n</w:t>
            </w:r>
            <w:r w:rsidRPr="00BD2866">
              <w:t>=20; commercial sunscreen lotion containing octocrylene was applied three times (2 mg/cm</w:t>
            </w:r>
            <w:r w:rsidRPr="00922EBF">
              <w:rPr>
                <w:vertAlign w:val="superscript"/>
              </w:rPr>
              <w:t>2</w:t>
            </w:r>
            <w:r w:rsidRPr="00BD2866">
              <w:t xml:space="preserve"> initially, then 1 mg/cm</w:t>
            </w:r>
            <w:r w:rsidRPr="00922EBF">
              <w:rPr>
                <w:vertAlign w:val="superscript"/>
              </w:rPr>
              <w:t>2</w:t>
            </w:r>
            <w:r w:rsidRPr="00BD2866">
              <w:t xml:space="preserve"> after 2 h and 4 h) to 75–80% BSA)</w:t>
            </w:r>
          </w:p>
        </w:tc>
      </w:tr>
      <w:tr w:rsidR="00026EBE" w14:paraId="66AC6001" w14:textId="77777777" w:rsidTr="000850F6">
        <w:tc>
          <w:tcPr>
            <w:cnfStyle w:val="001000000000" w:firstRow="0" w:lastRow="0" w:firstColumn="1" w:lastColumn="0" w:oddVBand="0" w:evenVBand="0" w:oddHBand="0" w:evenHBand="0" w:firstRowFirstColumn="0" w:firstRowLastColumn="0" w:lastRowFirstColumn="0" w:lastRowLastColumn="0"/>
            <w:tcW w:w="2617" w:type="dxa"/>
            <w:gridSpan w:val="2"/>
            <w:shd w:val="clear" w:color="auto" w:fill="BDCFF0" w:themeFill="accent2" w:themeFillTint="66"/>
          </w:tcPr>
          <w:p w14:paraId="757369EE" w14:textId="77777777" w:rsidR="00026EBE" w:rsidRPr="006A1E2E" w:rsidRDefault="00026EBE" w:rsidP="000850F6">
            <w:pPr>
              <w:jc w:val="center"/>
              <w:rPr>
                <w:b/>
                <w:bCs/>
                <w:color w:val="00348C" w:themeColor="accent1" w:themeShade="BF"/>
              </w:rPr>
            </w:pPr>
            <w:r w:rsidRPr="006A1E2E">
              <w:rPr>
                <w:b/>
                <w:bCs/>
                <w:color w:val="00348C" w:themeColor="accent1" w:themeShade="BF"/>
              </w:rPr>
              <w:t>Ingredient</w:t>
            </w:r>
          </w:p>
        </w:tc>
        <w:tc>
          <w:tcPr>
            <w:tcW w:w="2143" w:type="dxa"/>
            <w:shd w:val="clear" w:color="auto" w:fill="BDCFF0" w:themeFill="accent2" w:themeFillTint="66"/>
            <w:vAlign w:val="center"/>
          </w:tcPr>
          <w:p w14:paraId="67B3B8CF" w14:textId="77777777" w:rsidR="00026EBE" w:rsidRPr="006A1E2E" w:rsidRDefault="00026EBE" w:rsidP="000850F6">
            <w:pPr>
              <w:jc w:val="center"/>
              <w:cnfStyle w:val="000000000000" w:firstRow="0" w:lastRow="0" w:firstColumn="0" w:lastColumn="0" w:oddVBand="0" w:evenVBand="0" w:oddHBand="0" w:evenHBand="0" w:firstRowFirstColumn="0" w:firstRowLastColumn="0" w:lastRowFirstColumn="0" w:lastRowLastColumn="0"/>
              <w:rPr>
                <w:b/>
                <w:bCs/>
                <w:color w:val="00348C" w:themeColor="accent1" w:themeShade="BF"/>
              </w:rPr>
            </w:pPr>
            <w:r w:rsidRPr="006A1E2E">
              <w:rPr>
                <w:b/>
                <w:bCs/>
                <w:color w:val="00348C" w:themeColor="accent1" w:themeShade="BF"/>
              </w:rPr>
              <w:t>Octocrylene</w:t>
            </w:r>
          </w:p>
        </w:tc>
        <w:tc>
          <w:tcPr>
            <w:tcW w:w="2146" w:type="dxa"/>
            <w:shd w:val="clear" w:color="auto" w:fill="BDCFF0" w:themeFill="accent2" w:themeFillTint="66"/>
            <w:vAlign w:val="center"/>
          </w:tcPr>
          <w:p w14:paraId="74C5C605" w14:textId="77777777" w:rsidR="00026EBE" w:rsidRPr="006A1E2E" w:rsidRDefault="00026EBE" w:rsidP="000850F6">
            <w:pPr>
              <w:jc w:val="center"/>
              <w:cnfStyle w:val="000000000000" w:firstRow="0" w:lastRow="0" w:firstColumn="0" w:lastColumn="0" w:oddVBand="0" w:evenVBand="0" w:oddHBand="0" w:evenHBand="0" w:firstRowFirstColumn="0" w:firstRowLastColumn="0" w:lastRowFirstColumn="0" w:lastRowLastColumn="0"/>
              <w:rPr>
                <w:b/>
                <w:bCs/>
                <w:color w:val="00348C" w:themeColor="accent1" w:themeShade="BF"/>
              </w:rPr>
            </w:pPr>
            <w:r w:rsidRPr="006A1E2E">
              <w:rPr>
                <w:b/>
                <w:bCs/>
                <w:color w:val="00348C" w:themeColor="accent1" w:themeShade="BF"/>
              </w:rPr>
              <w:t>Avobenzone</w:t>
            </w:r>
          </w:p>
        </w:tc>
        <w:tc>
          <w:tcPr>
            <w:tcW w:w="2110" w:type="dxa"/>
            <w:shd w:val="clear" w:color="auto" w:fill="BDCFF0" w:themeFill="accent2" w:themeFillTint="66"/>
            <w:vAlign w:val="center"/>
          </w:tcPr>
          <w:p w14:paraId="624AB270" w14:textId="77777777" w:rsidR="00026EBE" w:rsidRPr="006A1E2E" w:rsidRDefault="00026EBE" w:rsidP="000850F6">
            <w:pPr>
              <w:jc w:val="center"/>
              <w:cnfStyle w:val="000000000000" w:firstRow="0" w:lastRow="0" w:firstColumn="0" w:lastColumn="0" w:oddVBand="0" w:evenVBand="0" w:oddHBand="0" w:evenHBand="0" w:firstRowFirstColumn="0" w:firstRowLastColumn="0" w:lastRowFirstColumn="0" w:lastRowLastColumn="0"/>
              <w:rPr>
                <w:b/>
                <w:bCs/>
                <w:color w:val="00348C" w:themeColor="accent1" w:themeShade="BF"/>
              </w:rPr>
            </w:pPr>
            <w:r w:rsidRPr="006A1E2E">
              <w:rPr>
                <w:b/>
                <w:bCs/>
                <w:color w:val="00348C" w:themeColor="accent1" w:themeShade="BF"/>
              </w:rPr>
              <w:t>CDAA</w:t>
            </w:r>
          </w:p>
        </w:tc>
      </w:tr>
      <w:tr w:rsidR="00026EBE" w14:paraId="0B56A9DF" w14:textId="77777777" w:rsidTr="000850F6">
        <w:tc>
          <w:tcPr>
            <w:cnfStyle w:val="001000000000" w:firstRow="0" w:lastRow="0" w:firstColumn="1" w:lastColumn="0" w:oddVBand="0" w:evenVBand="0" w:oddHBand="0" w:evenHBand="0" w:firstRowFirstColumn="0" w:firstRowLastColumn="0" w:lastRowFirstColumn="0" w:lastRowLastColumn="0"/>
            <w:tcW w:w="1450" w:type="dxa"/>
            <w:vAlign w:val="center"/>
          </w:tcPr>
          <w:p w14:paraId="7DEC0716" w14:textId="77777777" w:rsidR="00026EBE" w:rsidRDefault="00026EBE" w:rsidP="000850F6">
            <w:r w:rsidRPr="001701D8">
              <w:t xml:space="preserve">Concentration </w:t>
            </w:r>
          </w:p>
        </w:tc>
        <w:tc>
          <w:tcPr>
            <w:tcW w:w="1167" w:type="dxa"/>
            <w:vAlign w:val="center"/>
          </w:tcPr>
          <w:p w14:paraId="62D8D971"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w:t>
            </w:r>
          </w:p>
        </w:tc>
        <w:tc>
          <w:tcPr>
            <w:tcW w:w="2143" w:type="dxa"/>
            <w:vAlign w:val="center"/>
          </w:tcPr>
          <w:p w14:paraId="341AA708"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10.85</w:t>
            </w:r>
          </w:p>
        </w:tc>
        <w:tc>
          <w:tcPr>
            <w:tcW w:w="2146" w:type="dxa"/>
            <w:vAlign w:val="center"/>
          </w:tcPr>
          <w:p w14:paraId="7D86B5B8"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2.34</w:t>
            </w:r>
          </w:p>
        </w:tc>
        <w:tc>
          <w:tcPr>
            <w:tcW w:w="2110" w:type="dxa"/>
            <w:vAlign w:val="center"/>
          </w:tcPr>
          <w:p w14:paraId="33F64F8D"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NA</w:t>
            </w:r>
          </w:p>
        </w:tc>
      </w:tr>
      <w:tr w:rsidR="00026EBE" w14:paraId="767CFF28" w14:textId="77777777" w:rsidTr="000850F6">
        <w:tc>
          <w:tcPr>
            <w:cnfStyle w:val="001000000000" w:firstRow="0" w:lastRow="0" w:firstColumn="1" w:lastColumn="0" w:oddVBand="0" w:evenVBand="0" w:oddHBand="0" w:evenHBand="0" w:firstRowFirstColumn="0" w:firstRowLastColumn="0" w:lastRowFirstColumn="0" w:lastRowLastColumn="0"/>
            <w:tcW w:w="1450" w:type="dxa"/>
            <w:vAlign w:val="center"/>
          </w:tcPr>
          <w:p w14:paraId="16BF74BB" w14:textId="77777777" w:rsidR="00026EBE" w:rsidRDefault="00026EBE" w:rsidP="000850F6">
            <w:proofErr w:type="spellStart"/>
            <w:r w:rsidRPr="001701D8">
              <w:t>C</w:t>
            </w:r>
            <w:r w:rsidRPr="001701D8">
              <w:rPr>
                <w:vertAlign w:val="subscript"/>
              </w:rPr>
              <w:t>max</w:t>
            </w:r>
            <w:proofErr w:type="spellEnd"/>
            <w:r w:rsidRPr="001701D8">
              <w:t xml:space="preserve"> plasma (µg/L)</w:t>
            </w:r>
          </w:p>
        </w:tc>
        <w:tc>
          <w:tcPr>
            <w:tcW w:w="1167" w:type="dxa"/>
            <w:vAlign w:val="center"/>
          </w:tcPr>
          <w:p w14:paraId="49EDDD8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Mean (max)</w:t>
            </w:r>
          </w:p>
        </w:tc>
        <w:tc>
          <w:tcPr>
            <w:tcW w:w="2143" w:type="dxa"/>
            <w:vAlign w:val="center"/>
          </w:tcPr>
          <w:p w14:paraId="4559968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11.7 (25)</w:t>
            </w:r>
          </w:p>
        </w:tc>
        <w:tc>
          <w:tcPr>
            <w:tcW w:w="2146" w:type="dxa"/>
            <w:vAlign w:val="center"/>
          </w:tcPr>
          <w:p w14:paraId="18F1BD1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4(11.3)</w:t>
            </w:r>
          </w:p>
        </w:tc>
        <w:tc>
          <w:tcPr>
            <w:tcW w:w="2110" w:type="dxa"/>
            <w:vAlign w:val="center"/>
          </w:tcPr>
          <w:p w14:paraId="0CF0370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570 (1352)</w:t>
            </w:r>
          </w:p>
        </w:tc>
      </w:tr>
      <w:tr w:rsidR="00026EBE" w14:paraId="6977A683" w14:textId="77777777" w:rsidTr="000850F6">
        <w:tc>
          <w:tcPr>
            <w:cnfStyle w:val="001000000000" w:firstRow="0" w:lastRow="0" w:firstColumn="1" w:lastColumn="0" w:oddVBand="0" w:evenVBand="0" w:oddHBand="0" w:evenHBand="0" w:firstRowFirstColumn="0" w:firstRowLastColumn="0" w:lastRowFirstColumn="0" w:lastRowLastColumn="0"/>
            <w:tcW w:w="1450" w:type="dxa"/>
            <w:vAlign w:val="center"/>
          </w:tcPr>
          <w:p w14:paraId="34559107" w14:textId="77777777" w:rsidR="00026EBE" w:rsidRPr="001701D8" w:rsidRDefault="00026EBE" w:rsidP="000850F6">
            <w:pPr>
              <w:pStyle w:val="Tabletextleft"/>
            </w:pPr>
            <w:proofErr w:type="spellStart"/>
            <w:r w:rsidRPr="001701D8">
              <w:rPr>
                <w:rFonts w:eastAsia="Cambria"/>
                <w:kern w:val="0"/>
              </w:rPr>
              <w:t>C</w:t>
            </w:r>
            <w:r w:rsidRPr="001701D8">
              <w:rPr>
                <w:rFonts w:eastAsia="Cambria"/>
                <w:kern w:val="0"/>
                <w:vertAlign w:val="subscript"/>
              </w:rPr>
              <w:t>max</w:t>
            </w:r>
            <w:proofErr w:type="spellEnd"/>
            <w:r w:rsidRPr="001701D8">
              <w:rPr>
                <w:rFonts w:eastAsia="Cambria"/>
              </w:rPr>
              <w:t xml:space="preserve"> </w:t>
            </w:r>
            <w:r w:rsidRPr="001701D8">
              <w:t xml:space="preserve">in urine </w:t>
            </w:r>
          </w:p>
          <w:p w14:paraId="51A977CF" w14:textId="77777777" w:rsidR="00026EBE" w:rsidRDefault="00026EBE" w:rsidP="000850F6">
            <w:r w:rsidRPr="00922EBF">
              <w:t>(µg/g creatinine)</w:t>
            </w:r>
          </w:p>
        </w:tc>
        <w:tc>
          <w:tcPr>
            <w:tcW w:w="1167" w:type="dxa"/>
            <w:vAlign w:val="center"/>
          </w:tcPr>
          <w:p w14:paraId="6D6617DD"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Median (max)</w:t>
            </w:r>
          </w:p>
        </w:tc>
        <w:tc>
          <w:tcPr>
            <w:tcW w:w="2143" w:type="dxa"/>
            <w:vAlign w:val="center"/>
          </w:tcPr>
          <w:p w14:paraId="00AE670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9.6 (&lt; LOD–91.4)</w:t>
            </w:r>
          </w:p>
        </w:tc>
        <w:tc>
          <w:tcPr>
            <w:tcW w:w="2146" w:type="dxa"/>
            <w:vAlign w:val="center"/>
          </w:tcPr>
          <w:p w14:paraId="3DB461F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3.4 (&lt; LOD–25.2)</w:t>
            </w:r>
          </w:p>
        </w:tc>
        <w:tc>
          <w:tcPr>
            <w:tcW w:w="2110" w:type="dxa"/>
            <w:vAlign w:val="center"/>
          </w:tcPr>
          <w:p w14:paraId="4C1F57C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2072 (5207)</w:t>
            </w:r>
          </w:p>
        </w:tc>
      </w:tr>
      <w:tr w:rsidR="00026EBE" w14:paraId="791E1F30" w14:textId="77777777" w:rsidTr="000850F6">
        <w:tc>
          <w:tcPr>
            <w:cnfStyle w:val="001000000000" w:firstRow="0" w:lastRow="0" w:firstColumn="1" w:lastColumn="0" w:oddVBand="0" w:evenVBand="0" w:oddHBand="0" w:evenHBand="0" w:firstRowFirstColumn="0" w:firstRowLastColumn="0" w:lastRowFirstColumn="0" w:lastRowLastColumn="0"/>
            <w:tcW w:w="1450" w:type="dxa"/>
            <w:vAlign w:val="center"/>
          </w:tcPr>
          <w:p w14:paraId="2E3BF065" w14:textId="77777777" w:rsidR="00026EBE" w:rsidRDefault="00026EBE" w:rsidP="000850F6">
            <w:proofErr w:type="spellStart"/>
            <w:r w:rsidRPr="001701D8">
              <w:t>T</w:t>
            </w:r>
            <w:r w:rsidRPr="001701D8">
              <w:rPr>
                <w:vertAlign w:val="subscript"/>
              </w:rPr>
              <w:t>max</w:t>
            </w:r>
            <w:proofErr w:type="spellEnd"/>
            <w:r w:rsidRPr="001701D8">
              <w:t xml:space="preserve"> plasma (hours), day 1</w:t>
            </w:r>
          </w:p>
        </w:tc>
        <w:tc>
          <w:tcPr>
            <w:tcW w:w="1167" w:type="dxa"/>
            <w:vMerge w:val="restart"/>
            <w:vAlign w:val="center"/>
          </w:tcPr>
          <w:p w14:paraId="4C820F6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1701D8">
              <w:t>Median (95% CI)</w:t>
            </w:r>
          </w:p>
        </w:tc>
        <w:tc>
          <w:tcPr>
            <w:tcW w:w="2143" w:type="dxa"/>
            <w:vAlign w:val="center"/>
          </w:tcPr>
          <w:p w14:paraId="34950163"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10 (6.9-13.4)</w:t>
            </w:r>
          </w:p>
        </w:tc>
        <w:tc>
          <w:tcPr>
            <w:tcW w:w="2146" w:type="dxa"/>
            <w:vAlign w:val="center"/>
          </w:tcPr>
          <w:p w14:paraId="53630430"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ND</w:t>
            </w:r>
          </w:p>
        </w:tc>
        <w:tc>
          <w:tcPr>
            <w:tcW w:w="2110" w:type="dxa"/>
            <w:vAlign w:val="center"/>
          </w:tcPr>
          <w:p w14:paraId="18A47B6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14.5 (13.2-15.9)</w:t>
            </w:r>
          </w:p>
        </w:tc>
      </w:tr>
      <w:tr w:rsidR="00026EBE" w14:paraId="6CA73E98" w14:textId="77777777" w:rsidTr="000850F6">
        <w:tc>
          <w:tcPr>
            <w:cnfStyle w:val="001000000000" w:firstRow="0" w:lastRow="0" w:firstColumn="1" w:lastColumn="0" w:oddVBand="0" w:evenVBand="0" w:oddHBand="0" w:evenHBand="0" w:firstRowFirstColumn="0" w:firstRowLastColumn="0" w:lastRowFirstColumn="0" w:lastRowLastColumn="0"/>
            <w:tcW w:w="1450" w:type="dxa"/>
            <w:vAlign w:val="center"/>
          </w:tcPr>
          <w:p w14:paraId="139F644F" w14:textId="77777777" w:rsidR="00026EBE" w:rsidRDefault="00026EBE" w:rsidP="000850F6">
            <w:proofErr w:type="spellStart"/>
            <w:r w:rsidRPr="001701D8">
              <w:t>T</w:t>
            </w:r>
            <w:r w:rsidRPr="001701D8">
              <w:rPr>
                <w:vertAlign w:val="subscript"/>
              </w:rPr>
              <w:t>max</w:t>
            </w:r>
            <w:proofErr w:type="spellEnd"/>
            <w:r>
              <w:t xml:space="preserve"> </w:t>
            </w:r>
            <w:r w:rsidRPr="001701D8">
              <w:t>urine (hours),</w:t>
            </w:r>
            <w:r>
              <w:t xml:space="preserve"> </w:t>
            </w:r>
            <w:r w:rsidRPr="001701D8">
              <w:t>day 1</w:t>
            </w:r>
          </w:p>
        </w:tc>
        <w:tc>
          <w:tcPr>
            <w:tcW w:w="1167" w:type="dxa"/>
            <w:vMerge/>
          </w:tcPr>
          <w:p w14:paraId="64D7E584"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p>
        </w:tc>
        <w:tc>
          <w:tcPr>
            <w:tcW w:w="2143" w:type="dxa"/>
            <w:vAlign w:val="center"/>
          </w:tcPr>
          <w:p w14:paraId="498CE958"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ND</w:t>
            </w:r>
          </w:p>
        </w:tc>
        <w:tc>
          <w:tcPr>
            <w:tcW w:w="2146" w:type="dxa"/>
            <w:vAlign w:val="center"/>
          </w:tcPr>
          <w:p w14:paraId="3DE0C07E"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ND</w:t>
            </w:r>
          </w:p>
        </w:tc>
        <w:tc>
          <w:tcPr>
            <w:tcW w:w="2110" w:type="dxa"/>
            <w:vAlign w:val="center"/>
          </w:tcPr>
          <w:p w14:paraId="72456E5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15.9 (15.2-16.7)</w:t>
            </w:r>
          </w:p>
        </w:tc>
      </w:tr>
      <w:tr w:rsidR="00026EBE" w14:paraId="07794F53" w14:textId="77777777" w:rsidTr="000850F6">
        <w:tc>
          <w:tcPr>
            <w:cnfStyle w:val="001000000000" w:firstRow="0" w:lastRow="0" w:firstColumn="1" w:lastColumn="0" w:oddVBand="0" w:evenVBand="0" w:oddHBand="0" w:evenHBand="0" w:firstRowFirstColumn="0" w:firstRowLastColumn="0" w:lastRowFirstColumn="0" w:lastRowLastColumn="0"/>
            <w:tcW w:w="1450" w:type="dxa"/>
            <w:vAlign w:val="center"/>
          </w:tcPr>
          <w:p w14:paraId="67194D92" w14:textId="77777777" w:rsidR="00026EBE" w:rsidRDefault="00026EBE" w:rsidP="000850F6">
            <w:r w:rsidRPr="001701D8">
              <w:t>t</w:t>
            </w:r>
            <w:r w:rsidRPr="001701D8">
              <w:rPr>
                <w:vertAlign w:val="subscript"/>
              </w:rPr>
              <w:t>½</w:t>
            </w:r>
            <w:r w:rsidRPr="001701D8">
              <w:t xml:space="preserve"> plasma (hours)</w:t>
            </w:r>
          </w:p>
        </w:tc>
        <w:tc>
          <w:tcPr>
            <w:tcW w:w="1167" w:type="dxa"/>
            <w:vMerge/>
          </w:tcPr>
          <w:p w14:paraId="50C1B9B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p>
        </w:tc>
        <w:tc>
          <w:tcPr>
            <w:tcW w:w="2143" w:type="dxa"/>
            <w:vAlign w:val="center"/>
          </w:tcPr>
          <w:p w14:paraId="32FEC653"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43.9 (19.0-68.7)</w:t>
            </w:r>
          </w:p>
        </w:tc>
        <w:tc>
          <w:tcPr>
            <w:tcW w:w="2146" w:type="dxa"/>
            <w:vAlign w:val="center"/>
          </w:tcPr>
          <w:p w14:paraId="730B2901"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ND</w:t>
            </w:r>
          </w:p>
        </w:tc>
        <w:tc>
          <w:tcPr>
            <w:tcW w:w="2110" w:type="dxa"/>
            <w:vAlign w:val="center"/>
          </w:tcPr>
          <w:p w14:paraId="0E30F6D0"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36.1 (31.0-41.2)</w:t>
            </w:r>
          </w:p>
        </w:tc>
      </w:tr>
      <w:tr w:rsidR="00026EBE" w14:paraId="663B43E8" w14:textId="77777777" w:rsidTr="000850F6">
        <w:tc>
          <w:tcPr>
            <w:cnfStyle w:val="001000000000" w:firstRow="0" w:lastRow="0" w:firstColumn="1" w:lastColumn="0" w:oddVBand="0" w:evenVBand="0" w:oddHBand="0" w:evenHBand="0" w:firstRowFirstColumn="0" w:firstRowLastColumn="0" w:lastRowFirstColumn="0" w:lastRowLastColumn="0"/>
            <w:tcW w:w="1450" w:type="dxa"/>
            <w:vAlign w:val="center"/>
          </w:tcPr>
          <w:p w14:paraId="53E4DAC0" w14:textId="77777777" w:rsidR="00026EBE" w:rsidRDefault="00026EBE" w:rsidP="000850F6">
            <w:r w:rsidRPr="001701D8">
              <w:t>t</w:t>
            </w:r>
            <w:r w:rsidRPr="001701D8">
              <w:rPr>
                <w:vertAlign w:val="subscript"/>
              </w:rPr>
              <w:t>½</w:t>
            </w:r>
            <w:r>
              <w:t xml:space="preserve"> </w:t>
            </w:r>
            <w:r w:rsidRPr="001701D8">
              <w:t>urine (hours)</w:t>
            </w:r>
          </w:p>
        </w:tc>
        <w:tc>
          <w:tcPr>
            <w:tcW w:w="1167" w:type="dxa"/>
            <w:vMerge/>
          </w:tcPr>
          <w:p w14:paraId="0DA8C90D"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p>
        </w:tc>
        <w:tc>
          <w:tcPr>
            <w:tcW w:w="2143" w:type="dxa"/>
            <w:vAlign w:val="center"/>
          </w:tcPr>
          <w:p w14:paraId="1F35AE46"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ND</w:t>
            </w:r>
          </w:p>
        </w:tc>
        <w:tc>
          <w:tcPr>
            <w:tcW w:w="2146" w:type="dxa"/>
            <w:vAlign w:val="center"/>
          </w:tcPr>
          <w:p w14:paraId="696B6FE5"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ND</w:t>
            </w:r>
          </w:p>
        </w:tc>
        <w:tc>
          <w:tcPr>
            <w:tcW w:w="2110" w:type="dxa"/>
            <w:vAlign w:val="center"/>
          </w:tcPr>
          <w:p w14:paraId="59B0946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922EBF">
              <w:t>37.7 (35.1-40.4)</w:t>
            </w:r>
          </w:p>
        </w:tc>
      </w:tr>
    </w:tbl>
    <w:p w14:paraId="0AA91678" w14:textId="77777777" w:rsidR="00026EBE" w:rsidRPr="00DB1DB0" w:rsidRDefault="00026EBE" w:rsidP="00026EBE">
      <w:pPr>
        <w:pStyle w:val="Tabledescription"/>
      </w:pPr>
      <w:r w:rsidRPr="00DB1DB0">
        <w:t xml:space="preserve">*81% of samples &lt; LOD’ c: concentration; </w:t>
      </w:r>
      <w:proofErr w:type="spellStart"/>
      <w:r w:rsidRPr="00DB1DB0">
        <w:t>C</w:t>
      </w:r>
      <w:r w:rsidRPr="00DB1DB0">
        <w:rPr>
          <w:vertAlign w:val="subscript"/>
        </w:rPr>
        <w:t>max</w:t>
      </w:r>
      <w:proofErr w:type="spellEnd"/>
      <w:r w:rsidRPr="00DB1DB0">
        <w:t xml:space="preserve">: max plasma concentration; ND: not determinable; </w:t>
      </w:r>
      <w:proofErr w:type="spellStart"/>
      <w:r w:rsidRPr="00DB1DB0">
        <w:t>T</w:t>
      </w:r>
      <w:r w:rsidRPr="00DB1DB0">
        <w:rPr>
          <w:vertAlign w:val="subscript"/>
        </w:rPr>
        <w:t>max</w:t>
      </w:r>
      <w:proofErr w:type="spellEnd"/>
      <w:r w:rsidRPr="00DB1DB0">
        <w:t>: time to maximum concentration; t</w:t>
      </w:r>
      <w:r w:rsidRPr="00DB1DB0">
        <w:rPr>
          <w:vertAlign w:val="subscript"/>
        </w:rPr>
        <w:t>½</w:t>
      </w:r>
      <w:r w:rsidRPr="00DB1DB0">
        <w:t>: half-life; CDAA:</w:t>
      </w:r>
      <w:r w:rsidRPr="00DB1DB0">
        <w:rPr>
          <w:rFonts w:eastAsiaTheme="minorHAnsi"/>
        </w:rPr>
        <w:t xml:space="preserve"> </w:t>
      </w:r>
      <w:r w:rsidRPr="00DB1DB0">
        <w:t>2-cyano-3,3-diphenylacrylic acid</w:t>
      </w:r>
    </w:p>
    <w:p w14:paraId="13CF9E63" w14:textId="77777777" w:rsidR="00026EBE" w:rsidRPr="0074486E" w:rsidRDefault="00026EBE" w:rsidP="00026EBE">
      <w:pPr>
        <w:pStyle w:val="Heading2"/>
      </w:pPr>
      <w:bookmarkStart w:id="83" w:name="_Toc296419634"/>
      <w:bookmarkStart w:id="84" w:name="_Toc100664711"/>
      <w:bookmarkStart w:id="85" w:name="_Toc157439281"/>
      <w:bookmarkStart w:id="86" w:name="_Toc173830123"/>
      <w:bookmarkStart w:id="87" w:name="_Toc189819958"/>
      <w:bookmarkStart w:id="88" w:name="_Toc190081228"/>
      <w:r w:rsidRPr="0074486E">
        <w:t>Toxicity</w:t>
      </w:r>
      <w:bookmarkEnd w:id="83"/>
      <w:bookmarkEnd w:id="84"/>
      <w:bookmarkEnd w:id="85"/>
      <w:bookmarkEnd w:id="86"/>
      <w:bookmarkEnd w:id="87"/>
      <w:bookmarkEnd w:id="88"/>
    </w:p>
    <w:p w14:paraId="1EFBF690" w14:textId="77777777" w:rsidR="00026EBE" w:rsidRPr="00385FC3" w:rsidRDefault="00026EBE" w:rsidP="00026EBE">
      <w:r w:rsidRPr="00385FC3">
        <w:t>The information on the safety of avobenzone, ethylhexyl triazone, homosalate, octinoxate, octocrylene, oxybenzone and PBSA using various toxicological endpoints, has been summarised in the following sections. It is important to note that the original toxicological study reports were not available for independent verification and therefore this report is reliant on the accuracy of various published safety assessment reviews (reviews by SCCS/SCC/SCCP, NICNAS, ECHA etc. see bibliography).</w:t>
      </w:r>
    </w:p>
    <w:p w14:paraId="432EA770" w14:textId="77777777" w:rsidR="00026EBE" w:rsidRDefault="00026EBE" w:rsidP="00026EBE">
      <w:pPr>
        <w:pStyle w:val="Heading3"/>
      </w:pPr>
      <w:bookmarkStart w:id="89" w:name="_Toc100664712"/>
      <w:bookmarkStart w:id="90" w:name="_Toc157439282"/>
      <w:bookmarkStart w:id="91" w:name="_Toc173830124"/>
      <w:bookmarkStart w:id="92" w:name="_Toc189819959"/>
      <w:bookmarkStart w:id="93" w:name="_Toc190081229"/>
      <w:r w:rsidRPr="0074486E">
        <w:t>Acute toxicity</w:t>
      </w:r>
      <w:bookmarkEnd w:id="89"/>
      <w:bookmarkEnd w:id="90"/>
      <w:bookmarkEnd w:id="91"/>
      <w:bookmarkEnd w:id="92"/>
      <w:bookmarkEnd w:id="93"/>
      <w:r w:rsidRPr="0074486E">
        <w:t xml:space="preserve"> </w:t>
      </w:r>
    </w:p>
    <w:p w14:paraId="6FDA4535" w14:textId="77777777" w:rsidR="00026EBE" w:rsidRPr="00385FC3" w:rsidRDefault="00026EBE" w:rsidP="00026EBE">
      <w:pPr>
        <w:rPr>
          <w:rFonts w:cs="Arial"/>
        </w:rPr>
      </w:pPr>
      <w:r w:rsidRPr="00385FC3">
        <w:rPr>
          <w:rFonts w:cs="Arial"/>
        </w:rPr>
        <w:t>Avobenzone, ethylhexyl triazone, homosalate, oxybenzone, octocrylene, PBSA and octinoxate displayed low acute oral toxicity. Low acute dermal toxicity was observed for homosalate,</w:t>
      </w:r>
      <w:r>
        <w:rPr>
          <w:rFonts w:cs="Arial"/>
        </w:rPr>
        <w:t xml:space="preserve"> </w:t>
      </w:r>
      <w:r w:rsidRPr="00385FC3">
        <w:rPr>
          <w:rFonts w:cs="Arial"/>
        </w:rPr>
        <w:t>oxybenzone, octocrylene, PBSA and octinoxate. Information for acute inhalational toxicity is only available for octinoxate (shown below).</w:t>
      </w:r>
    </w:p>
    <w:p w14:paraId="239DF412" w14:textId="77777777" w:rsidR="00026EBE" w:rsidRDefault="00026EBE" w:rsidP="00026EBE">
      <w:pPr>
        <w:pStyle w:val="Tabletitle"/>
      </w:pPr>
      <w:r>
        <w:t xml:space="preserve">Table 3-3. </w:t>
      </w:r>
      <w:r w:rsidRPr="00922EBF">
        <w:t>Summary of acute toxicity studies for sunscreen ingredients</w:t>
      </w:r>
    </w:p>
    <w:tbl>
      <w:tblPr>
        <w:tblStyle w:val="TableTGAblue2023"/>
        <w:tblW w:w="9589" w:type="dxa"/>
        <w:tblInd w:w="-271" w:type="dxa"/>
        <w:tblLook w:val="04A0" w:firstRow="1" w:lastRow="0" w:firstColumn="1" w:lastColumn="0" w:noHBand="0" w:noVBand="1"/>
      </w:tblPr>
      <w:tblGrid>
        <w:gridCol w:w="1524"/>
        <w:gridCol w:w="1317"/>
        <w:gridCol w:w="1464"/>
        <w:gridCol w:w="1354"/>
        <w:gridCol w:w="1488"/>
        <w:gridCol w:w="1525"/>
        <w:gridCol w:w="917"/>
      </w:tblGrid>
      <w:tr w:rsidR="00026EBE" w14:paraId="48F281F7" w14:textId="77777777" w:rsidTr="0008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7DA92D14" w14:textId="77777777" w:rsidR="00026EBE" w:rsidRPr="00315AA9" w:rsidRDefault="00026EBE" w:rsidP="00E94C79">
            <w:pPr>
              <w:ind w:left="0"/>
              <w:rPr>
                <w:b w:val="0"/>
                <w:sz w:val="18"/>
                <w:szCs w:val="18"/>
              </w:rPr>
            </w:pPr>
            <w:r w:rsidRPr="00204ECC">
              <w:t>Avobenzone</w:t>
            </w:r>
            <w:r>
              <w:t xml:space="preserve"> </w:t>
            </w:r>
            <w:r w:rsidRPr="00315AA9">
              <w:rPr>
                <w:b w:val="0"/>
                <w:sz w:val="18"/>
                <w:szCs w:val="18"/>
              </w:rPr>
              <w:t xml:space="preserve">(ECHA (2021a; DEPA 2015)  </w:t>
            </w:r>
          </w:p>
        </w:tc>
        <w:tc>
          <w:tcPr>
            <w:tcW w:w="1192" w:type="dxa"/>
            <w:vAlign w:val="center"/>
          </w:tcPr>
          <w:p w14:paraId="5E335099" w14:textId="77777777" w:rsidR="00026EBE" w:rsidRPr="00315AA9" w:rsidRDefault="00026EBE" w:rsidP="00E94C79">
            <w:pPr>
              <w:ind w:left="0"/>
              <w:cnfStyle w:val="100000000000" w:firstRow="1" w:lastRow="0" w:firstColumn="0" w:lastColumn="0" w:oddVBand="0" w:evenVBand="0" w:oddHBand="0" w:evenHBand="0" w:firstRowFirstColumn="0" w:firstRowLastColumn="0" w:lastRowFirstColumn="0" w:lastRowLastColumn="0"/>
              <w:rPr>
                <w:b w:val="0"/>
                <w:sz w:val="18"/>
                <w:szCs w:val="18"/>
              </w:rPr>
            </w:pPr>
            <w:r w:rsidRPr="00204ECC">
              <w:t>Ethylhexyl triazone</w:t>
            </w:r>
            <w:r>
              <w:t xml:space="preserve"> </w:t>
            </w:r>
            <w:r w:rsidRPr="00315AA9">
              <w:rPr>
                <w:b w:val="0"/>
                <w:sz w:val="18"/>
                <w:szCs w:val="18"/>
              </w:rPr>
              <w:t>(ECHA 2021b; DEPA 2015)</w:t>
            </w:r>
          </w:p>
        </w:tc>
        <w:tc>
          <w:tcPr>
            <w:tcW w:w="1395" w:type="dxa"/>
            <w:vAlign w:val="center"/>
          </w:tcPr>
          <w:p w14:paraId="71A7F2FE" w14:textId="77777777" w:rsidR="00026EBE" w:rsidRPr="00315AA9" w:rsidRDefault="00026EBE" w:rsidP="00E94C79">
            <w:pPr>
              <w:ind w:left="0"/>
              <w:cnfStyle w:val="100000000000" w:firstRow="1" w:lastRow="0" w:firstColumn="0" w:lastColumn="0" w:oddVBand="0" w:evenVBand="0" w:oddHBand="0" w:evenHBand="0" w:firstRowFirstColumn="0" w:firstRowLastColumn="0" w:lastRowFirstColumn="0" w:lastRowLastColumn="0"/>
              <w:rPr>
                <w:b w:val="0"/>
                <w:sz w:val="18"/>
                <w:szCs w:val="18"/>
              </w:rPr>
            </w:pPr>
            <w:r w:rsidRPr="00204ECC">
              <w:t>Homosalate</w:t>
            </w:r>
            <w:r>
              <w:t xml:space="preserve"> </w:t>
            </w:r>
            <w:r w:rsidRPr="00315AA9">
              <w:rPr>
                <w:b w:val="0"/>
                <w:sz w:val="18"/>
                <w:szCs w:val="18"/>
              </w:rPr>
              <w:t>(SCCS 2020; ECHA  2021c)</w:t>
            </w:r>
          </w:p>
        </w:tc>
        <w:tc>
          <w:tcPr>
            <w:tcW w:w="1417" w:type="dxa"/>
            <w:vAlign w:val="center"/>
          </w:tcPr>
          <w:p w14:paraId="5321EC50" w14:textId="77777777" w:rsidR="00026EBE" w:rsidRPr="00315AA9" w:rsidRDefault="00026EBE" w:rsidP="00E94C79">
            <w:pPr>
              <w:ind w:left="0"/>
              <w:cnfStyle w:val="100000000000" w:firstRow="1" w:lastRow="0" w:firstColumn="0" w:lastColumn="0" w:oddVBand="0" w:evenVBand="0" w:oddHBand="0" w:evenHBand="0" w:firstRowFirstColumn="0" w:firstRowLastColumn="0" w:lastRowFirstColumn="0" w:lastRowLastColumn="0"/>
              <w:rPr>
                <w:b w:val="0"/>
                <w:sz w:val="18"/>
                <w:szCs w:val="18"/>
              </w:rPr>
            </w:pPr>
            <w:r w:rsidRPr="00204ECC">
              <w:t>Octinoxate</w:t>
            </w:r>
            <w:r>
              <w:t xml:space="preserve"> </w:t>
            </w:r>
            <w:r w:rsidRPr="00315AA9">
              <w:rPr>
                <w:b w:val="0"/>
                <w:sz w:val="18"/>
                <w:szCs w:val="18"/>
              </w:rPr>
              <w:t>(ECHA 2021e)</w:t>
            </w:r>
          </w:p>
        </w:tc>
        <w:tc>
          <w:tcPr>
            <w:tcW w:w="1434" w:type="dxa"/>
            <w:vAlign w:val="center"/>
          </w:tcPr>
          <w:p w14:paraId="5773A495" w14:textId="77777777" w:rsidR="00026EBE" w:rsidRPr="00204ECC" w:rsidRDefault="00026EBE" w:rsidP="00E94C79">
            <w:pPr>
              <w:ind w:left="0"/>
              <w:cnfStyle w:val="100000000000" w:firstRow="1" w:lastRow="0" w:firstColumn="0" w:lastColumn="0" w:oddVBand="0" w:evenVBand="0" w:oddHBand="0" w:evenHBand="0" w:firstRowFirstColumn="0" w:firstRowLastColumn="0" w:lastRowFirstColumn="0" w:lastRowLastColumn="0"/>
              <w:rPr>
                <w:b w:val="0"/>
              </w:rPr>
            </w:pPr>
            <w:r w:rsidRPr="00204ECC">
              <w:t>Octocrylene</w:t>
            </w:r>
            <w:r>
              <w:t xml:space="preserve"> </w:t>
            </w:r>
            <w:r w:rsidRPr="00315AA9">
              <w:rPr>
                <w:b w:val="0"/>
                <w:sz w:val="18"/>
                <w:szCs w:val="18"/>
              </w:rPr>
              <w:t>(SCCS 2021a; ECHA 2021d)</w:t>
            </w:r>
          </w:p>
        </w:tc>
        <w:tc>
          <w:tcPr>
            <w:tcW w:w="1436" w:type="dxa"/>
            <w:vAlign w:val="center"/>
          </w:tcPr>
          <w:p w14:paraId="0A7DDB13" w14:textId="77777777" w:rsidR="00026EBE" w:rsidRPr="00315AA9" w:rsidRDefault="00026EBE" w:rsidP="00E94C79">
            <w:pPr>
              <w:ind w:left="0"/>
              <w:cnfStyle w:val="100000000000" w:firstRow="1" w:lastRow="0" w:firstColumn="0" w:lastColumn="0" w:oddVBand="0" w:evenVBand="0" w:oddHBand="0" w:evenHBand="0" w:firstRowFirstColumn="0" w:firstRowLastColumn="0" w:lastRowFirstColumn="0" w:lastRowLastColumn="0"/>
              <w:rPr>
                <w:b w:val="0"/>
                <w:sz w:val="18"/>
                <w:szCs w:val="18"/>
              </w:rPr>
            </w:pPr>
            <w:r w:rsidRPr="00204ECC">
              <w:t>Oxybenzone</w:t>
            </w:r>
            <w:r>
              <w:t xml:space="preserve"> </w:t>
            </w:r>
            <w:r w:rsidRPr="00315AA9">
              <w:rPr>
                <w:b w:val="0"/>
                <w:sz w:val="18"/>
                <w:szCs w:val="18"/>
              </w:rPr>
              <w:t>(SCCP 2006a; 2021c)</w:t>
            </w:r>
          </w:p>
        </w:tc>
        <w:tc>
          <w:tcPr>
            <w:tcW w:w="1382" w:type="dxa"/>
            <w:vAlign w:val="center"/>
          </w:tcPr>
          <w:p w14:paraId="194A0D72" w14:textId="77777777" w:rsidR="00026EBE" w:rsidRPr="00204ECC" w:rsidRDefault="00026EBE" w:rsidP="00E94C79">
            <w:pPr>
              <w:ind w:left="0"/>
              <w:cnfStyle w:val="100000000000" w:firstRow="1" w:lastRow="0" w:firstColumn="0" w:lastColumn="0" w:oddVBand="0" w:evenVBand="0" w:oddHBand="0" w:evenHBand="0" w:firstRowFirstColumn="0" w:firstRowLastColumn="0" w:lastRowFirstColumn="0" w:lastRowLastColumn="0"/>
              <w:rPr>
                <w:b w:val="0"/>
              </w:rPr>
            </w:pPr>
            <w:r w:rsidRPr="00204ECC">
              <w:t>PBSA</w:t>
            </w:r>
            <w:r>
              <w:t xml:space="preserve"> </w:t>
            </w:r>
            <w:r w:rsidRPr="00315AA9">
              <w:rPr>
                <w:b w:val="0"/>
                <w:sz w:val="18"/>
                <w:szCs w:val="18"/>
              </w:rPr>
              <w:t>(SCCP 2006b)</w:t>
            </w:r>
          </w:p>
        </w:tc>
      </w:tr>
      <w:tr w:rsidR="00026EBE" w14:paraId="52B4E22F" w14:textId="77777777" w:rsidTr="000850F6">
        <w:tc>
          <w:tcPr>
            <w:cnfStyle w:val="001000000000" w:firstRow="0" w:lastRow="0" w:firstColumn="1" w:lastColumn="0" w:oddVBand="0" w:evenVBand="0" w:oddHBand="0" w:evenHBand="0" w:firstRowFirstColumn="0" w:firstRowLastColumn="0" w:lastRowFirstColumn="0" w:lastRowLastColumn="0"/>
            <w:tcW w:w="1333" w:type="dxa"/>
          </w:tcPr>
          <w:p w14:paraId="1A70B960" w14:textId="77777777" w:rsidR="00026EBE" w:rsidRPr="005D6890" w:rsidRDefault="00026EBE" w:rsidP="000850F6">
            <w:r w:rsidRPr="005D6890">
              <w:t xml:space="preserve">Oral &gt;16000 mg/kg </w:t>
            </w:r>
            <w:proofErr w:type="spellStart"/>
            <w:r w:rsidRPr="005D6890">
              <w:t>bw</w:t>
            </w:r>
            <w:proofErr w:type="spellEnd"/>
            <w:r w:rsidRPr="005D6890">
              <w:t xml:space="preserve"> (rats)</w:t>
            </w:r>
            <w:r>
              <w:t xml:space="preserve"> </w:t>
            </w:r>
            <w:r w:rsidRPr="005D6890">
              <w:t>Dermal, inconclusive*</w:t>
            </w:r>
            <w:r>
              <w:t xml:space="preserve"> </w:t>
            </w:r>
          </w:p>
        </w:tc>
        <w:tc>
          <w:tcPr>
            <w:tcW w:w="1192" w:type="dxa"/>
          </w:tcPr>
          <w:p w14:paraId="718446C7" w14:textId="77777777" w:rsidR="00026EBE" w:rsidRPr="005D6890" w:rsidRDefault="00026EBE" w:rsidP="000850F6">
            <w:pPr>
              <w:cnfStyle w:val="000000000000" w:firstRow="0" w:lastRow="0" w:firstColumn="0" w:lastColumn="0" w:oddVBand="0" w:evenVBand="0" w:oddHBand="0" w:evenHBand="0" w:firstRowFirstColumn="0" w:firstRowLastColumn="0" w:lastRowFirstColumn="0" w:lastRowLastColumn="0"/>
            </w:pPr>
            <w:r w:rsidRPr="005D6890">
              <w:t xml:space="preserve">Oral &gt; 5000 mg/kg </w:t>
            </w:r>
            <w:proofErr w:type="spellStart"/>
            <w:r w:rsidRPr="005D6890">
              <w:t>bw</w:t>
            </w:r>
            <w:proofErr w:type="spellEnd"/>
            <w:r w:rsidRPr="005D6890">
              <w:t xml:space="preserve"> (rats)</w:t>
            </w:r>
          </w:p>
        </w:tc>
        <w:tc>
          <w:tcPr>
            <w:tcW w:w="1395" w:type="dxa"/>
          </w:tcPr>
          <w:p w14:paraId="7A9C3541" w14:textId="77777777" w:rsidR="00026EBE" w:rsidRPr="005D6890" w:rsidRDefault="00026EBE" w:rsidP="000850F6">
            <w:pPr>
              <w:cnfStyle w:val="000000000000" w:firstRow="0" w:lastRow="0" w:firstColumn="0" w:lastColumn="0" w:oddVBand="0" w:evenVBand="0" w:oddHBand="0" w:evenHBand="0" w:firstRowFirstColumn="0" w:firstRowLastColumn="0" w:lastRowFirstColumn="0" w:lastRowLastColumn="0"/>
            </w:pPr>
            <w:r w:rsidRPr="005D6890">
              <w:t>Oral &gt; 5000 mg/kg (rats)</w:t>
            </w:r>
            <w:r>
              <w:t xml:space="preserve"> </w:t>
            </w:r>
            <w:r w:rsidRPr="005D6890">
              <w:t xml:space="preserve">Dermal &gt; 5000 mg/kg </w:t>
            </w:r>
            <w:proofErr w:type="spellStart"/>
            <w:r w:rsidRPr="005D6890">
              <w:t>bw</w:t>
            </w:r>
            <w:proofErr w:type="spellEnd"/>
            <w:r w:rsidRPr="005D6890">
              <w:t xml:space="preserve"> (rabbits) </w:t>
            </w:r>
          </w:p>
        </w:tc>
        <w:tc>
          <w:tcPr>
            <w:tcW w:w="1417" w:type="dxa"/>
          </w:tcPr>
          <w:p w14:paraId="55B3ED48" w14:textId="77777777" w:rsidR="00026EBE" w:rsidRPr="005D6890" w:rsidRDefault="00026EBE" w:rsidP="000850F6">
            <w:pPr>
              <w:cnfStyle w:val="000000000000" w:firstRow="0" w:lastRow="0" w:firstColumn="0" w:lastColumn="0" w:oddVBand="0" w:evenVBand="0" w:oddHBand="0" w:evenHBand="0" w:firstRowFirstColumn="0" w:firstRowLastColumn="0" w:lastRowFirstColumn="0" w:lastRowLastColumn="0"/>
            </w:pPr>
            <w:r w:rsidRPr="005D6890">
              <w:t>Oral &gt;8 g/kg (mice)</w:t>
            </w:r>
            <w:r>
              <w:t xml:space="preserve"> </w:t>
            </w:r>
            <w:r w:rsidRPr="005D6890">
              <w:t>&gt;20 mL/kg (20.0 mg/kg) (rats)</w:t>
            </w:r>
            <w:r>
              <w:t xml:space="preserve"> </w:t>
            </w:r>
            <w:r w:rsidRPr="005D6890">
              <w:t>Dermal &gt;126.5 mg/kg (rats)</w:t>
            </w:r>
            <w:r>
              <w:t xml:space="preserve"> </w:t>
            </w:r>
            <w:r w:rsidRPr="005D6890">
              <w:t>Inhalation LC50 &gt;0.511 mg/L (rats)</w:t>
            </w:r>
          </w:p>
        </w:tc>
        <w:tc>
          <w:tcPr>
            <w:tcW w:w="1434" w:type="dxa"/>
          </w:tcPr>
          <w:p w14:paraId="72A2C7EF" w14:textId="77777777" w:rsidR="00026EBE" w:rsidRPr="005D6890" w:rsidRDefault="00026EBE" w:rsidP="000850F6">
            <w:pPr>
              <w:cnfStyle w:val="000000000000" w:firstRow="0" w:lastRow="0" w:firstColumn="0" w:lastColumn="0" w:oddVBand="0" w:evenVBand="0" w:oddHBand="0" w:evenHBand="0" w:firstRowFirstColumn="0" w:firstRowLastColumn="0" w:lastRowFirstColumn="0" w:lastRowLastColumn="0"/>
            </w:pPr>
            <w:r w:rsidRPr="005D6890">
              <w:t xml:space="preserve">Oral &gt; 5000 mg/kg </w:t>
            </w:r>
            <w:proofErr w:type="spellStart"/>
            <w:r w:rsidRPr="005D6890">
              <w:t>bw</w:t>
            </w:r>
            <w:proofErr w:type="spellEnd"/>
            <w:r w:rsidRPr="005D6890">
              <w:t xml:space="preserve"> (rats)</w:t>
            </w:r>
            <w:r>
              <w:t xml:space="preserve"> </w:t>
            </w:r>
            <w:r w:rsidRPr="005D6890">
              <w:t xml:space="preserve">Dermal &gt; 2000 mg/kg </w:t>
            </w:r>
            <w:proofErr w:type="spellStart"/>
            <w:r w:rsidRPr="005D6890">
              <w:t>bw</w:t>
            </w:r>
            <w:proofErr w:type="spellEnd"/>
            <w:r w:rsidRPr="005D6890">
              <w:t xml:space="preserve"> (rats)</w:t>
            </w:r>
          </w:p>
        </w:tc>
        <w:tc>
          <w:tcPr>
            <w:tcW w:w="1436" w:type="dxa"/>
          </w:tcPr>
          <w:p w14:paraId="69DD016D" w14:textId="77777777" w:rsidR="00026EBE" w:rsidRPr="005D6890" w:rsidRDefault="00026EBE" w:rsidP="000850F6">
            <w:pPr>
              <w:cnfStyle w:val="000000000000" w:firstRow="0" w:lastRow="0" w:firstColumn="0" w:lastColumn="0" w:oddVBand="0" w:evenVBand="0" w:oddHBand="0" w:evenHBand="0" w:firstRowFirstColumn="0" w:firstRowLastColumn="0" w:lastRowFirstColumn="0" w:lastRowLastColumn="0"/>
            </w:pPr>
            <w:r w:rsidRPr="005D6890">
              <w:t xml:space="preserve">Oral &gt; 6000 mg/kg </w:t>
            </w:r>
            <w:proofErr w:type="spellStart"/>
            <w:r w:rsidRPr="005D6890">
              <w:t>bw</w:t>
            </w:r>
            <w:proofErr w:type="spellEnd"/>
            <w:r w:rsidRPr="005D6890">
              <w:t xml:space="preserve"> (rats)</w:t>
            </w:r>
            <w:r>
              <w:t xml:space="preserve"> </w:t>
            </w:r>
            <w:r w:rsidRPr="005D6890">
              <w:t xml:space="preserve">Dermal &gt; 16000 mg/kg </w:t>
            </w:r>
            <w:proofErr w:type="spellStart"/>
            <w:r w:rsidRPr="005D6890">
              <w:t>bw</w:t>
            </w:r>
            <w:proofErr w:type="spellEnd"/>
            <w:r w:rsidRPr="005D6890">
              <w:t xml:space="preserve"> (rabbits)</w:t>
            </w:r>
          </w:p>
        </w:tc>
        <w:tc>
          <w:tcPr>
            <w:tcW w:w="1382" w:type="dxa"/>
          </w:tcPr>
          <w:p w14:paraId="5E8C9820" w14:textId="77777777" w:rsidR="00026EBE" w:rsidRPr="005D6890" w:rsidRDefault="00026EBE" w:rsidP="000850F6">
            <w:pPr>
              <w:cnfStyle w:val="000000000000" w:firstRow="0" w:lastRow="0" w:firstColumn="0" w:lastColumn="0" w:oddVBand="0" w:evenVBand="0" w:oddHBand="0" w:evenHBand="0" w:firstRowFirstColumn="0" w:firstRowLastColumn="0" w:lastRowFirstColumn="0" w:lastRowLastColumn="0"/>
            </w:pPr>
            <w:r w:rsidRPr="005D6890">
              <w:t>Oral</w:t>
            </w:r>
            <w:r>
              <w:t xml:space="preserve"> </w:t>
            </w:r>
            <w:r w:rsidRPr="005D6890">
              <w:t xml:space="preserve">&gt;5000 mg/kg </w:t>
            </w:r>
            <w:proofErr w:type="spellStart"/>
            <w:r w:rsidRPr="005D6890">
              <w:t>bw</w:t>
            </w:r>
            <w:proofErr w:type="spellEnd"/>
            <w:r w:rsidRPr="005D6890">
              <w:t xml:space="preserve"> (mice)</w:t>
            </w:r>
            <w:r>
              <w:t xml:space="preserve"> </w:t>
            </w:r>
            <w:r w:rsidRPr="005D6890">
              <w:t xml:space="preserve">&gt;1600 mg/kg </w:t>
            </w:r>
            <w:proofErr w:type="spellStart"/>
            <w:r w:rsidRPr="005D6890">
              <w:t>bw</w:t>
            </w:r>
            <w:proofErr w:type="spellEnd"/>
            <w:r w:rsidRPr="005D6890">
              <w:t xml:space="preserve"> (rats)</w:t>
            </w:r>
            <w:r>
              <w:t xml:space="preserve"> </w:t>
            </w:r>
            <w:r w:rsidRPr="005D6890">
              <w:t xml:space="preserve">Dermal &gt;3000 mg/kg </w:t>
            </w:r>
            <w:proofErr w:type="spellStart"/>
            <w:r w:rsidRPr="005D6890">
              <w:t>bw</w:t>
            </w:r>
            <w:proofErr w:type="spellEnd"/>
            <w:r w:rsidRPr="005D6890">
              <w:t xml:space="preserve"> (rats)</w:t>
            </w:r>
            <w:r>
              <w:t xml:space="preserve"> </w:t>
            </w:r>
            <w:r w:rsidRPr="005D6890">
              <w:t xml:space="preserve">IP 1000 – 1500 mg/kg </w:t>
            </w:r>
            <w:proofErr w:type="spellStart"/>
            <w:r w:rsidRPr="005D6890">
              <w:t>bw</w:t>
            </w:r>
            <w:proofErr w:type="spellEnd"/>
            <w:r w:rsidRPr="005D6890">
              <w:t xml:space="preserve"> (rats)</w:t>
            </w:r>
          </w:p>
        </w:tc>
      </w:tr>
    </w:tbl>
    <w:p w14:paraId="005607C2" w14:textId="77777777" w:rsidR="00026EBE" w:rsidRPr="00385FC3" w:rsidRDefault="00026EBE" w:rsidP="00E94C79">
      <w:pPr>
        <w:pStyle w:val="Tabledescription"/>
      </w:pPr>
      <w:r w:rsidRPr="00385FC3">
        <w:t>The values are LD</w:t>
      </w:r>
      <w:r w:rsidRPr="00385FC3">
        <w:rPr>
          <w:vertAlign w:val="subscript"/>
        </w:rPr>
        <w:t>50</w:t>
      </w:r>
      <w:r w:rsidRPr="00385FC3">
        <w:t xml:space="preserve"> determined in relevant studies extracted from the safety assessment reviews; *Acute dermal toxicity was tested up to a dose of 1000 mg/kg </w:t>
      </w:r>
      <w:proofErr w:type="spellStart"/>
      <w:r w:rsidRPr="00385FC3">
        <w:t>bw</w:t>
      </w:r>
      <w:proofErr w:type="spellEnd"/>
      <w:r w:rsidRPr="00385FC3">
        <w:t xml:space="preserve"> in rats showing no deaths. Slight erythema was observed in treated animals and in the vehicle control, </w:t>
      </w:r>
      <w:proofErr w:type="gramStart"/>
      <w:r w:rsidRPr="00385FC3">
        <w:t>assuming that</w:t>
      </w:r>
      <w:proofErr w:type="gramEnd"/>
      <w:r w:rsidRPr="00385FC3">
        <w:t xml:space="preserve"> the vehicle, </w:t>
      </w:r>
      <w:proofErr w:type="spellStart"/>
      <w:r w:rsidRPr="00385FC3">
        <w:t>carbitol</w:t>
      </w:r>
      <w:proofErr w:type="spellEnd"/>
      <w:r w:rsidRPr="00385FC3">
        <w:t xml:space="preserve">, has a slight irritant effect to skin. Concerning acute dermal toxicity, the test item was only tested up to a maximum dose of 1000 mg/kg </w:t>
      </w:r>
      <w:proofErr w:type="spellStart"/>
      <w:r w:rsidRPr="00385FC3">
        <w:t>bw</w:t>
      </w:r>
      <w:proofErr w:type="spellEnd"/>
      <w:r w:rsidRPr="00385FC3">
        <w:t xml:space="preserve">, whereas the regulatory cut-off level for classification according to Regulation (EC) No 1272/2008 (CLP) is 2000 mg/kg </w:t>
      </w:r>
      <w:proofErr w:type="spellStart"/>
      <w:r w:rsidRPr="00385FC3">
        <w:t>bw</w:t>
      </w:r>
      <w:proofErr w:type="spellEnd"/>
      <w:r w:rsidRPr="00385FC3">
        <w:t xml:space="preserve">. </w:t>
      </w:r>
    </w:p>
    <w:p w14:paraId="7F74596A" w14:textId="77777777" w:rsidR="00026EBE" w:rsidRPr="0074486E" w:rsidRDefault="00026EBE" w:rsidP="00026EBE">
      <w:pPr>
        <w:pStyle w:val="Heading3"/>
      </w:pPr>
      <w:bookmarkStart w:id="94" w:name="_Toc100664713"/>
      <w:bookmarkStart w:id="95" w:name="_Toc157439283"/>
      <w:bookmarkStart w:id="96" w:name="_Toc173830125"/>
      <w:bookmarkStart w:id="97" w:name="_Toc189819960"/>
      <w:bookmarkStart w:id="98" w:name="_Toc190081230"/>
      <w:r w:rsidRPr="0074486E">
        <w:t>Local tolerance</w:t>
      </w:r>
      <w:bookmarkEnd w:id="94"/>
      <w:bookmarkEnd w:id="95"/>
      <w:bookmarkEnd w:id="96"/>
      <w:bookmarkEnd w:id="97"/>
      <w:bookmarkEnd w:id="98"/>
      <w:r w:rsidRPr="0074486E">
        <w:t xml:space="preserve"> </w:t>
      </w:r>
    </w:p>
    <w:p w14:paraId="2D9743B4" w14:textId="77777777" w:rsidR="00026EBE" w:rsidRPr="0095083E" w:rsidRDefault="00026EBE" w:rsidP="00026EBE">
      <w:r w:rsidRPr="0095083E">
        <w:t xml:space="preserve">Skin irritation and eye irritation studies were generally conducted as per the OECD TG 404 and 405 guidelines, respectively. All ingredients examined were found to be non-irritants to the skin and eye in </w:t>
      </w:r>
      <w:r w:rsidRPr="0095083E">
        <w:rPr>
          <w:i/>
          <w:iCs/>
        </w:rPr>
        <w:t>in vivo</w:t>
      </w:r>
      <w:r w:rsidRPr="0095083E">
        <w:t xml:space="preserve"> studies in animals (see below). </w:t>
      </w:r>
    </w:p>
    <w:p w14:paraId="1F0D0C8F" w14:textId="77777777" w:rsidR="00026EBE" w:rsidRDefault="00026EBE" w:rsidP="00026EBE">
      <w:pPr>
        <w:pStyle w:val="Tabletitle"/>
      </w:pPr>
      <w:r>
        <w:t xml:space="preserve">Table 3-4. </w:t>
      </w:r>
      <w:r w:rsidRPr="00922EBF">
        <w:t>Summary of skin and eye irritation studies for sunscreen ingredients</w:t>
      </w:r>
    </w:p>
    <w:tbl>
      <w:tblPr>
        <w:tblStyle w:val="TableTGAblue2023"/>
        <w:tblW w:w="9488" w:type="dxa"/>
        <w:tblLayout w:type="fixed"/>
        <w:tblLook w:val="01E0" w:firstRow="1" w:lastRow="1" w:firstColumn="1" w:lastColumn="1" w:noHBand="0" w:noVBand="0"/>
      </w:tblPr>
      <w:tblGrid>
        <w:gridCol w:w="841"/>
        <w:gridCol w:w="1276"/>
        <w:gridCol w:w="1134"/>
        <w:gridCol w:w="1275"/>
        <w:gridCol w:w="1134"/>
        <w:gridCol w:w="1276"/>
        <w:gridCol w:w="1418"/>
        <w:gridCol w:w="1134"/>
      </w:tblGrid>
      <w:tr w:rsidR="00026EBE" w:rsidRPr="00315AA9" w14:paraId="45499964" w14:textId="77777777" w:rsidTr="000850F6">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41" w:type="dxa"/>
          </w:tcPr>
          <w:p w14:paraId="52A79E51" w14:textId="77777777" w:rsidR="00026EBE" w:rsidRPr="00315AA9" w:rsidRDefault="00026EBE" w:rsidP="000850F6">
            <w:pPr>
              <w:ind w:left="0"/>
              <w:rPr>
                <w:sz w:val="18"/>
                <w:szCs w:val="18"/>
              </w:rPr>
            </w:pPr>
            <w:r w:rsidRPr="00315AA9">
              <w:rPr>
                <w:sz w:val="18"/>
                <w:szCs w:val="18"/>
              </w:rPr>
              <w:t>Study</w:t>
            </w:r>
          </w:p>
        </w:tc>
        <w:tc>
          <w:tcPr>
            <w:tcW w:w="1276" w:type="dxa"/>
          </w:tcPr>
          <w:p w14:paraId="03717780"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 xml:space="preserve">Avobenzone (ECHA (2021a; DEPA 2015)  </w:t>
            </w:r>
          </w:p>
        </w:tc>
        <w:tc>
          <w:tcPr>
            <w:tcW w:w="1134" w:type="dxa"/>
          </w:tcPr>
          <w:p w14:paraId="33021675"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Ethylhexyl triazone (ECHA (2021b; DEPA 2015</w:t>
            </w:r>
          </w:p>
        </w:tc>
        <w:tc>
          <w:tcPr>
            <w:tcW w:w="1275" w:type="dxa"/>
          </w:tcPr>
          <w:p w14:paraId="72245FBE"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Homosalate (SCCS 2020; ECHA  2021c)</w:t>
            </w:r>
          </w:p>
        </w:tc>
        <w:tc>
          <w:tcPr>
            <w:tcW w:w="1134" w:type="dxa"/>
          </w:tcPr>
          <w:p w14:paraId="7879E2AC"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Octinoxate (ECHA 2021e)</w:t>
            </w:r>
          </w:p>
        </w:tc>
        <w:tc>
          <w:tcPr>
            <w:tcW w:w="1276" w:type="dxa"/>
          </w:tcPr>
          <w:p w14:paraId="76F9DAFD"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Octocrylene (SCCS 2021a; ECHA 2021d)</w:t>
            </w:r>
          </w:p>
        </w:tc>
        <w:tc>
          <w:tcPr>
            <w:tcW w:w="1418" w:type="dxa"/>
          </w:tcPr>
          <w:p w14:paraId="6A531B83"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Oxybenzone (SCCP 2006a; 2021c)</w:t>
            </w:r>
          </w:p>
        </w:tc>
        <w:tc>
          <w:tcPr>
            <w:tcW w:w="1134" w:type="dxa"/>
          </w:tcPr>
          <w:p w14:paraId="11535752"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PBSA (SCCP 2006b)</w:t>
            </w:r>
          </w:p>
        </w:tc>
      </w:tr>
      <w:tr w:rsidR="00026EBE" w:rsidRPr="00315AA9" w14:paraId="79A94BEA" w14:textId="77777777" w:rsidTr="000850F6">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338E5870" w14:textId="77777777" w:rsidR="00026EBE" w:rsidRPr="00315AA9" w:rsidRDefault="00026EBE" w:rsidP="000850F6">
            <w:r w:rsidRPr="00315AA9">
              <w:t xml:space="preserve">Skin </w:t>
            </w:r>
          </w:p>
        </w:tc>
        <w:tc>
          <w:tcPr>
            <w:tcW w:w="1276" w:type="dxa"/>
          </w:tcPr>
          <w:p w14:paraId="76E3829F"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(at 10% in rabbits)</w:t>
            </w:r>
          </w:p>
        </w:tc>
        <w:tc>
          <w:tcPr>
            <w:tcW w:w="1134" w:type="dxa"/>
          </w:tcPr>
          <w:p w14:paraId="111707F9"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undiluted(rabbits)</w:t>
            </w:r>
          </w:p>
        </w:tc>
        <w:tc>
          <w:tcPr>
            <w:tcW w:w="1275" w:type="dxa"/>
          </w:tcPr>
          <w:p w14:paraId="3B9998D3"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(mice, Guinea pigs)</w:t>
            </w:r>
          </w:p>
        </w:tc>
        <w:tc>
          <w:tcPr>
            <w:tcW w:w="1134" w:type="dxa"/>
          </w:tcPr>
          <w:p w14:paraId="0E88A76E"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undiluted (rabbits, guinea pigs)</w:t>
            </w:r>
          </w:p>
        </w:tc>
        <w:tc>
          <w:tcPr>
            <w:tcW w:w="1276" w:type="dxa"/>
          </w:tcPr>
          <w:p w14:paraId="2B8BD318"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(rabbits)</w:t>
            </w:r>
          </w:p>
        </w:tc>
        <w:tc>
          <w:tcPr>
            <w:tcW w:w="1418" w:type="dxa"/>
          </w:tcPr>
          <w:p w14:paraId="2E2E1909"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(rabbits)</w:t>
            </w:r>
          </w:p>
        </w:tc>
        <w:tc>
          <w:tcPr>
            <w:tcW w:w="1134" w:type="dxa"/>
          </w:tcPr>
          <w:p w14:paraId="39833587"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(rabbits)</w:t>
            </w:r>
          </w:p>
        </w:tc>
      </w:tr>
      <w:tr w:rsidR="00026EBE" w:rsidRPr="00315AA9" w14:paraId="238A3FD7" w14:textId="77777777" w:rsidTr="000850F6">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6ED241F9" w14:textId="77777777" w:rsidR="00026EBE" w:rsidRPr="00315AA9" w:rsidRDefault="00026EBE" w:rsidP="000850F6">
            <w:r w:rsidRPr="00315AA9">
              <w:t xml:space="preserve">Eye </w:t>
            </w:r>
          </w:p>
        </w:tc>
        <w:tc>
          <w:tcPr>
            <w:tcW w:w="1276" w:type="dxa"/>
          </w:tcPr>
          <w:p w14:paraId="1339D1F0"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(at 5-20% in rabbits)</w:t>
            </w:r>
          </w:p>
        </w:tc>
        <w:tc>
          <w:tcPr>
            <w:tcW w:w="1134" w:type="dxa"/>
          </w:tcPr>
          <w:p w14:paraId="2C37ADFE"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undiluted (rabbits)</w:t>
            </w:r>
          </w:p>
        </w:tc>
        <w:tc>
          <w:tcPr>
            <w:tcW w:w="1275" w:type="dxa"/>
          </w:tcPr>
          <w:p w14:paraId="6F1ABFE3"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(at 10%)</w:t>
            </w:r>
          </w:p>
        </w:tc>
        <w:tc>
          <w:tcPr>
            <w:tcW w:w="1134" w:type="dxa"/>
          </w:tcPr>
          <w:p w14:paraId="704066C4"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undiluted (rabbits)</w:t>
            </w:r>
          </w:p>
        </w:tc>
        <w:tc>
          <w:tcPr>
            <w:tcW w:w="1276" w:type="dxa"/>
          </w:tcPr>
          <w:p w14:paraId="71B35E6B"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(rabbits)</w:t>
            </w:r>
          </w:p>
        </w:tc>
        <w:tc>
          <w:tcPr>
            <w:tcW w:w="1418" w:type="dxa"/>
          </w:tcPr>
          <w:p w14:paraId="093A1A66"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(rabbits)</w:t>
            </w:r>
          </w:p>
        </w:tc>
        <w:tc>
          <w:tcPr>
            <w:tcW w:w="1134" w:type="dxa"/>
          </w:tcPr>
          <w:p w14:paraId="15136159"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pPr>
            <w:r w:rsidRPr="00315AA9">
              <w:t>Non-irritant (rabbits)</w:t>
            </w:r>
          </w:p>
        </w:tc>
      </w:tr>
    </w:tbl>
    <w:p w14:paraId="09BFF0E7" w14:textId="77777777" w:rsidR="00026EBE" w:rsidRDefault="00026EBE" w:rsidP="00026EBE">
      <w:pPr>
        <w:pStyle w:val="Heading3"/>
      </w:pPr>
      <w:bookmarkStart w:id="99" w:name="_Toc100664714"/>
      <w:bookmarkStart w:id="100" w:name="_Toc157439284"/>
      <w:bookmarkStart w:id="101" w:name="_Toc173830126"/>
      <w:bookmarkStart w:id="102" w:name="_Toc189819961"/>
      <w:bookmarkStart w:id="103" w:name="_Toc190081231"/>
      <w:r w:rsidRPr="0074486E">
        <w:t>Sensitisation</w:t>
      </w:r>
      <w:bookmarkEnd w:id="99"/>
      <w:bookmarkEnd w:id="100"/>
      <w:bookmarkEnd w:id="101"/>
      <w:bookmarkEnd w:id="102"/>
      <w:bookmarkEnd w:id="103"/>
      <w:r w:rsidRPr="0074486E">
        <w:t xml:space="preserve"> </w:t>
      </w:r>
    </w:p>
    <w:p w14:paraId="23898092" w14:textId="77777777" w:rsidR="00026EBE" w:rsidRPr="0095083E" w:rsidRDefault="00026EBE" w:rsidP="00026EBE">
      <w:proofErr w:type="gramStart"/>
      <w:r w:rsidRPr="0095083E">
        <w:t>With the exception of</w:t>
      </w:r>
      <w:proofErr w:type="gramEnd"/>
      <w:r w:rsidRPr="0095083E">
        <w:t xml:space="preserve"> octocrylene, all the ingredients were not found to be skin sensitisers in </w:t>
      </w:r>
      <w:r w:rsidRPr="0095083E">
        <w:rPr>
          <w:i/>
          <w:iCs/>
        </w:rPr>
        <w:t>in vivo</w:t>
      </w:r>
      <w:r w:rsidRPr="0095083E">
        <w:t xml:space="preserve"> studies in animals (see below). </w:t>
      </w:r>
    </w:p>
    <w:p w14:paraId="6D1632C9" w14:textId="77777777" w:rsidR="00026EBE" w:rsidRPr="00640E17" w:rsidRDefault="00026EBE" w:rsidP="00026EBE">
      <w:pPr>
        <w:pStyle w:val="Tabletitle"/>
      </w:pPr>
      <w:r>
        <w:t xml:space="preserve">Table 3-5. </w:t>
      </w:r>
      <w:r w:rsidRPr="00922EBF">
        <w:t>Summary of skin sensitisation studies for sunscreen ingredients</w:t>
      </w:r>
    </w:p>
    <w:tbl>
      <w:tblPr>
        <w:tblStyle w:val="TableTGAblue2023"/>
        <w:tblW w:w="9469" w:type="dxa"/>
        <w:tblLayout w:type="fixed"/>
        <w:tblLook w:val="01E0" w:firstRow="1" w:lastRow="1" w:firstColumn="1" w:lastColumn="1" w:noHBand="0" w:noVBand="0"/>
      </w:tblPr>
      <w:tblGrid>
        <w:gridCol w:w="1266"/>
        <w:gridCol w:w="1134"/>
        <w:gridCol w:w="1373"/>
        <w:gridCol w:w="1424"/>
        <w:gridCol w:w="1424"/>
        <w:gridCol w:w="1424"/>
        <w:gridCol w:w="1424"/>
      </w:tblGrid>
      <w:tr w:rsidR="00026EBE" w:rsidRPr="00315AA9" w14:paraId="30E53213" w14:textId="77777777" w:rsidTr="000850F6">
        <w:trPr>
          <w:cnfStyle w:val="100000000000" w:firstRow="1" w:lastRow="0" w:firstColumn="0" w:lastColumn="0" w:oddVBand="0" w:evenVBand="0" w:oddHBand="0"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1266" w:type="dxa"/>
          </w:tcPr>
          <w:p w14:paraId="07A72962" w14:textId="77777777" w:rsidR="00026EBE" w:rsidRPr="00315AA9" w:rsidRDefault="00026EBE" w:rsidP="000850F6">
            <w:pPr>
              <w:ind w:left="0"/>
              <w:rPr>
                <w:sz w:val="18"/>
                <w:szCs w:val="18"/>
              </w:rPr>
            </w:pPr>
            <w:r w:rsidRPr="00315AA9">
              <w:rPr>
                <w:sz w:val="18"/>
                <w:szCs w:val="18"/>
              </w:rPr>
              <w:t>Avobenzone</w:t>
            </w:r>
            <w:r>
              <w:rPr>
                <w:sz w:val="18"/>
                <w:szCs w:val="18"/>
              </w:rPr>
              <w:t xml:space="preserve"> </w:t>
            </w:r>
            <w:r w:rsidRPr="00315AA9">
              <w:rPr>
                <w:sz w:val="18"/>
                <w:szCs w:val="18"/>
              </w:rPr>
              <w:t xml:space="preserve">(ECHA 2021a; DEPA 2015)  </w:t>
            </w:r>
          </w:p>
        </w:tc>
        <w:tc>
          <w:tcPr>
            <w:tcW w:w="1134" w:type="dxa"/>
          </w:tcPr>
          <w:p w14:paraId="32EB387E"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Ethylhexyl triazone</w:t>
            </w:r>
            <w:r>
              <w:rPr>
                <w:sz w:val="18"/>
                <w:szCs w:val="18"/>
              </w:rPr>
              <w:t xml:space="preserve"> </w:t>
            </w:r>
            <w:r w:rsidRPr="00315AA9">
              <w:rPr>
                <w:sz w:val="18"/>
                <w:szCs w:val="18"/>
              </w:rPr>
              <w:t>(ECHA (2021b; DEPA 2015</w:t>
            </w:r>
          </w:p>
        </w:tc>
        <w:tc>
          <w:tcPr>
            <w:tcW w:w="1373" w:type="dxa"/>
          </w:tcPr>
          <w:p w14:paraId="04E313D7"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Homosalate</w:t>
            </w:r>
            <w:r>
              <w:rPr>
                <w:sz w:val="18"/>
                <w:szCs w:val="18"/>
              </w:rPr>
              <w:t xml:space="preserve"> </w:t>
            </w:r>
            <w:r w:rsidRPr="00315AA9">
              <w:rPr>
                <w:sz w:val="18"/>
                <w:szCs w:val="18"/>
              </w:rPr>
              <w:t>(SCCS 2020; ECHA  2021c)</w:t>
            </w:r>
          </w:p>
        </w:tc>
        <w:tc>
          <w:tcPr>
            <w:tcW w:w="1424" w:type="dxa"/>
          </w:tcPr>
          <w:p w14:paraId="167CDF52"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Octinoxate</w:t>
            </w:r>
            <w:r>
              <w:rPr>
                <w:sz w:val="18"/>
                <w:szCs w:val="18"/>
              </w:rPr>
              <w:t xml:space="preserve"> </w:t>
            </w:r>
            <w:r w:rsidRPr="00315AA9">
              <w:rPr>
                <w:sz w:val="18"/>
                <w:szCs w:val="18"/>
              </w:rPr>
              <w:t>(ECHA 2021e)</w:t>
            </w:r>
          </w:p>
        </w:tc>
        <w:tc>
          <w:tcPr>
            <w:tcW w:w="1424" w:type="dxa"/>
          </w:tcPr>
          <w:p w14:paraId="4F9019D1"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Octocrylene</w:t>
            </w:r>
            <w:r>
              <w:rPr>
                <w:sz w:val="18"/>
                <w:szCs w:val="18"/>
              </w:rPr>
              <w:t xml:space="preserve"> </w:t>
            </w:r>
            <w:r w:rsidRPr="00315AA9">
              <w:rPr>
                <w:sz w:val="18"/>
                <w:szCs w:val="18"/>
              </w:rPr>
              <w:t>(SCCS 2021a; ECHA 2021d)</w:t>
            </w:r>
          </w:p>
        </w:tc>
        <w:tc>
          <w:tcPr>
            <w:tcW w:w="1424" w:type="dxa"/>
          </w:tcPr>
          <w:p w14:paraId="663B3646"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Oxybenzone</w:t>
            </w:r>
            <w:r>
              <w:rPr>
                <w:sz w:val="18"/>
                <w:szCs w:val="18"/>
              </w:rPr>
              <w:t xml:space="preserve"> </w:t>
            </w:r>
            <w:r w:rsidRPr="00315AA9">
              <w:rPr>
                <w:sz w:val="18"/>
                <w:szCs w:val="18"/>
              </w:rPr>
              <w:t>(SCCP 2006a; 2021c)</w:t>
            </w:r>
          </w:p>
        </w:tc>
        <w:tc>
          <w:tcPr>
            <w:tcW w:w="1424" w:type="dxa"/>
          </w:tcPr>
          <w:p w14:paraId="089E02FC" w14:textId="77777777" w:rsidR="00026EBE" w:rsidRPr="00315AA9" w:rsidRDefault="00026EBE" w:rsidP="000850F6">
            <w:pPr>
              <w:ind w:left="0"/>
              <w:cnfStyle w:val="100000000000" w:firstRow="1" w:lastRow="0" w:firstColumn="0" w:lastColumn="0" w:oddVBand="0" w:evenVBand="0" w:oddHBand="0" w:evenHBand="0" w:firstRowFirstColumn="0" w:firstRowLastColumn="0" w:lastRowFirstColumn="0" w:lastRowLastColumn="0"/>
              <w:rPr>
                <w:sz w:val="18"/>
                <w:szCs w:val="18"/>
              </w:rPr>
            </w:pPr>
            <w:r w:rsidRPr="00315AA9">
              <w:rPr>
                <w:sz w:val="18"/>
                <w:szCs w:val="18"/>
              </w:rPr>
              <w:t>PBSA</w:t>
            </w:r>
            <w:r>
              <w:rPr>
                <w:sz w:val="18"/>
                <w:szCs w:val="18"/>
              </w:rPr>
              <w:t xml:space="preserve"> </w:t>
            </w:r>
            <w:r w:rsidRPr="00315AA9">
              <w:rPr>
                <w:sz w:val="18"/>
                <w:szCs w:val="18"/>
              </w:rPr>
              <w:t>(SCCP 2006b)</w:t>
            </w:r>
          </w:p>
        </w:tc>
      </w:tr>
      <w:tr w:rsidR="00026EBE" w:rsidRPr="00315AA9" w14:paraId="29B63A5E" w14:textId="77777777" w:rsidTr="000850F6">
        <w:trPr>
          <w:trHeight w:val="1551"/>
        </w:trPr>
        <w:tc>
          <w:tcPr>
            <w:cnfStyle w:val="001000000000" w:firstRow="0" w:lastRow="0" w:firstColumn="1" w:lastColumn="0" w:oddVBand="0" w:evenVBand="0" w:oddHBand="0" w:evenHBand="0" w:firstRowFirstColumn="0" w:firstRowLastColumn="0" w:lastRowFirstColumn="0" w:lastRowLastColumn="0"/>
            <w:tcW w:w="1266" w:type="dxa"/>
          </w:tcPr>
          <w:p w14:paraId="63BEC30A" w14:textId="77777777" w:rsidR="00026EBE" w:rsidRPr="00315AA9" w:rsidRDefault="00026EBE" w:rsidP="000850F6">
            <w:pPr>
              <w:rPr>
                <w:szCs w:val="18"/>
              </w:rPr>
            </w:pPr>
            <w:r w:rsidRPr="00315AA9">
              <w:rPr>
                <w:szCs w:val="18"/>
              </w:rPr>
              <w:t>Not sensitizing (at 6% and 20% in GPMT)</w:t>
            </w:r>
          </w:p>
        </w:tc>
        <w:tc>
          <w:tcPr>
            <w:tcW w:w="1134" w:type="dxa"/>
          </w:tcPr>
          <w:p w14:paraId="284D430E"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rPr>
                <w:szCs w:val="18"/>
              </w:rPr>
            </w:pPr>
            <w:r w:rsidRPr="00315AA9">
              <w:rPr>
                <w:szCs w:val="18"/>
              </w:rPr>
              <w:t>Not sensitizing (GPMT)</w:t>
            </w:r>
          </w:p>
        </w:tc>
        <w:tc>
          <w:tcPr>
            <w:tcW w:w="1373" w:type="dxa"/>
          </w:tcPr>
          <w:p w14:paraId="3712438F"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rPr>
                <w:szCs w:val="18"/>
              </w:rPr>
            </w:pPr>
            <w:r w:rsidRPr="00315AA9">
              <w:rPr>
                <w:szCs w:val="18"/>
              </w:rPr>
              <w:t>Not sensitizing (GPMT and mice)</w:t>
            </w:r>
            <w:r>
              <w:rPr>
                <w:szCs w:val="18"/>
              </w:rPr>
              <w:t xml:space="preserve"> </w:t>
            </w:r>
            <w:r w:rsidRPr="00315AA9">
              <w:rPr>
                <w:szCs w:val="18"/>
              </w:rPr>
              <w:t>Not sensitizing (at 15%, HRIPT)</w:t>
            </w:r>
          </w:p>
        </w:tc>
        <w:tc>
          <w:tcPr>
            <w:tcW w:w="1424" w:type="dxa"/>
          </w:tcPr>
          <w:p w14:paraId="52B685C3"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rPr>
                <w:szCs w:val="18"/>
              </w:rPr>
            </w:pPr>
            <w:r w:rsidRPr="00315AA9">
              <w:rPr>
                <w:szCs w:val="18"/>
              </w:rPr>
              <w:t>Not sensitizing (GPMT)</w:t>
            </w:r>
            <w:r>
              <w:rPr>
                <w:szCs w:val="18"/>
              </w:rPr>
              <w:t xml:space="preserve"> </w:t>
            </w:r>
          </w:p>
        </w:tc>
        <w:tc>
          <w:tcPr>
            <w:tcW w:w="1424" w:type="dxa"/>
          </w:tcPr>
          <w:p w14:paraId="3F366840"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rPr>
                <w:szCs w:val="18"/>
              </w:rPr>
            </w:pPr>
            <w:r w:rsidRPr="00315AA9">
              <w:rPr>
                <w:szCs w:val="18"/>
              </w:rPr>
              <w:t>Not sensitizing (GPMT)</w:t>
            </w:r>
            <w:r>
              <w:rPr>
                <w:szCs w:val="18"/>
              </w:rPr>
              <w:t xml:space="preserve"> </w:t>
            </w:r>
            <w:r w:rsidRPr="00315AA9">
              <w:rPr>
                <w:szCs w:val="18"/>
              </w:rPr>
              <w:t xml:space="preserve">Moderate sensitising in a LLNA (not properly conducted)  </w:t>
            </w:r>
          </w:p>
        </w:tc>
        <w:tc>
          <w:tcPr>
            <w:tcW w:w="1424" w:type="dxa"/>
          </w:tcPr>
          <w:p w14:paraId="254A33FF"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rPr>
                <w:szCs w:val="18"/>
              </w:rPr>
            </w:pPr>
            <w:r w:rsidRPr="00315AA9">
              <w:rPr>
                <w:szCs w:val="18"/>
              </w:rPr>
              <w:t>Not sensitizing (GPMT)</w:t>
            </w:r>
            <w:r>
              <w:rPr>
                <w:szCs w:val="18"/>
              </w:rPr>
              <w:t xml:space="preserve"> </w:t>
            </w:r>
            <w:r w:rsidRPr="00315AA9">
              <w:rPr>
                <w:szCs w:val="18"/>
              </w:rPr>
              <w:t>Not sensitising (LLNA)</w:t>
            </w:r>
          </w:p>
        </w:tc>
        <w:tc>
          <w:tcPr>
            <w:tcW w:w="1424" w:type="dxa"/>
          </w:tcPr>
          <w:p w14:paraId="2AB981D3" w14:textId="77777777" w:rsidR="00026EBE" w:rsidRPr="00315AA9" w:rsidRDefault="00026EBE" w:rsidP="000850F6">
            <w:pPr>
              <w:cnfStyle w:val="000000000000" w:firstRow="0" w:lastRow="0" w:firstColumn="0" w:lastColumn="0" w:oddVBand="0" w:evenVBand="0" w:oddHBand="0" w:evenHBand="0" w:firstRowFirstColumn="0" w:firstRowLastColumn="0" w:lastRowFirstColumn="0" w:lastRowLastColumn="0"/>
              <w:rPr>
                <w:szCs w:val="18"/>
              </w:rPr>
            </w:pPr>
            <w:r w:rsidRPr="00315AA9">
              <w:rPr>
                <w:szCs w:val="18"/>
              </w:rPr>
              <w:t>Not sensitizing (GPMT)</w:t>
            </w:r>
            <w:r>
              <w:rPr>
                <w:szCs w:val="18"/>
              </w:rPr>
              <w:t xml:space="preserve"> </w:t>
            </w:r>
          </w:p>
        </w:tc>
      </w:tr>
    </w:tbl>
    <w:p w14:paraId="4EEA0343" w14:textId="77777777" w:rsidR="00026EBE" w:rsidRPr="0095083E" w:rsidRDefault="00026EBE" w:rsidP="00026EBE">
      <w:pPr>
        <w:pStyle w:val="Tabledescription"/>
      </w:pPr>
      <w:r w:rsidRPr="0095083E">
        <w:t>GPMT: Guinea Pig Maximization Test; LLNA: Local Lymph Node Assay; HRIPT: Human repeated insult patch test</w:t>
      </w:r>
    </w:p>
    <w:p w14:paraId="6CADC9BA" w14:textId="77777777" w:rsidR="00026EBE" w:rsidRDefault="00026EBE" w:rsidP="00026EBE">
      <w:pPr>
        <w:pStyle w:val="Heading3"/>
      </w:pPr>
      <w:bookmarkStart w:id="104" w:name="_Toc100664715"/>
      <w:bookmarkStart w:id="105" w:name="_Toc157439285"/>
      <w:bookmarkStart w:id="106" w:name="_Toc173830127"/>
      <w:bookmarkStart w:id="107" w:name="_Toc189819962"/>
      <w:bookmarkStart w:id="108" w:name="_Toc190081232"/>
      <w:r w:rsidRPr="0074486E">
        <w:t>Repeat dose toxicity</w:t>
      </w:r>
      <w:bookmarkEnd w:id="104"/>
      <w:bookmarkEnd w:id="105"/>
      <w:bookmarkEnd w:id="106"/>
      <w:bookmarkEnd w:id="107"/>
      <w:bookmarkEnd w:id="108"/>
      <w:r w:rsidRPr="0074486E">
        <w:t xml:space="preserve"> </w:t>
      </w:r>
    </w:p>
    <w:p w14:paraId="6220DE2D" w14:textId="77777777" w:rsidR="00026EBE" w:rsidRPr="0095083E" w:rsidRDefault="00026EBE" w:rsidP="00026EBE">
      <w:r w:rsidRPr="0095083E">
        <w:t>A summary of repeat-dose toxicity studies for each sunscreen ingredient is shown in the table below:</w:t>
      </w:r>
    </w:p>
    <w:p w14:paraId="21F85D0F" w14:textId="77777777" w:rsidR="00026EBE" w:rsidRPr="00922EBF" w:rsidRDefault="00026EBE" w:rsidP="00026EBE">
      <w:pPr>
        <w:pStyle w:val="Tabletitle"/>
      </w:pPr>
      <w:r>
        <w:t xml:space="preserve">Table 3-6. </w:t>
      </w:r>
      <w:r w:rsidRPr="00922EBF">
        <w:t>Repeat-dose toxicity studies for sunscreen ingredients</w:t>
      </w:r>
    </w:p>
    <w:tbl>
      <w:tblPr>
        <w:tblStyle w:val="TableTGAblue2023"/>
        <w:tblW w:w="0" w:type="auto"/>
        <w:tblLook w:val="04A0" w:firstRow="1" w:lastRow="0" w:firstColumn="1" w:lastColumn="0" w:noHBand="0" w:noVBand="1"/>
      </w:tblPr>
      <w:tblGrid>
        <w:gridCol w:w="3008"/>
        <w:gridCol w:w="3004"/>
        <w:gridCol w:w="3004"/>
      </w:tblGrid>
      <w:tr w:rsidR="00026EBE" w:rsidRPr="0067432C" w14:paraId="45DEFFE9" w14:textId="77777777" w:rsidTr="0008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5016D3D4" w14:textId="77777777" w:rsidR="00026EBE" w:rsidRPr="0067432C" w:rsidRDefault="00423137" w:rsidP="000850F6">
            <w:pPr>
              <w:keepNext w:val="0"/>
              <w:spacing w:before="0" w:after="120" w:line="259" w:lineRule="auto"/>
              <w:ind w:left="0"/>
              <w:rPr>
                <w:rFonts w:eastAsiaTheme="minorHAnsi" w:cstheme="minorBidi"/>
                <w:color w:val="00348C" w:themeColor="accent1" w:themeShade="BF"/>
                <w:sz w:val="20"/>
                <w:szCs w:val="20"/>
                <w:lang w:eastAsia="en-US"/>
              </w:rPr>
            </w:pPr>
            <w:r w:rsidRPr="0067432C">
              <w:rPr>
                <w:rFonts w:eastAsiaTheme="minorHAnsi" w:cstheme="minorBidi"/>
                <w:color w:val="00348C" w:themeColor="accent1" w:themeShade="BF"/>
                <w:sz w:val="20"/>
                <w:szCs w:val="20"/>
                <w:lang w:eastAsia="en-US"/>
              </w:rPr>
              <w:t xml:space="preserve">Active ingredient </w:t>
            </w:r>
          </w:p>
        </w:tc>
        <w:tc>
          <w:tcPr>
            <w:tcW w:w="3004" w:type="dxa"/>
            <w:vAlign w:val="center"/>
          </w:tcPr>
          <w:p w14:paraId="16C93B84" w14:textId="77777777" w:rsidR="00026EBE" w:rsidRPr="0067432C" w:rsidRDefault="00423137" w:rsidP="000850F6">
            <w:pPr>
              <w:keepNext w:val="0"/>
              <w:spacing w:before="0" w:after="120" w:line="259" w:lineRule="auto"/>
              <w:ind w:left="0"/>
              <w:cnfStyle w:val="100000000000" w:firstRow="1" w:lastRow="0" w:firstColumn="0" w:lastColumn="0" w:oddVBand="0" w:evenVBand="0" w:oddHBand="0" w:evenHBand="0" w:firstRowFirstColumn="0" w:firstRowLastColumn="0" w:lastRowFirstColumn="0" w:lastRowLastColumn="0"/>
              <w:rPr>
                <w:rFonts w:eastAsiaTheme="minorHAnsi" w:cstheme="minorBidi"/>
                <w:color w:val="00348C" w:themeColor="accent1" w:themeShade="BF"/>
                <w:sz w:val="20"/>
                <w:szCs w:val="20"/>
                <w:lang w:eastAsia="en-US"/>
              </w:rPr>
            </w:pPr>
            <w:r w:rsidRPr="0067432C">
              <w:rPr>
                <w:rFonts w:eastAsiaTheme="minorHAnsi" w:cstheme="minorBidi"/>
                <w:color w:val="00348C" w:themeColor="accent1" w:themeShade="BF"/>
                <w:sz w:val="20"/>
                <w:szCs w:val="20"/>
                <w:lang w:eastAsia="en-US"/>
              </w:rPr>
              <w:t xml:space="preserve">Study </w:t>
            </w:r>
            <w:proofErr w:type="spellStart"/>
            <w:r w:rsidRPr="0067432C">
              <w:rPr>
                <w:rFonts w:eastAsiaTheme="minorHAnsi" w:cstheme="minorBidi"/>
                <w:color w:val="00348C" w:themeColor="accent1" w:themeShade="BF"/>
                <w:sz w:val="20"/>
                <w:szCs w:val="20"/>
                <w:lang w:eastAsia="en-US"/>
              </w:rPr>
              <w:t>details</w:t>
            </w:r>
            <w:r w:rsidRPr="0067432C">
              <w:rPr>
                <w:rFonts w:eastAsiaTheme="minorHAnsi" w:cstheme="minorBidi"/>
                <w:color w:val="00348C" w:themeColor="accent1" w:themeShade="BF"/>
                <w:sz w:val="20"/>
                <w:szCs w:val="20"/>
                <w:vertAlign w:val="superscript"/>
                <w:lang w:eastAsia="en-US"/>
              </w:rPr>
              <w:t>Δ</w:t>
            </w:r>
            <w:proofErr w:type="spellEnd"/>
          </w:p>
        </w:tc>
        <w:tc>
          <w:tcPr>
            <w:tcW w:w="3004" w:type="dxa"/>
            <w:vAlign w:val="center"/>
          </w:tcPr>
          <w:p w14:paraId="40FD0614" w14:textId="77777777" w:rsidR="00026EBE" w:rsidRPr="0067432C" w:rsidRDefault="00423137" w:rsidP="000850F6">
            <w:pPr>
              <w:keepNext w:val="0"/>
              <w:spacing w:before="0" w:after="120" w:line="259" w:lineRule="auto"/>
              <w:ind w:left="0"/>
              <w:cnfStyle w:val="100000000000" w:firstRow="1" w:lastRow="0" w:firstColumn="0" w:lastColumn="0" w:oddVBand="0" w:evenVBand="0" w:oddHBand="0" w:evenHBand="0" w:firstRowFirstColumn="0" w:firstRowLastColumn="0" w:lastRowFirstColumn="0" w:lastRowLastColumn="0"/>
              <w:rPr>
                <w:rFonts w:eastAsiaTheme="minorHAnsi" w:cstheme="minorBidi"/>
                <w:color w:val="00348C" w:themeColor="accent1" w:themeShade="BF"/>
                <w:sz w:val="20"/>
                <w:szCs w:val="20"/>
                <w:lang w:eastAsia="en-US"/>
              </w:rPr>
            </w:pPr>
            <w:r w:rsidRPr="0067432C">
              <w:rPr>
                <w:rFonts w:eastAsiaTheme="minorHAnsi" w:cstheme="minorBidi"/>
                <w:color w:val="00348C" w:themeColor="accent1" w:themeShade="BF"/>
                <w:sz w:val="20"/>
                <w:szCs w:val="20"/>
                <w:lang w:eastAsia="en-US"/>
              </w:rPr>
              <w:t>Major findings</w:t>
            </w:r>
          </w:p>
        </w:tc>
      </w:tr>
      <w:tr w:rsidR="00026EBE" w:rsidRPr="0067432C" w14:paraId="57D42C41"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restart"/>
            <w:vAlign w:val="center"/>
          </w:tcPr>
          <w:p w14:paraId="170C74E6" w14:textId="77777777" w:rsidR="00423137"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Avobenzone </w:t>
            </w:r>
          </w:p>
          <w:p w14:paraId="53ED5A92" w14:textId="77777777" w:rsidR="00026EBE"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(ECHA 2021a;</w:t>
            </w:r>
            <w:r w:rsidRPr="0067432C">
              <w:rPr>
                <w:rFonts w:eastAsiaTheme="minorHAnsi" w:cstheme="minorBidi"/>
                <w:b/>
                <w:color w:val="auto"/>
                <w:sz w:val="20"/>
                <w:szCs w:val="20"/>
                <w:lang w:eastAsia="en-US"/>
              </w:rPr>
              <w:t xml:space="preserve"> </w:t>
            </w:r>
            <w:r w:rsidRPr="0067432C">
              <w:rPr>
                <w:rFonts w:eastAsiaTheme="minorHAnsi" w:cstheme="minorBidi"/>
                <w:color w:val="auto"/>
                <w:sz w:val="20"/>
                <w:szCs w:val="20"/>
                <w:lang w:eastAsia="en-US"/>
              </w:rPr>
              <w:t>DEPA 2015)</w:t>
            </w:r>
          </w:p>
        </w:tc>
        <w:tc>
          <w:tcPr>
            <w:tcW w:w="3004" w:type="dxa"/>
            <w:vAlign w:val="center"/>
          </w:tcPr>
          <w:p w14:paraId="63D43551" w14:textId="570D5441" w:rsidR="00026EBE" w:rsidRPr="0067432C" w:rsidRDefault="00423137" w:rsidP="00E94C79">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Rats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 xml:space="preserve">=12/sex/dose), doses: 0, 200, 450, and 1000 mg /kg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(diet), 13 weeks</w:t>
            </w:r>
          </w:p>
        </w:tc>
        <w:tc>
          <w:tcPr>
            <w:tcW w:w="3004" w:type="dxa"/>
            <w:vAlign w:val="center"/>
          </w:tcPr>
          <w:p w14:paraId="5F0E45FB"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No treatment-related mortality.</w:t>
            </w:r>
          </w:p>
          <w:p w14:paraId="419F9B0E"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 effect on the body weight and food consumption. </w:t>
            </w:r>
          </w:p>
          <w:p w14:paraId="230C3F01"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 RBC in ♀ rats at 1000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w:t>
            </w:r>
          </w:p>
          <w:p w14:paraId="27D9D7D1"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 findings in eyes. No treatment-related necropsy findings. </w:t>
            </w:r>
          </w:p>
          <w:p w14:paraId="6B392738"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Treatment-related ↑ liver weights at 1000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in ♂ and at 200, 450, and 1000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in ♀ compared to control. All effects were fully reversed after a treatment-free period of 4 weeks.</w:t>
            </w:r>
          </w:p>
          <w:p w14:paraId="0AA27553"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Hypertrophic hepatic parenchyma cells in ♀ at 1000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157BACE0"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sz w:val="20"/>
                <w:szCs w:val="20"/>
                <w:lang w:eastAsia="en-US"/>
              </w:rPr>
            </w:pPr>
            <w:r w:rsidRPr="0067432C">
              <w:rPr>
                <w:rFonts w:eastAsiaTheme="minorHAnsi" w:cstheme="minorBidi"/>
                <w:b/>
                <w:bCs/>
                <w:color w:val="auto"/>
                <w:sz w:val="20"/>
                <w:szCs w:val="20"/>
                <w:lang w:eastAsia="en-US"/>
              </w:rPr>
              <w:t xml:space="preserve">NOAEL:  450 mg/kg </w:t>
            </w:r>
            <w:proofErr w:type="spellStart"/>
            <w:r w:rsidRPr="0067432C">
              <w:rPr>
                <w:rFonts w:eastAsiaTheme="minorHAnsi" w:cstheme="minorBidi"/>
                <w:b/>
                <w:bCs/>
                <w:color w:val="auto"/>
                <w:sz w:val="20"/>
                <w:szCs w:val="20"/>
                <w:lang w:eastAsia="en-US"/>
              </w:rPr>
              <w:t>bw</w:t>
            </w:r>
            <w:proofErr w:type="spellEnd"/>
            <w:r w:rsidRPr="0067432C">
              <w:rPr>
                <w:rFonts w:eastAsiaTheme="minorHAnsi" w:cstheme="minorBidi"/>
                <w:b/>
                <w:bCs/>
                <w:color w:val="auto"/>
                <w:sz w:val="20"/>
                <w:szCs w:val="20"/>
                <w:lang w:eastAsia="en-US"/>
              </w:rPr>
              <w:t>/day</w:t>
            </w:r>
          </w:p>
          <w:p w14:paraId="44A3B7EF"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i/>
                <w:iCs/>
                <w:color w:val="auto"/>
                <w:sz w:val="20"/>
                <w:szCs w:val="20"/>
                <w:lang w:eastAsia="en-US"/>
              </w:rPr>
              <w:t>Applying route to route extrapolation, by assuming that penetration of avobenzone through skin is equal to penetration through the intestinal wall, the same effect levels as for oral route shall apply for the dermal route of exposure (ECHA 2021)</w:t>
            </w:r>
          </w:p>
        </w:tc>
      </w:tr>
      <w:tr w:rsidR="00026EBE" w:rsidRPr="0067432C" w14:paraId="20083321"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01B2B10E"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3F3F07BB"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Rabbits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 xml:space="preserve">=10/sex/group), 1.5, 5 and 18 % w/v solutions in </w:t>
            </w:r>
            <w:proofErr w:type="spellStart"/>
            <w:r w:rsidRPr="0067432C">
              <w:rPr>
                <w:rFonts w:eastAsiaTheme="minorHAnsi" w:cstheme="minorBidi"/>
                <w:color w:val="auto"/>
                <w:sz w:val="20"/>
                <w:szCs w:val="20"/>
                <w:lang w:eastAsia="en-US"/>
              </w:rPr>
              <w:t>carbitol</w:t>
            </w:r>
            <w:proofErr w:type="spellEnd"/>
            <w:r w:rsidRPr="0067432C">
              <w:rPr>
                <w:rFonts w:eastAsiaTheme="minorHAnsi" w:cstheme="minorBidi"/>
                <w:color w:val="auto"/>
                <w:sz w:val="20"/>
                <w:szCs w:val="20"/>
                <w:lang w:eastAsia="en-US"/>
              </w:rPr>
              <w:t xml:space="preserve"> (vehicle) (30, 100 and 360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(dermal once daily), exposure: 6 hours/day, 28 days </w:t>
            </w:r>
          </w:p>
        </w:tc>
        <w:tc>
          <w:tcPr>
            <w:tcW w:w="3004" w:type="dxa"/>
            <w:vAlign w:val="center"/>
          </w:tcPr>
          <w:p w14:paraId="701859C3"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No treatment-related mortality.</w:t>
            </w:r>
          </w:p>
          <w:p w14:paraId="713893F5"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 dose dependent severe dermal reactions ≥ 30 mg/kg/day, more persistent at 100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w:t>
            </w:r>
          </w:p>
          <w:p w14:paraId="2291239A"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 Incidence of epidermal thickening in both vehicle control and treatment groups compared to the untreated control group. </w:t>
            </w:r>
          </w:p>
          <w:p w14:paraId="350F9FB1"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360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(based on systemic effects). </w:t>
            </w:r>
          </w:p>
          <w:p w14:paraId="336E0D7D"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LOAEL: 30 mg/kg/</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(dermal)</w:t>
            </w:r>
          </w:p>
        </w:tc>
      </w:tr>
      <w:tr w:rsidR="00026EBE" w:rsidRPr="0067432C" w14:paraId="4611836C"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restart"/>
            <w:vAlign w:val="center"/>
          </w:tcPr>
          <w:p w14:paraId="759E2DBC" w14:textId="77777777" w:rsidR="00FA32DF" w:rsidRPr="0067432C" w:rsidRDefault="00FA32DF"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Octocrylene </w:t>
            </w:r>
          </w:p>
          <w:p w14:paraId="504D80B4" w14:textId="77777777" w:rsidR="00026EBE" w:rsidRPr="0067432C" w:rsidRDefault="00FA32DF"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(ECHA 2021d; SCCS 2021a)</w:t>
            </w:r>
          </w:p>
        </w:tc>
        <w:tc>
          <w:tcPr>
            <w:tcW w:w="3004" w:type="dxa"/>
            <w:vAlign w:val="center"/>
          </w:tcPr>
          <w:p w14:paraId="484F5986"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(Wistar),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 = 10/sex/dose</w:t>
            </w:r>
          </w:p>
          <w:p w14:paraId="272A453E"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0, 58, 175, 340 and 1085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(diet), 13 weeks</w:t>
            </w:r>
          </w:p>
          <w:p w14:paraId="1BAF3404"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Study BASF 50S0227/92059</w:t>
            </w:r>
            <w:r w:rsidR="00026EBE" w:rsidRPr="0067432C">
              <w:rPr>
                <w:rFonts w:eastAsiaTheme="minorHAnsi" w:cstheme="minorBidi"/>
                <w:color w:val="auto"/>
                <w:sz w:val="20"/>
                <w:szCs w:val="20"/>
                <w:lang w:eastAsia="en-US"/>
              </w:rPr>
              <w:t xml:space="preserve"> </w:t>
            </w:r>
          </w:p>
        </w:tc>
        <w:tc>
          <w:tcPr>
            <w:tcW w:w="3004" w:type="dxa"/>
            <w:vAlign w:val="center"/>
          </w:tcPr>
          <w:p w14:paraId="2B6B44C9"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No treatment-related mortality.</w:t>
            </w:r>
          </w:p>
          <w:p w14:paraId="4D3AA9DC"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 treatment-related clinical signs. </w:t>
            </w:r>
          </w:p>
          <w:p w14:paraId="5E934AC4"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Body weight gain: ↓ at HD in both sexes along with decreased food consumption </w:t>
            </w:r>
          </w:p>
          <w:p w14:paraId="53A825FB"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Haematology:  RBC affected (↓MCV, ↓MCH, ↓MCHC) at HD in both sexes</w:t>
            </w:r>
          </w:p>
          <w:p w14:paraId="74C5F3C9"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Organ weights (bodyweight-relative): ↑ absolute and relative weight of liver at 340 and 1085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69264B8C"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Histopathology: hypertrophy of </w:t>
            </w:r>
            <w:proofErr w:type="spellStart"/>
            <w:r w:rsidRPr="0067432C">
              <w:rPr>
                <w:rFonts w:eastAsiaTheme="minorHAnsi" w:cstheme="minorBidi"/>
                <w:color w:val="auto"/>
                <w:sz w:val="20"/>
                <w:szCs w:val="20"/>
                <w:lang w:eastAsia="en-US"/>
              </w:rPr>
              <w:t>periacinar</w:t>
            </w:r>
            <w:proofErr w:type="spellEnd"/>
            <w:r w:rsidRPr="0067432C">
              <w:rPr>
                <w:rFonts w:eastAsiaTheme="minorHAnsi" w:cstheme="minorBidi"/>
                <w:color w:val="auto"/>
                <w:sz w:val="20"/>
                <w:szCs w:val="20"/>
                <w:lang w:eastAsia="en-US"/>
              </w:rPr>
              <w:t xml:space="preserve"> and </w:t>
            </w:r>
            <w:proofErr w:type="spellStart"/>
            <w:r w:rsidRPr="0067432C">
              <w:rPr>
                <w:rFonts w:eastAsiaTheme="minorHAnsi" w:cstheme="minorBidi"/>
                <w:color w:val="auto"/>
                <w:sz w:val="20"/>
                <w:szCs w:val="20"/>
                <w:lang w:eastAsia="en-US"/>
              </w:rPr>
              <w:t>centriacinar</w:t>
            </w:r>
            <w:proofErr w:type="spellEnd"/>
            <w:r w:rsidRPr="0067432C">
              <w:rPr>
                <w:rFonts w:eastAsiaTheme="minorHAnsi" w:cstheme="minorBidi"/>
                <w:color w:val="auto"/>
                <w:sz w:val="20"/>
                <w:szCs w:val="20"/>
                <w:lang w:eastAsia="en-US"/>
              </w:rPr>
              <w:t xml:space="preserve"> hepatocytes at 340 and 1085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Slight or moderate hypertrophy of the thyroid, follicular epithelium and associated pale staining colloid at 340 and 1085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7D2D187E"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175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tc>
      </w:tr>
      <w:tr w:rsidR="00026EBE" w:rsidRPr="0067432C" w14:paraId="699A84FE"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28EBA492"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731542D0"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Rabbits (NZW),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 = 5/sex/dose</w:t>
            </w:r>
          </w:p>
          <w:p w14:paraId="11B1143C"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0, 130, 264, 534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(dermal)</w:t>
            </w:r>
          </w:p>
          <w:p w14:paraId="51620036"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5 days/week; 13 weeks </w:t>
            </w:r>
          </w:p>
          <w:p w14:paraId="37AEFD39"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(Odio </w:t>
            </w:r>
            <w:r w:rsidRPr="0067432C">
              <w:rPr>
                <w:rFonts w:eastAsiaTheme="minorHAnsi" w:cstheme="minorBidi"/>
                <w:i/>
                <w:color w:val="auto"/>
                <w:sz w:val="20"/>
                <w:szCs w:val="20"/>
                <w:lang w:eastAsia="en-US"/>
              </w:rPr>
              <w:t>et al.,</w:t>
            </w:r>
            <w:r w:rsidRPr="0067432C">
              <w:rPr>
                <w:rFonts w:eastAsiaTheme="minorHAnsi" w:cstheme="minorBidi"/>
                <w:color w:val="auto"/>
                <w:sz w:val="20"/>
                <w:szCs w:val="20"/>
                <w:lang w:eastAsia="en-US"/>
              </w:rPr>
              <w:t xml:space="preserve"> 1994)</w:t>
            </w:r>
          </w:p>
        </w:tc>
        <w:tc>
          <w:tcPr>
            <w:tcW w:w="3004" w:type="dxa"/>
            <w:vAlign w:val="center"/>
          </w:tcPr>
          <w:p w14:paraId="4F3532DF"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Slight to moderate skin irritation (erythema and desquamation) at all doses at the site of application correlated to ↓ bodyweight gain at 264 and 534 m/kg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46ED7392"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No evidence for haematological or macroscopic and histopathological abnormalities</w:t>
            </w:r>
          </w:p>
          <w:p w14:paraId="1E778AB9"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No effects were reported on testicular and epididymal morphology as well as on sperm count and motility</w:t>
            </w:r>
          </w:p>
          <w:p w14:paraId="6B119726"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NOAEL</w:t>
            </w:r>
            <w:r w:rsidRPr="0067432C">
              <w:rPr>
                <w:rFonts w:eastAsiaTheme="minorHAnsi" w:cstheme="minorBidi"/>
                <w:i/>
                <w:color w:val="auto"/>
                <w:sz w:val="20"/>
                <w:szCs w:val="20"/>
                <w:lang w:eastAsia="en-US"/>
              </w:rPr>
              <w:t>:</w:t>
            </w:r>
            <w:r w:rsidRPr="0067432C">
              <w:rPr>
                <w:rFonts w:eastAsiaTheme="minorHAnsi" w:cstheme="minorBidi"/>
                <w:color w:val="auto"/>
                <w:sz w:val="20"/>
                <w:szCs w:val="20"/>
                <w:lang w:eastAsia="en-US"/>
              </w:rPr>
              <w:t xml:space="preserve"> 534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(systemic toxicity) </w:t>
            </w:r>
          </w:p>
          <w:p w14:paraId="1CE072A2"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130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(dermal)</w:t>
            </w:r>
          </w:p>
        </w:tc>
      </w:tr>
      <w:tr w:rsidR="00026EBE" w:rsidRPr="0067432C" w14:paraId="777B6522"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67ED03CD"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0AB7AF29"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A follow up mechanistic study was conducted in rats to investigate mechanisms related to potential thyroid effects of octocrylene observed in the 13-week oral repeat dose study in rats </w:t>
            </w:r>
          </w:p>
          <w:p w14:paraId="43C769A6"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(Wistar),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 = 5/sex/dose</w:t>
            </w:r>
          </w:p>
          <w:p w14:paraId="542CD028"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72, 215, 720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PO (Subset A)</w:t>
            </w:r>
          </w:p>
          <w:p w14:paraId="563A79FA"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63, 188, 630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PO (Subset B)</w:t>
            </w:r>
          </w:p>
          <w:p w14:paraId="1C6657CB"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28 days (Subset A) </w:t>
            </w:r>
          </w:p>
          <w:p w14:paraId="1D42D6C6"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14 days (Subset B)</w:t>
            </w:r>
          </w:p>
        </w:tc>
        <w:tc>
          <w:tcPr>
            <w:tcW w:w="3004" w:type="dxa"/>
            <w:vAlign w:val="center"/>
          </w:tcPr>
          <w:p w14:paraId="28361D1C"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 treatment-related mortality </w:t>
            </w:r>
          </w:p>
          <w:p w14:paraId="3F0770F9"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 treatment-related clinical signs. </w:t>
            </w:r>
          </w:p>
          <w:p w14:paraId="1B85C3F8"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Body weight gain: ↓ at HD in both subsets </w:t>
            </w:r>
          </w:p>
          <w:p w14:paraId="75BBCDD1"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Serum chemistry: ↑ TSH at 630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in ♀ in subset B; ↑ TSH at 720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in both sexes in subset A</w:t>
            </w:r>
          </w:p>
          <w:p w14:paraId="40D3CB21"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Organ weights (bodyweight-relative): ↑ absolute and relative weight of liver at high doses in both sexes in both subsets </w:t>
            </w:r>
          </w:p>
          <w:p w14:paraId="182482BD"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Histopathology: minimal follicular cell hypertrophy/hyperplasia of the thyroid gland at high doses in both sexes in both subsets </w:t>
            </w:r>
          </w:p>
          <w:p w14:paraId="4BB846A7"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188-215 mg/kg/day  </w:t>
            </w:r>
          </w:p>
        </w:tc>
      </w:tr>
      <w:tr w:rsidR="00026EBE" w:rsidRPr="0067432C" w14:paraId="1AAC0197"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restart"/>
            <w:vAlign w:val="center"/>
          </w:tcPr>
          <w:p w14:paraId="53E3BBD7" w14:textId="77777777" w:rsidR="00423137"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Octinoxate </w:t>
            </w:r>
          </w:p>
          <w:p w14:paraId="62AA15EC" w14:textId="77777777" w:rsidR="00026EBE"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(ECHA 2021e)</w:t>
            </w:r>
          </w:p>
        </w:tc>
        <w:tc>
          <w:tcPr>
            <w:tcW w:w="3004" w:type="dxa"/>
            <w:vAlign w:val="center"/>
          </w:tcPr>
          <w:p w14:paraId="3217F160"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(not specified),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 xml:space="preserve">=5/sex/dose, at 300, 900 and 2700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(gavage), 3 weeks</w:t>
            </w:r>
          </w:p>
        </w:tc>
        <w:tc>
          <w:tcPr>
            <w:tcW w:w="3004" w:type="dxa"/>
            <w:vAlign w:val="center"/>
          </w:tcPr>
          <w:p w14:paraId="5B93C644"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 body weight, ↓ relative and absolute weight of the thymus at HD, ↓absolute weight of the left kidney (♂) and ↓ absolute weight of the heart (♀) at HD. </w:t>
            </w:r>
          </w:p>
          <w:p w14:paraId="4F2A091A"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900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tc>
      </w:tr>
      <w:tr w:rsidR="00026EBE" w:rsidRPr="0067432C" w14:paraId="25FE1FF5"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53C5BAD9"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639DEB20"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(SPF),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=12/ sex/dose, at 200, 450 and 1000 mg/kg/day (oral), 13 weeks with recovery period of 5 weeks</w:t>
            </w:r>
          </w:p>
        </w:tc>
        <w:tc>
          <w:tcPr>
            <w:tcW w:w="3004" w:type="dxa"/>
            <w:vAlign w:val="center"/>
          </w:tcPr>
          <w:p w14:paraId="3C5211BA"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Kidney weights at HD, reversed during the recovery period (5 weeks). ↓ glycogen in the liver and ↑ iron in the Kupfer cells at HD, ↑ GLDH in ♀ at HD.</w:t>
            </w:r>
          </w:p>
          <w:p w14:paraId="337EE403"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Some of the effects were reversed during the recovery period; however, then reversed effects were not listed in the AICIS report. NOAEL: 450 mg/kg/day based on the minor and reversible changes at 1000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w:t>
            </w:r>
          </w:p>
        </w:tc>
      </w:tr>
      <w:tr w:rsidR="00026EBE" w:rsidRPr="0067432C" w14:paraId="5FFDDD8E"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restart"/>
            <w:vAlign w:val="center"/>
          </w:tcPr>
          <w:p w14:paraId="211CBDD1"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66AABD29"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(SD),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=10/sex/dose, 55.5, 277 and 555 mg/kg/day, 5 days/ week, 13 weeks (dermal)</w:t>
            </w:r>
          </w:p>
        </w:tc>
        <w:tc>
          <w:tcPr>
            <w:tcW w:w="3004" w:type="dxa"/>
            <w:vAlign w:val="center"/>
          </w:tcPr>
          <w:p w14:paraId="3F27BD9D"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Mortality: none treatment-related </w:t>
            </w:r>
          </w:p>
          <w:p w14:paraId="72A20334"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 (non-significant) serum alanine phosphatase (SAP) levels and ↑ relative liver weight at HD. Liver effects were not observable upon microscopic examination. </w:t>
            </w:r>
          </w:p>
          <w:p w14:paraId="4C61D38E"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555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based on no significant adverse effects at the highest treated dose</w:t>
            </w:r>
          </w:p>
        </w:tc>
      </w:tr>
      <w:tr w:rsidR="00026EBE" w:rsidRPr="0067432C" w14:paraId="655FBDA9"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29296ACD"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34F308A0"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(SD),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 xml:space="preserve">=15/sex/dose; 0, 500, 1500 or 5000 mg/kg/day applied </w:t>
            </w:r>
            <w:proofErr w:type="spellStart"/>
            <w:r w:rsidRPr="0067432C">
              <w:rPr>
                <w:rFonts w:eastAsiaTheme="minorHAnsi" w:cstheme="minorBidi"/>
                <w:color w:val="auto"/>
                <w:sz w:val="20"/>
                <w:szCs w:val="20"/>
                <w:lang w:eastAsia="en-US"/>
              </w:rPr>
              <w:t>occlusively</w:t>
            </w:r>
            <w:proofErr w:type="spellEnd"/>
            <w:r w:rsidRPr="0067432C">
              <w:rPr>
                <w:rFonts w:eastAsiaTheme="minorHAnsi" w:cstheme="minorBidi"/>
                <w:color w:val="auto"/>
                <w:sz w:val="20"/>
                <w:szCs w:val="20"/>
                <w:lang w:eastAsia="en-US"/>
              </w:rPr>
              <w:t xml:space="preserve"> on the abraded skin, 6 days/ week, 28 days (dermal)</w:t>
            </w:r>
          </w:p>
        </w:tc>
        <w:tc>
          <w:tcPr>
            <w:tcW w:w="3004" w:type="dxa"/>
            <w:vAlign w:val="center"/>
          </w:tcPr>
          <w:p w14:paraId="6A9EA6E8"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No systemic effects, body weight changes, ocular defects, haematology effects or changes in blood chemistry parameters were observed.</w:t>
            </w:r>
          </w:p>
          <w:p w14:paraId="637608BE"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Dose dependent low-grade epidermal proliferation at all doses (more prominent in ♂). </w:t>
            </w:r>
          </w:p>
          <w:p w14:paraId="423A4188"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The chemical was considered as a low-grade irritant under the conditions of this study (OECD TG 410)</w:t>
            </w:r>
          </w:p>
          <w:p w14:paraId="4FF0D672"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5000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w:t>
            </w:r>
          </w:p>
        </w:tc>
      </w:tr>
      <w:tr w:rsidR="00026EBE" w:rsidRPr="0067432C" w14:paraId="544654EA"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24FBEBF7"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6F9827F6"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Rabbits (NZW), </w:t>
            </w:r>
            <w:r w:rsidRPr="0067432C">
              <w:rPr>
                <w:rFonts w:eastAsiaTheme="minorHAnsi" w:cstheme="minorBidi"/>
                <w:i/>
                <w:iCs/>
                <w:color w:val="auto"/>
                <w:sz w:val="20"/>
                <w:szCs w:val="20"/>
                <w:lang w:eastAsia="en-US"/>
              </w:rPr>
              <w:t>n</w:t>
            </w:r>
            <w:r w:rsidRPr="0067432C">
              <w:rPr>
                <w:rFonts w:eastAsiaTheme="minorHAnsi" w:cstheme="minorBidi"/>
                <w:color w:val="auto"/>
                <w:sz w:val="20"/>
                <w:szCs w:val="20"/>
                <w:lang w:eastAsia="en-US"/>
              </w:rPr>
              <w:t xml:space="preserve"> = 10/sex/dose, 500, 1500 or 5000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applied </w:t>
            </w:r>
            <w:proofErr w:type="spellStart"/>
            <w:r w:rsidRPr="0067432C">
              <w:rPr>
                <w:rFonts w:eastAsiaTheme="minorHAnsi" w:cstheme="minorBidi"/>
                <w:color w:val="auto"/>
                <w:sz w:val="20"/>
                <w:szCs w:val="20"/>
                <w:lang w:eastAsia="en-US"/>
              </w:rPr>
              <w:t>occlusively</w:t>
            </w:r>
            <w:proofErr w:type="spellEnd"/>
            <w:r w:rsidRPr="0067432C">
              <w:rPr>
                <w:rFonts w:eastAsiaTheme="minorHAnsi" w:cstheme="minorBidi"/>
                <w:color w:val="auto"/>
                <w:sz w:val="20"/>
                <w:szCs w:val="20"/>
                <w:lang w:eastAsia="en-US"/>
              </w:rPr>
              <w:t xml:space="preserve"> on the abraded skin, 6 hours/day, 21 days (dermal)</w:t>
            </w:r>
          </w:p>
        </w:tc>
        <w:tc>
          <w:tcPr>
            <w:tcW w:w="3004" w:type="dxa"/>
            <w:vAlign w:val="center"/>
          </w:tcPr>
          <w:p w14:paraId="3B420247"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Mortality: 3 at HD</w:t>
            </w:r>
          </w:p>
          <w:p w14:paraId="6E5E25A6"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Lethargy, hunched posture, hair loss, soiled coats, emaciation, increased respiration, swelling of the conjunctivae, and reproductive effects (retardation of testicular growth) at HD. </w:t>
            </w:r>
          </w:p>
          <w:p w14:paraId="2CD73290"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Haematological changes including ↑ neutrophils and urea nitrogen, and ↓ lymphocytes and alkaline phosphatase activity at HD. </w:t>
            </w:r>
          </w:p>
          <w:p w14:paraId="56BB8F75"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Dermal irritation effects (erythema, oedema, desquamation, cracking and atonia) were observed at all doses but were more severe at the HD. </w:t>
            </w:r>
          </w:p>
          <w:p w14:paraId="747B70D7"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Histopathology of the skin sites showed an epidermal proliferative response with low grade inflammatory reaction (dose dependent). </w:t>
            </w:r>
          </w:p>
          <w:p w14:paraId="3EA4D32E"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1500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tc>
      </w:tr>
      <w:tr w:rsidR="00026EBE" w:rsidRPr="0067432C" w14:paraId="7B7AC098"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restart"/>
            <w:vAlign w:val="center"/>
          </w:tcPr>
          <w:p w14:paraId="2934809B" w14:textId="77777777" w:rsidR="00423137"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Ethyl hexyl triazone</w:t>
            </w:r>
          </w:p>
          <w:p w14:paraId="5E368DDA" w14:textId="77777777" w:rsidR="00026EBE"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(ECHA 2021b; DEPA 2015)</w:t>
            </w:r>
          </w:p>
        </w:tc>
        <w:tc>
          <w:tcPr>
            <w:tcW w:w="3004" w:type="dxa"/>
            <w:vAlign w:val="center"/>
          </w:tcPr>
          <w:p w14:paraId="6DECD256"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(Wistar),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 xml:space="preserve">=10/sex/group, 0, 1000, 4000, and 16000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/day;7 days/week, 90 days (oral)</w:t>
            </w:r>
          </w:p>
        </w:tc>
        <w:tc>
          <w:tcPr>
            <w:tcW w:w="3004" w:type="dxa"/>
            <w:vAlign w:val="center"/>
          </w:tcPr>
          <w:p w14:paraId="314E2DE5"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Slight variations in the haematological and clinical chemistry parameters corresponded to the range of biological variation in the species.</w:t>
            </w:r>
            <w:r w:rsidRPr="0067432C">
              <w:rPr>
                <w:rFonts w:eastAsiaTheme="minorHAnsi" w:cstheme="minorBidi"/>
                <w:color w:val="auto"/>
                <w:sz w:val="20"/>
                <w:szCs w:val="20"/>
                <w:lang w:eastAsia="en-US"/>
              </w:rPr>
              <w:br/>
              <w:t>↑ Liver-weight without histological correlates among</w:t>
            </w:r>
            <w:r w:rsidRPr="0067432C">
              <w:rPr>
                <w:rFonts w:eastAsiaTheme="minorHAnsi" w:cstheme="minorBidi"/>
                <w:color w:val="auto"/>
                <w:sz w:val="20"/>
                <w:szCs w:val="20"/>
                <w:lang w:eastAsia="en-US"/>
              </w:rPr>
              <w:br/>
              <w:t>treated female animals could not be interpreted as being</w:t>
            </w:r>
            <w:r w:rsidRPr="0067432C">
              <w:rPr>
                <w:rFonts w:eastAsiaTheme="minorHAnsi" w:cstheme="minorBidi"/>
                <w:color w:val="auto"/>
                <w:sz w:val="20"/>
                <w:szCs w:val="20"/>
                <w:lang w:eastAsia="en-US"/>
              </w:rPr>
              <w:br/>
              <w:t>treatment-related.</w:t>
            </w:r>
          </w:p>
          <w:p w14:paraId="1F437F63"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b/>
                <w:bCs/>
                <w:color w:val="auto"/>
                <w:sz w:val="20"/>
                <w:szCs w:val="20"/>
                <w:lang w:eastAsia="en-US"/>
              </w:rPr>
              <w:t xml:space="preserve">NOAEL: 1000 mg/kg </w:t>
            </w:r>
            <w:proofErr w:type="spellStart"/>
            <w:r w:rsidRPr="0067432C">
              <w:rPr>
                <w:rFonts w:eastAsiaTheme="minorHAnsi" w:cstheme="minorBidi"/>
                <w:b/>
                <w:bCs/>
                <w:color w:val="auto"/>
                <w:sz w:val="20"/>
                <w:szCs w:val="20"/>
                <w:lang w:eastAsia="en-US"/>
              </w:rPr>
              <w:t>bw</w:t>
            </w:r>
            <w:proofErr w:type="spellEnd"/>
            <w:r w:rsidRPr="0067432C">
              <w:rPr>
                <w:rFonts w:eastAsiaTheme="minorHAnsi" w:cstheme="minorBidi"/>
                <w:b/>
                <w:bCs/>
                <w:color w:val="auto"/>
                <w:sz w:val="20"/>
                <w:szCs w:val="20"/>
                <w:lang w:eastAsia="en-US"/>
              </w:rPr>
              <w:t>/day</w:t>
            </w:r>
            <w:r w:rsidRPr="0067432C">
              <w:rPr>
                <w:rFonts w:eastAsiaTheme="minorHAnsi" w:cstheme="minorBidi"/>
                <w:color w:val="auto"/>
                <w:sz w:val="20"/>
                <w:szCs w:val="20"/>
                <w:lang w:eastAsia="en-US"/>
              </w:rPr>
              <w:t xml:space="preserve"> (nominal) was mentioned. </w:t>
            </w:r>
          </w:p>
        </w:tc>
      </w:tr>
      <w:tr w:rsidR="00026EBE" w:rsidRPr="0067432C" w14:paraId="411F33BA"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2F3B79EF"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17C1A343"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w:t>
            </w:r>
            <w:r w:rsidRPr="0067432C">
              <w:rPr>
                <w:rFonts w:eastAsiaTheme="minorHAnsi" w:cstheme="minorBidi"/>
                <w:i/>
                <w:iCs/>
                <w:color w:val="auto"/>
                <w:sz w:val="20"/>
                <w:szCs w:val="20"/>
                <w:lang w:eastAsia="en-US"/>
              </w:rPr>
              <w:t>n</w:t>
            </w:r>
            <w:r w:rsidRPr="0067432C">
              <w:rPr>
                <w:rFonts w:eastAsiaTheme="minorHAnsi" w:cstheme="minorBidi"/>
                <w:color w:val="auto"/>
                <w:sz w:val="20"/>
                <w:szCs w:val="20"/>
                <w:lang w:eastAsia="en-US"/>
              </w:rPr>
              <w:t xml:space="preserve"> = 10/sex/group, 0, 1000, 4000, and 16000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(diet); 7 days/week, 90 days</w:t>
            </w:r>
          </w:p>
        </w:tc>
        <w:tc>
          <w:tcPr>
            <w:tcW w:w="3004" w:type="dxa"/>
            <w:vAlign w:val="center"/>
          </w:tcPr>
          <w:p w14:paraId="7AA10838"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Clinical signs: none treatment-related in the haematological and clinical chemistry parameters</w:t>
            </w:r>
            <w:r w:rsidRPr="0067432C">
              <w:rPr>
                <w:rFonts w:eastAsiaTheme="minorHAnsi" w:cstheme="minorBidi"/>
                <w:color w:val="auto"/>
                <w:sz w:val="20"/>
                <w:szCs w:val="20"/>
                <w:lang w:eastAsia="en-US"/>
              </w:rPr>
              <w:br/>
              <w:t>No treatment-related effects on organs</w:t>
            </w:r>
          </w:p>
          <w:p w14:paraId="0EC5461B"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 1275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(nominal)</w:t>
            </w:r>
          </w:p>
        </w:tc>
      </w:tr>
      <w:tr w:rsidR="00026EBE" w:rsidRPr="0067432C" w14:paraId="757209F2"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restart"/>
            <w:vAlign w:val="center"/>
          </w:tcPr>
          <w:p w14:paraId="65105011" w14:textId="77777777" w:rsidR="00423137"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Oxybenzone</w:t>
            </w:r>
          </w:p>
          <w:p w14:paraId="3DDC92CA" w14:textId="77777777" w:rsidR="00026EBE"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(SCCP 2006a; 2021c)</w:t>
            </w:r>
          </w:p>
        </w:tc>
        <w:tc>
          <w:tcPr>
            <w:tcW w:w="3004" w:type="dxa"/>
            <w:vAlign w:val="center"/>
          </w:tcPr>
          <w:p w14:paraId="51F81777"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Mice (B6C3F1;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 xml:space="preserve"> = </w:t>
            </w:r>
            <w:r w:rsidRPr="0067432C">
              <w:rPr>
                <w:rFonts w:eastAsiaTheme="minorHAnsi" w:cstheme="minorBidi"/>
                <w:i/>
                <w:color w:val="auto"/>
                <w:sz w:val="20"/>
                <w:szCs w:val="20"/>
                <w:lang w:eastAsia="en-US"/>
              </w:rPr>
              <w:t>5</w:t>
            </w:r>
            <w:r w:rsidRPr="0067432C">
              <w:rPr>
                <w:rFonts w:eastAsiaTheme="minorHAnsi" w:cstheme="minorBidi"/>
                <w:color w:val="auto"/>
                <w:sz w:val="20"/>
                <w:szCs w:val="20"/>
                <w:lang w:eastAsia="en-US"/>
              </w:rPr>
              <w:t xml:space="preserve">/sex/group), 0, 3125, 6250, 12500, 25000, 50000 ppm (equivalent to 1021, 2041, 4430, 8648, 20796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14 days (diet)</w:t>
            </w:r>
          </w:p>
        </w:tc>
        <w:tc>
          <w:tcPr>
            <w:tcW w:w="3004" w:type="dxa"/>
            <w:vAlign w:val="center"/>
          </w:tcPr>
          <w:p w14:paraId="35A90008"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Mortality: none</w:t>
            </w:r>
          </w:p>
          <w:p w14:paraId="2F72F78B"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Bodyweight gain: ↓ in ♂at HD.</w:t>
            </w:r>
          </w:p>
          <w:p w14:paraId="688F51A8"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Organ weight: ↑ liver weights (♂ &amp; ♀) from LD, associated histopathology observed at 2041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 kidney weight in ♂ from 8648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w:t>
            </w:r>
          </w:p>
          <w:p w14:paraId="5D3C82C8"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992 (♂)/1050 (♀) mg/kg/day </w:t>
            </w:r>
          </w:p>
        </w:tc>
      </w:tr>
      <w:tr w:rsidR="00026EBE" w:rsidRPr="0067432C" w14:paraId="0223230B"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32F47A35"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68010F4E"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Mice (B6C3F1; </w:t>
            </w:r>
            <w:r w:rsidRPr="0067432C">
              <w:rPr>
                <w:rFonts w:eastAsiaTheme="minorHAnsi" w:cstheme="minorBidi"/>
                <w:i/>
                <w:color w:val="auto"/>
                <w:sz w:val="20"/>
                <w:szCs w:val="20"/>
                <w:lang w:eastAsia="en-US"/>
              </w:rPr>
              <w:t xml:space="preserve">n </w:t>
            </w:r>
            <w:r w:rsidRPr="0067432C">
              <w:rPr>
                <w:rFonts w:eastAsiaTheme="minorHAnsi" w:cstheme="minorBidi"/>
                <w:color w:val="auto"/>
                <w:sz w:val="20"/>
                <w:szCs w:val="20"/>
                <w:lang w:eastAsia="en-US"/>
              </w:rPr>
              <w:t xml:space="preserve">= 10/sex), doses: 0, 0, 3125, 6250, 12500, 25000, 50000 ppm (equivalent to 554, 1246, 2860, 6780, 16238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90 days (diet) </w:t>
            </w:r>
          </w:p>
        </w:tc>
        <w:tc>
          <w:tcPr>
            <w:tcW w:w="3004" w:type="dxa"/>
            <w:vAlign w:val="center"/>
          </w:tcPr>
          <w:p w14:paraId="0BB50B31"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Mortality: none</w:t>
            </w:r>
          </w:p>
          <w:p w14:paraId="3B7B00D6"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Bodyweight: ↓ BW gain in ♂ &amp; ♀ from 6780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78DBE7C2"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Organ weights: ↑ liver weight from 1246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with histopathology from 6780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Renal histopathology at HD in ♂. </w:t>
            </w:r>
          </w:p>
          <w:p w14:paraId="2756EB66"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Reproductive parameters: ↓ sperm density and ↑ abnormal sperm in ♂ and ↑ oestrus cycle length in ♀ at HD</w:t>
            </w:r>
          </w:p>
          <w:p w14:paraId="4C916D83"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NOAEL: 2860 mg/kg/day (equivalent to 1068 and 1425 mg/kg/day in ♂ and ♀, respectively)</w:t>
            </w:r>
          </w:p>
        </w:tc>
      </w:tr>
      <w:tr w:rsidR="00026EBE" w:rsidRPr="0067432C" w14:paraId="4EF1CAB7"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1904186B"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4D2975EC"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(F344/N; </w:t>
            </w:r>
            <w:r w:rsidRPr="0067432C">
              <w:rPr>
                <w:rFonts w:eastAsiaTheme="minorHAnsi" w:cstheme="minorBidi"/>
                <w:i/>
                <w:color w:val="auto"/>
                <w:sz w:val="20"/>
                <w:szCs w:val="20"/>
                <w:lang w:eastAsia="en-US"/>
              </w:rPr>
              <w:t xml:space="preserve">n </w:t>
            </w:r>
            <w:r w:rsidRPr="0067432C">
              <w:rPr>
                <w:rFonts w:eastAsiaTheme="minorHAnsi" w:cstheme="minorBidi"/>
                <w:color w:val="auto"/>
                <w:sz w:val="20"/>
                <w:szCs w:val="20"/>
                <w:lang w:eastAsia="en-US"/>
              </w:rPr>
              <w:t xml:space="preserve">= 5/sex/group), Doses: 0, 3125, 6250, 12500, 25000, 50000 ppm (equivalent to 303, 576, 1132, 2238, 3868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14 days (diet)</w:t>
            </w:r>
          </w:p>
        </w:tc>
        <w:tc>
          <w:tcPr>
            <w:tcW w:w="3004" w:type="dxa"/>
            <w:vAlign w:val="center"/>
          </w:tcPr>
          <w:p w14:paraId="4A9DC04A"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Mortality: none</w:t>
            </w:r>
          </w:p>
          <w:p w14:paraId="20E6C3C1"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Bodyweight gain: ↓ in ♂at HD.</w:t>
            </w:r>
          </w:p>
          <w:p w14:paraId="4FF09A08"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Organ weight: ↑ liver (♂ &amp; ♀) and kidney (♂) weights from LD, associated histopathology observed at 576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in liver and at HD in kidney.</w:t>
            </w:r>
          </w:p>
          <w:p w14:paraId="5C51F35B"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NOAEL: 303 mg/kg/day (equivalent to 295 and 311 mg/kg/day in ♂ and ♀, respectively)</w:t>
            </w:r>
          </w:p>
        </w:tc>
      </w:tr>
      <w:tr w:rsidR="00026EBE" w:rsidRPr="0067432C" w14:paraId="649099BB"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2CFAB476"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28E9CE83"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(F344/N; </w:t>
            </w:r>
            <w:r w:rsidRPr="0067432C">
              <w:rPr>
                <w:rFonts w:eastAsiaTheme="minorHAnsi" w:cstheme="minorBidi"/>
                <w:i/>
                <w:color w:val="auto"/>
                <w:sz w:val="20"/>
                <w:szCs w:val="20"/>
                <w:lang w:eastAsia="en-US"/>
              </w:rPr>
              <w:t xml:space="preserve">n </w:t>
            </w:r>
            <w:r w:rsidRPr="0067432C">
              <w:rPr>
                <w:rFonts w:eastAsiaTheme="minorHAnsi" w:cstheme="minorBidi"/>
                <w:color w:val="auto"/>
                <w:sz w:val="20"/>
                <w:szCs w:val="20"/>
                <w:lang w:eastAsia="en-US"/>
              </w:rPr>
              <w:t xml:space="preserve">= 10/sex/group), Doses: 0, 3125, 6250, 12500, 25000, 50000 ppm (equivalent to 0, 204, 411, 828, 1702, 3458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90 days (diet)</w:t>
            </w:r>
          </w:p>
        </w:tc>
        <w:tc>
          <w:tcPr>
            <w:tcW w:w="3004" w:type="dxa"/>
            <w:vAlign w:val="center"/>
          </w:tcPr>
          <w:p w14:paraId="2CA4418C"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Mortality: none.</w:t>
            </w:r>
          </w:p>
          <w:p w14:paraId="3473560D"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Clinical signs: coloured urine from LD. </w:t>
            </w:r>
          </w:p>
          <w:p w14:paraId="47B9016C"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Bodyweights: ↓ BW gain in ♂ &amp; ♀ from 1702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1F7857C4"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Clinical pathology: serum protein levels from 411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 platelet counts from 1702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w:t>
            </w:r>
          </w:p>
          <w:p w14:paraId="66CBB146"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Organ weights: ↑ liver weight from LD; ↑ kidney weight in ♀ from 1702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with dilation of renal tubules, inflammation with fibrosis in renal </w:t>
            </w:r>
            <w:proofErr w:type="spellStart"/>
            <w:r w:rsidRPr="0067432C">
              <w:rPr>
                <w:rFonts w:eastAsiaTheme="minorHAnsi" w:cstheme="minorBidi"/>
                <w:color w:val="auto"/>
                <w:sz w:val="20"/>
                <w:szCs w:val="20"/>
                <w:lang w:eastAsia="en-US"/>
              </w:rPr>
              <w:t>interstitium</w:t>
            </w:r>
            <w:proofErr w:type="spellEnd"/>
            <w:r w:rsidRPr="0067432C">
              <w:rPr>
                <w:rFonts w:eastAsiaTheme="minorHAnsi" w:cstheme="minorBidi"/>
                <w:color w:val="auto"/>
                <w:sz w:val="20"/>
                <w:szCs w:val="20"/>
                <w:lang w:eastAsia="en-US"/>
              </w:rPr>
              <w:t xml:space="preserve"> at HD.</w:t>
            </w:r>
          </w:p>
          <w:p w14:paraId="2F5CB7AD"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Reproductive parameters: ↓ sperm motility in ♂ and ↑ oestrus cycle length in ♀ at HD.</w:t>
            </w:r>
          </w:p>
          <w:p w14:paraId="12FF3B3F"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411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(equivalent to 429 and 393 in ♂ and ♀, respectively)</w:t>
            </w:r>
          </w:p>
        </w:tc>
      </w:tr>
      <w:tr w:rsidR="00026EBE" w:rsidRPr="0067432C" w14:paraId="7EE1C987"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1A667D78"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68E81299"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Mice (B6C3F1; </w:t>
            </w:r>
            <w:r w:rsidRPr="0067432C">
              <w:rPr>
                <w:rFonts w:eastAsiaTheme="minorHAnsi" w:cstheme="minorBidi"/>
                <w:i/>
                <w:color w:val="auto"/>
                <w:sz w:val="20"/>
                <w:szCs w:val="20"/>
                <w:lang w:eastAsia="en-US"/>
              </w:rPr>
              <w:t xml:space="preserve">n </w:t>
            </w:r>
            <w:r w:rsidRPr="0067432C">
              <w:rPr>
                <w:rFonts w:eastAsiaTheme="minorHAnsi" w:cstheme="minorBidi"/>
                <w:color w:val="auto"/>
                <w:sz w:val="20"/>
                <w:szCs w:val="20"/>
                <w:lang w:eastAsia="en-US"/>
              </w:rPr>
              <w:t xml:space="preserve">= 5/sex/group), Doses: 0, 0.5, 1.0, 2.0, 4.0, 8.0 mg/mouse in acetone or lotion* (equivalent to 24.8, 48.4, 100, 196, 388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14 days (dermal)  </w:t>
            </w:r>
          </w:p>
        </w:tc>
        <w:tc>
          <w:tcPr>
            <w:tcW w:w="3004" w:type="dxa"/>
            <w:vAlign w:val="center"/>
          </w:tcPr>
          <w:p w14:paraId="2A1E65A7"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Mortality: none</w:t>
            </w:r>
          </w:p>
          <w:p w14:paraId="6B2E8AFC"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Organ weights: ↑ liver weight from 196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7396E526"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388 (♀)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(equivalent to 384 and 432 mg/kg/day in ♂ and ♀, respectively)</w:t>
            </w:r>
          </w:p>
        </w:tc>
      </w:tr>
      <w:tr w:rsidR="00026EBE" w:rsidRPr="0067432C" w14:paraId="5D2EC3C6"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36FD4172"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2CC48091"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Mice (B6C3F1; </w:t>
            </w:r>
            <w:r w:rsidRPr="0067432C">
              <w:rPr>
                <w:rFonts w:eastAsiaTheme="minorHAnsi" w:cstheme="minorBidi"/>
                <w:i/>
                <w:color w:val="auto"/>
                <w:sz w:val="20"/>
                <w:szCs w:val="20"/>
                <w:lang w:eastAsia="en-US"/>
              </w:rPr>
              <w:t xml:space="preserve">n </w:t>
            </w:r>
            <w:r w:rsidRPr="0067432C">
              <w:rPr>
                <w:rFonts w:eastAsiaTheme="minorHAnsi" w:cstheme="minorBidi"/>
                <w:color w:val="auto"/>
                <w:sz w:val="20"/>
                <w:szCs w:val="20"/>
                <w:lang w:eastAsia="en-US"/>
              </w:rPr>
              <w:t xml:space="preserve">= 10/sex/group), Doses: 0, 22.8, 45.5, 91, 183, 364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in acetone or lotion*, 90 days (dermal, 5 days/week)</w:t>
            </w:r>
          </w:p>
        </w:tc>
        <w:tc>
          <w:tcPr>
            <w:tcW w:w="3004" w:type="dxa"/>
            <w:vAlign w:val="center"/>
          </w:tcPr>
          <w:p w14:paraId="0984FF77"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Mortality: none. </w:t>
            </w:r>
          </w:p>
          <w:p w14:paraId="4E4921F7"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Organ weights: ↑ kidney weight in ♂ at all doses</w:t>
            </w:r>
          </w:p>
          <w:p w14:paraId="66A8E13C"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Reproductive parameters: ↓ epididymal sperm density in ♂ at all doses.</w:t>
            </w:r>
          </w:p>
          <w:p w14:paraId="77D5B933"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364mg/kg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in ♂ and ♀</w:t>
            </w:r>
          </w:p>
        </w:tc>
      </w:tr>
      <w:tr w:rsidR="00026EBE" w:rsidRPr="0067432C" w14:paraId="18C83DF5"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661972A5"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79501D79"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(F344/N; </w:t>
            </w:r>
            <w:r w:rsidRPr="0067432C">
              <w:rPr>
                <w:rFonts w:eastAsiaTheme="minorHAnsi" w:cstheme="minorBidi"/>
                <w:i/>
                <w:color w:val="auto"/>
                <w:sz w:val="20"/>
                <w:szCs w:val="20"/>
                <w:lang w:eastAsia="en-US"/>
              </w:rPr>
              <w:t xml:space="preserve">n </w:t>
            </w:r>
            <w:r w:rsidRPr="0067432C">
              <w:rPr>
                <w:rFonts w:eastAsiaTheme="minorHAnsi" w:cstheme="minorBidi"/>
                <w:color w:val="auto"/>
                <w:sz w:val="20"/>
                <w:szCs w:val="20"/>
                <w:lang w:eastAsia="en-US"/>
              </w:rPr>
              <w:t xml:space="preserve">= 5/sex/group), doses: 0, 1.25, 2.5, 5, 10, 20 mg/rat in acetone or lotion* (equivalent to 7, 13.6, 27.7, 54.9 and 110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14 days (dermal) (5 days/week for 2 weeks)</w:t>
            </w:r>
          </w:p>
        </w:tc>
        <w:tc>
          <w:tcPr>
            <w:tcW w:w="3004" w:type="dxa"/>
            <w:vAlign w:val="center"/>
          </w:tcPr>
          <w:p w14:paraId="11879CA0"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Mortality: none</w:t>
            </w:r>
          </w:p>
          <w:p w14:paraId="1A906EBC"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Organ weights: ↑ liver weight in ♀ from 27.7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 kidney weight in ♀ at HD</w:t>
            </w:r>
          </w:p>
          <w:p w14:paraId="31F4D626"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100 (♂)/140 (♀)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tc>
      </w:tr>
      <w:tr w:rsidR="00026EBE" w:rsidRPr="0067432C" w14:paraId="330AC2F0" w14:textId="77777777" w:rsidTr="000850F6">
        <w:tc>
          <w:tcPr>
            <w:cnfStyle w:val="001000000000" w:firstRow="0" w:lastRow="0" w:firstColumn="1" w:lastColumn="0" w:oddVBand="0" w:evenVBand="0" w:oddHBand="0" w:evenHBand="0" w:firstRowFirstColumn="0" w:firstRowLastColumn="0" w:lastRowFirstColumn="0" w:lastRowLastColumn="0"/>
            <w:tcW w:w="3008" w:type="dxa"/>
            <w:vAlign w:val="center"/>
          </w:tcPr>
          <w:p w14:paraId="54FDA4CA" w14:textId="77777777" w:rsidR="00423137"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PBSA</w:t>
            </w:r>
          </w:p>
          <w:p w14:paraId="21A7A97C" w14:textId="77777777" w:rsidR="00026EBE"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(SCCP 2006b)</w:t>
            </w:r>
          </w:p>
        </w:tc>
        <w:tc>
          <w:tcPr>
            <w:tcW w:w="3004" w:type="dxa"/>
            <w:vAlign w:val="center"/>
          </w:tcPr>
          <w:p w14:paraId="381DB431"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(Wistar;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 xml:space="preserve"> = 5/sex/group)</w:t>
            </w:r>
          </w:p>
          <w:p w14:paraId="669693D7"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Doses: 0, 100, 330 and 1000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 13 weeks (oral) </w:t>
            </w:r>
          </w:p>
        </w:tc>
        <w:tc>
          <w:tcPr>
            <w:tcW w:w="3004" w:type="dxa"/>
            <w:vAlign w:val="center"/>
          </w:tcPr>
          <w:p w14:paraId="39B2895B"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bookmarkStart w:id="109" w:name="_Toc296419642"/>
            <w:r w:rsidRPr="0067432C">
              <w:rPr>
                <w:rFonts w:eastAsiaTheme="minorHAnsi" w:cstheme="minorBidi"/>
                <w:color w:val="auto"/>
                <w:sz w:val="20"/>
                <w:szCs w:val="20"/>
                <w:lang w:eastAsia="en-US"/>
              </w:rPr>
              <w:t>No treatment-related effects.</w:t>
            </w:r>
          </w:p>
          <w:p w14:paraId="114C3144"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1000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bookmarkEnd w:id="109"/>
          </w:p>
        </w:tc>
      </w:tr>
      <w:tr w:rsidR="00026EBE" w:rsidRPr="0067432C" w14:paraId="48A63E79"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restart"/>
            <w:vAlign w:val="center"/>
          </w:tcPr>
          <w:p w14:paraId="3EE544BC" w14:textId="77777777" w:rsidR="00423137"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Homosalate </w:t>
            </w:r>
          </w:p>
          <w:p w14:paraId="7C8AA813" w14:textId="77777777" w:rsidR="00026EBE" w:rsidRPr="0067432C" w:rsidRDefault="00423137" w:rsidP="000850F6">
            <w:pPr>
              <w:spacing w:before="0" w:after="120" w:line="259" w:lineRule="auto"/>
              <w:ind w:left="0"/>
              <w:rPr>
                <w:rFonts w:eastAsiaTheme="minorHAnsi" w:cstheme="minorBidi"/>
                <w:color w:val="auto"/>
                <w:sz w:val="20"/>
                <w:szCs w:val="20"/>
                <w:lang w:eastAsia="en-US"/>
              </w:rPr>
            </w:pPr>
            <w:r w:rsidRPr="0067432C">
              <w:rPr>
                <w:rFonts w:eastAsiaTheme="minorHAnsi" w:cstheme="minorBidi"/>
                <w:color w:val="auto"/>
                <w:sz w:val="20"/>
                <w:szCs w:val="20"/>
                <w:lang w:eastAsia="en-US"/>
              </w:rPr>
              <w:t>(SCCS 2020; ECHA  2021c)</w:t>
            </w:r>
          </w:p>
        </w:tc>
        <w:tc>
          <w:tcPr>
            <w:tcW w:w="3004" w:type="dxa"/>
            <w:vAlign w:val="center"/>
          </w:tcPr>
          <w:p w14:paraId="6E5EE18D"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n=5/sex/dose, 0, 100, 300, 1000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2 weeks (gavage)</w:t>
            </w:r>
          </w:p>
        </w:tc>
        <w:tc>
          <w:tcPr>
            <w:tcW w:w="3004" w:type="dxa"/>
            <w:vAlign w:val="center"/>
          </w:tcPr>
          <w:p w14:paraId="48FFD9C7"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Mortality: none </w:t>
            </w:r>
          </w:p>
          <w:p w14:paraId="1A52955E"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Clinical signs: none treatment related </w:t>
            </w:r>
          </w:p>
          <w:p w14:paraId="6D38E41A"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Body weight gain: ↓ at HD in ♂ along with decreased food consumption </w:t>
            </w:r>
          </w:p>
          <w:p w14:paraId="3A93B90D"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Haematology:  none treatment related </w:t>
            </w:r>
          </w:p>
          <w:p w14:paraId="502EE816"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Serum chemistry: ↑ Triglycerides in both sexes at HD ↑APTT in ♂ at MD</w:t>
            </w:r>
          </w:p>
          <w:p w14:paraId="328A6EF5"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&gt; 300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  </w:t>
            </w:r>
          </w:p>
          <w:p w14:paraId="03CF741D"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NOAEL: &gt;1000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  </w:t>
            </w:r>
          </w:p>
        </w:tc>
      </w:tr>
      <w:tr w:rsidR="00026EBE" w:rsidRPr="0067432C" w14:paraId="7070CE7A"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2CB77BCE" w14:textId="77777777" w:rsidR="00026EBE" w:rsidRPr="0067432C" w:rsidRDefault="00026EBE" w:rsidP="000850F6">
            <w:pPr>
              <w:spacing w:before="0" w:after="120" w:line="259" w:lineRule="auto"/>
              <w:ind w:left="0"/>
              <w:rPr>
                <w:rFonts w:eastAsiaTheme="minorHAnsi" w:cstheme="minorBidi"/>
                <w:color w:val="auto"/>
                <w:sz w:val="20"/>
                <w:szCs w:val="20"/>
                <w:lang w:eastAsia="en-US"/>
              </w:rPr>
            </w:pPr>
          </w:p>
        </w:tc>
        <w:tc>
          <w:tcPr>
            <w:tcW w:w="3004" w:type="dxa"/>
            <w:vAlign w:val="center"/>
          </w:tcPr>
          <w:p w14:paraId="16154B21"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Repeat dose/ reproduction/ developments study</w:t>
            </w:r>
          </w:p>
          <w:p w14:paraId="49EFFACB"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Rats (Wistar), </w:t>
            </w:r>
            <w:r w:rsidRPr="0067432C">
              <w:rPr>
                <w:rFonts w:eastAsiaTheme="minorHAnsi" w:cstheme="minorBidi"/>
                <w:i/>
                <w:color w:val="auto"/>
                <w:sz w:val="20"/>
                <w:szCs w:val="20"/>
                <w:lang w:eastAsia="en-US"/>
              </w:rPr>
              <w:t>n</w:t>
            </w:r>
            <w:r w:rsidRPr="0067432C">
              <w:rPr>
                <w:rFonts w:eastAsiaTheme="minorHAnsi" w:cstheme="minorBidi"/>
                <w:color w:val="auto"/>
                <w:sz w:val="20"/>
                <w:szCs w:val="20"/>
                <w:lang w:eastAsia="en-US"/>
              </w:rPr>
              <w:t xml:space="preserve"> =10/sex, 0, 60, 120, 300, 750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 (gavage), 7 weeks duration</w:t>
            </w:r>
          </w:p>
          <w:p w14:paraId="1675145E"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(ECHA 2020)</w:t>
            </w:r>
          </w:p>
        </w:tc>
        <w:tc>
          <w:tcPr>
            <w:tcW w:w="3004" w:type="dxa"/>
            <w:vAlign w:val="center"/>
          </w:tcPr>
          <w:p w14:paraId="249B0CBA"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i/>
                <w:color w:val="auto"/>
                <w:sz w:val="20"/>
                <w:szCs w:val="20"/>
                <w:lang w:eastAsia="en-US"/>
              </w:rPr>
              <w:t>Mortality:</w:t>
            </w:r>
            <w:r w:rsidRPr="0067432C">
              <w:rPr>
                <w:rFonts w:eastAsiaTheme="minorHAnsi" w:cstheme="minorBidi"/>
                <w:color w:val="auto"/>
                <w:sz w:val="20"/>
                <w:szCs w:val="20"/>
                <w:lang w:eastAsia="en-US"/>
              </w:rPr>
              <w:t xml:space="preserve"> 2 ♀ at 750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w:t>
            </w:r>
          </w:p>
          <w:p w14:paraId="6B440659"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i/>
                <w:color w:val="auto"/>
                <w:sz w:val="20"/>
                <w:szCs w:val="20"/>
                <w:lang w:eastAsia="en-US"/>
              </w:rPr>
              <w:t>Clinical signs:</w:t>
            </w:r>
            <w:r w:rsidRPr="0067432C">
              <w:rPr>
                <w:rFonts w:eastAsiaTheme="minorHAnsi" w:cstheme="minorBidi"/>
                <w:color w:val="auto"/>
                <w:sz w:val="20"/>
                <w:szCs w:val="20"/>
                <w:lang w:eastAsia="en-US"/>
              </w:rPr>
              <w:t xml:space="preserve"> none treatment-related  </w:t>
            </w:r>
          </w:p>
          <w:p w14:paraId="2BB468D0"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i/>
                <w:color w:val="auto"/>
                <w:sz w:val="20"/>
                <w:szCs w:val="20"/>
                <w:lang w:eastAsia="en-US"/>
              </w:rPr>
              <w:t>Body weight gain:</w:t>
            </w:r>
            <w:r w:rsidRPr="0067432C">
              <w:rPr>
                <w:rFonts w:eastAsiaTheme="minorHAnsi" w:cstheme="minorBidi"/>
                <w:color w:val="auto"/>
                <w:sz w:val="20"/>
                <w:szCs w:val="20"/>
                <w:lang w:eastAsia="en-US"/>
              </w:rPr>
              <w:t xml:space="preserve"> ↓ at 750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in ♂ and ♀ </w:t>
            </w:r>
          </w:p>
          <w:p w14:paraId="4325BD5E"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i/>
                <w:color w:val="auto"/>
                <w:sz w:val="20"/>
                <w:szCs w:val="20"/>
                <w:lang w:eastAsia="en-US"/>
              </w:rPr>
              <w:t>Haematology:</w:t>
            </w:r>
            <w:r w:rsidRPr="0067432C">
              <w:rPr>
                <w:rFonts w:eastAsiaTheme="minorHAnsi" w:cstheme="minorBidi"/>
                <w:color w:val="auto"/>
                <w:sz w:val="20"/>
                <w:szCs w:val="20"/>
                <w:lang w:eastAsia="en-US"/>
              </w:rPr>
              <w:t xml:space="preserve">  none treatment-related  </w:t>
            </w:r>
          </w:p>
          <w:p w14:paraId="19DE95C5"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i/>
                <w:color w:val="auto"/>
                <w:sz w:val="20"/>
                <w:szCs w:val="20"/>
                <w:lang w:eastAsia="en-US"/>
              </w:rPr>
              <w:t>Serum chemistry:</w:t>
            </w:r>
            <w:r w:rsidRPr="0067432C">
              <w:rPr>
                <w:rFonts w:eastAsiaTheme="minorHAnsi" w:cstheme="minorBidi"/>
                <w:color w:val="auto"/>
                <w:sz w:val="20"/>
                <w:szCs w:val="20"/>
                <w:lang w:eastAsia="en-US"/>
              </w:rPr>
              <w:t xml:space="preserve"> ↑ Albumin and ↓ Globulin in ♂ at 300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0B245926"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i/>
                <w:color w:val="auto"/>
                <w:sz w:val="20"/>
                <w:szCs w:val="20"/>
                <w:lang w:eastAsia="en-US"/>
              </w:rPr>
              <w:t>Urinalysis:</w:t>
            </w:r>
            <w:r w:rsidRPr="0067432C">
              <w:rPr>
                <w:rFonts w:eastAsiaTheme="minorHAnsi" w:cstheme="minorBidi"/>
                <w:color w:val="auto"/>
                <w:sz w:val="20"/>
                <w:szCs w:val="20"/>
                <w:lang w:eastAsia="en-US"/>
              </w:rPr>
              <w:t xml:space="preserve"> not conducted</w:t>
            </w:r>
          </w:p>
          <w:p w14:paraId="0C7CAB39"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i/>
                <w:color w:val="auto"/>
                <w:sz w:val="20"/>
                <w:szCs w:val="20"/>
                <w:lang w:eastAsia="en-US"/>
              </w:rPr>
              <w:t>Organ weights (bodyweight-relative):</w:t>
            </w:r>
            <w:r w:rsidRPr="0067432C">
              <w:rPr>
                <w:rFonts w:eastAsiaTheme="minorHAnsi" w:cstheme="minorBidi"/>
                <w:color w:val="auto"/>
                <w:sz w:val="20"/>
                <w:szCs w:val="20"/>
                <w:lang w:eastAsia="en-US"/>
              </w:rPr>
              <w:t xml:space="preserve"> ↑ absolute and relative weight of liver in both sexes at 300 and 750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 kidney in ♀ at 300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 thymus in both sexes at 750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 prostate and seminal vesicles at HD 750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25C167D3"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i/>
                <w:color w:val="auto"/>
                <w:sz w:val="20"/>
                <w:szCs w:val="20"/>
                <w:lang w:eastAsia="en-US"/>
              </w:rPr>
              <w:t>Gross pathology:</w:t>
            </w:r>
            <w:r w:rsidRPr="0067432C">
              <w:rPr>
                <w:rFonts w:eastAsiaTheme="minorHAnsi" w:cstheme="minorBidi"/>
                <w:color w:val="auto"/>
                <w:sz w:val="20"/>
                <w:szCs w:val="20"/>
                <w:lang w:eastAsia="en-US"/>
              </w:rPr>
              <w:t xml:space="preserve"> no treatment-related findings</w:t>
            </w:r>
          </w:p>
          <w:p w14:paraId="07B8D363"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i/>
                <w:color w:val="auto"/>
                <w:sz w:val="20"/>
                <w:szCs w:val="20"/>
                <w:lang w:eastAsia="en-US"/>
              </w:rPr>
              <w:t>Histopathology:</w:t>
            </w:r>
            <w:r w:rsidRPr="0067432C">
              <w:rPr>
                <w:rFonts w:eastAsiaTheme="minorHAnsi" w:cstheme="minorBidi"/>
                <w:color w:val="auto"/>
                <w:sz w:val="20"/>
                <w:szCs w:val="20"/>
                <w:lang w:eastAsia="en-US"/>
              </w:rPr>
              <w:t xml:space="preserve"> ↑ Minimal/moderate intra-epithelial hyaline droplets in the kidneys ♂ from 60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(associated with ↑ in foci of basophilic tubules, single cell death and/or the presence of granular </w:t>
            </w:r>
            <w:proofErr w:type="gramStart"/>
            <w:r w:rsidRPr="0067432C">
              <w:rPr>
                <w:rFonts w:eastAsiaTheme="minorHAnsi" w:cstheme="minorBidi"/>
                <w:color w:val="auto"/>
                <w:sz w:val="20"/>
                <w:szCs w:val="20"/>
                <w:lang w:eastAsia="en-US"/>
              </w:rPr>
              <w:t>casts)*</w:t>
            </w:r>
            <w:proofErr w:type="gramEnd"/>
            <w:r w:rsidRPr="0067432C">
              <w:rPr>
                <w:rFonts w:eastAsiaTheme="minorHAnsi" w:cstheme="minorBidi"/>
                <w:color w:val="auto"/>
                <w:sz w:val="20"/>
                <w:szCs w:val="20"/>
                <w:lang w:eastAsia="en-US"/>
              </w:rPr>
              <w:t xml:space="preserve"> </w:t>
            </w:r>
          </w:p>
          <w:p w14:paraId="58922640"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Minimal/mild hypertrophy of hepatocytes (1/5 ♂) at 120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and almost every ♂ and ♀ from 300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w:t>
            </w:r>
          </w:p>
          <w:p w14:paraId="79D2424F"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Hypertrophy of the follicular epithelium of thyroid gland in ♂ at 750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and in ♀ from 300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1246C178"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 Cortical lymphocytes in males from 300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 xml:space="preserve">/day and in ♀ at 750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3F78DA4E"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i/>
                <w:color w:val="auto"/>
                <w:sz w:val="20"/>
                <w:szCs w:val="20"/>
                <w:lang w:eastAsia="en-US"/>
              </w:rPr>
              <w:t>NOAEL:</w:t>
            </w:r>
            <w:r w:rsidRPr="0067432C">
              <w:rPr>
                <w:rFonts w:eastAsiaTheme="minorHAnsi" w:cstheme="minorBidi"/>
                <w:color w:val="auto"/>
                <w:sz w:val="20"/>
                <w:szCs w:val="20"/>
                <w:lang w:eastAsia="en-US"/>
              </w:rPr>
              <w:t xml:space="preserve"> ** mg/kg </w:t>
            </w:r>
            <w:proofErr w:type="spellStart"/>
            <w:r w:rsidRPr="0067432C">
              <w:rPr>
                <w:rFonts w:eastAsiaTheme="minorHAnsi" w:cstheme="minorBidi"/>
                <w:color w:val="auto"/>
                <w:sz w:val="20"/>
                <w:szCs w:val="20"/>
                <w:lang w:eastAsia="en-US"/>
              </w:rPr>
              <w:t>bw</w:t>
            </w:r>
            <w:proofErr w:type="spellEnd"/>
            <w:r w:rsidRPr="0067432C">
              <w:rPr>
                <w:rFonts w:eastAsiaTheme="minorHAnsi" w:cstheme="minorBidi"/>
                <w:color w:val="auto"/>
                <w:sz w:val="20"/>
                <w:szCs w:val="20"/>
                <w:lang w:eastAsia="en-US"/>
              </w:rPr>
              <w:t>/day</w:t>
            </w:r>
          </w:p>
          <w:p w14:paraId="1A5BC7A4" w14:textId="77777777" w:rsidR="00423137"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*The REACH registrants considered this as manifestations of hyaline droplet nephropathy without giving further evidence.</w:t>
            </w:r>
          </w:p>
          <w:p w14:paraId="4E06A83B" w14:textId="77777777" w:rsidR="00026EBE" w:rsidRPr="0067432C" w:rsidRDefault="00423137" w:rsidP="000850F6">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7432C">
              <w:rPr>
                <w:rFonts w:eastAsiaTheme="minorHAnsi" w:cstheme="minorBidi"/>
                <w:color w:val="auto"/>
                <w:sz w:val="20"/>
                <w:szCs w:val="20"/>
                <w:lang w:eastAsia="en-US"/>
              </w:rPr>
              <w:t xml:space="preserve">**Based on this study, the REACH registrants derived a NOAEL of 300 mg/kg/day for general toxicity based on mortality in HD females. However, at this dose effects on kidneys, liver, thyroid and thymus occurred. </w:t>
            </w:r>
            <w:r w:rsidRPr="0067432C">
              <w:rPr>
                <w:rFonts w:eastAsiaTheme="minorHAnsi" w:cstheme="minorBidi"/>
                <w:color w:val="auto"/>
                <w:sz w:val="20"/>
                <w:szCs w:val="20"/>
                <w:u w:val="single"/>
                <w:lang w:eastAsia="en-US"/>
              </w:rPr>
              <w:t xml:space="preserve">In males, effects were noted </w:t>
            </w:r>
            <w:r w:rsidRPr="0067432C">
              <w:rPr>
                <w:rFonts w:eastAsiaTheme="minorHAnsi" w:cstheme="minorBidi"/>
                <w:b/>
                <w:bCs/>
                <w:color w:val="auto"/>
                <w:sz w:val="20"/>
                <w:szCs w:val="20"/>
                <w:u w:val="single"/>
                <w:lang w:eastAsia="en-US"/>
              </w:rPr>
              <w:t xml:space="preserve">from the lowest dose of 60 mg/kg </w:t>
            </w:r>
            <w:proofErr w:type="spellStart"/>
            <w:r w:rsidRPr="0067432C">
              <w:rPr>
                <w:rFonts w:eastAsiaTheme="minorHAnsi" w:cstheme="minorBidi"/>
                <w:b/>
                <w:bCs/>
                <w:color w:val="auto"/>
                <w:sz w:val="20"/>
                <w:szCs w:val="20"/>
                <w:u w:val="single"/>
                <w:lang w:eastAsia="en-US"/>
              </w:rPr>
              <w:t>bw</w:t>
            </w:r>
            <w:proofErr w:type="spellEnd"/>
            <w:r w:rsidRPr="0067432C">
              <w:rPr>
                <w:rFonts w:eastAsiaTheme="minorHAnsi" w:cstheme="minorBidi"/>
                <w:b/>
                <w:bCs/>
                <w:color w:val="auto"/>
                <w:sz w:val="20"/>
                <w:szCs w:val="20"/>
                <w:u w:val="single"/>
                <w:lang w:eastAsia="en-US"/>
              </w:rPr>
              <w:t>/d</w:t>
            </w:r>
            <w:r w:rsidRPr="0067432C">
              <w:rPr>
                <w:rFonts w:eastAsiaTheme="minorHAnsi" w:cstheme="minorBidi"/>
                <w:color w:val="auto"/>
                <w:sz w:val="20"/>
                <w:szCs w:val="20"/>
                <w:u w:val="single"/>
                <w:lang w:eastAsia="en-US"/>
              </w:rPr>
              <w:t>, therefore the SCCS considers this dose as LOAEL</w:t>
            </w:r>
            <w:r w:rsidRPr="0067432C">
              <w:rPr>
                <w:rFonts w:eastAsiaTheme="minorHAnsi" w:cstheme="minorBidi"/>
                <w:color w:val="auto"/>
                <w:sz w:val="20"/>
                <w:szCs w:val="20"/>
                <w:lang w:eastAsia="en-US"/>
              </w:rPr>
              <w:t>.</w:t>
            </w:r>
          </w:p>
        </w:tc>
      </w:tr>
    </w:tbl>
    <w:p w14:paraId="32ADFF81" w14:textId="77777777" w:rsidR="00026EBE" w:rsidRPr="00D27219" w:rsidRDefault="00026EBE" w:rsidP="00026EBE">
      <w:pPr>
        <w:pStyle w:val="Tabletextleft"/>
        <w:rPr>
          <w:rFonts w:ascii="Arial" w:hAnsi="Arial" w:cs="Arial"/>
        </w:rPr>
      </w:pPr>
      <w:r w:rsidRPr="00D27219">
        <w:rPr>
          <w:rFonts w:ascii="Arial" w:hAnsi="Arial" w:cs="Arial"/>
          <w:vertAlign w:val="superscript"/>
        </w:rPr>
        <w:t>Δ</w:t>
      </w:r>
      <w:r w:rsidRPr="00D27219">
        <w:rPr>
          <w:rFonts w:ascii="Arial" w:hAnsi="Arial" w:cs="Arial"/>
        </w:rPr>
        <w:t xml:space="preserve"> GLP compliance was not specified in the reviews</w:t>
      </w:r>
    </w:p>
    <w:p w14:paraId="329B49A7" w14:textId="77777777" w:rsidR="00026EBE" w:rsidRDefault="00026EBE" w:rsidP="00026EBE">
      <w:pPr>
        <w:pStyle w:val="Heading3"/>
      </w:pPr>
      <w:bookmarkStart w:id="110" w:name="_Toc100664716"/>
      <w:bookmarkStart w:id="111" w:name="_Toc157439286"/>
      <w:bookmarkStart w:id="112" w:name="_Toc173830128"/>
      <w:bookmarkStart w:id="113" w:name="_Toc189819963"/>
      <w:bookmarkStart w:id="114" w:name="_Toc190081233"/>
      <w:r w:rsidRPr="0074486E">
        <w:t>Genotoxicity</w:t>
      </w:r>
      <w:bookmarkEnd w:id="110"/>
      <w:bookmarkEnd w:id="111"/>
      <w:bookmarkEnd w:id="112"/>
      <w:bookmarkEnd w:id="113"/>
      <w:bookmarkEnd w:id="114"/>
      <w:r w:rsidRPr="0074486E">
        <w:t xml:space="preserve"> </w:t>
      </w:r>
    </w:p>
    <w:p w14:paraId="0A656B6E" w14:textId="77777777" w:rsidR="00026EBE" w:rsidRPr="00D27219" w:rsidRDefault="00026EBE" w:rsidP="00026EBE">
      <w:r w:rsidRPr="00D27219">
        <w:t xml:space="preserve">A summary of genotoxicity studies for each sunscreen ingredient is shown in the table below. </w:t>
      </w:r>
      <w:proofErr w:type="gramStart"/>
      <w:r w:rsidRPr="00D27219">
        <w:t>With the exception of</w:t>
      </w:r>
      <w:proofErr w:type="gramEnd"/>
      <w:r w:rsidRPr="00D27219">
        <w:t xml:space="preserve"> homosalate, all sunscreen ingredients were negative in </w:t>
      </w:r>
      <w:r w:rsidRPr="00D27219">
        <w:rPr>
          <w:i/>
          <w:iCs/>
        </w:rPr>
        <w:t>in vitro</w:t>
      </w:r>
      <w:r w:rsidRPr="00D27219">
        <w:t xml:space="preserve"> and </w:t>
      </w:r>
      <w:r w:rsidRPr="00D27219">
        <w:rPr>
          <w:i/>
          <w:iCs/>
        </w:rPr>
        <w:t>in vivo</w:t>
      </w:r>
      <w:r w:rsidRPr="00D27219">
        <w:t xml:space="preserve"> tests. Homosalate was negative in the Ames test and the gene mutation test in Chinese hamster cells </w:t>
      </w:r>
      <w:r w:rsidRPr="00D27219">
        <w:rPr>
          <w:i/>
          <w:iCs/>
        </w:rPr>
        <w:t>in vitro.</w:t>
      </w:r>
      <w:r w:rsidRPr="00D27219">
        <w:t xml:space="preserve"> However</w:t>
      </w:r>
      <w:r>
        <w:t>,</w:t>
      </w:r>
      <w:r w:rsidRPr="00D27219">
        <w:t xml:space="preserve"> homosalate induced DNA damage the Comet assay in isolate human peripheral lymphocytes and in the micronucleus assay </w:t>
      </w:r>
      <w:r w:rsidRPr="00D27219">
        <w:rPr>
          <w:i/>
          <w:iCs/>
        </w:rPr>
        <w:t>in vivo</w:t>
      </w:r>
      <w:r w:rsidRPr="00D27219">
        <w:t xml:space="preserve">. </w:t>
      </w:r>
    </w:p>
    <w:p w14:paraId="6FD713AE" w14:textId="77777777" w:rsidR="00026EBE" w:rsidRPr="005C0E95" w:rsidRDefault="00026EBE" w:rsidP="00026EBE">
      <w:pPr>
        <w:pStyle w:val="Tabletitle"/>
      </w:pPr>
      <w:r>
        <w:t>Table 3-7. Summary of genotoxicity studies with sunscreen ingredients</w:t>
      </w:r>
    </w:p>
    <w:tbl>
      <w:tblPr>
        <w:tblStyle w:val="TableTGAblue2023"/>
        <w:tblW w:w="9488" w:type="dxa"/>
        <w:tblLayout w:type="fixed"/>
        <w:tblLook w:val="01E0" w:firstRow="1" w:lastRow="1" w:firstColumn="1" w:lastColumn="1" w:noHBand="0" w:noVBand="0"/>
      </w:tblPr>
      <w:tblGrid>
        <w:gridCol w:w="1266"/>
        <w:gridCol w:w="1276"/>
        <w:gridCol w:w="1276"/>
        <w:gridCol w:w="1385"/>
        <w:gridCol w:w="1385"/>
        <w:gridCol w:w="1450"/>
        <w:gridCol w:w="1450"/>
      </w:tblGrid>
      <w:tr w:rsidR="00026EBE" w:rsidRPr="0067432C" w14:paraId="76D02EB5" w14:textId="77777777" w:rsidTr="000850F6">
        <w:trPr>
          <w:cnfStyle w:val="100000000000" w:firstRow="1" w:lastRow="0" w:firstColumn="0" w:lastColumn="0" w:oddVBand="0" w:evenVBand="0" w:oddHBand="0"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1266" w:type="dxa"/>
          </w:tcPr>
          <w:p w14:paraId="291AE74F" w14:textId="77777777" w:rsidR="00026EBE" w:rsidRPr="00445A3A" w:rsidRDefault="00026EBE" w:rsidP="000850F6">
            <w:pPr>
              <w:ind w:left="0"/>
              <w:rPr>
                <w:rFonts w:asciiTheme="minorHAnsi" w:hAnsiTheme="minorHAnsi" w:cstheme="minorHAnsi"/>
                <w:color w:val="00348C" w:themeColor="accent1" w:themeShade="BF"/>
                <w:sz w:val="18"/>
                <w:szCs w:val="18"/>
              </w:rPr>
            </w:pPr>
            <w:r w:rsidRPr="00445A3A">
              <w:rPr>
                <w:rFonts w:asciiTheme="minorHAnsi" w:hAnsiTheme="minorHAnsi" w:cstheme="minorHAnsi"/>
                <w:color w:val="00348C" w:themeColor="accent1" w:themeShade="BF"/>
                <w:sz w:val="18"/>
                <w:szCs w:val="18"/>
              </w:rPr>
              <w:t xml:space="preserve">Avobenzone (ECHA (2021a; DEPA 2015) </w:t>
            </w:r>
          </w:p>
        </w:tc>
        <w:tc>
          <w:tcPr>
            <w:tcW w:w="1276" w:type="dxa"/>
          </w:tcPr>
          <w:p w14:paraId="08288729" w14:textId="77777777" w:rsidR="00026EBE" w:rsidRPr="00445A3A" w:rsidRDefault="00026EBE" w:rsidP="000850F6">
            <w:pPr>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48C" w:themeColor="accent1" w:themeShade="BF"/>
                <w:sz w:val="18"/>
                <w:szCs w:val="18"/>
              </w:rPr>
            </w:pPr>
            <w:r w:rsidRPr="00445A3A">
              <w:rPr>
                <w:rFonts w:asciiTheme="minorHAnsi" w:hAnsiTheme="minorHAnsi" w:cstheme="minorHAnsi"/>
                <w:color w:val="00348C" w:themeColor="accent1" w:themeShade="BF"/>
                <w:sz w:val="18"/>
                <w:szCs w:val="18"/>
              </w:rPr>
              <w:t>Ethylhexyl triazone (ECHA (2021b; DEPA 2015</w:t>
            </w:r>
          </w:p>
        </w:tc>
        <w:tc>
          <w:tcPr>
            <w:tcW w:w="1276" w:type="dxa"/>
          </w:tcPr>
          <w:p w14:paraId="15D5F1FC" w14:textId="77777777" w:rsidR="00026EBE" w:rsidRPr="00445A3A" w:rsidRDefault="00026EBE" w:rsidP="000850F6">
            <w:pPr>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48C" w:themeColor="accent1" w:themeShade="BF"/>
                <w:sz w:val="18"/>
                <w:szCs w:val="18"/>
              </w:rPr>
            </w:pPr>
            <w:r w:rsidRPr="00445A3A">
              <w:rPr>
                <w:rFonts w:asciiTheme="minorHAnsi" w:hAnsiTheme="minorHAnsi" w:cstheme="minorHAnsi"/>
                <w:color w:val="00348C" w:themeColor="accent1" w:themeShade="BF"/>
                <w:sz w:val="18"/>
                <w:szCs w:val="18"/>
              </w:rPr>
              <w:t>Homosalate (SCCS 2020; ECHA  2021c)</w:t>
            </w:r>
          </w:p>
        </w:tc>
        <w:tc>
          <w:tcPr>
            <w:tcW w:w="1385" w:type="dxa"/>
          </w:tcPr>
          <w:p w14:paraId="4BB10BF7" w14:textId="77777777" w:rsidR="00026EBE" w:rsidRPr="00445A3A" w:rsidRDefault="00026EBE" w:rsidP="000850F6">
            <w:pPr>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48C" w:themeColor="accent1" w:themeShade="BF"/>
                <w:sz w:val="18"/>
                <w:szCs w:val="18"/>
              </w:rPr>
            </w:pPr>
            <w:r w:rsidRPr="00445A3A">
              <w:rPr>
                <w:rFonts w:asciiTheme="minorHAnsi" w:hAnsiTheme="minorHAnsi" w:cstheme="minorHAnsi"/>
                <w:color w:val="00348C" w:themeColor="accent1" w:themeShade="BF"/>
                <w:sz w:val="18"/>
                <w:szCs w:val="18"/>
              </w:rPr>
              <w:t>Octinoxate (ECHA 2021e)</w:t>
            </w:r>
          </w:p>
        </w:tc>
        <w:tc>
          <w:tcPr>
            <w:tcW w:w="1385" w:type="dxa"/>
          </w:tcPr>
          <w:p w14:paraId="6224DE24" w14:textId="77777777" w:rsidR="00026EBE" w:rsidRPr="00445A3A" w:rsidRDefault="00026EBE" w:rsidP="000850F6">
            <w:pPr>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48C" w:themeColor="accent1" w:themeShade="BF"/>
                <w:sz w:val="18"/>
                <w:szCs w:val="18"/>
              </w:rPr>
            </w:pPr>
            <w:r w:rsidRPr="00445A3A">
              <w:rPr>
                <w:rFonts w:asciiTheme="minorHAnsi" w:hAnsiTheme="minorHAnsi" w:cstheme="minorHAnsi"/>
                <w:color w:val="00348C" w:themeColor="accent1" w:themeShade="BF"/>
                <w:sz w:val="18"/>
                <w:szCs w:val="18"/>
              </w:rPr>
              <w:t>Octocrylene (SCCS 2021a; ECHA 2021d)</w:t>
            </w:r>
          </w:p>
        </w:tc>
        <w:tc>
          <w:tcPr>
            <w:tcW w:w="1450" w:type="dxa"/>
          </w:tcPr>
          <w:p w14:paraId="3B6AFBFF" w14:textId="77777777" w:rsidR="00026EBE" w:rsidRPr="00445A3A" w:rsidRDefault="00026EBE" w:rsidP="000850F6">
            <w:pPr>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48C" w:themeColor="accent1" w:themeShade="BF"/>
                <w:sz w:val="18"/>
                <w:szCs w:val="18"/>
              </w:rPr>
            </w:pPr>
            <w:r w:rsidRPr="00445A3A">
              <w:rPr>
                <w:rFonts w:asciiTheme="minorHAnsi" w:hAnsiTheme="minorHAnsi" w:cstheme="minorHAnsi"/>
                <w:color w:val="00348C" w:themeColor="accent1" w:themeShade="BF"/>
                <w:sz w:val="18"/>
                <w:szCs w:val="18"/>
              </w:rPr>
              <w:t>Oxybenzone (SCCP 2006a; 2021c)</w:t>
            </w:r>
          </w:p>
        </w:tc>
        <w:tc>
          <w:tcPr>
            <w:tcW w:w="1450" w:type="dxa"/>
          </w:tcPr>
          <w:p w14:paraId="12523537" w14:textId="77777777" w:rsidR="00026EBE" w:rsidRPr="00445A3A" w:rsidRDefault="00026EBE" w:rsidP="000850F6">
            <w:pPr>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48C" w:themeColor="accent1" w:themeShade="BF"/>
                <w:sz w:val="18"/>
                <w:szCs w:val="18"/>
              </w:rPr>
            </w:pPr>
            <w:r w:rsidRPr="00445A3A">
              <w:rPr>
                <w:rFonts w:asciiTheme="minorHAnsi" w:hAnsiTheme="minorHAnsi" w:cstheme="minorHAnsi"/>
                <w:color w:val="00348C" w:themeColor="accent1" w:themeShade="BF"/>
                <w:sz w:val="18"/>
                <w:szCs w:val="18"/>
              </w:rPr>
              <w:t>PBSA (SCCP 2006b)</w:t>
            </w:r>
          </w:p>
        </w:tc>
      </w:tr>
      <w:tr w:rsidR="00026EBE" w:rsidRPr="0067432C" w14:paraId="7E55702F" w14:textId="77777777" w:rsidTr="000850F6">
        <w:trPr>
          <w:trHeight w:val="255"/>
        </w:trPr>
        <w:tc>
          <w:tcPr>
            <w:cnfStyle w:val="001000000000" w:firstRow="0" w:lastRow="0" w:firstColumn="1" w:lastColumn="0" w:oddVBand="0" w:evenVBand="0" w:oddHBand="0" w:evenHBand="0" w:firstRowFirstColumn="0" w:firstRowLastColumn="0" w:lastRowFirstColumn="0" w:lastRowLastColumn="0"/>
            <w:tcW w:w="1266" w:type="dxa"/>
          </w:tcPr>
          <w:p w14:paraId="2B9CCAA5" w14:textId="77777777" w:rsidR="00026EBE" w:rsidRPr="0067432C" w:rsidRDefault="00026EBE" w:rsidP="000850F6">
            <w:pPr>
              <w:rPr>
                <w:rFonts w:asciiTheme="minorHAnsi" w:hAnsiTheme="minorHAnsi" w:cstheme="minorHAnsi"/>
                <w:i/>
                <w:iCs/>
                <w:szCs w:val="18"/>
              </w:rPr>
            </w:pPr>
            <w:r w:rsidRPr="0067432C">
              <w:rPr>
                <w:rFonts w:asciiTheme="minorHAnsi" w:hAnsiTheme="minorHAnsi" w:cstheme="minorHAnsi"/>
                <w:i/>
                <w:iCs/>
                <w:szCs w:val="18"/>
              </w:rPr>
              <w:t>In vitro</w:t>
            </w:r>
          </w:p>
          <w:p w14:paraId="3916DD34" w14:textId="77777777" w:rsidR="00026EBE" w:rsidRPr="0067432C" w:rsidRDefault="00026EBE" w:rsidP="000850F6">
            <w:pPr>
              <w:rPr>
                <w:rFonts w:asciiTheme="minorHAnsi" w:hAnsiTheme="minorHAnsi" w:cstheme="minorHAnsi"/>
                <w:szCs w:val="18"/>
              </w:rPr>
            </w:pPr>
            <w:r w:rsidRPr="0067432C">
              <w:rPr>
                <w:rFonts w:asciiTheme="minorHAnsi" w:hAnsiTheme="minorHAnsi" w:cstheme="minorHAnsi"/>
                <w:szCs w:val="18"/>
              </w:rPr>
              <w:t>Negative AMES test and gene mutation study V79 Chinese hamster cells</w:t>
            </w:r>
          </w:p>
          <w:p w14:paraId="3D30F5BF" w14:textId="77777777" w:rsidR="00026EBE" w:rsidRPr="0067432C" w:rsidRDefault="00026EBE" w:rsidP="000850F6">
            <w:pPr>
              <w:rPr>
                <w:rFonts w:asciiTheme="minorHAnsi" w:hAnsiTheme="minorHAnsi" w:cstheme="minorHAnsi"/>
                <w:szCs w:val="18"/>
              </w:rPr>
            </w:pPr>
            <w:r w:rsidRPr="0067432C">
              <w:rPr>
                <w:rFonts w:asciiTheme="minorHAnsi" w:hAnsiTheme="minorHAnsi" w:cstheme="minorHAnsi"/>
                <w:szCs w:val="18"/>
              </w:rPr>
              <w:t>In vivo</w:t>
            </w:r>
          </w:p>
          <w:p w14:paraId="1A5082C5" w14:textId="77777777" w:rsidR="00026EBE" w:rsidRPr="0067432C" w:rsidRDefault="00026EBE" w:rsidP="000850F6">
            <w:pPr>
              <w:rPr>
                <w:rFonts w:asciiTheme="minorHAnsi" w:hAnsiTheme="minorHAnsi" w:cstheme="minorHAnsi"/>
                <w:szCs w:val="18"/>
              </w:rPr>
            </w:pPr>
            <w:r w:rsidRPr="0067432C">
              <w:rPr>
                <w:rFonts w:asciiTheme="minorHAnsi" w:hAnsiTheme="minorHAnsi" w:cstheme="minorHAnsi"/>
                <w:szCs w:val="18"/>
              </w:rPr>
              <w:t>Negative</w:t>
            </w:r>
            <w:r w:rsidRPr="0067432C">
              <w:rPr>
                <w:rFonts w:asciiTheme="minorHAnsi" w:eastAsia="CIDFont+F2" w:hAnsiTheme="minorHAnsi" w:cstheme="minorHAnsi"/>
                <w:szCs w:val="18"/>
              </w:rPr>
              <w:t xml:space="preserve"> </w:t>
            </w:r>
            <w:r w:rsidRPr="0067432C">
              <w:rPr>
                <w:rFonts w:asciiTheme="minorHAnsi" w:hAnsiTheme="minorHAnsi" w:cstheme="minorHAnsi"/>
                <w:szCs w:val="18"/>
              </w:rPr>
              <w:t xml:space="preserve">Bone marrow </w:t>
            </w:r>
            <w:proofErr w:type="gramStart"/>
            <w:r w:rsidRPr="0067432C">
              <w:rPr>
                <w:rFonts w:asciiTheme="minorHAnsi" w:hAnsiTheme="minorHAnsi" w:cstheme="minorHAnsi"/>
                <w:szCs w:val="18"/>
              </w:rPr>
              <w:t>polychromatic  erythrocytes</w:t>
            </w:r>
            <w:proofErr w:type="gramEnd"/>
            <w:r w:rsidRPr="0067432C">
              <w:rPr>
                <w:rFonts w:asciiTheme="minorHAnsi" w:hAnsiTheme="minorHAnsi" w:cstheme="minorHAnsi"/>
                <w:szCs w:val="18"/>
              </w:rPr>
              <w:t xml:space="preserve"> (mice)</w:t>
            </w:r>
          </w:p>
        </w:tc>
        <w:tc>
          <w:tcPr>
            <w:tcW w:w="1276" w:type="dxa"/>
          </w:tcPr>
          <w:p w14:paraId="1DB58600"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Cs w:val="18"/>
              </w:rPr>
            </w:pPr>
            <w:r w:rsidRPr="0067432C">
              <w:rPr>
                <w:rFonts w:asciiTheme="minorHAnsi" w:hAnsiTheme="minorHAnsi" w:cstheme="minorHAnsi"/>
                <w:i/>
                <w:iCs/>
                <w:szCs w:val="18"/>
              </w:rPr>
              <w:t xml:space="preserve">In vitro </w:t>
            </w:r>
          </w:p>
          <w:p w14:paraId="57E27DF3"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Negative</w:t>
            </w:r>
            <w:r>
              <w:rPr>
                <w:rFonts w:asciiTheme="minorHAnsi" w:hAnsiTheme="minorHAnsi" w:cstheme="minorHAnsi"/>
                <w:szCs w:val="18"/>
              </w:rPr>
              <w:t xml:space="preserve"> </w:t>
            </w:r>
            <w:r w:rsidRPr="0067432C">
              <w:rPr>
                <w:rFonts w:asciiTheme="minorHAnsi" w:hAnsiTheme="minorHAnsi" w:cstheme="minorHAnsi"/>
                <w:szCs w:val="18"/>
              </w:rPr>
              <w:t>AMES test, Chinese hamster lung fibroblasts for chromosome aberration, Chinese hamster ovary (CHO) cells, in vivo chromosome aberration test</w:t>
            </w:r>
          </w:p>
        </w:tc>
        <w:tc>
          <w:tcPr>
            <w:tcW w:w="1276" w:type="dxa"/>
          </w:tcPr>
          <w:p w14:paraId="2706A5DA"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Cs w:val="18"/>
              </w:rPr>
            </w:pPr>
            <w:r w:rsidRPr="0067432C">
              <w:rPr>
                <w:rFonts w:asciiTheme="minorHAnsi" w:hAnsiTheme="minorHAnsi" w:cstheme="minorHAnsi"/>
                <w:i/>
                <w:iCs/>
                <w:szCs w:val="18"/>
              </w:rPr>
              <w:t>In vitro</w:t>
            </w:r>
          </w:p>
          <w:p w14:paraId="4515561D"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Negative AMES test and gene mutation study in V79 Chinese hamster cells</w:t>
            </w:r>
          </w:p>
          <w:p w14:paraId="5E958008"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Findings from the SCGE comet assay in isolated human peripheral lymphocytes and micronucleus assay in MCF</w:t>
            </w:r>
            <w:r w:rsidRPr="0067432C">
              <w:rPr>
                <w:rFonts w:ascii="Cambria Math" w:hAnsi="Cambria Math" w:cs="Cambria Math"/>
                <w:szCs w:val="18"/>
              </w:rPr>
              <w:t>‐</w:t>
            </w:r>
            <w:r w:rsidRPr="0067432C">
              <w:rPr>
                <w:rFonts w:asciiTheme="minorHAnsi" w:hAnsiTheme="minorHAnsi" w:cstheme="minorHAnsi"/>
                <w:szCs w:val="18"/>
              </w:rPr>
              <w:t>7 cells suggest that homosalate induced DNA damage in a dose dependent manner and it is clastogenic when the cells were incubated at cytotoxic concentrations (Yazar et al. 2018; 2019)</w:t>
            </w:r>
          </w:p>
        </w:tc>
        <w:tc>
          <w:tcPr>
            <w:tcW w:w="1385" w:type="dxa"/>
          </w:tcPr>
          <w:p w14:paraId="285DA985"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Cs w:val="18"/>
              </w:rPr>
            </w:pPr>
            <w:r w:rsidRPr="0067432C">
              <w:rPr>
                <w:rFonts w:asciiTheme="minorHAnsi" w:hAnsiTheme="minorHAnsi" w:cstheme="minorHAnsi"/>
                <w:i/>
                <w:iCs/>
                <w:szCs w:val="18"/>
              </w:rPr>
              <w:t>In vitro</w:t>
            </w:r>
          </w:p>
          <w:p w14:paraId="2C3D1B66"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Negative</w:t>
            </w:r>
            <w:r>
              <w:rPr>
                <w:rFonts w:asciiTheme="minorHAnsi" w:hAnsiTheme="minorHAnsi" w:cstheme="minorHAnsi"/>
                <w:szCs w:val="18"/>
              </w:rPr>
              <w:t xml:space="preserve"> </w:t>
            </w:r>
            <w:r w:rsidRPr="0067432C">
              <w:rPr>
                <w:rFonts w:asciiTheme="minorHAnsi" w:hAnsiTheme="minorHAnsi" w:cstheme="minorHAnsi"/>
                <w:szCs w:val="18"/>
              </w:rPr>
              <w:t>AMES test, mammalian cell transformation assay (BALB/c-3T3 clone A31-11 cells), micronucleus test (mice), Unscheduled DNA synthesis assay (rat primary hepatocytes), Chromosomal aberrations (human peripheral blood lymphocytes)</w:t>
            </w:r>
          </w:p>
          <w:p w14:paraId="3F50E7DB"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In vivo</w:t>
            </w:r>
          </w:p>
          <w:p w14:paraId="1DDB8132"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Negative</w:t>
            </w:r>
          </w:p>
          <w:p w14:paraId="08F81D54"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Chromosomal aberrations in micronucleus assay in bone marrow polychromatic erythrocytes, Cell gene mutation assay (V79, ± S9) showed a very slight increase in mutant colonies (up to 20 mg/mL)</w:t>
            </w:r>
          </w:p>
        </w:tc>
        <w:tc>
          <w:tcPr>
            <w:tcW w:w="1385" w:type="dxa"/>
          </w:tcPr>
          <w:p w14:paraId="3189E1E7"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Cs w:val="18"/>
              </w:rPr>
            </w:pPr>
            <w:r w:rsidRPr="0067432C">
              <w:rPr>
                <w:rFonts w:asciiTheme="minorHAnsi" w:hAnsiTheme="minorHAnsi" w:cstheme="minorHAnsi"/>
                <w:i/>
                <w:iCs/>
                <w:szCs w:val="18"/>
              </w:rPr>
              <w:t>In vitro</w:t>
            </w:r>
          </w:p>
          <w:p w14:paraId="11AC3236"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 xml:space="preserve">Negative AMES test, gene mutation test, </w:t>
            </w:r>
            <w:proofErr w:type="spellStart"/>
            <w:r w:rsidRPr="0067432C">
              <w:rPr>
                <w:rFonts w:asciiTheme="minorHAnsi" w:hAnsiTheme="minorHAnsi" w:cstheme="minorHAnsi"/>
                <w:szCs w:val="18"/>
              </w:rPr>
              <w:t>cytogenicity</w:t>
            </w:r>
            <w:proofErr w:type="spellEnd"/>
            <w:r w:rsidRPr="0067432C">
              <w:rPr>
                <w:rFonts w:asciiTheme="minorHAnsi" w:hAnsiTheme="minorHAnsi" w:cstheme="minorHAnsi"/>
                <w:szCs w:val="18"/>
              </w:rPr>
              <w:t xml:space="preserve"> test in mammalian cells, chromosome aberrations tests</w:t>
            </w:r>
          </w:p>
          <w:p w14:paraId="160F0C8C"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In vivo</w:t>
            </w:r>
          </w:p>
          <w:p w14:paraId="5A6122E9"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Negative</w:t>
            </w:r>
          </w:p>
          <w:p w14:paraId="5B852C7E"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proofErr w:type="spellStart"/>
            <w:r w:rsidRPr="0067432C">
              <w:rPr>
                <w:rFonts w:asciiTheme="minorHAnsi" w:hAnsiTheme="minorHAnsi" w:cstheme="minorHAnsi"/>
                <w:szCs w:val="18"/>
              </w:rPr>
              <w:t>Cytogenicity</w:t>
            </w:r>
            <w:proofErr w:type="spellEnd"/>
            <w:r w:rsidRPr="0067432C">
              <w:rPr>
                <w:rFonts w:asciiTheme="minorHAnsi" w:hAnsiTheme="minorHAnsi" w:cstheme="minorHAnsi"/>
                <w:szCs w:val="18"/>
              </w:rPr>
              <w:t xml:space="preserve"> test in mice</w:t>
            </w:r>
          </w:p>
          <w:p w14:paraId="1F08D48A"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(ECHA 2020, SCCS 2021a)</w:t>
            </w:r>
          </w:p>
        </w:tc>
        <w:tc>
          <w:tcPr>
            <w:tcW w:w="1450" w:type="dxa"/>
          </w:tcPr>
          <w:p w14:paraId="30CE61CA"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Cs w:val="18"/>
              </w:rPr>
            </w:pPr>
            <w:r w:rsidRPr="0067432C">
              <w:rPr>
                <w:rFonts w:asciiTheme="minorHAnsi" w:hAnsiTheme="minorHAnsi" w:cstheme="minorHAnsi"/>
                <w:i/>
                <w:iCs/>
                <w:szCs w:val="18"/>
              </w:rPr>
              <w:t xml:space="preserve">In vitro </w:t>
            </w:r>
          </w:p>
          <w:p w14:paraId="788A49F0"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Negative</w:t>
            </w:r>
            <w:r>
              <w:rPr>
                <w:rFonts w:asciiTheme="minorHAnsi" w:hAnsiTheme="minorHAnsi" w:cstheme="minorHAnsi"/>
                <w:szCs w:val="18"/>
              </w:rPr>
              <w:t xml:space="preserve"> </w:t>
            </w:r>
            <w:r w:rsidRPr="0067432C">
              <w:rPr>
                <w:rFonts w:asciiTheme="minorHAnsi" w:hAnsiTheme="minorHAnsi" w:cstheme="minorHAnsi"/>
                <w:szCs w:val="18"/>
              </w:rPr>
              <w:t>AMES test (weak positive: TA97 (30% hamster +S9), 10% hamster or 10% and 30% rat S9), Chinese hamster lung fibroblasts for chromosome aberration ±S9, CHO cells –S9; Sister-chromatid exchanges and chromosomal aberrations + S9</w:t>
            </w:r>
          </w:p>
          <w:p w14:paraId="6C4367EF"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In vivo</w:t>
            </w:r>
          </w:p>
          <w:p w14:paraId="70F71D74"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Negative</w:t>
            </w:r>
          </w:p>
          <w:p w14:paraId="5331DF0E"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micronucleus test (mice), chromosome aberration test (rats), Drosophila (SMART)ϯ</w:t>
            </w:r>
          </w:p>
        </w:tc>
        <w:tc>
          <w:tcPr>
            <w:tcW w:w="1450" w:type="dxa"/>
          </w:tcPr>
          <w:p w14:paraId="3B46F5ED"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Cs w:val="18"/>
              </w:rPr>
            </w:pPr>
            <w:r w:rsidRPr="0067432C">
              <w:rPr>
                <w:rFonts w:asciiTheme="minorHAnsi" w:hAnsiTheme="minorHAnsi" w:cstheme="minorHAnsi"/>
                <w:i/>
                <w:iCs/>
                <w:szCs w:val="18"/>
              </w:rPr>
              <w:t>In vitro</w:t>
            </w:r>
          </w:p>
          <w:p w14:paraId="2C5556C5"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Negative</w:t>
            </w:r>
            <w:r>
              <w:rPr>
                <w:rFonts w:asciiTheme="minorHAnsi" w:hAnsiTheme="minorHAnsi" w:cstheme="minorHAnsi"/>
                <w:szCs w:val="18"/>
              </w:rPr>
              <w:t xml:space="preserve"> </w:t>
            </w:r>
            <w:r w:rsidRPr="0067432C">
              <w:rPr>
                <w:rFonts w:asciiTheme="minorHAnsi" w:hAnsiTheme="minorHAnsi" w:cstheme="minorHAnsi"/>
                <w:szCs w:val="18"/>
              </w:rPr>
              <w:t>AMES test and chromosome aberration test in human peripheral blood lymphocytes</w:t>
            </w:r>
          </w:p>
          <w:p w14:paraId="60EE9CF4"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In vivo</w:t>
            </w:r>
          </w:p>
          <w:p w14:paraId="3D08313B" w14:textId="77777777" w:rsidR="00026EBE" w:rsidRPr="0067432C" w:rsidRDefault="00026EBE" w:rsidP="000850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432C">
              <w:rPr>
                <w:rFonts w:asciiTheme="minorHAnsi" w:hAnsiTheme="minorHAnsi" w:cstheme="minorHAnsi"/>
                <w:szCs w:val="18"/>
              </w:rPr>
              <w:t xml:space="preserve">No data </w:t>
            </w:r>
          </w:p>
        </w:tc>
      </w:tr>
    </w:tbl>
    <w:p w14:paraId="2EBDAD6B" w14:textId="77777777" w:rsidR="00026EBE" w:rsidRPr="00D27219" w:rsidRDefault="00026EBE" w:rsidP="00026EBE">
      <w:pPr>
        <w:pStyle w:val="Tabledescription"/>
      </w:pPr>
      <w:r w:rsidRPr="00D27219">
        <w:t xml:space="preserve">ϯ </w:t>
      </w:r>
      <w:proofErr w:type="gramStart"/>
      <w:r w:rsidRPr="00D27219">
        <w:t>In</w:t>
      </w:r>
      <w:proofErr w:type="gramEnd"/>
      <w:r w:rsidRPr="00D27219">
        <w:t xml:space="preserve"> a recently published study (Majhi </w:t>
      </w:r>
      <w:r w:rsidRPr="00D27219">
        <w:rPr>
          <w:i/>
          <w:iCs/>
        </w:rPr>
        <w:t>et al.</w:t>
      </w:r>
      <w:r w:rsidRPr="00D27219">
        <w:t xml:space="preserve"> 2020), benzophone-3 (1 and 5 </w:t>
      </w:r>
      <w:proofErr w:type="spellStart"/>
      <w:r w:rsidRPr="00D27219">
        <w:t>μM</w:t>
      </w:r>
      <w:proofErr w:type="spellEnd"/>
      <w:r w:rsidRPr="00D27219">
        <w:t>) increased DNA damage similar to that of E2 treatment in a ERα-dependent manner. Benzophone-3 exposure caused R-loop formation in a normal epithelial cell line when ERα was introduced. R-loops and DNA damage were also detected in mammary epithelial cells of mice treated with benzophone-3.</w:t>
      </w:r>
    </w:p>
    <w:p w14:paraId="3DB29C8A" w14:textId="77777777" w:rsidR="00026EBE" w:rsidRDefault="00026EBE" w:rsidP="00026EBE">
      <w:pPr>
        <w:pStyle w:val="Heading3"/>
      </w:pPr>
      <w:bookmarkStart w:id="115" w:name="_Toc100664717"/>
      <w:bookmarkStart w:id="116" w:name="_Toc157439287"/>
      <w:bookmarkStart w:id="117" w:name="_Toc173830129"/>
      <w:bookmarkStart w:id="118" w:name="_Toc189819964"/>
      <w:bookmarkStart w:id="119" w:name="_Toc190081234"/>
      <w:r w:rsidRPr="0074486E">
        <w:t>Carcinogenicity</w:t>
      </w:r>
      <w:bookmarkEnd w:id="115"/>
      <w:bookmarkEnd w:id="116"/>
      <w:bookmarkEnd w:id="117"/>
      <w:bookmarkEnd w:id="118"/>
      <w:bookmarkEnd w:id="119"/>
    </w:p>
    <w:p w14:paraId="082C3C98" w14:textId="77777777" w:rsidR="00026EBE" w:rsidRPr="00D27219" w:rsidRDefault="00026EBE" w:rsidP="00026EBE">
      <w:r w:rsidRPr="00D27219">
        <w:t xml:space="preserve">No carcinogenicity data were available for avobenzone, octinoxate, octocrylene, </w:t>
      </w:r>
      <w:proofErr w:type="spellStart"/>
      <w:r w:rsidRPr="00D27219">
        <w:t>ethylhexyltriazone</w:t>
      </w:r>
      <w:proofErr w:type="spellEnd"/>
      <w:r w:rsidRPr="00D27219">
        <w:t>, homosalate or PBSA. Oxybenzone was carcinogenic in mice (bone marrow, spleen, kidney and liver), with equivocal evidence of carcinogenicity observed in rats (brain, spinal cord, thyroid and uterus).  Findings are provided in the following table.</w:t>
      </w:r>
    </w:p>
    <w:p w14:paraId="241D3A42" w14:textId="77777777" w:rsidR="00026EBE" w:rsidRDefault="00026EBE" w:rsidP="00026EBE">
      <w:pPr>
        <w:pStyle w:val="Tabletitle"/>
      </w:pPr>
      <w:r>
        <w:t>Table 3-8. Summary of carcinogenicity studies with sunscreen ingredients</w:t>
      </w:r>
    </w:p>
    <w:tbl>
      <w:tblPr>
        <w:tblStyle w:val="TableTGAblue2023"/>
        <w:tblW w:w="0" w:type="auto"/>
        <w:tblLook w:val="04A0" w:firstRow="1" w:lastRow="0" w:firstColumn="1" w:lastColumn="0" w:noHBand="0" w:noVBand="1"/>
      </w:tblPr>
      <w:tblGrid>
        <w:gridCol w:w="3008"/>
        <w:gridCol w:w="3004"/>
        <w:gridCol w:w="3004"/>
      </w:tblGrid>
      <w:tr w:rsidR="00026EBE" w14:paraId="76A0FCC3" w14:textId="77777777" w:rsidTr="0008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1050C1CF" w14:textId="77777777" w:rsidR="00026EBE" w:rsidRDefault="00026EBE" w:rsidP="000850F6">
            <w:r w:rsidRPr="005E5795">
              <w:t xml:space="preserve">Active ingredient </w:t>
            </w:r>
          </w:p>
        </w:tc>
        <w:tc>
          <w:tcPr>
            <w:tcW w:w="3004" w:type="dxa"/>
            <w:vAlign w:val="center"/>
          </w:tcPr>
          <w:p w14:paraId="0527CEC9"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rsidRPr="005E5795">
              <w:t xml:space="preserve">Study </w:t>
            </w:r>
            <w:proofErr w:type="spellStart"/>
            <w:r w:rsidRPr="005E5795">
              <w:t>details</w:t>
            </w:r>
            <w:r w:rsidRPr="005E5795">
              <w:rPr>
                <w:vertAlign w:val="superscript"/>
              </w:rPr>
              <w:t>Δ</w:t>
            </w:r>
            <w:proofErr w:type="spellEnd"/>
          </w:p>
        </w:tc>
        <w:tc>
          <w:tcPr>
            <w:tcW w:w="3004" w:type="dxa"/>
            <w:vAlign w:val="center"/>
          </w:tcPr>
          <w:p w14:paraId="6334AB6A"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rsidRPr="005E5795">
              <w:t>Major findings</w:t>
            </w:r>
          </w:p>
        </w:tc>
      </w:tr>
      <w:tr w:rsidR="00026EBE" w14:paraId="2DBF67EE" w14:textId="77777777" w:rsidTr="000850F6">
        <w:tc>
          <w:tcPr>
            <w:cnfStyle w:val="001000000000" w:firstRow="0" w:lastRow="0" w:firstColumn="1" w:lastColumn="0" w:oddVBand="0" w:evenVBand="0" w:oddHBand="0" w:evenHBand="0" w:firstRowFirstColumn="0" w:firstRowLastColumn="0" w:lastRowFirstColumn="0" w:lastRowLastColumn="0"/>
            <w:tcW w:w="3008" w:type="dxa"/>
            <w:vAlign w:val="center"/>
          </w:tcPr>
          <w:p w14:paraId="190DBD54" w14:textId="77777777" w:rsidR="00026EBE" w:rsidRDefault="00026EBE" w:rsidP="000850F6">
            <w:r w:rsidRPr="00BE41EC">
              <w:t xml:space="preserve">Avobenzone </w:t>
            </w:r>
          </w:p>
        </w:tc>
        <w:tc>
          <w:tcPr>
            <w:tcW w:w="3004" w:type="dxa"/>
            <w:vAlign w:val="center"/>
          </w:tcPr>
          <w:p w14:paraId="3F24F5FD"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w:t>
            </w:r>
          </w:p>
        </w:tc>
        <w:tc>
          <w:tcPr>
            <w:tcW w:w="3004" w:type="dxa"/>
            <w:vAlign w:val="center"/>
          </w:tcPr>
          <w:p w14:paraId="07FDC6C7"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 xml:space="preserve">No data </w:t>
            </w:r>
          </w:p>
        </w:tc>
      </w:tr>
      <w:tr w:rsidR="00026EBE" w14:paraId="3D11293B" w14:textId="77777777" w:rsidTr="000850F6">
        <w:tc>
          <w:tcPr>
            <w:cnfStyle w:val="001000000000" w:firstRow="0" w:lastRow="0" w:firstColumn="1" w:lastColumn="0" w:oddVBand="0" w:evenVBand="0" w:oddHBand="0" w:evenHBand="0" w:firstRowFirstColumn="0" w:firstRowLastColumn="0" w:lastRowFirstColumn="0" w:lastRowLastColumn="0"/>
            <w:tcW w:w="3008" w:type="dxa"/>
            <w:vAlign w:val="center"/>
          </w:tcPr>
          <w:p w14:paraId="2302F2AC" w14:textId="77777777" w:rsidR="00026EBE" w:rsidRDefault="00026EBE" w:rsidP="000850F6">
            <w:r w:rsidRPr="00BE41EC">
              <w:t>Ethyl hexyl triazone</w:t>
            </w:r>
          </w:p>
        </w:tc>
        <w:tc>
          <w:tcPr>
            <w:tcW w:w="3004" w:type="dxa"/>
            <w:vAlign w:val="center"/>
          </w:tcPr>
          <w:p w14:paraId="432488D3"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w:t>
            </w:r>
          </w:p>
        </w:tc>
        <w:tc>
          <w:tcPr>
            <w:tcW w:w="3004" w:type="dxa"/>
            <w:vAlign w:val="center"/>
          </w:tcPr>
          <w:p w14:paraId="6BA1E66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 xml:space="preserve">No data </w:t>
            </w:r>
          </w:p>
        </w:tc>
      </w:tr>
      <w:tr w:rsidR="00026EBE" w14:paraId="51944777" w14:textId="77777777" w:rsidTr="000850F6">
        <w:tc>
          <w:tcPr>
            <w:cnfStyle w:val="001000000000" w:firstRow="0" w:lastRow="0" w:firstColumn="1" w:lastColumn="0" w:oddVBand="0" w:evenVBand="0" w:oddHBand="0" w:evenHBand="0" w:firstRowFirstColumn="0" w:firstRowLastColumn="0" w:lastRowFirstColumn="0" w:lastRowLastColumn="0"/>
            <w:tcW w:w="3008" w:type="dxa"/>
            <w:vAlign w:val="center"/>
          </w:tcPr>
          <w:p w14:paraId="5667833D" w14:textId="77777777" w:rsidR="00026EBE" w:rsidRDefault="00026EBE" w:rsidP="000850F6">
            <w:r w:rsidRPr="00BE41EC">
              <w:t xml:space="preserve">Homosalate </w:t>
            </w:r>
          </w:p>
        </w:tc>
        <w:tc>
          <w:tcPr>
            <w:tcW w:w="3004" w:type="dxa"/>
            <w:vAlign w:val="center"/>
          </w:tcPr>
          <w:p w14:paraId="5C22ADF3"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 xml:space="preserve">– </w:t>
            </w:r>
          </w:p>
        </w:tc>
        <w:tc>
          <w:tcPr>
            <w:tcW w:w="3004" w:type="dxa"/>
            <w:vAlign w:val="center"/>
          </w:tcPr>
          <w:p w14:paraId="3978279B"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No data</w:t>
            </w:r>
          </w:p>
        </w:tc>
      </w:tr>
      <w:tr w:rsidR="00026EBE" w14:paraId="474188AF" w14:textId="77777777" w:rsidTr="000850F6">
        <w:tc>
          <w:tcPr>
            <w:cnfStyle w:val="001000000000" w:firstRow="0" w:lastRow="0" w:firstColumn="1" w:lastColumn="0" w:oddVBand="0" w:evenVBand="0" w:oddHBand="0" w:evenHBand="0" w:firstRowFirstColumn="0" w:firstRowLastColumn="0" w:lastRowFirstColumn="0" w:lastRowLastColumn="0"/>
            <w:tcW w:w="3008" w:type="dxa"/>
            <w:vAlign w:val="center"/>
          </w:tcPr>
          <w:p w14:paraId="4086781F" w14:textId="77777777" w:rsidR="00026EBE" w:rsidRDefault="00026EBE" w:rsidP="000850F6">
            <w:r w:rsidRPr="00BE41EC">
              <w:t xml:space="preserve">Octinoxate </w:t>
            </w:r>
          </w:p>
        </w:tc>
        <w:tc>
          <w:tcPr>
            <w:tcW w:w="3004" w:type="dxa"/>
            <w:vAlign w:val="center"/>
          </w:tcPr>
          <w:p w14:paraId="01BB1994"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 xml:space="preserve">– </w:t>
            </w:r>
          </w:p>
        </w:tc>
        <w:tc>
          <w:tcPr>
            <w:tcW w:w="3004" w:type="dxa"/>
            <w:vAlign w:val="center"/>
          </w:tcPr>
          <w:p w14:paraId="01D0EDDB"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No data</w:t>
            </w:r>
          </w:p>
        </w:tc>
      </w:tr>
      <w:tr w:rsidR="00026EBE" w14:paraId="67AE6443" w14:textId="77777777" w:rsidTr="000850F6">
        <w:tc>
          <w:tcPr>
            <w:cnfStyle w:val="001000000000" w:firstRow="0" w:lastRow="0" w:firstColumn="1" w:lastColumn="0" w:oddVBand="0" w:evenVBand="0" w:oddHBand="0" w:evenHBand="0" w:firstRowFirstColumn="0" w:firstRowLastColumn="0" w:lastRowFirstColumn="0" w:lastRowLastColumn="0"/>
            <w:tcW w:w="3008" w:type="dxa"/>
            <w:vAlign w:val="center"/>
          </w:tcPr>
          <w:p w14:paraId="38256CCC" w14:textId="77777777" w:rsidR="00026EBE" w:rsidRDefault="00026EBE" w:rsidP="000850F6">
            <w:r w:rsidRPr="00BE41EC">
              <w:t>Octocrylene</w:t>
            </w:r>
          </w:p>
        </w:tc>
        <w:tc>
          <w:tcPr>
            <w:tcW w:w="3004" w:type="dxa"/>
            <w:vAlign w:val="center"/>
          </w:tcPr>
          <w:p w14:paraId="0ECBAE65"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 xml:space="preserve"> –</w:t>
            </w:r>
          </w:p>
        </w:tc>
        <w:tc>
          <w:tcPr>
            <w:tcW w:w="3004" w:type="dxa"/>
            <w:vAlign w:val="center"/>
          </w:tcPr>
          <w:p w14:paraId="36EE1BD4"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No data</w:t>
            </w:r>
          </w:p>
        </w:tc>
      </w:tr>
      <w:tr w:rsidR="00026EBE" w14:paraId="571EBD08" w14:textId="77777777" w:rsidTr="000850F6">
        <w:tc>
          <w:tcPr>
            <w:cnfStyle w:val="001000000000" w:firstRow="0" w:lastRow="0" w:firstColumn="1" w:lastColumn="0" w:oddVBand="0" w:evenVBand="0" w:oddHBand="0" w:evenHBand="0" w:firstRowFirstColumn="0" w:firstRowLastColumn="0" w:lastRowFirstColumn="0" w:lastRowLastColumn="0"/>
            <w:tcW w:w="3008" w:type="dxa"/>
            <w:vAlign w:val="center"/>
          </w:tcPr>
          <w:p w14:paraId="28494CC9" w14:textId="77777777" w:rsidR="00026EBE" w:rsidRPr="00BE41EC" w:rsidRDefault="00026EBE" w:rsidP="000850F6">
            <w:r w:rsidRPr="00BE41EC">
              <w:t>Oxybenzone</w:t>
            </w:r>
          </w:p>
          <w:p w14:paraId="1F138AD2" w14:textId="77777777" w:rsidR="00026EBE" w:rsidRDefault="00026EBE" w:rsidP="000850F6">
            <w:r w:rsidRPr="00BE41EC">
              <w:t xml:space="preserve">(SCCP 2006a; 2021c) </w:t>
            </w:r>
          </w:p>
        </w:tc>
        <w:tc>
          <w:tcPr>
            <w:tcW w:w="3004" w:type="dxa"/>
            <w:vAlign w:val="center"/>
          </w:tcPr>
          <w:p w14:paraId="4BC15EEC" w14:textId="77777777" w:rsidR="00026EBE" w:rsidRPr="00BE41EC" w:rsidRDefault="00026EBE" w:rsidP="000850F6">
            <w:pPr>
              <w:cnfStyle w:val="000000000000" w:firstRow="0" w:lastRow="0" w:firstColumn="0" w:lastColumn="0" w:oddVBand="0" w:evenVBand="0" w:oddHBand="0" w:evenHBand="0" w:firstRowFirstColumn="0" w:firstRowLastColumn="0" w:lastRowFirstColumn="0" w:lastRowLastColumn="0"/>
            </w:pPr>
            <w:r w:rsidRPr="00BE41EC">
              <w:t xml:space="preserve">Mice (B6C3F1/N; </w:t>
            </w:r>
            <w:r w:rsidRPr="00BE41EC">
              <w:rPr>
                <w:i/>
              </w:rPr>
              <w:t>n</w:t>
            </w:r>
            <w:r w:rsidRPr="00BE41EC">
              <w:t xml:space="preserve">=50/sex/group), 0, 1000, 3000, 10000 ppm (equivalent to 113/109, 339/320, 1207/1278 mg/kg </w:t>
            </w:r>
            <w:proofErr w:type="spellStart"/>
            <w:r w:rsidRPr="00BE41EC">
              <w:t>bw</w:t>
            </w:r>
            <w:proofErr w:type="spellEnd"/>
            <w:r w:rsidRPr="00BE41EC">
              <w:t>/day in ♂/♀)</w:t>
            </w:r>
          </w:p>
          <w:p w14:paraId="54636C4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 xml:space="preserve">Rats (SD; </w:t>
            </w:r>
            <w:r w:rsidRPr="00BE41EC">
              <w:rPr>
                <w:i/>
              </w:rPr>
              <w:t>n</w:t>
            </w:r>
            <w:r w:rsidRPr="00BE41EC">
              <w:t xml:space="preserve">=10/sex/group), 0, 1000, 3000, 10000 ppm (equivalent to 58/60, 168/180, 585/632 mg/kg </w:t>
            </w:r>
            <w:proofErr w:type="spellStart"/>
            <w:r w:rsidRPr="00BE41EC">
              <w:t>bw</w:t>
            </w:r>
            <w:proofErr w:type="spellEnd"/>
            <w:r w:rsidRPr="00BE41EC">
              <w:t>/day in ♂/♀)</w:t>
            </w:r>
            <w:r>
              <w:t xml:space="preserve"> </w:t>
            </w:r>
            <w:r w:rsidRPr="00BE41EC">
              <w:t>Two years (beginning on GD6 in ♀)</w:t>
            </w:r>
          </w:p>
        </w:tc>
        <w:tc>
          <w:tcPr>
            <w:tcW w:w="3004" w:type="dxa"/>
            <w:vAlign w:val="center"/>
          </w:tcPr>
          <w:p w14:paraId="053D08BB" w14:textId="77777777" w:rsidR="00026EBE" w:rsidRPr="00BE41EC" w:rsidRDefault="00026EBE" w:rsidP="000850F6">
            <w:pPr>
              <w:cnfStyle w:val="000000000000" w:firstRow="0" w:lastRow="0" w:firstColumn="0" w:lastColumn="0" w:oddVBand="0" w:evenVBand="0" w:oddHBand="0" w:evenHBand="0" w:firstRowFirstColumn="0" w:firstRowLastColumn="0" w:lastRowFirstColumn="0" w:lastRowLastColumn="0"/>
            </w:pPr>
            <w:r w:rsidRPr="00BE41EC">
              <w:t>Mice: ↑ lesions in the bone marrow, spleen, and kidney of both sexes and in the liver in ♂</w:t>
            </w:r>
          </w:p>
          <w:p w14:paraId="11849EDD"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 xml:space="preserve">Rats: ↑ incidence of brain and spinal cord malignant meningiomas at 3000 ppm in ♂ and thyroid C-cell adenomas at 3000 ppm) and uterine stromal polyps at 3000 ppm in ♀ without any dose-response relationship. </w:t>
            </w:r>
          </w:p>
          <w:p w14:paraId="27CF4F37"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 xml:space="preserve">These findings are considered equivocal evidence of carcinogenicity. </w:t>
            </w:r>
          </w:p>
        </w:tc>
      </w:tr>
      <w:tr w:rsidR="00026EBE" w14:paraId="53B7963F" w14:textId="77777777" w:rsidTr="000850F6">
        <w:tc>
          <w:tcPr>
            <w:cnfStyle w:val="001000000000" w:firstRow="0" w:lastRow="0" w:firstColumn="1" w:lastColumn="0" w:oddVBand="0" w:evenVBand="0" w:oddHBand="0" w:evenHBand="0" w:firstRowFirstColumn="0" w:firstRowLastColumn="0" w:lastRowFirstColumn="0" w:lastRowLastColumn="0"/>
            <w:tcW w:w="3008" w:type="dxa"/>
            <w:vAlign w:val="center"/>
          </w:tcPr>
          <w:p w14:paraId="5146C3C2" w14:textId="77777777" w:rsidR="00026EBE" w:rsidRDefault="00026EBE" w:rsidP="000850F6">
            <w:r w:rsidRPr="00BE41EC">
              <w:t>PBSA</w:t>
            </w:r>
          </w:p>
        </w:tc>
        <w:tc>
          <w:tcPr>
            <w:tcW w:w="3004" w:type="dxa"/>
            <w:vAlign w:val="center"/>
          </w:tcPr>
          <w:p w14:paraId="22D0B9E0"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w:t>
            </w:r>
          </w:p>
        </w:tc>
        <w:tc>
          <w:tcPr>
            <w:tcW w:w="3004" w:type="dxa"/>
            <w:vAlign w:val="center"/>
          </w:tcPr>
          <w:p w14:paraId="3C779C65"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t xml:space="preserve">No data </w:t>
            </w:r>
          </w:p>
        </w:tc>
      </w:tr>
    </w:tbl>
    <w:p w14:paraId="450BDAA2" w14:textId="77777777" w:rsidR="00026EBE" w:rsidRDefault="00026EBE" w:rsidP="00026EBE">
      <w:pPr>
        <w:pStyle w:val="Heading3"/>
      </w:pPr>
      <w:bookmarkStart w:id="120" w:name="_Toc296419645"/>
      <w:bookmarkStart w:id="121" w:name="_Toc64877750"/>
      <w:bookmarkStart w:id="122" w:name="_Toc100664718"/>
      <w:bookmarkStart w:id="123" w:name="_Toc157439288"/>
      <w:bookmarkStart w:id="124" w:name="_Toc173830130"/>
      <w:bookmarkStart w:id="125" w:name="_Toc189819965"/>
      <w:bookmarkStart w:id="126" w:name="_Toc190081235"/>
      <w:r w:rsidRPr="0074486E">
        <w:t>Reproductive and developmental studies</w:t>
      </w:r>
      <w:bookmarkEnd w:id="120"/>
      <w:bookmarkEnd w:id="121"/>
      <w:bookmarkEnd w:id="122"/>
      <w:bookmarkEnd w:id="123"/>
      <w:bookmarkEnd w:id="124"/>
      <w:bookmarkEnd w:id="125"/>
      <w:bookmarkEnd w:id="126"/>
    </w:p>
    <w:p w14:paraId="72CF5A55" w14:textId="77777777" w:rsidR="00026EBE" w:rsidRPr="00D27219" w:rsidRDefault="00026EBE" w:rsidP="00026EBE">
      <w:r w:rsidRPr="00D27219">
        <w:t>A summary of reproductive and developmental toxicity studies for each sunscreen ingredient is shown in the table below.</w:t>
      </w:r>
    </w:p>
    <w:p w14:paraId="17C954C9" w14:textId="77777777" w:rsidR="00026EBE" w:rsidRDefault="00026EBE" w:rsidP="00026EBE">
      <w:pPr>
        <w:pStyle w:val="Tabletitle"/>
      </w:pPr>
      <w:r>
        <w:t>Table 3-9. Summary of reproductive and developmental toxicity studies with sunscreen ingredients</w:t>
      </w:r>
    </w:p>
    <w:tbl>
      <w:tblPr>
        <w:tblStyle w:val="TableTGAblue2023"/>
        <w:tblW w:w="0" w:type="auto"/>
        <w:tblLook w:val="04A0" w:firstRow="1" w:lastRow="0" w:firstColumn="1" w:lastColumn="0" w:noHBand="0" w:noVBand="1"/>
      </w:tblPr>
      <w:tblGrid>
        <w:gridCol w:w="3008"/>
        <w:gridCol w:w="3004"/>
        <w:gridCol w:w="3004"/>
      </w:tblGrid>
      <w:tr w:rsidR="00026EBE" w14:paraId="66122753" w14:textId="77777777" w:rsidTr="0008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21C657B2" w14:textId="77777777" w:rsidR="00026EBE" w:rsidRDefault="00026EBE" w:rsidP="000850F6">
            <w:r w:rsidRPr="005E5795">
              <w:t xml:space="preserve">Active ingredient </w:t>
            </w:r>
          </w:p>
        </w:tc>
        <w:tc>
          <w:tcPr>
            <w:tcW w:w="3004" w:type="dxa"/>
            <w:vAlign w:val="center"/>
          </w:tcPr>
          <w:p w14:paraId="511F15BD"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rsidRPr="005E5795">
              <w:t xml:space="preserve">Study </w:t>
            </w:r>
            <w:proofErr w:type="spellStart"/>
            <w:r w:rsidRPr="005E5795">
              <w:t>details</w:t>
            </w:r>
            <w:r w:rsidRPr="005E5795">
              <w:rPr>
                <w:vertAlign w:val="superscript"/>
              </w:rPr>
              <w:t>Δ</w:t>
            </w:r>
            <w:proofErr w:type="spellEnd"/>
          </w:p>
        </w:tc>
        <w:tc>
          <w:tcPr>
            <w:tcW w:w="3004" w:type="dxa"/>
            <w:vAlign w:val="center"/>
          </w:tcPr>
          <w:p w14:paraId="3091D7D7"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rsidRPr="005E5795">
              <w:t>Major findings</w:t>
            </w:r>
          </w:p>
        </w:tc>
      </w:tr>
      <w:tr w:rsidR="00026EBE" w14:paraId="0AC3C04C"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restart"/>
          </w:tcPr>
          <w:p w14:paraId="617B7B49" w14:textId="77777777" w:rsidR="00026EBE" w:rsidRPr="00BE41EC" w:rsidRDefault="00026EBE" w:rsidP="000850F6">
            <w:pPr>
              <w:pStyle w:val="Tabletextleft"/>
              <w:rPr>
                <w:rFonts w:ascii="Arial" w:hAnsi="Arial" w:cs="Arial"/>
              </w:rPr>
            </w:pPr>
            <w:r w:rsidRPr="00BE41EC">
              <w:rPr>
                <w:rFonts w:ascii="Arial" w:hAnsi="Arial" w:cs="Arial"/>
              </w:rPr>
              <w:t xml:space="preserve">Avobenzone </w:t>
            </w:r>
          </w:p>
          <w:p w14:paraId="59357B15" w14:textId="77777777" w:rsidR="00026EBE" w:rsidRDefault="00026EBE" w:rsidP="000850F6">
            <w:r w:rsidRPr="00BE41EC">
              <w:rPr>
                <w:rFonts w:cs="Arial"/>
              </w:rPr>
              <w:t>(ECHA 2021a;</w:t>
            </w:r>
            <w:r w:rsidRPr="00BE41EC">
              <w:rPr>
                <w:rFonts w:cs="Arial"/>
                <w:b/>
              </w:rPr>
              <w:t xml:space="preserve"> </w:t>
            </w:r>
            <w:r w:rsidRPr="00BE41EC">
              <w:rPr>
                <w:rFonts w:cs="Arial"/>
              </w:rPr>
              <w:t xml:space="preserve">DEPA 2015)  </w:t>
            </w:r>
          </w:p>
        </w:tc>
        <w:tc>
          <w:tcPr>
            <w:tcW w:w="3004" w:type="dxa"/>
            <w:vAlign w:val="center"/>
          </w:tcPr>
          <w:p w14:paraId="73BFAD1E" w14:textId="77777777" w:rsidR="00026EBE" w:rsidRDefault="00026EBE" w:rsidP="000850F6">
            <w:pPr>
              <w:pStyle w:val="Tabletextleft"/>
              <w:cnfStyle w:val="000000000000" w:firstRow="0" w:lastRow="0" w:firstColumn="0" w:lastColumn="0" w:oddVBand="0" w:evenVBand="0" w:oddHBand="0" w:evenHBand="0" w:firstRowFirstColumn="0" w:firstRowLastColumn="0" w:lastRowFirstColumn="0" w:lastRowLastColumn="0"/>
            </w:pPr>
            <w:r w:rsidRPr="00BE41EC">
              <w:rPr>
                <w:rFonts w:ascii="Arial" w:hAnsi="Arial" w:cs="Arial"/>
              </w:rPr>
              <w:t xml:space="preserve">Rats at 0, 250, 500 and 1000 mg/kg </w:t>
            </w:r>
            <w:proofErr w:type="spellStart"/>
            <w:r w:rsidRPr="00BE41EC">
              <w:rPr>
                <w:rFonts w:ascii="Arial" w:hAnsi="Arial" w:cs="Arial"/>
              </w:rPr>
              <w:t>bw</w:t>
            </w:r>
            <w:proofErr w:type="spellEnd"/>
            <w:r w:rsidRPr="00BE41EC">
              <w:rPr>
                <w:rFonts w:ascii="Arial" w:hAnsi="Arial" w:cs="Arial"/>
              </w:rPr>
              <w:t xml:space="preserve">/day (oral gavage), GD 7 -16. </w:t>
            </w:r>
          </w:p>
        </w:tc>
        <w:tc>
          <w:tcPr>
            <w:tcW w:w="3004" w:type="dxa"/>
            <w:vAlign w:val="center"/>
          </w:tcPr>
          <w:p w14:paraId="1B614599"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No treatment-related skeletal malformations were observed. One pup with two fused sternal elements was seen at LD. A slight increase of incised neural arches and </w:t>
            </w:r>
            <w:proofErr w:type="spellStart"/>
            <w:r w:rsidRPr="00BE41EC">
              <w:rPr>
                <w:rFonts w:ascii="Arial" w:hAnsi="Arial" w:cs="Arial"/>
              </w:rPr>
              <w:t>sternebrae</w:t>
            </w:r>
            <w:proofErr w:type="spellEnd"/>
            <w:r w:rsidRPr="00BE41EC">
              <w:rPr>
                <w:rFonts w:ascii="Arial" w:hAnsi="Arial" w:cs="Arial"/>
              </w:rPr>
              <w:t xml:space="preserve"> was seen at 500 mg/kg/day. The soft tissue examination displayed one </w:t>
            </w:r>
            <w:proofErr w:type="spellStart"/>
            <w:r w:rsidRPr="00BE41EC">
              <w:rPr>
                <w:rFonts w:ascii="Arial" w:hAnsi="Arial" w:cs="Arial"/>
              </w:rPr>
              <w:t>fetus</w:t>
            </w:r>
            <w:proofErr w:type="spellEnd"/>
            <w:r w:rsidRPr="00BE41EC">
              <w:rPr>
                <w:rFonts w:ascii="Arial" w:hAnsi="Arial" w:cs="Arial"/>
              </w:rPr>
              <w:t xml:space="preserve"> of the 500 mg/kg dose group with unilateral missing ovarium and uterus. No effects were considered treatment related in the absence of dose dependence. In the rearing group, all measured parameters were well comparable to concurrent control group values.</w:t>
            </w:r>
          </w:p>
          <w:p w14:paraId="7DB7AF0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BE41EC">
              <w:rPr>
                <w:rFonts w:cs="Arial"/>
              </w:rPr>
              <w:t xml:space="preserve">Maternal and developmental NOAEL: 1000 mg/kg </w:t>
            </w:r>
            <w:proofErr w:type="spellStart"/>
            <w:r w:rsidRPr="00BE41EC">
              <w:rPr>
                <w:rFonts w:cs="Arial"/>
              </w:rPr>
              <w:t>bw</w:t>
            </w:r>
            <w:proofErr w:type="spellEnd"/>
            <w:r w:rsidRPr="00BE41EC">
              <w:rPr>
                <w:rFonts w:cs="Arial"/>
              </w:rPr>
              <w:t>/day.</w:t>
            </w:r>
          </w:p>
        </w:tc>
      </w:tr>
      <w:tr w:rsidR="00026EBE" w14:paraId="32FEFD0A"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tcPr>
          <w:p w14:paraId="12B4E22D" w14:textId="77777777" w:rsidR="00026EBE" w:rsidRPr="00BE41EC" w:rsidRDefault="00026EBE" w:rsidP="000850F6">
            <w:pPr>
              <w:pStyle w:val="Tabletextleft"/>
              <w:rPr>
                <w:rFonts w:ascii="Arial" w:hAnsi="Arial" w:cs="Arial"/>
              </w:rPr>
            </w:pPr>
          </w:p>
        </w:tc>
        <w:tc>
          <w:tcPr>
            <w:tcW w:w="3004" w:type="dxa"/>
            <w:vAlign w:val="center"/>
          </w:tcPr>
          <w:p w14:paraId="4055A586"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Rabbits, single dose of 500 mg/kg </w:t>
            </w:r>
            <w:proofErr w:type="spellStart"/>
            <w:r w:rsidRPr="00BE41EC">
              <w:rPr>
                <w:rFonts w:ascii="Arial" w:hAnsi="Arial" w:cs="Arial"/>
              </w:rPr>
              <w:t>bw</w:t>
            </w:r>
            <w:proofErr w:type="spellEnd"/>
            <w:r w:rsidRPr="00BE41EC">
              <w:rPr>
                <w:rFonts w:ascii="Arial" w:hAnsi="Arial" w:cs="Arial"/>
              </w:rPr>
              <w:t>/day GD 7-19 (oral, daily)</w:t>
            </w:r>
          </w:p>
        </w:tc>
        <w:tc>
          <w:tcPr>
            <w:tcW w:w="3004" w:type="dxa"/>
            <w:vAlign w:val="center"/>
          </w:tcPr>
          <w:p w14:paraId="30BBE2F7"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  No treatment-related effects or teratogenicity. </w:t>
            </w:r>
          </w:p>
        </w:tc>
      </w:tr>
      <w:tr w:rsidR="00026EBE" w14:paraId="6453B44C"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restart"/>
            <w:vAlign w:val="center"/>
          </w:tcPr>
          <w:p w14:paraId="7B3E4444" w14:textId="77777777" w:rsidR="00026EBE" w:rsidRPr="00BE41EC" w:rsidRDefault="00026EBE" w:rsidP="000850F6">
            <w:pPr>
              <w:pStyle w:val="Tabletextleft"/>
              <w:rPr>
                <w:rFonts w:ascii="Arial" w:hAnsi="Arial" w:cs="Arial"/>
              </w:rPr>
            </w:pPr>
            <w:r w:rsidRPr="00BE41EC">
              <w:rPr>
                <w:rFonts w:ascii="Arial" w:hAnsi="Arial" w:cs="Arial"/>
              </w:rPr>
              <w:t>Octinoxate</w:t>
            </w:r>
          </w:p>
          <w:p w14:paraId="1ECDEA87" w14:textId="77777777" w:rsidR="00026EBE" w:rsidRPr="00BE41EC" w:rsidRDefault="00026EBE" w:rsidP="000850F6">
            <w:pPr>
              <w:pStyle w:val="Tabletextleft"/>
              <w:rPr>
                <w:rFonts w:ascii="Arial" w:hAnsi="Arial" w:cs="Arial"/>
              </w:rPr>
            </w:pPr>
            <w:r w:rsidRPr="00BE41EC">
              <w:rPr>
                <w:rFonts w:ascii="Arial" w:hAnsi="Arial" w:cs="Arial"/>
              </w:rPr>
              <w:t>(ECHA 2021e)</w:t>
            </w:r>
          </w:p>
        </w:tc>
        <w:tc>
          <w:tcPr>
            <w:tcW w:w="3004" w:type="dxa"/>
            <w:vAlign w:val="center"/>
          </w:tcPr>
          <w:p w14:paraId="5CAB0067"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Rats (Wistar); </w:t>
            </w:r>
            <w:r w:rsidRPr="00BE41EC">
              <w:rPr>
                <w:rFonts w:ascii="Arial" w:hAnsi="Arial" w:cs="Arial"/>
                <w:i/>
              </w:rPr>
              <w:t>n</w:t>
            </w:r>
            <w:r w:rsidRPr="00BE41EC">
              <w:rPr>
                <w:rFonts w:ascii="Arial" w:hAnsi="Arial" w:cs="Arial"/>
              </w:rPr>
              <w:t xml:space="preserve"> = 25/sex/dose. 0, 150, 450 or 1000 mg/kg </w:t>
            </w:r>
            <w:proofErr w:type="spellStart"/>
            <w:r w:rsidRPr="00BE41EC">
              <w:rPr>
                <w:rFonts w:ascii="Arial" w:hAnsi="Arial" w:cs="Arial"/>
              </w:rPr>
              <w:t>bw</w:t>
            </w:r>
            <w:proofErr w:type="spellEnd"/>
            <w:r w:rsidRPr="00BE41EC">
              <w:rPr>
                <w:rFonts w:ascii="Arial" w:hAnsi="Arial" w:cs="Arial"/>
              </w:rPr>
              <w:t xml:space="preserve">/day </w:t>
            </w:r>
            <w:r w:rsidRPr="00BE41EC">
              <w:rPr>
                <w:rFonts w:ascii="Arial" w:hAnsi="Arial" w:cs="Arial"/>
              </w:rPr>
              <w:br/>
              <w:t xml:space="preserve">(oral), The parental (F0) generation was exposed throughout premating period (73 days), mating (21 days), gestation (21 days), and up to weaning of the F1 offspring (21 days). The duration of exposure for the F1 generation was </w:t>
            </w:r>
            <w:proofErr w:type="gramStart"/>
            <w:r w:rsidRPr="00BE41EC">
              <w:rPr>
                <w:rFonts w:ascii="Arial" w:hAnsi="Arial" w:cs="Arial"/>
              </w:rPr>
              <w:t>similar to</w:t>
            </w:r>
            <w:proofErr w:type="gramEnd"/>
            <w:r w:rsidRPr="00BE41EC">
              <w:rPr>
                <w:rFonts w:ascii="Arial" w:hAnsi="Arial" w:cs="Arial"/>
              </w:rPr>
              <w:t xml:space="preserve"> F0. </w:t>
            </w:r>
          </w:p>
        </w:tc>
        <w:tc>
          <w:tcPr>
            <w:tcW w:w="3004" w:type="dxa"/>
            <w:vAlign w:val="center"/>
          </w:tcPr>
          <w:p w14:paraId="273B5493"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No adverse effects were observed on oestrous cycles, sperm and follicle parameters, mating, fertility, morphology and motility, gestation and parturition. </w:t>
            </w:r>
          </w:p>
          <w:p w14:paraId="2A28471F"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food consumption and body weight, ↑ liver weight and hepatic cytoplasmic eosinophilia related to hepatic enzyme induction, and ↑ ulceration of the glandular stomach mucosa at HD.</w:t>
            </w:r>
          </w:p>
          <w:p w14:paraId="663D412F"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In the offspring, ↓ lactation weight gain and organ weights, and slightly delayed sexual maturation (vaginal opening and preputial separation) at HD. </w:t>
            </w:r>
          </w:p>
          <w:p w14:paraId="56FA8881"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b/>
                <w:bCs/>
              </w:rPr>
              <w:t xml:space="preserve">NOAEL: 450 mg/kg </w:t>
            </w:r>
            <w:proofErr w:type="spellStart"/>
            <w:r w:rsidRPr="00BE41EC">
              <w:rPr>
                <w:rFonts w:ascii="Arial" w:hAnsi="Arial" w:cs="Arial"/>
                <w:b/>
                <w:bCs/>
              </w:rPr>
              <w:t>bw</w:t>
            </w:r>
            <w:proofErr w:type="spellEnd"/>
            <w:r w:rsidRPr="00BE41EC">
              <w:rPr>
                <w:rFonts w:ascii="Arial" w:hAnsi="Arial" w:cs="Arial"/>
                <w:b/>
                <w:bCs/>
              </w:rPr>
              <w:t>/day</w:t>
            </w:r>
            <w:r w:rsidRPr="00BE41EC">
              <w:rPr>
                <w:rFonts w:ascii="Arial" w:hAnsi="Arial" w:cs="Arial"/>
              </w:rPr>
              <w:t xml:space="preserve"> for fertility and reproduction parameters, and for systemic parental and developmental toxicity (Schneider </w:t>
            </w:r>
            <w:r w:rsidRPr="00BE41EC">
              <w:rPr>
                <w:rFonts w:ascii="Arial" w:hAnsi="Arial" w:cs="Arial"/>
                <w:i/>
              </w:rPr>
              <w:t>et al.</w:t>
            </w:r>
            <w:r w:rsidRPr="00BE41EC">
              <w:rPr>
                <w:rFonts w:ascii="Arial" w:hAnsi="Arial" w:cs="Arial"/>
              </w:rPr>
              <w:t xml:space="preserve"> 2005, REACH).</w:t>
            </w:r>
            <w:r w:rsidRPr="00BE41EC">
              <w:rPr>
                <w:rFonts w:ascii="Arial" w:hAnsi="Arial" w:cs="Arial"/>
                <w:vertAlign w:val="superscript"/>
              </w:rPr>
              <w:t xml:space="preserve"> </w:t>
            </w:r>
          </w:p>
        </w:tc>
      </w:tr>
      <w:tr w:rsidR="00026EBE" w14:paraId="798EC58F"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tcPr>
          <w:p w14:paraId="7A38B5FA" w14:textId="77777777" w:rsidR="00026EBE" w:rsidRPr="00BE41EC" w:rsidRDefault="00026EBE" w:rsidP="000850F6">
            <w:pPr>
              <w:pStyle w:val="Tabletextleft"/>
              <w:rPr>
                <w:rFonts w:ascii="Arial" w:hAnsi="Arial" w:cs="Arial"/>
              </w:rPr>
            </w:pPr>
          </w:p>
        </w:tc>
        <w:tc>
          <w:tcPr>
            <w:tcW w:w="3004" w:type="dxa"/>
            <w:vAlign w:val="center"/>
          </w:tcPr>
          <w:p w14:paraId="6CAA2703"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Pregnant rabbits (</w:t>
            </w:r>
            <w:r w:rsidRPr="00BE41EC">
              <w:rPr>
                <w:rFonts w:ascii="Arial" w:hAnsi="Arial" w:cs="Arial"/>
                <w:i/>
              </w:rPr>
              <w:t>n</w:t>
            </w:r>
            <w:r w:rsidRPr="00BE41EC">
              <w:rPr>
                <w:rFonts w:ascii="Arial" w:hAnsi="Arial" w:cs="Arial"/>
              </w:rPr>
              <w:t xml:space="preserve">=20/dose), 80, 200 or 500 mg/kg </w:t>
            </w:r>
            <w:proofErr w:type="spellStart"/>
            <w:r w:rsidRPr="00BE41EC">
              <w:rPr>
                <w:rFonts w:ascii="Arial" w:hAnsi="Arial" w:cs="Arial"/>
              </w:rPr>
              <w:t>bw</w:t>
            </w:r>
            <w:proofErr w:type="spellEnd"/>
            <w:r w:rsidRPr="00BE41EC">
              <w:rPr>
                <w:rFonts w:ascii="Arial" w:hAnsi="Arial" w:cs="Arial"/>
              </w:rPr>
              <w:t xml:space="preserve">/day on GD 7–20. </w:t>
            </w:r>
          </w:p>
        </w:tc>
        <w:tc>
          <w:tcPr>
            <w:tcW w:w="3004" w:type="dxa"/>
            <w:vAlign w:val="center"/>
          </w:tcPr>
          <w:p w14:paraId="56A78D35"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Reproductive parameters were not affected. Except for a slight reduction of maternal and foetal weight at HD, no abnormality was found. The </w:t>
            </w:r>
            <w:proofErr w:type="spellStart"/>
            <w:r w:rsidRPr="00BE41EC">
              <w:rPr>
                <w:rFonts w:ascii="Arial" w:hAnsi="Arial" w:cs="Arial"/>
              </w:rPr>
              <w:t>fetuses</w:t>
            </w:r>
            <w:proofErr w:type="spellEnd"/>
            <w:r w:rsidRPr="00BE41EC">
              <w:rPr>
                <w:rFonts w:ascii="Arial" w:hAnsi="Arial" w:cs="Arial"/>
              </w:rPr>
              <w:t xml:space="preserve"> did not show any skeletal or visceral abnormalities. ↓ body weight at HD, but within the range of other doses and the controls. </w:t>
            </w:r>
          </w:p>
          <w:p w14:paraId="74E1127A"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NOAELs: 500 mg/kg </w:t>
            </w:r>
            <w:proofErr w:type="spellStart"/>
            <w:r w:rsidRPr="00BE41EC">
              <w:rPr>
                <w:rFonts w:ascii="Arial" w:hAnsi="Arial" w:cs="Arial"/>
              </w:rPr>
              <w:t>bw</w:t>
            </w:r>
            <w:proofErr w:type="spellEnd"/>
            <w:r w:rsidRPr="00BE41EC">
              <w:rPr>
                <w:rFonts w:ascii="Arial" w:hAnsi="Arial" w:cs="Arial"/>
              </w:rPr>
              <w:t>/day (Maternal and developmental).</w:t>
            </w:r>
          </w:p>
        </w:tc>
      </w:tr>
      <w:tr w:rsidR="00026EBE" w14:paraId="7292776D"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tcPr>
          <w:p w14:paraId="753DE6DF" w14:textId="77777777" w:rsidR="00026EBE" w:rsidRPr="00BE41EC" w:rsidRDefault="00026EBE" w:rsidP="000850F6">
            <w:pPr>
              <w:pStyle w:val="Tabletextleft"/>
              <w:rPr>
                <w:rFonts w:ascii="Arial" w:hAnsi="Arial" w:cs="Arial"/>
              </w:rPr>
            </w:pPr>
          </w:p>
        </w:tc>
        <w:tc>
          <w:tcPr>
            <w:tcW w:w="3004" w:type="dxa"/>
            <w:vAlign w:val="center"/>
          </w:tcPr>
          <w:p w14:paraId="62CEF6D1"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Rats (albino, </w:t>
            </w:r>
            <w:r w:rsidRPr="00BE41EC">
              <w:rPr>
                <w:rFonts w:ascii="Arial" w:eastAsia="Cambria" w:hAnsi="Arial" w:cs="Arial"/>
                <w:kern w:val="0"/>
              </w:rPr>
              <w:t>♀</w:t>
            </w:r>
            <w:r w:rsidRPr="00BE41EC">
              <w:rPr>
                <w:rFonts w:ascii="Arial" w:hAnsi="Arial" w:cs="Arial"/>
              </w:rPr>
              <w:t xml:space="preserve">), single dose of 1000 mg/kg </w:t>
            </w:r>
            <w:proofErr w:type="spellStart"/>
            <w:r w:rsidRPr="00BE41EC">
              <w:rPr>
                <w:rFonts w:ascii="Arial" w:hAnsi="Arial" w:cs="Arial"/>
              </w:rPr>
              <w:t>bw</w:t>
            </w:r>
            <w:proofErr w:type="spellEnd"/>
            <w:r w:rsidRPr="00BE41EC">
              <w:rPr>
                <w:rFonts w:ascii="Arial" w:hAnsi="Arial" w:cs="Arial"/>
              </w:rPr>
              <w:t>/day on GD 7–16 (oral gavage)</w:t>
            </w:r>
          </w:p>
        </w:tc>
        <w:tc>
          <w:tcPr>
            <w:tcW w:w="3004" w:type="dxa"/>
            <w:vAlign w:val="center"/>
          </w:tcPr>
          <w:p w14:paraId="38DF88DE"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No maternal, embryotoxic or teratogenic effects were observed. No other information was provided.</w:t>
            </w:r>
          </w:p>
        </w:tc>
      </w:tr>
      <w:tr w:rsidR="00026EBE" w14:paraId="6DA3E08E"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tcPr>
          <w:p w14:paraId="77FC7513" w14:textId="77777777" w:rsidR="00026EBE" w:rsidRPr="00BE41EC" w:rsidRDefault="00026EBE" w:rsidP="000850F6">
            <w:pPr>
              <w:pStyle w:val="Tabletextleft"/>
              <w:rPr>
                <w:rFonts w:ascii="Arial" w:hAnsi="Arial" w:cs="Arial"/>
              </w:rPr>
            </w:pPr>
          </w:p>
        </w:tc>
        <w:tc>
          <w:tcPr>
            <w:tcW w:w="3004" w:type="dxa"/>
            <w:vAlign w:val="center"/>
          </w:tcPr>
          <w:p w14:paraId="2B244A12"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NTP-DART-06 (2022b)</w:t>
            </w:r>
          </w:p>
          <w:p w14:paraId="2A3A6B3C"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Modified one-generation study</w:t>
            </w:r>
          </w:p>
          <w:p w14:paraId="1E309658"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Rats (SD); </w:t>
            </w:r>
            <w:r w:rsidRPr="00BE41EC">
              <w:rPr>
                <w:rFonts w:ascii="Arial" w:hAnsi="Arial" w:cs="Arial"/>
                <w:i/>
                <w:iCs/>
              </w:rPr>
              <w:t>n</w:t>
            </w:r>
            <w:r w:rsidRPr="00BE41EC">
              <w:rPr>
                <w:rFonts w:ascii="Arial" w:hAnsi="Arial" w:cs="Arial"/>
              </w:rPr>
              <w:t xml:space="preserve">=26/dose; exposure through feed and/or lactation </w:t>
            </w:r>
          </w:p>
          <w:p w14:paraId="490474A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1000, 3000, 6000 ppm (equivalent to 70 to 87, 207-418, 419-842 mg/kg/day) </w:t>
            </w:r>
          </w:p>
          <w:p w14:paraId="4AFB02FA"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F</w:t>
            </w:r>
            <w:r w:rsidRPr="00BE41EC">
              <w:rPr>
                <w:rFonts w:ascii="Arial" w:hAnsi="Arial" w:cs="Arial"/>
                <w:vertAlign w:val="subscript"/>
              </w:rPr>
              <w:t xml:space="preserve">0 </w:t>
            </w:r>
            <w:r w:rsidRPr="00BE41EC">
              <w:rPr>
                <w:rFonts w:ascii="Arial" w:hAnsi="Arial" w:cs="Arial"/>
              </w:rPr>
              <w:t xml:space="preserve">dams: GD6 - LD 28 </w:t>
            </w:r>
          </w:p>
          <w:p w14:paraId="1AAE1D65"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F</w:t>
            </w:r>
            <w:r w:rsidRPr="00BE41EC">
              <w:rPr>
                <w:rFonts w:ascii="Arial" w:hAnsi="Arial" w:cs="Arial"/>
                <w:vertAlign w:val="subscript"/>
              </w:rPr>
              <w:t>1</w:t>
            </w:r>
            <w:r w:rsidRPr="00BE41EC">
              <w:rPr>
                <w:rFonts w:ascii="Arial" w:hAnsi="Arial" w:cs="Arial"/>
              </w:rPr>
              <w:t xml:space="preserve"> offspring were exposed in utero and during lactation through postnatal day (PND) 28 and evaluated for signs of toxicity. After weaning, F</w:t>
            </w:r>
            <w:r w:rsidRPr="00BE41EC">
              <w:rPr>
                <w:rFonts w:ascii="Arial" w:hAnsi="Arial" w:cs="Arial"/>
                <w:vertAlign w:val="subscript"/>
              </w:rPr>
              <w:t>1</w:t>
            </w:r>
            <w:r w:rsidRPr="00BE41EC">
              <w:rPr>
                <w:rFonts w:ascii="Arial" w:hAnsi="Arial" w:cs="Arial"/>
              </w:rPr>
              <w:t xml:space="preserve"> offspring were allocated into prenatal, reproductive performance or </w:t>
            </w:r>
            <w:proofErr w:type="spellStart"/>
            <w:r w:rsidRPr="00BE41EC">
              <w:rPr>
                <w:rFonts w:ascii="Arial" w:hAnsi="Arial" w:cs="Arial"/>
              </w:rPr>
              <w:t>subchronic</w:t>
            </w:r>
            <w:proofErr w:type="spellEnd"/>
            <w:r w:rsidRPr="00BE41EC">
              <w:rPr>
                <w:rFonts w:ascii="Arial" w:hAnsi="Arial" w:cs="Arial"/>
              </w:rPr>
              <w:t xml:space="preserve"> exposure cohorts. Exposure to test article continued in feed until necropsy on PND96, 120 or 150.  </w:t>
            </w:r>
          </w:p>
          <w:p w14:paraId="24AA66BD"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F</w:t>
            </w:r>
            <w:r w:rsidRPr="00BE41EC">
              <w:rPr>
                <w:rFonts w:ascii="Arial" w:hAnsi="Arial" w:cs="Arial"/>
                <w:vertAlign w:val="subscript"/>
              </w:rPr>
              <w:t xml:space="preserve">2 </w:t>
            </w:r>
            <w:r w:rsidRPr="00BE41EC">
              <w:rPr>
                <w:rFonts w:ascii="Arial" w:hAnsi="Arial" w:cs="Arial"/>
              </w:rPr>
              <w:t xml:space="preserve">offspring were exposed in utero, during lactation and postweaning until necropsy on GD21 or PND28. </w:t>
            </w:r>
          </w:p>
        </w:tc>
        <w:tc>
          <w:tcPr>
            <w:tcW w:w="3004" w:type="dxa"/>
            <w:vAlign w:val="center"/>
          </w:tcPr>
          <w:p w14:paraId="3834193B"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Octinoxate did not induce overt F</w:t>
            </w:r>
            <w:r w:rsidRPr="00BE41EC">
              <w:rPr>
                <w:rFonts w:ascii="Arial" w:hAnsi="Arial" w:cs="Arial"/>
                <w:vertAlign w:val="subscript"/>
              </w:rPr>
              <w:t>0</w:t>
            </w:r>
            <w:r w:rsidRPr="00BE41EC">
              <w:rPr>
                <w:rFonts w:ascii="Arial" w:hAnsi="Arial" w:cs="Arial"/>
              </w:rPr>
              <w:t xml:space="preserve"> or F</w:t>
            </w:r>
            <w:r w:rsidRPr="00BE41EC">
              <w:rPr>
                <w:rFonts w:ascii="Arial" w:hAnsi="Arial" w:cs="Arial"/>
                <w:vertAlign w:val="subscript"/>
              </w:rPr>
              <w:t>1</w:t>
            </w:r>
            <w:r w:rsidRPr="00BE41EC">
              <w:rPr>
                <w:rFonts w:ascii="Arial" w:hAnsi="Arial" w:cs="Arial"/>
              </w:rPr>
              <w:t xml:space="preserve"> maternal toxicity or affected mating or pregnancy indices. Reproductive performance (fertility and fecundity), numbers of live </w:t>
            </w:r>
            <w:proofErr w:type="spellStart"/>
            <w:r w:rsidRPr="00BE41EC">
              <w:rPr>
                <w:rFonts w:ascii="Arial" w:hAnsi="Arial" w:cs="Arial"/>
              </w:rPr>
              <w:t>fetuses</w:t>
            </w:r>
            <w:proofErr w:type="spellEnd"/>
            <w:r w:rsidRPr="00BE41EC">
              <w:rPr>
                <w:rFonts w:ascii="Arial" w:hAnsi="Arial" w:cs="Arial"/>
              </w:rPr>
              <w:t xml:space="preserve"> and pups ware not affected. Octinoxate exposure was not associated with any effects on fetal weight or the incidences of external, visceral, or skeletal malformations. </w:t>
            </w:r>
          </w:p>
          <w:p w14:paraId="41B8CB98"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Equivocal evidence of developmental toxicity was observed:</w:t>
            </w:r>
          </w:p>
          <w:p w14:paraId="696753EB"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Mean pup body weight (F1) at HD</w:t>
            </w:r>
          </w:p>
          <w:p w14:paraId="3C0B4613"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Vaginal opening (F</w:t>
            </w:r>
            <w:r w:rsidRPr="00BE41EC">
              <w:rPr>
                <w:rFonts w:ascii="Arial" w:hAnsi="Arial" w:cs="Arial"/>
                <w:vertAlign w:val="subscript"/>
              </w:rPr>
              <w:t>1</w:t>
            </w:r>
            <w:r w:rsidRPr="00BE41EC">
              <w:rPr>
                <w:rFonts w:ascii="Arial" w:hAnsi="Arial" w:cs="Arial"/>
              </w:rPr>
              <w:t>) from MD</w:t>
            </w:r>
          </w:p>
          <w:p w14:paraId="178C095E"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shd w:val="clear" w:color="auto" w:fill="FFFFFF"/>
              </w:rPr>
              <w:t xml:space="preserve">↑ </w:t>
            </w:r>
            <w:proofErr w:type="spellStart"/>
            <w:r w:rsidRPr="00BE41EC">
              <w:rPr>
                <w:rFonts w:ascii="Arial" w:hAnsi="Arial" w:cs="Arial"/>
                <w:shd w:val="clear" w:color="auto" w:fill="FFFFFF"/>
              </w:rPr>
              <w:t>Balanopreputial</w:t>
            </w:r>
            <w:proofErr w:type="spellEnd"/>
            <w:r w:rsidRPr="00BE41EC">
              <w:rPr>
                <w:rFonts w:ascii="Arial" w:hAnsi="Arial" w:cs="Arial"/>
                <w:shd w:val="clear" w:color="auto" w:fill="FFFFFF"/>
              </w:rPr>
              <w:t xml:space="preserve"> separation (F</w:t>
            </w:r>
            <w:r w:rsidRPr="00BE41EC">
              <w:rPr>
                <w:rFonts w:ascii="Arial" w:hAnsi="Arial" w:cs="Arial"/>
                <w:shd w:val="clear" w:color="auto" w:fill="FFFFFF"/>
                <w:vertAlign w:val="subscript"/>
              </w:rPr>
              <w:t>1</w:t>
            </w:r>
            <w:r w:rsidRPr="00BE41EC">
              <w:rPr>
                <w:rFonts w:ascii="Arial" w:hAnsi="Arial" w:cs="Arial"/>
                <w:shd w:val="clear" w:color="auto" w:fill="FFFFFF"/>
              </w:rPr>
              <w:t>) at HD</w:t>
            </w:r>
          </w:p>
          <w:p w14:paraId="7250130B"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 </w:t>
            </w:r>
          </w:p>
          <w:p w14:paraId="04F77A2C"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NOAEL: 6000 ppm for parental systemic toxicity, fertility and reproduction performance</w:t>
            </w:r>
          </w:p>
          <w:p w14:paraId="2516902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NOAEL: 1000 ppm for developmental toxicity</w:t>
            </w:r>
          </w:p>
        </w:tc>
      </w:tr>
      <w:tr w:rsidR="00026EBE" w14:paraId="492290F3" w14:textId="77777777" w:rsidTr="000850F6">
        <w:tc>
          <w:tcPr>
            <w:cnfStyle w:val="001000000000" w:firstRow="0" w:lastRow="0" w:firstColumn="1" w:lastColumn="0" w:oddVBand="0" w:evenVBand="0" w:oddHBand="0" w:evenHBand="0" w:firstRowFirstColumn="0" w:firstRowLastColumn="0" w:lastRowFirstColumn="0" w:lastRowLastColumn="0"/>
            <w:tcW w:w="3008" w:type="dxa"/>
          </w:tcPr>
          <w:p w14:paraId="42EAABFC" w14:textId="77777777" w:rsidR="00026EBE" w:rsidRPr="00BE41EC" w:rsidRDefault="00026EBE" w:rsidP="000850F6">
            <w:pPr>
              <w:pStyle w:val="Tabletextleft"/>
              <w:rPr>
                <w:rFonts w:ascii="Arial" w:hAnsi="Arial" w:cs="Arial"/>
                <w:kern w:val="2"/>
              </w:rPr>
            </w:pPr>
            <w:r w:rsidRPr="00BE41EC">
              <w:rPr>
                <w:rFonts w:ascii="Arial" w:hAnsi="Arial" w:cs="Arial"/>
                <w:kern w:val="2"/>
              </w:rPr>
              <w:t xml:space="preserve">Octocrylene </w:t>
            </w:r>
          </w:p>
          <w:p w14:paraId="5F127639" w14:textId="3566292A" w:rsidR="00026EBE" w:rsidRPr="00BE41EC" w:rsidRDefault="00026EBE" w:rsidP="00E94C79">
            <w:pPr>
              <w:pStyle w:val="Tabletextleft"/>
              <w:rPr>
                <w:rFonts w:ascii="Arial" w:hAnsi="Arial" w:cs="Arial"/>
              </w:rPr>
            </w:pPr>
            <w:r w:rsidRPr="00BE41EC">
              <w:rPr>
                <w:rFonts w:ascii="Arial" w:hAnsi="Arial" w:cs="Arial"/>
              </w:rPr>
              <w:t>(SCCS 2021a; ECHA 2021d)</w:t>
            </w:r>
          </w:p>
        </w:tc>
        <w:tc>
          <w:tcPr>
            <w:tcW w:w="3004" w:type="dxa"/>
            <w:vAlign w:val="center"/>
          </w:tcPr>
          <w:p w14:paraId="624E47CA"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kern w:val="2"/>
              </w:rPr>
              <w:t xml:space="preserve">Extended one generation reproductive toxicity study </w:t>
            </w:r>
            <w:r w:rsidRPr="00BE41EC">
              <w:rPr>
                <w:rFonts w:ascii="Arial" w:hAnsi="Arial" w:cs="Arial"/>
                <w:bCs/>
                <w:kern w:val="2"/>
              </w:rPr>
              <w:t>(EOGRTS)</w:t>
            </w:r>
            <w:r w:rsidRPr="00BE41EC">
              <w:rPr>
                <w:rFonts w:ascii="Arial" w:hAnsi="Arial" w:cs="Arial"/>
                <w:kern w:val="2"/>
              </w:rPr>
              <w:t>, GLP</w:t>
            </w:r>
          </w:p>
          <w:p w14:paraId="7024FD7A"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kern w:val="2"/>
              </w:rPr>
              <w:t xml:space="preserve">Rat (Wistar); Dose: (diets) 55, 153, 534 mg/kg </w:t>
            </w:r>
            <w:proofErr w:type="spellStart"/>
            <w:r w:rsidRPr="00BE41EC">
              <w:rPr>
                <w:rFonts w:ascii="Arial" w:hAnsi="Arial" w:cs="Arial"/>
                <w:kern w:val="2"/>
              </w:rPr>
              <w:t>bw</w:t>
            </w:r>
            <w:proofErr w:type="spellEnd"/>
            <w:r w:rsidRPr="00BE41EC">
              <w:rPr>
                <w:rFonts w:ascii="Arial" w:hAnsi="Arial" w:cs="Arial"/>
                <w:kern w:val="2"/>
              </w:rPr>
              <w:t xml:space="preserve">/day </w:t>
            </w:r>
            <w:r w:rsidRPr="00BE41EC">
              <w:rPr>
                <w:rFonts w:ascii="Arial" w:eastAsia="Cambria" w:hAnsi="Arial" w:cs="Arial"/>
                <w:kern w:val="0"/>
              </w:rPr>
              <w:t xml:space="preserve">♂ </w:t>
            </w:r>
          </w:p>
          <w:p w14:paraId="561D1D24"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kern w:val="2"/>
              </w:rPr>
              <w:t xml:space="preserve">58, 163, 550 mg/kg </w:t>
            </w:r>
            <w:proofErr w:type="spellStart"/>
            <w:r w:rsidRPr="00BE41EC">
              <w:rPr>
                <w:rFonts w:ascii="Arial" w:hAnsi="Arial" w:cs="Arial"/>
                <w:kern w:val="2"/>
              </w:rPr>
              <w:t>bw</w:t>
            </w:r>
            <w:proofErr w:type="spellEnd"/>
            <w:r w:rsidRPr="00BE41EC">
              <w:rPr>
                <w:rFonts w:ascii="Arial" w:hAnsi="Arial" w:cs="Arial"/>
                <w:kern w:val="2"/>
              </w:rPr>
              <w:t xml:space="preserve">/day </w:t>
            </w:r>
            <w:r w:rsidRPr="00BE41EC">
              <w:rPr>
                <w:rFonts w:ascii="Arial" w:eastAsia="Cambria" w:hAnsi="Arial" w:cs="Arial"/>
                <w:kern w:val="0"/>
              </w:rPr>
              <w:t xml:space="preserve">♀ </w:t>
            </w:r>
          </w:p>
          <w:p w14:paraId="35F3D69B"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p>
          <w:p w14:paraId="667CBAB1"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i/>
                <w:kern w:val="2"/>
              </w:rPr>
              <w:t>n</w:t>
            </w:r>
            <w:r w:rsidRPr="00BE41EC">
              <w:rPr>
                <w:rFonts w:ascii="Arial" w:hAnsi="Arial" w:cs="Arial"/>
                <w:kern w:val="2"/>
              </w:rPr>
              <w:t xml:space="preserve">= 27 or 28 /sex /dose </w:t>
            </w:r>
          </w:p>
          <w:p w14:paraId="5A1315F4"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kern w:val="2"/>
              </w:rPr>
              <w:t>F1: Cohort 1A: 19/sex/ dose</w:t>
            </w:r>
          </w:p>
          <w:p w14:paraId="293E22EF"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kern w:val="2"/>
              </w:rPr>
              <w:t>Cohort 1B: 25/sex/dose</w:t>
            </w:r>
          </w:p>
          <w:p w14:paraId="4FCEF6E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kern w:val="2"/>
              </w:rPr>
              <w:t>Cohort 2A: 10/sex/ dose</w:t>
            </w:r>
          </w:p>
          <w:p w14:paraId="51E1D73A"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kern w:val="2"/>
              </w:rPr>
              <w:t>Cohort 2B: 10/sex/dose</w:t>
            </w:r>
          </w:p>
          <w:p w14:paraId="600A9C77"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i/>
                <w:kern w:val="2"/>
              </w:rPr>
              <w:br/>
            </w:r>
            <w:r w:rsidRPr="00BE41EC">
              <w:rPr>
                <w:rFonts w:ascii="Arial" w:hAnsi="Arial" w:cs="Arial"/>
                <w:kern w:val="2"/>
              </w:rPr>
              <w:t xml:space="preserve"> </w:t>
            </w:r>
            <w:r w:rsidRPr="00BE41EC">
              <w:rPr>
                <w:rFonts w:ascii="Arial" w:eastAsia="Cambria" w:hAnsi="Arial" w:cs="Arial"/>
                <w:kern w:val="0"/>
              </w:rPr>
              <w:t>♂</w:t>
            </w:r>
            <w:r w:rsidRPr="00BE41EC">
              <w:rPr>
                <w:rFonts w:ascii="Arial" w:hAnsi="Arial" w:cs="Arial"/>
                <w:kern w:val="2"/>
              </w:rPr>
              <w:t>: 10-week premating period, during mating up to the day of sacrifice (~ 13 weeks)</w:t>
            </w:r>
          </w:p>
          <w:p w14:paraId="12217D9D"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eastAsia="Cambria" w:hAnsi="Arial" w:cs="Arial"/>
                <w:kern w:val="0"/>
              </w:rPr>
              <w:t>♀</w:t>
            </w:r>
            <w:r w:rsidRPr="00BE41EC">
              <w:rPr>
                <w:rFonts w:ascii="Arial" w:hAnsi="Arial" w:cs="Arial"/>
                <w:kern w:val="2"/>
              </w:rPr>
              <w:t>: P: 10-week premating period, termination on LD 21</w:t>
            </w:r>
          </w:p>
          <w:p w14:paraId="29DCB798"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kern w:val="2"/>
              </w:rPr>
              <w:t>F1: from weaning up to sacrifice (~ 10 weeks in Cohort 1A, ~ 13 weeks (</w:t>
            </w:r>
            <w:r w:rsidRPr="00BE41EC">
              <w:rPr>
                <w:rFonts w:ascii="Arial" w:eastAsia="Cambria" w:hAnsi="Arial" w:cs="Arial"/>
                <w:kern w:val="0"/>
              </w:rPr>
              <w:t>♂</w:t>
            </w:r>
            <w:r w:rsidRPr="00BE41EC">
              <w:rPr>
                <w:rFonts w:ascii="Arial" w:hAnsi="Arial" w:cs="Arial"/>
                <w:kern w:val="2"/>
              </w:rPr>
              <w:t>) and approx. 18 weeks (</w:t>
            </w:r>
            <w:r w:rsidRPr="00BE41EC">
              <w:rPr>
                <w:rFonts w:ascii="Arial" w:eastAsia="Cambria" w:hAnsi="Arial" w:cs="Arial"/>
                <w:kern w:val="0"/>
              </w:rPr>
              <w:t>♀</w:t>
            </w:r>
            <w:r w:rsidRPr="00BE41EC">
              <w:rPr>
                <w:rFonts w:ascii="Arial" w:hAnsi="Arial" w:cs="Arial"/>
                <w:kern w:val="2"/>
              </w:rPr>
              <w:t>) in Cohort 1B; ~ 8 weeks in cohort 2A)</w:t>
            </w:r>
          </w:p>
          <w:p w14:paraId="137C079B"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kern w:val="2"/>
              </w:rPr>
              <w:t>F2: until weaning (indirectly)</w:t>
            </w:r>
          </w:p>
          <w:p w14:paraId="183C806E"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kern w:val="2"/>
              </w:rPr>
              <w:t>(ECHA 2021d; SCCS 2021a)</w:t>
            </w:r>
          </w:p>
        </w:tc>
        <w:tc>
          <w:tcPr>
            <w:tcW w:w="3004" w:type="dxa"/>
            <w:vAlign w:val="center"/>
          </w:tcPr>
          <w:p w14:paraId="6417BB8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number of implantation sites and consequently a lower number of pups at HD</w:t>
            </w:r>
          </w:p>
          <w:p w14:paraId="7D80F889"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bodyweight of pups at HD</w:t>
            </w:r>
          </w:p>
          <w:p w14:paraId="57CB9435"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No effects on male fertility and male and female reproductive parameters such as oestrus cycle, epididymal and testicular sperm parameters at all doses.</w:t>
            </w:r>
          </w:p>
          <w:p w14:paraId="38019995"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No effects on sexual and neurodevelopmental parameters in pups.</w:t>
            </w:r>
          </w:p>
          <w:p w14:paraId="306DCB49"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Based on effects on parental and pup body weights, a lower number of implantation sites and lower number of pups delivered. </w:t>
            </w:r>
          </w:p>
          <w:p w14:paraId="7F1C8768"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b/>
                <w:bCs/>
              </w:rPr>
              <w:t xml:space="preserve">NOAEL: 153/163 mg/kg </w:t>
            </w:r>
            <w:proofErr w:type="spellStart"/>
            <w:r w:rsidRPr="00BE41EC">
              <w:rPr>
                <w:rFonts w:ascii="Arial" w:hAnsi="Arial" w:cs="Arial"/>
                <w:b/>
                <w:bCs/>
              </w:rPr>
              <w:t>bw</w:t>
            </w:r>
            <w:proofErr w:type="spellEnd"/>
            <w:r w:rsidRPr="00BE41EC">
              <w:rPr>
                <w:rFonts w:ascii="Arial" w:hAnsi="Arial" w:cs="Arial"/>
                <w:b/>
                <w:bCs/>
              </w:rPr>
              <w:t>/day for males/females</w:t>
            </w:r>
            <w:r w:rsidRPr="00BE41EC">
              <w:rPr>
                <w:rFonts w:ascii="Arial" w:hAnsi="Arial" w:cs="Arial"/>
              </w:rPr>
              <w:t xml:space="preserve"> for parental systemic toxicity, fertility/reproduction performance, and general and sexual development</w:t>
            </w:r>
          </w:p>
          <w:p w14:paraId="0483A376"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26EBE" w14:paraId="0E7055DB" w14:textId="77777777" w:rsidTr="000850F6">
        <w:tc>
          <w:tcPr>
            <w:cnfStyle w:val="001000000000" w:firstRow="0" w:lastRow="0" w:firstColumn="1" w:lastColumn="0" w:oddVBand="0" w:evenVBand="0" w:oddHBand="0" w:evenHBand="0" w:firstRowFirstColumn="0" w:firstRowLastColumn="0" w:lastRowFirstColumn="0" w:lastRowLastColumn="0"/>
            <w:tcW w:w="3008" w:type="dxa"/>
          </w:tcPr>
          <w:p w14:paraId="4E1FA520" w14:textId="77777777" w:rsidR="00026EBE" w:rsidRPr="00BE41EC" w:rsidRDefault="00026EBE" w:rsidP="000850F6">
            <w:pPr>
              <w:pStyle w:val="Tabletextleft"/>
              <w:rPr>
                <w:rFonts w:ascii="Arial" w:hAnsi="Arial" w:cs="Arial"/>
              </w:rPr>
            </w:pPr>
          </w:p>
        </w:tc>
        <w:tc>
          <w:tcPr>
            <w:tcW w:w="3004" w:type="dxa"/>
            <w:vAlign w:val="center"/>
          </w:tcPr>
          <w:p w14:paraId="2F0E9737"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kern w:val="2"/>
              </w:rPr>
              <w:t>Pregnant rats (Wistar);</w:t>
            </w:r>
            <w:r w:rsidRPr="00BE41EC">
              <w:rPr>
                <w:rFonts w:ascii="Arial" w:hAnsi="Arial" w:cs="Arial"/>
                <w:i/>
                <w:kern w:val="2"/>
              </w:rPr>
              <w:t xml:space="preserve"> n</w:t>
            </w:r>
            <w:r w:rsidRPr="00BE41EC">
              <w:rPr>
                <w:rFonts w:ascii="Arial" w:hAnsi="Arial" w:cs="Arial"/>
                <w:kern w:val="2"/>
              </w:rPr>
              <w:t xml:space="preserve"> = 25/ </w:t>
            </w:r>
            <w:r w:rsidRPr="00BE41EC">
              <w:rPr>
                <w:rFonts w:ascii="Arial" w:eastAsia="Cambria" w:hAnsi="Arial" w:cs="Arial"/>
                <w:kern w:val="0"/>
              </w:rPr>
              <w:t>♀</w:t>
            </w:r>
            <w:r w:rsidRPr="00BE41EC">
              <w:rPr>
                <w:rFonts w:ascii="Arial" w:hAnsi="Arial" w:cs="Arial"/>
                <w:kern w:val="2"/>
              </w:rPr>
              <w:t xml:space="preserve">/dose, Dose: 0, 100, 400, 1000 mg/kg </w:t>
            </w:r>
            <w:proofErr w:type="spellStart"/>
            <w:r w:rsidRPr="00BE41EC">
              <w:rPr>
                <w:rFonts w:ascii="Arial" w:hAnsi="Arial" w:cs="Arial"/>
                <w:kern w:val="2"/>
              </w:rPr>
              <w:t>bw</w:t>
            </w:r>
            <w:proofErr w:type="spellEnd"/>
            <w:r w:rsidRPr="00BE41EC">
              <w:rPr>
                <w:rFonts w:ascii="Arial" w:hAnsi="Arial" w:cs="Arial"/>
                <w:kern w:val="2"/>
              </w:rPr>
              <w:t>/day PO</w:t>
            </w:r>
            <w:r w:rsidRPr="00BE41EC">
              <w:rPr>
                <w:rFonts w:ascii="Arial" w:hAnsi="Arial" w:cs="Arial"/>
                <w:i/>
                <w:kern w:val="2"/>
              </w:rPr>
              <w:br/>
            </w:r>
            <w:r w:rsidRPr="00BE41EC">
              <w:rPr>
                <w:rFonts w:ascii="Arial" w:hAnsi="Arial" w:cs="Arial"/>
                <w:kern w:val="2"/>
              </w:rPr>
              <w:t>GD6–GD15; termination on GD21</w:t>
            </w:r>
          </w:p>
        </w:tc>
        <w:tc>
          <w:tcPr>
            <w:tcW w:w="3004" w:type="dxa"/>
            <w:vAlign w:val="center"/>
          </w:tcPr>
          <w:p w14:paraId="5DCBE39C"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F0: </w:t>
            </w:r>
          </w:p>
          <w:p w14:paraId="71E7AE36"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Transient salivation at HD.</w:t>
            </w:r>
          </w:p>
          <w:p w14:paraId="601345F3"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 relative liver weight at MD and HD </w:t>
            </w:r>
          </w:p>
          <w:p w14:paraId="5E6F70B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F1:</w:t>
            </w:r>
          </w:p>
          <w:p w14:paraId="744301FA"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No treatment related effects.</w:t>
            </w:r>
          </w:p>
          <w:p w14:paraId="49AFBF31"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NOAEL: ≥ 1000 mg/kg </w:t>
            </w:r>
            <w:proofErr w:type="spellStart"/>
            <w:r w:rsidRPr="00BE41EC">
              <w:rPr>
                <w:rFonts w:ascii="Arial" w:hAnsi="Arial" w:cs="Arial"/>
              </w:rPr>
              <w:t>bw</w:t>
            </w:r>
            <w:proofErr w:type="spellEnd"/>
            <w:r w:rsidRPr="00BE41EC">
              <w:rPr>
                <w:rFonts w:ascii="Arial" w:hAnsi="Arial" w:cs="Arial"/>
              </w:rPr>
              <w:t xml:space="preserve">/day (teratogenicity) </w:t>
            </w:r>
          </w:p>
          <w:p w14:paraId="76469FE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26EBE" w14:paraId="30979571" w14:textId="77777777" w:rsidTr="000850F6">
        <w:tc>
          <w:tcPr>
            <w:cnfStyle w:val="001000000000" w:firstRow="0" w:lastRow="0" w:firstColumn="1" w:lastColumn="0" w:oddVBand="0" w:evenVBand="0" w:oddHBand="0" w:evenHBand="0" w:firstRowFirstColumn="0" w:firstRowLastColumn="0" w:lastRowFirstColumn="0" w:lastRowLastColumn="0"/>
            <w:tcW w:w="3008" w:type="dxa"/>
          </w:tcPr>
          <w:p w14:paraId="069A613E" w14:textId="77777777" w:rsidR="00026EBE" w:rsidRPr="00BE41EC" w:rsidRDefault="00026EBE" w:rsidP="000850F6">
            <w:pPr>
              <w:pStyle w:val="Tabletextleft"/>
              <w:rPr>
                <w:rFonts w:ascii="Arial" w:hAnsi="Arial" w:cs="Arial"/>
              </w:rPr>
            </w:pPr>
          </w:p>
        </w:tc>
        <w:tc>
          <w:tcPr>
            <w:tcW w:w="3004" w:type="dxa"/>
            <w:vAlign w:val="center"/>
          </w:tcPr>
          <w:p w14:paraId="6B914137"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napToGrid w:val="0"/>
              </w:rPr>
            </w:pPr>
            <w:r w:rsidRPr="00BE41EC">
              <w:rPr>
                <w:rFonts w:ascii="Arial" w:hAnsi="Arial" w:cs="Arial"/>
              </w:rPr>
              <w:t>Mice (CD</w:t>
            </w:r>
            <w:r w:rsidRPr="00BE41EC">
              <w:rPr>
                <w:rFonts w:ascii="Arial" w:hAnsi="Arial" w:cs="Arial"/>
              </w:rPr>
              <w:noBreakHyphen/>
              <w:t xml:space="preserve">1); </w:t>
            </w:r>
            <w:r w:rsidRPr="00BE41EC">
              <w:rPr>
                <w:rFonts w:ascii="Arial" w:hAnsi="Arial" w:cs="Arial"/>
                <w:i/>
              </w:rPr>
              <w:t>n</w:t>
            </w:r>
            <w:r w:rsidRPr="00BE41EC">
              <w:rPr>
                <w:rFonts w:ascii="Arial" w:hAnsi="Arial" w:cs="Arial"/>
              </w:rPr>
              <w:t xml:space="preserve">= 12 </w:t>
            </w:r>
            <w:r w:rsidRPr="00BE41EC">
              <w:rPr>
                <w:rFonts w:ascii="Arial" w:eastAsia="Cambria" w:hAnsi="Arial" w:cs="Arial"/>
                <w:kern w:val="0"/>
              </w:rPr>
              <w:t>♀</w:t>
            </w:r>
            <w:r w:rsidRPr="00BE41EC">
              <w:rPr>
                <w:rFonts w:ascii="Arial" w:hAnsi="Arial" w:cs="Arial"/>
              </w:rPr>
              <w:t xml:space="preserve">/dose, Dose: 0, 100, 300, 1000 mg/kg </w:t>
            </w:r>
            <w:proofErr w:type="spellStart"/>
            <w:r w:rsidRPr="00BE41EC">
              <w:rPr>
                <w:rFonts w:ascii="Arial" w:hAnsi="Arial" w:cs="Arial"/>
              </w:rPr>
              <w:t>bw</w:t>
            </w:r>
            <w:proofErr w:type="spellEnd"/>
            <w:r w:rsidRPr="00BE41EC">
              <w:rPr>
                <w:rFonts w:ascii="Arial" w:hAnsi="Arial" w:cs="Arial"/>
              </w:rPr>
              <w:t xml:space="preserve">/day (oral gavage); </w:t>
            </w:r>
            <w:r w:rsidRPr="00BE41EC">
              <w:rPr>
                <w:rFonts w:ascii="Arial" w:hAnsi="Arial" w:cs="Arial"/>
                <w:snapToGrid w:val="0"/>
              </w:rPr>
              <w:t>GD8–GD12; termination on LD3</w:t>
            </w:r>
          </w:p>
          <w:p w14:paraId="3E7FD5F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kern w:val="2"/>
              </w:rPr>
              <w:t xml:space="preserve">Odio </w:t>
            </w:r>
            <w:r w:rsidRPr="00BE41EC">
              <w:rPr>
                <w:rFonts w:ascii="Arial" w:hAnsi="Arial" w:cs="Arial"/>
                <w:i/>
                <w:kern w:val="2"/>
              </w:rPr>
              <w:t>et al</w:t>
            </w:r>
            <w:r w:rsidRPr="00BE41EC">
              <w:rPr>
                <w:rFonts w:ascii="Arial" w:hAnsi="Arial" w:cs="Arial"/>
                <w:kern w:val="2"/>
              </w:rPr>
              <w:t>. (1994)</w:t>
            </w:r>
          </w:p>
        </w:tc>
        <w:tc>
          <w:tcPr>
            <w:tcW w:w="3004" w:type="dxa"/>
            <w:vAlign w:val="center"/>
          </w:tcPr>
          <w:p w14:paraId="493F34E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napToGrid w:val="0"/>
              </w:rPr>
            </w:pPr>
            <w:r w:rsidRPr="00BE41EC">
              <w:rPr>
                <w:rFonts w:ascii="Arial" w:hAnsi="Arial" w:cs="Arial"/>
                <w:snapToGrid w:val="0"/>
              </w:rPr>
              <w:t>No treatment related adverse effects.</w:t>
            </w:r>
          </w:p>
          <w:p w14:paraId="18DC434E"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napToGrid w:val="0"/>
              </w:rPr>
            </w:pPr>
            <w:r w:rsidRPr="00BE41EC">
              <w:rPr>
                <w:rFonts w:ascii="Arial" w:hAnsi="Arial" w:cs="Arial"/>
                <w:snapToGrid w:val="0"/>
              </w:rPr>
              <w:t xml:space="preserve">NOEL: 1000 mg/kg </w:t>
            </w:r>
            <w:proofErr w:type="spellStart"/>
            <w:r w:rsidRPr="00BE41EC">
              <w:rPr>
                <w:rFonts w:ascii="Arial" w:hAnsi="Arial" w:cs="Arial"/>
                <w:snapToGrid w:val="0"/>
              </w:rPr>
              <w:t>bw</w:t>
            </w:r>
            <w:proofErr w:type="spellEnd"/>
            <w:r w:rsidRPr="00BE41EC">
              <w:rPr>
                <w:rFonts w:ascii="Arial" w:hAnsi="Arial" w:cs="Arial"/>
                <w:snapToGrid w:val="0"/>
              </w:rPr>
              <w:t>/day (mice)</w:t>
            </w:r>
          </w:p>
          <w:p w14:paraId="550EB737"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26EBE" w14:paraId="6E45233C" w14:textId="77777777" w:rsidTr="000850F6">
        <w:tc>
          <w:tcPr>
            <w:cnfStyle w:val="001000000000" w:firstRow="0" w:lastRow="0" w:firstColumn="1" w:lastColumn="0" w:oddVBand="0" w:evenVBand="0" w:oddHBand="0" w:evenHBand="0" w:firstRowFirstColumn="0" w:firstRowLastColumn="0" w:lastRowFirstColumn="0" w:lastRowLastColumn="0"/>
            <w:tcW w:w="3008" w:type="dxa"/>
          </w:tcPr>
          <w:p w14:paraId="424CEF6F" w14:textId="77777777" w:rsidR="00026EBE" w:rsidRPr="00BE41EC" w:rsidRDefault="00026EBE" w:rsidP="000850F6">
            <w:pPr>
              <w:pStyle w:val="Tabletextleft"/>
              <w:rPr>
                <w:rFonts w:ascii="Arial" w:hAnsi="Arial" w:cs="Arial"/>
              </w:rPr>
            </w:pPr>
          </w:p>
        </w:tc>
        <w:tc>
          <w:tcPr>
            <w:tcW w:w="3004" w:type="dxa"/>
            <w:vAlign w:val="center"/>
          </w:tcPr>
          <w:p w14:paraId="1C8A57EF"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kern w:val="2"/>
              </w:rPr>
              <w:t>Rabbit (NZW);</w:t>
            </w:r>
            <w:r w:rsidRPr="00BE41EC">
              <w:rPr>
                <w:rFonts w:ascii="Arial" w:hAnsi="Arial" w:cs="Arial"/>
                <w:i/>
                <w:kern w:val="2"/>
              </w:rPr>
              <w:t xml:space="preserve"> n</w:t>
            </w:r>
            <w:r w:rsidRPr="00BE41EC">
              <w:rPr>
                <w:rFonts w:ascii="Arial" w:hAnsi="Arial" w:cs="Arial"/>
                <w:kern w:val="2"/>
              </w:rPr>
              <w:t xml:space="preserve"> = 17 </w:t>
            </w:r>
            <w:r w:rsidRPr="00BE41EC">
              <w:rPr>
                <w:rFonts w:ascii="Arial" w:eastAsia="Cambria" w:hAnsi="Arial" w:cs="Arial"/>
                <w:kern w:val="0"/>
              </w:rPr>
              <w:t>♀</w:t>
            </w:r>
            <w:r w:rsidRPr="00BE41EC">
              <w:rPr>
                <w:rFonts w:ascii="Arial" w:hAnsi="Arial" w:cs="Arial"/>
                <w:kern w:val="2"/>
              </w:rPr>
              <w:t>/dose</w:t>
            </w:r>
          </w:p>
          <w:p w14:paraId="025C20CD"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BE41EC">
              <w:rPr>
                <w:rFonts w:ascii="Arial" w:hAnsi="Arial" w:cs="Arial"/>
                <w:kern w:val="2"/>
              </w:rPr>
              <w:t xml:space="preserve">Dose:  0, 65, 267 mg/kg </w:t>
            </w:r>
            <w:proofErr w:type="spellStart"/>
            <w:r w:rsidRPr="00BE41EC">
              <w:rPr>
                <w:rFonts w:ascii="Arial" w:hAnsi="Arial" w:cs="Arial"/>
                <w:kern w:val="2"/>
              </w:rPr>
              <w:t>bw</w:t>
            </w:r>
            <w:proofErr w:type="spellEnd"/>
            <w:r w:rsidRPr="00BE41EC">
              <w:rPr>
                <w:rFonts w:ascii="Arial" w:hAnsi="Arial" w:cs="Arial"/>
                <w:kern w:val="2"/>
              </w:rPr>
              <w:t>/day, (</w:t>
            </w:r>
            <w:r w:rsidRPr="00BE41EC">
              <w:rPr>
                <w:rFonts w:ascii="Arial" w:hAnsi="Arial" w:cs="Arial"/>
              </w:rPr>
              <w:t xml:space="preserve">Dermal, open, clipped area on the back), </w:t>
            </w:r>
            <w:r w:rsidRPr="00BE41EC">
              <w:rPr>
                <w:rFonts w:ascii="Arial" w:hAnsi="Arial" w:cs="Arial"/>
                <w:kern w:val="2"/>
              </w:rPr>
              <w:t>dosing GD6–GD18; termination on GD21</w:t>
            </w:r>
          </w:p>
          <w:p w14:paraId="23631C0F"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Odio </w:t>
            </w:r>
            <w:r w:rsidRPr="00BE41EC">
              <w:rPr>
                <w:rFonts w:ascii="Arial" w:hAnsi="Arial" w:cs="Arial"/>
                <w:i/>
              </w:rPr>
              <w:t>et al</w:t>
            </w:r>
            <w:r w:rsidRPr="00BE41EC">
              <w:rPr>
                <w:rFonts w:ascii="Arial" w:hAnsi="Arial" w:cs="Arial"/>
              </w:rPr>
              <w:t xml:space="preserve">. (1994) </w:t>
            </w:r>
          </w:p>
        </w:tc>
        <w:tc>
          <w:tcPr>
            <w:tcW w:w="3004" w:type="dxa"/>
            <w:vAlign w:val="center"/>
          </w:tcPr>
          <w:p w14:paraId="2C383F26"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napToGrid w:val="0"/>
              </w:rPr>
            </w:pPr>
            <w:r w:rsidRPr="00BE41EC">
              <w:rPr>
                <w:rFonts w:ascii="Arial" w:hAnsi="Arial" w:cs="Arial"/>
                <w:snapToGrid w:val="0"/>
              </w:rPr>
              <w:t>No treatment related adverse effects.</w:t>
            </w:r>
          </w:p>
          <w:p w14:paraId="04DB5B2B"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snapToGrid w:val="0"/>
              </w:rPr>
              <w:t xml:space="preserve">NOEL (percutaneous): 267 mg/kg </w:t>
            </w:r>
            <w:proofErr w:type="spellStart"/>
            <w:r w:rsidRPr="00BE41EC">
              <w:rPr>
                <w:rFonts w:ascii="Arial" w:hAnsi="Arial" w:cs="Arial"/>
                <w:snapToGrid w:val="0"/>
              </w:rPr>
              <w:t>bw</w:t>
            </w:r>
            <w:proofErr w:type="spellEnd"/>
            <w:r w:rsidRPr="00BE41EC">
              <w:rPr>
                <w:rFonts w:ascii="Arial" w:hAnsi="Arial" w:cs="Arial"/>
                <w:snapToGrid w:val="0"/>
              </w:rPr>
              <w:t xml:space="preserve">/day (rabbits) </w:t>
            </w:r>
          </w:p>
        </w:tc>
      </w:tr>
      <w:tr w:rsidR="00026EBE" w14:paraId="27BDA4B4" w14:textId="77777777" w:rsidTr="000850F6">
        <w:tc>
          <w:tcPr>
            <w:cnfStyle w:val="001000000000" w:firstRow="0" w:lastRow="0" w:firstColumn="1" w:lastColumn="0" w:oddVBand="0" w:evenVBand="0" w:oddHBand="0" w:evenHBand="0" w:firstRowFirstColumn="0" w:firstRowLastColumn="0" w:lastRowFirstColumn="0" w:lastRowLastColumn="0"/>
            <w:tcW w:w="3008" w:type="dxa"/>
            <w:vAlign w:val="center"/>
          </w:tcPr>
          <w:p w14:paraId="6D65B1DA" w14:textId="77777777" w:rsidR="00026EBE" w:rsidRPr="00BE41EC" w:rsidRDefault="00026EBE" w:rsidP="000850F6">
            <w:pPr>
              <w:pStyle w:val="Tabletextleft"/>
              <w:rPr>
                <w:rFonts w:ascii="Arial" w:hAnsi="Arial" w:cs="Arial"/>
              </w:rPr>
            </w:pPr>
            <w:r w:rsidRPr="00BE41EC">
              <w:rPr>
                <w:rFonts w:ascii="Arial" w:hAnsi="Arial" w:cs="Arial"/>
              </w:rPr>
              <w:t>Ethylhexyl triazone</w:t>
            </w:r>
          </w:p>
          <w:p w14:paraId="7164D82D" w14:textId="77777777" w:rsidR="00026EBE" w:rsidRPr="00BE41EC" w:rsidRDefault="00026EBE" w:rsidP="000850F6">
            <w:pPr>
              <w:pStyle w:val="Tabletextleft"/>
              <w:rPr>
                <w:rFonts w:ascii="Arial" w:hAnsi="Arial" w:cs="Arial"/>
              </w:rPr>
            </w:pPr>
            <w:r w:rsidRPr="00BE41EC">
              <w:rPr>
                <w:rFonts w:ascii="Arial" w:hAnsi="Arial" w:cs="Arial"/>
              </w:rPr>
              <w:t>(ECHA 2021b; DEPA 2015</w:t>
            </w:r>
          </w:p>
        </w:tc>
        <w:tc>
          <w:tcPr>
            <w:tcW w:w="3004" w:type="dxa"/>
            <w:vAlign w:val="center"/>
          </w:tcPr>
          <w:p w14:paraId="44C62A69"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Rats (</w:t>
            </w:r>
            <w:proofErr w:type="spellStart"/>
            <w:r w:rsidRPr="00BE41EC">
              <w:rPr>
                <w:rFonts w:ascii="Arial" w:hAnsi="Arial" w:cs="Arial"/>
              </w:rPr>
              <w:t>wistar</w:t>
            </w:r>
            <w:proofErr w:type="spellEnd"/>
            <w:r w:rsidRPr="00BE41EC">
              <w:rPr>
                <w:rFonts w:ascii="Arial" w:hAnsi="Arial" w:cs="Arial"/>
              </w:rPr>
              <w:t>), Prenatal Developmental Toxicity study (</w:t>
            </w:r>
            <w:r w:rsidRPr="00BE41EC">
              <w:rPr>
                <w:rFonts w:ascii="Arial" w:hAnsi="Arial" w:cs="Arial"/>
                <w:i/>
                <w:iCs/>
              </w:rPr>
              <w:t>n</w:t>
            </w:r>
            <w:r w:rsidRPr="00BE41EC">
              <w:rPr>
                <w:rFonts w:ascii="Arial" w:hAnsi="Arial" w:cs="Arial"/>
              </w:rPr>
              <w:t xml:space="preserve">=25/dose). Dosing the dams 7 days/week for an unspecified period (0, 100, 400 and 1000 mg/kg </w:t>
            </w:r>
            <w:proofErr w:type="spellStart"/>
            <w:r w:rsidRPr="00BE41EC">
              <w:rPr>
                <w:rFonts w:ascii="Arial" w:hAnsi="Arial" w:cs="Arial"/>
              </w:rPr>
              <w:t>bw</w:t>
            </w:r>
            <w:proofErr w:type="spellEnd"/>
            <w:r w:rsidRPr="00BE41EC">
              <w:rPr>
                <w:rFonts w:ascii="Arial" w:hAnsi="Arial" w:cs="Arial"/>
              </w:rPr>
              <w:t>/day).</w:t>
            </w:r>
          </w:p>
        </w:tc>
        <w:tc>
          <w:tcPr>
            <w:tcW w:w="3004" w:type="dxa"/>
            <w:vAlign w:val="center"/>
          </w:tcPr>
          <w:p w14:paraId="0155E5ED"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No treatment-related effects reported.</w:t>
            </w:r>
          </w:p>
          <w:p w14:paraId="5762582A"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Maternal NOAEL = 1000 mg/kg </w:t>
            </w:r>
            <w:proofErr w:type="spellStart"/>
            <w:r w:rsidRPr="00BE41EC">
              <w:rPr>
                <w:rFonts w:ascii="Arial" w:hAnsi="Arial" w:cs="Arial"/>
              </w:rPr>
              <w:t>bw</w:t>
            </w:r>
            <w:proofErr w:type="spellEnd"/>
            <w:r w:rsidRPr="00BE41EC">
              <w:rPr>
                <w:rFonts w:ascii="Arial" w:hAnsi="Arial" w:cs="Arial"/>
              </w:rPr>
              <w:t>/</w:t>
            </w:r>
            <w:proofErr w:type="gramStart"/>
            <w:r w:rsidRPr="00BE41EC">
              <w:rPr>
                <w:rFonts w:ascii="Arial" w:hAnsi="Arial" w:cs="Arial"/>
              </w:rPr>
              <w:t>day;</w:t>
            </w:r>
            <w:proofErr w:type="gramEnd"/>
          </w:p>
          <w:p w14:paraId="72DD1D65"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Developmental NOAEL = 1000 mg/kg </w:t>
            </w:r>
            <w:proofErr w:type="spellStart"/>
            <w:r w:rsidRPr="00BE41EC">
              <w:rPr>
                <w:rFonts w:ascii="Arial" w:hAnsi="Arial" w:cs="Arial"/>
              </w:rPr>
              <w:t>bw</w:t>
            </w:r>
            <w:proofErr w:type="spellEnd"/>
            <w:r w:rsidRPr="00BE41EC">
              <w:rPr>
                <w:rFonts w:ascii="Arial" w:hAnsi="Arial" w:cs="Arial"/>
              </w:rPr>
              <w:t>/day</w:t>
            </w:r>
          </w:p>
        </w:tc>
      </w:tr>
      <w:tr w:rsidR="00026EBE" w14:paraId="4D20E43B" w14:textId="77777777" w:rsidTr="000850F6">
        <w:tc>
          <w:tcPr>
            <w:cnfStyle w:val="001000000000" w:firstRow="0" w:lastRow="0" w:firstColumn="1" w:lastColumn="0" w:oddVBand="0" w:evenVBand="0" w:oddHBand="0" w:evenHBand="0" w:firstRowFirstColumn="0" w:firstRowLastColumn="0" w:lastRowFirstColumn="0" w:lastRowLastColumn="0"/>
            <w:tcW w:w="3008" w:type="dxa"/>
            <w:vAlign w:val="center"/>
          </w:tcPr>
          <w:p w14:paraId="31644E5B" w14:textId="77777777" w:rsidR="00026EBE" w:rsidRPr="00BE41EC" w:rsidRDefault="00026EBE" w:rsidP="000850F6">
            <w:pPr>
              <w:pStyle w:val="Tabletextleft"/>
              <w:rPr>
                <w:rFonts w:ascii="Arial" w:hAnsi="Arial" w:cs="Arial"/>
              </w:rPr>
            </w:pPr>
            <w:r w:rsidRPr="00BE41EC">
              <w:rPr>
                <w:rFonts w:ascii="Arial" w:hAnsi="Arial" w:cs="Arial"/>
              </w:rPr>
              <w:t xml:space="preserve">Homosalate </w:t>
            </w:r>
          </w:p>
          <w:p w14:paraId="701EBF0A" w14:textId="77777777" w:rsidR="00026EBE" w:rsidRPr="00BE41EC" w:rsidRDefault="00026EBE" w:rsidP="000850F6">
            <w:pPr>
              <w:pStyle w:val="Tabletextleft"/>
              <w:rPr>
                <w:rFonts w:ascii="Arial" w:hAnsi="Arial" w:cs="Arial"/>
              </w:rPr>
            </w:pPr>
            <w:r w:rsidRPr="00BE41EC">
              <w:rPr>
                <w:rFonts w:ascii="Arial" w:hAnsi="Arial" w:cs="Arial"/>
              </w:rPr>
              <w:t>(SCCS 2020; ECHA 2021c)</w:t>
            </w:r>
          </w:p>
        </w:tc>
        <w:tc>
          <w:tcPr>
            <w:tcW w:w="6008" w:type="dxa"/>
            <w:gridSpan w:val="2"/>
            <w:vAlign w:val="center"/>
          </w:tcPr>
          <w:p w14:paraId="6693D57F"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The evaluation of potential toxicity of homosalate on fertility and development was performed in a combined repeat dose toxicity study with the reproduction/developmental toxicity-screening test (described above in repeat-dose toxicity section).</w:t>
            </w:r>
          </w:p>
          <w:p w14:paraId="50725482"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The study findings were considered as inconclusive and unreliable due to a technical error that maintained the animals under a constant light.  In the context of a compliance check process under REACH, the ECHA adopted a decision in 2018 requesting a sub-chronic toxicity study, a prenatal developmental toxicity study, an extended one-generation reproductive toxicity study, and the identification of degradation products (ECHA 2018, ECHA decision CCH-D-2114386909-26-01/F). An appeal was filed against this decision; however, the Board of Appeal dismissed the appeal and decided that the information must be provided by 25 February 2024.</w:t>
            </w:r>
          </w:p>
        </w:tc>
      </w:tr>
      <w:tr w:rsidR="00026EBE" w14:paraId="65B2CF19"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val="restart"/>
          </w:tcPr>
          <w:p w14:paraId="01E07F95" w14:textId="77777777" w:rsidR="00026EBE" w:rsidRPr="00BE41EC" w:rsidRDefault="00026EBE" w:rsidP="000850F6">
            <w:pPr>
              <w:pStyle w:val="Tabletextleft"/>
              <w:rPr>
                <w:rFonts w:ascii="Arial" w:hAnsi="Arial" w:cs="Arial"/>
              </w:rPr>
            </w:pPr>
            <w:r w:rsidRPr="00BE41EC">
              <w:rPr>
                <w:rFonts w:ascii="Arial" w:hAnsi="Arial" w:cs="Arial"/>
              </w:rPr>
              <w:t xml:space="preserve">Oxybenzone </w:t>
            </w:r>
          </w:p>
          <w:p w14:paraId="1C8B29EF" w14:textId="77777777" w:rsidR="00026EBE" w:rsidRPr="00BE41EC" w:rsidRDefault="00026EBE" w:rsidP="000850F6">
            <w:pPr>
              <w:pStyle w:val="Tabletextleft"/>
              <w:rPr>
                <w:rFonts w:ascii="Arial" w:hAnsi="Arial" w:cs="Arial"/>
              </w:rPr>
            </w:pPr>
            <w:r w:rsidRPr="00BE41EC">
              <w:rPr>
                <w:rFonts w:ascii="Arial" w:hAnsi="Arial" w:cs="Arial"/>
              </w:rPr>
              <w:t>(SCCP 2006a; 2021c)</w:t>
            </w:r>
          </w:p>
        </w:tc>
        <w:tc>
          <w:tcPr>
            <w:tcW w:w="3004" w:type="dxa"/>
            <w:vAlign w:val="center"/>
          </w:tcPr>
          <w:p w14:paraId="21D46F26"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Mice (CD-1), RACB (Reproductive Assessment by Continuous Breeding): 1850, 3950, 9050 mg/kg </w:t>
            </w:r>
            <w:proofErr w:type="spellStart"/>
            <w:r w:rsidRPr="00BE41EC">
              <w:rPr>
                <w:rFonts w:ascii="Arial" w:hAnsi="Arial" w:cs="Arial"/>
              </w:rPr>
              <w:t>bw</w:t>
            </w:r>
            <w:proofErr w:type="spellEnd"/>
            <w:r w:rsidRPr="00BE41EC">
              <w:rPr>
                <w:rFonts w:ascii="Arial" w:hAnsi="Arial" w:cs="Arial"/>
              </w:rPr>
              <w:t xml:space="preserve">/day (14 days; </w:t>
            </w:r>
            <w:r w:rsidRPr="00BE41EC">
              <w:rPr>
                <w:rFonts w:ascii="Arial" w:hAnsi="Arial" w:cs="Arial"/>
                <w:i/>
                <w:iCs/>
              </w:rPr>
              <w:t>n</w:t>
            </w:r>
            <w:r w:rsidRPr="00BE41EC">
              <w:rPr>
                <w:rFonts w:ascii="Arial" w:hAnsi="Arial" w:cs="Arial"/>
              </w:rPr>
              <w:t xml:space="preserve">=20/sex); 1000, 2100, 4700, 10200, 15700 mg/kg </w:t>
            </w:r>
            <w:proofErr w:type="spellStart"/>
            <w:r w:rsidRPr="00BE41EC">
              <w:rPr>
                <w:rFonts w:ascii="Arial" w:hAnsi="Arial" w:cs="Arial"/>
              </w:rPr>
              <w:t>bw</w:t>
            </w:r>
            <w:proofErr w:type="spellEnd"/>
            <w:r w:rsidRPr="00BE41EC">
              <w:rPr>
                <w:rFonts w:ascii="Arial" w:hAnsi="Arial" w:cs="Arial"/>
              </w:rPr>
              <w:t xml:space="preserve">/day (14 weeks; </w:t>
            </w:r>
            <w:r w:rsidRPr="00BE41EC">
              <w:rPr>
                <w:rFonts w:ascii="Arial" w:hAnsi="Arial" w:cs="Arial"/>
                <w:i/>
                <w:iCs/>
              </w:rPr>
              <w:t>n</w:t>
            </w:r>
            <w:r w:rsidRPr="00BE41EC">
              <w:rPr>
                <w:rFonts w:ascii="Arial" w:hAnsi="Arial" w:cs="Arial"/>
              </w:rPr>
              <w:t>=8/sex)</w:t>
            </w:r>
          </w:p>
        </w:tc>
        <w:tc>
          <w:tcPr>
            <w:tcW w:w="3004" w:type="dxa"/>
            <w:vAlign w:val="center"/>
          </w:tcPr>
          <w:p w14:paraId="6DB8CD8F"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No effect on fertility at doses up to 8600/9500 mg/kg </w:t>
            </w:r>
            <w:proofErr w:type="spellStart"/>
            <w:r w:rsidRPr="00BE41EC">
              <w:rPr>
                <w:rFonts w:ascii="Arial" w:hAnsi="Arial" w:cs="Arial"/>
              </w:rPr>
              <w:t>bw</w:t>
            </w:r>
            <w:proofErr w:type="spellEnd"/>
            <w:r w:rsidRPr="00BE41EC">
              <w:rPr>
                <w:rFonts w:ascii="Arial" w:hAnsi="Arial" w:cs="Arial"/>
              </w:rPr>
              <w:t>/day in</w:t>
            </w:r>
            <w:r w:rsidRPr="00BE41EC">
              <w:rPr>
                <w:rFonts w:ascii="Arial" w:eastAsia="Cambria" w:hAnsi="Arial" w:cs="Arial"/>
                <w:kern w:val="0"/>
              </w:rPr>
              <w:t>♂</w:t>
            </w:r>
            <w:r w:rsidRPr="00BE41EC">
              <w:rPr>
                <w:rFonts w:ascii="Arial" w:eastAsia="Cambria" w:hAnsi="Arial" w:cs="Arial"/>
              </w:rPr>
              <w:t xml:space="preserve"> </w:t>
            </w:r>
            <w:r w:rsidRPr="00BE41EC">
              <w:rPr>
                <w:rFonts w:ascii="Arial" w:hAnsi="Arial" w:cs="Arial"/>
              </w:rPr>
              <w:t>/</w:t>
            </w:r>
            <w:r w:rsidRPr="00BE41EC">
              <w:rPr>
                <w:rFonts w:ascii="Arial" w:eastAsia="Cambria" w:hAnsi="Arial" w:cs="Arial"/>
                <w:kern w:val="0"/>
              </w:rPr>
              <w:t>♀</w:t>
            </w:r>
            <w:r w:rsidRPr="00BE41EC">
              <w:rPr>
                <w:rFonts w:ascii="Arial" w:hAnsi="Arial" w:cs="Arial"/>
              </w:rPr>
              <w:t xml:space="preserve"> mice (highest dose). Effects on reproductive performance included a slightly lower number of live pups at birth. Impaired body weight/body weight gain in pups was also observed. All effects were observed at dose levels resulting maternal toxicity including decreased bodyweight and premature death at doses of 1850 mg/kg </w:t>
            </w:r>
            <w:proofErr w:type="spellStart"/>
            <w:r w:rsidRPr="00BE41EC">
              <w:rPr>
                <w:rFonts w:ascii="Arial" w:hAnsi="Arial" w:cs="Arial"/>
              </w:rPr>
              <w:t>bw</w:t>
            </w:r>
            <w:proofErr w:type="spellEnd"/>
            <w:r w:rsidRPr="00BE41EC">
              <w:rPr>
                <w:rFonts w:ascii="Arial" w:hAnsi="Arial" w:cs="Arial"/>
              </w:rPr>
              <w:t xml:space="preserve">/day. The NOAEL for systemic, reproductive and developmental toxicity was 1800/1900 mg/kg </w:t>
            </w:r>
            <w:proofErr w:type="spellStart"/>
            <w:r w:rsidRPr="00BE41EC">
              <w:rPr>
                <w:rFonts w:ascii="Arial" w:hAnsi="Arial" w:cs="Arial"/>
              </w:rPr>
              <w:t>bw</w:t>
            </w:r>
            <w:proofErr w:type="spellEnd"/>
            <w:r w:rsidRPr="00BE41EC">
              <w:rPr>
                <w:rFonts w:ascii="Arial" w:hAnsi="Arial" w:cs="Arial"/>
              </w:rPr>
              <w:t>/day in males/females.</w:t>
            </w:r>
          </w:p>
        </w:tc>
      </w:tr>
      <w:tr w:rsidR="00026EBE" w14:paraId="10F6B879"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tcPr>
          <w:p w14:paraId="17BFDE82" w14:textId="77777777" w:rsidR="00026EBE" w:rsidRPr="00BE41EC" w:rsidRDefault="00026EBE" w:rsidP="000850F6">
            <w:pPr>
              <w:pStyle w:val="Tabletextleft"/>
              <w:rPr>
                <w:rFonts w:ascii="Arial" w:hAnsi="Arial" w:cs="Arial"/>
              </w:rPr>
            </w:pPr>
          </w:p>
        </w:tc>
        <w:tc>
          <w:tcPr>
            <w:tcW w:w="3004" w:type="dxa"/>
            <w:vAlign w:val="center"/>
          </w:tcPr>
          <w:p w14:paraId="36C7CE56"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Rats (F344/N; </w:t>
            </w:r>
            <w:r w:rsidRPr="00BE41EC">
              <w:rPr>
                <w:rFonts w:ascii="Arial" w:hAnsi="Arial" w:cs="Arial"/>
                <w:i/>
                <w:iCs/>
              </w:rPr>
              <w:t>n</w:t>
            </w:r>
            <w:r w:rsidRPr="00BE41EC">
              <w:rPr>
                <w:rFonts w:ascii="Arial" w:hAnsi="Arial" w:cs="Arial"/>
              </w:rPr>
              <w:t xml:space="preserve">=10/sex) and mice (B6C3F1; </w:t>
            </w:r>
            <w:r w:rsidRPr="00BE41EC">
              <w:rPr>
                <w:rFonts w:ascii="Arial" w:hAnsi="Arial" w:cs="Arial"/>
                <w:i/>
                <w:iCs/>
              </w:rPr>
              <w:t>n</w:t>
            </w:r>
            <w:r w:rsidRPr="00BE41EC">
              <w:rPr>
                <w:rFonts w:ascii="Arial" w:hAnsi="Arial" w:cs="Arial"/>
              </w:rPr>
              <w:t>=10/sex):</w:t>
            </w:r>
          </w:p>
          <w:p w14:paraId="2A437A0F"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0, 3125, 12500, 50000 ppm (equivalent to 204, 828, 3458 mg/kg </w:t>
            </w:r>
            <w:proofErr w:type="spellStart"/>
            <w:r w:rsidRPr="00BE41EC">
              <w:rPr>
                <w:rFonts w:ascii="Arial" w:hAnsi="Arial" w:cs="Arial"/>
              </w:rPr>
              <w:t>bw</w:t>
            </w:r>
            <w:proofErr w:type="spellEnd"/>
            <w:r w:rsidRPr="00BE41EC">
              <w:rPr>
                <w:rFonts w:ascii="Arial" w:hAnsi="Arial" w:cs="Arial"/>
              </w:rPr>
              <w:t xml:space="preserve">/day in rats and 554, 2860, 16238 mg/kg </w:t>
            </w:r>
            <w:proofErr w:type="spellStart"/>
            <w:r w:rsidRPr="00BE41EC">
              <w:rPr>
                <w:rFonts w:ascii="Arial" w:hAnsi="Arial" w:cs="Arial"/>
              </w:rPr>
              <w:t>bw</w:t>
            </w:r>
            <w:proofErr w:type="spellEnd"/>
            <w:r w:rsidRPr="00BE41EC">
              <w:rPr>
                <w:rFonts w:ascii="Arial" w:hAnsi="Arial" w:cs="Arial"/>
              </w:rPr>
              <w:t>/day in mice);13 weeks (dietary)</w:t>
            </w:r>
          </w:p>
        </w:tc>
        <w:tc>
          <w:tcPr>
            <w:tcW w:w="3004" w:type="dxa"/>
            <w:vAlign w:val="center"/>
          </w:tcPr>
          <w:p w14:paraId="79AE497E"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 Epididymal sperm counts, and decreased absolute cauda, epididymal and testis weight </w:t>
            </w:r>
            <w:proofErr w:type="gramStart"/>
            <w:r w:rsidRPr="00BE41EC">
              <w:rPr>
                <w:rFonts w:ascii="Arial" w:hAnsi="Arial" w:cs="Arial"/>
              </w:rPr>
              <w:t>as a consequence of</w:t>
            </w:r>
            <w:proofErr w:type="gramEnd"/>
            <w:r w:rsidRPr="00BE41EC">
              <w:rPr>
                <w:rFonts w:ascii="Arial" w:hAnsi="Arial" w:cs="Arial"/>
              </w:rPr>
              <w:t xml:space="preserve"> the reduced body weight in male rats and ↑ in the length of the oestrous cycle in female rats. </w:t>
            </w:r>
          </w:p>
          <w:p w14:paraId="2E4661E2"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 in the epididymal sperm count and ↑ the incidence of abnormal sperm was observed in male mice, and there was an ↑ in the length of the oestrous cycle in female mice (as seen in rats). </w:t>
            </w:r>
          </w:p>
          <w:p w14:paraId="5D25DF5C"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Oestrous cyclicity was not affected in either rats or mice. NOAEL for reproductive parameters was established at 828 mg/kg </w:t>
            </w:r>
            <w:proofErr w:type="spellStart"/>
            <w:r w:rsidRPr="00BE41EC">
              <w:rPr>
                <w:rFonts w:ascii="Arial" w:hAnsi="Arial" w:cs="Arial"/>
              </w:rPr>
              <w:t>bw</w:t>
            </w:r>
            <w:proofErr w:type="spellEnd"/>
            <w:r w:rsidRPr="00BE41EC">
              <w:rPr>
                <w:rFonts w:ascii="Arial" w:hAnsi="Arial" w:cs="Arial"/>
              </w:rPr>
              <w:t xml:space="preserve">/day in rats and 2860 mg/kg </w:t>
            </w:r>
            <w:proofErr w:type="spellStart"/>
            <w:r w:rsidRPr="00BE41EC">
              <w:rPr>
                <w:rFonts w:ascii="Arial" w:hAnsi="Arial" w:cs="Arial"/>
              </w:rPr>
              <w:t>bw</w:t>
            </w:r>
            <w:proofErr w:type="spellEnd"/>
            <w:r w:rsidRPr="00BE41EC">
              <w:rPr>
                <w:rFonts w:ascii="Arial" w:hAnsi="Arial" w:cs="Arial"/>
              </w:rPr>
              <w:t>/day in mice (SCCP 2006a).</w:t>
            </w:r>
          </w:p>
        </w:tc>
      </w:tr>
      <w:tr w:rsidR="00026EBE" w14:paraId="77DBA237"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tcPr>
          <w:p w14:paraId="640FAA95" w14:textId="77777777" w:rsidR="00026EBE" w:rsidRPr="00BE41EC" w:rsidRDefault="00026EBE" w:rsidP="000850F6">
            <w:pPr>
              <w:pStyle w:val="Tabletextleft"/>
              <w:rPr>
                <w:rFonts w:ascii="Arial" w:hAnsi="Arial" w:cs="Arial"/>
              </w:rPr>
            </w:pPr>
          </w:p>
        </w:tc>
        <w:tc>
          <w:tcPr>
            <w:tcW w:w="3004" w:type="dxa"/>
            <w:vAlign w:val="center"/>
          </w:tcPr>
          <w:p w14:paraId="481011E9"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Rats (SD; n=not reported) doses up to 200 mg/kg </w:t>
            </w:r>
            <w:proofErr w:type="spellStart"/>
            <w:r w:rsidRPr="00BE41EC">
              <w:rPr>
                <w:rFonts w:ascii="Arial" w:hAnsi="Arial" w:cs="Arial"/>
              </w:rPr>
              <w:t>bw</w:t>
            </w:r>
            <w:proofErr w:type="spellEnd"/>
            <w:r w:rsidRPr="00BE41EC">
              <w:rPr>
                <w:rFonts w:ascii="Arial" w:hAnsi="Arial" w:cs="Arial"/>
              </w:rPr>
              <w:t xml:space="preserve">/day and mice (B6C3F1; n= x </w:t>
            </w:r>
            <w:r w:rsidRPr="00BE41EC">
              <w:rPr>
                <w:rFonts w:ascii="Arial" w:eastAsia="Cambria" w:hAnsi="Arial" w:cs="Arial"/>
                <w:kern w:val="0"/>
              </w:rPr>
              <w:t>♂</w:t>
            </w:r>
            <w:r w:rsidRPr="00BE41EC">
              <w:rPr>
                <w:rFonts w:ascii="Arial" w:hAnsi="Arial" w:cs="Arial"/>
              </w:rPr>
              <w:t xml:space="preserve">);0, 20, 100, 400 mg/kg </w:t>
            </w:r>
            <w:proofErr w:type="spellStart"/>
            <w:r w:rsidRPr="00BE41EC">
              <w:rPr>
                <w:rFonts w:ascii="Arial" w:hAnsi="Arial" w:cs="Arial"/>
              </w:rPr>
              <w:t>bw</w:t>
            </w:r>
            <w:proofErr w:type="spellEnd"/>
            <w:r w:rsidRPr="00BE41EC">
              <w:rPr>
                <w:rFonts w:ascii="Arial" w:hAnsi="Arial" w:cs="Arial"/>
              </w:rPr>
              <w:t>/</w:t>
            </w:r>
            <w:proofErr w:type="gramStart"/>
            <w:r w:rsidRPr="00BE41EC">
              <w:rPr>
                <w:rFonts w:ascii="Arial" w:hAnsi="Arial" w:cs="Arial"/>
              </w:rPr>
              <w:t>day;</w:t>
            </w:r>
            <w:proofErr w:type="gramEnd"/>
          </w:p>
          <w:p w14:paraId="2B8BF42F"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13 weeks (dermal)</w:t>
            </w:r>
          </w:p>
        </w:tc>
        <w:tc>
          <w:tcPr>
            <w:tcW w:w="3004" w:type="dxa"/>
            <w:vAlign w:val="center"/>
          </w:tcPr>
          <w:p w14:paraId="33236F1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No effects on selective reproduction parameters and a NOAEL </w:t>
            </w:r>
            <w:proofErr w:type="gramStart"/>
            <w:r w:rsidRPr="00BE41EC">
              <w:rPr>
                <w:rFonts w:ascii="Arial" w:hAnsi="Arial" w:cs="Arial"/>
              </w:rPr>
              <w:t>was</w:t>
            </w:r>
            <w:proofErr w:type="gramEnd"/>
            <w:r w:rsidRPr="00BE41EC">
              <w:rPr>
                <w:rFonts w:ascii="Arial" w:hAnsi="Arial" w:cs="Arial"/>
              </w:rPr>
              <w:t xml:space="preserve"> established at 200 mg/kg </w:t>
            </w:r>
            <w:proofErr w:type="spellStart"/>
            <w:r w:rsidRPr="00BE41EC">
              <w:rPr>
                <w:rFonts w:ascii="Arial" w:hAnsi="Arial" w:cs="Arial"/>
              </w:rPr>
              <w:t>bw</w:t>
            </w:r>
            <w:proofErr w:type="spellEnd"/>
            <w:r w:rsidRPr="00BE41EC">
              <w:rPr>
                <w:rFonts w:ascii="Arial" w:hAnsi="Arial" w:cs="Arial"/>
              </w:rPr>
              <w:t xml:space="preserve">/day, the highest dose tested in rats. </w:t>
            </w:r>
          </w:p>
          <w:p w14:paraId="7168974B"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In mice, there were no effects on reproductive organ weight, cauda epididymal sperm concentration, sperm parameters, testicular spermatid concentration or testicular histology. </w:t>
            </w:r>
          </w:p>
          <w:p w14:paraId="54811A52"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NOAEL: 400 mg/kg </w:t>
            </w:r>
            <w:proofErr w:type="spellStart"/>
            <w:r w:rsidRPr="00BE41EC">
              <w:rPr>
                <w:rFonts w:ascii="Arial" w:hAnsi="Arial" w:cs="Arial"/>
              </w:rPr>
              <w:t>bw</w:t>
            </w:r>
            <w:proofErr w:type="spellEnd"/>
            <w:r w:rsidRPr="00BE41EC">
              <w:rPr>
                <w:rFonts w:ascii="Arial" w:hAnsi="Arial" w:cs="Arial"/>
              </w:rPr>
              <w:t xml:space="preserve">/day, the highest dose tested. </w:t>
            </w:r>
          </w:p>
        </w:tc>
      </w:tr>
      <w:tr w:rsidR="00026EBE" w14:paraId="268767EA"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tcPr>
          <w:p w14:paraId="3FEAFD6F" w14:textId="77777777" w:rsidR="00026EBE" w:rsidRPr="00BE41EC" w:rsidRDefault="00026EBE" w:rsidP="000850F6">
            <w:pPr>
              <w:pStyle w:val="Tabletextleft"/>
              <w:rPr>
                <w:rFonts w:ascii="Arial" w:hAnsi="Arial" w:cs="Arial"/>
              </w:rPr>
            </w:pPr>
          </w:p>
        </w:tc>
        <w:tc>
          <w:tcPr>
            <w:tcW w:w="3004" w:type="dxa"/>
            <w:vAlign w:val="center"/>
          </w:tcPr>
          <w:p w14:paraId="35096311"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Prenatal developmental toxicity study in rats (Wistar; </w:t>
            </w:r>
            <w:r w:rsidRPr="00BE41EC">
              <w:rPr>
                <w:rFonts w:ascii="Arial" w:hAnsi="Arial" w:cs="Arial"/>
                <w:i/>
                <w:iCs/>
              </w:rPr>
              <w:t>n</w:t>
            </w:r>
            <w:r w:rsidRPr="00BE41EC">
              <w:rPr>
                <w:rFonts w:ascii="Arial" w:hAnsi="Arial" w:cs="Arial"/>
              </w:rPr>
              <w:t xml:space="preserve">=25 </w:t>
            </w:r>
            <w:r w:rsidRPr="00BE41EC">
              <w:rPr>
                <w:rFonts w:ascii="Arial" w:eastAsia="Cambria" w:hAnsi="Arial" w:cs="Arial"/>
                <w:kern w:val="0"/>
              </w:rPr>
              <w:t>♀</w:t>
            </w:r>
            <w:r w:rsidRPr="00BE41EC">
              <w:rPr>
                <w:rFonts w:ascii="Arial" w:hAnsi="Arial" w:cs="Arial"/>
              </w:rPr>
              <w:t xml:space="preserve">), at doses of 0, 40, 200, 1000 mg/kg </w:t>
            </w:r>
            <w:proofErr w:type="spellStart"/>
            <w:r w:rsidRPr="00BE41EC">
              <w:rPr>
                <w:rFonts w:ascii="Arial" w:hAnsi="Arial" w:cs="Arial"/>
              </w:rPr>
              <w:t>bw</w:t>
            </w:r>
            <w:proofErr w:type="spellEnd"/>
            <w:r w:rsidRPr="00BE41EC">
              <w:rPr>
                <w:rFonts w:ascii="Arial" w:hAnsi="Arial" w:cs="Arial"/>
              </w:rPr>
              <w:t xml:space="preserve">/day PO </w:t>
            </w:r>
          </w:p>
        </w:tc>
        <w:tc>
          <w:tcPr>
            <w:tcW w:w="3004" w:type="dxa"/>
            <w:vAlign w:val="center"/>
          </w:tcPr>
          <w:p w14:paraId="442A518D"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Slight ↑ rates of </w:t>
            </w:r>
            <w:proofErr w:type="spellStart"/>
            <w:r w:rsidRPr="00BE41EC">
              <w:rPr>
                <w:rFonts w:ascii="Arial" w:hAnsi="Arial" w:cs="Arial"/>
              </w:rPr>
              <w:t>fetuses</w:t>
            </w:r>
            <w:proofErr w:type="spellEnd"/>
            <w:r w:rsidRPr="00BE41EC">
              <w:rPr>
                <w:rFonts w:ascii="Arial" w:hAnsi="Arial" w:cs="Arial"/>
              </w:rPr>
              <w:t xml:space="preserve">/litter with skeletal variations (incomplete ossification of different skull bones and cervical arch, supernumerary 14th ribs) and therefore ↑ rates of total variations were observed at 1000 mg/kg </w:t>
            </w:r>
            <w:proofErr w:type="spellStart"/>
            <w:r w:rsidRPr="00BE41EC">
              <w:rPr>
                <w:rFonts w:ascii="Arial" w:hAnsi="Arial" w:cs="Arial"/>
              </w:rPr>
              <w:t>bw</w:t>
            </w:r>
            <w:proofErr w:type="spellEnd"/>
            <w:r w:rsidRPr="00BE41EC">
              <w:rPr>
                <w:rFonts w:ascii="Arial" w:hAnsi="Arial" w:cs="Arial"/>
              </w:rPr>
              <w:t xml:space="preserve">/day. These effects were associated with maternal toxicity (clinical signs, reduced bodyweight and food consumption). The NOAEL was established at 200 mg/kg </w:t>
            </w:r>
            <w:proofErr w:type="spellStart"/>
            <w:r w:rsidRPr="00BE41EC">
              <w:rPr>
                <w:rFonts w:ascii="Arial" w:hAnsi="Arial" w:cs="Arial"/>
              </w:rPr>
              <w:t>bw</w:t>
            </w:r>
            <w:proofErr w:type="spellEnd"/>
            <w:r w:rsidRPr="00BE41EC">
              <w:rPr>
                <w:rFonts w:ascii="Arial" w:hAnsi="Arial" w:cs="Arial"/>
              </w:rPr>
              <w:t>/day.</w:t>
            </w:r>
          </w:p>
        </w:tc>
      </w:tr>
      <w:tr w:rsidR="00026EBE" w14:paraId="0C7D0507"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tcPr>
          <w:p w14:paraId="33AA3FBE" w14:textId="77777777" w:rsidR="00026EBE" w:rsidRPr="00BE41EC" w:rsidRDefault="00026EBE" w:rsidP="000850F6">
            <w:pPr>
              <w:pStyle w:val="Tabletextleft"/>
              <w:rPr>
                <w:rFonts w:ascii="Arial" w:hAnsi="Arial" w:cs="Arial"/>
              </w:rPr>
            </w:pPr>
          </w:p>
        </w:tc>
        <w:tc>
          <w:tcPr>
            <w:tcW w:w="3004" w:type="dxa"/>
            <w:vAlign w:val="center"/>
          </w:tcPr>
          <w:p w14:paraId="255C3DA8"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Reproductive toxicity study in rats (SD) at doses of 3000, 10000 and 30000 ppm (equivalent to 242, 725 and 3689 mg/kg </w:t>
            </w:r>
            <w:proofErr w:type="spellStart"/>
            <w:r w:rsidRPr="00BE41EC">
              <w:rPr>
                <w:rFonts w:ascii="Arial" w:hAnsi="Arial" w:cs="Arial"/>
              </w:rPr>
              <w:t>bw</w:t>
            </w:r>
            <w:proofErr w:type="spellEnd"/>
            <w:r w:rsidRPr="00BE41EC">
              <w:rPr>
                <w:rFonts w:ascii="Arial" w:hAnsi="Arial" w:cs="Arial"/>
              </w:rPr>
              <w:t>/day) in the diet from GD 5-15.</w:t>
            </w:r>
          </w:p>
        </w:tc>
        <w:tc>
          <w:tcPr>
            <w:tcW w:w="3004" w:type="dxa"/>
            <w:vAlign w:val="center"/>
          </w:tcPr>
          <w:p w14:paraId="5EB62381"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The maternal NOAEL was established at 3000 ppm (206-478 mg/kg </w:t>
            </w:r>
            <w:proofErr w:type="spellStart"/>
            <w:r w:rsidRPr="00BE41EC">
              <w:rPr>
                <w:rFonts w:ascii="Arial" w:hAnsi="Arial" w:cs="Arial"/>
              </w:rPr>
              <w:t>bw</w:t>
            </w:r>
            <w:proofErr w:type="spellEnd"/>
            <w:r w:rsidRPr="00BE41EC">
              <w:rPr>
                <w:rFonts w:ascii="Arial" w:hAnsi="Arial" w:cs="Arial"/>
              </w:rPr>
              <w:t xml:space="preserve">/day) based on reduced bodyweight gain during GD 6-9 and lactation day 4-21. The developmental NOEL was established at 3000 ppm (206-478 mg/kg </w:t>
            </w:r>
            <w:proofErr w:type="spellStart"/>
            <w:r w:rsidRPr="00BE41EC">
              <w:rPr>
                <w:rFonts w:ascii="Arial" w:hAnsi="Arial" w:cs="Arial"/>
              </w:rPr>
              <w:t>bw</w:t>
            </w:r>
            <w:proofErr w:type="spellEnd"/>
            <w:r w:rsidRPr="00BE41EC">
              <w:rPr>
                <w:rFonts w:ascii="Arial" w:hAnsi="Arial" w:cs="Arial"/>
              </w:rPr>
              <w:t xml:space="preserve">/day) based on impaired postnatal bodyweight performance at 10000 ppm (660-1609 mg/kg </w:t>
            </w:r>
            <w:proofErr w:type="spellStart"/>
            <w:r w:rsidRPr="00BE41EC">
              <w:rPr>
                <w:rFonts w:ascii="Arial" w:hAnsi="Arial" w:cs="Arial"/>
              </w:rPr>
              <w:t>bw</w:t>
            </w:r>
            <w:proofErr w:type="spellEnd"/>
            <w:r w:rsidRPr="00BE41EC">
              <w:rPr>
                <w:rFonts w:ascii="Arial" w:hAnsi="Arial" w:cs="Arial"/>
              </w:rPr>
              <w:t xml:space="preserve">/day) (SCCS 2021c). </w:t>
            </w:r>
          </w:p>
        </w:tc>
      </w:tr>
      <w:tr w:rsidR="00026EBE" w14:paraId="19AA521F"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tcPr>
          <w:p w14:paraId="33368601" w14:textId="77777777" w:rsidR="00026EBE" w:rsidRPr="00BE41EC" w:rsidRDefault="00026EBE" w:rsidP="000850F6">
            <w:pPr>
              <w:pStyle w:val="Tabletextleft"/>
              <w:rPr>
                <w:rFonts w:ascii="Arial" w:hAnsi="Arial" w:cs="Arial"/>
              </w:rPr>
            </w:pPr>
          </w:p>
        </w:tc>
        <w:tc>
          <w:tcPr>
            <w:tcW w:w="3004" w:type="dxa"/>
            <w:vAlign w:val="center"/>
          </w:tcPr>
          <w:p w14:paraId="4DBFB18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Nakamura </w:t>
            </w:r>
            <w:r w:rsidRPr="00BE41EC">
              <w:rPr>
                <w:rFonts w:ascii="Arial" w:hAnsi="Arial" w:cs="Arial"/>
                <w:i/>
                <w:iCs/>
              </w:rPr>
              <w:t>et al.</w:t>
            </w:r>
            <w:r w:rsidRPr="00BE41EC">
              <w:rPr>
                <w:rFonts w:ascii="Arial" w:hAnsi="Arial" w:cs="Arial"/>
              </w:rPr>
              <w:t xml:space="preserve"> (2015) </w:t>
            </w:r>
          </w:p>
          <w:p w14:paraId="4E094CDF"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Reproductive toxicity study in rats (SD; </w:t>
            </w:r>
            <w:r w:rsidRPr="00BE41EC">
              <w:rPr>
                <w:rFonts w:ascii="Arial" w:hAnsi="Arial" w:cs="Arial"/>
                <w:i/>
                <w:iCs/>
              </w:rPr>
              <w:t>n</w:t>
            </w:r>
            <w:r w:rsidRPr="00BE41EC">
              <w:rPr>
                <w:rFonts w:ascii="Arial" w:hAnsi="Arial" w:cs="Arial"/>
              </w:rPr>
              <w:t xml:space="preserve">=7-8 mated </w:t>
            </w:r>
            <w:r w:rsidRPr="00BE41EC">
              <w:rPr>
                <w:rFonts w:ascii="Arial" w:eastAsia="Cambria" w:hAnsi="Arial" w:cs="Arial"/>
                <w:kern w:val="0"/>
              </w:rPr>
              <w:t>♀</w:t>
            </w:r>
            <w:proofErr w:type="gramStart"/>
            <w:r w:rsidRPr="00BE41EC">
              <w:rPr>
                <w:rFonts w:ascii="Arial" w:hAnsi="Arial" w:cs="Arial"/>
              </w:rPr>
              <w:t>);</w:t>
            </w:r>
            <w:proofErr w:type="gramEnd"/>
          </w:p>
          <w:p w14:paraId="55D6EAE4"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Doses: 0, 1000, 3000, 10,000, 25,000, or 50,000 ppm, equivalent to 67.9, 207.1, 670.8, 1798.3, and 3448.2 mg/kg </w:t>
            </w:r>
            <w:proofErr w:type="spellStart"/>
            <w:r w:rsidRPr="00BE41EC">
              <w:rPr>
                <w:rFonts w:ascii="Arial" w:hAnsi="Arial" w:cs="Arial"/>
              </w:rPr>
              <w:t>bw</w:t>
            </w:r>
            <w:proofErr w:type="spellEnd"/>
            <w:r w:rsidRPr="00BE41EC">
              <w:rPr>
                <w:rFonts w:ascii="Arial" w:hAnsi="Arial" w:cs="Arial"/>
              </w:rPr>
              <w:t>/day, respectively. Treatment from GD6-PND23.</w:t>
            </w:r>
          </w:p>
          <w:p w14:paraId="30FE0B8A"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The effects of maternal exposure during gestation and lactation on development and reproductive organs of offspring of mated female rats was examined. </w:t>
            </w:r>
          </w:p>
        </w:tc>
        <w:tc>
          <w:tcPr>
            <w:tcW w:w="3004" w:type="dxa"/>
            <w:vAlign w:val="center"/>
          </w:tcPr>
          <w:p w14:paraId="1D0D7764"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sidDel="001A28CC">
              <w:rPr>
                <w:rFonts w:ascii="Arial" w:hAnsi="Arial" w:cs="Arial"/>
              </w:rPr>
              <w:t>Exposure to &lt;10,000 ppm oxybenzone was not associated with adverse effects on the reproductive system in rats. At higher doses, a d</w:t>
            </w:r>
            <w:r w:rsidRPr="00BE41EC">
              <w:rPr>
                <w:rFonts w:ascii="Arial" w:hAnsi="Arial" w:cs="Arial"/>
              </w:rPr>
              <w:t xml:space="preserve">ecrease in the normalised anogenital distance in male pups at PND 23, impairment of spermatocyte development in testes of male offspring, delayed follicular development in females was observed at doses of ≥207 mg/kg </w:t>
            </w:r>
            <w:proofErr w:type="spellStart"/>
            <w:r w:rsidRPr="00BE41EC">
              <w:rPr>
                <w:rFonts w:ascii="Arial" w:hAnsi="Arial" w:cs="Arial"/>
              </w:rPr>
              <w:t>bw</w:t>
            </w:r>
            <w:proofErr w:type="spellEnd"/>
            <w:r w:rsidRPr="00BE41EC">
              <w:rPr>
                <w:rFonts w:ascii="Arial" w:hAnsi="Arial" w:cs="Arial"/>
              </w:rPr>
              <w:t xml:space="preserve">/day. The </w:t>
            </w:r>
            <w:r w:rsidRPr="00BE41EC">
              <w:rPr>
                <w:rFonts w:ascii="Arial" w:hAnsi="Arial" w:cs="Arial"/>
                <w:b/>
                <w:bCs/>
              </w:rPr>
              <w:t xml:space="preserve">NOAEL was established at 67.9 mg/kg </w:t>
            </w:r>
            <w:proofErr w:type="spellStart"/>
            <w:r w:rsidRPr="00BE41EC">
              <w:rPr>
                <w:rFonts w:ascii="Arial" w:hAnsi="Arial" w:cs="Arial"/>
                <w:b/>
                <w:bCs/>
              </w:rPr>
              <w:t>bw</w:t>
            </w:r>
            <w:proofErr w:type="spellEnd"/>
            <w:r w:rsidRPr="00BE41EC">
              <w:rPr>
                <w:rFonts w:ascii="Arial" w:hAnsi="Arial" w:cs="Arial"/>
                <w:b/>
                <w:bCs/>
              </w:rPr>
              <w:t>/day.</w:t>
            </w:r>
          </w:p>
          <w:p w14:paraId="28A9EB08"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26EBE" w14:paraId="676DB0B0" w14:textId="77777777" w:rsidTr="000850F6">
        <w:tc>
          <w:tcPr>
            <w:cnfStyle w:val="001000000000" w:firstRow="0" w:lastRow="0" w:firstColumn="1" w:lastColumn="0" w:oddVBand="0" w:evenVBand="0" w:oddHBand="0" w:evenHBand="0" w:firstRowFirstColumn="0" w:firstRowLastColumn="0" w:lastRowFirstColumn="0" w:lastRowLastColumn="0"/>
            <w:tcW w:w="3008" w:type="dxa"/>
            <w:vMerge/>
          </w:tcPr>
          <w:p w14:paraId="361D3C4A" w14:textId="77777777" w:rsidR="00026EBE" w:rsidRPr="00BE41EC" w:rsidRDefault="00026EBE" w:rsidP="000850F6">
            <w:pPr>
              <w:pStyle w:val="Tabletextleft"/>
              <w:rPr>
                <w:rFonts w:ascii="Arial" w:hAnsi="Arial" w:cs="Arial"/>
              </w:rPr>
            </w:pPr>
          </w:p>
        </w:tc>
        <w:tc>
          <w:tcPr>
            <w:tcW w:w="3004" w:type="dxa"/>
            <w:vAlign w:val="center"/>
          </w:tcPr>
          <w:p w14:paraId="1A9EB23C"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Han </w:t>
            </w:r>
            <w:r w:rsidRPr="00BE41EC">
              <w:rPr>
                <w:rFonts w:ascii="Arial" w:hAnsi="Arial" w:cs="Arial"/>
                <w:i/>
                <w:iCs/>
              </w:rPr>
              <w:t>et al.</w:t>
            </w:r>
            <w:r w:rsidRPr="00BE41EC">
              <w:rPr>
                <w:rFonts w:ascii="Arial" w:hAnsi="Arial" w:cs="Arial"/>
              </w:rPr>
              <w:t xml:space="preserve"> (2022)</w:t>
            </w:r>
          </w:p>
          <w:p w14:paraId="552868FC"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Reproductive toxicity study in mice (ICR; </w:t>
            </w:r>
            <w:r w:rsidRPr="00BE41EC">
              <w:rPr>
                <w:rFonts w:ascii="Arial" w:hAnsi="Arial" w:cs="Arial"/>
                <w:i/>
                <w:iCs/>
              </w:rPr>
              <w:t>n</w:t>
            </w:r>
            <w:r w:rsidRPr="00BE41EC">
              <w:rPr>
                <w:rFonts w:ascii="Arial" w:hAnsi="Arial" w:cs="Arial"/>
              </w:rPr>
              <w:t xml:space="preserve">=13-15 mated </w:t>
            </w:r>
            <w:r w:rsidRPr="00BE41EC">
              <w:rPr>
                <w:rFonts w:ascii="Arial" w:eastAsia="Cambria" w:hAnsi="Arial" w:cs="Arial"/>
                <w:kern w:val="0"/>
              </w:rPr>
              <w:t>♀</w:t>
            </w:r>
            <w:r w:rsidRPr="00BE41EC">
              <w:rPr>
                <w:rFonts w:ascii="Arial" w:hAnsi="Arial" w:cs="Arial"/>
              </w:rPr>
              <w:t>)</w:t>
            </w:r>
          </w:p>
          <w:p w14:paraId="0A50667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Doses: 0, 0.1, 10, 1000 mg/kg/day PO</w:t>
            </w:r>
          </w:p>
          <w:p w14:paraId="497696D3"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Treatment from GD1-GD13 </w:t>
            </w:r>
          </w:p>
        </w:tc>
        <w:tc>
          <w:tcPr>
            <w:tcW w:w="3004" w:type="dxa"/>
            <w:vAlign w:val="center"/>
          </w:tcPr>
          <w:p w14:paraId="65850912"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No adverse effect on maternal body weight and the relative weights of the liver, brain and the uterus </w:t>
            </w:r>
          </w:p>
          <w:p w14:paraId="3BB9F16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Slight ↑ rate of fetal loss at HD; ↑ placental thrombosis and necrosis from LD (severity not assessed) </w:t>
            </w:r>
          </w:p>
        </w:tc>
      </w:tr>
      <w:tr w:rsidR="00026EBE" w14:paraId="79DE6D78" w14:textId="77777777" w:rsidTr="000850F6">
        <w:tc>
          <w:tcPr>
            <w:cnfStyle w:val="001000000000" w:firstRow="0" w:lastRow="0" w:firstColumn="1" w:lastColumn="0" w:oddVBand="0" w:evenVBand="0" w:oddHBand="0" w:evenHBand="0" w:firstRowFirstColumn="0" w:firstRowLastColumn="0" w:lastRowFirstColumn="0" w:lastRowLastColumn="0"/>
            <w:tcW w:w="3008" w:type="dxa"/>
            <w:vAlign w:val="center"/>
          </w:tcPr>
          <w:p w14:paraId="76202E58" w14:textId="77777777" w:rsidR="00026EBE" w:rsidRPr="00BE41EC" w:rsidRDefault="00026EBE" w:rsidP="000850F6">
            <w:pPr>
              <w:pStyle w:val="Tabletextleft"/>
              <w:rPr>
                <w:rFonts w:ascii="Arial" w:hAnsi="Arial" w:cs="Arial"/>
              </w:rPr>
            </w:pPr>
            <w:r w:rsidRPr="00BE41EC">
              <w:rPr>
                <w:rFonts w:ascii="Arial" w:hAnsi="Arial" w:cs="Arial"/>
              </w:rPr>
              <w:t>PBSA</w:t>
            </w:r>
          </w:p>
          <w:p w14:paraId="4B9EE113" w14:textId="77777777" w:rsidR="00026EBE" w:rsidRPr="00BE41EC" w:rsidRDefault="00026EBE" w:rsidP="000850F6">
            <w:pPr>
              <w:pStyle w:val="Tabletextleft"/>
              <w:rPr>
                <w:rFonts w:ascii="Arial" w:hAnsi="Arial" w:cs="Arial"/>
              </w:rPr>
            </w:pPr>
            <w:r w:rsidRPr="00BE41EC">
              <w:rPr>
                <w:rFonts w:ascii="Arial" w:hAnsi="Arial" w:cs="Arial"/>
              </w:rPr>
              <w:t>(SCCP 2006b)</w:t>
            </w:r>
          </w:p>
        </w:tc>
        <w:tc>
          <w:tcPr>
            <w:tcW w:w="3004" w:type="dxa"/>
            <w:vAlign w:val="center"/>
          </w:tcPr>
          <w:p w14:paraId="292D8087"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A prenatal developmental study (rats, </w:t>
            </w:r>
            <w:r w:rsidRPr="00BE41EC">
              <w:rPr>
                <w:rFonts w:ascii="Arial" w:hAnsi="Arial" w:cs="Arial"/>
                <w:i/>
                <w:iCs/>
              </w:rPr>
              <w:t>n</w:t>
            </w:r>
            <w:r w:rsidRPr="00BE41EC">
              <w:rPr>
                <w:rFonts w:ascii="Arial" w:hAnsi="Arial" w:cs="Arial"/>
              </w:rPr>
              <w:t>=25</w:t>
            </w:r>
            <w:r w:rsidRPr="00BE41EC">
              <w:rPr>
                <w:rFonts w:ascii="Arial" w:eastAsia="Cambria" w:hAnsi="Arial" w:cs="Arial"/>
                <w:kern w:val="0"/>
              </w:rPr>
              <w:t>♀</w:t>
            </w:r>
            <w:r w:rsidRPr="00BE41EC">
              <w:rPr>
                <w:rFonts w:ascii="Arial" w:hAnsi="Arial" w:cs="Arial"/>
              </w:rPr>
              <w:t xml:space="preserve">/group), treatment GD 6-15, doses: 0 and 1000 mg/kg </w:t>
            </w:r>
            <w:proofErr w:type="spellStart"/>
            <w:r w:rsidRPr="00BE41EC">
              <w:rPr>
                <w:rFonts w:ascii="Arial" w:hAnsi="Arial" w:cs="Arial"/>
              </w:rPr>
              <w:t>bw</w:t>
            </w:r>
            <w:proofErr w:type="spellEnd"/>
            <w:r w:rsidRPr="00BE41EC">
              <w:rPr>
                <w:rFonts w:ascii="Arial" w:hAnsi="Arial" w:cs="Arial"/>
              </w:rPr>
              <w:t xml:space="preserve">/day (gavage) </w:t>
            </w:r>
          </w:p>
        </w:tc>
        <w:tc>
          <w:tcPr>
            <w:tcW w:w="3004" w:type="dxa"/>
            <w:vAlign w:val="center"/>
          </w:tcPr>
          <w:p w14:paraId="51A880BA"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No treatment-related findings were noted in the study.</w:t>
            </w:r>
          </w:p>
          <w:p w14:paraId="485F3690"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E41EC">
              <w:rPr>
                <w:rFonts w:ascii="Arial" w:hAnsi="Arial" w:cs="Arial"/>
              </w:rPr>
              <w:t xml:space="preserve">The NOAEL for maternal and fetal toxicity was 1000 mg/kg </w:t>
            </w:r>
            <w:proofErr w:type="spellStart"/>
            <w:r w:rsidRPr="00BE41EC">
              <w:rPr>
                <w:rFonts w:ascii="Arial" w:hAnsi="Arial" w:cs="Arial"/>
              </w:rPr>
              <w:t>bw</w:t>
            </w:r>
            <w:proofErr w:type="spellEnd"/>
            <w:r w:rsidRPr="00BE41EC">
              <w:rPr>
                <w:rFonts w:ascii="Arial" w:hAnsi="Arial" w:cs="Arial"/>
              </w:rPr>
              <w:t xml:space="preserve">/day. </w:t>
            </w:r>
          </w:p>
          <w:p w14:paraId="07BD07BC" w14:textId="77777777" w:rsidR="00026EBE" w:rsidRPr="00BE41EC" w:rsidRDefault="00026EBE" w:rsidP="000850F6">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51A7AF2" w14:textId="77777777" w:rsidR="00026EBE" w:rsidRPr="00D27219" w:rsidRDefault="00026EBE" w:rsidP="00026EBE">
      <w:pPr>
        <w:pStyle w:val="Heading5"/>
      </w:pPr>
      <w:r w:rsidRPr="00D27219">
        <w:t>Active ingredients in human milk</w:t>
      </w:r>
    </w:p>
    <w:p w14:paraId="6487F8BD" w14:textId="77777777" w:rsidR="00026EBE" w:rsidRPr="00D27219" w:rsidRDefault="00026EBE" w:rsidP="00026EBE">
      <w:pPr>
        <w:autoSpaceDE w:val="0"/>
        <w:autoSpaceDN w:val="0"/>
        <w:adjustRightInd w:val="0"/>
        <w:rPr>
          <w:rFonts w:cs="Arial"/>
        </w:rPr>
      </w:pPr>
      <w:r w:rsidRPr="00D27219">
        <w:rPr>
          <w:rFonts w:cs="Arial"/>
        </w:rPr>
        <w:t xml:space="preserve">In a cohort study between 2004 and 2006, 54 human milk samples were analysed; UV filters were detectable in 46 samples and levels were positively correlated with the reported usage of UV filter products (Schlumpf </w:t>
      </w:r>
      <w:r w:rsidRPr="00D27219">
        <w:rPr>
          <w:rFonts w:cs="Arial"/>
          <w:i/>
          <w:iCs/>
        </w:rPr>
        <w:t>et al.,</w:t>
      </w:r>
      <w:r w:rsidRPr="00D27219">
        <w:rPr>
          <w:rFonts w:cs="Arial"/>
        </w:rPr>
        <w:t xml:space="preserve"> 2010). Concentrations of octinoxate or ethylhexyl methoxy cinnamate (EHMC), octocrylene (OC), 4-methylbenzylidene camphor (4-MBC), homosalate (HMS) and oxybenzone (BP-3) ranged 2.10–134.95 ng/g lipid, with octinoxate/EHMC and octocrylene</w:t>
      </w:r>
      <w:r w:rsidRPr="00D27219" w:rsidDel="006A1C4D">
        <w:rPr>
          <w:rFonts w:cs="Arial"/>
        </w:rPr>
        <w:t xml:space="preserve"> </w:t>
      </w:r>
      <w:r w:rsidRPr="00D27219">
        <w:rPr>
          <w:rFonts w:cs="Arial"/>
        </w:rPr>
        <w:t xml:space="preserve">being most prevalent (42 and 36 positive samples, respectively) and an average of 7 positive samples for the other three (Schlumpf </w:t>
      </w:r>
      <w:r w:rsidRPr="00D27219">
        <w:rPr>
          <w:rFonts w:cs="Arial"/>
          <w:i/>
          <w:iCs/>
        </w:rPr>
        <w:t>et al.,</w:t>
      </w:r>
      <w:r w:rsidRPr="00D27219">
        <w:rPr>
          <w:rFonts w:cs="Arial"/>
        </w:rPr>
        <w:t xml:space="preserve"> 2010).  In another study, levels of oxybenzone</w:t>
      </w:r>
      <w:r w:rsidRPr="00D27219" w:rsidDel="00CA6C8A">
        <w:rPr>
          <w:rFonts w:cs="Arial"/>
        </w:rPr>
        <w:t xml:space="preserve"> </w:t>
      </w:r>
      <w:r w:rsidRPr="00D27219">
        <w:rPr>
          <w:rFonts w:cs="Arial"/>
        </w:rPr>
        <w:t>in maternal urinary samples taken in gestational weeks 6–30 were positively correlated with the overall weight and head circumference of the baby (</w:t>
      </w:r>
      <w:proofErr w:type="spellStart"/>
      <w:r w:rsidRPr="00D27219">
        <w:rPr>
          <w:rFonts w:cs="Arial"/>
        </w:rPr>
        <w:t>Philippat</w:t>
      </w:r>
      <w:proofErr w:type="spellEnd"/>
      <w:r w:rsidRPr="00D27219">
        <w:rPr>
          <w:rFonts w:cs="Arial"/>
        </w:rPr>
        <w:t xml:space="preserve"> </w:t>
      </w:r>
      <w:r w:rsidRPr="00D27219">
        <w:rPr>
          <w:rFonts w:cs="Arial"/>
          <w:i/>
          <w:iCs/>
        </w:rPr>
        <w:t>et al.</w:t>
      </w:r>
      <w:r w:rsidRPr="00D27219">
        <w:rPr>
          <w:rFonts w:cs="Arial"/>
        </w:rPr>
        <w:t xml:space="preserve"> 2012). These reports raise concerns about potential prenatal exposure and developmental toxicity of UV filters.  </w:t>
      </w:r>
    </w:p>
    <w:p w14:paraId="4F5E5F19" w14:textId="77777777" w:rsidR="00026EBE" w:rsidRPr="00AD71FE" w:rsidRDefault="00026EBE" w:rsidP="00026EBE">
      <w:pPr>
        <w:pStyle w:val="Heading3"/>
      </w:pPr>
      <w:bookmarkStart w:id="127" w:name="_Toc100664719"/>
      <w:bookmarkStart w:id="128" w:name="_Toc157439289"/>
      <w:bookmarkStart w:id="129" w:name="_Toc173830131"/>
      <w:bookmarkStart w:id="130" w:name="_Toc189819966"/>
      <w:bookmarkStart w:id="131" w:name="_Toc190081236"/>
      <w:r w:rsidRPr="00AD71FE">
        <w:t xml:space="preserve">Endocrine </w:t>
      </w:r>
      <w:bookmarkEnd w:id="127"/>
      <w:bookmarkEnd w:id="128"/>
      <w:r w:rsidRPr="002C7324">
        <w:t>activity modulation</w:t>
      </w:r>
      <w:bookmarkEnd w:id="129"/>
      <w:bookmarkEnd w:id="130"/>
      <w:bookmarkEnd w:id="131"/>
    </w:p>
    <w:p w14:paraId="72732642" w14:textId="77777777" w:rsidR="00026EBE" w:rsidRPr="00D27219" w:rsidRDefault="00026EBE" w:rsidP="00026EBE">
      <w:pPr>
        <w:rPr>
          <w:b/>
          <w:bCs/>
        </w:rPr>
      </w:pPr>
      <w:r w:rsidRPr="00D27219">
        <w:t>Chemicals with endocrine activity modulation are exogenous chemicals that can alter hormone action, thereby potentially increasing the risk of adverse health outcomes, including cancer, reproductive impairment, cognitive deficits and obesity. In 2013, publicly available data on endocrine disruptive properties of 23 ingredients including the ingredients reviewed in this document were collected and evaluated by the Danish Centre on Endocrine Disruptors (</w:t>
      </w:r>
      <w:proofErr w:type="spellStart"/>
      <w:r w:rsidRPr="00D27219">
        <w:t>Axelstad</w:t>
      </w:r>
      <w:proofErr w:type="spellEnd"/>
      <w:r w:rsidRPr="00D27219">
        <w:t xml:space="preserve"> </w:t>
      </w:r>
      <w:r w:rsidRPr="00D27219">
        <w:rPr>
          <w:i/>
        </w:rPr>
        <w:t>et al.</w:t>
      </w:r>
      <w:r w:rsidRPr="00D27219">
        <w:t xml:space="preserve"> 2013). The overall conclusion of the evaluation was that there were not enough data to conclude whether the ingredients have endocrine disruptive properties or not.</w:t>
      </w:r>
      <w:r w:rsidRPr="00D27219">
        <w:rPr>
          <w:b/>
          <w:bCs/>
        </w:rPr>
        <w:t xml:space="preserve"> </w:t>
      </w:r>
    </w:p>
    <w:p w14:paraId="468FAC8F" w14:textId="77777777" w:rsidR="00026EBE" w:rsidRPr="00550684" w:rsidRDefault="00026EBE" w:rsidP="00026EBE">
      <w:pPr>
        <w:ind w:left="720"/>
        <w:rPr>
          <w:i/>
          <w:iCs/>
        </w:rPr>
      </w:pPr>
      <w:r w:rsidRPr="00550684">
        <w:rPr>
          <w:i/>
          <w:iCs/>
        </w:rPr>
        <w:t>“In conclusion, very little is known on the endocrine disrupting potential of these 23 UV-filters. For 14 of the 23 assessed UV-filters</w:t>
      </w:r>
      <w:r w:rsidRPr="00550684">
        <w:rPr>
          <w:rStyle w:val="FootnoteReference"/>
          <w:rFonts w:cs="Arial"/>
          <w:i/>
          <w:iCs/>
        </w:rPr>
        <w:footnoteReference w:id="8"/>
      </w:r>
      <w:r w:rsidRPr="00550684">
        <w:rPr>
          <w:i/>
          <w:iCs/>
        </w:rPr>
        <w:t xml:space="preserve"> no in vivo studies in rodents, assessing endpoint that are sensitive to endocrine disruption, have been performed, and it was therefore not possible to conclude anything on their endocrine disrupting potential, </w:t>
      </w:r>
      <w:proofErr w:type="gramStart"/>
      <w:r w:rsidRPr="00550684">
        <w:rPr>
          <w:i/>
          <w:iCs/>
        </w:rPr>
        <w:t>with regard to</w:t>
      </w:r>
      <w:proofErr w:type="gramEnd"/>
      <w:r w:rsidRPr="00550684">
        <w:rPr>
          <w:i/>
          <w:iCs/>
        </w:rPr>
        <w:t xml:space="preserve"> human health…</w:t>
      </w:r>
    </w:p>
    <w:p w14:paraId="10DBCA16" w14:textId="77777777" w:rsidR="00026EBE" w:rsidRPr="00550684" w:rsidRDefault="00026EBE" w:rsidP="00026EBE">
      <w:pPr>
        <w:ind w:left="720"/>
        <w:rPr>
          <w:i/>
          <w:iCs/>
        </w:rPr>
      </w:pPr>
      <w:r w:rsidRPr="00550684">
        <w:rPr>
          <w:i/>
          <w:iCs/>
        </w:rPr>
        <w:t>Two of these (</w:t>
      </w:r>
      <w:r w:rsidRPr="00550684">
        <w:rPr>
          <w:bCs/>
          <w:i/>
          <w:iCs/>
        </w:rPr>
        <w:t>octocrylene and butyl methoxydibenzoylmethane</w:t>
      </w:r>
      <w:r w:rsidRPr="00550684">
        <w:rPr>
          <w:i/>
          <w:iCs/>
        </w:rPr>
        <w:t xml:space="preserve">) showed no adverse effects in the used test systems. Seven of the UV-filters (placed in groups C &amp; D) were tested in the </w:t>
      </w:r>
      <w:proofErr w:type="spellStart"/>
      <w:r w:rsidRPr="00550684">
        <w:rPr>
          <w:i/>
          <w:iCs/>
        </w:rPr>
        <w:t>Uterotrophic</w:t>
      </w:r>
      <w:proofErr w:type="spellEnd"/>
      <w:r w:rsidRPr="00550684">
        <w:rPr>
          <w:i/>
          <w:iCs/>
        </w:rPr>
        <w:t xml:space="preserve"> assay, and regardless of their estrogenic potential in vitro, none of them caused increased uterine weights, indicating lack of estrogenic potential in vivo. The three compounds in-group E</w:t>
      </w:r>
      <w:r w:rsidRPr="00550684">
        <w:rPr>
          <w:rStyle w:val="FootnoteReference"/>
          <w:rFonts w:cs="Arial"/>
          <w:i/>
          <w:iCs/>
        </w:rPr>
        <w:footnoteReference w:id="9"/>
      </w:r>
      <w:r w:rsidRPr="00550684">
        <w:rPr>
          <w:i/>
          <w:iCs/>
        </w:rPr>
        <w:t xml:space="preserve">  were also investigated for androgen receptor (AR) agonism/antagonism in vitro, and the results differed somewhat depending on which type of study had been performed. However, since no in vivo studies investigating the </w:t>
      </w:r>
      <w:proofErr w:type="spellStart"/>
      <w:r w:rsidRPr="00550684">
        <w:rPr>
          <w:i/>
          <w:iCs/>
        </w:rPr>
        <w:t>anti androgenic</w:t>
      </w:r>
      <w:proofErr w:type="spellEnd"/>
      <w:r w:rsidRPr="00550684">
        <w:rPr>
          <w:i/>
          <w:iCs/>
        </w:rPr>
        <w:t xml:space="preserve"> effects of the compounds were present, it is difficult to conclude anything on their endocrine disrupting potential </w:t>
      </w:r>
      <w:proofErr w:type="gramStart"/>
      <w:r w:rsidRPr="00550684">
        <w:rPr>
          <w:i/>
          <w:iCs/>
        </w:rPr>
        <w:t>with regard to</w:t>
      </w:r>
      <w:proofErr w:type="gramEnd"/>
      <w:r w:rsidRPr="00550684">
        <w:rPr>
          <w:i/>
          <w:iCs/>
        </w:rPr>
        <w:t xml:space="preserve"> the possible androgenic/antiandrogenic mode of action. Information on human health endocrine disrupting potential of last two UV-filters (octocrylene and titanium dioxide) was also scarce. Since no adverse effects on testicular and epididymal morphology or on sperm quality were seen in a 90-day study of octocrylene, this UV filter did not seem to be a potent anti-androgen. Read across assessment showed possible resemblance of the chemical structures of some of the presently evaluated UV-filters to known or suspected endocrine disrupting UV-filters, however more knowledge on the endocrine disrupting potential of the presently evaluated UV-filters could be obtained by doing QSAR analyses. </w:t>
      </w:r>
      <w:proofErr w:type="gramStart"/>
      <w:r w:rsidRPr="00550684">
        <w:rPr>
          <w:i/>
          <w:iCs/>
        </w:rPr>
        <w:t>Unfortunately</w:t>
      </w:r>
      <w:proofErr w:type="gramEnd"/>
      <w:r w:rsidRPr="00550684">
        <w:rPr>
          <w:i/>
          <w:iCs/>
        </w:rPr>
        <w:t xml:space="preserve"> no published reports of such analysis were present in the open literature.”</w:t>
      </w:r>
    </w:p>
    <w:p w14:paraId="5AE46331" w14:textId="77777777" w:rsidR="00026EBE" w:rsidRPr="00D27219" w:rsidRDefault="00026EBE" w:rsidP="00026EBE">
      <w:r w:rsidRPr="00D27219">
        <w:t xml:space="preserve">An extensive review in 2016 also </w:t>
      </w:r>
      <w:r w:rsidRPr="00D27219">
        <w:rPr>
          <w:shd w:val="clear" w:color="auto" w:fill="FFFFFF"/>
        </w:rPr>
        <w:t>discussed the potential endocrine disruption of typical UV filters including benzophenones (i.e. oxybenzone), camphor derivatives and cinnamate derivatives (i.e., octocrylene, Octinoxate etc.)</w:t>
      </w:r>
      <w:r w:rsidRPr="00D27219">
        <w:t xml:space="preserve"> (Wang </w:t>
      </w:r>
      <w:r w:rsidRPr="00D27219">
        <w:rPr>
          <w:i/>
        </w:rPr>
        <w:t>et al.</w:t>
      </w:r>
      <w:r w:rsidRPr="00D27219">
        <w:t xml:space="preserve"> 2016). The review (Wang </w:t>
      </w:r>
      <w:r w:rsidRPr="00D27219">
        <w:rPr>
          <w:i/>
        </w:rPr>
        <w:t>et al.</w:t>
      </w:r>
      <w:r w:rsidRPr="00D27219">
        <w:t xml:space="preserve"> 2016) concluded:</w:t>
      </w:r>
    </w:p>
    <w:p w14:paraId="06BE274B" w14:textId="77777777" w:rsidR="00026EBE" w:rsidRPr="00550684" w:rsidRDefault="00026EBE" w:rsidP="00026EBE">
      <w:pPr>
        <w:ind w:left="720"/>
        <w:rPr>
          <w:i/>
          <w:iCs/>
        </w:rPr>
      </w:pPr>
      <w:r w:rsidRPr="00550684">
        <w:rPr>
          <w:i/>
          <w:iCs/>
        </w:rPr>
        <w:t>“These UV filters are generally involved in the disruption of the hypothalamic–pituitary–gonadal system. As revealed by in vivo and in vitro assays, exposure to these chemicals induced various endocrine disrupting effects such as estrogenic disrupting effects, androgenic disrupting effects as well as the disrupting effects towards TR, PR. The underlying mechanism of endocrine disruption was summarized (</w:t>
      </w:r>
      <w:hyperlink r:id="rId16" w:tgtFrame="table" w:history="1">
        <w:r w:rsidRPr="00550684">
          <w:rPr>
            <w:rStyle w:val="Hyperlink"/>
            <w:rFonts w:cs="Arial"/>
            <w:i/>
            <w:iCs/>
          </w:rPr>
          <w:t>Table 2</w:t>
        </w:r>
      </w:hyperlink>
      <w:r w:rsidRPr="00550684">
        <w:rPr>
          <w:i/>
          <w:iCs/>
        </w:rPr>
        <w:t>). The minor structural changes of these kinds of UV filters have influence on the potency of their endocrine disrupting effects.”</w:t>
      </w:r>
    </w:p>
    <w:p w14:paraId="47F62F94" w14:textId="77777777" w:rsidR="00026EBE" w:rsidRPr="00D27219" w:rsidRDefault="00026EBE" w:rsidP="00026EBE">
      <w:pPr>
        <w:rPr>
          <w:i/>
          <w:iCs/>
        </w:rPr>
      </w:pPr>
      <w:r w:rsidRPr="00D27219">
        <w:t>The Table 2 (summarising the Endocrine Activity Modulation effects of the commonly used UV filters) from the Wang review is provided in the Appendix.</w:t>
      </w:r>
      <w:r w:rsidRPr="00D27219">
        <w:rPr>
          <w:i/>
          <w:iCs/>
        </w:rPr>
        <w:t xml:space="preserve"> </w:t>
      </w:r>
    </w:p>
    <w:p w14:paraId="4A8C179B" w14:textId="77777777" w:rsidR="00026EBE" w:rsidRPr="00D27219" w:rsidRDefault="00026EBE" w:rsidP="00026EBE">
      <w:r w:rsidRPr="00D27219">
        <w:t xml:space="preserve">In a recent </w:t>
      </w:r>
      <w:r w:rsidRPr="00D27219">
        <w:rPr>
          <w:i/>
          <w:iCs/>
        </w:rPr>
        <w:t>in vitro</w:t>
      </w:r>
      <w:r w:rsidRPr="00D27219">
        <w:t xml:space="preserve"> study, Rehfeld </w:t>
      </w:r>
      <w:r w:rsidRPr="00D27219">
        <w:rPr>
          <w:i/>
        </w:rPr>
        <w:t>et al.</w:t>
      </w:r>
      <w:r w:rsidRPr="00D27219">
        <w:t xml:space="preserve"> (2018) found that the homosalate, oxybenzone, avobenzone, octinoxate and octocrylene induced Ca</w:t>
      </w:r>
      <w:r w:rsidRPr="00D27219">
        <w:rPr>
          <w:vertAlign w:val="superscript"/>
        </w:rPr>
        <w:t>2+</w:t>
      </w:r>
      <w:r w:rsidRPr="00D27219">
        <w:t xml:space="preserve"> influx in human sperm cells whereas ethylhexyl triazone did not.</w:t>
      </w:r>
      <w:r w:rsidRPr="00D27219">
        <w:rPr>
          <w:i/>
        </w:rPr>
        <w:t xml:space="preserve"> </w:t>
      </w:r>
      <w:r w:rsidRPr="00D27219">
        <w:t>It concluded:</w:t>
      </w:r>
    </w:p>
    <w:p w14:paraId="7B728326" w14:textId="77777777" w:rsidR="00026EBE" w:rsidRPr="00550684" w:rsidRDefault="00026EBE" w:rsidP="00026EBE">
      <w:pPr>
        <w:ind w:left="720"/>
        <w:rPr>
          <w:i/>
          <w:iCs/>
        </w:rPr>
      </w:pPr>
      <w:r w:rsidRPr="00550684">
        <w:rPr>
          <w:i/>
          <w:iCs/>
        </w:rPr>
        <w:t>“In conclusion, chemical UV filters that mimic the effect of progesterone on Ca</w:t>
      </w:r>
      <w:r w:rsidRPr="00550684">
        <w:rPr>
          <w:i/>
          <w:iCs/>
          <w:vertAlign w:val="superscript"/>
        </w:rPr>
        <w:t>2+</w:t>
      </w:r>
      <w:r w:rsidRPr="00550684">
        <w:rPr>
          <w:i/>
          <w:iCs/>
        </w:rPr>
        <w:t> </w:t>
      </w:r>
      <w:proofErr w:type="spellStart"/>
      <w:r w:rsidRPr="00550684">
        <w:rPr>
          <w:i/>
          <w:iCs/>
        </w:rPr>
        <w:t>signaling</w:t>
      </w:r>
      <w:proofErr w:type="spellEnd"/>
      <w:r w:rsidRPr="00550684">
        <w:rPr>
          <w:i/>
          <w:iCs/>
        </w:rPr>
        <w:t xml:space="preserve"> in human sperm cells can similarly mimic the effect of progesterone on acrosome reaction and sperm penetration. Human exposure to these chemical UV filters may impair fertility by interfering with sperm function, e.g. through induction of premature acrosome reaction. Further studies are needed to confirm the results in vivo”.</w:t>
      </w:r>
    </w:p>
    <w:p w14:paraId="731E53F2" w14:textId="77777777" w:rsidR="00026EBE" w:rsidRPr="00D27219" w:rsidRDefault="00026EBE" w:rsidP="00026EBE">
      <w:r w:rsidRPr="00D27219">
        <w:t xml:space="preserve">Lee </w:t>
      </w:r>
      <w:r w:rsidRPr="00D27219">
        <w:rPr>
          <w:i/>
        </w:rPr>
        <w:t>et al.</w:t>
      </w:r>
      <w:r w:rsidRPr="00D27219">
        <w:t xml:space="preserve"> (2022) screened octinoxate, octocrylene, avobenzone and homosalate among 35 other chemicals used in consumer products, for their ability to modulate estrogen receptor (ER) or androgen receptor (AR) </w:t>
      </w:r>
      <w:r w:rsidRPr="00D27219">
        <w:rPr>
          <w:i/>
        </w:rPr>
        <w:t xml:space="preserve">in vitro. </w:t>
      </w:r>
      <w:r w:rsidRPr="00D27219">
        <w:t xml:space="preserve">Octinoxate was a weak agonist of ER, while octocrylene acted both as a very weak agonist or a weak antagonist of ER, but both were negative for AR. Avobenzone and homosalate did not activate either ER or AR. </w:t>
      </w:r>
    </w:p>
    <w:p w14:paraId="6D875097" w14:textId="77777777" w:rsidR="00026EBE" w:rsidRPr="00D27219" w:rsidRDefault="00026EBE" w:rsidP="00026EBE">
      <w:r w:rsidRPr="00D27219">
        <w:t xml:space="preserve">In the light of increased safety concerns regarding the Endocrine Activity Modulation potential of the active ingredients in sunscreens, in 2018, the ECHA and the European Food Safety Authority (EFSA) published “Guidance for the identification of endocrine disruptors in the context of Regulations (EU) No 528/2012 and (EC) No 1107/2009 (Andersson </w:t>
      </w:r>
      <w:r w:rsidRPr="00D27219">
        <w:rPr>
          <w:i/>
        </w:rPr>
        <w:t>et al.</w:t>
      </w:r>
      <w:r w:rsidRPr="00D27219">
        <w:t xml:space="preserve"> 2018). The Biocidal Products Regulation (EU No 528/2012; BPR) restricts approvals of the active substances considered to have endocrine disruption properties, unless the risk from exposure to the active substance is shown to be negligible or unless there is evidence that the active substance is essential to prevent or control </w:t>
      </w:r>
      <w:proofErr w:type="gramStart"/>
      <w:r w:rsidRPr="00D27219">
        <w:t>a serious danger</w:t>
      </w:r>
      <w:proofErr w:type="gramEnd"/>
      <w:r w:rsidRPr="00D27219">
        <w:t xml:space="preserve"> to human health, animal health, or the environment. </w:t>
      </w:r>
    </w:p>
    <w:p w14:paraId="7B2B9D6C" w14:textId="77777777" w:rsidR="00026EBE" w:rsidRPr="00D27219" w:rsidRDefault="00026EBE" w:rsidP="00026EBE">
      <w:r w:rsidRPr="00D27219">
        <w:t xml:space="preserve">A recent Consensus Statement discussed ten key characteristics (KCs) of Endocrine Activity Modulation based on hormone actions and Endocrine Activity Modulation effects, the logic behind the identification of these KCs and the assays that could be used to assess several of these KCs (la Merrill </w:t>
      </w:r>
      <w:r w:rsidRPr="00D27219">
        <w:rPr>
          <w:i/>
        </w:rPr>
        <w:t>et al.</w:t>
      </w:r>
      <w:r w:rsidRPr="00D27219">
        <w:t xml:space="preserve"> 2020). </w:t>
      </w:r>
    </w:p>
    <w:p w14:paraId="53434014" w14:textId="77777777" w:rsidR="00026EBE" w:rsidRPr="00D27219" w:rsidRDefault="00026EBE" w:rsidP="00026EBE">
      <w:r w:rsidRPr="00D27219">
        <w:t>A systematic review assessed 29 studies that addressed the impact of oxybenzone on human health (Suh 2020).  The review suggests increased systemic level of oxybenzone had no adverse effect on male and female fertility, female reproductive hormone level, adiposity, fetal growth, child’s neurodevelopment and sexual maturation (Suh 2020). However, the association of oxybenzone level on thyroid hormone, testosterone level, kidney function and pubertal timing has been reported warranting further investigations to validate a true association. The health effects of an increased octinoxate level have been less extensively studied presumably. The current evidence shows that topical application of octinoxate does not have biologically significant effect on thyroid and reproductive hormone levels (Suh 2020). However, the topical application of octinoxate results in systemic absorption greater than 0.5 ng/mL, a threshold established by the FDA for waiving toxicology assessment, and therefore further drug safety assessment on octinoxate is crucial.</w:t>
      </w:r>
    </w:p>
    <w:p w14:paraId="55FE253E" w14:textId="77777777" w:rsidR="00026EBE" w:rsidRPr="00D27219" w:rsidRDefault="00026EBE" w:rsidP="00026EBE">
      <w:r w:rsidRPr="00D27219">
        <w:t>The review concluded that:</w:t>
      </w:r>
    </w:p>
    <w:p w14:paraId="11E79D88" w14:textId="77777777" w:rsidR="00026EBE" w:rsidRPr="00550684" w:rsidRDefault="00026EBE" w:rsidP="00026EBE">
      <w:pPr>
        <w:ind w:left="720"/>
        <w:rPr>
          <w:i/>
          <w:iCs/>
        </w:rPr>
      </w:pPr>
      <w:r w:rsidRPr="00550684">
        <w:rPr>
          <w:i/>
          <w:iCs/>
        </w:rPr>
        <w:t>“To evaluate the long-term risk of exposure to BP-3 or OMC from sunscreens, a well-designed longitudinal randomized controlled trial is of high priority.”</w:t>
      </w:r>
    </w:p>
    <w:p w14:paraId="7D93345B" w14:textId="77777777" w:rsidR="00026EBE" w:rsidRPr="00D27219" w:rsidRDefault="00026EBE" w:rsidP="00026EBE">
      <w:r w:rsidRPr="00D27219">
        <w:t xml:space="preserve">The latest SCCS opinions on these ingredients considered available information on the endocrine activity of these active ingredients and suggested inadequate evidence is available for relevant safety determination. </w:t>
      </w:r>
    </w:p>
    <w:p w14:paraId="134C91FB" w14:textId="77777777" w:rsidR="00026EBE" w:rsidRPr="00D27219" w:rsidRDefault="00026EBE" w:rsidP="00026EBE">
      <w:r w:rsidRPr="00D27219">
        <w:t xml:space="preserve">The key conclusions from the evidence above are given below. </w:t>
      </w:r>
    </w:p>
    <w:p w14:paraId="7B88F4AA" w14:textId="77777777" w:rsidR="00026EBE" w:rsidRPr="00A260A5" w:rsidRDefault="00026EBE" w:rsidP="00026EBE">
      <w:pPr>
        <w:rPr>
          <w:color w:val="00348C" w:themeColor="accent1" w:themeShade="BF"/>
          <w:sz w:val="28"/>
          <w:szCs w:val="28"/>
        </w:rPr>
      </w:pPr>
      <w:bookmarkStart w:id="132" w:name="_Toc100664720"/>
      <w:r w:rsidRPr="00A260A5">
        <w:rPr>
          <w:color w:val="00348C" w:themeColor="accent1" w:themeShade="BF"/>
          <w:sz w:val="28"/>
          <w:szCs w:val="28"/>
        </w:rPr>
        <w:t>Avobenzone</w:t>
      </w:r>
      <w:bookmarkEnd w:id="132"/>
    </w:p>
    <w:p w14:paraId="501F1D96" w14:textId="77777777" w:rsidR="00026EBE" w:rsidRPr="00D27219" w:rsidRDefault="00026EBE" w:rsidP="00026EBE">
      <w:r w:rsidRPr="00D27219">
        <w:t>The Danish Centre on Endocrine Disruptors (</w:t>
      </w:r>
      <w:proofErr w:type="spellStart"/>
      <w:r w:rsidRPr="00D27219">
        <w:t>Axelstad</w:t>
      </w:r>
      <w:proofErr w:type="spellEnd"/>
      <w:r w:rsidRPr="00D27219">
        <w:t xml:space="preserve"> </w:t>
      </w:r>
      <w:r w:rsidRPr="00D27219">
        <w:rPr>
          <w:i/>
        </w:rPr>
        <w:t>et al.</w:t>
      </w:r>
      <w:r w:rsidRPr="00D27219">
        <w:t xml:space="preserve"> 2013) evaluated publicly available data on endocrine disruptive properties of substances and based on the assessment it </w:t>
      </w:r>
      <w:proofErr w:type="gramStart"/>
      <w:r w:rsidRPr="00D27219">
        <w:t>concluded,</w:t>
      </w:r>
      <w:proofErr w:type="gramEnd"/>
      <w:r w:rsidRPr="00D27219">
        <w:t xml:space="preserve"> that there were not enough data to conclude whether avobenzone has endocrine disruptive properties or not.</w:t>
      </w:r>
    </w:p>
    <w:p w14:paraId="54BED8D6" w14:textId="77777777" w:rsidR="00026EBE" w:rsidRPr="00A260A5" w:rsidRDefault="00026EBE" w:rsidP="00026EBE">
      <w:pPr>
        <w:rPr>
          <w:color w:val="00348C" w:themeColor="accent1" w:themeShade="BF"/>
          <w:sz w:val="28"/>
          <w:szCs w:val="28"/>
        </w:rPr>
      </w:pPr>
      <w:bookmarkStart w:id="133" w:name="_Toc100664721"/>
      <w:r w:rsidRPr="00A260A5">
        <w:rPr>
          <w:color w:val="00348C" w:themeColor="accent1" w:themeShade="BF"/>
          <w:sz w:val="28"/>
          <w:szCs w:val="28"/>
        </w:rPr>
        <w:t>Homosalate</w:t>
      </w:r>
      <w:bookmarkEnd w:id="133"/>
    </w:p>
    <w:p w14:paraId="38915F50" w14:textId="77777777" w:rsidR="00026EBE" w:rsidRPr="00D27219" w:rsidRDefault="00026EBE" w:rsidP="00026EBE">
      <w:r w:rsidRPr="00D27219">
        <w:t>According to Danish QSAR database, homosalate was predicted to activate the E2R (</w:t>
      </w:r>
      <w:proofErr w:type="spellStart"/>
      <w:r w:rsidRPr="00D27219">
        <w:t>Leadscope</w:t>
      </w:r>
      <w:proofErr w:type="spellEnd"/>
      <w:r w:rsidRPr="00D27219">
        <w:t xml:space="preserve"> and </w:t>
      </w:r>
      <w:proofErr w:type="spellStart"/>
      <w:r w:rsidRPr="00D27219">
        <w:t>SciQSAR</w:t>
      </w:r>
      <w:proofErr w:type="spellEnd"/>
      <w:r w:rsidRPr="00D27219">
        <w:t>)</w:t>
      </w:r>
      <w:bookmarkStart w:id="134" w:name="_Ref83041722"/>
      <w:r w:rsidRPr="00D27219">
        <w:rPr>
          <w:rStyle w:val="FootnoteReference"/>
          <w:rFonts w:cs="Arial"/>
        </w:rPr>
        <w:footnoteReference w:id="10"/>
      </w:r>
      <w:bookmarkEnd w:id="134"/>
      <w:r w:rsidRPr="00D27219">
        <w:t xml:space="preserve"> and to act as an antagonist of androgen receptor (AR</w:t>
      </w:r>
      <w:proofErr w:type="gramStart"/>
      <w:r w:rsidRPr="00D27219">
        <w:t>)(</w:t>
      </w:r>
      <w:proofErr w:type="gramEnd"/>
      <w:r w:rsidRPr="00D27219">
        <w:t xml:space="preserve">CASE Ultra and </w:t>
      </w:r>
      <w:proofErr w:type="spellStart"/>
      <w:r w:rsidRPr="00D27219">
        <w:t>Leadscope</w:t>
      </w:r>
      <w:proofErr w:type="spellEnd"/>
      <w:r w:rsidRPr="00D27219">
        <w:t>).</w:t>
      </w:r>
      <w:r w:rsidRPr="00D27219">
        <w:rPr>
          <w:rStyle w:val="FootnoteReference"/>
          <w:rFonts w:cs="Arial"/>
        </w:rPr>
        <w:fldChar w:fldCharType="begin"/>
      </w:r>
      <w:r w:rsidRPr="00D27219">
        <w:instrText xml:space="preserve"> NOTEREF _Ref83041722 \f \h </w:instrText>
      </w:r>
      <w:r w:rsidRPr="00D27219">
        <w:rPr>
          <w:rStyle w:val="FootnoteReference"/>
          <w:rFonts w:cs="Arial"/>
        </w:rPr>
        <w:instrText xml:space="preserve"> \* MERGEFORMAT </w:instrText>
      </w:r>
      <w:r w:rsidRPr="00D27219">
        <w:rPr>
          <w:rStyle w:val="FootnoteReference"/>
          <w:rFonts w:cs="Arial"/>
        </w:rPr>
      </w:r>
      <w:r w:rsidRPr="00D27219">
        <w:rPr>
          <w:rStyle w:val="FootnoteReference"/>
          <w:rFonts w:cs="Arial"/>
        </w:rPr>
        <w:fldChar w:fldCharType="separate"/>
      </w:r>
      <w:r w:rsidRPr="00D27219">
        <w:rPr>
          <w:rStyle w:val="FootnoteReference"/>
          <w:rFonts w:cs="Arial"/>
        </w:rPr>
        <w:t>10</w:t>
      </w:r>
      <w:r w:rsidRPr="00D27219">
        <w:rPr>
          <w:rStyle w:val="FootnoteReference"/>
          <w:rFonts w:cs="Arial"/>
        </w:rPr>
        <w:fldChar w:fldCharType="end"/>
      </w:r>
    </w:p>
    <w:p w14:paraId="3C02442C" w14:textId="77777777" w:rsidR="00026EBE" w:rsidRPr="00D27219" w:rsidRDefault="00026EBE" w:rsidP="00026EBE">
      <w:pPr>
        <w:rPr>
          <w:i/>
          <w:lang w:val="en"/>
        </w:rPr>
      </w:pPr>
      <w:r w:rsidRPr="00D27219">
        <w:rPr>
          <w:lang w:val="en"/>
        </w:rPr>
        <w:t xml:space="preserve">The </w:t>
      </w:r>
      <w:r w:rsidRPr="00D27219">
        <w:t xml:space="preserve">SCCS (2020) </w:t>
      </w:r>
      <w:r w:rsidRPr="00D27219">
        <w:rPr>
          <w:lang w:val="en"/>
        </w:rPr>
        <w:t xml:space="preserve">conclusion was based on a </w:t>
      </w:r>
      <w:r w:rsidRPr="00D27219">
        <w:t>Risk Management Options Analysis</w:t>
      </w:r>
      <w:r w:rsidRPr="00D27219">
        <w:rPr>
          <w:lang w:val="en"/>
        </w:rPr>
        <w:t xml:space="preserve"> (RMOA) 2016 by ANSES</w:t>
      </w:r>
      <w:r w:rsidRPr="00D27219">
        <w:rPr>
          <w:rStyle w:val="FootnoteReference"/>
          <w:rFonts w:cs="Arial"/>
          <w:lang w:val="en"/>
        </w:rPr>
        <w:footnoteReference w:id="11"/>
      </w:r>
      <w:r w:rsidRPr="00D27219">
        <w:rPr>
          <w:lang w:val="en"/>
        </w:rPr>
        <w:t xml:space="preserve">. As per the RMOA, </w:t>
      </w:r>
      <w:r w:rsidRPr="00D27219">
        <w:rPr>
          <w:i/>
          <w:iCs/>
          <w:lang w:val="en"/>
        </w:rPr>
        <w:t xml:space="preserve">the available data from non-testing methods and in vitro assay and the inadequate in vivo studies provide indications for an ED potential of homosalate, whereas the rest of the studies were of limited relevance and do not indicate the potential for ED concern. Despite the poor quality of the in vivo studies, findings that could be linked to an endocrine disruption were identified, </w:t>
      </w:r>
      <w:proofErr w:type="gramStart"/>
      <w:r w:rsidRPr="00D27219">
        <w:rPr>
          <w:i/>
          <w:iCs/>
          <w:lang w:val="en"/>
        </w:rPr>
        <w:t>in particular fluctuations</w:t>
      </w:r>
      <w:proofErr w:type="gramEnd"/>
      <w:r w:rsidRPr="00D27219">
        <w:rPr>
          <w:i/>
          <w:iCs/>
          <w:lang w:val="en"/>
        </w:rPr>
        <w:t xml:space="preserve"> of hormones, sperm changes and effects on the thyroid</w:t>
      </w:r>
      <w:r w:rsidRPr="00D27219">
        <w:rPr>
          <w:lang w:val="en"/>
        </w:rPr>
        <w:t>. These effects raised some concerns regarding ED properties of homosalate.</w:t>
      </w:r>
      <w:r w:rsidRPr="00D27219">
        <w:rPr>
          <w:i/>
          <w:lang w:val="en"/>
        </w:rPr>
        <w:t xml:space="preserve"> </w:t>
      </w:r>
    </w:p>
    <w:p w14:paraId="3DFE2A18" w14:textId="77777777" w:rsidR="00026EBE" w:rsidRPr="00D27219" w:rsidRDefault="00026EBE" w:rsidP="00026EBE">
      <w:pPr>
        <w:rPr>
          <w:lang w:val="en"/>
        </w:rPr>
      </w:pPr>
      <w:r w:rsidRPr="00D27219">
        <w:t>Therefore, t</w:t>
      </w:r>
      <w:r w:rsidRPr="00D27219">
        <w:rPr>
          <w:lang w:val="en"/>
        </w:rPr>
        <w:t xml:space="preserve">he </w:t>
      </w:r>
      <w:r w:rsidRPr="00D27219">
        <w:t xml:space="preserve">SCCS (2020) </w:t>
      </w:r>
      <w:r w:rsidRPr="00D27219">
        <w:rPr>
          <w:lang w:val="en"/>
        </w:rPr>
        <w:t xml:space="preserve">concluded: </w:t>
      </w:r>
    </w:p>
    <w:p w14:paraId="5AA1B9F4" w14:textId="77777777" w:rsidR="00026EBE" w:rsidRPr="00550684" w:rsidRDefault="00026EBE" w:rsidP="00026EBE">
      <w:pPr>
        <w:ind w:left="720"/>
        <w:rPr>
          <w:i/>
          <w:iCs/>
        </w:rPr>
      </w:pPr>
      <w:r w:rsidRPr="00550684">
        <w:rPr>
          <w:i/>
          <w:iCs/>
          <w:lang w:val="en"/>
        </w:rPr>
        <w:t>“</w:t>
      </w:r>
      <w:r w:rsidRPr="00550684">
        <w:rPr>
          <w:i/>
          <w:iCs/>
        </w:rPr>
        <w:t xml:space="preserve">It needs to be noted that the SCCS has regarded the currently available evidence for endocrine disrupting properties of homosalate as inconclusive, and at best equivocal. This applies to </w:t>
      </w:r>
      <w:proofErr w:type="gramStart"/>
      <w:r w:rsidRPr="00550684">
        <w:rPr>
          <w:i/>
          <w:iCs/>
        </w:rPr>
        <w:t>all of</w:t>
      </w:r>
      <w:proofErr w:type="gramEnd"/>
      <w:r w:rsidRPr="00550684">
        <w:rPr>
          <w:i/>
          <w:iCs/>
        </w:rPr>
        <w:t xml:space="preserve"> the available data derived from in silico modelling, in vitro tests and in vivo studies, when considered individually or taken together. The SCCS considers that, whilst there are indications from some studies to suggest that homosalate may have endocrine effects, the evidence is not conclusive enough at present to enable deriving a specific endocrine-related toxicological point of departure for use in safety assessment.” </w:t>
      </w:r>
    </w:p>
    <w:p w14:paraId="09679A50" w14:textId="77777777" w:rsidR="00026EBE" w:rsidRPr="00A260A5" w:rsidRDefault="00026EBE" w:rsidP="00026EBE">
      <w:pPr>
        <w:rPr>
          <w:color w:val="00348C" w:themeColor="accent1" w:themeShade="BF"/>
          <w:sz w:val="28"/>
          <w:szCs w:val="28"/>
        </w:rPr>
      </w:pPr>
      <w:bookmarkStart w:id="135" w:name="_Toc100664722"/>
      <w:r w:rsidRPr="00A260A5">
        <w:rPr>
          <w:color w:val="00348C" w:themeColor="accent1" w:themeShade="BF"/>
          <w:sz w:val="28"/>
          <w:szCs w:val="28"/>
        </w:rPr>
        <w:t>Octocrylene</w:t>
      </w:r>
      <w:bookmarkEnd w:id="135"/>
    </w:p>
    <w:p w14:paraId="6697AC47" w14:textId="77777777" w:rsidR="00026EBE" w:rsidRPr="00D27219" w:rsidRDefault="00026EBE" w:rsidP="00026EBE">
      <w:r w:rsidRPr="00D27219">
        <w:t>The endocrine activity modulation potential of octocrylene was extensively discussed in SCCS (2021a). The SCCS opinion concluded that:</w:t>
      </w:r>
    </w:p>
    <w:p w14:paraId="63B908FE" w14:textId="77777777" w:rsidR="00026EBE" w:rsidRPr="00550684" w:rsidRDefault="00026EBE" w:rsidP="00026EBE">
      <w:pPr>
        <w:ind w:left="720"/>
        <w:rPr>
          <w:i/>
          <w:iCs/>
        </w:rPr>
      </w:pPr>
      <w:r w:rsidRPr="00550684">
        <w:rPr>
          <w:i/>
          <w:iCs/>
        </w:rPr>
        <w:t xml:space="preserve">“The SCCS considers that, whilst there are indications from some in vivo studies to suggest that Octocrylene may have endocrine effects, the evidence is not conclusive enough at present to enable deriving a specific endocrine-related toxicological point of departure for use in safety assessment”. </w:t>
      </w:r>
    </w:p>
    <w:p w14:paraId="4C9AD303" w14:textId="77777777" w:rsidR="00026EBE" w:rsidRPr="00A260A5" w:rsidRDefault="00026EBE" w:rsidP="00026EBE">
      <w:pPr>
        <w:rPr>
          <w:color w:val="00348C" w:themeColor="accent1" w:themeShade="BF"/>
          <w:sz w:val="28"/>
          <w:szCs w:val="28"/>
        </w:rPr>
      </w:pPr>
      <w:bookmarkStart w:id="136" w:name="_Toc100664723"/>
      <w:r w:rsidRPr="00A260A5">
        <w:rPr>
          <w:color w:val="00348C" w:themeColor="accent1" w:themeShade="BF"/>
          <w:sz w:val="28"/>
          <w:szCs w:val="28"/>
        </w:rPr>
        <w:t>Oxybenzone</w:t>
      </w:r>
      <w:bookmarkEnd w:id="136"/>
      <w:r w:rsidRPr="00A260A5">
        <w:rPr>
          <w:color w:val="00348C" w:themeColor="accent1" w:themeShade="BF"/>
          <w:sz w:val="28"/>
          <w:szCs w:val="28"/>
        </w:rPr>
        <w:t xml:space="preserve"> </w:t>
      </w:r>
    </w:p>
    <w:p w14:paraId="6A9DF2A7" w14:textId="77777777" w:rsidR="00026EBE" w:rsidRPr="00D27219" w:rsidRDefault="00026EBE" w:rsidP="00026EBE">
      <w:pPr>
        <w:autoSpaceDE w:val="0"/>
        <w:autoSpaceDN w:val="0"/>
        <w:adjustRightInd w:val="0"/>
        <w:rPr>
          <w:rFonts w:eastAsia="Cambria" w:cs="Arial"/>
        </w:rPr>
      </w:pPr>
      <w:r w:rsidRPr="00D27219">
        <w:rPr>
          <w:rFonts w:eastAsia="Cambria" w:cs="Arial"/>
        </w:rPr>
        <w:t xml:space="preserve">The endocrine activity modulation potential of oxybenzone was extensively discussed in SCCS (2021c). The SCCS (2020) evaluated the potential endocrine mode of action for oxybenzone (BP-3) </w:t>
      </w:r>
      <w:r w:rsidRPr="00D27219">
        <w:rPr>
          <w:rFonts w:eastAsia="Cambria" w:cs="Arial"/>
          <w:i/>
        </w:rPr>
        <w:t>in vitro</w:t>
      </w:r>
      <w:r w:rsidRPr="00D27219">
        <w:rPr>
          <w:rFonts w:eastAsia="Cambria" w:cs="Arial"/>
        </w:rPr>
        <w:t xml:space="preserve"> and </w:t>
      </w:r>
      <w:r w:rsidRPr="00D27219">
        <w:rPr>
          <w:rFonts w:eastAsia="Cambria" w:cs="Arial"/>
          <w:i/>
        </w:rPr>
        <w:t>in vivo</w:t>
      </w:r>
      <w:r w:rsidRPr="00D27219">
        <w:rPr>
          <w:rFonts w:eastAsia="Cambria" w:cs="Arial"/>
        </w:rPr>
        <w:t xml:space="preserve"> and endocrine-related adverse effects in humans and animals. </w:t>
      </w:r>
    </w:p>
    <w:p w14:paraId="4872E555" w14:textId="77777777" w:rsidR="00026EBE" w:rsidRPr="00D27219" w:rsidRDefault="00026EBE" w:rsidP="00026EBE">
      <w:pPr>
        <w:autoSpaceDE w:val="0"/>
        <w:autoSpaceDN w:val="0"/>
        <w:adjustRightInd w:val="0"/>
        <w:rPr>
          <w:rFonts w:eastAsia="Cambria" w:cs="Arial"/>
        </w:rPr>
      </w:pPr>
      <w:r w:rsidRPr="00D27219">
        <w:rPr>
          <w:rFonts w:eastAsia="Cambria" w:cs="Arial"/>
        </w:rPr>
        <w:t xml:space="preserve">The SCCS concluded: </w:t>
      </w:r>
    </w:p>
    <w:p w14:paraId="7AD4C099" w14:textId="77777777" w:rsidR="00026EBE" w:rsidRPr="00D27219" w:rsidRDefault="00026EBE" w:rsidP="00026EBE">
      <w:pPr>
        <w:ind w:left="720"/>
        <w:rPr>
          <w:rFonts w:eastAsia="Times New Roman" w:cs="Arial"/>
          <w:i/>
          <w:snapToGrid w:val="0"/>
          <w:kern w:val="16"/>
        </w:rPr>
      </w:pPr>
      <w:r w:rsidRPr="00D27219">
        <w:rPr>
          <w:rFonts w:eastAsia="Times New Roman" w:cs="Arial"/>
          <w:snapToGrid w:val="0"/>
          <w:kern w:val="16"/>
        </w:rPr>
        <w:t>“</w:t>
      </w:r>
      <w:r w:rsidRPr="00D27219">
        <w:rPr>
          <w:rFonts w:eastAsia="Times New Roman" w:cs="Arial"/>
          <w:i/>
          <w:snapToGrid w:val="0"/>
          <w:kern w:val="16"/>
        </w:rPr>
        <w:t xml:space="preserve">The currently available evidence for endocrine disrupting properties of BP-3 is not </w:t>
      </w:r>
      <w:proofErr w:type="gramStart"/>
      <w:r w:rsidRPr="00D27219">
        <w:rPr>
          <w:rFonts w:eastAsia="Times New Roman" w:cs="Arial"/>
          <w:i/>
          <w:snapToGrid w:val="0"/>
          <w:kern w:val="16"/>
        </w:rPr>
        <w:t>conclusive, and</w:t>
      </w:r>
      <w:proofErr w:type="gramEnd"/>
      <w:r w:rsidRPr="00D27219">
        <w:rPr>
          <w:rFonts w:eastAsia="Times New Roman" w:cs="Arial"/>
          <w:i/>
          <w:snapToGrid w:val="0"/>
          <w:kern w:val="16"/>
        </w:rPr>
        <w:t xml:space="preserve"> is at best equivocal. This applies to the data derived from </w:t>
      </w:r>
      <w:r w:rsidRPr="00D27219">
        <w:rPr>
          <w:rFonts w:eastAsia="Times New Roman" w:cs="Arial"/>
          <w:i/>
          <w:iCs/>
          <w:snapToGrid w:val="0"/>
          <w:kern w:val="16"/>
        </w:rPr>
        <w:t xml:space="preserve">in silico </w:t>
      </w:r>
      <w:r w:rsidRPr="00D27219">
        <w:rPr>
          <w:rFonts w:eastAsia="Times New Roman" w:cs="Arial"/>
          <w:i/>
          <w:snapToGrid w:val="0"/>
          <w:kern w:val="16"/>
        </w:rPr>
        <w:t xml:space="preserve">modelling, </w:t>
      </w:r>
      <w:r w:rsidRPr="00D27219">
        <w:rPr>
          <w:rFonts w:eastAsia="Times New Roman" w:cs="Arial"/>
          <w:i/>
          <w:iCs/>
          <w:snapToGrid w:val="0"/>
          <w:kern w:val="16"/>
        </w:rPr>
        <w:t xml:space="preserve">in vitro </w:t>
      </w:r>
      <w:r w:rsidRPr="00D27219">
        <w:rPr>
          <w:rFonts w:eastAsia="Times New Roman" w:cs="Arial"/>
          <w:i/>
          <w:snapToGrid w:val="0"/>
          <w:kern w:val="16"/>
        </w:rPr>
        <w:t xml:space="preserve">tests and </w:t>
      </w:r>
      <w:r w:rsidRPr="00D27219">
        <w:rPr>
          <w:rFonts w:eastAsia="Times New Roman" w:cs="Arial"/>
          <w:i/>
          <w:iCs/>
          <w:snapToGrid w:val="0"/>
          <w:kern w:val="16"/>
        </w:rPr>
        <w:t xml:space="preserve">in vivo </w:t>
      </w:r>
      <w:r w:rsidRPr="00D27219">
        <w:rPr>
          <w:rFonts w:eastAsia="Times New Roman" w:cs="Arial"/>
          <w:i/>
          <w:snapToGrid w:val="0"/>
          <w:kern w:val="16"/>
        </w:rPr>
        <w:t>studies, when considered individually or taken together. There are either contradictory results from different studies, or the reported data do not show dose-response relationship, and/or the effect are seen only at relatively very high doses that can only be considered far beyond the human exposure range. In view of this, the SCCS considers that whilst there are indications from some studies to suggest that BP-3 may have endocrine effects, it is not conclusive enough at present to enable deriving a new endocrine-related toxicological point of departure for use in safety assessment.”</w:t>
      </w:r>
    </w:p>
    <w:p w14:paraId="4EED9BCD" w14:textId="77777777" w:rsidR="00026EBE" w:rsidRPr="00A260A5" w:rsidRDefault="00026EBE" w:rsidP="00026EBE">
      <w:pPr>
        <w:rPr>
          <w:color w:val="00348C" w:themeColor="accent1" w:themeShade="BF"/>
          <w:sz w:val="28"/>
          <w:szCs w:val="28"/>
        </w:rPr>
      </w:pPr>
      <w:bookmarkStart w:id="137" w:name="_Toc100664724"/>
      <w:r w:rsidRPr="00A260A5">
        <w:rPr>
          <w:color w:val="00348C" w:themeColor="accent1" w:themeShade="BF"/>
          <w:sz w:val="28"/>
          <w:szCs w:val="28"/>
        </w:rPr>
        <w:t>Octinoxate</w:t>
      </w:r>
      <w:bookmarkEnd w:id="137"/>
      <w:r w:rsidRPr="00A260A5">
        <w:rPr>
          <w:color w:val="00348C" w:themeColor="accent1" w:themeShade="BF"/>
          <w:sz w:val="28"/>
          <w:szCs w:val="28"/>
        </w:rPr>
        <w:t xml:space="preserve"> </w:t>
      </w:r>
    </w:p>
    <w:p w14:paraId="0C7EE8CF" w14:textId="77777777" w:rsidR="00026EBE" w:rsidRPr="00D27219" w:rsidRDefault="00026EBE" w:rsidP="00026EBE">
      <w:pPr>
        <w:rPr>
          <w:rFonts w:eastAsia="Times New Roman" w:cs="Arial"/>
          <w:snapToGrid w:val="0"/>
          <w:kern w:val="16"/>
        </w:rPr>
      </w:pPr>
      <w:r w:rsidRPr="00D27219">
        <w:rPr>
          <w:rFonts w:eastAsia="Times New Roman" w:cs="Arial"/>
          <w:snapToGrid w:val="0"/>
          <w:kern w:val="16"/>
        </w:rPr>
        <w:t>Most of the</w:t>
      </w:r>
      <w:r w:rsidRPr="00D27219">
        <w:rPr>
          <w:rFonts w:eastAsia="Times New Roman" w:cs="Arial"/>
          <w:snapToGrid w:val="0"/>
          <w:kern w:val="16"/>
          <w:lang w:val="en"/>
        </w:rPr>
        <w:t xml:space="preserve"> available data suggest that octinoxate has an estrogenic activity, androgenic and anti-thyroid activity in rats and humans [NICNAS (currently known as AICIS), 2017; Lorigo </w:t>
      </w:r>
      <w:r w:rsidRPr="00D27219">
        <w:rPr>
          <w:rFonts w:eastAsia="Times New Roman" w:cs="Arial"/>
          <w:i/>
          <w:snapToGrid w:val="0"/>
          <w:kern w:val="16"/>
          <w:lang w:val="en"/>
        </w:rPr>
        <w:t>et al.</w:t>
      </w:r>
      <w:r w:rsidRPr="00D27219">
        <w:rPr>
          <w:rFonts w:eastAsia="Times New Roman" w:cs="Arial"/>
          <w:snapToGrid w:val="0"/>
          <w:kern w:val="16"/>
          <w:lang w:val="en"/>
        </w:rPr>
        <w:t xml:space="preserve"> 2018].  </w:t>
      </w:r>
    </w:p>
    <w:p w14:paraId="7BB5FECC" w14:textId="77777777" w:rsidR="00026EBE" w:rsidRPr="00D27219" w:rsidRDefault="00026EBE" w:rsidP="00026EBE">
      <w:pPr>
        <w:rPr>
          <w:rFonts w:eastAsia="Times New Roman" w:cs="Arial"/>
          <w:snapToGrid w:val="0"/>
          <w:kern w:val="16"/>
          <w:lang w:val="en"/>
        </w:rPr>
      </w:pPr>
      <w:r w:rsidRPr="00D27219">
        <w:rPr>
          <w:rFonts w:eastAsia="Times New Roman" w:cs="Arial"/>
          <w:snapToGrid w:val="0"/>
          <w:kern w:val="16"/>
          <w:lang w:val="en"/>
        </w:rPr>
        <w:t xml:space="preserve">Regarding the octinoxate mechanism of action, several studies showed that the effects exerted by </w:t>
      </w:r>
      <w:proofErr w:type="spellStart"/>
      <w:r w:rsidRPr="00D27219">
        <w:rPr>
          <w:rFonts w:eastAsia="Times New Roman" w:cs="Arial"/>
          <w:snapToGrid w:val="0"/>
          <w:kern w:val="16"/>
        </w:rPr>
        <w:t>Estradiol</w:t>
      </w:r>
      <w:proofErr w:type="spellEnd"/>
      <w:r w:rsidRPr="00D27219">
        <w:rPr>
          <w:rFonts w:eastAsia="Times New Roman" w:cs="Arial"/>
          <w:snapToGrid w:val="0"/>
          <w:kern w:val="16"/>
        </w:rPr>
        <w:t xml:space="preserve"> (</w:t>
      </w:r>
      <w:r w:rsidRPr="00D27219">
        <w:rPr>
          <w:rFonts w:eastAsia="Times New Roman" w:cs="Arial"/>
          <w:snapToGrid w:val="0"/>
          <w:kern w:val="16"/>
          <w:lang w:val="en"/>
        </w:rPr>
        <w:t xml:space="preserve">E2) and octinoxate were not always totally shared and it is possible that octinoxate could act by a mechanism different from the classic E2R (α y β). There are few data regarding the anti-androgenic activity of octinoxate, and the studies suggest that octinoxate is not able to bind to androgen receptors. Studies in rats showed that octinoxate could disturb the homeostasis of the thyroid hormones by mechanisms different from the classical ones of hormone-dependent regulation and feedback. </w:t>
      </w:r>
    </w:p>
    <w:p w14:paraId="0FFCE1C2" w14:textId="77777777" w:rsidR="00026EBE" w:rsidRPr="00D27219" w:rsidRDefault="00026EBE" w:rsidP="00026EBE">
      <w:pPr>
        <w:rPr>
          <w:rFonts w:eastAsia="Times New Roman" w:cs="Arial"/>
          <w:snapToGrid w:val="0"/>
          <w:kern w:val="16"/>
          <w:lang w:val="en"/>
        </w:rPr>
      </w:pPr>
      <w:r w:rsidRPr="00D27219">
        <w:rPr>
          <w:rFonts w:eastAsia="Times New Roman" w:cs="Arial"/>
          <w:snapToGrid w:val="0"/>
          <w:kern w:val="16"/>
          <w:lang w:val="en"/>
        </w:rPr>
        <w:t xml:space="preserve">More studies in rodents and very few in humans, suggest that an increase exposure to octinoxate could be related to infertility or changes in GnRH and disturbance of reproductive hormone levels. A public call by the European Commission for data on the </w:t>
      </w:r>
      <w:r w:rsidRPr="00D27219">
        <w:rPr>
          <w:rFonts w:eastAsia="Times New Roman" w:cs="Arial"/>
          <w:snapToGrid w:val="0"/>
          <w:kern w:val="16"/>
        </w:rPr>
        <w:t xml:space="preserve">endocrine activity modulation </w:t>
      </w:r>
      <w:r w:rsidRPr="00D27219">
        <w:rPr>
          <w:rFonts w:eastAsia="Times New Roman" w:cs="Arial"/>
          <w:snapToGrid w:val="0"/>
          <w:kern w:val="16"/>
          <w:lang w:val="en"/>
        </w:rPr>
        <w:t xml:space="preserve">potential of ingredients used in cosmetics, including octinoxate, was undertaken from 15 February to 15 November 2021 (EU 2021). </w:t>
      </w:r>
    </w:p>
    <w:p w14:paraId="736D7683" w14:textId="77777777" w:rsidR="00026EBE" w:rsidRPr="00D27219" w:rsidRDefault="00026EBE" w:rsidP="00026EBE">
      <w:pPr>
        <w:rPr>
          <w:rFonts w:eastAsia="Times New Roman" w:cs="Arial"/>
          <w:snapToGrid w:val="0"/>
          <w:kern w:val="16"/>
        </w:rPr>
      </w:pPr>
      <w:r w:rsidRPr="00D27219">
        <w:rPr>
          <w:rFonts w:eastAsia="Times New Roman" w:cs="Arial"/>
          <w:snapToGrid w:val="0"/>
          <w:kern w:val="16"/>
          <w:lang w:val="en"/>
        </w:rPr>
        <w:t xml:space="preserve">A recent review </w:t>
      </w:r>
      <w:proofErr w:type="spellStart"/>
      <w:r w:rsidRPr="00D27219">
        <w:rPr>
          <w:rFonts w:eastAsia="Times New Roman" w:cs="Arial"/>
          <w:snapToGrid w:val="0"/>
          <w:kern w:val="16"/>
          <w:lang w:val="en"/>
        </w:rPr>
        <w:t>summarises</w:t>
      </w:r>
      <w:proofErr w:type="spellEnd"/>
      <w:r w:rsidRPr="00D27219">
        <w:rPr>
          <w:rFonts w:eastAsia="Times New Roman" w:cs="Arial"/>
          <w:snapToGrid w:val="0"/>
          <w:kern w:val="16"/>
          <w:lang w:val="en"/>
        </w:rPr>
        <w:t xml:space="preserve"> the endocrine effects of these ingredients </w:t>
      </w:r>
      <w:proofErr w:type="spellStart"/>
      <w:r w:rsidRPr="00D27219">
        <w:rPr>
          <w:rFonts w:eastAsia="Times New Roman" w:cs="Arial"/>
          <w:snapToGrid w:val="0"/>
          <w:kern w:val="16"/>
          <w:lang w:val="en"/>
        </w:rPr>
        <w:t>recognising</w:t>
      </w:r>
      <w:proofErr w:type="spellEnd"/>
      <w:r w:rsidRPr="00D27219">
        <w:rPr>
          <w:rFonts w:eastAsia="Times New Roman" w:cs="Arial"/>
          <w:snapToGrid w:val="0"/>
          <w:kern w:val="16"/>
          <w:lang w:val="en"/>
        </w:rPr>
        <w:t xml:space="preserve"> limited data availability (</w:t>
      </w:r>
      <w:proofErr w:type="spellStart"/>
      <w:r w:rsidRPr="00D27219">
        <w:rPr>
          <w:rFonts w:eastAsia="Times New Roman" w:cs="Arial"/>
          <w:snapToGrid w:val="0"/>
          <w:kern w:val="16"/>
          <w:lang w:val="en"/>
        </w:rPr>
        <w:t>Fivenson</w:t>
      </w:r>
      <w:proofErr w:type="spellEnd"/>
      <w:r w:rsidRPr="00D27219">
        <w:rPr>
          <w:rFonts w:eastAsia="Times New Roman" w:cs="Arial"/>
          <w:snapToGrid w:val="0"/>
          <w:kern w:val="16"/>
          <w:lang w:val="en"/>
        </w:rPr>
        <w:t xml:space="preserve"> 2020). </w:t>
      </w:r>
      <w:r w:rsidRPr="00D27219">
        <w:rPr>
          <w:rFonts w:eastAsia="Times New Roman" w:cs="Arial"/>
          <w:snapToGrid w:val="0"/>
          <w:kern w:val="16"/>
        </w:rPr>
        <w:t xml:space="preserve">This was a retrospective literature review that involved many different types of studies across a variety of species. Comparison between reports is limited by variations in methodology and criteria for toxicity. </w:t>
      </w:r>
    </w:p>
    <w:p w14:paraId="496871C8" w14:textId="77777777" w:rsidR="00026EBE" w:rsidRPr="0074486E" w:rsidRDefault="00026EBE" w:rsidP="00026EBE">
      <w:pPr>
        <w:pStyle w:val="Heading3"/>
      </w:pPr>
      <w:bookmarkStart w:id="138" w:name="_Toc157439290"/>
      <w:bookmarkStart w:id="139" w:name="_Toc173830132"/>
      <w:bookmarkStart w:id="140" w:name="_Toc189819967"/>
      <w:bookmarkStart w:id="141" w:name="_Toc100664725"/>
      <w:bookmarkStart w:id="142" w:name="_Toc190081237"/>
      <w:r w:rsidRPr="0074486E">
        <w:t>Other studies</w:t>
      </w:r>
      <w:bookmarkEnd w:id="138"/>
      <w:bookmarkEnd w:id="139"/>
      <w:bookmarkEnd w:id="140"/>
      <w:bookmarkEnd w:id="142"/>
      <w:r w:rsidRPr="0074486E">
        <w:t xml:space="preserve"> </w:t>
      </w:r>
      <w:bookmarkEnd w:id="141"/>
    </w:p>
    <w:p w14:paraId="46E1D89A" w14:textId="77777777" w:rsidR="00026EBE" w:rsidRPr="00D27219" w:rsidRDefault="00026EBE" w:rsidP="00026EBE">
      <w:r w:rsidRPr="00D27219">
        <w:t xml:space="preserve">The photo-allergic potential of avobenzone has been extensively reviewed in several publications (Nash and Tanner 2014). However, given the mechanistic understanding and known photo-degradation of avobenzone, the findings were inconsistent.  For example, the </w:t>
      </w:r>
      <w:r w:rsidRPr="00D27219">
        <w:rPr>
          <w:i/>
        </w:rPr>
        <w:t>in vitro</w:t>
      </w:r>
      <w:r w:rsidRPr="00D27219">
        <w:t xml:space="preserve"> skin phototoxicity of cosmetic formulations containing avobenzone, other UV filters and vitamin A palmitate was assessed by two </w:t>
      </w:r>
      <w:r w:rsidRPr="00D27219">
        <w:rPr>
          <w:i/>
        </w:rPr>
        <w:t>in vitro</w:t>
      </w:r>
      <w:r w:rsidRPr="00D27219">
        <w:t xml:space="preserve"> techniques [3T3 Neutral Red Uptake Phototoxicity Test (3T3-NRU-PT) and Human 3-D Skin Model </w:t>
      </w:r>
      <w:r w:rsidRPr="00D27219">
        <w:rPr>
          <w:i/>
        </w:rPr>
        <w:t>In Vitro</w:t>
      </w:r>
      <w:r w:rsidRPr="00D27219">
        <w:t xml:space="preserve"> Phototoxicity Test (H3D-PT)](Gaspar </w:t>
      </w:r>
      <w:r w:rsidRPr="00D27219">
        <w:rPr>
          <w:i/>
        </w:rPr>
        <w:t>et al.</w:t>
      </w:r>
      <w:r w:rsidRPr="00D27219">
        <w:t xml:space="preserve"> 2013).The phototoxicity potential was ‘positive’ for avobenzone alone and in combination with other UV filters (3T3-NRU-PT). However, when tested on a human skin model, the ‘positive’ results were no longer observed. It has been suggested by several studies and reviews that the photoallergic potential of avobenzone may be the result of the photoproducts formed following exposure to UV. These data suggest that photo-degradation of avobenzone forms classes of photoproducts (</w:t>
      </w:r>
      <w:proofErr w:type="spellStart"/>
      <w:r w:rsidRPr="00D27219">
        <w:t>arylglyoxals</w:t>
      </w:r>
      <w:proofErr w:type="spellEnd"/>
      <w:r w:rsidRPr="00D27219">
        <w:t xml:space="preserve"> and </w:t>
      </w:r>
      <w:proofErr w:type="spellStart"/>
      <w:r w:rsidRPr="00D27219">
        <w:t>benzils</w:t>
      </w:r>
      <w:proofErr w:type="spellEnd"/>
      <w:r w:rsidRPr="00D27219">
        <w:t xml:space="preserve">) which have strong potential for sensitization (Karlsson </w:t>
      </w:r>
      <w:r w:rsidRPr="00D27219">
        <w:rPr>
          <w:i/>
        </w:rPr>
        <w:t>et al.</w:t>
      </w:r>
      <w:r w:rsidRPr="00D27219">
        <w:t xml:space="preserve"> 2009). </w:t>
      </w:r>
    </w:p>
    <w:p w14:paraId="613F68B4" w14:textId="77777777" w:rsidR="00026EBE" w:rsidRPr="00D27219" w:rsidRDefault="00026EBE" w:rsidP="00026EBE">
      <w:pPr>
        <w:rPr>
          <w:rFonts w:eastAsia="Times New Roman" w:cs="Arial"/>
          <w:snapToGrid w:val="0"/>
          <w:kern w:val="16"/>
        </w:rPr>
      </w:pPr>
      <w:r w:rsidRPr="00D27219">
        <w:rPr>
          <w:rFonts w:eastAsia="Times New Roman" w:cs="Arial"/>
          <w:snapToGrid w:val="0"/>
          <w:kern w:val="16"/>
        </w:rPr>
        <w:t xml:space="preserve">A survey in Canada (2001-2010) indicated that the most common </w:t>
      </w:r>
      <w:proofErr w:type="spellStart"/>
      <w:r w:rsidRPr="00D27219">
        <w:rPr>
          <w:rFonts w:eastAsia="Times New Roman" w:cs="Arial"/>
          <w:snapToGrid w:val="0"/>
          <w:kern w:val="16"/>
        </w:rPr>
        <w:t>photoallergens</w:t>
      </w:r>
      <w:proofErr w:type="spellEnd"/>
      <w:r w:rsidRPr="00D27219">
        <w:rPr>
          <w:rFonts w:eastAsia="Times New Roman" w:cs="Arial"/>
          <w:snapToGrid w:val="0"/>
          <w:kern w:val="16"/>
        </w:rPr>
        <w:t xml:space="preserve"> were oxybenzone, octyl dimethyl para-amino- benzoic acid and avobenzone whereas the most common contact allergens were octyl dimethyl para-aminobenzoic acid, oxybenzone and sandalwood (Yap 2017). </w:t>
      </w:r>
    </w:p>
    <w:p w14:paraId="58A0BCA5" w14:textId="77777777" w:rsidR="00026EBE" w:rsidRPr="00D27219" w:rsidRDefault="00026EBE" w:rsidP="00026EBE">
      <w:r w:rsidRPr="00D27219">
        <w:t xml:space="preserve">The SCCS (SCCS 2000) stated that octinoxate did not have phototoxic potential based on one study of 10 subjects exposed to patches of octinoxate for 24 hours and then exposed to a sub-erythematous dose of UV irradiation. No further details were supplied in the SCCS report. Recent </w:t>
      </w:r>
      <w:r w:rsidRPr="00D27219">
        <w:rPr>
          <w:i/>
        </w:rPr>
        <w:t>in vitro</w:t>
      </w:r>
      <w:r w:rsidRPr="00D27219">
        <w:t xml:space="preserve"> (3T3 viable monolayer fibroblast cultures) and </w:t>
      </w:r>
      <w:r w:rsidRPr="00D27219">
        <w:rPr>
          <w:i/>
        </w:rPr>
        <w:t>in vivo</w:t>
      </w:r>
      <w:r w:rsidRPr="00D27219">
        <w:t xml:space="preserve"> studies indicated that octinoxate was not phototoxicity (Gomes </w:t>
      </w:r>
      <w:r w:rsidRPr="00D27219">
        <w:rPr>
          <w:i/>
        </w:rPr>
        <w:t>et al.</w:t>
      </w:r>
      <w:r w:rsidRPr="00D27219">
        <w:t xml:space="preserve"> 2015). </w:t>
      </w:r>
    </w:p>
    <w:p w14:paraId="2971FE6E" w14:textId="77777777" w:rsidR="00026EBE" w:rsidRPr="00D27219" w:rsidRDefault="00026EBE" w:rsidP="00026EBE">
      <w:pPr>
        <w:rPr>
          <w:lang w:eastAsia="en-AU"/>
        </w:rPr>
      </w:pPr>
      <w:r w:rsidRPr="00D27219">
        <w:t xml:space="preserve">A human repeated insult patch test (HRIPT) was carried out at a concentration of 2% octinoxate in 53 subjects. There was no sensitisation. Similar studies using different formulations (7.5 % octinoxate in petrolatum or 10 % octinoxate in </w:t>
      </w:r>
      <w:proofErr w:type="spellStart"/>
      <w:r w:rsidRPr="00D27219">
        <w:t>dimethylphthalate</w:t>
      </w:r>
      <w:proofErr w:type="spellEnd"/>
      <w:r w:rsidRPr="00D27219">
        <w:t>) also did not show any adverse reaction after 24 and 48 h. In a study in 32 healthy volunteers, daily whole–body topical application of 2 mg/cm</w:t>
      </w:r>
      <w:r w:rsidRPr="00D27219">
        <w:rPr>
          <w:vertAlign w:val="superscript"/>
        </w:rPr>
        <w:t>2</w:t>
      </w:r>
      <w:r w:rsidRPr="00D27219">
        <w:t xml:space="preserve"> of cream formulation without (week 1) and with (week 2) the sunscreen (octinoxate 10%) for one week was performed. Hormone changes (testosterone, oestradiol and inhibin B levels) were observed following treatment but were not considered to be biologically significant. Following 1–2 hours of application, the chemical was detected in the parent form both in plasma and in urine (more than 86 % of the applied dose)</w:t>
      </w:r>
      <w:r w:rsidRPr="00D27219">
        <w:rPr>
          <w:lang w:eastAsia="en-AU"/>
        </w:rPr>
        <w:t>.</w:t>
      </w:r>
    </w:p>
    <w:p w14:paraId="153A7870" w14:textId="77777777" w:rsidR="00026EBE" w:rsidRPr="00D27219" w:rsidRDefault="00026EBE" w:rsidP="00026EBE">
      <w:r w:rsidRPr="00D27219">
        <w:t xml:space="preserve">Oxybenzone was not phototoxic in the 3T3-NRU-PT test and was not phototoxic in </w:t>
      </w:r>
      <w:r w:rsidRPr="00D27219">
        <w:rPr>
          <w:i/>
        </w:rPr>
        <w:t>S. cerevisiae</w:t>
      </w:r>
      <w:r w:rsidRPr="00D27219">
        <w:t xml:space="preserve"> or </w:t>
      </w:r>
      <w:r w:rsidRPr="00D27219">
        <w:rPr>
          <w:i/>
        </w:rPr>
        <w:t>E. coli</w:t>
      </w:r>
      <w:r w:rsidRPr="00D27219">
        <w:t xml:space="preserve"> </w:t>
      </w:r>
      <w:r w:rsidRPr="00D27219">
        <w:rPr>
          <w:i/>
        </w:rPr>
        <w:t>in vitro</w:t>
      </w:r>
      <w:r w:rsidRPr="00D27219">
        <w:t xml:space="preserve">. Oxybenzone was not phototoxic in guinea pigs </w:t>
      </w:r>
      <w:r w:rsidRPr="00D27219">
        <w:rPr>
          <w:i/>
        </w:rPr>
        <w:t>in vivo</w:t>
      </w:r>
      <w:r w:rsidRPr="00D27219">
        <w:t xml:space="preserve"> at a concentration of 10% (oxybenzone applied to shaven and depilated skin for 30 minutes followed by irradiation (UV-A) for 60 minutes). Oxybenzone did not cause photosensitisation in rabbits </w:t>
      </w:r>
      <w:r w:rsidRPr="00D27219">
        <w:rPr>
          <w:i/>
        </w:rPr>
        <w:t xml:space="preserve">in vivo </w:t>
      </w:r>
      <w:r w:rsidRPr="00D27219">
        <w:rPr>
          <w:iCs/>
        </w:rPr>
        <w:t>(study details not available)</w:t>
      </w:r>
      <w:r w:rsidRPr="00D27219">
        <w:t xml:space="preserve">. Oxybenzone was not </w:t>
      </w:r>
      <w:proofErr w:type="spellStart"/>
      <w:r w:rsidRPr="00D27219">
        <w:t>photomutagenic</w:t>
      </w:r>
      <w:proofErr w:type="spellEnd"/>
      <w:r w:rsidRPr="00D27219">
        <w:t xml:space="preserve"> in the photo Ames test or an </w:t>
      </w:r>
      <w:r w:rsidRPr="00D27219">
        <w:rPr>
          <w:i/>
          <w:iCs/>
        </w:rPr>
        <w:t xml:space="preserve">in vitro </w:t>
      </w:r>
      <w:r w:rsidRPr="00D27219">
        <w:t>chromosome aberration assay in CHO cells.</w:t>
      </w:r>
    </w:p>
    <w:p w14:paraId="7F2B162F" w14:textId="77777777" w:rsidR="00026EBE" w:rsidRPr="00D27219" w:rsidRDefault="00026EBE" w:rsidP="00026EBE">
      <w:pPr>
        <w:rPr>
          <w:rFonts w:cs="Arial"/>
        </w:rPr>
      </w:pPr>
      <w:r w:rsidRPr="00D27219">
        <w:rPr>
          <w:rFonts w:cs="Arial"/>
        </w:rPr>
        <w:t xml:space="preserve">Oxybenzone was tested for </w:t>
      </w:r>
      <w:proofErr w:type="spellStart"/>
      <w:r w:rsidRPr="00D27219">
        <w:rPr>
          <w:rFonts w:cs="Arial"/>
        </w:rPr>
        <w:t>photobinding</w:t>
      </w:r>
      <w:proofErr w:type="spellEnd"/>
      <w:r w:rsidRPr="00D27219">
        <w:rPr>
          <w:rFonts w:cs="Arial"/>
        </w:rPr>
        <w:t xml:space="preserve"> to human serum albumin and histidine photo-oxidation potential in a mechanistic </w:t>
      </w:r>
      <w:r w:rsidRPr="00D27219">
        <w:rPr>
          <w:rFonts w:cs="Arial"/>
          <w:i/>
          <w:iCs/>
        </w:rPr>
        <w:t xml:space="preserve">in vitro </w:t>
      </w:r>
      <w:r w:rsidRPr="00D27219">
        <w:rPr>
          <w:rFonts w:cs="Arial"/>
        </w:rPr>
        <w:t xml:space="preserve">test for the discrimination of the photo-allergic and photo-irritants where oxybenzone revealed no phototoxic potential (SCCP 2006a). However, in a recent study, oxybenzone was shown to cause </w:t>
      </w:r>
      <w:proofErr w:type="spellStart"/>
      <w:r w:rsidRPr="00D27219">
        <w:rPr>
          <w:rFonts w:cs="Arial"/>
        </w:rPr>
        <w:t>photoallergenic</w:t>
      </w:r>
      <w:proofErr w:type="spellEnd"/>
      <w:r w:rsidRPr="00D27219">
        <w:rPr>
          <w:rFonts w:cs="Arial"/>
        </w:rPr>
        <w:t xml:space="preserve"> reactions being second most frequent photo contact allergen among the UV filters (European photo patch test task force) (</w:t>
      </w:r>
      <w:proofErr w:type="spellStart"/>
      <w:r w:rsidRPr="00D27219">
        <w:rPr>
          <w:rFonts w:cs="Arial"/>
        </w:rPr>
        <w:t>Subiabre</w:t>
      </w:r>
      <w:proofErr w:type="spellEnd"/>
      <w:r w:rsidRPr="00D27219">
        <w:rPr>
          <w:rFonts w:cs="Arial"/>
        </w:rPr>
        <w:t xml:space="preserve">-Ferrer </w:t>
      </w:r>
      <w:r w:rsidRPr="00D27219">
        <w:rPr>
          <w:rFonts w:cs="Arial"/>
          <w:i/>
          <w:iCs/>
        </w:rPr>
        <w:t>et al.</w:t>
      </w:r>
      <w:r w:rsidRPr="00D27219">
        <w:rPr>
          <w:rFonts w:cs="Arial"/>
        </w:rPr>
        <w:t xml:space="preserve"> 2019). </w:t>
      </w:r>
    </w:p>
    <w:p w14:paraId="32FEFD70" w14:textId="77777777" w:rsidR="00026EBE" w:rsidRPr="00D27219" w:rsidRDefault="00026EBE" w:rsidP="00026EBE">
      <w:pPr>
        <w:rPr>
          <w:rFonts w:cs="Arial"/>
        </w:rPr>
      </w:pPr>
      <w:r w:rsidRPr="00D27219">
        <w:rPr>
          <w:rFonts w:cs="Arial"/>
        </w:rPr>
        <w:t xml:space="preserve">Ethylhexyl triazone (10%) did not cause photosensitisation in guinea pigs. Separate tests with </w:t>
      </w:r>
      <w:r w:rsidRPr="00D27219">
        <w:rPr>
          <w:rFonts w:cs="Arial"/>
          <w:i/>
        </w:rPr>
        <w:t>Saccharomyces cerevisiae</w:t>
      </w:r>
      <w:r w:rsidRPr="00D27219">
        <w:rPr>
          <w:rFonts w:cs="Arial"/>
        </w:rPr>
        <w:t xml:space="preserve"> and CHO cells exposed to the ethylhexyl triazone and UVA and UVB irradiation did not show any potential </w:t>
      </w:r>
      <w:proofErr w:type="spellStart"/>
      <w:r w:rsidRPr="00D27219">
        <w:rPr>
          <w:rFonts w:cs="Arial"/>
        </w:rPr>
        <w:t>photomutagenic</w:t>
      </w:r>
      <w:proofErr w:type="spellEnd"/>
      <w:r w:rsidRPr="00D27219">
        <w:rPr>
          <w:rFonts w:cs="Arial"/>
        </w:rPr>
        <w:t xml:space="preserve"> effects of ethylhexyl triazone. </w:t>
      </w:r>
    </w:p>
    <w:p w14:paraId="7B4D8EF8" w14:textId="77777777" w:rsidR="00026EBE" w:rsidRPr="00D27219" w:rsidRDefault="00026EBE" w:rsidP="00026EBE">
      <w:pPr>
        <w:rPr>
          <w:rFonts w:cs="Arial"/>
        </w:rPr>
      </w:pPr>
      <w:r w:rsidRPr="00D27219">
        <w:rPr>
          <w:rFonts w:cs="Arial"/>
        </w:rPr>
        <w:t>Phototoxicity, photosensitisation and photomutagenicity of phenylbenzimidazole sulfonic acid was examined in the SCCP opinion on phenylbenzimidazole sulfonic acid and its salts (SCCP 2006b).</w:t>
      </w:r>
      <w:r w:rsidRPr="00D27219">
        <w:rPr>
          <w:rFonts w:cs="Arial"/>
          <w:b/>
        </w:rPr>
        <w:t xml:space="preserve"> </w:t>
      </w:r>
      <w:r w:rsidRPr="00D27219">
        <w:rPr>
          <w:rFonts w:cs="Arial"/>
        </w:rPr>
        <w:t xml:space="preserve">Phenylbenzimidazole sulfonic acid was not a photo-irritant in mice or guinea pigs </w:t>
      </w:r>
      <w:r w:rsidRPr="00D27219">
        <w:rPr>
          <w:rFonts w:cs="Arial"/>
          <w:i/>
        </w:rPr>
        <w:t>in vivo</w:t>
      </w:r>
      <w:r w:rsidRPr="00D27219">
        <w:rPr>
          <w:rFonts w:cs="Arial"/>
        </w:rPr>
        <w:t xml:space="preserve">, or in 3T3 cells </w:t>
      </w:r>
      <w:r w:rsidRPr="00D27219">
        <w:rPr>
          <w:rFonts w:cs="Arial"/>
          <w:i/>
        </w:rPr>
        <w:t>in vitro</w:t>
      </w:r>
      <w:r w:rsidRPr="00D27219">
        <w:rPr>
          <w:rFonts w:cs="Arial"/>
        </w:rPr>
        <w:t xml:space="preserve"> (Photo irritation factor of 1.4). In addition, phenylbenzimidazole sulfonic acid was not </w:t>
      </w:r>
      <w:proofErr w:type="spellStart"/>
      <w:r w:rsidRPr="00D27219">
        <w:rPr>
          <w:rFonts w:cs="Arial"/>
        </w:rPr>
        <w:t>photomutagenic</w:t>
      </w:r>
      <w:proofErr w:type="spellEnd"/>
      <w:r w:rsidRPr="00D27219">
        <w:rPr>
          <w:rFonts w:cs="Arial"/>
        </w:rPr>
        <w:t xml:space="preserve"> in the photo Ames test, a yeast gene conversion assay or an </w:t>
      </w:r>
      <w:r w:rsidRPr="00D27219">
        <w:rPr>
          <w:rFonts w:cs="Arial"/>
          <w:i/>
          <w:iCs/>
        </w:rPr>
        <w:t xml:space="preserve">in vitro </w:t>
      </w:r>
      <w:r w:rsidRPr="00D27219">
        <w:rPr>
          <w:rFonts w:cs="Arial"/>
        </w:rPr>
        <w:t>chromosome aberration assay in CHO cells. A few cases of photoallergic contact dermatitis reactions have been reported in the literature following use of products containing phenylbenzimidazole sulfonic acid, however no skin reactions have been observed in dedicated patch tests studies in human volunteers at concentrations up to 10%, with or without irradiation (SCCP 2006b).</w:t>
      </w:r>
    </w:p>
    <w:p w14:paraId="6972C5C3" w14:textId="77777777" w:rsidR="00026EBE" w:rsidRPr="00D27219" w:rsidRDefault="00026EBE" w:rsidP="00026EBE">
      <w:pPr>
        <w:rPr>
          <w:rFonts w:cs="Arial"/>
        </w:rPr>
      </w:pPr>
      <w:r w:rsidRPr="00D27219">
        <w:rPr>
          <w:rFonts w:cs="Arial"/>
        </w:rPr>
        <w:t>The incidence of positive reactions (0.08%) was reported in a recent patch study among patients administered with octocrylene at 10% in petrolatum (</w:t>
      </w:r>
      <w:r w:rsidRPr="00D27219">
        <w:rPr>
          <w:rFonts w:cs="Arial"/>
          <w:i/>
        </w:rPr>
        <w:t>n</w:t>
      </w:r>
      <w:r w:rsidRPr="00D27219">
        <w:rPr>
          <w:rFonts w:cs="Arial"/>
        </w:rPr>
        <w:t xml:space="preserve"> = 2577) (Uter </w:t>
      </w:r>
      <w:r w:rsidRPr="00D27219">
        <w:rPr>
          <w:rFonts w:cs="Arial"/>
          <w:i/>
        </w:rPr>
        <w:t>et al.</w:t>
      </w:r>
      <w:r w:rsidRPr="00D27219">
        <w:rPr>
          <w:rFonts w:cs="Arial"/>
        </w:rPr>
        <w:t xml:space="preserve"> 2017). Similar findings were reported in an EU multicentre </w:t>
      </w:r>
      <w:proofErr w:type="spellStart"/>
      <w:r w:rsidRPr="00D27219">
        <w:rPr>
          <w:rFonts w:cs="Arial"/>
        </w:rPr>
        <w:t>photopatch</w:t>
      </w:r>
      <w:proofErr w:type="spellEnd"/>
      <w:r w:rsidRPr="00D27219">
        <w:rPr>
          <w:rFonts w:cs="Arial"/>
        </w:rPr>
        <w:t xml:space="preserve"> test study where contact allergy was reported in only 0.7% of the 1031 patients patch tested with 10% octocrylene in petrolatum for suspected photoallergic contact dermatitis (Klimova </w:t>
      </w:r>
      <w:r w:rsidRPr="00D27219">
        <w:rPr>
          <w:rFonts w:cs="Arial"/>
          <w:i/>
        </w:rPr>
        <w:t>et al.</w:t>
      </w:r>
      <w:r w:rsidRPr="00D27219">
        <w:rPr>
          <w:rFonts w:cs="Arial"/>
        </w:rPr>
        <w:t xml:space="preserve"> 2015).</w:t>
      </w:r>
    </w:p>
    <w:p w14:paraId="7319CBD6" w14:textId="77777777" w:rsidR="00026EBE" w:rsidRPr="00D27219" w:rsidRDefault="00026EBE" w:rsidP="00026EBE">
      <w:pPr>
        <w:rPr>
          <w:rFonts w:cs="Arial"/>
        </w:rPr>
      </w:pPr>
      <w:r w:rsidRPr="00D27219">
        <w:rPr>
          <w:rFonts w:cs="Arial"/>
        </w:rPr>
        <w:t xml:space="preserve">Contact allergy to octocrylene appears to be more frequent and severe in children (EMCPPTSA 2012; </w:t>
      </w:r>
      <w:proofErr w:type="spellStart"/>
      <w:r w:rsidRPr="00D27219">
        <w:rPr>
          <w:rFonts w:cs="Arial"/>
        </w:rPr>
        <w:t>Gilaberte</w:t>
      </w:r>
      <w:proofErr w:type="spellEnd"/>
      <w:r w:rsidRPr="00D27219">
        <w:rPr>
          <w:rFonts w:cs="Arial"/>
        </w:rPr>
        <w:t xml:space="preserve"> and Carrascosa 2014) whereas photoallergic contact dermatitis to octocrylene was found to be much more frequent in adults (NICNAS 2017). </w:t>
      </w:r>
      <w:proofErr w:type="spellStart"/>
      <w:r w:rsidRPr="00D27219">
        <w:rPr>
          <w:rFonts w:cs="Arial"/>
        </w:rPr>
        <w:t>Photocontact</w:t>
      </w:r>
      <w:proofErr w:type="spellEnd"/>
      <w:r w:rsidRPr="00D27219">
        <w:rPr>
          <w:rFonts w:cs="Arial"/>
        </w:rPr>
        <w:t xml:space="preserve"> allergy to octocrylene was reported in 4% of the 1031 adult </w:t>
      </w:r>
      <w:proofErr w:type="gramStart"/>
      <w:r w:rsidRPr="00D27219">
        <w:rPr>
          <w:rFonts w:cs="Arial"/>
        </w:rPr>
        <w:t>patients</w:t>
      </w:r>
      <w:proofErr w:type="gramEnd"/>
      <w:r w:rsidRPr="00D27219">
        <w:rPr>
          <w:rFonts w:cs="Arial"/>
        </w:rPr>
        <w:t xml:space="preserve"> patch-tested for suspected photoallergic contact</w:t>
      </w:r>
    </w:p>
    <w:p w14:paraId="3FADD691" w14:textId="77777777" w:rsidR="00026EBE" w:rsidRPr="00D27219" w:rsidRDefault="00026EBE" w:rsidP="00026EBE">
      <w:pPr>
        <w:rPr>
          <w:rFonts w:cs="Arial"/>
        </w:rPr>
      </w:pPr>
      <w:r w:rsidRPr="00D27219">
        <w:rPr>
          <w:rFonts w:cs="Arial"/>
        </w:rPr>
        <w:t xml:space="preserve">dermatitis (EMCPPTSA 2012). The occurrence of photoallergic contact dermatitis to octocrylene was found to be related to a previous photoallergy to topical ketoprofen (Loh and Cohen 2016). Patients with photoallergic contact dermatitis caused by sunscreens and positive </w:t>
      </w:r>
      <w:proofErr w:type="spellStart"/>
      <w:r w:rsidRPr="00D27219">
        <w:rPr>
          <w:rFonts w:cs="Arial"/>
        </w:rPr>
        <w:t>photopatch</w:t>
      </w:r>
      <w:proofErr w:type="spellEnd"/>
      <w:r w:rsidRPr="00D27219">
        <w:rPr>
          <w:rFonts w:cs="Arial"/>
        </w:rPr>
        <w:t xml:space="preserve"> tests to octocrylene have been mainly reported in France, Belgium, Italy and Spain, countries in which topical ketoprofen is used regularly in consumer products (de Groot and Roberts 2014). This was confirmed in a recent study conducted in Italy where concomitant </w:t>
      </w:r>
      <w:proofErr w:type="spellStart"/>
      <w:r w:rsidRPr="00D27219">
        <w:rPr>
          <w:rFonts w:cs="Arial"/>
        </w:rPr>
        <w:t>photocontact</w:t>
      </w:r>
      <w:proofErr w:type="spellEnd"/>
      <w:r w:rsidRPr="00D27219">
        <w:rPr>
          <w:rFonts w:cs="Arial"/>
        </w:rPr>
        <w:t xml:space="preserve"> allergy to ketoprofen was reported in 61.5% of 156 patients (Romita </w:t>
      </w:r>
      <w:r w:rsidRPr="00D27219">
        <w:rPr>
          <w:rFonts w:cs="Arial"/>
          <w:i/>
        </w:rPr>
        <w:t>et al.</w:t>
      </w:r>
      <w:r w:rsidRPr="00D27219">
        <w:rPr>
          <w:rFonts w:cs="Arial"/>
        </w:rPr>
        <w:t xml:space="preserve"> 2018). A very recent review has evaluated these findings extensively (</w:t>
      </w:r>
      <w:proofErr w:type="spellStart"/>
      <w:r w:rsidRPr="00D27219">
        <w:rPr>
          <w:rFonts w:cs="Arial"/>
        </w:rPr>
        <w:t>Berardesca</w:t>
      </w:r>
      <w:proofErr w:type="spellEnd"/>
      <w:r w:rsidRPr="00D27219">
        <w:rPr>
          <w:rFonts w:cs="Arial"/>
        </w:rPr>
        <w:t xml:space="preserve"> </w:t>
      </w:r>
      <w:r w:rsidRPr="00D27219">
        <w:rPr>
          <w:rFonts w:cs="Arial"/>
          <w:i/>
        </w:rPr>
        <w:t>et al.</w:t>
      </w:r>
      <w:r w:rsidRPr="00D27219">
        <w:rPr>
          <w:rFonts w:cs="Arial"/>
        </w:rPr>
        <w:t xml:space="preserve"> 2019).</w:t>
      </w:r>
    </w:p>
    <w:p w14:paraId="0B0D3C0A" w14:textId="77777777" w:rsidR="00026EBE" w:rsidRPr="00D27219" w:rsidRDefault="00026EBE" w:rsidP="00026EBE">
      <w:pPr>
        <w:rPr>
          <w:rFonts w:cs="Arial"/>
        </w:rPr>
      </w:pPr>
      <w:r w:rsidRPr="00D27219">
        <w:rPr>
          <w:rFonts w:cs="Arial"/>
        </w:rPr>
        <w:t>Several hypotheses were proposed to illustrate the mechanism for the co-reactivity of octocrylene namely: (</w:t>
      </w:r>
      <w:proofErr w:type="spellStart"/>
      <w:r w:rsidRPr="00D27219">
        <w:rPr>
          <w:rFonts w:cs="Arial"/>
        </w:rPr>
        <w:t>i</w:t>
      </w:r>
      <w:proofErr w:type="spellEnd"/>
      <w:r w:rsidRPr="00D27219">
        <w:rPr>
          <w:rFonts w:cs="Arial"/>
        </w:rPr>
        <w:t xml:space="preserve">) the role of the benzophenone moiety of ketoprofen (although the benzophenone moiety is not part of the octocrylene structure, </w:t>
      </w:r>
      <w:proofErr w:type="spellStart"/>
      <w:r w:rsidRPr="00D27219">
        <w:rPr>
          <w:rFonts w:cs="Arial"/>
        </w:rPr>
        <w:t>aminolysis</w:t>
      </w:r>
      <w:proofErr w:type="spellEnd"/>
      <w:r w:rsidRPr="00D27219">
        <w:rPr>
          <w:rFonts w:cs="Arial"/>
        </w:rPr>
        <w:t xml:space="preserve"> and hydrolysis of octocrylene in the skin may result in the formation of benzophenone which then can lead to cross-reactivity); (ii) hyper-photo susceptibility to ingredients that are nonrelevant allergens; and (iii) co-reactivity – i.e. concomitant sensitization or prior or subsequent </w:t>
      </w:r>
      <w:r w:rsidRPr="00D27219">
        <w:rPr>
          <w:rFonts w:cs="Arial"/>
          <w:i/>
          <w:iCs/>
        </w:rPr>
        <w:t>de novo</w:t>
      </w:r>
      <w:r w:rsidRPr="00D27219">
        <w:rPr>
          <w:rFonts w:cs="Arial"/>
        </w:rPr>
        <w:t xml:space="preserve"> photosensitisation – may be involved in place of cross-reaction. </w:t>
      </w:r>
    </w:p>
    <w:p w14:paraId="15C50A6D" w14:textId="77777777" w:rsidR="00026EBE" w:rsidRPr="00D27219" w:rsidRDefault="00026EBE" w:rsidP="00026EBE">
      <w:pPr>
        <w:rPr>
          <w:rFonts w:cs="Arial"/>
        </w:rPr>
      </w:pPr>
      <w:r w:rsidRPr="00D27219">
        <w:rPr>
          <w:rFonts w:cs="Arial"/>
        </w:rPr>
        <w:t xml:space="preserve">The presence of sensitizing impurities in some commercial batches of octocrylene were also suspected to be allergens contributing to </w:t>
      </w:r>
      <w:proofErr w:type="spellStart"/>
      <w:r w:rsidRPr="00D27219">
        <w:rPr>
          <w:rFonts w:cs="Arial"/>
        </w:rPr>
        <w:t>photocontact</w:t>
      </w:r>
      <w:proofErr w:type="spellEnd"/>
      <w:r w:rsidRPr="00D27219">
        <w:rPr>
          <w:rFonts w:cs="Arial"/>
        </w:rPr>
        <w:t xml:space="preserve"> allergy (Aerts </w:t>
      </w:r>
      <w:r w:rsidRPr="00D27219">
        <w:rPr>
          <w:rFonts w:cs="Arial"/>
          <w:i/>
        </w:rPr>
        <w:t>et al.</w:t>
      </w:r>
      <w:r w:rsidRPr="00D27219">
        <w:rPr>
          <w:rFonts w:cs="Arial"/>
        </w:rPr>
        <w:t xml:space="preserve"> 2016).</w:t>
      </w:r>
    </w:p>
    <w:p w14:paraId="432DB351" w14:textId="77777777" w:rsidR="00026EBE" w:rsidRPr="00D27219" w:rsidRDefault="00026EBE" w:rsidP="00026EBE">
      <w:pPr>
        <w:rPr>
          <w:rFonts w:cs="Arial"/>
        </w:rPr>
      </w:pPr>
      <w:r w:rsidRPr="00D27219">
        <w:rPr>
          <w:rFonts w:cs="Arial"/>
        </w:rPr>
        <w:t>Neurotoxic effects of active ingredients in sunscreens were reviewed extensively (</w:t>
      </w:r>
      <w:proofErr w:type="spellStart"/>
      <w:r w:rsidRPr="00D27219">
        <w:rPr>
          <w:rFonts w:cs="Arial"/>
        </w:rPr>
        <w:t>Ruszkiewcz</w:t>
      </w:r>
      <w:proofErr w:type="spellEnd"/>
      <w:r w:rsidRPr="00D27219">
        <w:rPr>
          <w:rFonts w:cs="Arial"/>
        </w:rPr>
        <w:t xml:space="preserve"> </w:t>
      </w:r>
      <w:r w:rsidRPr="00D27219">
        <w:rPr>
          <w:rFonts w:cs="Arial"/>
          <w:i/>
          <w:iCs/>
        </w:rPr>
        <w:t>et al.</w:t>
      </w:r>
      <w:r w:rsidRPr="00D27219">
        <w:rPr>
          <w:rFonts w:cs="Arial"/>
        </w:rPr>
        <w:t xml:space="preserve"> 2017). The table listing the effects from the treatment of octinoxate, oxybenzone and octocrylene is shown below. However, this is not reviewed in this discussion elaborately as similar mechanisms apply on endocrine activity modulation potential of these ingredients (</w:t>
      </w:r>
      <w:proofErr w:type="spellStart"/>
      <w:r w:rsidRPr="00D27219">
        <w:rPr>
          <w:rFonts w:cs="Arial"/>
        </w:rPr>
        <w:t>Ruszkiewcz</w:t>
      </w:r>
      <w:proofErr w:type="spellEnd"/>
      <w:r w:rsidRPr="00D27219">
        <w:rPr>
          <w:rFonts w:cs="Arial"/>
        </w:rPr>
        <w:t xml:space="preserve"> </w:t>
      </w:r>
      <w:r w:rsidRPr="00D27219">
        <w:rPr>
          <w:rFonts w:cs="Arial"/>
          <w:i/>
          <w:iCs/>
        </w:rPr>
        <w:t>et al.</w:t>
      </w:r>
      <w:r w:rsidRPr="00D27219">
        <w:rPr>
          <w:rFonts w:cs="Arial"/>
        </w:rPr>
        <w:t xml:space="preserve"> 2017).</w:t>
      </w:r>
    </w:p>
    <w:p w14:paraId="4B44FB59" w14:textId="77777777" w:rsidR="00026EBE" w:rsidRPr="00D27219" w:rsidRDefault="00026EBE" w:rsidP="00026EBE">
      <w:pPr>
        <w:rPr>
          <w:rFonts w:cs="Arial"/>
        </w:rPr>
      </w:pPr>
      <w:r w:rsidRPr="00D27219">
        <w:rPr>
          <w:rFonts w:cs="Arial"/>
        </w:rPr>
        <w:t xml:space="preserve">Obesogenic potential of avobenzone was demonstrated </w:t>
      </w:r>
      <w:r w:rsidRPr="00D27219">
        <w:rPr>
          <w:rFonts w:cs="Arial"/>
          <w:i/>
          <w:iCs/>
        </w:rPr>
        <w:t>in vitro</w:t>
      </w:r>
      <w:r w:rsidRPr="00D27219">
        <w:rPr>
          <w:rFonts w:cs="Arial"/>
        </w:rPr>
        <w:t xml:space="preserve"> by Shin et al. (2020) and Ahn et al. (2019). In normal human epidermal keratinocytes, avobenzone (10 </w:t>
      </w:r>
      <w:proofErr w:type="spellStart"/>
      <w:r w:rsidRPr="00D27219">
        <w:rPr>
          <w:rFonts w:cs="Arial"/>
        </w:rPr>
        <w:t>μM</w:t>
      </w:r>
      <w:proofErr w:type="spellEnd"/>
      <w:r w:rsidRPr="00D27219">
        <w:rPr>
          <w:rFonts w:cs="Arial"/>
        </w:rPr>
        <w:t>) increased expression of genes associated with lipid metabolism, including peroxisome proliferator-activated receptor γ (</w:t>
      </w:r>
      <w:proofErr w:type="spellStart"/>
      <w:r w:rsidRPr="00D27219">
        <w:rPr>
          <w:rFonts w:cs="Arial"/>
        </w:rPr>
        <w:t>PPARγ</w:t>
      </w:r>
      <w:proofErr w:type="spellEnd"/>
      <w:r w:rsidRPr="00D27219">
        <w:rPr>
          <w:rFonts w:cs="Arial"/>
        </w:rPr>
        <w:t>) and promoted adipogenesis in human bone marrow mesenchymal stem cells (</w:t>
      </w:r>
      <w:r w:rsidRPr="00D27219">
        <w:rPr>
          <w:rFonts w:eastAsia="Cambria" w:cs="Arial"/>
        </w:rPr>
        <w:t>EC</w:t>
      </w:r>
      <w:r w:rsidRPr="00D27219">
        <w:rPr>
          <w:rFonts w:eastAsia="Cambria" w:cs="Arial"/>
          <w:vertAlign w:val="subscript"/>
        </w:rPr>
        <w:t xml:space="preserve">50 </w:t>
      </w:r>
      <w:r w:rsidRPr="00D27219">
        <w:rPr>
          <w:rFonts w:cs="Arial"/>
        </w:rPr>
        <w:t xml:space="preserve">= 14.1 </w:t>
      </w:r>
      <w:proofErr w:type="spellStart"/>
      <w:r w:rsidRPr="00D27219">
        <w:rPr>
          <w:rFonts w:cs="Arial"/>
        </w:rPr>
        <w:t>μM</w:t>
      </w:r>
      <w:proofErr w:type="spellEnd"/>
      <w:r w:rsidRPr="00D27219">
        <w:rPr>
          <w:rFonts w:cs="Arial"/>
        </w:rPr>
        <w:t xml:space="preserve">). Nevertheless, avobenzone did not bind </w:t>
      </w:r>
      <w:proofErr w:type="spellStart"/>
      <w:r w:rsidRPr="00D27219">
        <w:rPr>
          <w:rFonts w:cs="Arial"/>
        </w:rPr>
        <w:t>PPARγ</w:t>
      </w:r>
      <w:proofErr w:type="spellEnd"/>
      <w:r w:rsidRPr="00D27219">
        <w:rPr>
          <w:rFonts w:cs="Arial"/>
        </w:rPr>
        <w:t xml:space="preserve"> and the avobenzone-induced adipogenesis-promoting activity was not affected by </w:t>
      </w:r>
      <w:proofErr w:type="spellStart"/>
      <w:r w:rsidRPr="00D27219">
        <w:rPr>
          <w:rFonts w:cs="Arial"/>
        </w:rPr>
        <w:t>PPARγ</w:t>
      </w:r>
      <w:proofErr w:type="spellEnd"/>
      <w:r w:rsidRPr="00D27219">
        <w:rPr>
          <w:rFonts w:cs="Arial"/>
        </w:rPr>
        <w:t xml:space="preserve"> antagonists (Ahn </w:t>
      </w:r>
      <w:r w:rsidRPr="00D27219">
        <w:rPr>
          <w:rFonts w:cs="Arial"/>
          <w:i/>
          <w:iCs/>
        </w:rPr>
        <w:t>et al.</w:t>
      </w:r>
      <w:r w:rsidRPr="00D27219">
        <w:rPr>
          <w:rFonts w:cs="Arial"/>
        </w:rPr>
        <w:t xml:space="preserve"> 2019). Even though potential obesogenic effect in human subject cannot be unequivocally excluded, it is unlikely given that mean </w:t>
      </w:r>
      <w:proofErr w:type="spellStart"/>
      <w:r w:rsidRPr="00D27219">
        <w:rPr>
          <w:rFonts w:eastAsia="Cambria" w:cs="Arial"/>
        </w:rPr>
        <w:t>C</w:t>
      </w:r>
      <w:r w:rsidRPr="00D27219">
        <w:rPr>
          <w:rFonts w:eastAsia="Cambria" w:cs="Arial"/>
          <w:vertAlign w:val="subscript"/>
        </w:rPr>
        <w:t>max</w:t>
      </w:r>
      <w:proofErr w:type="spellEnd"/>
      <w:r w:rsidRPr="00D27219">
        <w:rPr>
          <w:rFonts w:cs="Arial"/>
        </w:rPr>
        <w:t xml:space="preserve"> (12.89 </w:t>
      </w:r>
      <w:proofErr w:type="spellStart"/>
      <w:r w:rsidRPr="00D27219">
        <w:rPr>
          <w:rFonts w:cs="Arial"/>
        </w:rPr>
        <w:t>nM</w:t>
      </w:r>
      <w:proofErr w:type="spellEnd"/>
      <w:r w:rsidRPr="00D27219">
        <w:rPr>
          <w:rFonts w:cs="Arial"/>
        </w:rPr>
        <w:t xml:space="preserve"> or 4 </w:t>
      </w:r>
      <w:proofErr w:type="spellStart"/>
      <w:r w:rsidRPr="00D27219">
        <w:rPr>
          <w:rFonts w:cs="Arial"/>
        </w:rPr>
        <w:t>μg</w:t>
      </w:r>
      <w:proofErr w:type="spellEnd"/>
      <w:r w:rsidRPr="00D27219">
        <w:rPr>
          <w:rFonts w:cs="Arial"/>
        </w:rPr>
        <w:t xml:space="preserve">/L; see </w:t>
      </w:r>
      <w:r w:rsidRPr="00D27219">
        <w:rPr>
          <w:rFonts w:cs="Arial"/>
          <w:b/>
          <w:bCs/>
        </w:rPr>
        <w:t>Clinical Trials</w:t>
      </w:r>
      <w:r w:rsidRPr="00D27219">
        <w:rPr>
          <w:rFonts w:cs="Arial"/>
        </w:rPr>
        <w:t xml:space="preserve">) of avobenzone following a dermal application was ~1000 lower than concentrations promoting adipogenesis </w:t>
      </w:r>
      <w:r w:rsidRPr="00D27219">
        <w:rPr>
          <w:rFonts w:cs="Arial"/>
          <w:i/>
          <w:iCs/>
        </w:rPr>
        <w:t>in vitro</w:t>
      </w:r>
      <w:r w:rsidRPr="00D27219">
        <w:rPr>
          <w:rFonts w:cs="Arial"/>
        </w:rPr>
        <w:t xml:space="preserve">. </w:t>
      </w:r>
    </w:p>
    <w:p w14:paraId="306B65C4" w14:textId="77777777" w:rsidR="00026EBE" w:rsidRPr="00D27219" w:rsidRDefault="00026EBE" w:rsidP="00026EBE">
      <w:pPr>
        <w:rPr>
          <w:rFonts w:cs="Arial"/>
        </w:rPr>
      </w:pPr>
      <w:r w:rsidRPr="00D27219">
        <w:rPr>
          <w:rFonts w:cs="Arial"/>
        </w:rPr>
        <w:t xml:space="preserve">Similarly, obesogenic potential of octocrylene was postulated by Ko </w:t>
      </w:r>
      <w:r w:rsidRPr="00D27219">
        <w:rPr>
          <w:rFonts w:cs="Arial"/>
          <w:i/>
          <w:iCs/>
        </w:rPr>
        <w:t>et al.</w:t>
      </w:r>
      <w:r w:rsidRPr="00D27219">
        <w:rPr>
          <w:rFonts w:cs="Arial"/>
        </w:rPr>
        <w:t xml:space="preserve"> (2022), but in contrast to avobenzone, octocrylene directly bound </w:t>
      </w:r>
      <w:proofErr w:type="spellStart"/>
      <w:r w:rsidRPr="00D27219">
        <w:rPr>
          <w:rFonts w:cs="Arial"/>
        </w:rPr>
        <w:t>PPARγ</w:t>
      </w:r>
      <w:proofErr w:type="spellEnd"/>
      <w:r w:rsidRPr="00D27219">
        <w:rPr>
          <w:rFonts w:cs="Arial"/>
        </w:rPr>
        <w:t xml:space="preserve">, although with a relatively low affinity (Ki = 37.8 </w:t>
      </w:r>
      <w:proofErr w:type="spellStart"/>
      <w:r w:rsidRPr="00D27219">
        <w:rPr>
          <w:rFonts w:cs="Arial"/>
        </w:rPr>
        <w:t>μM</w:t>
      </w:r>
      <w:proofErr w:type="spellEnd"/>
      <w:r w:rsidRPr="00D27219">
        <w:rPr>
          <w:rFonts w:cs="Arial"/>
        </w:rPr>
        <w:t xml:space="preserve">).  </w:t>
      </w:r>
      <w:r w:rsidRPr="00D27219">
        <w:rPr>
          <w:rFonts w:cs="Arial"/>
          <w:i/>
          <w:iCs/>
        </w:rPr>
        <w:t>In vitro</w:t>
      </w:r>
      <w:r w:rsidRPr="00D27219">
        <w:rPr>
          <w:rFonts w:cs="Arial"/>
        </w:rPr>
        <w:t xml:space="preserve"> octocrylene induced (</w:t>
      </w:r>
      <w:r w:rsidRPr="00D27219">
        <w:rPr>
          <w:rFonts w:eastAsia="Cambria" w:cs="Arial"/>
        </w:rPr>
        <w:t>EC</w:t>
      </w:r>
      <w:r w:rsidRPr="00D27219">
        <w:rPr>
          <w:rFonts w:eastAsia="Cambria" w:cs="Arial"/>
          <w:vertAlign w:val="subscript"/>
        </w:rPr>
        <w:t>50</w:t>
      </w:r>
      <w:r w:rsidRPr="00D27219">
        <w:rPr>
          <w:rFonts w:cs="Arial"/>
        </w:rPr>
        <w:t xml:space="preserve">= 29.6 </w:t>
      </w:r>
      <w:proofErr w:type="spellStart"/>
      <w:r w:rsidRPr="00D27219">
        <w:rPr>
          <w:rFonts w:cs="Arial"/>
        </w:rPr>
        <w:t>μM</w:t>
      </w:r>
      <w:proofErr w:type="spellEnd"/>
      <w:r w:rsidRPr="00D27219">
        <w:rPr>
          <w:rFonts w:cs="Arial"/>
        </w:rPr>
        <w:t xml:space="preserve">) adiponectin secretion by human bone marrow mesenchymal stem. However, like avobenzone, the obesogenic impact of octocrylene applied dermally is not expected, as mean plasma </w:t>
      </w:r>
      <w:proofErr w:type="spellStart"/>
      <w:r w:rsidRPr="00D27219">
        <w:rPr>
          <w:rFonts w:eastAsia="Cambria" w:cs="Arial"/>
        </w:rPr>
        <w:t>C</w:t>
      </w:r>
      <w:r w:rsidRPr="00D27219">
        <w:rPr>
          <w:rFonts w:eastAsia="Cambria" w:cs="Arial"/>
          <w:vertAlign w:val="subscript"/>
        </w:rPr>
        <w:t>max</w:t>
      </w:r>
      <w:proofErr w:type="spellEnd"/>
      <w:r w:rsidRPr="00D27219">
        <w:rPr>
          <w:rFonts w:eastAsia="Cambria" w:cs="Arial"/>
          <w:vertAlign w:val="subscript"/>
        </w:rPr>
        <w:t xml:space="preserve"> </w:t>
      </w:r>
      <w:r w:rsidRPr="00D27219">
        <w:rPr>
          <w:rFonts w:cs="Arial"/>
        </w:rPr>
        <w:t xml:space="preserve">of (32 </w:t>
      </w:r>
      <w:proofErr w:type="spellStart"/>
      <w:r w:rsidRPr="00D27219">
        <w:rPr>
          <w:rFonts w:cs="Arial"/>
        </w:rPr>
        <w:t>nM</w:t>
      </w:r>
      <w:proofErr w:type="spellEnd"/>
      <w:r w:rsidRPr="00D27219">
        <w:rPr>
          <w:rFonts w:cs="Arial"/>
        </w:rPr>
        <w:t xml:space="preserve"> or 11.7 </w:t>
      </w:r>
      <w:proofErr w:type="spellStart"/>
      <w:r w:rsidRPr="00D27219">
        <w:rPr>
          <w:rFonts w:cs="Arial"/>
        </w:rPr>
        <w:t>μg</w:t>
      </w:r>
      <w:proofErr w:type="spellEnd"/>
      <w:r w:rsidRPr="00D27219">
        <w:rPr>
          <w:rFonts w:cs="Arial"/>
        </w:rPr>
        <w:t xml:space="preserve">/L; see </w:t>
      </w:r>
      <w:hyperlink w:anchor="_Clinical_trials" w:history="1">
        <w:r w:rsidRPr="00D27219">
          <w:rPr>
            <w:rStyle w:val="Hyperlink"/>
            <w:rFonts w:cs="Arial"/>
            <w:b/>
            <w:bCs/>
          </w:rPr>
          <w:t>Clinical Trials</w:t>
        </w:r>
      </w:hyperlink>
      <w:r w:rsidRPr="00D27219">
        <w:rPr>
          <w:rFonts w:cs="Arial"/>
        </w:rPr>
        <w:t xml:space="preserve">) was 925 lower than the </w:t>
      </w:r>
      <w:r w:rsidRPr="00D27219">
        <w:rPr>
          <w:rFonts w:eastAsia="Cambria" w:cs="Arial"/>
        </w:rPr>
        <w:t>EC</w:t>
      </w:r>
      <w:r w:rsidRPr="00D27219">
        <w:rPr>
          <w:rFonts w:eastAsia="Cambria" w:cs="Arial"/>
          <w:vertAlign w:val="subscript"/>
        </w:rPr>
        <w:t>50</w:t>
      </w:r>
      <w:r w:rsidRPr="00D27219">
        <w:rPr>
          <w:rFonts w:cs="Arial"/>
        </w:rPr>
        <w:t xml:space="preserve"> of adiponectin secretion </w:t>
      </w:r>
      <w:r w:rsidRPr="00D27219">
        <w:rPr>
          <w:rFonts w:cs="Arial"/>
          <w:i/>
          <w:iCs/>
        </w:rPr>
        <w:t>in vitro</w:t>
      </w:r>
      <w:r w:rsidRPr="00D27219">
        <w:rPr>
          <w:rFonts w:cs="Arial"/>
        </w:rPr>
        <w:t xml:space="preserve">. </w:t>
      </w:r>
    </w:p>
    <w:p w14:paraId="232BE147" w14:textId="77777777" w:rsidR="00026EBE" w:rsidRPr="00D27219" w:rsidRDefault="00026EBE" w:rsidP="00026EBE">
      <w:pPr>
        <w:rPr>
          <w:rFonts w:cs="Arial"/>
        </w:rPr>
      </w:pPr>
      <w:r w:rsidRPr="00D27219">
        <w:rPr>
          <w:rFonts w:cs="Arial"/>
        </w:rPr>
        <w:t xml:space="preserve">The immunomodulatory effect of avobenzone was reported </w:t>
      </w:r>
      <w:r w:rsidRPr="00D27219">
        <w:rPr>
          <w:rFonts w:cs="Arial"/>
          <w:i/>
          <w:iCs/>
        </w:rPr>
        <w:t>in vitro</w:t>
      </w:r>
      <w:r w:rsidRPr="00D27219">
        <w:rPr>
          <w:rFonts w:cs="Arial"/>
        </w:rPr>
        <w:t xml:space="preserve">. At 50 </w:t>
      </w:r>
      <w:proofErr w:type="spellStart"/>
      <w:r w:rsidRPr="00D27219">
        <w:rPr>
          <w:rFonts w:cs="Arial"/>
        </w:rPr>
        <w:t>μM</w:t>
      </w:r>
      <w:proofErr w:type="spellEnd"/>
      <w:r w:rsidRPr="00D27219">
        <w:rPr>
          <w:rFonts w:cs="Arial"/>
        </w:rPr>
        <w:t xml:space="preserve"> the compound increased IL-8 secretion by monocyte-like THP-1 cells as well as by THP-1 derived macrophages (Weiss </w:t>
      </w:r>
      <w:r w:rsidRPr="00D27219">
        <w:rPr>
          <w:rFonts w:cs="Arial"/>
          <w:i/>
          <w:iCs/>
        </w:rPr>
        <w:t>et al.</w:t>
      </w:r>
      <w:r w:rsidRPr="00D27219">
        <w:rPr>
          <w:rFonts w:cs="Arial"/>
        </w:rPr>
        <w:t xml:space="preserve"> 2023). However, the immunomodulatory effect of avobenzone in sunscreen applications is not predicted considering low systemic exposures (</w:t>
      </w:r>
      <w:proofErr w:type="spellStart"/>
      <w:r w:rsidRPr="00D27219">
        <w:rPr>
          <w:rFonts w:eastAsia="Cambria" w:cs="Arial"/>
        </w:rPr>
        <w:t>C</w:t>
      </w:r>
      <w:r w:rsidRPr="00D27219">
        <w:rPr>
          <w:rFonts w:eastAsia="Cambria" w:cs="Arial"/>
          <w:vertAlign w:val="subscript"/>
        </w:rPr>
        <w:t>max</w:t>
      </w:r>
      <w:proofErr w:type="spellEnd"/>
      <w:r w:rsidRPr="00D27219">
        <w:rPr>
          <w:rFonts w:cs="Arial"/>
        </w:rPr>
        <w:t xml:space="preserve"> = 12.89 </w:t>
      </w:r>
      <w:proofErr w:type="spellStart"/>
      <w:r w:rsidRPr="00D27219">
        <w:rPr>
          <w:rFonts w:cs="Arial"/>
        </w:rPr>
        <w:t>nM</w:t>
      </w:r>
      <w:proofErr w:type="spellEnd"/>
      <w:r w:rsidRPr="00D27219">
        <w:rPr>
          <w:rFonts w:cs="Arial"/>
        </w:rPr>
        <w:t xml:space="preserve">) and relatively low impact </w:t>
      </w:r>
      <w:r w:rsidRPr="00D27219">
        <w:rPr>
          <w:rFonts w:cs="Arial"/>
          <w:i/>
          <w:iCs/>
        </w:rPr>
        <w:t>in vitro</w:t>
      </w:r>
      <w:r w:rsidRPr="00D27219">
        <w:rPr>
          <w:rFonts w:cs="Arial"/>
        </w:rPr>
        <w:t xml:space="preserve"> (fold changes of affected factors were generally &lt; 2) at concentrations exceeding </w:t>
      </w:r>
      <w:proofErr w:type="spellStart"/>
      <w:r w:rsidRPr="00D27219">
        <w:rPr>
          <w:rFonts w:eastAsia="Cambria" w:cs="Arial"/>
        </w:rPr>
        <w:t>C</w:t>
      </w:r>
      <w:r w:rsidRPr="00D27219">
        <w:rPr>
          <w:rFonts w:eastAsia="Cambria" w:cs="Arial"/>
          <w:vertAlign w:val="subscript"/>
        </w:rPr>
        <w:t>max</w:t>
      </w:r>
      <w:proofErr w:type="spellEnd"/>
      <w:r w:rsidRPr="00D27219">
        <w:rPr>
          <w:rFonts w:cs="Arial"/>
        </w:rPr>
        <w:t xml:space="preserve"> ~4000 times. </w:t>
      </w:r>
    </w:p>
    <w:p w14:paraId="09D12FA7" w14:textId="77777777" w:rsidR="00026EBE" w:rsidRPr="002C7324" w:rsidRDefault="00026EBE" w:rsidP="00026EBE">
      <w:pPr>
        <w:pStyle w:val="Tabletitle"/>
        <w:rPr>
          <w:i/>
          <w:iCs/>
          <w:color w:val="00B050"/>
          <w:sz w:val="18"/>
          <w:szCs w:val="18"/>
          <w:lang w:val="pl-PL"/>
        </w:rPr>
      </w:pPr>
      <w:r w:rsidRPr="002C7324">
        <w:t xml:space="preserve">Table </w:t>
      </w:r>
      <w:r w:rsidRPr="002C7324">
        <w:fldChar w:fldCharType="begin"/>
      </w:r>
      <w:r w:rsidRPr="002C7324">
        <w:instrText xml:space="preserve"> STYLEREF 1 \s </w:instrText>
      </w:r>
      <w:r w:rsidRPr="002C7324">
        <w:fldChar w:fldCharType="separate"/>
      </w:r>
      <w:r>
        <w:rPr>
          <w:noProof/>
        </w:rPr>
        <w:t>0</w:t>
      </w:r>
      <w:r w:rsidRPr="002C7324">
        <w:fldChar w:fldCharType="end"/>
      </w:r>
      <w:r w:rsidRPr="002C7324">
        <w:noBreakHyphen/>
      </w:r>
      <w:r w:rsidRPr="002C7324">
        <w:fldChar w:fldCharType="begin"/>
      </w:r>
      <w:r w:rsidRPr="002C7324">
        <w:instrText xml:space="preserve"> SEQ Table \* ARABIC \s 1 </w:instrText>
      </w:r>
      <w:r w:rsidRPr="002C7324">
        <w:fldChar w:fldCharType="separate"/>
      </w:r>
      <w:r>
        <w:rPr>
          <w:noProof/>
        </w:rPr>
        <w:t>3</w:t>
      </w:r>
      <w:r w:rsidRPr="002C7324">
        <w:fldChar w:fldCharType="end"/>
      </w:r>
      <w:r>
        <w:t>0</w:t>
      </w:r>
      <w:r w:rsidRPr="002C7324">
        <w:t xml:space="preserve"> </w:t>
      </w:r>
      <w:r>
        <w:t>Summaries of other studies</w:t>
      </w:r>
    </w:p>
    <w:tbl>
      <w:tblPr>
        <w:tblStyle w:val="TableTGAblue2023"/>
        <w:tblW w:w="0" w:type="auto"/>
        <w:tblLook w:val="04A0" w:firstRow="1" w:lastRow="0" w:firstColumn="1" w:lastColumn="0" w:noHBand="0" w:noVBand="1"/>
      </w:tblPr>
      <w:tblGrid>
        <w:gridCol w:w="1991"/>
        <w:gridCol w:w="1965"/>
        <w:gridCol w:w="2111"/>
        <w:gridCol w:w="2949"/>
      </w:tblGrid>
      <w:tr w:rsidR="00026EBE" w:rsidRPr="004F5A9D" w14:paraId="23CA3343" w14:textId="77777777" w:rsidTr="000850F6">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999" w:type="dxa"/>
          </w:tcPr>
          <w:p w14:paraId="391DD217" w14:textId="77777777" w:rsidR="00026EBE" w:rsidRPr="009057FC" w:rsidRDefault="00026EBE" w:rsidP="000850F6">
            <w:r w:rsidRPr="009057FC">
              <w:t>Compound</w:t>
            </w:r>
          </w:p>
        </w:tc>
        <w:tc>
          <w:tcPr>
            <w:tcW w:w="2023" w:type="dxa"/>
          </w:tcPr>
          <w:p w14:paraId="48118D94" w14:textId="77777777" w:rsidR="00026EBE" w:rsidRPr="009057FC" w:rsidRDefault="00026EBE" w:rsidP="000850F6">
            <w:pPr>
              <w:cnfStyle w:val="100000000000" w:firstRow="1" w:lastRow="0" w:firstColumn="0" w:lastColumn="0" w:oddVBand="0" w:evenVBand="0" w:oddHBand="0" w:evenHBand="0" w:firstRowFirstColumn="0" w:firstRowLastColumn="0" w:lastRowFirstColumn="0" w:lastRowLastColumn="0"/>
              <w:rPr>
                <w:bCs/>
              </w:rPr>
            </w:pPr>
            <w:r w:rsidRPr="009057FC">
              <w:t>Exposure model</w:t>
            </w:r>
          </w:p>
        </w:tc>
        <w:tc>
          <w:tcPr>
            <w:tcW w:w="2114" w:type="dxa"/>
          </w:tcPr>
          <w:p w14:paraId="64713CB5" w14:textId="77777777" w:rsidR="00026EBE" w:rsidRPr="009057FC" w:rsidRDefault="00026EBE" w:rsidP="000850F6">
            <w:pPr>
              <w:cnfStyle w:val="100000000000" w:firstRow="1" w:lastRow="0" w:firstColumn="0" w:lastColumn="0" w:oddVBand="0" w:evenVBand="0" w:oddHBand="0" w:evenHBand="0" w:firstRowFirstColumn="0" w:firstRowLastColumn="0" w:lastRowFirstColumn="0" w:lastRowLastColumn="0"/>
              <w:rPr>
                <w:bCs/>
              </w:rPr>
            </w:pPr>
            <w:r w:rsidRPr="009057FC">
              <w:t>Experimental design</w:t>
            </w:r>
          </w:p>
        </w:tc>
        <w:tc>
          <w:tcPr>
            <w:tcW w:w="3073" w:type="dxa"/>
          </w:tcPr>
          <w:p w14:paraId="6732D2B4" w14:textId="77777777" w:rsidR="00026EBE" w:rsidRPr="009057FC" w:rsidRDefault="00026EBE" w:rsidP="000850F6">
            <w:pPr>
              <w:cnfStyle w:val="100000000000" w:firstRow="1" w:lastRow="0" w:firstColumn="0" w:lastColumn="0" w:oddVBand="0" w:evenVBand="0" w:oddHBand="0" w:evenHBand="0" w:firstRowFirstColumn="0" w:firstRowLastColumn="0" w:lastRowFirstColumn="0" w:lastRowLastColumn="0"/>
              <w:rPr>
                <w:bCs/>
              </w:rPr>
            </w:pPr>
            <w:r w:rsidRPr="009057FC">
              <w:t>Effect</w:t>
            </w:r>
          </w:p>
        </w:tc>
      </w:tr>
      <w:tr w:rsidR="00026EBE" w:rsidRPr="004F5A9D" w14:paraId="6B7B2F1E" w14:textId="77777777" w:rsidTr="000850F6">
        <w:tc>
          <w:tcPr>
            <w:cnfStyle w:val="001000000000" w:firstRow="0" w:lastRow="0" w:firstColumn="1" w:lastColumn="0" w:oddVBand="0" w:evenVBand="0" w:oddHBand="0" w:evenHBand="0" w:firstRowFirstColumn="0" w:firstRowLastColumn="0" w:lastRowFirstColumn="0" w:lastRowLastColumn="0"/>
            <w:tcW w:w="1999" w:type="dxa"/>
            <w:vMerge w:val="restart"/>
          </w:tcPr>
          <w:p w14:paraId="1F1D4C16" w14:textId="77777777" w:rsidR="00026EBE" w:rsidRPr="009057FC" w:rsidRDefault="00026EBE" w:rsidP="000850F6">
            <w:r w:rsidRPr="009057FC">
              <w:t xml:space="preserve">Octyl </w:t>
            </w:r>
            <w:proofErr w:type="spellStart"/>
            <w:r w:rsidRPr="009057FC">
              <w:t>methyoxycinnamate</w:t>
            </w:r>
            <w:proofErr w:type="spellEnd"/>
            <w:r w:rsidRPr="009057FC">
              <w:t xml:space="preserve"> or octinoxate </w:t>
            </w:r>
          </w:p>
        </w:tc>
        <w:tc>
          <w:tcPr>
            <w:tcW w:w="2023" w:type="dxa"/>
          </w:tcPr>
          <w:p w14:paraId="41FCAB0E"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Wistar rats</w:t>
            </w:r>
          </w:p>
        </w:tc>
        <w:tc>
          <w:tcPr>
            <w:tcW w:w="2114" w:type="dxa"/>
          </w:tcPr>
          <w:p w14:paraId="153B015E"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Oral (gavage) administration during gestation and lactation</w:t>
            </w:r>
          </w:p>
        </w:tc>
        <w:tc>
          <w:tcPr>
            <w:tcW w:w="3073" w:type="dxa"/>
          </w:tcPr>
          <w:p w14:paraId="13B03F5B"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Decreased motor activity in female offspring, increased spatial learning in male offspring.</w:t>
            </w:r>
          </w:p>
        </w:tc>
      </w:tr>
      <w:tr w:rsidR="00026EBE" w:rsidRPr="004F5A9D" w14:paraId="62DE1ACE" w14:textId="77777777" w:rsidTr="000850F6">
        <w:tc>
          <w:tcPr>
            <w:cnfStyle w:val="001000000000" w:firstRow="0" w:lastRow="0" w:firstColumn="1" w:lastColumn="0" w:oddVBand="0" w:evenVBand="0" w:oddHBand="0" w:evenHBand="0" w:firstRowFirstColumn="0" w:firstRowLastColumn="0" w:lastRowFirstColumn="0" w:lastRowLastColumn="0"/>
            <w:tcW w:w="1999" w:type="dxa"/>
            <w:vMerge/>
          </w:tcPr>
          <w:p w14:paraId="6FCB806A" w14:textId="77777777" w:rsidR="00026EBE" w:rsidRPr="009057FC" w:rsidRDefault="00026EBE" w:rsidP="000850F6"/>
        </w:tc>
        <w:tc>
          <w:tcPr>
            <w:tcW w:w="2023" w:type="dxa"/>
          </w:tcPr>
          <w:p w14:paraId="6D0A5FB6"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Sprague-Dawley rats, female</w:t>
            </w:r>
          </w:p>
        </w:tc>
        <w:tc>
          <w:tcPr>
            <w:tcW w:w="2114" w:type="dxa"/>
          </w:tcPr>
          <w:p w14:paraId="4206B70A"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Oral (gavage) administration for 5 days; 10–1000 mg/kg/day</w:t>
            </w:r>
          </w:p>
        </w:tc>
        <w:tc>
          <w:tcPr>
            <w:tcW w:w="3073" w:type="dxa"/>
          </w:tcPr>
          <w:p w14:paraId="16A8C018"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Non-estrogenic interference within the rodent HPT axis; no changes in pre-</w:t>
            </w:r>
            <w:proofErr w:type="spellStart"/>
            <w:r w:rsidRPr="009057FC">
              <w:t>proTRH</w:t>
            </w:r>
            <w:proofErr w:type="spellEnd"/>
            <w:r w:rsidRPr="009057FC">
              <w:t xml:space="preserve"> mRNA in </w:t>
            </w:r>
            <w:proofErr w:type="spellStart"/>
            <w:r w:rsidRPr="009057FC">
              <w:t>mediobasal</w:t>
            </w:r>
            <w:proofErr w:type="spellEnd"/>
            <w:r w:rsidRPr="009057FC">
              <w:t>-hypothalamus.</w:t>
            </w:r>
          </w:p>
        </w:tc>
      </w:tr>
      <w:tr w:rsidR="00026EBE" w:rsidRPr="004F5A9D" w14:paraId="17C5CDEC" w14:textId="77777777" w:rsidTr="000850F6">
        <w:tc>
          <w:tcPr>
            <w:cnfStyle w:val="001000000000" w:firstRow="0" w:lastRow="0" w:firstColumn="1" w:lastColumn="0" w:oddVBand="0" w:evenVBand="0" w:oddHBand="0" w:evenHBand="0" w:firstRowFirstColumn="0" w:firstRowLastColumn="0" w:lastRowFirstColumn="0" w:lastRowLastColumn="0"/>
            <w:tcW w:w="1999" w:type="dxa"/>
            <w:vMerge/>
          </w:tcPr>
          <w:p w14:paraId="7DB7329D" w14:textId="77777777" w:rsidR="00026EBE" w:rsidRPr="009057FC" w:rsidRDefault="00026EBE" w:rsidP="000850F6"/>
        </w:tc>
        <w:tc>
          <w:tcPr>
            <w:tcW w:w="2023" w:type="dxa"/>
          </w:tcPr>
          <w:p w14:paraId="781DB2CF"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Wistar rats</w:t>
            </w:r>
          </w:p>
        </w:tc>
        <w:tc>
          <w:tcPr>
            <w:tcW w:w="2114" w:type="dxa"/>
          </w:tcPr>
          <w:p w14:paraId="2661A01E"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In vitro incubation of hypothalamus isolated from adult rats; 60 min; 0.263 </w:t>
            </w:r>
            <w:proofErr w:type="spellStart"/>
            <w:r w:rsidRPr="009057FC">
              <w:t>μM</w:t>
            </w:r>
            <w:proofErr w:type="spellEnd"/>
          </w:p>
        </w:tc>
        <w:tc>
          <w:tcPr>
            <w:tcW w:w="3073" w:type="dxa"/>
          </w:tcPr>
          <w:p w14:paraId="0A486E8D"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Decreased hypothalamic release of GnRH. Increased GABA release and decreased Glu production in males. Decreased Asp and Glu production in females.</w:t>
            </w:r>
          </w:p>
        </w:tc>
      </w:tr>
      <w:tr w:rsidR="00026EBE" w:rsidRPr="004F5A9D" w14:paraId="022B4DB3" w14:textId="77777777" w:rsidTr="000850F6">
        <w:tc>
          <w:tcPr>
            <w:cnfStyle w:val="001000000000" w:firstRow="0" w:lastRow="0" w:firstColumn="1" w:lastColumn="0" w:oddVBand="0" w:evenVBand="0" w:oddHBand="0" w:evenHBand="0" w:firstRowFirstColumn="0" w:firstRowLastColumn="0" w:lastRowFirstColumn="0" w:lastRowLastColumn="0"/>
            <w:tcW w:w="1999" w:type="dxa"/>
            <w:vMerge/>
          </w:tcPr>
          <w:p w14:paraId="1A79A124" w14:textId="77777777" w:rsidR="00026EBE" w:rsidRPr="009057FC" w:rsidRDefault="00026EBE" w:rsidP="000850F6"/>
        </w:tc>
        <w:tc>
          <w:tcPr>
            <w:tcW w:w="2023" w:type="dxa"/>
          </w:tcPr>
          <w:p w14:paraId="4727A3B7"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Wistar rats</w:t>
            </w:r>
          </w:p>
        </w:tc>
        <w:tc>
          <w:tcPr>
            <w:tcW w:w="2114" w:type="dxa"/>
          </w:tcPr>
          <w:p w14:paraId="56C081D0"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in vitro incubation of hypothalamus isolated from immature rats; 60 min; 0.263μM</w:t>
            </w:r>
          </w:p>
        </w:tc>
        <w:tc>
          <w:tcPr>
            <w:tcW w:w="3073" w:type="dxa"/>
          </w:tcPr>
          <w:p w14:paraId="3240FCB4"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Decreased hypothalamic release of LHRH. Increased GABA release in males, decreased Asp and Glu levels in females.</w:t>
            </w:r>
          </w:p>
        </w:tc>
      </w:tr>
      <w:tr w:rsidR="00026EBE" w:rsidRPr="00361DD3" w14:paraId="7F8726D2" w14:textId="77777777" w:rsidTr="000850F6">
        <w:tc>
          <w:tcPr>
            <w:cnfStyle w:val="001000000000" w:firstRow="0" w:lastRow="0" w:firstColumn="1" w:lastColumn="0" w:oddVBand="0" w:evenVBand="0" w:oddHBand="0" w:evenHBand="0" w:firstRowFirstColumn="0" w:firstRowLastColumn="0" w:lastRowFirstColumn="0" w:lastRowLastColumn="0"/>
            <w:tcW w:w="1999" w:type="dxa"/>
            <w:vMerge/>
          </w:tcPr>
          <w:p w14:paraId="52508A5E" w14:textId="77777777" w:rsidR="00026EBE" w:rsidRPr="009057FC" w:rsidRDefault="00026EBE" w:rsidP="000850F6"/>
        </w:tc>
        <w:tc>
          <w:tcPr>
            <w:tcW w:w="2023" w:type="dxa"/>
          </w:tcPr>
          <w:p w14:paraId="76D916C8"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SH-SY5Y neuroblastoma cell line</w:t>
            </w:r>
          </w:p>
        </w:tc>
        <w:tc>
          <w:tcPr>
            <w:tcW w:w="2114" w:type="dxa"/>
          </w:tcPr>
          <w:p w14:paraId="014BF750"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72 h; 10</w:t>
            </w:r>
            <w:r w:rsidRPr="009057FC">
              <w:rPr>
                <w:vertAlign w:val="superscript"/>
              </w:rPr>
              <w:t>−8</w:t>
            </w:r>
            <w:r w:rsidRPr="009057FC">
              <w:t>–10</w:t>
            </w:r>
            <w:r w:rsidRPr="009057FC">
              <w:rPr>
                <w:vertAlign w:val="superscript"/>
              </w:rPr>
              <w:t>−4</w:t>
            </w:r>
            <w:r w:rsidRPr="009057FC">
              <w:t>M</w:t>
            </w:r>
          </w:p>
        </w:tc>
        <w:tc>
          <w:tcPr>
            <w:tcW w:w="3073" w:type="dxa"/>
          </w:tcPr>
          <w:p w14:paraId="5A5B66E4"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Decreased cell viability and increased caspase-3 activity.</w:t>
            </w:r>
          </w:p>
        </w:tc>
      </w:tr>
      <w:tr w:rsidR="00026EBE" w:rsidRPr="00361DD3" w14:paraId="733E0161" w14:textId="77777777" w:rsidTr="000850F6">
        <w:tc>
          <w:tcPr>
            <w:cnfStyle w:val="001000000000" w:firstRow="0" w:lastRow="0" w:firstColumn="1" w:lastColumn="0" w:oddVBand="0" w:evenVBand="0" w:oddHBand="0" w:evenHBand="0" w:firstRowFirstColumn="0" w:firstRowLastColumn="0" w:lastRowFirstColumn="0" w:lastRowLastColumn="0"/>
            <w:tcW w:w="1999" w:type="dxa"/>
            <w:vMerge/>
          </w:tcPr>
          <w:p w14:paraId="7EE94477" w14:textId="77777777" w:rsidR="00026EBE" w:rsidRPr="009057FC" w:rsidRDefault="00026EBE" w:rsidP="000850F6"/>
        </w:tc>
        <w:tc>
          <w:tcPr>
            <w:tcW w:w="2023" w:type="dxa"/>
          </w:tcPr>
          <w:p w14:paraId="55F484F0"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Rainbow trout</w:t>
            </w:r>
          </w:p>
          <w:p w14:paraId="209CC0D5"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w:t>
            </w:r>
            <w:proofErr w:type="spellStart"/>
            <w:r w:rsidRPr="009057FC">
              <w:t>Cahova</w:t>
            </w:r>
            <w:proofErr w:type="spellEnd"/>
            <w:r w:rsidRPr="009057FC">
              <w:t xml:space="preserve"> </w:t>
            </w:r>
            <w:r w:rsidRPr="009057FC">
              <w:rPr>
                <w:i/>
                <w:iCs/>
              </w:rPr>
              <w:t>et al.</w:t>
            </w:r>
            <w:r w:rsidRPr="009057FC">
              <w:t xml:space="preserve"> 2023)</w:t>
            </w:r>
          </w:p>
        </w:tc>
        <w:tc>
          <w:tcPr>
            <w:tcW w:w="2114" w:type="dxa"/>
          </w:tcPr>
          <w:p w14:paraId="389E7675"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Administered with food; 6 weeks; 6.9 – 395 </w:t>
            </w:r>
            <w:proofErr w:type="spellStart"/>
            <w:r w:rsidRPr="009057FC">
              <w:t>μg</w:t>
            </w:r>
            <w:proofErr w:type="spellEnd"/>
            <w:r w:rsidRPr="009057FC">
              <w:t>/kg/day</w:t>
            </w:r>
          </w:p>
        </w:tc>
        <w:tc>
          <w:tcPr>
            <w:tcW w:w="3073" w:type="dxa"/>
          </w:tcPr>
          <w:p w14:paraId="3233407E"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Increased plasma thyroxine levels at 395/kg/day (~325 ng/mL) </w:t>
            </w:r>
            <w:r w:rsidRPr="009057FC">
              <w:rPr>
                <w:i/>
                <w:iCs/>
              </w:rPr>
              <w:t>c.f.</w:t>
            </w:r>
            <w:r w:rsidRPr="009057FC">
              <w:t xml:space="preserve"> controls (~200 ng/mL)</w:t>
            </w:r>
          </w:p>
        </w:tc>
      </w:tr>
      <w:tr w:rsidR="00026EBE" w:rsidRPr="00361DD3" w14:paraId="3E488A45" w14:textId="77777777" w:rsidTr="000850F6">
        <w:tc>
          <w:tcPr>
            <w:cnfStyle w:val="001000000000" w:firstRow="0" w:lastRow="0" w:firstColumn="1" w:lastColumn="0" w:oddVBand="0" w:evenVBand="0" w:oddHBand="0" w:evenHBand="0" w:firstRowFirstColumn="0" w:firstRowLastColumn="0" w:lastRowFirstColumn="0" w:lastRowLastColumn="0"/>
            <w:tcW w:w="1999" w:type="dxa"/>
            <w:vMerge/>
          </w:tcPr>
          <w:p w14:paraId="2CC7DDC0" w14:textId="77777777" w:rsidR="00026EBE" w:rsidRPr="009057FC" w:rsidRDefault="00026EBE" w:rsidP="000850F6"/>
        </w:tc>
        <w:tc>
          <w:tcPr>
            <w:tcW w:w="2023" w:type="dxa"/>
          </w:tcPr>
          <w:p w14:paraId="0A92DDCE"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Wistar rats</w:t>
            </w:r>
          </w:p>
          <w:p w14:paraId="3F53CD27"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(Lorigo and </w:t>
            </w:r>
            <w:proofErr w:type="spellStart"/>
            <w:r w:rsidRPr="009057FC">
              <w:t>Cairrao</w:t>
            </w:r>
            <w:proofErr w:type="spellEnd"/>
            <w:r w:rsidRPr="009057FC">
              <w:t xml:space="preserve"> 2022)</w:t>
            </w:r>
          </w:p>
        </w:tc>
        <w:tc>
          <w:tcPr>
            <w:tcW w:w="2114" w:type="dxa"/>
          </w:tcPr>
          <w:p w14:paraId="0CF2162E"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proofErr w:type="gramStart"/>
            <w:r w:rsidRPr="009057FC">
              <w:rPr>
                <w:i/>
                <w:iCs/>
              </w:rPr>
              <w:t>In vitro</w:t>
            </w:r>
            <w:r w:rsidRPr="009057FC">
              <w:t>;</w:t>
            </w:r>
            <w:proofErr w:type="gramEnd"/>
            <w:r w:rsidRPr="009057FC">
              <w:t xml:space="preserve"> isolated rat aortas</w:t>
            </w:r>
          </w:p>
          <w:p w14:paraId="3E49A15A"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0.001–50 </w:t>
            </w:r>
            <w:proofErr w:type="spellStart"/>
            <w:r w:rsidRPr="009057FC">
              <w:t>μmol</w:t>
            </w:r>
            <w:proofErr w:type="spellEnd"/>
            <w:r w:rsidRPr="009057FC">
              <w:t>/L</w:t>
            </w:r>
          </w:p>
        </w:tc>
        <w:tc>
          <w:tcPr>
            <w:tcW w:w="3073" w:type="dxa"/>
          </w:tcPr>
          <w:p w14:paraId="29BFCDD7"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Increased vasorelaxant effect by endothelium-dependent mechanisms</w:t>
            </w:r>
          </w:p>
        </w:tc>
      </w:tr>
      <w:tr w:rsidR="00026EBE" w:rsidRPr="00361DD3" w14:paraId="4CC6E09A" w14:textId="77777777" w:rsidTr="000850F6">
        <w:tc>
          <w:tcPr>
            <w:cnfStyle w:val="001000000000" w:firstRow="0" w:lastRow="0" w:firstColumn="1" w:lastColumn="0" w:oddVBand="0" w:evenVBand="0" w:oddHBand="0" w:evenHBand="0" w:firstRowFirstColumn="0" w:firstRowLastColumn="0" w:lastRowFirstColumn="0" w:lastRowLastColumn="0"/>
            <w:tcW w:w="1999" w:type="dxa"/>
            <w:vMerge/>
          </w:tcPr>
          <w:p w14:paraId="7FED58BF" w14:textId="77777777" w:rsidR="00026EBE" w:rsidRPr="009057FC" w:rsidRDefault="00026EBE" w:rsidP="000850F6"/>
        </w:tc>
        <w:tc>
          <w:tcPr>
            <w:tcW w:w="2023" w:type="dxa"/>
          </w:tcPr>
          <w:p w14:paraId="4F7295DD"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Human umbilical arteries</w:t>
            </w:r>
            <w:r>
              <w:t xml:space="preserve"> </w:t>
            </w:r>
            <w:r w:rsidRPr="009057FC">
              <w:t xml:space="preserve">(Lorigo </w:t>
            </w:r>
            <w:r w:rsidRPr="009057FC">
              <w:rPr>
                <w:i/>
                <w:iCs/>
              </w:rPr>
              <w:t>et al.</w:t>
            </w:r>
            <w:r w:rsidRPr="009057FC">
              <w:t xml:space="preserve"> 2021, 2022)</w:t>
            </w:r>
          </w:p>
        </w:tc>
        <w:tc>
          <w:tcPr>
            <w:tcW w:w="2114" w:type="dxa"/>
          </w:tcPr>
          <w:p w14:paraId="79EC3080"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rPr>
                <w:i/>
                <w:iCs/>
              </w:rPr>
              <w:t xml:space="preserve">In vitro, </w:t>
            </w:r>
            <w:r w:rsidRPr="009057FC">
              <w:t xml:space="preserve">24h incubation; 1 -50 </w:t>
            </w:r>
            <w:proofErr w:type="spellStart"/>
            <w:r w:rsidRPr="009057FC">
              <w:t>μmol</w:t>
            </w:r>
            <w:proofErr w:type="spellEnd"/>
            <w:r w:rsidRPr="009057FC">
              <w:t>/L</w:t>
            </w:r>
          </w:p>
        </w:tc>
        <w:tc>
          <w:tcPr>
            <w:tcW w:w="3073" w:type="dxa"/>
          </w:tcPr>
          <w:p w14:paraId="750D89F2"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Decreased vasorelaxation response by interference with NO/</w:t>
            </w:r>
            <w:proofErr w:type="spellStart"/>
            <w:r w:rsidRPr="009057FC">
              <w:t>sGC</w:t>
            </w:r>
            <w:proofErr w:type="spellEnd"/>
            <w:r w:rsidRPr="009057FC">
              <w:t>/cGMP/PKG pathway</w:t>
            </w:r>
          </w:p>
          <w:p w14:paraId="2371F50A"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Increased reactivity to the contractile agents – serotonin, histamine and </w:t>
            </w:r>
            <w:proofErr w:type="spellStart"/>
            <w:r w:rsidRPr="009057FC">
              <w:t>KCl</w:t>
            </w:r>
            <w:proofErr w:type="spellEnd"/>
            <w:r w:rsidRPr="009057FC">
              <w:t xml:space="preserve"> </w:t>
            </w:r>
          </w:p>
          <w:p w14:paraId="65D2384D"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In silico analysis suggests that octinoxate might compete with T3 for the binding centre of THRα.</w:t>
            </w:r>
          </w:p>
        </w:tc>
      </w:tr>
      <w:tr w:rsidR="00026EBE" w:rsidRPr="00361DD3" w14:paraId="36C6E7C8" w14:textId="77777777" w:rsidTr="000850F6">
        <w:tc>
          <w:tcPr>
            <w:cnfStyle w:val="001000000000" w:firstRow="0" w:lastRow="0" w:firstColumn="1" w:lastColumn="0" w:oddVBand="0" w:evenVBand="0" w:oddHBand="0" w:evenHBand="0" w:firstRowFirstColumn="0" w:firstRowLastColumn="0" w:lastRowFirstColumn="0" w:lastRowLastColumn="0"/>
            <w:tcW w:w="1999" w:type="dxa"/>
          </w:tcPr>
          <w:p w14:paraId="04A34CBD" w14:textId="77777777" w:rsidR="00026EBE" w:rsidRPr="009057FC" w:rsidRDefault="00026EBE" w:rsidP="000850F6">
            <w:r w:rsidRPr="009057FC">
              <w:t xml:space="preserve">Benzophenone-3 or oxybenzone </w:t>
            </w:r>
          </w:p>
        </w:tc>
        <w:tc>
          <w:tcPr>
            <w:tcW w:w="2023" w:type="dxa"/>
          </w:tcPr>
          <w:p w14:paraId="07C3AB81"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Zebrafish </w:t>
            </w:r>
          </w:p>
        </w:tc>
        <w:tc>
          <w:tcPr>
            <w:tcW w:w="2114" w:type="dxa"/>
          </w:tcPr>
          <w:p w14:paraId="78973A38"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Waterborne; 14 days for adult, 120 h for embryos; 10–600 </w:t>
            </w:r>
            <w:proofErr w:type="spellStart"/>
            <w:r w:rsidRPr="009057FC">
              <w:t>μg</w:t>
            </w:r>
            <w:proofErr w:type="spellEnd"/>
            <w:r w:rsidRPr="009057FC">
              <w:t>/L</w:t>
            </w:r>
          </w:p>
        </w:tc>
        <w:tc>
          <w:tcPr>
            <w:tcW w:w="3073" w:type="dxa"/>
          </w:tcPr>
          <w:p w14:paraId="5CA165B0"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Anti-androgenic activity: decreased expression of </w:t>
            </w:r>
            <w:r w:rsidRPr="009057FC">
              <w:rPr>
                <w:i/>
                <w:iCs/>
              </w:rPr>
              <w:t>esr1</w:t>
            </w:r>
            <w:r w:rsidRPr="009057FC">
              <w:t xml:space="preserve">, </w:t>
            </w:r>
            <w:proofErr w:type="spellStart"/>
            <w:r w:rsidRPr="009057FC">
              <w:rPr>
                <w:i/>
                <w:iCs/>
              </w:rPr>
              <w:t>ar</w:t>
            </w:r>
            <w:proofErr w:type="spellEnd"/>
            <w:r w:rsidRPr="009057FC">
              <w:t xml:space="preserve"> and </w:t>
            </w:r>
            <w:r w:rsidRPr="009057FC">
              <w:rPr>
                <w:i/>
                <w:iCs/>
              </w:rPr>
              <w:t>cyp19b</w:t>
            </w:r>
            <w:r w:rsidRPr="009057FC">
              <w:t xml:space="preserve"> expression in the brain of males.</w:t>
            </w:r>
          </w:p>
        </w:tc>
      </w:tr>
      <w:tr w:rsidR="00026EBE" w:rsidRPr="00361DD3" w14:paraId="42C1D3E2" w14:textId="77777777" w:rsidTr="000850F6">
        <w:tc>
          <w:tcPr>
            <w:cnfStyle w:val="001000000000" w:firstRow="0" w:lastRow="0" w:firstColumn="1" w:lastColumn="0" w:oddVBand="0" w:evenVBand="0" w:oddHBand="0" w:evenHBand="0" w:firstRowFirstColumn="0" w:firstRowLastColumn="0" w:lastRowFirstColumn="0" w:lastRowLastColumn="0"/>
            <w:tcW w:w="1999" w:type="dxa"/>
          </w:tcPr>
          <w:p w14:paraId="07B6AB24" w14:textId="77777777" w:rsidR="00026EBE" w:rsidRPr="009057FC" w:rsidRDefault="00026EBE" w:rsidP="000850F6"/>
        </w:tc>
        <w:tc>
          <w:tcPr>
            <w:tcW w:w="2023" w:type="dxa"/>
          </w:tcPr>
          <w:p w14:paraId="05D0427F"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Zebrafish</w:t>
            </w:r>
          </w:p>
          <w:p w14:paraId="2193C161"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(Babich </w:t>
            </w:r>
            <w:r w:rsidRPr="009057FC">
              <w:rPr>
                <w:i/>
                <w:iCs/>
              </w:rPr>
              <w:t>et al.</w:t>
            </w:r>
            <w:r w:rsidRPr="009057FC">
              <w:t xml:space="preserve"> 2020)</w:t>
            </w:r>
          </w:p>
        </w:tc>
        <w:tc>
          <w:tcPr>
            <w:tcW w:w="2114" w:type="dxa"/>
          </w:tcPr>
          <w:p w14:paraId="3C6E6567"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Embryonic oxygen consumption </w:t>
            </w:r>
            <w:proofErr w:type="gramStart"/>
            <w:r w:rsidRPr="009057FC">
              <w:t>rate;</w:t>
            </w:r>
            <w:proofErr w:type="gramEnd"/>
            <w:r w:rsidRPr="009057FC">
              <w:t xml:space="preserve">  </w:t>
            </w:r>
          </w:p>
          <w:p w14:paraId="7234FEFA"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0.004 – 4 mg/L</w:t>
            </w:r>
          </w:p>
        </w:tc>
        <w:tc>
          <w:tcPr>
            <w:tcW w:w="3073" w:type="dxa"/>
          </w:tcPr>
          <w:p w14:paraId="76269F7F"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Negligible effect on mitochondrial respiration </w:t>
            </w:r>
          </w:p>
        </w:tc>
      </w:tr>
      <w:tr w:rsidR="00026EBE" w:rsidRPr="00361DD3" w14:paraId="4C2A1004" w14:textId="77777777" w:rsidTr="000850F6">
        <w:tc>
          <w:tcPr>
            <w:cnfStyle w:val="001000000000" w:firstRow="0" w:lastRow="0" w:firstColumn="1" w:lastColumn="0" w:oddVBand="0" w:evenVBand="0" w:oddHBand="0" w:evenHBand="0" w:firstRowFirstColumn="0" w:firstRowLastColumn="0" w:lastRowFirstColumn="0" w:lastRowLastColumn="0"/>
            <w:tcW w:w="1999" w:type="dxa"/>
          </w:tcPr>
          <w:p w14:paraId="20EA4B9C" w14:textId="77777777" w:rsidR="00026EBE" w:rsidRPr="009057FC" w:rsidRDefault="00026EBE" w:rsidP="000850F6"/>
        </w:tc>
        <w:tc>
          <w:tcPr>
            <w:tcW w:w="2023" w:type="dxa"/>
          </w:tcPr>
          <w:p w14:paraId="57637696"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Zebrafish</w:t>
            </w:r>
          </w:p>
          <w:p w14:paraId="1DC94D4F"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(Xu </w:t>
            </w:r>
            <w:r w:rsidRPr="009057FC">
              <w:rPr>
                <w:i/>
                <w:iCs/>
              </w:rPr>
              <w:t>et al.</w:t>
            </w:r>
            <w:r w:rsidRPr="009057FC">
              <w:t xml:space="preserve"> 2021)</w:t>
            </w:r>
          </w:p>
        </w:tc>
        <w:tc>
          <w:tcPr>
            <w:tcW w:w="2114" w:type="dxa"/>
          </w:tcPr>
          <w:p w14:paraId="4EA789FE"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Waterborne; 0.056 -38 </w:t>
            </w:r>
            <w:proofErr w:type="spellStart"/>
            <w:r w:rsidRPr="009057FC">
              <w:t>μg</w:t>
            </w:r>
            <w:proofErr w:type="spellEnd"/>
            <w:r w:rsidRPr="009057FC">
              <w:t xml:space="preserve">/L 42 days post fertilization </w:t>
            </w:r>
          </w:p>
          <w:p w14:paraId="0C65BB41"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p>
        </w:tc>
        <w:tc>
          <w:tcPr>
            <w:tcW w:w="3073" w:type="dxa"/>
          </w:tcPr>
          <w:p w14:paraId="35CD6842"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Decreased female to male ratio from 2.3 </w:t>
            </w:r>
            <w:proofErr w:type="spellStart"/>
            <w:r w:rsidRPr="009057FC">
              <w:t>μg</w:t>
            </w:r>
            <w:proofErr w:type="spellEnd"/>
            <w:r w:rsidRPr="009057FC">
              <w:t xml:space="preserve">/L </w:t>
            </w:r>
          </w:p>
          <w:p w14:paraId="242575EF"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Increased expression of estrogen receptors </w:t>
            </w:r>
            <w:r w:rsidRPr="009057FC">
              <w:rPr>
                <w:i/>
                <w:iCs/>
              </w:rPr>
              <w:t>esr2a</w:t>
            </w:r>
            <w:r w:rsidRPr="009057FC">
              <w:t xml:space="preserve"> and </w:t>
            </w:r>
            <w:r w:rsidRPr="009057FC">
              <w:rPr>
                <w:i/>
                <w:iCs/>
              </w:rPr>
              <w:t>vtg2 i</w:t>
            </w:r>
            <w:r w:rsidRPr="009057FC">
              <w:t xml:space="preserve">n the brain and hepatic </w:t>
            </w:r>
            <w:r w:rsidRPr="009057FC">
              <w:rPr>
                <w:i/>
                <w:iCs/>
              </w:rPr>
              <w:t>vtg2</w:t>
            </w:r>
            <w:r w:rsidRPr="009057FC">
              <w:t xml:space="preserve"> at HD</w:t>
            </w:r>
          </w:p>
        </w:tc>
      </w:tr>
      <w:tr w:rsidR="00026EBE" w:rsidRPr="00361DD3" w14:paraId="1DDA32AC" w14:textId="77777777" w:rsidTr="000850F6">
        <w:tc>
          <w:tcPr>
            <w:cnfStyle w:val="001000000000" w:firstRow="0" w:lastRow="0" w:firstColumn="1" w:lastColumn="0" w:oddVBand="0" w:evenVBand="0" w:oddHBand="0" w:evenHBand="0" w:firstRowFirstColumn="0" w:firstRowLastColumn="0" w:lastRowFirstColumn="0" w:lastRowLastColumn="0"/>
            <w:tcW w:w="1999" w:type="dxa"/>
          </w:tcPr>
          <w:p w14:paraId="04B53A28" w14:textId="77777777" w:rsidR="00026EBE" w:rsidRPr="009057FC" w:rsidRDefault="00026EBE" w:rsidP="000850F6"/>
        </w:tc>
        <w:tc>
          <w:tcPr>
            <w:tcW w:w="2023" w:type="dxa"/>
          </w:tcPr>
          <w:p w14:paraId="3784B5B2"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Zebrafish</w:t>
            </w:r>
          </w:p>
          <w:p w14:paraId="793B4B19"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(Bai </w:t>
            </w:r>
            <w:r w:rsidRPr="009057FC">
              <w:rPr>
                <w:i/>
                <w:iCs/>
              </w:rPr>
              <w:t>et al.</w:t>
            </w:r>
            <w:r w:rsidRPr="009057FC">
              <w:t xml:space="preserve"> 2023)</w:t>
            </w:r>
          </w:p>
        </w:tc>
        <w:tc>
          <w:tcPr>
            <w:tcW w:w="2114" w:type="dxa"/>
          </w:tcPr>
          <w:p w14:paraId="72BCEB53"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Waterborne; 6 h post fertilisation to adulthood(~5months); 10 </w:t>
            </w:r>
            <w:proofErr w:type="spellStart"/>
            <w:r w:rsidRPr="009057FC">
              <w:t>μg</w:t>
            </w:r>
            <w:proofErr w:type="spellEnd"/>
            <w:r w:rsidRPr="009057FC">
              <w:t xml:space="preserve">/mL (0.04 </w:t>
            </w:r>
            <w:proofErr w:type="spellStart"/>
            <w:r w:rsidRPr="009057FC">
              <w:t>μM</w:t>
            </w:r>
            <w:proofErr w:type="spellEnd"/>
            <w:r w:rsidRPr="009057FC">
              <w:t xml:space="preserve">) </w:t>
            </w:r>
          </w:p>
        </w:tc>
        <w:tc>
          <w:tcPr>
            <w:tcW w:w="3073" w:type="dxa"/>
          </w:tcPr>
          <w:p w14:paraId="549CC90F"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Reduced social aggression, learning and memory in </w:t>
            </w:r>
            <w:r w:rsidRPr="009057FC">
              <w:rPr>
                <w:rFonts w:ascii="Segoe UI Symbol" w:hAnsi="Segoe UI Symbol" w:cs="Segoe UI Symbol"/>
              </w:rPr>
              <w:t>♀</w:t>
            </w:r>
            <w:r w:rsidRPr="009057FC">
              <w:t xml:space="preserve">; cognition deficits in </w:t>
            </w:r>
            <w:r w:rsidRPr="009057FC">
              <w:rPr>
                <w:rFonts w:ascii="Segoe UI Symbol" w:hAnsi="Segoe UI Symbol" w:cs="Segoe UI Symbol"/>
              </w:rPr>
              <w:t>♀</w:t>
            </w:r>
            <w:r w:rsidRPr="009057FC">
              <w:t xml:space="preserve"> correlated with neurotoxicity and increased brain cell apoptosis. Reduced social preference in </w:t>
            </w:r>
            <w:r w:rsidRPr="009057FC">
              <w:rPr>
                <w:rFonts w:ascii="Segoe UI Symbol" w:hAnsi="Segoe UI Symbol" w:cs="Segoe UI Symbol"/>
              </w:rPr>
              <w:t>♂</w:t>
            </w:r>
            <w:r w:rsidRPr="009057FC">
              <w:t xml:space="preserve"> and </w:t>
            </w:r>
            <w:r w:rsidRPr="009057FC">
              <w:rPr>
                <w:rFonts w:ascii="Segoe UI Symbol" w:hAnsi="Segoe UI Symbol" w:cs="Segoe UI Symbol"/>
              </w:rPr>
              <w:t>♀</w:t>
            </w:r>
            <w:r w:rsidRPr="009057FC">
              <w:t>.</w:t>
            </w:r>
          </w:p>
        </w:tc>
      </w:tr>
      <w:tr w:rsidR="00026EBE" w:rsidRPr="00361DD3" w14:paraId="7B7B6E10" w14:textId="77777777" w:rsidTr="000850F6">
        <w:tc>
          <w:tcPr>
            <w:cnfStyle w:val="001000000000" w:firstRow="0" w:lastRow="0" w:firstColumn="1" w:lastColumn="0" w:oddVBand="0" w:evenVBand="0" w:oddHBand="0" w:evenHBand="0" w:firstRowFirstColumn="0" w:firstRowLastColumn="0" w:lastRowFirstColumn="0" w:lastRowLastColumn="0"/>
            <w:tcW w:w="1999" w:type="dxa"/>
          </w:tcPr>
          <w:p w14:paraId="56D6AB60" w14:textId="77777777" w:rsidR="00026EBE" w:rsidRPr="009057FC" w:rsidRDefault="00026EBE" w:rsidP="000850F6"/>
        </w:tc>
        <w:tc>
          <w:tcPr>
            <w:tcW w:w="2023" w:type="dxa"/>
          </w:tcPr>
          <w:p w14:paraId="0479793D"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Sprague-Dawley rats</w:t>
            </w:r>
          </w:p>
        </w:tc>
        <w:tc>
          <w:tcPr>
            <w:tcW w:w="2114" w:type="dxa"/>
          </w:tcPr>
          <w:p w14:paraId="432CDA33"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Dermal application; 30 days; 5 mg/kg/day</w:t>
            </w:r>
          </w:p>
        </w:tc>
        <w:tc>
          <w:tcPr>
            <w:tcW w:w="3073" w:type="dxa"/>
          </w:tcPr>
          <w:p w14:paraId="2ABBA37B"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No changes in behavioural tests (locomotor and motor co-ordination).</w:t>
            </w:r>
          </w:p>
        </w:tc>
      </w:tr>
      <w:tr w:rsidR="00026EBE" w:rsidRPr="00361DD3" w14:paraId="1BDB4FB7" w14:textId="77777777" w:rsidTr="000850F6">
        <w:tc>
          <w:tcPr>
            <w:cnfStyle w:val="001000000000" w:firstRow="0" w:lastRow="0" w:firstColumn="1" w:lastColumn="0" w:oddVBand="0" w:evenVBand="0" w:oddHBand="0" w:evenHBand="0" w:firstRowFirstColumn="0" w:firstRowLastColumn="0" w:lastRowFirstColumn="0" w:lastRowLastColumn="0"/>
            <w:tcW w:w="1999" w:type="dxa"/>
          </w:tcPr>
          <w:p w14:paraId="493A477C" w14:textId="77777777" w:rsidR="00026EBE" w:rsidRPr="009057FC" w:rsidRDefault="00026EBE" w:rsidP="000850F6"/>
        </w:tc>
        <w:tc>
          <w:tcPr>
            <w:tcW w:w="2023" w:type="dxa"/>
          </w:tcPr>
          <w:p w14:paraId="5BD53AA2"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Rat primary cortical astrocytes and neurones</w:t>
            </w:r>
          </w:p>
          <w:p w14:paraId="1E3749D9"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p>
        </w:tc>
        <w:tc>
          <w:tcPr>
            <w:tcW w:w="2114" w:type="dxa"/>
          </w:tcPr>
          <w:p w14:paraId="4A18BA03"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1–7 days; 1–10 </w:t>
            </w:r>
            <w:proofErr w:type="spellStart"/>
            <w:r w:rsidRPr="009057FC">
              <w:t>μg</w:t>
            </w:r>
            <w:proofErr w:type="spellEnd"/>
            <w:r w:rsidRPr="009057FC">
              <w:t>/mL</w:t>
            </w:r>
          </w:p>
        </w:tc>
        <w:tc>
          <w:tcPr>
            <w:tcW w:w="3073" w:type="dxa"/>
          </w:tcPr>
          <w:p w14:paraId="31A4D710"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Decreased cell viability of neurons but not of astrocytes.</w:t>
            </w:r>
          </w:p>
        </w:tc>
      </w:tr>
      <w:tr w:rsidR="00026EBE" w:rsidRPr="00361DD3" w14:paraId="18D3FC02" w14:textId="77777777" w:rsidTr="000850F6">
        <w:tc>
          <w:tcPr>
            <w:cnfStyle w:val="001000000000" w:firstRow="0" w:lastRow="0" w:firstColumn="1" w:lastColumn="0" w:oddVBand="0" w:evenVBand="0" w:oddHBand="0" w:evenHBand="0" w:firstRowFirstColumn="0" w:firstRowLastColumn="0" w:lastRowFirstColumn="0" w:lastRowLastColumn="0"/>
            <w:tcW w:w="1999" w:type="dxa"/>
          </w:tcPr>
          <w:p w14:paraId="478DDD39" w14:textId="77777777" w:rsidR="00026EBE" w:rsidRPr="009057FC" w:rsidRDefault="00026EBE" w:rsidP="000850F6"/>
        </w:tc>
        <w:tc>
          <w:tcPr>
            <w:tcW w:w="2023" w:type="dxa"/>
          </w:tcPr>
          <w:p w14:paraId="286CA0F6"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proofErr w:type="spellStart"/>
            <w:r w:rsidRPr="009057FC">
              <w:t>Kumming</w:t>
            </w:r>
            <w:proofErr w:type="spellEnd"/>
            <w:r w:rsidRPr="009057FC">
              <w:t xml:space="preserve"> (KM) mice </w:t>
            </w:r>
          </w:p>
          <w:p w14:paraId="6A67BB41"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(Zhang </w:t>
            </w:r>
            <w:r w:rsidRPr="009057FC">
              <w:rPr>
                <w:i/>
                <w:iCs/>
              </w:rPr>
              <w:t>et al.</w:t>
            </w:r>
            <w:r w:rsidRPr="009057FC">
              <w:t xml:space="preserve"> 2021)</w:t>
            </w:r>
          </w:p>
        </w:tc>
        <w:tc>
          <w:tcPr>
            <w:tcW w:w="2114" w:type="dxa"/>
          </w:tcPr>
          <w:p w14:paraId="2887AE2B"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proofErr w:type="gramStart"/>
            <w:r w:rsidRPr="009057FC">
              <w:rPr>
                <w:i/>
                <w:iCs/>
              </w:rPr>
              <w:t>In vitro</w:t>
            </w:r>
            <w:r w:rsidRPr="009057FC">
              <w:t>;</w:t>
            </w:r>
            <w:proofErr w:type="gramEnd"/>
            <w:r w:rsidRPr="009057FC">
              <w:t xml:space="preserve"> Sertoli cells; 24 h; 5-150 </w:t>
            </w:r>
            <w:proofErr w:type="spellStart"/>
            <w:r w:rsidRPr="009057FC">
              <w:t>μM</w:t>
            </w:r>
            <w:proofErr w:type="spellEnd"/>
            <w:r w:rsidRPr="009057FC">
              <w:t xml:space="preserve"> </w:t>
            </w:r>
          </w:p>
        </w:tc>
        <w:tc>
          <w:tcPr>
            <w:tcW w:w="3073" w:type="dxa"/>
          </w:tcPr>
          <w:p w14:paraId="78315D44"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Impaired cell viability and disturbed cell morphology from 100 </w:t>
            </w:r>
            <w:proofErr w:type="spellStart"/>
            <w:r w:rsidRPr="009057FC">
              <w:t>μM</w:t>
            </w:r>
            <w:proofErr w:type="spellEnd"/>
            <w:r w:rsidRPr="009057FC">
              <w:t xml:space="preserve"> and increased Bcl-2 levels.  Reduced expression of Rictor (component of mTORC2 complex) from 50 </w:t>
            </w:r>
            <w:proofErr w:type="spellStart"/>
            <w:r w:rsidRPr="009057FC">
              <w:t>μM</w:t>
            </w:r>
            <w:proofErr w:type="spellEnd"/>
            <w:r w:rsidRPr="009057FC">
              <w:t xml:space="preserve"> </w:t>
            </w:r>
          </w:p>
        </w:tc>
      </w:tr>
      <w:tr w:rsidR="00026EBE" w:rsidRPr="00361DD3" w14:paraId="3AA0D989" w14:textId="77777777" w:rsidTr="000850F6">
        <w:tc>
          <w:tcPr>
            <w:cnfStyle w:val="001000000000" w:firstRow="0" w:lastRow="0" w:firstColumn="1" w:lastColumn="0" w:oddVBand="0" w:evenVBand="0" w:oddHBand="0" w:evenHBand="0" w:firstRowFirstColumn="0" w:firstRowLastColumn="0" w:lastRowFirstColumn="0" w:lastRowLastColumn="0"/>
            <w:tcW w:w="1999" w:type="dxa"/>
          </w:tcPr>
          <w:p w14:paraId="17778769" w14:textId="77777777" w:rsidR="00026EBE" w:rsidRPr="009057FC" w:rsidRDefault="00026EBE" w:rsidP="000850F6"/>
        </w:tc>
        <w:tc>
          <w:tcPr>
            <w:tcW w:w="2023" w:type="dxa"/>
          </w:tcPr>
          <w:p w14:paraId="5F9280D6"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SH-SY5Y neuroblastoma cell line</w:t>
            </w:r>
          </w:p>
        </w:tc>
        <w:tc>
          <w:tcPr>
            <w:tcW w:w="2114" w:type="dxa"/>
          </w:tcPr>
          <w:p w14:paraId="12658CB4"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72 h; 10</w:t>
            </w:r>
            <w:r w:rsidRPr="009057FC">
              <w:rPr>
                <w:vertAlign w:val="superscript"/>
              </w:rPr>
              <w:t>−8</w:t>
            </w:r>
            <w:r w:rsidRPr="009057FC">
              <w:t>–10</w:t>
            </w:r>
            <w:r w:rsidRPr="009057FC">
              <w:rPr>
                <w:vertAlign w:val="superscript"/>
              </w:rPr>
              <w:t>−4</w:t>
            </w:r>
            <w:r w:rsidRPr="009057FC">
              <w:t>M</w:t>
            </w:r>
          </w:p>
        </w:tc>
        <w:tc>
          <w:tcPr>
            <w:tcW w:w="3073" w:type="dxa"/>
          </w:tcPr>
          <w:p w14:paraId="5CD38BA3"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Decreased cell viability and increased caspase-3 activity.</w:t>
            </w:r>
          </w:p>
        </w:tc>
      </w:tr>
      <w:tr w:rsidR="00026EBE" w:rsidRPr="00361DD3" w14:paraId="69058BA3" w14:textId="77777777" w:rsidTr="000850F6">
        <w:trPr>
          <w:trHeight w:val="714"/>
        </w:trPr>
        <w:tc>
          <w:tcPr>
            <w:cnfStyle w:val="001000000000" w:firstRow="0" w:lastRow="0" w:firstColumn="1" w:lastColumn="0" w:oddVBand="0" w:evenVBand="0" w:oddHBand="0" w:evenHBand="0" w:firstRowFirstColumn="0" w:firstRowLastColumn="0" w:lastRowFirstColumn="0" w:lastRowLastColumn="0"/>
            <w:tcW w:w="1999" w:type="dxa"/>
            <w:vMerge w:val="restart"/>
          </w:tcPr>
          <w:p w14:paraId="47C63722" w14:textId="77777777" w:rsidR="00026EBE" w:rsidRPr="009057FC" w:rsidRDefault="00026EBE" w:rsidP="000850F6">
            <w:r w:rsidRPr="009057FC">
              <w:t>Octocrylene</w:t>
            </w:r>
          </w:p>
        </w:tc>
        <w:tc>
          <w:tcPr>
            <w:tcW w:w="2023" w:type="dxa"/>
          </w:tcPr>
          <w:p w14:paraId="1A3DEF71"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Zebrafish</w:t>
            </w:r>
          </w:p>
        </w:tc>
        <w:tc>
          <w:tcPr>
            <w:tcW w:w="2114" w:type="dxa"/>
          </w:tcPr>
          <w:p w14:paraId="55177E98"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Waterborne; 14 days; 22–383 </w:t>
            </w:r>
            <w:proofErr w:type="spellStart"/>
            <w:r w:rsidRPr="009057FC">
              <w:t>μg</w:t>
            </w:r>
            <w:proofErr w:type="spellEnd"/>
            <w:r w:rsidRPr="009057FC">
              <w:t>/L</w:t>
            </w:r>
          </w:p>
        </w:tc>
        <w:tc>
          <w:tcPr>
            <w:tcW w:w="3073" w:type="dxa"/>
          </w:tcPr>
          <w:p w14:paraId="01605E12"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Impaired expression of genes related with development and metabolism in the brain.</w:t>
            </w:r>
          </w:p>
        </w:tc>
      </w:tr>
      <w:tr w:rsidR="00026EBE" w:rsidRPr="00361DD3" w14:paraId="67A58D95" w14:textId="77777777" w:rsidTr="000850F6">
        <w:tc>
          <w:tcPr>
            <w:cnfStyle w:val="001000000000" w:firstRow="0" w:lastRow="0" w:firstColumn="1" w:lastColumn="0" w:oddVBand="0" w:evenVBand="0" w:oddHBand="0" w:evenHBand="0" w:firstRowFirstColumn="0" w:firstRowLastColumn="0" w:lastRowFirstColumn="0" w:lastRowLastColumn="0"/>
            <w:tcW w:w="1999" w:type="dxa"/>
            <w:vMerge/>
          </w:tcPr>
          <w:p w14:paraId="14CAE7C7" w14:textId="77777777" w:rsidR="00026EBE" w:rsidRPr="009057FC" w:rsidRDefault="00026EBE" w:rsidP="000850F6"/>
        </w:tc>
        <w:tc>
          <w:tcPr>
            <w:tcW w:w="2023" w:type="dxa"/>
          </w:tcPr>
          <w:p w14:paraId="472A6A06"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Zebrafish</w:t>
            </w:r>
          </w:p>
          <w:p w14:paraId="413252E1"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(Meng </w:t>
            </w:r>
            <w:r w:rsidRPr="009057FC">
              <w:rPr>
                <w:i/>
                <w:iCs/>
              </w:rPr>
              <w:t>et al.</w:t>
            </w:r>
            <w:r w:rsidRPr="009057FC">
              <w:t xml:space="preserve"> 2021)</w:t>
            </w:r>
          </w:p>
        </w:tc>
        <w:tc>
          <w:tcPr>
            <w:tcW w:w="2114" w:type="dxa"/>
          </w:tcPr>
          <w:p w14:paraId="42A24E64"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96 h incubation; hatching rates of zebrafish (50-250uM) </w:t>
            </w:r>
          </w:p>
          <w:p w14:paraId="67A62532"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rPr>
                <w:i/>
                <w:iCs/>
              </w:rPr>
            </w:pPr>
            <w:r w:rsidRPr="009057FC">
              <w:t>96 h incubation; larvae death and zebra fish liver cell line (ZFL) – concentration range not reported.</w:t>
            </w:r>
          </w:p>
        </w:tc>
        <w:tc>
          <w:tcPr>
            <w:tcW w:w="3073" w:type="dxa"/>
          </w:tcPr>
          <w:p w14:paraId="6BEDEB51"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Impaired hatching from 200 </w:t>
            </w:r>
            <w:proofErr w:type="spellStart"/>
            <w:r w:rsidRPr="009057FC">
              <w:t>μM</w:t>
            </w:r>
            <w:proofErr w:type="spellEnd"/>
            <w:r w:rsidRPr="009057FC">
              <w:t xml:space="preserve"> and increased larvae death (LC</w:t>
            </w:r>
            <w:r w:rsidRPr="009057FC">
              <w:rPr>
                <w:vertAlign w:val="subscript"/>
              </w:rPr>
              <w:t xml:space="preserve">50 </w:t>
            </w:r>
            <w:r w:rsidRPr="009057FC">
              <w:t xml:space="preserve">= 251.8 </w:t>
            </w:r>
            <w:proofErr w:type="spellStart"/>
            <w:r w:rsidRPr="009057FC">
              <w:t>μ</w:t>
            </w:r>
            <w:proofErr w:type="gramStart"/>
            <w:r w:rsidRPr="009057FC">
              <w:t>M</w:t>
            </w:r>
            <w:proofErr w:type="spellEnd"/>
            <w:r w:rsidRPr="009057FC">
              <w:t xml:space="preserve"> )</w:t>
            </w:r>
            <w:proofErr w:type="gramEnd"/>
          </w:p>
          <w:p w14:paraId="216981CE"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Increased cytotoxicity (96 h LC</w:t>
            </w:r>
            <w:r w:rsidRPr="009057FC">
              <w:rPr>
                <w:vertAlign w:val="subscript"/>
              </w:rPr>
              <w:t>50</w:t>
            </w:r>
            <w:r w:rsidRPr="009057FC">
              <w:t xml:space="preserve"> = 5.5 </w:t>
            </w:r>
            <w:proofErr w:type="spellStart"/>
            <w:r w:rsidRPr="009057FC">
              <w:t>μM</w:t>
            </w:r>
            <w:proofErr w:type="spellEnd"/>
            <w:r w:rsidRPr="009057FC">
              <w:t xml:space="preserve">) and expression of </w:t>
            </w:r>
            <w:r w:rsidRPr="009057FC">
              <w:rPr>
                <w:i/>
                <w:iCs/>
              </w:rPr>
              <w:t xml:space="preserve">cyp1a, cyp3a65, </w:t>
            </w:r>
            <w:r w:rsidRPr="009057FC">
              <w:t>estrogen receptors (</w:t>
            </w:r>
            <w:r w:rsidRPr="009057FC">
              <w:rPr>
                <w:i/>
                <w:iCs/>
              </w:rPr>
              <w:t xml:space="preserve">erα, erβ1, </w:t>
            </w:r>
            <w:proofErr w:type="spellStart"/>
            <w:r w:rsidRPr="009057FC">
              <w:rPr>
                <w:i/>
                <w:iCs/>
              </w:rPr>
              <w:t>gper</w:t>
            </w:r>
            <w:proofErr w:type="spellEnd"/>
            <w:r w:rsidRPr="009057FC">
              <w:rPr>
                <w:i/>
                <w:iCs/>
              </w:rPr>
              <w:t>, vtg1</w:t>
            </w:r>
            <w:r w:rsidRPr="009057FC">
              <w:t>) and sex determination genes (</w:t>
            </w:r>
            <w:r w:rsidRPr="009057FC">
              <w:rPr>
                <w:i/>
                <w:iCs/>
              </w:rPr>
              <w:t>brca2, drtm1, cyp19a sox9a)</w:t>
            </w:r>
            <w:r w:rsidRPr="009057FC">
              <w:t xml:space="preserve"> in ZFL at 10% LC</w:t>
            </w:r>
            <w:r w:rsidRPr="009057FC">
              <w:rPr>
                <w:vertAlign w:val="subscript"/>
              </w:rPr>
              <w:t xml:space="preserve">50 </w:t>
            </w:r>
          </w:p>
        </w:tc>
      </w:tr>
      <w:tr w:rsidR="00026EBE" w:rsidRPr="00361DD3" w14:paraId="06BB2576" w14:textId="77777777" w:rsidTr="000850F6">
        <w:tc>
          <w:tcPr>
            <w:cnfStyle w:val="001000000000" w:firstRow="0" w:lastRow="0" w:firstColumn="1" w:lastColumn="0" w:oddVBand="0" w:evenVBand="0" w:oddHBand="0" w:evenHBand="0" w:firstRowFirstColumn="0" w:firstRowLastColumn="0" w:lastRowFirstColumn="0" w:lastRowLastColumn="0"/>
            <w:tcW w:w="1999" w:type="dxa"/>
            <w:vMerge/>
          </w:tcPr>
          <w:p w14:paraId="55356D7C" w14:textId="77777777" w:rsidR="00026EBE" w:rsidRPr="009057FC" w:rsidRDefault="00026EBE" w:rsidP="000850F6"/>
        </w:tc>
        <w:tc>
          <w:tcPr>
            <w:tcW w:w="2023" w:type="dxa"/>
          </w:tcPr>
          <w:p w14:paraId="7DB61E83"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ICR mice</w:t>
            </w:r>
          </w:p>
          <w:p w14:paraId="4EBD7A14"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(Chang </w:t>
            </w:r>
            <w:r w:rsidRPr="009057FC">
              <w:rPr>
                <w:i/>
                <w:iCs/>
              </w:rPr>
              <w:t>et al.</w:t>
            </w:r>
            <w:r w:rsidRPr="009057FC">
              <w:t xml:space="preserve"> 2022)</w:t>
            </w:r>
          </w:p>
        </w:tc>
        <w:tc>
          <w:tcPr>
            <w:tcW w:w="2114" w:type="dxa"/>
          </w:tcPr>
          <w:p w14:paraId="56014015"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rPr>
                <w:i/>
                <w:iCs/>
              </w:rPr>
            </w:pPr>
            <w:proofErr w:type="gramStart"/>
            <w:r w:rsidRPr="009057FC">
              <w:rPr>
                <w:i/>
                <w:iCs/>
              </w:rPr>
              <w:t>In vitro;</w:t>
            </w:r>
            <w:proofErr w:type="gramEnd"/>
            <w:r w:rsidRPr="009057FC">
              <w:rPr>
                <w:i/>
                <w:iCs/>
              </w:rPr>
              <w:t xml:space="preserve"> </w:t>
            </w:r>
            <w:r w:rsidRPr="009057FC">
              <w:t>oocytes incubated until maturation; 8-50</w:t>
            </w:r>
            <w:r w:rsidRPr="009057FC">
              <w:rPr>
                <w:i/>
                <w:iCs/>
              </w:rPr>
              <w:t xml:space="preserve"> </w:t>
            </w:r>
            <w:proofErr w:type="spellStart"/>
            <w:r w:rsidRPr="009057FC">
              <w:t>nM</w:t>
            </w:r>
            <w:proofErr w:type="spellEnd"/>
          </w:p>
        </w:tc>
        <w:tc>
          <w:tcPr>
            <w:tcW w:w="3073" w:type="dxa"/>
          </w:tcPr>
          <w:p w14:paraId="09045846"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Disturbed meiotic maturation and reduced oocyte quality from 40 </w:t>
            </w:r>
            <w:proofErr w:type="spellStart"/>
            <w:r w:rsidRPr="009057FC">
              <w:t>nM</w:t>
            </w:r>
            <w:proofErr w:type="spellEnd"/>
            <w:r w:rsidRPr="009057FC">
              <w:t>, likely due to impaired mitochondrial function.</w:t>
            </w:r>
          </w:p>
        </w:tc>
      </w:tr>
      <w:tr w:rsidR="00026EBE" w:rsidRPr="00361DD3" w14:paraId="48190DF9" w14:textId="77777777" w:rsidTr="000850F6">
        <w:tc>
          <w:tcPr>
            <w:cnfStyle w:val="001000000000" w:firstRow="0" w:lastRow="0" w:firstColumn="1" w:lastColumn="0" w:oddVBand="0" w:evenVBand="0" w:oddHBand="0" w:evenHBand="0" w:firstRowFirstColumn="0" w:firstRowLastColumn="0" w:lastRowFirstColumn="0" w:lastRowLastColumn="0"/>
            <w:tcW w:w="1999" w:type="dxa"/>
            <w:vMerge/>
          </w:tcPr>
          <w:p w14:paraId="5498E3E7" w14:textId="77777777" w:rsidR="00026EBE" w:rsidRPr="009057FC" w:rsidRDefault="00026EBE" w:rsidP="000850F6"/>
        </w:tc>
        <w:tc>
          <w:tcPr>
            <w:tcW w:w="2023" w:type="dxa"/>
          </w:tcPr>
          <w:p w14:paraId="086BEC10"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Human bone marrow mesenchymal stem cells</w:t>
            </w:r>
          </w:p>
          <w:p w14:paraId="2F4BDECE"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(Ko </w:t>
            </w:r>
            <w:r w:rsidRPr="009057FC">
              <w:rPr>
                <w:i/>
                <w:iCs/>
              </w:rPr>
              <w:t>et al.</w:t>
            </w:r>
            <w:r w:rsidRPr="009057FC">
              <w:t xml:space="preserve"> 2022)</w:t>
            </w:r>
          </w:p>
        </w:tc>
        <w:tc>
          <w:tcPr>
            <w:tcW w:w="2114" w:type="dxa"/>
          </w:tcPr>
          <w:p w14:paraId="0CAF5922"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proofErr w:type="gramStart"/>
            <w:r w:rsidRPr="009057FC">
              <w:rPr>
                <w:i/>
                <w:iCs/>
              </w:rPr>
              <w:t>In vitro</w:t>
            </w:r>
            <w:r w:rsidRPr="009057FC">
              <w:t>;</w:t>
            </w:r>
            <w:proofErr w:type="gramEnd"/>
            <w:r w:rsidRPr="009057FC">
              <w:t xml:space="preserve"> 72h; concentration range was not reported</w:t>
            </w:r>
          </w:p>
        </w:tc>
        <w:tc>
          <w:tcPr>
            <w:tcW w:w="3073" w:type="dxa"/>
          </w:tcPr>
          <w:p w14:paraId="3DFB2E17"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 xml:space="preserve">Octocrylene directly binds to </w:t>
            </w:r>
            <w:proofErr w:type="spellStart"/>
            <w:r w:rsidRPr="009057FC">
              <w:t>PPARγ</w:t>
            </w:r>
            <w:proofErr w:type="spellEnd"/>
            <w:r w:rsidRPr="009057FC">
              <w:t xml:space="preserve"> with K</w:t>
            </w:r>
            <w:r w:rsidRPr="009057FC">
              <w:rPr>
                <w:vertAlign w:val="subscript"/>
              </w:rPr>
              <w:t>i</w:t>
            </w:r>
            <w:r w:rsidRPr="009057FC">
              <w:t xml:space="preserve"> = 37.8 </w:t>
            </w:r>
            <w:proofErr w:type="spellStart"/>
            <w:r w:rsidRPr="009057FC">
              <w:t>μM</w:t>
            </w:r>
            <w:proofErr w:type="spellEnd"/>
            <w:r w:rsidRPr="009057FC">
              <w:t xml:space="preserve"> and acts as a partial agonist </w:t>
            </w:r>
          </w:p>
          <w:p w14:paraId="6823FFCB" w14:textId="77777777" w:rsidR="00026EBE" w:rsidRPr="009057FC" w:rsidRDefault="00026EBE" w:rsidP="000850F6">
            <w:pPr>
              <w:cnfStyle w:val="000000000000" w:firstRow="0" w:lastRow="0" w:firstColumn="0" w:lastColumn="0" w:oddVBand="0" w:evenVBand="0" w:oddHBand="0" w:evenHBand="0" w:firstRowFirstColumn="0" w:firstRowLastColumn="0" w:lastRowFirstColumn="0" w:lastRowLastColumn="0"/>
            </w:pPr>
            <w:r w:rsidRPr="009057FC">
              <w:t>Increased adipogenesis and secretion of adiponectin (EC</w:t>
            </w:r>
            <w:r w:rsidRPr="009057FC">
              <w:rPr>
                <w:vertAlign w:val="subscript"/>
              </w:rPr>
              <w:t>50</w:t>
            </w:r>
            <w:r w:rsidRPr="009057FC">
              <w:t xml:space="preserve"> = 29.6 </w:t>
            </w:r>
            <w:proofErr w:type="spellStart"/>
            <w:r w:rsidRPr="009057FC">
              <w:t>μM</w:t>
            </w:r>
            <w:proofErr w:type="spellEnd"/>
            <w:r w:rsidRPr="009057FC">
              <w:t xml:space="preserve">).   </w:t>
            </w:r>
          </w:p>
        </w:tc>
      </w:tr>
    </w:tbl>
    <w:p w14:paraId="0439F3A2" w14:textId="77777777" w:rsidR="00026EBE" w:rsidRPr="00D27219" w:rsidRDefault="00026EBE" w:rsidP="00026EBE">
      <w:pPr>
        <w:pStyle w:val="Tabledescription"/>
      </w:pPr>
      <w:r w:rsidRPr="00D27219">
        <w:t xml:space="preserve">Abbreviations: </w:t>
      </w:r>
      <w:proofErr w:type="spellStart"/>
      <w:r w:rsidRPr="00D27219">
        <w:t>ar</w:t>
      </w:r>
      <w:proofErr w:type="spellEnd"/>
      <w:r w:rsidRPr="00D27219">
        <w:t xml:space="preserve">: androgen receptor; Asp: aspartate; cyp19b: cytochrome P450 aromatase b; esr1: estrogen receptor; GABA: gamma amino butyric acid; Glu: glutamate; GnRH: gonadotrophin-releasing hormone; HPT: </w:t>
      </w:r>
      <w:proofErr w:type="spellStart"/>
      <w:r w:rsidRPr="00D27219">
        <w:t>hypothalamo</w:t>
      </w:r>
      <w:proofErr w:type="spellEnd"/>
      <w:r w:rsidRPr="00D27219">
        <w:t>-pituitary-thyroid; pre-</w:t>
      </w:r>
      <w:proofErr w:type="spellStart"/>
      <w:r w:rsidRPr="00D27219">
        <w:t>proTRH</w:t>
      </w:r>
      <w:proofErr w:type="spellEnd"/>
      <w:r w:rsidRPr="00D27219">
        <w:t>: pre-pro-thyrotrophin-releasing hormone.</w:t>
      </w:r>
    </w:p>
    <w:p w14:paraId="3E445017" w14:textId="77777777" w:rsidR="00026EBE" w:rsidRPr="0075443C" w:rsidRDefault="00026EBE" w:rsidP="00026EBE">
      <w:pPr>
        <w:pStyle w:val="Heading3"/>
      </w:pPr>
      <w:bookmarkStart w:id="143" w:name="_Toc173830133"/>
      <w:bookmarkStart w:id="144" w:name="_Toc189819968"/>
      <w:bookmarkStart w:id="145" w:name="_Toc190081238"/>
      <w:r w:rsidRPr="0075443C">
        <w:t>NOAEL and DA values for risk assessment</w:t>
      </w:r>
      <w:bookmarkEnd w:id="143"/>
      <w:bookmarkEnd w:id="144"/>
      <w:bookmarkEnd w:id="145"/>
    </w:p>
    <w:p w14:paraId="5DC14BB5" w14:textId="77777777" w:rsidR="00026EBE" w:rsidRPr="00D27219" w:rsidRDefault="00026EBE" w:rsidP="00026EBE">
      <w:pPr>
        <w:rPr>
          <w:lang w:val="pl-PL"/>
        </w:rPr>
      </w:pPr>
      <w:r w:rsidRPr="00D27219">
        <w:rPr>
          <w:lang w:val="pl-PL"/>
        </w:rPr>
        <w:t xml:space="preserve">Based on the information/data reviewed above, the TGA has concluded on the following NOAEL and dermal absoprtion values for risk assessment of the respective suncreen active ingredients. </w:t>
      </w:r>
    </w:p>
    <w:p w14:paraId="5B825849" w14:textId="77777777" w:rsidR="00026EBE" w:rsidRDefault="00026EBE" w:rsidP="00026EBE">
      <w:pPr>
        <w:pStyle w:val="Tabletitle"/>
      </w:pPr>
      <w:r>
        <w:t>Table 3-11. NOAEL selected from available information.</w:t>
      </w:r>
    </w:p>
    <w:tbl>
      <w:tblPr>
        <w:tblStyle w:val="TableTGAblue2023"/>
        <w:tblW w:w="0" w:type="auto"/>
        <w:tblLook w:val="04A0" w:firstRow="1" w:lastRow="0" w:firstColumn="1" w:lastColumn="0" w:noHBand="0" w:noVBand="1"/>
      </w:tblPr>
      <w:tblGrid>
        <w:gridCol w:w="2263"/>
        <w:gridCol w:w="2552"/>
        <w:gridCol w:w="4201"/>
      </w:tblGrid>
      <w:tr w:rsidR="00026EBE" w14:paraId="4D2D87E0" w14:textId="77777777" w:rsidTr="0008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281DA30" w14:textId="77777777" w:rsidR="00026EBE" w:rsidRDefault="00026EBE" w:rsidP="000850F6">
            <w:r w:rsidRPr="005E5795">
              <w:t xml:space="preserve">Active ingredient </w:t>
            </w:r>
          </w:p>
        </w:tc>
        <w:tc>
          <w:tcPr>
            <w:tcW w:w="2552" w:type="dxa"/>
            <w:vAlign w:val="center"/>
          </w:tcPr>
          <w:p w14:paraId="3A9C2BF8"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rsidRPr="005E5795">
              <w:t xml:space="preserve">Study </w:t>
            </w:r>
            <w:proofErr w:type="spellStart"/>
            <w:r w:rsidRPr="005E5795">
              <w:t>details</w:t>
            </w:r>
            <w:r w:rsidRPr="005E5795">
              <w:rPr>
                <w:vertAlign w:val="superscript"/>
              </w:rPr>
              <w:t>Δ</w:t>
            </w:r>
            <w:proofErr w:type="spellEnd"/>
          </w:p>
        </w:tc>
        <w:tc>
          <w:tcPr>
            <w:tcW w:w="4201" w:type="dxa"/>
            <w:vAlign w:val="center"/>
          </w:tcPr>
          <w:p w14:paraId="144F9C58"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rsidRPr="005E5795">
              <w:t>Major findings</w:t>
            </w:r>
          </w:p>
        </w:tc>
      </w:tr>
      <w:tr w:rsidR="00026EBE" w14:paraId="31085080"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66C28725" w14:textId="77777777" w:rsidR="00026EBE" w:rsidRDefault="00026EBE" w:rsidP="000850F6">
            <w:r w:rsidRPr="00AA6733">
              <w:t xml:space="preserve">Avobenzone </w:t>
            </w:r>
          </w:p>
        </w:tc>
        <w:tc>
          <w:tcPr>
            <w:tcW w:w="2552" w:type="dxa"/>
            <w:vAlign w:val="center"/>
          </w:tcPr>
          <w:p w14:paraId="4FC7906D"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450 mg/kg </w:t>
            </w:r>
            <w:proofErr w:type="spellStart"/>
            <w:r w:rsidRPr="00AA6733">
              <w:t>bw</w:t>
            </w:r>
            <w:proofErr w:type="spellEnd"/>
            <w:r w:rsidRPr="00AA6733">
              <w:t>/day</w:t>
            </w:r>
          </w:p>
        </w:tc>
        <w:tc>
          <w:tcPr>
            <w:tcW w:w="4201" w:type="dxa"/>
            <w:vAlign w:val="center"/>
          </w:tcPr>
          <w:p w14:paraId="35FC745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Oral 13-week repeat dose toxicity study in rats. (ECHA 2021)</w:t>
            </w:r>
          </w:p>
        </w:tc>
      </w:tr>
      <w:tr w:rsidR="00026EBE" w14:paraId="78B58189"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270513FF" w14:textId="77777777" w:rsidR="00026EBE" w:rsidRDefault="00026EBE" w:rsidP="000850F6">
            <w:r w:rsidRPr="00AA6733">
              <w:t>Ethylhexyl triazone</w:t>
            </w:r>
          </w:p>
        </w:tc>
        <w:tc>
          <w:tcPr>
            <w:tcW w:w="2552" w:type="dxa"/>
            <w:vAlign w:val="center"/>
          </w:tcPr>
          <w:p w14:paraId="08DCDAC8"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1000 mg/kg </w:t>
            </w:r>
            <w:proofErr w:type="spellStart"/>
            <w:r w:rsidRPr="00AA6733">
              <w:t>bw</w:t>
            </w:r>
            <w:proofErr w:type="spellEnd"/>
            <w:r w:rsidRPr="00AA6733">
              <w:t>/day</w:t>
            </w:r>
          </w:p>
        </w:tc>
        <w:tc>
          <w:tcPr>
            <w:tcW w:w="4201" w:type="dxa"/>
            <w:vAlign w:val="center"/>
          </w:tcPr>
          <w:p w14:paraId="1BC1E687"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Oral 90 day repeat dose toxicity study in rats. (ECHA 2021b; DEPA 2015).</w:t>
            </w:r>
          </w:p>
        </w:tc>
      </w:tr>
      <w:tr w:rsidR="00026EBE" w14:paraId="271741E5"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66376352" w14:textId="77777777" w:rsidR="00026EBE" w:rsidRDefault="00026EBE" w:rsidP="000850F6">
            <w:r w:rsidRPr="00AA6733">
              <w:t xml:space="preserve">Homosalate </w:t>
            </w:r>
          </w:p>
        </w:tc>
        <w:tc>
          <w:tcPr>
            <w:tcW w:w="2552" w:type="dxa"/>
            <w:vAlign w:val="center"/>
          </w:tcPr>
          <w:p w14:paraId="75EA390C"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10 mg/kg </w:t>
            </w:r>
            <w:proofErr w:type="spellStart"/>
            <w:r w:rsidRPr="00AA6733">
              <w:t>bw</w:t>
            </w:r>
            <w:proofErr w:type="spellEnd"/>
            <w:r w:rsidRPr="00AA6733">
              <w:t>/day</w:t>
            </w:r>
          </w:p>
        </w:tc>
        <w:tc>
          <w:tcPr>
            <w:tcW w:w="4201" w:type="dxa"/>
            <w:vAlign w:val="center"/>
          </w:tcPr>
          <w:p w14:paraId="359B6FA8"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Based upon a LOAEL of 60 mg/kg </w:t>
            </w:r>
            <w:proofErr w:type="spellStart"/>
            <w:r w:rsidRPr="00AA6733">
              <w:t>bw</w:t>
            </w:r>
            <w:proofErr w:type="spellEnd"/>
            <w:r w:rsidRPr="00AA6733">
              <w:t>/day from combined repeat dose toxicity study and reproduction/developmental toxicity screening test. Uncertainty factor of 3 applied for conversion of LOAEL to NOAEL. A further adjustment made (50% reduction) due to absence of oral bioavailability data consistent with SCCS approach.</w:t>
            </w:r>
          </w:p>
        </w:tc>
      </w:tr>
      <w:tr w:rsidR="00026EBE" w14:paraId="39E030AE"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4247BB11" w14:textId="77777777" w:rsidR="00026EBE" w:rsidRDefault="00026EBE" w:rsidP="000850F6">
            <w:r w:rsidRPr="00AA6733">
              <w:t xml:space="preserve">Octinoxate </w:t>
            </w:r>
          </w:p>
        </w:tc>
        <w:tc>
          <w:tcPr>
            <w:tcW w:w="2552" w:type="dxa"/>
            <w:vAlign w:val="center"/>
          </w:tcPr>
          <w:p w14:paraId="54E062F3"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450 mg/kg </w:t>
            </w:r>
            <w:proofErr w:type="spellStart"/>
            <w:r w:rsidRPr="00AA6733">
              <w:t>bw</w:t>
            </w:r>
            <w:proofErr w:type="spellEnd"/>
            <w:r w:rsidRPr="00AA6733">
              <w:t>/day</w:t>
            </w:r>
          </w:p>
        </w:tc>
        <w:tc>
          <w:tcPr>
            <w:tcW w:w="4201" w:type="dxa"/>
            <w:vAlign w:val="center"/>
          </w:tcPr>
          <w:p w14:paraId="3F40F41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Fertility and reproduction oral study in rats (Schneider </w:t>
            </w:r>
            <w:r w:rsidRPr="00AA6733">
              <w:rPr>
                <w:i/>
                <w:iCs/>
              </w:rPr>
              <w:t>et al.</w:t>
            </w:r>
            <w:r w:rsidRPr="00AA6733">
              <w:t xml:space="preserve"> 2005).</w:t>
            </w:r>
          </w:p>
        </w:tc>
      </w:tr>
      <w:tr w:rsidR="00026EBE" w14:paraId="02F6325F"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68B84A64" w14:textId="77777777" w:rsidR="00026EBE" w:rsidRDefault="00026EBE" w:rsidP="000850F6">
            <w:r w:rsidRPr="00AA6733">
              <w:t>Octocrylene</w:t>
            </w:r>
          </w:p>
        </w:tc>
        <w:tc>
          <w:tcPr>
            <w:tcW w:w="2552" w:type="dxa"/>
            <w:vAlign w:val="center"/>
          </w:tcPr>
          <w:p w14:paraId="010ACD9A"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76.5 mg/kg </w:t>
            </w:r>
            <w:proofErr w:type="spellStart"/>
            <w:r w:rsidRPr="00AA6733">
              <w:t>bw</w:t>
            </w:r>
            <w:proofErr w:type="spellEnd"/>
            <w:r w:rsidRPr="00AA6733">
              <w:t>/day</w:t>
            </w:r>
          </w:p>
        </w:tc>
        <w:tc>
          <w:tcPr>
            <w:tcW w:w="4201" w:type="dxa"/>
            <w:vAlign w:val="center"/>
          </w:tcPr>
          <w:p w14:paraId="167E364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Extended one generation reproductive toxicity study (EOGRTS) in rats via diet. Adjustment of (50%) based on oral bioavailability data made to male NOAEL of 153 mg/kg </w:t>
            </w:r>
            <w:proofErr w:type="spellStart"/>
            <w:r w:rsidRPr="00AA6733">
              <w:t>bw</w:t>
            </w:r>
            <w:proofErr w:type="spellEnd"/>
            <w:r w:rsidRPr="00AA6733">
              <w:t>/da, consistent with SCCS approach. (ECHA 2021d; SCCS 2021a).</w:t>
            </w:r>
          </w:p>
        </w:tc>
      </w:tr>
      <w:tr w:rsidR="00026EBE" w14:paraId="2CBAC01B"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39F711EF" w14:textId="77777777" w:rsidR="00026EBE" w:rsidRDefault="00026EBE" w:rsidP="000850F6">
            <w:r w:rsidRPr="00AA6733">
              <w:t xml:space="preserve">Oxybenzone </w:t>
            </w:r>
          </w:p>
        </w:tc>
        <w:tc>
          <w:tcPr>
            <w:tcW w:w="2552" w:type="dxa"/>
            <w:vAlign w:val="center"/>
          </w:tcPr>
          <w:p w14:paraId="5677CE7C"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67.9 mg/kg </w:t>
            </w:r>
            <w:proofErr w:type="spellStart"/>
            <w:r w:rsidRPr="00AA6733">
              <w:t>bw</w:t>
            </w:r>
            <w:proofErr w:type="spellEnd"/>
            <w:r w:rsidRPr="00AA6733">
              <w:t>/day</w:t>
            </w:r>
          </w:p>
        </w:tc>
        <w:tc>
          <w:tcPr>
            <w:tcW w:w="4201" w:type="dxa"/>
            <w:vAlign w:val="center"/>
          </w:tcPr>
          <w:p w14:paraId="4D395D3D"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Reproductive and developmental toxicity studies in rats via diet (Nakamura </w:t>
            </w:r>
            <w:r w:rsidRPr="00AA6733">
              <w:rPr>
                <w:i/>
                <w:iCs/>
              </w:rPr>
              <w:t>et al.</w:t>
            </w:r>
            <w:r w:rsidRPr="00AA6733">
              <w:t xml:space="preserve"> 2015).</w:t>
            </w:r>
          </w:p>
        </w:tc>
      </w:tr>
      <w:tr w:rsidR="00026EBE" w14:paraId="49145FC0"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1368A893" w14:textId="77777777" w:rsidR="00026EBE" w:rsidRDefault="00026EBE" w:rsidP="000850F6">
            <w:r w:rsidRPr="00AA6733">
              <w:t>PBSA</w:t>
            </w:r>
          </w:p>
        </w:tc>
        <w:tc>
          <w:tcPr>
            <w:tcW w:w="2552" w:type="dxa"/>
            <w:vAlign w:val="center"/>
          </w:tcPr>
          <w:p w14:paraId="3117BDEF"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40 mg/kg </w:t>
            </w:r>
            <w:proofErr w:type="spellStart"/>
            <w:r w:rsidRPr="00AA6733">
              <w:t>bw</w:t>
            </w:r>
            <w:proofErr w:type="spellEnd"/>
            <w:r w:rsidRPr="00AA6733">
              <w:t>/day</w:t>
            </w:r>
          </w:p>
        </w:tc>
        <w:tc>
          <w:tcPr>
            <w:tcW w:w="4201" w:type="dxa"/>
            <w:vAlign w:val="center"/>
          </w:tcPr>
          <w:p w14:paraId="76DE4BF1"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Oral 90-day repeat dose/reproduction/developmental toxicity study in rats. Adjustment made to NOAEL (1000 mg/kg </w:t>
            </w:r>
            <w:proofErr w:type="spellStart"/>
            <w:r w:rsidRPr="00AA6733">
              <w:t>bw</w:t>
            </w:r>
            <w:proofErr w:type="spellEnd"/>
            <w:r w:rsidRPr="00AA6733">
              <w:t>/day to account for 4% oral absorption. (ECHA 2020).</w:t>
            </w:r>
          </w:p>
        </w:tc>
      </w:tr>
    </w:tbl>
    <w:p w14:paraId="2DAA24B0" w14:textId="77777777" w:rsidR="00026EBE" w:rsidRDefault="00026EBE" w:rsidP="00026EBE"/>
    <w:p w14:paraId="734E48E7" w14:textId="77777777" w:rsidR="00026EBE" w:rsidRDefault="00026EBE" w:rsidP="00026EBE">
      <w:pPr>
        <w:pStyle w:val="Tabletitle"/>
      </w:pPr>
      <w:r>
        <w:t>Table 3-12. Dermal absorption factor selected from available information.</w:t>
      </w:r>
    </w:p>
    <w:tbl>
      <w:tblPr>
        <w:tblStyle w:val="TableTGAblue2023"/>
        <w:tblW w:w="0" w:type="auto"/>
        <w:tblLook w:val="04A0" w:firstRow="1" w:lastRow="0" w:firstColumn="1" w:lastColumn="0" w:noHBand="0" w:noVBand="1"/>
      </w:tblPr>
      <w:tblGrid>
        <w:gridCol w:w="2263"/>
        <w:gridCol w:w="2552"/>
        <w:gridCol w:w="4201"/>
      </w:tblGrid>
      <w:tr w:rsidR="00026EBE" w14:paraId="485C9A12" w14:textId="77777777" w:rsidTr="0008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D4FC560" w14:textId="77777777" w:rsidR="00026EBE" w:rsidRDefault="00026EBE" w:rsidP="000850F6">
            <w:r w:rsidRPr="005E5795">
              <w:t xml:space="preserve">Active ingredient </w:t>
            </w:r>
          </w:p>
        </w:tc>
        <w:tc>
          <w:tcPr>
            <w:tcW w:w="2552" w:type="dxa"/>
            <w:vAlign w:val="center"/>
          </w:tcPr>
          <w:p w14:paraId="1853A64E"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rsidRPr="00AA6733">
              <w:t>DA</w:t>
            </w:r>
          </w:p>
        </w:tc>
        <w:tc>
          <w:tcPr>
            <w:tcW w:w="4201" w:type="dxa"/>
            <w:vAlign w:val="center"/>
          </w:tcPr>
          <w:p w14:paraId="5C1FBB2D" w14:textId="77777777" w:rsidR="00026EBE" w:rsidRDefault="00026EBE" w:rsidP="000850F6">
            <w:pPr>
              <w:cnfStyle w:val="100000000000" w:firstRow="1" w:lastRow="0" w:firstColumn="0" w:lastColumn="0" w:oddVBand="0" w:evenVBand="0" w:oddHBand="0" w:evenHBand="0" w:firstRowFirstColumn="0" w:firstRowLastColumn="0" w:lastRowFirstColumn="0" w:lastRowLastColumn="0"/>
            </w:pPr>
            <w:r w:rsidRPr="00AA6733">
              <w:t>Rationale</w:t>
            </w:r>
          </w:p>
        </w:tc>
      </w:tr>
      <w:tr w:rsidR="00026EBE" w14:paraId="7296FDDF"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238F6D85" w14:textId="77777777" w:rsidR="00026EBE" w:rsidRDefault="00026EBE" w:rsidP="000850F6">
            <w:r w:rsidRPr="00AA6733">
              <w:t xml:space="preserve">Avobenzone </w:t>
            </w:r>
          </w:p>
        </w:tc>
        <w:tc>
          <w:tcPr>
            <w:tcW w:w="2552" w:type="dxa"/>
            <w:vAlign w:val="center"/>
          </w:tcPr>
          <w:p w14:paraId="50695E0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7.3%</w:t>
            </w:r>
          </w:p>
        </w:tc>
        <w:tc>
          <w:tcPr>
            <w:tcW w:w="4201" w:type="dxa"/>
            <w:vAlign w:val="center"/>
          </w:tcPr>
          <w:p w14:paraId="754852A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Based upon </w:t>
            </w:r>
            <w:r w:rsidRPr="00AA6733">
              <w:rPr>
                <w:i/>
                <w:iCs/>
              </w:rPr>
              <w:t>in vitro</w:t>
            </w:r>
            <w:r w:rsidRPr="00AA6733">
              <w:t xml:space="preserve"> study using isolated human abdominal cadaver skin (ECHA 2021a).</w:t>
            </w:r>
          </w:p>
        </w:tc>
      </w:tr>
      <w:tr w:rsidR="00026EBE" w14:paraId="3F0138C2"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259638F1" w14:textId="77777777" w:rsidR="00026EBE" w:rsidRDefault="00026EBE" w:rsidP="000850F6">
            <w:r w:rsidRPr="00AA6733">
              <w:t>Ethylhexyl triazone</w:t>
            </w:r>
          </w:p>
        </w:tc>
        <w:tc>
          <w:tcPr>
            <w:tcW w:w="2552" w:type="dxa"/>
            <w:vAlign w:val="center"/>
          </w:tcPr>
          <w:p w14:paraId="0F1342CE"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10%</w:t>
            </w:r>
          </w:p>
        </w:tc>
        <w:tc>
          <w:tcPr>
            <w:tcW w:w="4201" w:type="dxa"/>
            <w:vAlign w:val="center"/>
          </w:tcPr>
          <w:p w14:paraId="70F696B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Based upon physicochemical properties, (molecular weight &gt; 500 and a </w:t>
            </w:r>
            <w:proofErr w:type="spellStart"/>
            <w:r w:rsidRPr="00AA6733">
              <w:t>logP</w:t>
            </w:r>
            <w:r w:rsidRPr="00AA6733">
              <w:rPr>
                <w:vertAlign w:val="subscript"/>
              </w:rPr>
              <w:t>ow</w:t>
            </w:r>
            <w:proofErr w:type="spellEnd"/>
            <w:r w:rsidRPr="00AA6733">
              <w:t xml:space="preserve"> &gt; 4).</w:t>
            </w:r>
          </w:p>
        </w:tc>
      </w:tr>
      <w:tr w:rsidR="00026EBE" w14:paraId="01D93F45"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2CEB4691" w14:textId="77777777" w:rsidR="00026EBE" w:rsidRDefault="00026EBE" w:rsidP="000850F6">
            <w:r w:rsidRPr="00AA6733">
              <w:t xml:space="preserve">Homosalate </w:t>
            </w:r>
          </w:p>
        </w:tc>
        <w:tc>
          <w:tcPr>
            <w:tcW w:w="2552" w:type="dxa"/>
            <w:vAlign w:val="center"/>
          </w:tcPr>
          <w:p w14:paraId="58FEE537"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5.3%</w:t>
            </w:r>
          </w:p>
        </w:tc>
        <w:tc>
          <w:tcPr>
            <w:tcW w:w="4201" w:type="dxa"/>
            <w:vAlign w:val="center"/>
          </w:tcPr>
          <w:p w14:paraId="45AC6631"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Based upon dermal absorption (mean +1SD) derived from study using human split thickness skin preparations (Finlayson 2021, as cited in SCCS 2020).</w:t>
            </w:r>
            <w:r w:rsidRPr="00AA6733" w:rsidDel="0017612B">
              <w:t xml:space="preserve"> </w:t>
            </w:r>
          </w:p>
        </w:tc>
      </w:tr>
      <w:tr w:rsidR="00026EBE" w14:paraId="141A2712"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065CE8E7" w14:textId="77777777" w:rsidR="00026EBE" w:rsidRDefault="00026EBE" w:rsidP="000850F6">
            <w:r w:rsidRPr="00AA6733">
              <w:t xml:space="preserve">Octinoxate </w:t>
            </w:r>
          </w:p>
        </w:tc>
        <w:tc>
          <w:tcPr>
            <w:tcW w:w="2552" w:type="dxa"/>
            <w:vAlign w:val="center"/>
          </w:tcPr>
          <w:p w14:paraId="355F8730"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1.77 µg/cm</w:t>
            </w:r>
            <w:r w:rsidRPr="00AA6733">
              <w:rPr>
                <w:vertAlign w:val="superscript"/>
              </w:rPr>
              <w:t>2</w:t>
            </w:r>
          </w:p>
        </w:tc>
        <w:tc>
          <w:tcPr>
            <w:tcW w:w="4201" w:type="dxa"/>
            <w:vAlign w:val="center"/>
          </w:tcPr>
          <w:p w14:paraId="2CD21FC9"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Based upon 6-hour pig ear skin exposure + 18-h free permeation of oil-in-water emulsion study (Klimova </w:t>
            </w:r>
            <w:r w:rsidRPr="00AA6733">
              <w:rPr>
                <w:i/>
                <w:iCs/>
              </w:rPr>
              <w:t>et al.</w:t>
            </w:r>
            <w:r w:rsidRPr="00AA6733">
              <w:t xml:space="preserve"> 2015)</w:t>
            </w:r>
          </w:p>
        </w:tc>
      </w:tr>
      <w:tr w:rsidR="00026EBE" w14:paraId="71F9CC79"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4A598C7B" w14:textId="77777777" w:rsidR="00026EBE" w:rsidRDefault="00026EBE" w:rsidP="000850F6">
            <w:r w:rsidRPr="00AA6733">
              <w:t>Octocrylene</w:t>
            </w:r>
          </w:p>
        </w:tc>
        <w:tc>
          <w:tcPr>
            <w:tcW w:w="2552" w:type="dxa"/>
            <w:vAlign w:val="center"/>
          </w:tcPr>
          <w:p w14:paraId="686F2FF2"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0.97 µg/cm</w:t>
            </w:r>
            <w:r w:rsidRPr="00AA6733">
              <w:rPr>
                <w:vertAlign w:val="superscript"/>
              </w:rPr>
              <w:t>2</w:t>
            </w:r>
          </w:p>
        </w:tc>
        <w:tc>
          <w:tcPr>
            <w:tcW w:w="4201" w:type="dxa"/>
            <w:vAlign w:val="center"/>
          </w:tcPr>
          <w:p w14:paraId="0C8F5698"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Based upon dermal absorption (mean +1SD) derived from study using </w:t>
            </w:r>
            <w:proofErr w:type="spellStart"/>
            <w:r w:rsidRPr="00AA6733">
              <w:t>dermatomized</w:t>
            </w:r>
            <w:proofErr w:type="spellEnd"/>
            <w:r w:rsidRPr="00AA6733">
              <w:t xml:space="preserve"> human skin preparations (Fabian and Landsiedel 2020, as cited in SCCS 2021a).</w:t>
            </w:r>
          </w:p>
        </w:tc>
      </w:tr>
      <w:tr w:rsidR="00026EBE" w14:paraId="782EA336"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17263432" w14:textId="77777777" w:rsidR="00026EBE" w:rsidRDefault="00026EBE" w:rsidP="000850F6">
            <w:r w:rsidRPr="00AA6733">
              <w:t>Oxybenzone</w:t>
            </w:r>
          </w:p>
        </w:tc>
        <w:tc>
          <w:tcPr>
            <w:tcW w:w="2552" w:type="dxa"/>
            <w:vAlign w:val="center"/>
          </w:tcPr>
          <w:p w14:paraId="2FAD2DEB"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9.9%</w:t>
            </w:r>
          </w:p>
        </w:tc>
        <w:tc>
          <w:tcPr>
            <w:tcW w:w="4201" w:type="dxa"/>
            <w:vAlign w:val="center"/>
          </w:tcPr>
          <w:p w14:paraId="21C75C5A"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Based upon </w:t>
            </w:r>
            <w:r w:rsidRPr="00AA6733">
              <w:rPr>
                <w:i/>
                <w:iCs/>
              </w:rPr>
              <w:t>in vitro</w:t>
            </w:r>
            <w:r w:rsidRPr="00AA6733">
              <w:t xml:space="preserve"> study using pig skin and applying a safety factor of 2 standard deviations to account for limitations in the data set, </w:t>
            </w:r>
            <w:proofErr w:type="spellStart"/>
            <w:r w:rsidRPr="00AA6733">
              <w:t>i.e</w:t>
            </w:r>
            <w:proofErr w:type="spellEnd"/>
            <w:r w:rsidRPr="00AA6733">
              <w:t>, mean (3.1%) + 2 SD (2 x 3.4%) dermal absorption study consistent with SCCS. (SCCS 2021c).</w:t>
            </w:r>
          </w:p>
        </w:tc>
      </w:tr>
      <w:tr w:rsidR="00026EBE" w14:paraId="29C69775" w14:textId="77777777" w:rsidTr="000850F6">
        <w:tc>
          <w:tcPr>
            <w:cnfStyle w:val="001000000000" w:firstRow="0" w:lastRow="0" w:firstColumn="1" w:lastColumn="0" w:oddVBand="0" w:evenVBand="0" w:oddHBand="0" w:evenHBand="0" w:firstRowFirstColumn="0" w:firstRowLastColumn="0" w:lastRowFirstColumn="0" w:lastRowLastColumn="0"/>
            <w:tcW w:w="2263" w:type="dxa"/>
            <w:vAlign w:val="center"/>
          </w:tcPr>
          <w:p w14:paraId="30384980" w14:textId="77777777" w:rsidR="00026EBE" w:rsidRDefault="00026EBE" w:rsidP="000850F6">
            <w:r w:rsidRPr="00AA6733">
              <w:t>PBSA</w:t>
            </w:r>
          </w:p>
        </w:tc>
        <w:tc>
          <w:tcPr>
            <w:tcW w:w="2552" w:type="dxa"/>
            <w:vAlign w:val="center"/>
          </w:tcPr>
          <w:p w14:paraId="7A688924"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0.416 µg/cm</w:t>
            </w:r>
            <w:r w:rsidRPr="00AA6733">
              <w:rPr>
                <w:vertAlign w:val="superscript"/>
              </w:rPr>
              <w:t>2</w:t>
            </w:r>
          </w:p>
        </w:tc>
        <w:tc>
          <w:tcPr>
            <w:tcW w:w="4201" w:type="dxa"/>
            <w:vAlign w:val="center"/>
          </w:tcPr>
          <w:p w14:paraId="17621B86" w14:textId="77777777" w:rsidR="00026EBE" w:rsidRDefault="00026EBE" w:rsidP="000850F6">
            <w:pPr>
              <w:cnfStyle w:val="000000000000" w:firstRow="0" w:lastRow="0" w:firstColumn="0" w:lastColumn="0" w:oddVBand="0" w:evenVBand="0" w:oddHBand="0" w:evenHBand="0" w:firstRowFirstColumn="0" w:firstRowLastColumn="0" w:lastRowFirstColumn="0" w:lastRowLastColumn="0"/>
            </w:pPr>
            <w:r w:rsidRPr="00AA6733">
              <w:t xml:space="preserve">Based upon </w:t>
            </w:r>
            <w:r w:rsidRPr="00AA6733">
              <w:rPr>
                <w:i/>
                <w:iCs/>
              </w:rPr>
              <w:t>in vivo</w:t>
            </w:r>
            <w:r w:rsidRPr="00AA6733">
              <w:t xml:space="preserve"> study in humans (SCCP 2006b).</w:t>
            </w:r>
          </w:p>
        </w:tc>
      </w:tr>
    </w:tbl>
    <w:p w14:paraId="084B6AD9" w14:textId="77777777" w:rsidR="00026EBE" w:rsidRPr="00E32B96" w:rsidRDefault="00026EBE" w:rsidP="00026EBE">
      <w:pPr>
        <w:pStyle w:val="Heading2"/>
      </w:pPr>
      <w:bookmarkStart w:id="146" w:name="_Toc100664726"/>
      <w:bookmarkStart w:id="147" w:name="_Toc157439291"/>
      <w:bookmarkStart w:id="148" w:name="_Toc173830134"/>
      <w:bookmarkStart w:id="149" w:name="_Toc189819969"/>
      <w:bookmarkStart w:id="150" w:name="_Toc190081239"/>
      <w:r w:rsidRPr="00E32B96">
        <w:t>APPENDIX</w:t>
      </w:r>
      <w:bookmarkEnd w:id="146"/>
      <w:bookmarkEnd w:id="147"/>
      <w:bookmarkEnd w:id="148"/>
      <w:bookmarkEnd w:id="149"/>
      <w:bookmarkEnd w:id="150"/>
      <w:r w:rsidRPr="00E32B96">
        <w:t xml:space="preserve"> </w:t>
      </w:r>
    </w:p>
    <w:p w14:paraId="504EB031" w14:textId="77777777" w:rsidR="00026EBE" w:rsidRPr="00EF3652" w:rsidRDefault="00026EBE" w:rsidP="00E94C79">
      <w:pPr>
        <w:pStyle w:val="Heading4"/>
      </w:pPr>
      <w:bookmarkStart w:id="151" w:name="_Ref88819380"/>
      <w:bookmarkStart w:id="152" w:name="_Toc100664727"/>
      <w:bookmarkStart w:id="153" w:name="_Toc157439292"/>
      <w:bookmarkStart w:id="154" w:name="_Toc173830135"/>
      <w:bookmarkStart w:id="155" w:name="_Toc189819970"/>
      <w:bookmarkStart w:id="156" w:name="_Toc190081240"/>
      <w:r>
        <w:t>Search strategy</w:t>
      </w:r>
      <w:bookmarkEnd w:id="151"/>
      <w:bookmarkEnd w:id="152"/>
      <w:bookmarkEnd w:id="153"/>
      <w:bookmarkEnd w:id="154"/>
      <w:bookmarkEnd w:id="155"/>
      <w:bookmarkEnd w:id="156"/>
      <w:r>
        <w:t xml:space="preserve"> </w:t>
      </w:r>
    </w:p>
    <w:p w14:paraId="75CA2BD4" w14:textId="77777777" w:rsidR="00026EBE" w:rsidRPr="00D27219" w:rsidRDefault="00026EBE" w:rsidP="00026EBE">
      <w:pPr>
        <w:pStyle w:val="Heading5"/>
      </w:pPr>
      <w:r w:rsidRPr="00D27219">
        <w:t>Search criteria (word input)</w:t>
      </w:r>
    </w:p>
    <w:p w14:paraId="680050A9" w14:textId="77777777" w:rsidR="00026EBE" w:rsidRPr="00D27219" w:rsidRDefault="00026EBE" w:rsidP="00026EBE">
      <w:pPr>
        <w:rPr>
          <w:rFonts w:cs="Arial"/>
          <w:b/>
          <w:bCs/>
          <w:i/>
          <w:iCs/>
        </w:rPr>
      </w:pPr>
      <w:r w:rsidRPr="00D27219">
        <w:rPr>
          <w:rFonts w:cs="Arial"/>
        </w:rPr>
        <w:t xml:space="preserve">Keywords included the chemical name, AAN or the INCI names, and “sunscreen” were used as the search items. Publications in last 15 years were searched (between 2008 and March 2023). Following toxicological endpoints were included. </w:t>
      </w:r>
    </w:p>
    <w:p w14:paraId="6F234BEB" w14:textId="77777777" w:rsidR="00026EBE" w:rsidRPr="00D27219" w:rsidRDefault="00026EBE" w:rsidP="00026EBE">
      <w:pPr>
        <w:pStyle w:val="Heading6"/>
      </w:pPr>
      <w:r w:rsidRPr="00D27219">
        <w:t>Nonclinical (toxicology) data:</w:t>
      </w:r>
    </w:p>
    <w:p w14:paraId="38245F1F" w14:textId="77777777" w:rsidR="00026EBE" w:rsidRPr="00D27219" w:rsidRDefault="00026EBE" w:rsidP="00026EBE">
      <w:pPr>
        <w:pStyle w:val="ListBullet"/>
      </w:pPr>
      <w:r w:rsidRPr="00D27219">
        <w:t>Dermal carcinogenicity</w:t>
      </w:r>
    </w:p>
    <w:p w14:paraId="6661FFB3" w14:textId="77777777" w:rsidR="00026EBE" w:rsidRPr="00D27219" w:rsidRDefault="00026EBE" w:rsidP="00026EBE">
      <w:pPr>
        <w:pStyle w:val="ListBullet"/>
      </w:pPr>
      <w:r w:rsidRPr="00D27219">
        <w:t>Systemic carcinogenicity</w:t>
      </w:r>
    </w:p>
    <w:p w14:paraId="589B7541" w14:textId="77777777" w:rsidR="00026EBE" w:rsidRPr="00D27219" w:rsidRDefault="00026EBE" w:rsidP="00026EBE">
      <w:pPr>
        <w:pStyle w:val="ListBullet"/>
      </w:pPr>
      <w:r w:rsidRPr="00D27219">
        <w:t>Developmental and reproductive toxicity (DART)</w:t>
      </w:r>
    </w:p>
    <w:p w14:paraId="5EEE28C9" w14:textId="77777777" w:rsidR="00026EBE" w:rsidRPr="00D27219" w:rsidRDefault="00026EBE" w:rsidP="00026EBE">
      <w:pPr>
        <w:pStyle w:val="ListBullet"/>
      </w:pPr>
      <w:proofErr w:type="spellStart"/>
      <w:r w:rsidRPr="00D27219">
        <w:t>Toxicokinetics</w:t>
      </w:r>
      <w:proofErr w:type="spellEnd"/>
    </w:p>
    <w:p w14:paraId="719F8F9E" w14:textId="77777777" w:rsidR="00026EBE" w:rsidRPr="00D27219" w:rsidRDefault="00026EBE" w:rsidP="00026EBE">
      <w:pPr>
        <w:pStyle w:val="ListBullet"/>
      </w:pPr>
      <w:r w:rsidRPr="00D27219">
        <w:t xml:space="preserve">Additional testing when data suggest a concern about other long-term effects, such as </w:t>
      </w:r>
      <w:r w:rsidRPr="00D27219">
        <w:rPr>
          <w:b/>
          <w:bCs/>
        </w:rPr>
        <w:t>endocrine effects</w:t>
      </w:r>
    </w:p>
    <w:p w14:paraId="1155901F" w14:textId="77777777" w:rsidR="00026EBE" w:rsidRPr="00D27219" w:rsidRDefault="00026EBE" w:rsidP="00026EBE">
      <w:pPr>
        <w:pStyle w:val="Heading6"/>
      </w:pPr>
      <w:r w:rsidRPr="00D27219">
        <w:t>Clinical data:</w:t>
      </w:r>
    </w:p>
    <w:p w14:paraId="1A86A225" w14:textId="77777777" w:rsidR="00026EBE" w:rsidRPr="00D27219" w:rsidRDefault="00026EBE" w:rsidP="00026EBE">
      <w:pPr>
        <w:pStyle w:val="ListBullet"/>
      </w:pPr>
      <w:r w:rsidRPr="00D27219">
        <w:t xml:space="preserve">Dermal irritation and sensitization </w:t>
      </w:r>
    </w:p>
    <w:p w14:paraId="3A0737B7" w14:textId="77777777" w:rsidR="00026EBE" w:rsidRPr="00D27219" w:rsidRDefault="00026EBE" w:rsidP="00026EBE">
      <w:pPr>
        <w:pStyle w:val="ListBullet"/>
      </w:pPr>
      <w:r w:rsidRPr="00D27219">
        <w:t xml:space="preserve">Phototoxicity and </w:t>
      </w:r>
      <w:proofErr w:type="spellStart"/>
      <w:r w:rsidRPr="00D27219">
        <w:t>photoallergenicity</w:t>
      </w:r>
      <w:proofErr w:type="spellEnd"/>
      <w:r w:rsidRPr="00D27219">
        <w:t xml:space="preserve"> testing</w:t>
      </w:r>
    </w:p>
    <w:p w14:paraId="41F12BE4" w14:textId="77777777" w:rsidR="00026EBE" w:rsidRPr="00D27219" w:rsidRDefault="00026EBE" w:rsidP="00026EBE">
      <w:pPr>
        <w:pStyle w:val="ListBullet"/>
      </w:pPr>
      <w:r w:rsidRPr="00D27219">
        <w:t>Human maximal use bioavailability studies</w:t>
      </w:r>
    </w:p>
    <w:p w14:paraId="5C2D9D72" w14:textId="77777777" w:rsidR="00026EBE" w:rsidRPr="00D27219" w:rsidRDefault="00026EBE" w:rsidP="00026EBE">
      <w:pPr>
        <w:pStyle w:val="Heading5"/>
      </w:pPr>
      <w:r w:rsidRPr="00D27219">
        <w:t>Websites searched for the sunscreen active ingredients:</w:t>
      </w:r>
    </w:p>
    <w:p w14:paraId="5CFE1387" w14:textId="77777777" w:rsidR="00026EBE" w:rsidRPr="00D27219" w:rsidRDefault="00026EBE" w:rsidP="00026EBE">
      <w:pPr>
        <w:rPr>
          <w:rFonts w:cs="Arial"/>
        </w:rPr>
      </w:pPr>
      <w:hyperlink r:id="rId17" w:history="1">
        <w:r w:rsidRPr="00D27219">
          <w:rPr>
            <w:rStyle w:val="Hyperlink"/>
            <w:rFonts w:cs="Arial"/>
          </w:rPr>
          <w:t>WHO</w:t>
        </w:r>
      </w:hyperlink>
    </w:p>
    <w:p w14:paraId="1A3FF837" w14:textId="77777777" w:rsidR="00026EBE" w:rsidRPr="00D27219" w:rsidRDefault="00026EBE" w:rsidP="00026EBE">
      <w:pPr>
        <w:rPr>
          <w:rFonts w:cs="Arial"/>
        </w:rPr>
      </w:pPr>
      <w:r w:rsidRPr="00D27219">
        <w:rPr>
          <w:rFonts w:cs="Arial"/>
        </w:rPr>
        <w:t>USA:</w:t>
      </w:r>
    </w:p>
    <w:p w14:paraId="2322051D" w14:textId="77777777" w:rsidR="00026EBE" w:rsidRPr="00D27219" w:rsidRDefault="00026EBE" w:rsidP="00026EBE">
      <w:pPr>
        <w:pStyle w:val="ListBullet"/>
        <w:rPr>
          <w:rFonts w:cs="Arial"/>
          <w:lang w:eastAsia="en-AU"/>
        </w:rPr>
      </w:pPr>
      <w:r w:rsidRPr="00D27219">
        <w:rPr>
          <w:rFonts w:cs="Arial"/>
        </w:rPr>
        <w:t xml:space="preserve">PubChem </w:t>
      </w:r>
      <w:hyperlink r:id="rId18" w:history="1">
        <w:r w:rsidRPr="00D27219">
          <w:rPr>
            <w:rStyle w:val="Hyperlink"/>
            <w:rFonts w:cs="Arial"/>
          </w:rPr>
          <w:t>https://pubchem.ncbi.nlm.nih.gov</w:t>
        </w:r>
      </w:hyperlink>
    </w:p>
    <w:p w14:paraId="6B2AE6AD" w14:textId="77777777" w:rsidR="00026EBE" w:rsidRPr="00D27219" w:rsidRDefault="00026EBE" w:rsidP="00026EBE">
      <w:pPr>
        <w:pStyle w:val="ListBullet"/>
        <w:rPr>
          <w:rFonts w:cs="Arial"/>
        </w:rPr>
      </w:pPr>
      <w:hyperlink r:id="rId19" w:history="1">
        <w:r w:rsidRPr="00D27219">
          <w:rPr>
            <w:rStyle w:val="Hyperlink"/>
            <w:rFonts w:cs="Arial"/>
          </w:rPr>
          <w:t>GOLD FFX database</w:t>
        </w:r>
      </w:hyperlink>
      <w:r w:rsidRPr="00D27219">
        <w:rPr>
          <w:rFonts w:cs="Arial"/>
        </w:rPr>
        <w:t xml:space="preserve"> / </w:t>
      </w:r>
      <w:proofErr w:type="spellStart"/>
      <w:r w:rsidRPr="00D27219">
        <w:rPr>
          <w:rFonts w:cs="Arial"/>
        </w:rPr>
        <w:t>ChemWatch</w:t>
      </w:r>
      <w:proofErr w:type="spellEnd"/>
      <w:r w:rsidRPr="00D27219">
        <w:rPr>
          <w:rFonts w:cs="Arial"/>
        </w:rPr>
        <w:t xml:space="preserve"> (TGA subscribed)</w:t>
      </w:r>
    </w:p>
    <w:p w14:paraId="67E05D14" w14:textId="77777777" w:rsidR="00026EBE" w:rsidRPr="00D27219" w:rsidRDefault="00026EBE" w:rsidP="00026EBE">
      <w:pPr>
        <w:pStyle w:val="ListBullet"/>
        <w:rPr>
          <w:rFonts w:cs="Arial"/>
        </w:rPr>
      </w:pPr>
      <w:r w:rsidRPr="00D27219">
        <w:rPr>
          <w:rFonts w:cs="Arial"/>
        </w:rPr>
        <w:t xml:space="preserve">FDA </w:t>
      </w:r>
    </w:p>
    <w:p w14:paraId="255FA734" w14:textId="77777777" w:rsidR="00026EBE" w:rsidRPr="00D27219" w:rsidRDefault="00026EBE" w:rsidP="00026EBE">
      <w:pPr>
        <w:pStyle w:val="ListBullet"/>
        <w:rPr>
          <w:rFonts w:cs="Arial"/>
        </w:rPr>
      </w:pPr>
      <w:r w:rsidRPr="00D27219">
        <w:rPr>
          <w:rFonts w:cs="Arial"/>
        </w:rPr>
        <w:t>US EPA (</w:t>
      </w:r>
      <w:hyperlink r:id="rId20" w:history="1">
        <w:r w:rsidRPr="00D27219">
          <w:rPr>
            <w:rStyle w:val="Hyperlink"/>
            <w:rFonts w:cs="Arial"/>
          </w:rPr>
          <w:t>www.epa.gov</w:t>
        </w:r>
      </w:hyperlink>
      <w:r w:rsidRPr="00D27219">
        <w:rPr>
          <w:rFonts w:cs="Arial"/>
        </w:rPr>
        <w:t>).</w:t>
      </w:r>
    </w:p>
    <w:p w14:paraId="619E2EAF" w14:textId="77777777" w:rsidR="00026EBE" w:rsidRPr="00D27219" w:rsidRDefault="00026EBE" w:rsidP="00026EBE">
      <w:pPr>
        <w:pStyle w:val="ListBullet"/>
        <w:rPr>
          <w:rFonts w:cs="Arial"/>
          <w:color w:val="1F497D"/>
        </w:rPr>
      </w:pPr>
      <w:r w:rsidRPr="00D27219">
        <w:rPr>
          <w:rFonts w:cs="Arial"/>
        </w:rPr>
        <w:t xml:space="preserve">NIOSH CDC </w:t>
      </w:r>
      <w:hyperlink r:id="rId21" w:history="1">
        <w:r w:rsidRPr="00D27219">
          <w:rPr>
            <w:rStyle w:val="Hyperlink"/>
            <w:rFonts w:cs="Arial"/>
          </w:rPr>
          <w:t>https://www.cdc.gov/niosh/index.htm</w:t>
        </w:r>
      </w:hyperlink>
    </w:p>
    <w:p w14:paraId="0C71E3A4" w14:textId="77777777" w:rsidR="00026EBE" w:rsidRPr="00D27219" w:rsidRDefault="00026EBE" w:rsidP="00026EBE">
      <w:pPr>
        <w:pStyle w:val="ListBullet"/>
        <w:rPr>
          <w:rFonts w:cs="Arial"/>
          <w:color w:val="1F497D"/>
        </w:rPr>
      </w:pPr>
      <w:r w:rsidRPr="00D27219">
        <w:rPr>
          <w:rFonts w:cs="Arial"/>
        </w:rPr>
        <w:t xml:space="preserve">National </w:t>
      </w:r>
      <w:proofErr w:type="spellStart"/>
      <w:r w:rsidRPr="00D27219">
        <w:rPr>
          <w:rFonts w:cs="Arial"/>
        </w:rPr>
        <w:t>Center</w:t>
      </w:r>
      <w:proofErr w:type="spellEnd"/>
      <w:r w:rsidRPr="00D27219">
        <w:rPr>
          <w:rFonts w:cs="Arial"/>
        </w:rPr>
        <w:t xml:space="preserve"> for Toxicological Research (NCTR) </w:t>
      </w:r>
      <w:hyperlink r:id="rId22" w:history="1">
        <w:r w:rsidRPr="00D27219">
          <w:rPr>
            <w:rStyle w:val="Hyperlink"/>
            <w:rFonts w:cs="Arial"/>
          </w:rPr>
          <w:t>https://ntp.niehs.nih.gov/nctr/</w:t>
        </w:r>
      </w:hyperlink>
    </w:p>
    <w:p w14:paraId="0836CBEB" w14:textId="77777777" w:rsidR="00026EBE" w:rsidRPr="00D27219" w:rsidRDefault="00026EBE" w:rsidP="00026EBE">
      <w:pPr>
        <w:pStyle w:val="ListBullet"/>
        <w:rPr>
          <w:rFonts w:cs="Arial"/>
        </w:rPr>
      </w:pPr>
      <w:r w:rsidRPr="00D27219">
        <w:rPr>
          <w:rFonts w:cs="Arial"/>
        </w:rPr>
        <w:t xml:space="preserve">National Toxicology program (NTP), U.S. Department of Health and Human Services </w:t>
      </w:r>
      <w:hyperlink r:id="rId23" w:history="1">
        <w:r w:rsidRPr="00D27219">
          <w:rPr>
            <w:rStyle w:val="Hyperlink"/>
            <w:rFonts w:cs="Arial"/>
          </w:rPr>
          <w:t>https://ntp.niehs.nih.gov/publications/index.html</w:t>
        </w:r>
      </w:hyperlink>
      <w:r w:rsidRPr="00D27219">
        <w:rPr>
          <w:rFonts w:cs="Arial"/>
        </w:rPr>
        <w:t>.</w:t>
      </w:r>
    </w:p>
    <w:p w14:paraId="3939B8D5" w14:textId="77777777" w:rsidR="00026EBE" w:rsidRPr="00D27219" w:rsidRDefault="00026EBE" w:rsidP="00026EBE">
      <w:pPr>
        <w:pStyle w:val="ListBullet"/>
        <w:rPr>
          <w:rFonts w:cs="Arial"/>
        </w:rPr>
      </w:pPr>
      <w:r w:rsidRPr="00D27219">
        <w:rPr>
          <w:rFonts w:cs="Arial"/>
        </w:rPr>
        <w:t xml:space="preserve">BUND (Federal </w:t>
      </w:r>
      <w:proofErr w:type="spellStart"/>
      <w:r w:rsidRPr="00D27219">
        <w:rPr>
          <w:rFonts w:cs="Arial"/>
        </w:rPr>
        <w:t>Mnistry</w:t>
      </w:r>
      <w:proofErr w:type="spellEnd"/>
      <w:r w:rsidRPr="00D27219">
        <w:rPr>
          <w:rFonts w:cs="Arial"/>
        </w:rPr>
        <w:t xml:space="preserve"> for the Environment, Nature Conservation, Building and Nuclear Safety)</w:t>
      </w:r>
    </w:p>
    <w:p w14:paraId="7674A1A3" w14:textId="77777777" w:rsidR="00026EBE" w:rsidRPr="00D27219" w:rsidRDefault="00026EBE" w:rsidP="00026EBE">
      <w:pPr>
        <w:pStyle w:val="ListBullet"/>
        <w:rPr>
          <w:rFonts w:cs="Arial"/>
        </w:rPr>
      </w:pPr>
      <w:r w:rsidRPr="00D27219">
        <w:rPr>
          <w:rFonts w:cs="Arial"/>
        </w:rPr>
        <w:t xml:space="preserve">Comparative </w:t>
      </w:r>
      <w:proofErr w:type="spellStart"/>
      <w:r w:rsidRPr="00D27219">
        <w:rPr>
          <w:rFonts w:cs="Arial"/>
        </w:rPr>
        <w:t>Toxicogenomics</w:t>
      </w:r>
      <w:proofErr w:type="spellEnd"/>
      <w:r w:rsidRPr="00D27219">
        <w:rPr>
          <w:rFonts w:cs="Arial"/>
        </w:rPr>
        <w:t xml:space="preserve"> Database </w:t>
      </w:r>
      <w:hyperlink r:id="rId24" w:history="1">
        <w:r w:rsidRPr="00D27219">
          <w:rPr>
            <w:rStyle w:val="Hyperlink"/>
            <w:rFonts w:cs="Arial"/>
          </w:rPr>
          <w:t>http://ctdbase.org/</w:t>
        </w:r>
      </w:hyperlink>
    </w:p>
    <w:p w14:paraId="7369D762" w14:textId="77777777" w:rsidR="00026EBE" w:rsidRPr="00D27219" w:rsidRDefault="00026EBE" w:rsidP="00026EBE">
      <w:pPr>
        <w:pStyle w:val="ListBullet"/>
        <w:rPr>
          <w:rFonts w:cs="Arial"/>
        </w:rPr>
      </w:pPr>
      <w:r w:rsidRPr="00D27219">
        <w:rPr>
          <w:rFonts w:cs="Arial"/>
        </w:rPr>
        <w:t>Consumer Product Information Database (</w:t>
      </w:r>
      <w:proofErr w:type="spellStart"/>
      <w:r w:rsidRPr="00D27219">
        <w:rPr>
          <w:rFonts w:cs="Arial"/>
        </w:rPr>
        <w:t>cpid</w:t>
      </w:r>
      <w:proofErr w:type="spellEnd"/>
      <w:r w:rsidRPr="00D27219">
        <w:rPr>
          <w:rFonts w:cs="Arial"/>
        </w:rPr>
        <w:t xml:space="preserve">) </w:t>
      </w:r>
      <w:hyperlink r:id="rId25" w:history="1">
        <w:r w:rsidRPr="00D27219">
          <w:rPr>
            <w:rStyle w:val="Hyperlink"/>
            <w:rFonts w:cs="Arial"/>
          </w:rPr>
          <w:t>https://www.whatsinproducts.com/</w:t>
        </w:r>
      </w:hyperlink>
      <w:r w:rsidRPr="00D27219">
        <w:rPr>
          <w:rFonts w:cs="Arial"/>
        </w:rPr>
        <w:t>.</w:t>
      </w:r>
      <w:r w:rsidRPr="00D27219">
        <w:rPr>
          <w:rFonts w:cs="Arial"/>
          <w:color w:val="FF0000"/>
        </w:rPr>
        <w:t xml:space="preserve"> </w:t>
      </w:r>
      <w:proofErr w:type="gramStart"/>
      <w:r w:rsidRPr="00D27219">
        <w:rPr>
          <w:rFonts w:cs="Arial"/>
        </w:rPr>
        <w:t>similar to</w:t>
      </w:r>
      <w:proofErr w:type="gramEnd"/>
      <w:r w:rsidRPr="00D27219">
        <w:rPr>
          <w:rFonts w:cs="Arial"/>
        </w:rPr>
        <w:t xml:space="preserve"> and linked to PubChem.</w:t>
      </w:r>
    </w:p>
    <w:p w14:paraId="3E78BD78" w14:textId="77777777" w:rsidR="00026EBE" w:rsidRPr="00D27219" w:rsidRDefault="00026EBE" w:rsidP="00026EBE">
      <w:pPr>
        <w:pStyle w:val="ListBullet"/>
        <w:rPr>
          <w:rFonts w:cs="Arial"/>
          <w:color w:val="1F497D"/>
        </w:rPr>
      </w:pPr>
      <w:r w:rsidRPr="00D27219">
        <w:rPr>
          <w:rFonts w:cs="Arial"/>
        </w:rPr>
        <w:t xml:space="preserve">US EPA (United States Environmental Protection Agency) IRIS Assessments </w:t>
      </w:r>
      <w:hyperlink r:id="rId26" w:history="1">
        <w:r w:rsidRPr="00D27219">
          <w:rPr>
            <w:rStyle w:val="Hyperlink"/>
            <w:rFonts w:cs="Arial"/>
          </w:rPr>
          <w:t>https://cfpub.epa.gov/ncea/iris_drafts/atoz.cfm</w:t>
        </w:r>
      </w:hyperlink>
    </w:p>
    <w:p w14:paraId="3909699A" w14:textId="77777777" w:rsidR="00026EBE" w:rsidRPr="00D27219" w:rsidRDefault="00026EBE" w:rsidP="00026EBE">
      <w:pPr>
        <w:pStyle w:val="ListBullet"/>
        <w:rPr>
          <w:rFonts w:cs="Arial"/>
          <w:color w:val="1F497D"/>
        </w:rPr>
      </w:pPr>
      <w:r w:rsidRPr="00D27219">
        <w:rPr>
          <w:rFonts w:cs="Arial"/>
        </w:rPr>
        <w:t>Integrated Risk Information System (IRIS)</w:t>
      </w:r>
      <w:r w:rsidRPr="00D27219">
        <w:rPr>
          <w:rFonts w:cs="Arial"/>
          <w:color w:val="1F497D"/>
        </w:rPr>
        <w:t xml:space="preserve"> </w:t>
      </w:r>
      <w:hyperlink r:id="rId27" w:history="1">
        <w:r w:rsidRPr="00D27219">
          <w:rPr>
            <w:rStyle w:val="Hyperlink"/>
            <w:rFonts w:cs="Arial"/>
          </w:rPr>
          <w:t>https://www.epa.gov/iris</w:t>
        </w:r>
      </w:hyperlink>
    </w:p>
    <w:p w14:paraId="39251DF3" w14:textId="77777777" w:rsidR="00026EBE" w:rsidRPr="00D27219" w:rsidRDefault="00026EBE" w:rsidP="00026EBE">
      <w:pPr>
        <w:pStyle w:val="ListBullet"/>
        <w:rPr>
          <w:rFonts w:cs="Arial"/>
          <w:color w:val="1F497D"/>
        </w:rPr>
      </w:pPr>
      <w:proofErr w:type="spellStart"/>
      <w:r w:rsidRPr="00D27219">
        <w:rPr>
          <w:rFonts w:cs="Arial"/>
        </w:rPr>
        <w:t>ChemView</w:t>
      </w:r>
      <w:proofErr w:type="spellEnd"/>
      <w:r w:rsidRPr="00D27219">
        <w:rPr>
          <w:rFonts w:cs="Arial"/>
          <w:color w:val="1F497D"/>
        </w:rPr>
        <w:t xml:space="preserve"> </w:t>
      </w:r>
      <w:hyperlink r:id="rId28" w:history="1">
        <w:r w:rsidRPr="00D27219">
          <w:rPr>
            <w:rStyle w:val="Hyperlink"/>
            <w:rFonts w:cs="Arial"/>
          </w:rPr>
          <w:t>https://chemview.epa.gov/chemview/</w:t>
        </w:r>
      </w:hyperlink>
    </w:p>
    <w:p w14:paraId="5FFAC76C" w14:textId="77777777" w:rsidR="00026EBE" w:rsidRPr="00D27219" w:rsidRDefault="00026EBE" w:rsidP="00026EBE">
      <w:pPr>
        <w:pStyle w:val="ListBullet"/>
        <w:rPr>
          <w:rFonts w:cs="Arial"/>
          <w:color w:val="1F497D"/>
        </w:rPr>
      </w:pPr>
      <w:r w:rsidRPr="00D27219">
        <w:rPr>
          <w:rFonts w:cs="Arial"/>
        </w:rPr>
        <w:t xml:space="preserve">Science Inventory </w:t>
      </w:r>
      <w:hyperlink r:id="rId29" w:history="1">
        <w:r w:rsidRPr="00D27219">
          <w:rPr>
            <w:rStyle w:val="Hyperlink"/>
            <w:rFonts w:cs="Arial"/>
          </w:rPr>
          <w:t>https://cfpub.epa.gov/si/</w:t>
        </w:r>
      </w:hyperlink>
    </w:p>
    <w:p w14:paraId="32C15366" w14:textId="77777777" w:rsidR="00026EBE" w:rsidRPr="00D27219" w:rsidRDefault="00026EBE" w:rsidP="00026EBE">
      <w:pPr>
        <w:rPr>
          <w:rFonts w:cs="Arial"/>
        </w:rPr>
      </w:pPr>
      <w:r w:rsidRPr="00D27219">
        <w:rPr>
          <w:rFonts w:cs="Arial"/>
        </w:rPr>
        <w:t>UK:</w:t>
      </w:r>
    </w:p>
    <w:p w14:paraId="3DA94FBD" w14:textId="77777777" w:rsidR="00026EBE" w:rsidRPr="00D27219" w:rsidRDefault="00026EBE" w:rsidP="00026EBE">
      <w:pPr>
        <w:pStyle w:val="ListBullet"/>
        <w:rPr>
          <w:color w:val="1F497D"/>
        </w:rPr>
      </w:pPr>
      <w:r w:rsidRPr="00D27219">
        <w:t xml:space="preserve">Cancer Research UK </w:t>
      </w:r>
      <w:hyperlink r:id="rId30" w:history="1">
        <w:r w:rsidRPr="00D27219">
          <w:rPr>
            <w:rStyle w:val="Hyperlink"/>
            <w:rFonts w:cs="Arial"/>
          </w:rPr>
          <w:t>https://www.cancerresearchuk.org/</w:t>
        </w:r>
      </w:hyperlink>
    </w:p>
    <w:p w14:paraId="2364DDC7" w14:textId="77777777" w:rsidR="00026EBE" w:rsidRPr="00D27219" w:rsidRDefault="00026EBE" w:rsidP="00026EBE">
      <w:pPr>
        <w:rPr>
          <w:rFonts w:cs="Arial"/>
        </w:rPr>
      </w:pPr>
      <w:r w:rsidRPr="00D27219">
        <w:rPr>
          <w:rFonts w:cs="Arial"/>
        </w:rPr>
        <w:t>EU:</w:t>
      </w:r>
    </w:p>
    <w:p w14:paraId="6F9CE625" w14:textId="77777777" w:rsidR="00026EBE" w:rsidRPr="00D27219" w:rsidRDefault="00026EBE" w:rsidP="00026EBE">
      <w:pPr>
        <w:pStyle w:val="ListBullet"/>
        <w:rPr>
          <w:rFonts w:cs="Arial"/>
          <w:lang w:eastAsia="en-AU"/>
        </w:rPr>
      </w:pPr>
      <w:hyperlink r:id="rId31" w:history="1">
        <w:r w:rsidRPr="00D27219">
          <w:rPr>
            <w:rStyle w:val="Hyperlink"/>
            <w:rFonts w:cs="Arial"/>
            <w:lang w:eastAsia="en-AU"/>
          </w:rPr>
          <w:t>Registered substances</w:t>
        </w:r>
      </w:hyperlink>
      <w:r w:rsidRPr="00D27219">
        <w:rPr>
          <w:rFonts w:cs="Arial"/>
          <w:lang w:eastAsia="en-AU"/>
        </w:rPr>
        <w:t xml:space="preserve"> - Chemical property data search / European Chemicals Agency (ECHA)</w:t>
      </w:r>
    </w:p>
    <w:p w14:paraId="713604E3" w14:textId="77777777" w:rsidR="00026EBE" w:rsidRPr="00D27219" w:rsidRDefault="00026EBE" w:rsidP="00026EBE">
      <w:pPr>
        <w:pStyle w:val="ListBullet"/>
        <w:rPr>
          <w:rFonts w:cs="Arial"/>
          <w:color w:val="1F497D"/>
        </w:rPr>
      </w:pPr>
      <w:r w:rsidRPr="00D27219">
        <w:rPr>
          <w:rFonts w:cs="Arial"/>
        </w:rPr>
        <w:t xml:space="preserve">Scientific Committee on Consumer Safety (SCCS), European </w:t>
      </w:r>
      <w:r w:rsidRPr="00D27219">
        <w:rPr>
          <w:rFonts w:cs="Arial"/>
          <w:color w:val="1F497D"/>
        </w:rPr>
        <w:t xml:space="preserve">Commission </w:t>
      </w:r>
      <w:hyperlink r:id="rId32" w:history="1">
        <w:r w:rsidRPr="00D27219">
          <w:rPr>
            <w:rStyle w:val="Hyperlink"/>
            <w:rFonts w:cs="Arial"/>
          </w:rPr>
          <w:t>https://op.europa.eu/en/</w:t>
        </w:r>
      </w:hyperlink>
    </w:p>
    <w:p w14:paraId="40666496" w14:textId="77777777" w:rsidR="00026EBE" w:rsidRPr="00D27219" w:rsidRDefault="00026EBE" w:rsidP="00026EBE">
      <w:pPr>
        <w:pStyle w:val="ListBullet"/>
        <w:rPr>
          <w:rFonts w:cs="Arial"/>
        </w:rPr>
      </w:pPr>
      <w:proofErr w:type="spellStart"/>
      <w:r w:rsidRPr="00D27219">
        <w:rPr>
          <w:rFonts w:cs="Arial"/>
        </w:rPr>
        <w:t>SafetyNL</w:t>
      </w:r>
      <w:proofErr w:type="spellEnd"/>
      <w:r w:rsidRPr="00D27219">
        <w:rPr>
          <w:rFonts w:cs="Arial"/>
        </w:rPr>
        <w:t xml:space="preserve">; National Institute for Public Health and the Environment (RIVM), The Netherlands </w:t>
      </w:r>
      <w:hyperlink r:id="rId33" w:history="1">
        <w:r w:rsidRPr="00D27219">
          <w:rPr>
            <w:rStyle w:val="Hyperlink"/>
            <w:rFonts w:cs="Arial"/>
          </w:rPr>
          <w:t>www.rivm.nl</w:t>
        </w:r>
      </w:hyperlink>
    </w:p>
    <w:p w14:paraId="332DAC87" w14:textId="77777777" w:rsidR="00026EBE" w:rsidRPr="00D27219" w:rsidRDefault="00026EBE" w:rsidP="00026EBE">
      <w:pPr>
        <w:pStyle w:val="ListBullet"/>
        <w:rPr>
          <w:rFonts w:cs="Arial"/>
          <w:color w:val="1F497D"/>
        </w:rPr>
      </w:pPr>
      <w:proofErr w:type="spellStart"/>
      <w:r w:rsidRPr="00D27219">
        <w:rPr>
          <w:rFonts w:cs="Arial"/>
        </w:rPr>
        <w:t>Coslng</w:t>
      </w:r>
      <w:proofErr w:type="spellEnd"/>
      <w:r w:rsidRPr="00D27219">
        <w:rPr>
          <w:rFonts w:cs="Arial"/>
        </w:rPr>
        <w:t xml:space="preserve"> Database </w:t>
      </w:r>
      <w:hyperlink r:id="rId34" w:history="1">
        <w:r w:rsidRPr="00D27219">
          <w:rPr>
            <w:rStyle w:val="Hyperlink"/>
            <w:rFonts w:cs="Arial"/>
          </w:rPr>
          <w:t>https://cosmeticseurope.eu/library/</w:t>
        </w:r>
      </w:hyperlink>
    </w:p>
    <w:p w14:paraId="7A408F4E" w14:textId="77777777" w:rsidR="00026EBE" w:rsidRPr="00D27219" w:rsidRDefault="00026EBE" w:rsidP="00026EBE">
      <w:pPr>
        <w:pStyle w:val="ListBullet"/>
        <w:rPr>
          <w:rFonts w:cs="Arial"/>
        </w:rPr>
      </w:pPr>
      <w:r w:rsidRPr="00D27219">
        <w:rPr>
          <w:rFonts w:cs="Arial"/>
        </w:rPr>
        <w:t>European Medicines Agency (EMA)</w:t>
      </w:r>
    </w:p>
    <w:p w14:paraId="19C6A27E" w14:textId="77777777" w:rsidR="00026EBE" w:rsidRPr="00D27219" w:rsidRDefault="00026EBE" w:rsidP="00026EBE">
      <w:pPr>
        <w:pStyle w:val="ListBullet"/>
        <w:rPr>
          <w:rFonts w:cs="Arial"/>
          <w:lang w:eastAsia="en-AU"/>
        </w:rPr>
      </w:pPr>
      <w:r w:rsidRPr="00D27219">
        <w:rPr>
          <w:rFonts w:cs="Arial"/>
          <w:lang w:eastAsia="en-AU"/>
        </w:rPr>
        <w:t xml:space="preserve">OECD </w:t>
      </w:r>
      <w:proofErr w:type="spellStart"/>
      <w:r w:rsidRPr="00D27219">
        <w:rPr>
          <w:rFonts w:cs="Arial"/>
          <w:lang w:eastAsia="en-AU"/>
        </w:rPr>
        <w:t>OECD</w:t>
      </w:r>
      <w:proofErr w:type="spellEnd"/>
      <w:r w:rsidRPr="00D27219">
        <w:rPr>
          <w:rFonts w:cs="Arial"/>
          <w:lang w:eastAsia="en-AU"/>
        </w:rPr>
        <w:t xml:space="preserve"> Existing Chemicals Database </w:t>
      </w:r>
      <w:hyperlink r:id="rId35" w:history="1">
        <w:r w:rsidRPr="00D27219">
          <w:rPr>
            <w:rStyle w:val="Hyperlink"/>
            <w:rFonts w:cs="Arial"/>
            <w:lang w:eastAsia="en-AU"/>
          </w:rPr>
          <w:t>https://hpvchemicals.oecd.org</w:t>
        </w:r>
      </w:hyperlink>
    </w:p>
    <w:p w14:paraId="745478B0" w14:textId="77777777" w:rsidR="00026EBE" w:rsidRPr="00D27219" w:rsidRDefault="00026EBE" w:rsidP="00026EBE">
      <w:pPr>
        <w:pStyle w:val="ListBullet"/>
        <w:rPr>
          <w:rFonts w:cs="Arial"/>
        </w:rPr>
      </w:pPr>
      <w:r w:rsidRPr="00D27219">
        <w:rPr>
          <w:rFonts w:cs="Arial"/>
        </w:rPr>
        <w:t xml:space="preserve">Environmental Protection Agency in Denmark </w:t>
      </w:r>
      <w:hyperlink r:id="rId36" w:history="1">
        <w:r w:rsidRPr="00D27219">
          <w:rPr>
            <w:rStyle w:val="Hyperlink"/>
            <w:rFonts w:cs="Arial"/>
          </w:rPr>
          <w:t>www.mst.dk</w:t>
        </w:r>
      </w:hyperlink>
    </w:p>
    <w:p w14:paraId="67A6EBA0" w14:textId="77777777" w:rsidR="00026EBE" w:rsidRPr="00D27219" w:rsidRDefault="00026EBE" w:rsidP="00026EBE">
      <w:pPr>
        <w:pStyle w:val="ListBullet"/>
        <w:rPr>
          <w:rFonts w:cs="Arial"/>
        </w:rPr>
      </w:pPr>
      <w:r w:rsidRPr="00D27219">
        <w:rPr>
          <w:rFonts w:cs="Arial"/>
        </w:rPr>
        <w:t xml:space="preserve">Nature Agency in Denmark </w:t>
      </w:r>
      <w:hyperlink r:id="rId37" w:history="1">
        <w:r w:rsidRPr="00D27219">
          <w:rPr>
            <w:rStyle w:val="Hyperlink"/>
            <w:rFonts w:cs="Arial"/>
          </w:rPr>
          <w:t>www.nst.dk</w:t>
        </w:r>
      </w:hyperlink>
    </w:p>
    <w:p w14:paraId="09AA445A" w14:textId="77777777" w:rsidR="00026EBE" w:rsidRPr="00D27219" w:rsidRDefault="00026EBE" w:rsidP="00026EBE">
      <w:pPr>
        <w:pStyle w:val="ListBullet"/>
        <w:rPr>
          <w:rFonts w:cs="Arial"/>
        </w:rPr>
      </w:pPr>
      <w:r w:rsidRPr="00D27219">
        <w:rPr>
          <w:rFonts w:cs="Arial"/>
        </w:rPr>
        <w:t xml:space="preserve">Swedish Chemicals Agency (KEMI) in Sweden </w:t>
      </w:r>
      <w:hyperlink r:id="rId38" w:history="1">
        <w:r w:rsidRPr="00D27219">
          <w:rPr>
            <w:rStyle w:val="Hyperlink"/>
            <w:rFonts w:cs="Arial"/>
          </w:rPr>
          <w:t>www.kemi.se</w:t>
        </w:r>
      </w:hyperlink>
    </w:p>
    <w:p w14:paraId="640CE166" w14:textId="77777777" w:rsidR="00026EBE" w:rsidRPr="00D27219" w:rsidRDefault="00026EBE" w:rsidP="00026EBE">
      <w:pPr>
        <w:pStyle w:val="ListBullet"/>
        <w:rPr>
          <w:rFonts w:cs="Arial"/>
        </w:rPr>
      </w:pPr>
      <w:r w:rsidRPr="00D27219">
        <w:rPr>
          <w:rFonts w:cs="Arial"/>
        </w:rPr>
        <w:t xml:space="preserve">Environment Agency in Norway </w:t>
      </w:r>
      <w:hyperlink r:id="rId39" w:history="1">
        <w:r w:rsidRPr="00D27219">
          <w:rPr>
            <w:rStyle w:val="Hyperlink"/>
            <w:rFonts w:cs="Arial"/>
          </w:rPr>
          <w:t>www.miljodirektoratet.no</w:t>
        </w:r>
      </w:hyperlink>
    </w:p>
    <w:p w14:paraId="5D2FE271" w14:textId="77777777" w:rsidR="00026EBE" w:rsidRPr="00D27219" w:rsidRDefault="00026EBE" w:rsidP="00026EBE">
      <w:pPr>
        <w:pStyle w:val="ListBullet"/>
        <w:rPr>
          <w:rFonts w:cs="Arial"/>
        </w:rPr>
      </w:pPr>
      <w:r w:rsidRPr="00D27219">
        <w:rPr>
          <w:rFonts w:cs="Arial"/>
        </w:rPr>
        <w:t xml:space="preserve">ANSES in France </w:t>
      </w:r>
      <w:hyperlink r:id="rId40" w:history="1">
        <w:r w:rsidRPr="00D27219">
          <w:rPr>
            <w:rStyle w:val="Hyperlink"/>
            <w:rFonts w:cs="Arial"/>
          </w:rPr>
          <w:t>www.anses.fr</w:t>
        </w:r>
      </w:hyperlink>
    </w:p>
    <w:p w14:paraId="110EE178" w14:textId="77777777" w:rsidR="00026EBE" w:rsidRPr="00D27219" w:rsidRDefault="00026EBE" w:rsidP="00026EBE">
      <w:pPr>
        <w:pStyle w:val="ListBullet"/>
        <w:rPr>
          <w:rFonts w:cs="Arial"/>
        </w:rPr>
      </w:pPr>
      <w:r w:rsidRPr="00D27219">
        <w:rPr>
          <w:rFonts w:cs="Arial"/>
        </w:rPr>
        <w:t xml:space="preserve">The Environment Agency in the UK </w:t>
      </w:r>
      <w:hyperlink r:id="rId41" w:history="1">
        <w:r w:rsidRPr="00D27219">
          <w:rPr>
            <w:rStyle w:val="Hyperlink"/>
            <w:rFonts w:cs="Arial"/>
          </w:rPr>
          <w:t>www.environment-agency.gov.uk</w:t>
        </w:r>
      </w:hyperlink>
    </w:p>
    <w:p w14:paraId="02EC78F6" w14:textId="77777777" w:rsidR="00026EBE" w:rsidRPr="00D27219" w:rsidRDefault="00026EBE" w:rsidP="00026EBE">
      <w:pPr>
        <w:pStyle w:val="ListBullet"/>
        <w:rPr>
          <w:rFonts w:cs="Arial"/>
        </w:rPr>
      </w:pPr>
      <w:proofErr w:type="spellStart"/>
      <w:r w:rsidRPr="00D27219">
        <w:rPr>
          <w:rFonts w:cs="Arial"/>
        </w:rPr>
        <w:t>ChemSec</w:t>
      </w:r>
      <w:proofErr w:type="spellEnd"/>
      <w:r w:rsidRPr="00D27219">
        <w:rPr>
          <w:rFonts w:cs="Arial"/>
        </w:rPr>
        <w:t xml:space="preserve"> - International Chemical Secretariat </w:t>
      </w:r>
      <w:hyperlink r:id="rId42" w:history="1">
        <w:r w:rsidRPr="00D27219">
          <w:rPr>
            <w:rStyle w:val="Hyperlink"/>
            <w:rFonts w:cs="Arial"/>
          </w:rPr>
          <w:t>www.chemsec.org</w:t>
        </w:r>
      </w:hyperlink>
    </w:p>
    <w:p w14:paraId="44E929F8" w14:textId="77777777" w:rsidR="00026EBE" w:rsidRPr="00D27219" w:rsidRDefault="00026EBE" w:rsidP="00026EBE">
      <w:pPr>
        <w:pStyle w:val="ListBullet"/>
        <w:rPr>
          <w:rFonts w:cs="Arial"/>
        </w:rPr>
      </w:pPr>
      <w:r w:rsidRPr="00D27219">
        <w:rPr>
          <w:rFonts w:cs="Arial"/>
        </w:rPr>
        <w:t xml:space="preserve">Information Centre for Environment and Health </w:t>
      </w:r>
      <w:hyperlink r:id="rId43" w:history="1">
        <w:r w:rsidRPr="00D27219">
          <w:rPr>
            <w:rStyle w:val="Hyperlink"/>
            <w:rFonts w:cs="Arial"/>
          </w:rPr>
          <w:t>www.forbrugerkemi.dk</w:t>
        </w:r>
      </w:hyperlink>
    </w:p>
    <w:p w14:paraId="3FFBD634" w14:textId="77777777" w:rsidR="00026EBE" w:rsidRPr="00D27219" w:rsidRDefault="00026EBE" w:rsidP="00026EBE">
      <w:pPr>
        <w:pStyle w:val="ListBullet"/>
        <w:rPr>
          <w:rFonts w:cs="Arial"/>
        </w:rPr>
      </w:pPr>
      <w:r w:rsidRPr="00D27219">
        <w:rPr>
          <w:rFonts w:cs="Arial"/>
        </w:rPr>
        <w:t xml:space="preserve">National Institute for Public Health and the Environment </w:t>
      </w:r>
      <w:hyperlink r:id="rId44" w:history="1">
        <w:r w:rsidRPr="00D27219">
          <w:rPr>
            <w:rStyle w:val="Hyperlink"/>
            <w:rFonts w:cs="Arial"/>
          </w:rPr>
          <w:t>https://www.rivm.nl/en</w:t>
        </w:r>
      </w:hyperlink>
    </w:p>
    <w:p w14:paraId="3B5561D5" w14:textId="77777777" w:rsidR="00026EBE" w:rsidRPr="00D27219" w:rsidRDefault="00026EBE" w:rsidP="00026EBE">
      <w:pPr>
        <w:rPr>
          <w:rFonts w:cs="Arial"/>
        </w:rPr>
      </w:pPr>
      <w:r w:rsidRPr="00D27219">
        <w:rPr>
          <w:rFonts w:cs="Arial"/>
        </w:rPr>
        <w:t xml:space="preserve">Australia: </w:t>
      </w:r>
    </w:p>
    <w:p w14:paraId="5596F328" w14:textId="77777777" w:rsidR="00026EBE" w:rsidRPr="00D27219" w:rsidRDefault="00026EBE" w:rsidP="00026EBE">
      <w:pPr>
        <w:pStyle w:val="ListBullet"/>
      </w:pPr>
      <w:r w:rsidRPr="00D27219">
        <w:t xml:space="preserve">NICNAS </w:t>
      </w:r>
    </w:p>
    <w:p w14:paraId="1AFB2A03" w14:textId="77777777" w:rsidR="00026EBE" w:rsidRPr="00D27219" w:rsidRDefault="00026EBE" w:rsidP="00026EBE">
      <w:pPr>
        <w:pStyle w:val="ListBullet"/>
      </w:pPr>
      <w:r w:rsidRPr="00D27219">
        <w:t xml:space="preserve">Safe Work Australia - Hazardous Chemical Information System (HCIS) </w:t>
      </w:r>
      <w:hyperlink r:id="rId45" w:history="1">
        <w:r w:rsidRPr="00D27219">
          <w:rPr>
            <w:rStyle w:val="Hyperlink"/>
            <w:rFonts w:cs="Arial"/>
          </w:rPr>
          <w:t>http://hcis.safeworkaustralia.gov.au/</w:t>
        </w:r>
      </w:hyperlink>
    </w:p>
    <w:p w14:paraId="30877ED2" w14:textId="77777777" w:rsidR="00026EBE" w:rsidRPr="00D27219" w:rsidRDefault="00026EBE" w:rsidP="00026EBE">
      <w:pPr>
        <w:pStyle w:val="ListBullet"/>
      </w:pPr>
      <w:r w:rsidRPr="00D27219">
        <w:t>FSANZ</w:t>
      </w:r>
    </w:p>
    <w:p w14:paraId="59190DF0" w14:textId="77777777" w:rsidR="00026EBE" w:rsidRPr="00D27219" w:rsidRDefault="00026EBE" w:rsidP="00026EBE">
      <w:pPr>
        <w:rPr>
          <w:rFonts w:cs="Arial"/>
        </w:rPr>
      </w:pPr>
      <w:r w:rsidRPr="00D27219">
        <w:rPr>
          <w:rFonts w:cs="Arial"/>
        </w:rPr>
        <w:t>Canada:</w:t>
      </w:r>
    </w:p>
    <w:p w14:paraId="31388D40" w14:textId="77777777" w:rsidR="00026EBE" w:rsidRPr="00D27219" w:rsidRDefault="00026EBE" w:rsidP="00026EBE">
      <w:pPr>
        <w:pStyle w:val="ListBullet"/>
      </w:pPr>
      <w:hyperlink r:id="rId46" w:history="1">
        <w:r w:rsidRPr="00D27219">
          <w:rPr>
            <w:rStyle w:val="Hyperlink"/>
            <w:rFonts w:cs="Arial"/>
          </w:rPr>
          <w:t>DRUGBANK</w:t>
        </w:r>
      </w:hyperlink>
      <w:r w:rsidRPr="00D27219">
        <w:t xml:space="preserve"> / University of Alberta et al., Canada</w:t>
      </w:r>
    </w:p>
    <w:p w14:paraId="618F9AA7" w14:textId="77777777" w:rsidR="00026EBE" w:rsidRPr="00D27219" w:rsidRDefault="00026EBE" w:rsidP="00026EBE">
      <w:pPr>
        <w:pStyle w:val="ListBullet"/>
      </w:pPr>
      <w:hyperlink r:id="rId47" w:history="1">
        <w:r w:rsidRPr="00D27219">
          <w:rPr>
            <w:rStyle w:val="Hyperlink"/>
            <w:rFonts w:cs="Arial"/>
          </w:rPr>
          <w:t>Health Canada</w:t>
        </w:r>
      </w:hyperlink>
      <w:r w:rsidRPr="00D27219">
        <w:t xml:space="preserve"> </w:t>
      </w:r>
    </w:p>
    <w:p w14:paraId="5D2CE0AB" w14:textId="77777777" w:rsidR="00026EBE" w:rsidRPr="00D27219" w:rsidRDefault="00026EBE" w:rsidP="00026EBE">
      <w:pPr>
        <w:rPr>
          <w:rFonts w:cs="Arial"/>
        </w:rPr>
      </w:pPr>
      <w:r w:rsidRPr="00D27219">
        <w:rPr>
          <w:rFonts w:cs="Arial"/>
        </w:rPr>
        <w:t>Non-Government:</w:t>
      </w:r>
    </w:p>
    <w:p w14:paraId="1DB3DE75" w14:textId="77777777" w:rsidR="00026EBE" w:rsidRPr="00D27219" w:rsidRDefault="00026EBE" w:rsidP="00026EBE">
      <w:pPr>
        <w:pStyle w:val="ListBullet"/>
      </w:pPr>
      <w:r w:rsidRPr="00D27219">
        <w:t xml:space="preserve">Environmental Working Group </w:t>
      </w:r>
      <w:hyperlink r:id="rId48" w:history="1">
        <w:r w:rsidRPr="00D27219">
          <w:rPr>
            <w:rStyle w:val="Hyperlink"/>
            <w:rFonts w:cs="Arial"/>
          </w:rPr>
          <w:t>https://www.ewg.org/</w:t>
        </w:r>
      </w:hyperlink>
      <w:r w:rsidRPr="00D27219">
        <w:t xml:space="preserve"> (non-profit)</w:t>
      </w:r>
    </w:p>
    <w:p w14:paraId="1869FC48" w14:textId="77777777" w:rsidR="00026EBE" w:rsidRPr="00D27219" w:rsidRDefault="00026EBE" w:rsidP="00026EBE">
      <w:pPr>
        <w:pStyle w:val="ListBullet"/>
      </w:pPr>
      <w:r w:rsidRPr="00D27219">
        <w:t xml:space="preserve">Food Packaging Forum </w:t>
      </w:r>
      <w:hyperlink r:id="rId49" w:history="1">
        <w:r w:rsidRPr="00D27219">
          <w:rPr>
            <w:rStyle w:val="Hyperlink"/>
            <w:rFonts w:cs="Arial"/>
          </w:rPr>
          <w:t>https://www.foodpackagingforum.org/</w:t>
        </w:r>
      </w:hyperlink>
    </w:p>
    <w:p w14:paraId="35001E77" w14:textId="77777777" w:rsidR="00026EBE" w:rsidRPr="00D27219" w:rsidRDefault="00026EBE" w:rsidP="00026EBE">
      <w:pPr>
        <w:pStyle w:val="ListBullet"/>
      </w:pPr>
      <w:r w:rsidRPr="00D27219">
        <w:t xml:space="preserve">International Toxicity Estimates for Risk (ITER) </w:t>
      </w:r>
      <w:hyperlink r:id="rId50" w:history="1">
        <w:r w:rsidRPr="00D27219">
          <w:rPr>
            <w:rStyle w:val="Hyperlink"/>
            <w:rFonts w:cs="Arial"/>
          </w:rPr>
          <w:t>http://www.iter.tera.org/</w:t>
        </w:r>
      </w:hyperlink>
      <w:r w:rsidRPr="00D27219">
        <w:t xml:space="preserve">. </w:t>
      </w:r>
      <w:proofErr w:type="gramStart"/>
      <w:r w:rsidRPr="00D27219">
        <w:t>similar to</w:t>
      </w:r>
      <w:proofErr w:type="gramEnd"/>
      <w:r w:rsidRPr="00D27219">
        <w:t xml:space="preserve"> PubChem. </w:t>
      </w:r>
    </w:p>
    <w:p w14:paraId="219927DD" w14:textId="609D7992" w:rsidR="00026EBE" w:rsidRDefault="00026EBE" w:rsidP="00026EBE">
      <w:pPr>
        <w:rPr>
          <w:rStyle w:val="Hyperlink"/>
          <w:rFonts w:cs="Arial"/>
        </w:rPr>
      </w:pPr>
      <w:r w:rsidRPr="00D27219">
        <w:t xml:space="preserve">Cosmetic Ingredient Review (CIR) </w:t>
      </w:r>
      <w:hyperlink r:id="rId51" w:history="1">
        <w:r w:rsidRPr="00D27219">
          <w:rPr>
            <w:rStyle w:val="Hyperlink"/>
            <w:rFonts w:cs="Arial"/>
          </w:rPr>
          <w:t>https://www.cir-safety.org/</w:t>
        </w:r>
      </w:hyperlink>
    </w:p>
    <w:p w14:paraId="15D5B628" w14:textId="70708E50" w:rsidR="00026EBE" w:rsidRDefault="00423137" w:rsidP="00E94C79">
      <w:pPr>
        <w:pStyle w:val="Tabletitle"/>
        <w:pageBreakBefore/>
      </w:pPr>
      <w:bookmarkStart w:id="157" w:name="_Toc100664728"/>
      <w:bookmarkStart w:id="158" w:name="_Toc157439293"/>
      <w:bookmarkStart w:id="159" w:name="_Toc173830136"/>
      <w:bookmarkStart w:id="160" w:name="_Toc189819971"/>
      <w:r>
        <w:t>Table 2: List of endocrine activity modulation effects of commonly used UV filters</w:t>
      </w:r>
      <w:bookmarkEnd w:id="157"/>
      <w:bookmarkEnd w:id="158"/>
      <w:bookmarkEnd w:id="159"/>
      <w:bookmarkEnd w:id="160"/>
    </w:p>
    <w:tbl>
      <w:tblPr>
        <w:tblStyle w:val="TableTGAblue2023"/>
        <w:tblW w:w="0" w:type="auto"/>
        <w:tblLook w:val="04A0" w:firstRow="1" w:lastRow="0" w:firstColumn="1" w:lastColumn="0" w:noHBand="0" w:noVBand="1"/>
      </w:tblPr>
      <w:tblGrid>
        <w:gridCol w:w="3005"/>
        <w:gridCol w:w="3005"/>
        <w:gridCol w:w="3006"/>
      </w:tblGrid>
      <w:tr w:rsidR="00423137" w14:paraId="0DAD2EBB" w14:textId="77777777" w:rsidTr="004663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9228F7D" w14:textId="49C52486" w:rsidR="00423137" w:rsidRDefault="00423137" w:rsidP="00423137">
            <w:r w:rsidRPr="00D17318">
              <w:rPr>
                <w:bCs/>
                <w:sz w:val="20"/>
                <w:szCs w:val="20"/>
              </w:rPr>
              <w:t>UV Filters</w:t>
            </w:r>
          </w:p>
        </w:tc>
        <w:tc>
          <w:tcPr>
            <w:tcW w:w="6011" w:type="dxa"/>
            <w:gridSpan w:val="2"/>
          </w:tcPr>
          <w:p w14:paraId="149405BF" w14:textId="6D196437" w:rsidR="00423137" w:rsidRDefault="00423137" w:rsidP="00423137">
            <w:pPr>
              <w:cnfStyle w:val="100000000000" w:firstRow="1" w:lastRow="0" w:firstColumn="0" w:lastColumn="0" w:oddVBand="0" w:evenVBand="0" w:oddHBand="0" w:evenHBand="0" w:firstRowFirstColumn="0" w:firstRowLastColumn="0" w:lastRowFirstColumn="0" w:lastRowLastColumn="0"/>
            </w:pPr>
            <w:r w:rsidRPr="00D17318">
              <w:rPr>
                <w:bCs/>
                <w:sz w:val="20"/>
                <w:szCs w:val="20"/>
              </w:rPr>
              <w:t>Endocrine disrupting effects</w:t>
            </w:r>
          </w:p>
        </w:tc>
      </w:tr>
      <w:tr w:rsidR="00423137" w14:paraId="57567DB4" w14:textId="77777777" w:rsidTr="00423137">
        <w:tc>
          <w:tcPr>
            <w:cnfStyle w:val="001000000000" w:firstRow="0" w:lastRow="0" w:firstColumn="1" w:lastColumn="0" w:oddVBand="0" w:evenVBand="0" w:oddHBand="0" w:evenHBand="0" w:firstRowFirstColumn="0" w:firstRowLastColumn="0" w:lastRowFirstColumn="0" w:lastRowLastColumn="0"/>
            <w:tcW w:w="3005" w:type="dxa"/>
            <w:vMerge w:val="restart"/>
          </w:tcPr>
          <w:p w14:paraId="47E67434" w14:textId="703472B3" w:rsidR="00423137" w:rsidRDefault="00423137" w:rsidP="00423137">
            <w:r>
              <w:rPr>
                <w:szCs w:val="18"/>
              </w:rPr>
              <w:t>Benzophenones</w:t>
            </w:r>
          </w:p>
        </w:tc>
        <w:tc>
          <w:tcPr>
            <w:tcW w:w="3005" w:type="dxa"/>
          </w:tcPr>
          <w:p w14:paraId="6F04D889" w14:textId="37B1E4C2"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Estrogenic disrupting effects</w:t>
            </w:r>
          </w:p>
        </w:tc>
        <w:tc>
          <w:tcPr>
            <w:tcW w:w="3006" w:type="dxa"/>
          </w:tcPr>
          <w:p w14:paraId="27F40452" w14:textId="3EA1AEC9"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Activation of ERα, ERβ; Inhibition of the activity of 17β-</w:t>
            </w:r>
            <w:proofErr w:type="spellStart"/>
            <w:r>
              <w:rPr>
                <w:szCs w:val="18"/>
              </w:rPr>
              <w:t>Estradiol</w:t>
            </w:r>
            <w:proofErr w:type="spellEnd"/>
            <w:r>
              <w:rPr>
                <w:szCs w:val="18"/>
              </w:rPr>
              <w:t>; Induction of proliferation of MCF-7 cell; Induction of VTG in fathead minnow; Reduction of the uterine weight in immature Long-Evans rats.</w:t>
            </w:r>
          </w:p>
        </w:tc>
      </w:tr>
      <w:tr w:rsidR="00423137" w14:paraId="2C44CA78" w14:textId="77777777" w:rsidTr="00423137">
        <w:tc>
          <w:tcPr>
            <w:cnfStyle w:val="001000000000" w:firstRow="0" w:lastRow="0" w:firstColumn="1" w:lastColumn="0" w:oddVBand="0" w:evenVBand="0" w:oddHBand="0" w:evenHBand="0" w:firstRowFirstColumn="0" w:firstRowLastColumn="0" w:lastRowFirstColumn="0" w:lastRowLastColumn="0"/>
            <w:tcW w:w="3005" w:type="dxa"/>
            <w:vMerge/>
          </w:tcPr>
          <w:p w14:paraId="2C2139E9" w14:textId="77777777" w:rsidR="00423137" w:rsidRDefault="00423137" w:rsidP="00423137"/>
        </w:tc>
        <w:tc>
          <w:tcPr>
            <w:tcW w:w="3005" w:type="dxa"/>
          </w:tcPr>
          <w:p w14:paraId="11B7591E" w14:textId="5BBB2A5D"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Androgenic disrupting effects</w:t>
            </w:r>
          </w:p>
        </w:tc>
        <w:tc>
          <w:tcPr>
            <w:tcW w:w="3006" w:type="dxa"/>
          </w:tcPr>
          <w:p w14:paraId="41E29396" w14:textId="3655075B"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 xml:space="preserve">Antagonists of human AR transactivation; Repression of 4.5dihydrotestosterone-induced </w:t>
            </w:r>
            <w:proofErr w:type="spellStart"/>
            <w:r>
              <w:rPr>
                <w:szCs w:val="18"/>
              </w:rPr>
              <w:t>transactivational</w:t>
            </w:r>
            <w:proofErr w:type="spellEnd"/>
            <w:r>
              <w:rPr>
                <w:szCs w:val="18"/>
              </w:rPr>
              <w:t xml:space="preserve"> activity; Inhibition of testosterone formation in mice and rats.</w:t>
            </w:r>
          </w:p>
        </w:tc>
      </w:tr>
      <w:tr w:rsidR="00423137" w14:paraId="33DA62A1" w14:textId="77777777" w:rsidTr="00423137">
        <w:tc>
          <w:tcPr>
            <w:cnfStyle w:val="001000000000" w:firstRow="0" w:lastRow="0" w:firstColumn="1" w:lastColumn="0" w:oddVBand="0" w:evenVBand="0" w:oddHBand="0" w:evenHBand="0" w:firstRowFirstColumn="0" w:firstRowLastColumn="0" w:lastRowFirstColumn="0" w:lastRowLastColumn="0"/>
            <w:tcW w:w="3005" w:type="dxa"/>
            <w:vMerge/>
          </w:tcPr>
          <w:p w14:paraId="6618236D" w14:textId="77777777" w:rsidR="00423137" w:rsidRDefault="00423137" w:rsidP="00423137"/>
        </w:tc>
        <w:tc>
          <w:tcPr>
            <w:tcW w:w="3005" w:type="dxa"/>
          </w:tcPr>
          <w:p w14:paraId="4713F187" w14:textId="7707F22A"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Disrupting effects toward other nuclear receptors</w:t>
            </w:r>
          </w:p>
        </w:tc>
        <w:tc>
          <w:tcPr>
            <w:tcW w:w="3006" w:type="dxa"/>
          </w:tcPr>
          <w:p w14:paraId="63259538" w14:textId="06E239BC"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Inhibition of human recombinant TPO; Interference with THR; Inhibition of TPO activity in rats; Antagonists of PR</w:t>
            </w:r>
          </w:p>
        </w:tc>
      </w:tr>
      <w:tr w:rsidR="00423137" w14:paraId="682EA00A" w14:textId="77777777" w:rsidTr="00423137">
        <w:tc>
          <w:tcPr>
            <w:cnfStyle w:val="001000000000" w:firstRow="0" w:lastRow="0" w:firstColumn="1" w:lastColumn="0" w:oddVBand="0" w:evenVBand="0" w:oddHBand="0" w:evenHBand="0" w:firstRowFirstColumn="0" w:firstRowLastColumn="0" w:lastRowFirstColumn="0" w:lastRowLastColumn="0"/>
            <w:tcW w:w="3005" w:type="dxa"/>
            <w:vMerge w:val="restart"/>
          </w:tcPr>
          <w:p w14:paraId="5C0699CC" w14:textId="671C95E4" w:rsidR="00423137" w:rsidRDefault="00423137" w:rsidP="00423137">
            <w:r>
              <w:rPr>
                <w:szCs w:val="18"/>
              </w:rPr>
              <w:t>Camphor derivatives</w:t>
            </w:r>
          </w:p>
        </w:tc>
        <w:tc>
          <w:tcPr>
            <w:tcW w:w="3005" w:type="dxa"/>
          </w:tcPr>
          <w:p w14:paraId="044702C0" w14:textId="23AF751F"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Disrupting effects toward estrogen receptor</w:t>
            </w:r>
          </w:p>
        </w:tc>
        <w:tc>
          <w:tcPr>
            <w:tcW w:w="3006" w:type="dxa"/>
          </w:tcPr>
          <w:p w14:paraId="334138D9" w14:textId="1D2CF65D"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Activation of ERα, ERβ; Inhibition of the activity of 17β-</w:t>
            </w:r>
            <w:proofErr w:type="spellStart"/>
            <w:r>
              <w:rPr>
                <w:szCs w:val="18"/>
              </w:rPr>
              <w:t>Estradiol</w:t>
            </w:r>
            <w:proofErr w:type="spellEnd"/>
            <w:r>
              <w:rPr>
                <w:szCs w:val="18"/>
              </w:rPr>
              <w:t xml:space="preserve">; Inhibition of testosterone formation in HEK-293 cells; Antagonist of Human AR. </w:t>
            </w:r>
          </w:p>
        </w:tc>
      </w:tr>
      <w:tr w:rsidR="00423137" w14:paraId="73B893AE" w14:textId="77777777" w:rsidTr="00423137">
        <w:tc>
          <w:tcPr>
            <w:cnfStyle w:val="001000000000" w:firstRow="0" w:lastRow="0" w:firstColumn="1" w:lastColumn="0" w:oddVBand="0" w:evenVBand="0" w:oddHBand="0" w:evenHBand="0" w:firstRowFirstColumn="0" w:firstRowLastColumn="0" w:lastRowFirstColumn="0" w:lastRowLastColumn="0"/>
            <w:tcW w:w="3005" w:type="dxa"/>
            <w:vMerge/>
          </w:tcPr>
          <w:p w14:paraId="5FBE9D36" w14:textId="77777777" w:rsidR="00423137" w:rsidRDefault="00423137" w:rsidP="00423137"/>
        </w:tc>
        <w:tc>
          <w:tcPr>
            <w:tcW w:w="3005" w:type="dxa"/>
          </w:tcPr>
          <w:p w14:paraId="2EA20AF1" w14:textId="60F407EE"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Disrupting effects toward androgen receptor</w:t>
            </w:r>
          </w:p>
        </w:tc>
        <w:tc>
          <w:tcPr>
            <w:tcW w:w="3006" w:type="dxa"/>
          </w:tcPr>
          <w:p w14:paraId="198A8FBA" w14:textId="0CE10D81"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 xml:space="preserve">Repression of 4,5-dihydrotestosterone-induced </w:t>
            </w:r>
            <w:proofErr w:type="spellStart"/>
            <w:r>
              <w:rPr>
                <w:szCs w:val="18"/>
              </w:rPr>
              <w:t>transactivational</w:t>
            </w:r>
            <w:proofErr w:type="spellEnd"/>
            <w:r>
              <w:rPr>
                <w:szCs w:val="18"/>
              </w:rPr>
              <w:t xml:space="preserve"> activity; Inhibition of testosterone formation in HEK-293 cells; Antagonists of Human AR.</w:t>
            </w:r>
          </w:p>
        </w:tc>
      </w:tr>
      <w:tr w:rsidR="00423137" w14:paraId="75C1AFA6" w14:textId="77777777" w:rsidTr="00423137">
        <w:tc>
          <w:tcPr>
            <w:cnfStyle w:val="001000000000" w:firstRow="0" w:lastRow="0" w:firstColumn="1" w:lastColumn="0" w:oddVBand="0" w:evenVBand="0" w:oddHBand="0" w:evenHBand="0" w:firstRowFirstColumn="0" w:firstRowLastColumn="0" w:lastRowFirstColumn="0" w:lastRowLastColumn="0"/>
            <w:tcW w:w="3005" w:type="dxa"/>
            <w:vMerge/>
          </w:tcPr>
          <w:p w14:paraId="0B06747F" w14:textId="77777777" w:rsidR="00423137" w:rsidRDefault="00423137" w:rsidP="00423137"/>
        </w:tc>
        <w:tc>
          <w:tcPr>
            <w:tcW w:w="3005" w:type="dxa"/>
          </w:tcPr>
          <w:p w14:paraId="11AFF066" w14:textId="30CFD1C0"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Disrupting effects toward estrogen receptor</w:t>
            </w:r>
          </w:p>
        </w:tc>
        <w:tc>
          <w:tcPr>
            <w:tcW w:w="3006" w:type="dxa"/>
          </w:tcPr>
          <w:p w14:paraId="25A63EBD" w14:textId="2FAE7BF5"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Antagonists of PR; Increase of PR mRNA levels in rats; Inhibition of the expression of PR protein in rats; Disturbance of the expression of membrane-associate PR in insects.</w:t>
            </w:r>
          </w:p>
        </w:tc>
      </w:tr>
      <w:tr w:rsidR="00423137" w14:paraId="4668912D" w14:textId="77777777" w:rsidTr="00423137">
        <w:tc>
          <w:tcPr>
            <w:cnfStyle w:val="001000000000" w:firstRow="0" w:lastRow="0" w:firstColumn="1" w:lastColumn="0" w:oddVBand="0" w:evenVBand="0" w:oddHBand="0" w:evenHBand="0" w:firstRowFirstColumn="0" w:firstRowLastColumn="0" w:lastRowFirstColumn="0" w:lastRowLastColumn="0"/>
            <w:tcW w:w="3005" w:type="dxa"/>
            <w:vMerge w:val="restart"/>
          </w:tcPr>
          <w:p w14:paraId="227C6F17" w14:textId="28DBEF7C" w:rsidR="00423137" w:rsidRDefault="00423137" w:rsidP="00423137">
            <w:r>
              <w:rPr>
                <w:szCs w:val="18"/>
              </w:rPr>
              <w:t>Cinnamate derivatives</w:t>
            </w:r>
          </w:p>
        </w:tc>
        <w:tc>
          <w:tcPr>
            <w:tcW w:w="3005" w:type="dxa"/>
          </w:tcPr>
          <w:p w14:paraId="1ABE7B88" w14:textId="43551735"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Disrupting effects toward estrogen receptor</w:t>
            </w:r>
          </w:p>
        </w:tc>
        <w:tc>
          <w:tcPr>
            <w:tcW w:w="3006" w:type="dxa"/>
          </w:tcPr>
          <w:p w14:paraId="1895D066" w14:textId="3268147C"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Activation of ERα; Inhibition of the activity of 17β-</w:t>
            </w:r>
            <w:proofErr w:type="spellStart"/>
            <w:r>
              <w:rPr>
                <w:szCs w:val="18"/>
              </w:rPr>
              <w:t>Estradiol</w:t>
            </w:r>
            <w:proofErr w:type="spellEnd"/>
            <w:r>
              <w:rPr>
                <w:szCs w:val="18"/>
              </w:rPr>
              <w:t>; Induction of proliferation of MCF-7 cell; Reduction of uterine weight in rats; Induction of VTG in fish.</w:t>
            </w:r>
          </w:p>
        </w:tc>
      </w:tr>
      <w:tr w:rsidR="00423137" w14:paraId="525E7B52" w14:textId="77777777" w:rsidTr="00423137">
        <w:tc>
          <w:tcPr>
            <w:cnfStyle w:val="001000000000" w:firstRow="0" w:lastRow="0" w:firstColumn="1" w:lastColumn="0" w:oddVBand="0" w:evenVBand="0" w:oddHBand="0" w:evenHBand="0" w:firstRowFirstColumn="0" w:firstRowLastColumn="0" w:lastRowFirstColumn="0" w:lastRowLastColumn="0"/>
            <w:tcW w:w="3005" w:type="dxa"/>
            <w:vMerge/>
          </w:tcPr>
          <w:p w14:paraId="1BF450DE" w14:textId="77777777" w:rsidR="00423137" w:rsidRDefault="00423137" w:rsidP="00423137"/>
        </w:tc>
        <w:tc>
          <w:tcPr>
            <w:tcW w:w="3005" w:type="dxa"/>
          </w:tcPr>
          <w:p w14:paraId="06CF1A69" w14:textId="5DE6B6C8"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Disrupting effects toward thyroid hormone receptor</w:t>
            </w:r>
          </w:p>
        </w:tc>
        <w:tc>
          <w:tcPr>
            <w:tcW w:w="3006" w:type="dxa"/>
          </w:tcPr>
          <w:p w14:paraId="5234E5BE" w14:textId="76FEF969"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Decrease of T4 levels; Inhibition of the conversion of T4 to triiodothyronine in rats.</w:t>
            </w:r>
          </w:p>
        </w:tc>
      </w:tr>
      <w:tr w:rsidR="00423137" w14:paraId="2CE7304D" w14:textId="77777777" w:rsidTr="00423137">
        <w:tc>
          <w:tcPr>
            <w:cnfStyle w:val="001000000000" w:firstRow="0" w:lastRow="0" w:firstColumn="1" w:lastColumn="0" w:oddVBand="0" w:evenVBand="0" w:oddHBand="0" w:evenHBand="0" w:firstRowFirstColumn="0" w:firstRowLastColumn="0" w:lastRowFirstColumn="0" w:lastRowLastColumn="0"/>
            <w:tcW w:w="3005" w:type="dxa"/>
            <w:vMerge/>
          </w:tcPr>
          <w:p w14:paraId="150BF910" w14:textId="77777777" w:rsidR="00423137" w:rsidRDefault="00423137" w:rsidP="00423137"/>
        </w:tc>
        <w:tc>
          <w:tcPr>
            <w:tcW w:w="3005" w:type="dxa"/>
          </w:tcPr>
          <w:p w14:paraId="075E8946" w14:textId="2EB31A6C"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Disrupting effects toward other nuclear receptors</w:t>
            </w:r>
          </w:p>
        </w:tc>
        <w:tc>
          <w:tcPr>
            <w:tcW w:w="3006" w:type="dxa"/>
          </w:tcPr>
          <w:p w14:paraId="50C4E738" w14:textId="28095CA8" w:rsidR="00423137" w:rsidRDefault="00423137" w:rsidP="00423137">
            <w:pPr>
              <w:cnfStyle w:val="000000000000" w:firstRow="0" w:lastRow="0" w:firstColumn="0" w:lastColumn="0" w:oddVBand="0" w:evenVBand="0" w:oddHBand="0" w:evenHBand="0" w:firstRowFirstColumn="0" w:firstRowLastColumn="0" w:lastRowFirstColumn="0" w:lastRowLastColumn="0"/>
            </w:pPr>
            <w:r>
              <w:rPr>
                <w:szCs w:val="18"/>
              </w:rPr>
              <w:t>Antagonists of PR and AR; Inhibition of 4,5-dihydrotestosterone activity; Reduction of prostate and testicular weight in rats.</w:t>
            </w:r>
          </w:p>
        </w:tc>
      </w:tr>
    </w:tbl>
    <w:p w14:paraId="0F630BE1" w14:textId="56707213" w:rsidR="00423137" w:rsidRPr="00D37557" w:rsidRDefault="00423137" w:rsidP="00423137">
      <w:pPr>
        <w:pStyle w:val="Tabledescription"/>
      </w:pPr>
      <w:r w:rsidRPr="00D37557">
        <w:t>AR: androgen receptor; ER: estrogen receptor alpha; PR: progesterone receptor; T4: thyroxine; THR: thyroid hormone receptor; TPO: thyroid peroxidase; VTG: vitellogenin.</w:t>
      </w:r>
      <w:r>
        <w:br/>
      </w:r>
      <w:r w:rsidRPr="00D37557">
        <w:t xml:space="preserve">Source:  Wang </w:t>
      </w:r>
      <w:r w:rsidRPr="00D37557">
        <w:rPr>
          <w:i/>
          <w:iCs/>
        </w:rPr>
        <w:t>et al.,</w:t>
      </w:r>
      <w:r w:rsidRPr="00D37557">
        <w:t xml:space="preserve"> 2016</w:t>
      </w:r>
    </w:p>
    <w:p w14:paraId="34EFA962" w14:textId="77777777" w:rsidR="00423137" w:rsidRPr="00423137" w:rsidRDefault="00423137" w:rsidP="00E94C79">
      <w:pPr>
        <w:pStyle w:val="Heading2"/>
      </w:pPr>
      <w:bookmarkStart w:id="161" w:name="_Ref83043989"/>
      <w:bookmarkStart w:id="162" w:name="_Toc100664731"/>
      <w:bookmarkStart w:id="163" w:name="_Toc157439297"/>
      <w:bookmarkStart w:id="164" w:name="_Toc173830137"/>
      <w:bookmarkStart w:id="165" w:name="_Toc189819972"/>
      <w:bookmarkStart w:id="166" w:name="_Toc190081241"/>
      <w:r w:rsidRPr="00423137">
        <w:t>BIBLIOGRAPHY</w:t>
      </w:r>
      <w:bookmarkEnd w:id="161"/>
      <w:bookmarkEnd w:id="162"/>
      <w:bookmarkEnd w:id="163"/>
      <w:bookmarkEnd w:id="164"/>
      <w:bookmarkEnd w:id="165"/>
      <w:bookmarkEnd w:id="166"/>
    </w:p>
    <w:p w14:paraId="6941DB42" w14:textId="77777777" w:rsidR="00423137" w:rsidRPr="00423137" w:rsidRDefault="00423137" w:rsidP="00423137">
      <w:r w:rsidRPr="00423137">
        <w:t xml:space="preserve">Aerts O., Goossens A., </w:t>
      </w:r>
      <w:proofErr w:type="spellStart"/>
      <w:r w:rsidRPr="00423137">
        <w:t>Bervoets</w:t>
      </w:r>
      <w:proofErr w:type="spellEnd"/>
      <w:r w:rsidRPr="00423137">
        <w:t xml:space="preserve"> A., Lambert J. (2016). Almost missed it! </w:t>
      </w:r>
      <w:proofErr w:type="spellStart"/>
      <w:r w:rsidRPr="00423137">
        <w:t>Photocontact</w:t>
      </w:r>
      <w:proofErr w:type="spellEnd"/>
      <w:r w:rsidRPr="00423137">
        <w:t xml:space="preserve"> allergy to octocrylene in a ketoprofen-sensitized subject. </w:t>
      </w:r>
      <w:r w:rsidRPr="00423137">
        <w:rPr>
          <w:i/>
        </w:rPr>
        <w:t>Dermatitis.</w:t>
      </w:r>
      <w:r w:rsidRPr="00423137">
        <w:t xml:space="preserve"> 27: 33–34.</w:t>
      </w:r>
    </w:p>
    <w:p w14:paraId="1E8557D5" w14:textId="77777777" w:rsidR="00423137" w:rsidRPr="00423137" w:rsidRDefault="00423137" w:rsidP="00423137">
      <w:r w:rsidRPr="00423137">
        <w:t xml:space="preserve">Ahn S., An S., Lee M., Lee E., Pyo J.J., Kim J.H. et al. (2019). A long-wave UVA filter avobenzone induces obesogenic phenotypes in normal human epidermal keratinocytes and mesenchymal stem cells. </w:t>
      </w:r>
      <w:r w:rsidRPr="00423137">
        <w:rPr>
          <w:i/>
          <w:iCs/>
        </w:rPr>
        <w:t xml:space="preserve">Arch. </w:t>
      </w:r>
      <w:proofErr w:type="spellStart"/>
      <w:r w:rsidRPr="00423137">
        <w:rPr>
          <w:i/>
          <w:iCs/>
        </w:rPr>
        <w:t>Toxicol</w:t>
      </w:r>
      <w:proofErr w:type="spellEnd"/>
      <w:r w:rsidRPr="00423137">
        <w:rPr>
          <w:i/>
          <w:iCs/>
        </w:rPr>
        <w:t>.</w:t>
      </w:r>
      <w:r w:rsidRPr="00423137">
        <w:t xml:space="preserve"> 93: 1903–1915.</w:t>
      </w:r>
    </w:p>
    <w:p w14:paraId="7C874C95" w14:textId="77777777" w:rsidR="00423137" w:rsidRPr="00423137" w:rsidRDefault="00423137" w:rsidP="00423137">
      <w:r w:rsidRPr="00423137">
        <w:t xml:space="preserve">Andersson N., </w:t>
      </w:r>
      <w:r w:rsidRPr="00423137">
        <w:rPr>
          <w:i/>
        </w:rPr>
        <w:t>et al.</w:t>
      </w:r>
      <w:r w:rsidRPr="00423137">
        <w:t xml:space="preserve"> (2018). Guidance for the identiﬁcation of endocrine disruptors in the context of Regulations (EU) No 528/2012 and (EC) No 1107/2009. </w:t>
      </w:r>
      <w:r w:rsidRPr="00423137">
        <w:rPr>
          <w:i/>
        </w:rPr>
        <w:t>EFSA Journal</w:t>
      </w:r>
      <w:r w:rsidRPr="00423137">
        <w:t xml:space="preserve">. 16(6): e5311. </w:t>
      </w:r>
    </w:p>
    <w:p w14:paraId="6D91F7E6" w14:textId="77777777" w:rsidR="00423137" w:rsidRPr="00423137" w:rsidRDefault="00423137" w:rsidP="00423137">
      <w:r w:rsidRPr="00423137">
        <w:t>Australian/New Zealand Standard (AS/NZS) 2604:2021 Sunscreen products – Evaluation and classification. Retrieved from</w:t>
      </w:r>
      <w:r w:rsidRPr="00423137">
        <w:rPr>
          <w:i/>
          <w:iCs/>
        </w:rPr>
        <w:t xml:space="preserve"> </w:t>
      </w:r>
      <w:hyperlink r:id="rId52" w:history="1">
        <w:r w:rsidRPr="00423137">
          <w:rPr>
            <w:rStyle w:val="Hyperlink"/>
          </w:rPr>
          <w:t>https://store.standards.org.au/product/as-nzs-2604-2021</w:t>
        </w:r>
      </w:hyperlink>
      <w:r w:rsidRPr="00423137">
        <w:t xml:space="preserve"> </w:t>
      </w:r>
    </w:p>
    <w:p w14:paraId="13E0117E" w14:textId="77777777" w:rsidR="00423137" w:rsidRPr="00423137" w:rsidRDefault="00423137" w:rsidP="00423137">
      <w:r w:rsidRPr="00423137">
        <w:t xml:space="preserve">Avenel-Audran M., </w:t>
      </w:r>
      <w:proofErr w:type="spellStart"/>
      <w:r w:rsidRPr="00423137">
        <w:t>Dutartre</w:t>
      </w:r>
      <w:proofErr w:type="spellEnd"/>
      <w:r w:rsidRPr="00423137">
        <w:t xml:space="preserve"> H., Goossens A., </w:t>
      </w:r>
      <w:r w:rsidRPr="00423137">
        <w:rPr>
          <w:i/>
        </w:rPr>
        <w:t>et al.</w:t>
      </w:r>
      <w:r w:rsidRPr="00423137">
        <w:t xml:space="preserve"> (2010). Octocrylene, an emerging </w:t>
      </w:r>
      <w:proofErr w:type="spellStart"/>
      <w:r w:rsidRPr="00423137">
        <w:t>photoallergen</w:t>
      </w:r>
      <w:proofErr w:type="spellEnd"/>
      <w:r w:rsidRPr="00423137">
        <w:t xml:space="preserve">. </w:t>
      </w:r>
      <w:r w:rsidRPr="00423137">
        <w:rPr>
          <w:i/>
        </w:rPr>
        <w:t>Arch. Dermatol</w:t>
      </w:r>
      <w:r w:rsidRPr="00423137">
        <w:t>. 146: 753–757.</w:t>
      </w:r>
    </w:p>
    <w:p w14:paraId="160BC7A6" w14:textId="77777777" w:rsidR="00423137" w:rsidRPr="00423137" w:rsidRDefault="00423137" w:rsidP="00423137">
      <w:proofErr w:type="spellStart"/>
      <w:r w:rsidRPr="00423137">
        <w:t>Axelstad</w:t>
      </w:r>
      <w:proofErr w:type="spellEnd"/>
      <w:r w:rsidRPr="00423137">
        <w:t xml:space="preserve"> M., </w:t>
      </w:r>
      <w:r w:rsidRPr="00423137">
        <w:rPr>
          <w:i/>
        </w:rPr>
        <w:t>et al.</w:t>
      </w:r>
      <w:r w:rsidRPr="00423137">
        <w:t xml:space="preserve"> (2011). Effects of pre- and postnatal exposure to the UV-filter Octyl Methoxycinnamate (OMC) on the reproductive, auditory and neurological development of rat offspring. </w:t>
      </w:r>
      <w:proofErr w:type="spellStart"/>
      <w:r w:rsidRPr="00423137">
        <w:rPr>
          <w:i/>
        </w:rPr>
        <w:t>Toxicol</w:t>
      </w:r>
      <w:proofErr w:type="spellEnd"/>
      <w:r w:rsidRPr="00423137">
        <w:rPr>
          <w:i/>
        </w:rPr>
        <w:t xml:space="preserve">. Applied </w:t>
      </w:r>
      <w:proofErr w:type="spellStart"/>
      <w:r w:rsidRPr="00423137">
        <w:rPr>
          <w:i/>
        </w:rPr>
        <w:t>Pharmacol</w:t>
      </w:r>
      <w:proofErr w:type="spellEnd"/>
      <w:r w:rsidRPr="00423137">
        <w:rPr>
          <w:i/>
        </w:rPr>
        <w:t>.</w:t>
      </w:r>
      <w:r w:rsidRPr="00423137">
        <w:t xml:space="preserve"> 250: 278–290.</w:t>
      </w:r>
    </w:p>
    <w:p w14:paraId="5CF6D99C" w14:textId="77777777" w:rsidR="00423137" w:rsidRPr="00423137" w:rsidRDefault="00423137" w:rsidP="00423137">
      <w:proofErr w:type="spellStart"/>
      <w:r w:rsidRPr="00423137">
        <w:t>Axelstad</w:t>
      </w:r>
      <w:proofErr w:type="spellEnd"/>
      <w:r w:rsidRPr="00423137">
        <w:t xml:space="preserve"> M., </w:t>
      </w:r>
      <w:r w:rsidRPr="00423137">
        <w:rPr>
          <w:i/>
        </w:rPr>
        <w:t>et al.</w:t>
      </w:r>
      <w:r w:rsidRPr="00423137">
        <w:t xml:space="preserve"> (2018). EDC IMPACT: reduced sperm counts in rats exposed to human relevant mixtures of endocrine disrupters. </w:t>
      </w:r>
      <w:proofErr w:type="spellStart"/>
      <w:r w:rsidRPr="00423137">
        <w:rPr>
          <w:i/>
        </w:rPr>
        <w:t>Endocr</w:t>
      </w:r>
      <w:proofErr w:type="spellEnd"/>
      <w:r w:rsidRPr="00423137">
        <w:rPr>
          <w:i/>
        </w:rPr>
        <w:t>. Connect.</w:t>
      </w:r>
      <w:r w:rsidRPr="00423137">
        <w:t xml:space="preserve"> 7: 139–148.</w:t>
      </w:r>
    </w:p>
    <w:p w14:paraId="05071941" w14:textId="77777777" w:rsidR="00423137" w:rsidRPr="00423137" w:rsidRDefault="00423137" w:rsidP="00423137">
      <w:proofErr w:type="spellStart"/>
      <w:r w:rsidRPr="00423137">
        <w:t>Axelstad</w:t>
      </w:r>
      <w:proofErr w:type="spellEnd"/>
      <w:r w:rsidRPr="00423137">
        <w:t xml:space="preserve"> M., Hass U., Kinnberg K.L., Bjerregaard P. (2013). Assessment of the endocrine disrupting potential of 23 UV-filters. Danish Centre on Endocrine Disrupters. Retrieved from </w:t>
      </w:r>
      <w:hyperlink r:id="rId53" w:history="1">
        <w:r w:rsidRPr="00423137">
          <w:rPr>
            <w:rStyle w:val="Hyperlink"/>
          </w:rPr>
          <w:t>http://www.cend.dk/files/UV-filter-rapport-28022013_40s388pi.pdf</w:t>
        </w:r>
      </w:hyperlink>
    </w:p>
    <w:p w14:paraId="7C609572" w14:textId="77777777" w:rsidR="00423137" w:rsidRPr="00423137" w:rsidRDefault="00423137" w:rsidP="00423137">
      <w:r w:rsidRPr="00423137">
        <w:t xml:space="preserve">Babich R., Hamlin H., Thayer L., Dorr M., Wei Z., Neilson A. et al. (2020). Mitochondrial response and resilience to anthropogenic chemicals during embryonic development. </w:t>
      </w:r>
      <w:r w:rsidRPr="00423137">
        <w:rPr>
          <w:i/>
          <w:iCs/>
        </w:rPr>
        <w:t xml:space="preserve">Comp. </w:t>
      </w:r>
      <w:proofErr w:type="spellStart"/>
      <w:r w:rsidRPr="00423137">
        <w:rPr>
          <w:i/>
          <w:iCs/>
        </w:rPr>
        <w:t>Biochem</w:t>
      </w:r>
      <w:proofErr w:type="spellEnd"/>
      <w:r w:rsidRPr="00423137">
        <w:rPr>
          <w:i/>
          <w:iCs/>
        </w:rPr>
        <w:t xml:space="preserve">. Physiol. C. </w:t>
      </w:r>
      <w:proofErr w:type="spellStart"/>
      <w:r w:rsidRPr="00423137">
        <w:rPr>
          <w:i/>
          <w:iCs/>
        </w:rPr>
        <w:t>Toxicol</w:t>
      </w:r>
      <w:proofErr w:type="spellEnd"/>
      <w:r w:rsidRPr="00423137">
        <w:rPr>
          <w:i/>
          <w:iCs/>
        </w:rPr>
        <w:t xml:space="preserve">. </w:t>
      </w:r>
      <w:proofErr w:type="spellStart"/>
      <w:r w:rsidRPr="00423137">
        <w:rPr>
          <w:i/>
          <w:iCs/>
        </w:rPr>
        <w:t>Pharmacol</w:t>
      </w:r>
      <w:proofErr w:type="spellEnd"/>
      <w:r w:rsidRPr="00423137">
        <w:rPr>
          <w:i/>
          <w:iCs/>
        </w:rPr>
        <w:t>.</w:t>
      </w:r>
      <w:r w:rsidRPr="00423137">
        <w:t xml:space="preserve"> 233: 108759.</w:t>
      </w:r>
    </w:p>
    <w:p w14:paraId="20523785" w14:textId="77777777" w:rsidR="00423137" w:rsidRPr="00423137" w:rsidRDefault="00423137" w:rsidP="00423137">
      <w:r w:rsidRPr="00423137">
        <w:t xml:space="preserve">Bai C., Dong H., Tao J., Chen Y., Xu H., Lin J., Huang C., Dong Q. (2023). Lifetime exposure to benzophenone-3 at an environmentally relevant concentration leads to female-biased social </w:t>
      </w:r>
      <w:proofErr w:type="spellStart"/>
      <w:r w:rsidRPr="00423137">
        <w:t>behavior</w:t>
      </w:r>
      <w:proofErr w:type="spellEnd"/>
      <w:r w:rsidRPr="00423137">
        <w:t xml:space="preserve"> and cognition deficits in zebrafish. </w:t>
      </w:r>
      <w:r w:rsidRPr="00423137">
        <w:rPr>
          <w:i/>
          <w:iCs/>
        </w:rPr>
        <w:t>Sci Tot Environ</w:t>
      </w:r>
      <w:r w:rsidRPr="00423137">
        <w:t xml:space="preserve"> 857 Part 3, 159733.</w:t>
      </w:r>
    </w:p>
    <w:p w14:paraId="0D289B99" w14:textId="77777777" w:rsidR="00423137" w:rsidRPr="00423137" w:rsidRDefault="00423137" w:rsidP="00423137">
      <w:r w:rsidRPr="00423137">
        <w:t xml:space="preserve">Barr L., Alamer M., </w:t>
      </w:r>
      <w:proofErr w:type="spellStart"/>
      <w:r w:rsidRPr="00423137">
        <w:t>Darbre</w:t>
      </w:r>
      <w:proofErr w:type="spellEnd"/>
      <w:r w:rsidRPr="00423137">
        <w:t xml:space="preserve"> P.D. (2018). Measurement of concentrations of four chemical ultraviolet filters in human breast tissue at serial locations across the breast, </w:t>
      </w:r>
      <w:r w:rsidRPr="00423137">
        <w:rPr>
          <w:i/>
          <w:iCs/>
        </w:rPr>
        <w:t xml:space="preserve">J. Appl. </w:t>
      </w:r>
      <w:proofErr w:type="spellStart"/>
      <w:r w:rsidRPr="00423137">
        <w:rPr>
          <w:i/>
          <w:iCs/>
        </w:rPr>
        <w:t>Toxicol</w:t>
      </w:r>
      <w:proofErr w:type="spellEnd"/>
      <w:r w:rsidRPr="00423137">
        <w:t xml:space="preserve">.; 38(8) 1112-1120. </w:t>
      </w:r>
    </w:p>
    <w:p w14:paraId="69E5EB7C" w14:textId="77777777" w:rsidR="00423137" w:rsidRPr="00423137" w:rsidRDefault="00423137" w:rsidP="00423137">
      <w:pPr>
        <w:rPr>
          <w:u w:val="single"/>
        </w:rPr>
      </w:pPr>
      <w:r w:rsidRPr="00423137">
        <w:t xml:space="preserve">BASF (1995). Penetration of </w:t>
      </w:r>
      <w:proofErr w:type="spellStart"/>
      <w:r w:rsidRPr="00423137">
        <w:t>Uvinul</w:t>
      </w:r>
      <w:proofErr w:type="spellEnd"/>
      <w:r w:rsidRPr="00423137">
        <w:t xml:space="preserve"> T 150 (5 % in a Sunscreen Formulation) through Human Epidermis in vitro. Amendment No. 1. to the Report, BASF. Department of Toxicology, 79 pp. Retrieved from </w:t>
      </w:r>
      <w:hyperlink r:id="rId54" w:history="1">
        <w:r w:rsidRPr="00423137">
          <w:rPr>
            <w:rStyle w:val="Hyperlink"/>
          </w:rPr>
          <w:t>http://www.fda.gov/ohrms/dockets/dailys/04/july04/070804/03n-0233-sup0002-018-tab-16-vol3.pdf</w:t>
        </w:r>
      </w:hyperlink>
    </w:p>
    <w:p w14:paraId="3487E903" w14:textId="77777777" w:rsidR="00423137" w:rsidRPr="00423137" w:rsidRDefault="00423137" w:rsidP="00423137">
      <w:proofErr w:type="spellStart"/>
      <w:r w:rsidRPr="00423137">
        <w:t>Berardesca</w:t>
      </w:r>
      <w:proofErr w:type="spellEnd"/>
      <w:r w:rsidRPr="00423137">
        <w:t xml:space="preserve"> E., </w:t>
      </w:r>
      <w:r w:rsidRPr="00423137">
        <w:rPr>
          <w:i/>
          <w:iCs/>
        </w:rPr>
        <w:t>et al</w:t>
      </w:r>
      <w:r w:rsidRPr="00423137">
        <w:t xml:space="preserve">. (2019). Review of the safety of octocrylene used as an ultraviolet filter in cosmetics. </w:t>
      </w:r>
      <w:r w:rsidRPr="00423137">
        <w:rPr>
          <w:i/>
        </w:rPr>
        <w:t xml:space="preserve">J. Eur. Acad. Dermatol. </w:t>
      </w:r>
      <w:proofErr w:type="spellStart"/>
      <w:r w:rsidRPr="00423137">
        <w:rPr>
          <w:i/>
        </w:rPr>
        <w:t>Venereol</w:t>
      </w:r>
      <w:proofErr w:type="spellEnd"/>
      <w:r w:rsidRPr="00423137">
        <w:rPr>
          <w:i/>
        </w:rPr>
        <w:t>.</w:t>
      </w:r>
      <w:r w:rsidRPr="00423137">
        <w:t xml:space="preserve"> 33(Suppl 7): 25–33. </w:t>
      </w:r>
    </w:p>
    <w:p w14:paraId="5D02E052" w14:textId="77777777" w:rsidR="00423137" w:rsidRPr="00423137" w:rsidRDefault="00423137" w:rsidP="00423137">
      <w:r w:rsidRPr="00423137">
        <w:t xml:space="preserve">Bremmer H.J., </w:t>
      </w:r>
      <w:proofErr w:type="spellStart"/>
      <w:r w:rsidRPr="00423137">
        <w:t>Prud'homme</w:t>
      </w:r>
      <w:proofErr w:type="spellEnd"/>
      <w:r w:rsidRPr="00423137">
        <w:t xml:space="preserve"> L.C.H., &amp; van Engelen J. (2006). General fact sheet - Limiting conditions and reliability, ventilation, room size, body surface area. Updated version for </w:t>
      </w:r>
      <w:proofErr w:type="spellStart"/>
      <w:r w:rsidRPr="00423137">
        <w:t>ConsExpo</w:t>
      </w:r>
      <w:proofErr w:type="spellEnd"/>
      <w:r w:rsidRPr="00423137">
        <w:t xml:space="preserve"> 4. RIVM report 320104002/2006.</w:t>
      </w:r>
    </w:p>
    <w:p w14:paraId="204976DD"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Bury D., </w:t>
      </w:r>
      <w:r w:rsidRPr="00AD1264">
        <w:rPr>
          <w:rFonts w:asciiTheme="minorHAnsi" w:hAnsiTheme="minorHAnsi" w:cstheme="minorHAnsi"/>
          <w:i/>
          <w:iCs/>
          <w:color w:val="auto"/>
          <w:sz w:val="22"/>
          <w:szCs w:val="22"/>
        </w:rPr>
        <w:t>et al</w:t>
      </w:r>
      <w:r w:rsidRPr="00AD1264">
        <w:rPr>
          <w:rFonts w:asciiTheme="minorHAnsi" w:hAnsiTheme="minorHAnsi" w:cstheme="minorHAnsi"/>
          <w:color w:val="auto"/>
          <w:sz w:val="22"/>
          <w:szCs w:val="22"/>
        </w:rPr>
        <w:t xml:space="preserve">. (2019). Urinary metabolites of the UV filter octocrylene in humans as biomarkers of exposure. </w:t>
      </w:r>
      <w:r w:rsidRPr="00AD1264">
        <w:rPr>
          <w:rFonts w:asciiTheme="minorHAnsi" w:hAnsiTheme="minorHAnsi" w:cstheme="minorHAnsi"/>
          <w:i/>
          <w:color w:val="auto"/>
          <w:sz w:val="22"/>
          <w:szCs w:val="22"/>
        </w:rPr>
        <w:t xml:space="preserve">Arch. </w:t>
      </w:r>
      <w:proofErr w:type="spellStart"/>
      <w:r w:rsidRPr="00AD1264">
        <w:rPr>
          <w:rFonts w:asciiTheme="minorHAnsi" w:hAnsiTheme="minorHAnsi" w:cstheme="minorHAnsi"/>
          <w:i/>
          <w:color w:val="auto"/>
          <w:sz w:val="22"/>
          <w:szCs w:val="22"/>
        </w:rPr>
        <w:t>Toxicol</w:t>
      </w:r>
      <w:proofErr w:type="spellEnd"/>
      <w:r w:rsidRPr="00AD1264">
        <w:rPr>
          <w:rFonts w:asciiTheme="minorHAnsi" w:hAnsiTheme="minorHAnsi" w:cstheme="minorHAnsi"/>
          <w:i/>
          <w:color w:val="auto"/>
          <w:sz w:val="22"/>
          <w:szCs w:val="22"/>
        </w:rPr>
        <w:t>.</w:t>
      </w:r>
      <w:r w:rsidRPr="00AD1264">
        <w:rPr>
          <w:rFonts w:asciiTheme="minorHAnsi" w:hAnsiTheme="minorHAnsi" w:cstheme="minorHAnsi"/>
          <w:color w:val="auto"/>
          <w:sz w:val="22"/>
          <w:szCs w:val="22"/>
        </w:rPr>
        <w:t xml:space="preserve"> 93(5): 1227-1238.</w:t>
      </w:r>
    </w:p>
    <w:p w14:paraId="3D61C8B6" w14:textId="77777777" w:rsidR="00423137" w:rsidRPr="00184DF4" w:rsidRDefault="00423137" w:rsidP="00423137">
      <w:pPr>
        <w:rPr>
          <w:rFonts w:asciiTheme="minorHAnsi" w:hAnsiTheme="minorHAnsi" w:cstheme="minorHAnsi"/>
          <w:sz w:val="22"/>
          <w:szCs w:val="22"/>
        </w:rPr>
      </w:pPr>
      <w:proofErr w:type="spellStart"/>
      <w:r w:rsidRPr="00184DF4">
        <w:rPr>
          <w:rFonts w:asciiTheme="minorHAnsi" w:hAnsiTheme="minorHAnsi" w:cstheme="minorHAnsi"/>
          <w:sz w:val="22"/>
          <w:szCs w:val="22"/>
        </w:rPr>
        <w:t>Cahova</w:t>
      </w:r>
      <w:proofErr w:type="spellEnd"/>
      <w:r w:rsidRPr="00184DF4">
        <w:rPr>
          <w:rFonts w:asciiTheme="minorHAnsi" w:hAnsiTheme="minorHAnsi" w:cstheme="minorHAnsi"/>
          <w:sz w:val="22"/>
          <w:szCs w:val="22"/>
        </w:rPr>
        <w:t xml:space="preserve"> J., </w:t>
      </w:r>
      <w:proofErr w:type="spellStart"/>
      <w:r w:rsidRPr="00184DF4">
        <w:rPr>
          <w:rFonts w:asciiTheme="minorHAnsi" w:hAnsiTheme="minorHAnsi" w:cstheme="minorHAnsi"/>
          <w:sz w:val="22"/>
          <w:szCs w:val="22"/>
        </w:rPr>
        <w:t>Blahova</w:t>
      </w:r>
      <w:proofErr w:type="spellEnd"/>
      <w:r w:rsidRPr="00184DF4">
        <w:rPr>
          <w:rFonts w:asciiTheme="minorHAnsi" w:hAnsiTheme="minorHAnsi" w:cstheme="minorHAnsi"/>
          <w:sz w:val="22"/>
          <w:szCs w:val="22"/>
        </w:rPr>
        <w:t xml:space="preserve"> J., Mares J., </w:t>
      </w:r>
      <w:proofErr w:type="spellStart"/>
      <w:r w:rsidRPr="00184DF4">
        <w:rPr>
          <w:rFonts w:asciiTheme="minorHAnsi" w:hAnsiTheme="minorHAnsi" w:cstheme="minorHAnsi"/>
          <w:sz w:val="22"/>
          <w:szCs w:val="22"/>
        </w:rPr>
        <w:t>Hodkovicova</w:t>
      </w:r>
      <w:proofErr w:type="spellEnd"/>
      <w:r w:rsidRPr="00184DF4">
        <w:rPr>
          <w:rFonts w:asciiTheme="minorHAnsi" w:hAnsiTheme="minorHAnsi" w:cstheme="minorHAnsi"/>
          <w:sz w:val="22"/>
          <w:szCs w:val="22"/>
        </w:rPr>
        <w:t xml:space="preserve"> N., Sauer P., </w:t>
      </w:r>
      <w:proofErr w:type="spellStart"/>
      <w:r w:rsidRPr="00184DF4">
        <w:rPr>
          <w:rFonts w:asciiTheme="minorHAnsi" w:hAnsiTheme="minorHAnsi" w:cstheme="minorHAnsi"/>
          <w:sz w:val="22"/>
          <w:szCs w:val="22"/>
        </w:rPr>
        <w:t>Kroupova</w:t>
      </w:r>
      <w:proofErr w:type="spellEnd"/>
      <w:r w:rsidRPr="00184DF4">
        <w:rPr>
          <w:rFonts w:asciiTheme="minorHAnsi" w:hAnsiTheme="minorHAnsi" w:cstheme="minorHAnsi"/>
          <w:sz w:val="22"/>
          <w:szCs w:val="22"/>
        </w:rPr>
        <w:t> H.K. et al. (2023). Octinoxate as a potential thyroid hormone disruptor - A combination of in vivo and in vitro data. Sci. Total Environ. 856: 159074.</w:t>
      </w:r>
    </w:p>
    <w:p w14:paraId="6B5DD272" w14:textId="77777777" w:rsidR="00423137" w:rsidRPr="00184DF4" w:rsidRDefault="00423137" w:rsidP="00423137">
      <w:pPr>
        <w:pStyle w:val="Standard"/>
        <w:spacing w:after="180"/>
        <w:rPr>
          <w:rFonts w:asciiTheme="minorHAnsi" w:hAnsiTheme="minorHAnsi" w:cstheme="minorHAnsi"/>
          <w:sz w:val="22"/>
        </w:rPr>
      </w:pPr>
      <w:r w:rsidRPr="00184DF4">
        <w:rPr>
          <w:rFonts w:asciiTheme="minorHAnsi" w:hAnsiTheme="minorHAnsi" w:cstheme="minorHAnsi"/>
          <w:sz w:val="22"/>
        </w:rPr>
        <w:t>Cancer Council Australia</w:t>
      </w:r>
      <w:r w:rsidRPr="00184DF4">
        <w:rPr>
          <w:rFonts w:asciiTheme="minorHAnsi" w:eastAsiaTheme="minorHAnsi" w:hAnsiTheme="minorHAnsi" w:cstheme="minorHAnsi"/>
          <w:snapToGrid/>
          <w:color w:val="000000"/>
          <w:kern w:val="0"/>
          <w:sz w:val="22"/>
          <w14:ligatures w14:val="standardContextual"/>
        </w:rPr>
        <w:t xml:space="preserve"> </w:t>
      </w:r>
      <w:r w:rsidRPr="00184DF4">
        <w:rPr>
          <w:rFonts w:asciiTheme="minorHAnsi" w:hAnsiTheme="minorHAnsi" w:cstheme="minorHAnsi"/>
          <w:sz w:val="22"/>
        </w:rPr>
        <w:t xml:space="preserve">– CCA (2017). About SPF50+ sunscreen. </w:t>
      </w:r>
      <w:hyperlink r:id="rId55" w:history="1">
        <w:r w:rsidRPr="00184DF4">
          <w:rPr>
            <w:rStyle w:val="Hyperlink"/>
            <w:rFonts w:asciiTheme="minorHAnsi" w:hAnsiTheme="minorHAnsi" w:cstheme="minorHAnsi"/>
            <w:sz w:val="22"/>
          </w:rPr>
          <w:t>https://www.cancer.org.au/cancer-information/causes-and-prevention/sun-safety/about-sunscreen/spf50-sunscreen</w:t>
        </w:r>
      </w:hyperlink>
      <w:r w:rsidRPr="00184DF4">
        <w:rPr>
          <w:rFonts w:asciiTheme="minorHAnsi" w:hAnsiTheme="minorHAnsi" w:cstheme="minorHAnsi"/>
          <w:sz w:val="22"/>
        </w:rPr>
        <w:t xml:space="preserve"> </w:t>
      </w:r>
    </w:p>
    <w:p w14:paraId="095F4193"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 xml:space="preserve">Chang H., Li J., Zhang C., &amp; Qian W. (2022). Octocrylene exposure impairs mouse oocyte quality by inducing spindle defects and mitochondria dysfunction. </w:t>
      </w:r>
      <w:r w:rsidRPr="00184DF4">
        <w:rPr>
          <w:rFonts w:asciiTheme="minorHAnsi" w:hAnsiTheme="minorHAnsi" w:cstheme="minorHAnsi"/>
          <w:i/>
          <w:iCs/>
          <w:sz w:val="22"/>
          <w:szCs w:val="22"/>
        </w:rPr>
        <w:t>Toxicology</w:t>
      </w:r>
      <w:r w:rsidRPr="00184DF4">
        <w:rPr>
          <w:rFonts w:asciiTheme="minorHAnsi" w:hAnsiTheme="minorHAnsi" w:cstheme="minorHAnsi"/>
          <w:sz w:val="22"/>
          <w:szCs w:val="22"/>
        </w:rPr>
        <w:t xml:space="preserve"> 479: 153306.</w:t>
      </w:r>
    </w:p>
    <w:p w14:paraId="26635615" w14:textId="77777777" w:rsidR="00423137" w:rsidRPr="00184DF4" w:rsidRDefault="00423137" w:rsidP="00423137">
      <w:pPr>
        <w:pStyle w:val="Standard"/>
        <w:spacing w:after="180"/>
        <w:rPr>
          <w:rFonts w:asciiTheme="minorHAnsi" w:hAnsiTheme="minorHAnsi" w:cstheme="minorHAnsi"/>
          <w:sz w:val="22"/>
        </w:rPr>
      </w:pPr>
      <w:r w:rsidRPr="00184DF4">
        <w:rPr>
          <w:rFonts w:asciiTheme="minorHAnsi" w:hAnsiTheme="minorHAnsi" w:cstheme="minorHAnsi"/>
          <w:sz w:val="22"/>
        </w:rPr>
        <w:t xml:space="preserve">Cosmetic Ingredient Review (2019). Amended Safety Assessment of Salicylic Acid and Salicylates as Used in Cosmetics. Retrieved from </w:t>
      </w:r>
      <w:hyperlink r:id="rId56" w:history="1">
        <w:r w:rsidRPr="00184DF4">
          <w:rPr>
            <w:rStyle w:val="Hyperlink"/>
            <w:rFonts w:asciiTheme="minorHAnsi" w:hAnsiTheme="minorHAnsi" w:cstheme="minorHAnsi"/>
            <w:sz w:val="22"/>
          </w:rPr>
          <w:t>https://www.cir-safety.org/sites/default/files/ salicy042019FAR.pdf</w:t>
        </w:r>
      </w:hyperlink>
      <w:r w:rsidRPr="00184DF4">
        <w:rPr>
          <w:rFonts w:asciiTheme="minorHAnsi" w:hAnsiTheme="minorHAnsi" w:cstheme="minorHAnsi"/>
          <w:sz w:val="22"/>
        </w:rPr>
        <w:t xml:space="preserve"> </w:t>
      </w:r>
    </w:p>
    <w:p w14:paraId="4BEA2783" w14:textId="77777777" w:rsidR="00423137" w:rsidRPr="00AD1264" w:rsidRDefault="00423137" w:rsidP="00423137">
      <w:pPr>
        <w:pStyle w:val="Standard"/>
        <w:spacing w:after="180"/>
        <w:rPr>
          <w:rFonts w:asciiTheme="minorHAnsi" w:hAnsiTheme="minorHAnsi" w:cstheme="minorHAnsi"/>
          <w:sz w:val="22"/>
        </w:rPr>
      </w:pPr>
      <w:r w:rsidRPr="00184DF4">
        <w:rPr>
          <w:rFonts w:asciiTheme="minorHAnsi" w:hAnsiTheme="minorHAnsi" w:cstheme="minorHAnsi"/>
          <w:sz w:val="22"/>
        </w:rPr>
        <w:t xml:space="preserve">Cosmetic Toiletry and Fragrance Association – CTFA (2005). </w:t>
      </w:r>
      <w:r w:rsidRPr="00184DF4">
        <w:rPr>
          <w:rFonts w:asciiTheme="minorHAnsi" w:hAnsiTheme="minorHAnsi" w:cstheme="minorHAnsi"/>
          <w:i/>
          <w:sz w:val="22"/>
        </w:rPr>
        <w:t>In vitro</w:t>
      </w:r>
      <w:r w:rsidRPr="00184DF4">
        <w:rPr>
          <w:rFonts w:asciiTheme="minorHAnsi" w:hAnsiTheme="minorHAnsi" w:cstheme="minorHAnsi"/>
          <w:sz w:val="22"/>
        </w:rPr>
        <w:t xml:space="preserve"> percutaneous absorption of [14C]-Homosalate through viable rat and human skin membranes using 41 flow-through diffusion cells, TNO Report No. V6433, TNO Quality of Life, Physiological 42 </w:t>
      </w:r>
      <w:r w:rsidRPr="00AD1264">
        <w:rPr>
          <w:rFonts w:asciiTheme="minorHAnsi" w:hAnsiTheme="minorHAnsi" w:cstheme="minorHAnsi"/>
          <w:sz w:val="22"/>
        </w:rPr>
        <w:t>Sciences, Zeist, Netherland, unpublished data, 5 September 2005.</w:t>
      </w:r>
    </w:p>
    <w:p w14:paraId="70FABC28"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AD1264">
        <w:rPr>
          <w:rFonts w:asciiTheme="minorHAnsi" w:hAnsiTheme="minorHAnsi" w:cstheme="minorHAnsi"/>
          <w:color w:val="auto"/>
          <w:sz w:val="22"/>
          <w:szCs w:val="22"/>
        </w:rPr>
        <w:t xml:space="preserve">Danish Environmental Protection Agency – DEPA (2015). Survey and health assessment of UV filters. Retrieved from </w:t>
      </w:r>
      <w:hyperlink r:id="rId57" w:history="1">
        <w:r w:rsidRPr="00184DF4">
          <w:rPr>
            <w:rStyle w:val="Hyperlink"/>
            <w:rFonts w:asciiTheme="minorHAnsi" w:hAnsiTheme="minorHAnsi" w:cstheme="minorHAnsi"/>
            <w:sz w:val="22"/>
            <w:szCs w:val="22"/>
          </w:rPr>
          <w:t>https://www2.mst.dk/Udgiv/publications/2015/10/978-87-93352-82-7.pdf</w:t>
        </w:r>
      </w:hyperlink>
      <w:r w:rsidRPr="00184DF4">
        <w:rPr>
          <w:rStyle w:val="Hyperlink"/>
          <w:rFonts w:asciiTheme="minorHAnsi" w:hAnsiTheme="minorHAnsi" w:cstheme="minorHAnsi"/>
          <w:sz w:val="22"/>
          <w:szCs w:val="22"/>
        </w:rPr>
        <w:t xml:space="preserve"> </w:t>
      </w:r>
    </w:p>
    <w:p w14:paraId="5E113620"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de Groot A.C., and Roberts D.W. (2014). Contact and </w:t>
      </w:r>
      <w:proofErr w:type="spellStart"/>
      <w:r w:rsidRPr="00AD1264">
        <w:rPr>
          <w:rFonts w:asciiTheme="minorHAnsi" w:hAnsiTheme="minorHAnsi" w:cstheme="minorHAnsi"/>
          <w:color w:val="auto"/>
          <w:sz w:val="22"/>
          <w:szCs w:val="22"/>
        </w:rPr>
        <w:t>photocontact</w:t>
      </w:r>
      <w:proofErr w:type="spellEnd"/>
      <w:r w:rsidRPr="00AD1264">
        <w:rPr>
          <w:rFonts w:asciiTheme="minorHAnsi" w:hAnsiTheme="minorHAnsi" w:cstheme="minorHAnsi"/>
          <w:color w:val="auto"/>
          <w:sz w:val="22"/>
          <w:szCs w:val="22"/>
        </w:rPr>
        <w:t xml:space="preserve"> allergy to octocrylene: a review. </w:t>
      </w:r>
      <w:r w:rsidRPr="00AD1264">
        <w:rPr>
          <w:rFonts w:asciiTheme="minorHAnsi" w:hAnsiTheme="minorHAnsi" w:cstheme="minorHAnsi"/>
          <w:i/>
          <w:color w:val="auto"/>
          <w:sz w:val="22"/>
          <w:szCs w:val="22"/>
        </w:rPr>
        <w:t>Contact Derm.</w:t>
      </w:r>
      <w:r w:rsidRPr="00AD1264">
        <w:rPr>
          <w:rFonts w:asciiTheme="minorHAnsi" w:hAnsiTheme="minorHAnsi" w:cstheme="minorHAnsi"/>
          <w:color w:val="auto"/>
          <w:sz w:val="22"/>
          <w:szCs w:val="22"/>
        </w:rPr>
        <w:t xml:space="preserve"> 70: 193–204.</w:t>
      </w:r>
    </w:p>
    <w:p w14:paraId="55566388" w14:textId="77777777" w:rsidR="00423137" w:rsidRPr="00AD1264" w:rsidRDefault="00423137" w:rsidP="00423137">
      <w:pPr>
        <w:rPr>
          <w:rFonts w:asciiTheme="minorHAnsi" w:hAnsiTheme="minorHAnsi" w:cstheme="minorHAnsi"/>
          <w:sz w:val="22"/>
          <w:szCs w:val="22"/>
        </w:rPr>
      </w:pPr>
      <w:r w:rsidRPr="00AD1264">
        <w:rPr>
          <w:rFonts w:asciiTheme="minorHAnsi" w:hAnsiTheme="minorHAnsi" w:cstheme="minorHAnsi"/>
          <w:sz w:val="22"/>
          <w:szCs w:val="22"/>
        </w:rPr>
        <w:t xml:space="preserve">Downs C.A., DiNardo J.C., Stien D., Rodrigues A.M.S. and Lebaron P. (2021). Benzophenone Accumulates over Time from the Degradation of Octocrylene in Commercial Sunscreen Products. </w:t>
      </w:r>
      <w:r w:rsidRPr="00AD1264">
        <w:rPr>
          <w:rFonts w:asciiTheme="minorHAnsi" w:hAnsiTheme="minorHAnsi" w:cstheme="minorHAnsi"/>
          <w:i/>
          <w:iCs/>
          <w:sz w:val="22"/>
          <w:szCs w:val="22"/>
        </w:rPr>
        <w:t xml:space="preserve">Chem. Res. </w:t>
      </w:r>
      <w:proofErr w:type="spellStart"/>
      <w:r w:rsidRPr="00AD1264">
        <w:rPr>
          <w:rFonts w:asciiTheme="minorHAnsi" w:hAnsiTheme="minorHAnsi" w:cstheme="minorHAnsi"/>
          <w:i/>
          <w:iCs/>
          <w:sz w:val="22"/>
          <w:szCs w:val="22"/>
        </w:rPr>
        <w:t>Toxicol</w:t>
      </w:r>
      <w:proofErr w:type="spellEnd"/>
      <w:r w:rsidRPr="00AD1264">
        <w:rPr>
          <w:rFonts w:asciiTheme="minorHAnsi" w:hAnsiTheme="minorHAnsi" w:cstheme="minorHAnsi"/>
          <w:i/>
          <w:iCs/>
          <w:sz w:val="22"/>
          <w:szCs w:val="22"/>
        </w:rPr>
        <w:t>.</w:t>
      </w:r>
      <w:r w:rsidRPr="00AD1264">
        <w:rPr>
          <w:rFonts w:asciiTheme="minorHAnsi" w:hAnsiTheme="minorHAnsi" w:cstheme="minorHAnsi"/>
          <w:sz w:val="22"/>
          <w:szCs w:val="22"/>
        </w:rPr>
        <w:t xml:space="preserve"> 34: 1046–1054.</w:t>
      </w:r>
    </w:p>
    <w:p w14:paraId="6E35468C" w14:textId="77777777" w:rsidR="00423137" w:rsidRPr="00AD1264" w:rsidRDefault="00423137" w:rsidP="00423137">
      <w:pPr>
        <w:rPr>
          <w:rFonts w:asciiTheme="minorHAnsi" w:hAnsiTheme="minorHAnsi" w:cstheme="minorHAnsi"/>
          <w:sz w:val="22"/>
          <w:szCs w:val="22"/>
        </w:rPr>
      </w:pPr>
      <w:r w:rsidRPr="00AD1264">
        <w:rPr>
          <w:rFonts w:asciiTheme="minorHAnsi" w:hAnsiTheme="minorHAnsi" w:cstheme="minorHAnsi"/>
          <w:sz w:val="22"/>
          <w:szCs w:val="22"/>
        </w:rPr>
        <w:t xml:space="preserve">Ebert K.E., Griem P., Weiss T., </w:t>
      </w:r>
      <w:proofErr w:type="spellStart"/>
      <w:r w:rsidRPr="00AD1264">
        <w:rPr>
          <w:rFonts w:asciiTheme="minorHAnsi" w:hAnsiTheme="minorHAnsi" w:cstheme="minorHAnsi"/>
          <w:sz w:val="22"/>
          <w:szCs w:val="22"/>
        </w:rPr>
        <w:t>Brunining</w:t>
      </w:r>
      <w:proofErr w:type="spellEnd"/>
      <w:r w:rsidRPr="00AD1264">
        <w:rPr>
          <w:rFonts w:asciiTheme="minorHAnsi" w:hAnsiTheme="minorHAnsi" w:cstheme="minorHAnsi"/>
          <w:sz w:val="22"/>
          <w:szCs w:val="22"/>
        </w:rPr>
        <w:t xml:space="preserve"> T., Hayen H., Koch H.M. et al. (2022). Diastereoselective metabolism of </w:t>
      </w:r>
      <w:proofErr w:type="spellStart"/>
      <w:r w:rsidRPr="00AD1264">
        <w:rPr>
          <w:rFonts w:asciiTheme="minorHAnsi" w:hAnsiTheme="minorHAnsi" w:cstheme="minorHAnsi"/>
          <w:sz w:val="22"/>
          <w:szCs w:val="22"/>
        </w:rPr>
        <w:t>homomenthyl</w:t>
      </w:r>
      <w:proofErr w:type="spellEnd"/>
      <w:r w:rsidRPr="00AD1264">
        <w:rPr>
          <w:rFonts w:asciiTheme="minorHAnsi" w:hAnsiTheme="minorHAnsi" w:cstheme="minorHAnsi"/>
          <w:sz w:val="22"/>
          <w:szCs w:val="22"/>
        </w:rPr>
        <w:t xml:space="preserve"> salicylate (homosalate): Identification of relevant human exposure biomarkers. </w:t>
      </w:r>
      <w:r w:rsidRPr="00AD1264">
        <w:rPr>
          <w:rFonts w:asciiTheme="minorHAnsi" w:hAnsiTheme="minorHAnsi" w:cstheme="minorHAnsi"/>
          <w:i/>
          <w:iCs/>
          <w:sz w:val="22"/>
          <w:szCs w:val="22"/>
        </w:rPr>
        <w:t>Environ. Int.</w:t>
      </w:r>
      <w:r w:rsidRPr="00AD1264">
        <w:rPr>
          <w:rFonts w:asciiTheme="minorHAnsi" w:hAnsiTheme="minorHAnsi" w:cstheme="minorHAnsi"/>
          <w:sz w:val="22"/>
          <w:szCs w:val="22"/>
        </w:rPr>
        <w:t xml:space="preserve"> 170: 107637.</w:t>
      </w:r>
    </w:p>
    <w:p w14:paraId="0CE06984" w14:textId="77777777" w:rsidR="00423137" w:rsidRPr="00184DF4" w:rsidRDefault="00423137" w:rsidP="00423137">
      <w:pPr>
        <w:pStyle w:val="FootnoteText"/>
        <w:spacing w:after="180" w:line="252" w:lineRule="auto"/>
        <w:rPr>
          <w:rFonts w:asciiTheme="minorHAnsi" w:hAnsiTheme="minorHAnsi" w:cstheme="minorHAnsi"/>
          <w:sz w:val="22"/>
          <w:szCs w:val="22"/>
          <w:lang w:val="en"/>
        </w:rPr>
      </w:pPr>
      <w:proofErr w:type="spellStart"/>
      <w:r w:rsidRPr="00AD1264">
        <w:rPr>
          <w:rFonts w:asciiTheme="minorHAnsi" w:hAnsiTheme="minorHAnsi" w:cstheme="minorHAnsi"/>
          <w:color w:val="auto"/>
          <w:sz w:val="22"/>
          <w:szCs w:val="22"/>
          <w:lang w:val="en"/>
        </w:rPr>
        <w:t>Eurometaux</w:t>
      </w:r>
      <w:proofErr w:type="spellEnd"/>
      <w:r w:rsidRPr="00AD1264">
        <w:rPr>
          <w:rFonts w:asciiTheme="minorHAnsi" w:hAnsiTheme="minorHAnsi" w:cstheme="minorHAnsi"/>
          <w:color w:val="auto"/>
          <w:sz w:val="22"/>
          <w:szCs w:val="22"/>
          <w:lang w:val="en"/>
        </w:rPr>
        <w:t xml:space="preserve"> (2016). European Association of Metals. </w:t>
      </w:r>
      <w:r w:rsidRPr="00AD1264">
        <w:rPr>
          <w:rFonts w:asciiTheme="minorHAnsi" w:hAnsiTheme="minorHAnsi" w:cstheme="minorHAnsi"/>
          <w:color w:val="auto"/>
          <w:sz w:val="22"/>
          <w:szCs w:val="22"/>
        </w:rPr>
        <w:t>Guidelines for an Industry Risk Management Options Analysis (RMOA)</w:t>
      </w:r>
      <w:r w:rsidRPr="00AD1264">
        <w:rPr>
          <w:rFonts w:asciiTheme="minorHAnsi" w:hAnsiTheme="minorHAnsi" w:cstheme="minorHAnsi"/>
          <w:color w:val="auto"/>
          <w:sz w:val="22"/>
          <w:szCs w:val="22"/>
          <w:lang w:val="en"/>
        </w:rPr>
        <w:t xml:space="preserve">. Retrieved from </w:t>
      </w:r>
      <w:hyperlink r:id="rId58" w:history="1">
        <w:r w:rsidRPr="00184DF4">
          <w:rPr>
            <w:rStyle w:val="Hyperlink"/>
            <w:rFonts w:asciiTheme="minorHAnsi" w:hAnsiTheme="minorHAnsi" w:cstheme="minorHAnsi"/>
            <w:sz w:val="22"/>
            <w:szCs w:val="22"/>
            <w:lang w:val="en"/>
          </w:rPr>
          <w:t xml:space="preserve">https://www.reach-metals.eu/reach/ </w:t>
        </w:r>
        <w:proofErr w:type="spellStart"/>
        <w:r w:rsidRPr="00184DF4">
          <w:rPr>
            <w:rStyle w:val="Hyperlink"/>
            <w:rFonts w:asciiTheme="minorHAnsi" w:hAnsiTheme="minorHAnsi" w:cstheme="minorHAnsi"/>
            <w:sz w:val="22"/>
            <w:szCs w:val="22"/>
            <w:lang w:val="en"/>
          </w:rPr>
          <w:t>em</w:t>
        </w:r>
        <w:proofErr w:type="spellEnd"/>
        <w:r w:rsidRPr="00184DF4">
          <w:rPr>
            <w:rStyle w:val="Hyperlink"/>
            <w:rFonts w:asciiTheme="minorHAnsi" w:hAnsiTheme="minorHAnsi" w:cstheme="minorHAnsi"/>
            <w:sz w:val="22"/>
            <w:szCs w:val="22"/>
            <w:lang w:val="en"/>
          </w:rPr>
          <w:t>-guidance-documents-and-tools/</w:t>
        </w:r>
        <w:proofErr w:type="spellStart"/>
        <w:r w:rsidRPr="00184DF4">
          <w:rPr>
            <w:rStyle w:val="Hyperlink"/>
            <w:rFonts w:asciiTheme="minorHAnsi" w:hAnsiTheme="minorHAnsi" w:cstheme="minorHAnsi"/>
            <w:sz w:val="22"/>
            <w:szCs w:val="22"/>
            <w:lang w:val="en"/>
          </w:rPr>
          <w:t>rmoa</w:t>
        </w:r>
        <w:proofErr w:type="spellEnd"/>
        <w:r w:rsidRPr="00184DF4">
          <w:rPr>
            <w:rStyle w:val="Hyperlink"/>
            <w:rFonts w:asciiTheme="minorHAnsi" w:hAnsiTheme="minorHAnsi" w:cstheme="minorHAnsi"/>
            <w:sz w:val="22"/>
            <w:szCs w:val="22"/>
            <w:lang w:val="en"/>
          </w:rPr>
          <w:t>-guidance</w:t>
        </w:r>
      </w:hyperlink>
      <w:r w:rsidRPr="00184DF4">
        <w:rPr>
          <w:rFonts w:asciiTheme="minorHAnsi" w:hAnsiTheme="minorHAnsi" w:cstheme="minorHAnsi"/>
          <w:sz w:val="22"/>
          <w:szCs w:val="22"/>
          <w:lang w:val="en"/>
        </w:rPr>
        <w:t xml:space="preserve">  </w:t>
      </w:r>
    </w:p>
    <w:p w14:paraId="183C9BC9" w14:textId="77777777" w:rsidR="00423137" w:rsidRPr="00184DF4" w:rsidRDefault="00423137" w:rsidP="00423137">
      <w:pPr>
        <w:pStyle w:val="WhiteSpace"/>
        <w:spacing w:after="180"/>
        <w:rPr>
          <w:rFonts w:asciiTheme="minorHAnsi" w:hAnsiTheme="minorHAnsi" w:cstheme="minorHAnsi"/>
          <w:color w:val="0000FF"/>
          <w:sz w:val="22"/>
          <w:szCs w:val="22"/>
          <w:u w:val="single"/>
        </w:rPr>
      </w:pPr>
      <w:r w:rsidRPr="00184DF4">
        <w:rPr>
          <w:rFonts w:asciiTheme="minorHAnsi" w:hAnsiTheme="minorHAnsi" w:cstheme="minorHAnsi"/>
          <w:sz w:val="22"/>
          <w:szCs w:val="22"/>
        </w:rPr>
        <w:t xml:space="preserve">European Chemicals Agency – ECHA (2020). Octocrylene Registration Dossier. Retrieved from </w:t>
      </w:r>
      <w:hyperlink r:id="rId59" w:history="1">
        <w:r w:rsidRPr="00184DF4">
          <w:rPr>
            <w:rStyle w:val="Hyperlink"/>
            <w:rFonts w:asciiTheme="minorHAnsi" w:hAnsiTheme="minorHAnsi" w:cstheme="minorHAnsi"/>
            <w:sz w:val="22"/>
            <w:szCs w:val="22"/>
          </w:rPr>
          <w:t>https://echa.europa.eu/fr/registration-dossier/-/registered-dossier/14858/7/2/1</w:t>
        </w:r>
      </w:hyperlink>
    </w:p>
    <w:p w14:paraId="683135A6" w14:textId="77777777" w:rsidR="00423137" w:rsidRPr="00184DF4" w:rsidRDefault="00423137" w:rsidP="00423137">
      <w:pPr>
        <w:pStyle w:val="Standard"/>
        <w:spacing w:after="180"/>
        <w:rPr>
          <w:rFonts w:asciiTheme="minorHAnsi" w:hAnsiTheme="minorHAnsi" w:cstheme="minorHAnsi"/>
          <w:sz w:val="22"/>
        </w:rPr>
      </w:pPr>
      <w:r w:rsidRPr="00184DF4">
        <w:rPr>
          <w:rFonts w:asciiTheme="minorHAnsi" w:hAnsiTheme="minorHAnsi" w:cstheme="minorHAnsi"/>
          <w:sz w:val="22"/>
        </w:rPr>
        <w:t>European Chemicals Agency – ECHA (2021a). 1-[4-(1,1-</w:t>
      </w:r>
      <w:proofErr w:type="gramStart"/>
      <w:r w:rsidRPr="00184DF4">
        <w:rPr>
          <w:rFonts w:asciiTheme="minorHAnsi" w:hAnsiTheme="minorHAnsi" w:cstheme="minorHAnsi"/>
          <w:sz w:val="22"/>
        </w:rPr>
        <w:t>dimethylethyl)phenyl</w:t>
      </w:r>
      <w:proofErr w:type="gramEnd"/>
      <w:r w:rsidRPr="00184DF4">
        <w:rPr>
          <w:rFonts w:asciiTheme="minorHAnsi" w:hAnsiTheme="minorHAnsi" w:cstheme="minorHAnsi"/>
          <w:sz w:val="22"/>
        </w:rPr>
        <w:t xml:space="preserve">]-3-(4-methoxyphenyl)propane-1,3-dione (avobenzone) registration dossier. Retrieved from </w:t>
      </w:r>
      <w:hyperlink r:id="rId60" w:history="1">
        <w:r w:rsidRPr="00184DF4">
          <w:rPr>
            <w:rStyle w:val="Hyperlink"/>
            <w:rFonts w:asciiTheme="minorHAnsi" w:hAnsiTheme="minorHAnsi" w:cstheme="minorHAnsi"/>
            <w:sz w:val="22"/>
          </w:rPr>
          <w:t>https://echa.europa.eu/registration-dossier/-/registered-dossier/14835/1</w:t>
        </w:r>
      </w:hyperlink>
    </w:p>
    <w:p w14:paraId="42E41405" w14:textId="77777777" w:rsidR="00423137" w:rsidRPr="00184DF4" w:rsidRDefault="00423137" w:rsidP="00423137">
      <w:pPr>
        <w:pStyle w:val="WhiteSpace"/>
        <w:spacing w:after="180"/>
        <w:rPr>
          <w:rFonts w:asciiTheme="minorHAnsi" w:hAnsiTheme="minorHAnsi" w:cstheme="minorHAnsi"/>
          <w:color w:val="0000FF"/>
          <w:sz w:val="22"/>
          <w:szCs w:val="22"/>
          <w:u w:val="single"/>
        </w:rPr>
      </w:pPr>
      <w:r w:rsidRPr="00184DF4">
        <w:rPr>
          <w:rFonts w:asciiTheme="minorHAnsi" w:hAnsiTheme="minorHAnsi" w:cstheme="minorHAnsi"/>
          <w:sz w:val="22"/>
          <w:szCs w:val="22"/>
        </w:rPr>
        <w:t>European Chemicals Agency – ECHA (2021b). Tris(2-ethylhexyl)-4,4',4''-(1,3,5-triazine-2,4,6-</w:t>
      </w:r>
      <w:proofErr w:type="gramStart"/>
      <w:r w:rsidRPr="00184DF4">
        <w:rPr>
          <w:rFonts w:asciiTheme="minorHAnsi" w:hAnsiTheme="minorHAnsi" w:cstheme="minorHAnsi"/>
          <w:sz w:val="22"/>
          <w:szCs w:val="22"/>
        </w:rPr>
        <w:t>triyltriimino)tribenzoate</w:t>
      </w:r>
      <w:proofErr w:type="gramEnd"/>
      <w:r w:rsidRPr="00184DF4">
        <w:rPr>
          <w:rFonts w:asciiTheme="minorHAnsi" w:hAnsiTheme="minorHAnsi" w:cstheme="minorHAnsi"/>
          <w:sz w:val="22"/>
          <w:szCs w:val="22"/>
        </w:rPr>
        <w:t xml:space="preserve"> (Ethylhexyl triazone) registration dossier.  Retrieved from </w:t>
      </w:r>
      <w:hyperlink r:id="rId61" w:history="1">
        <w:r w:rsidRPr="00184DF4">
          <w:rPr>
            <w:rStyle w:val="Hyperlink"/>
            <w:rFonts w:asciiTheme="minorHAnsi" w:hAnsiTheme="minorHAnsi" w:cstheme="minorHAnsi"/>
            <w:sz w:val="22"/>
            <w:szCs w:val="22"/>
          </w:rPr>
          <w:t>https://echa.europa.eu/registration-dossier/-/registered-dossier/14255/7/2/1</w:t>
        </w:r>
      </w:hyperlink>
    </w:p>
    <w:p w14:paraId="42E0E12D" w14:textId="77777777" w:rsidR="00423137" w:rsidRPr="00184DF4" w:rsidRDefault="00423137" w:rsidP="00423137">
      <w:pPr>
        <w:autoSpaceDE w:val="0"/>
        <w:autoSpaceDN w:val="0"/>
        <w:adjustRightInd w:val="0"/>
        <w:spacing w:after="180" w:line="252" w:lineRule="auto"/>
        <w:rPr>
          <w:rFonts w:asciiTheme="minorHAnsi" w:hAnsiTheme="minorHAnsi" w:cstheme="minorHAnsi"/>
          <w:sz w:val="22"/>
          <w:szCs w:val="22"/>
          <w:highlight w:val="lightGray"/>
        </w:rPr>
      </w:pPr>
      <w:r w:rsidRPr="00184DF4">
        <w:rPr>
          <w:rFonts w:asciiTheme="minorHAnsi" w:hAnsiTheme="minorHAnsi" w:cstheme="minorHAnsi"/>
          <w:sz w:val="22"/>
          <w:szCs w:val="22"/>
        </w:rPr>
        <w:t xml:space="preserve">European Chemicals Agency – ECHA (2021c). Homosalate registration dossier. Retrieved from </w:t>
      </w:r>
      <w:hyperlink r:id="rId62" w:history="1">
        <w:r w:rsidRPr="00184DF4">
          <w:rPr>
            <w:rStyle w:val="Hyperlink"/>
            <w:rFonts w:asciiTheme="minorHAnsi" w:hAnsiTheme="minorHAnsi" w:cstheme="minorHAnsi"/>
            <w:sz w:val="22"/>
            <w:szCs w:val="22"/>
          </w:rPr>
          <w:t>https://echa.europa.eu/el/registration-dossier/-/registered-dossier/13246</w:t>
        </w:r>
      </w:hyperlink>
      <w:r w:rsidRPr="00184DF4">
        <w:rPr>
          <w:rFonts w:asciiTheme="minorHAnsi" w:hAnsiTheme="minorHAnsi" w:cstheme="minorHAnsi"/>
          <w:sz w:val="22"/>
          <w:szCs w:val="22"/>
        </w:rPr>
        <w:t xml:space="preserve"> </w:t>
      </w:r>
    </w:p>
    <w:p w14:paraId="482B61A0" w14:textId="77777777" w:rsidR="00423137" w:rsidRPr="00184DF4" w:rsidRDefault="00423137" w:rsidP="00423137">
      <w:pPr>
        <w:pStyle w:val="WhiteSpace"/>
        <w:spacing w:after="180"/>
        <w:rPr>
          <w:rStyle w:val="Hyperlink"/>
          <w:rFonts w:asciiTheme="minorHAnsi" w:hAnsiTheme="minorHAnsi" w:cstheme="minorHAnsi"/>
          <w:sz w:val="22"/>
          <w:szCs w:val="22"/>
        </w:rPr>
      </w:pPr>
      <w:r w:rsidRPr="00184DF4">
        <w:rPr>
          <w:rFonts w:asciiTheme="minorHAnsi" w:hAnsiTheme="minorHAnsi" w:cstheme="minorHAnsi"/>
          <w:sz w:val="22"/>
          <w:szCs w:val="22"/>
        </w:rPr>
        <w:t xml:space="preserve">European Chemicals Agency – ECHA (2021d). Octocrylene registration dossier. Retrieved from </w:t>
      </w:r>
      <w:hyperlink r:id="rId63" w:history="1">
        <w:r w:rsidRPr="00184DF4">
          <w:rPr>
            <w:rStyle w:val="Hyperlink"/>
            <w:rFonts w:asciiTheme="minorHAnsi" w:hAnsiTheme="minorHAnsi" w:cstheme="minorHAnsi"/>
            <w:sz w:val="22"/>
            <w:szCs w:val="22"/>
          </w:rPr>
          <w:t>https://echa.europa.eu/registration-dossier/-/registered-dossier/14858/7/6/1</w:t>
        </w:r>
      </w:hyperlink>
    </w:p>
    <w:p w14:paraId="434D0EA4" w14:textId="77777777" w:rsidR="00423137" w:rsidRPr="00184DF4" w:rsidRDefault="00423137" w:rsidP="00423137">
      <w:pPr>
        <w:rPr>
          <w:rFonts w:asciiTheme="minorHAnsi" w:hAnsiTheme="minorHAnsi" w:cstheme="minorHAnsi"/>
          <w:sz w:val="22"/>
          <w:szCs w:val="22"/>
          <w:highlight w:val="cyan"/>
        </w:rPr>
      </w:pPr>
      <w:r w:rsidRPr="00184DF4">
        <w:rPr>
          <w:rFonts w:asciiTheme="minorHAnsi" w:hAnsiTheme="minorHAnsi" w:cstheme="minorHAnsi"/>
          <w:sz w:val="22"/>
          <w:szCs w:val="22"/>
        </w:rPr>
        <w:t xml:space="preserve">European Chemicals Agency – ECHA </w:t>
      </w:r>
      <w:r w:rsidRPr="00184DF4">
        <w:rPr>
          <w:rStyle w:val="StandardChar"/>
          <w:rFonts w:asciiTheme="minorHAnsi" w:eastAsiaTheme="minorHAnsi" w:hAnsiTheme="minorHAnsi" w:cstheme="minorHAnsi"/>
          <w:sz w:val="22"/>
        </w:rPr>
        <w:t xml:space="preserve">(2021e). 2-ethylhexyl 4-methoxycinnamate (octinoxate). Retrieved from  </w:t>
      </w:r>
      <w:hyperlink r:id="rId64" w:history="1">
        <w:r w:rsidRPr="00184DF4">
          <w:rPr>
            <w:rStyle w:val="Hyperlink"/>
            <w:rFonts w:asciiTheme="minorHAnsi" w:hAnsiTheme="minorHAnsi" w:cstheme="minorHAnsi"/>
            <w:snapToGrid w:val="0"/>
            <w:kern w:val="16"/>
            <w:sz w:val="22"/>
            <w:szCs w:val="22"/>
          </w:rPr>
          <w:t>https://echa.europa.eu/substance-information/-/substanceinfo/100.024.341</w:t>
        </w:r>
      </w:hyperlink>
    </w:p>
    <w:p w14:paraId="7E378968"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AD1264">
        <w:rPr>
          <w:rFonts w:asciiTheme="minorHAnsi" w:hAnsiTheme="minorHAnsi" w:cstheme="minorHAnsi"/>
          <w:color w:val="auto"/>
          <w:sz w:val="22"/>
          <w:szCs w:val="22"/>
        </w:rPr>
        <w:t xml:space="preserve">European Commission – EC (2006). Recommendation on the efficacy of sunscreen products and the claims made relating thereto. 2006/647/EC. Off. J. Eur. Comm. L 265, 39e43. Retrieved from </w:t>
      </w:r>
      <w:hyperlink r:id="rId65" w:history="1">
        <w:r w:rsidRPr="00184DF4">
          <w:rPr>
            <w:rStyle w:val="Hyperlink"/>
            <w:rFonts w:asciiTheme="minorHAnsi" w:hAnsiTheme="minorHAnsi" w:cstheme="minorHAnsi"/>
            <w:sz w:val="22"/>
            <w:szCs w:val="22"/>
          </w:rPr>
          <w:t>https://eur-lex.europa.eu/LexUriServ/LexUriServ.do?uri=OJ:L:2006:265:0039:0043:en:PDF</w:t>
        </w:r>
      </w:hyperlink>
      <w:r w:rsidRPr="00184DF4">
        <w:rPr>
          <w:rFonts w:asciiTheme="minorHAnsi" w:hAnsiTheme="minorHAnsi" w:cstheme="minorHAnsi"/>
          <w:sz w:val="22"/>
          <w:szCs w:val="22"/>
        </w:rPr>
        <w:t xml:space="preserve"> </w:t>
      </w:r>
    </w:p>
    <w:p w14:paraId="339F6733"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AD1264">
        <w:rPr>
          <w:rFonts w:asciiTheme="minorHAnsi" w:hAnsiTheme="minorHAnsi" w:cstheme="minorHAnsi"/>
          <w:color w:val="auto"/>
          <w:sz w:val="22"/>
          <w:szCs w:val="22"/>
        </w:rPr>
        <w:t xml:space="preserve">European Commission – EC (2021). Call for data on ingredients with potential endocrine-disruption properties used in cosmetic products. 15 February 2021. Retrieved from </w:t>
      </w:r>
      <w:hyperlink r:id="rId66" w:history="1">
        <w:r w:rsidRPr="00184DF4">
          <w:rPr>
            <w:rStyle w:val="Hyperlink"/>
            <w:rFonts w:asciiTheme="minorHAnsi" w:hAnsiTheme="minorHAnsi" w:cstheme="minorHAnsi"/>
            <w:sz w:val="22"/>
            <w:szCs w:val="22"/>
          </w:rPr>
          <w:t>https://ec.europa.eu/newsroom/growth/items/702447/en</w:t>
        </w:r>
      </w:hyperlink>
      <w:r w:rsidRPr="00184DF4">
        <w:rPr>
          <w:rFonts w:asciiTheme="minorHAnsi" w:hAnsiTheme="minorHAnsi" w:cstheme="minorHAnsi"/>
          <w:sz w:val="22"/>
          <w:szCs w:val="22"/>
        </w:rPr>
        <w:t xml:space="preserve"> </w:t>
      </w:r>
    </w:p>
    <w:p w14:paraId="0546D24B"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European Multicentre </w:t>
      </w:r>
      <w:proofErr w:type="spellStart"/>
      <w:r w:rsidRPr="00AD1264">
        <w:rPr>
          <w:rFonts w:asciiTheme="minorHAnsi" w:hAnsiTheme="minorHAnsi" w:cstheme="minorHAnsi"/>
          <w:color w:val="auto"/>
          <w:sz w:val="22"/>
          <w:szCs w:val="22"/>
        </w:rPr>
        <w:t>Photopatch</w:t>
      </w:r>
      <w:proofErr w:type="spellEnd"/>
      <w:r w:rsidRPr="00AD1264">
        <w:rPr>
          <w:rFonts w:asciiTheme="minorHAnsi" w:hAnsiTheme="minorHAnsi" w:cstheme="minorHAnsi"/>
          <w:color w:val="auto"/>
          <w:sz w:val="22"/>
          <w:szCs w:val="22"/>
        </w:rPr>
        <w:t xml:space="preserve"> Test Study Taskforce – EMCPPTSA (2012). European multicentre </w:t>
      </w:r>
      <w:proofErr w:type="spellStart"/>
      <w:r w:rsidRPr="00AD1264">
        <w:rPr>
          <w:rFonts w:asciiTheme="minorHAnsi" w:hAnsiTheme="minorHAnsi" w:cstheme="minorHAnsi"/>
          <w:color w:val="auto"/>
          <w:sz w:val="22"/>
          <w:szCs w:val="22"/>
        </w:rPr>
        <w:t>photopatch</w:t>
      </w:r>
      <w:proofErr w:type="spellEnd"/>
      <w:r w:rsidRPr="00AD1264">
        <w:rPr>
          <w:rFonts w:asciiTheme="minorHAnsi" w:hAnsiTheme="minorHAnsi" w:cstheme="minorHAnsi"/>
          <w:color w:val="auto"/>
          <w:sz w:val="22"/>
          <w:szCs w:val="22"/>
        </w:rPr>
        <w:t xml:space="preserve"> test study. </w:t>
      </w:r>
      <w:r w:rsidRPr="00AD1264">
        <w:rPr>
          <w:rFonts w:asciiTheme="minorHAnsi" w:hAnsiTheme="minorHAnsi" w:cstheme="minorHAnsi"/>
          <w:i/>
          <w:color w:val="auto"/>
          <w:sz w:val="22"/>
          <w:szCs w:val="22"/>
        </w:rPr>
        <w:t>Br. J. Dermatol.</w:t>
      </w:r>
      <w:r w:rsidRPr="00AD1264">
        <w:rPr>
          <w:rFonts w:asciiTheme="minorHAnsi" w:hAnsiTheme="minorHAnsi" w:cstheme="minorHAnsi"/>
          <w:color w:val="auto"/>
          <w:sz w:val="22"/>
          <w:szCs w:val="22"/>
        </w:rPr>
        <w:t xml:space="preserve"> 166: 1002–1009.</w:t>
      </w:r>
    </w:p>
    <w:p w14:paraId="08FE34A8"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European Parliament and the Council (2009). Regulation (EC) No 1223/2009 of the European Parliament and the Council of 30 November 2009 on cosmetic products: Reg. (EC) 1223/2009ECHA (2018) ECHA decision on a compliance check for homosalate, March 2018, CCH-D-2114386909-26-01/F.</w:t>
      </w:r>
    </w:p>
    <w:p w14:paraId="1B36C75B"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Fabian E., &amp; Landsiedel R. (2020). </w:t>
      </w:r>
      <w:r w:rsidRPr="00AD1264">
        <w:rPr>
          <w:rFonts w:asciiTheme="minorHAnsi" w:hAnsiTheme="minorHAnsi" w:cstheme="minorHAnsi"/>
          <w:color w:val="auto"/>
          <w:sz w:val="22"/>
          <w:szCs w:val="22"/>
          <w:vertAlign w:val="superscript"/>
        </w:rPr>
        <w:t>14</w:t>
      </w:r>
      <w:r w:rsidRPr="00AD1264">
        <w:rPr>
          <w:rFonts w:asciiTheme="minorHAnsi" w:hAnsiTheme="minorHAnsi" w:cstheme="minorHAnsi"/>
          <w:color w:val="auto"/>
          <w:sz w:val="22"/>
          <w:szCs w:val="22"/>
        </w:rPr>
        <w:t>C-Octocrylene in a cosmetic formulation, Study of penetration through human skin in vitro. BASF SE laboratory. Project identification no. 10B0614/07B00</w:t>
      </w:r>
    </w:p>
    <w:p w14:paraId="1F8ABBFC" w14:textId="77777777" w:rsidR="00423137" w:rsidRPr="00AD1264" w:rsidRDefault="00423137" w:rsidP="00423137">
      <w:pPr>
        <w:autoSpaceDE w:val="0"/>
        <w:autoSpaceDN w:val="0"/>
        <w:adjustRightInd w:val="0"/>
        <w:spacing w:after="180" w:line="252" w:lineRule="auto"/>
        <w:rPr>
          <w:rFonts w:asciiTheme="minorHAnsi" w:hAnsiTheme="minorHAnsi" w:cstheme="minorHAnsi"/>
          <w:sz w:val="22"/>
          <w:szCs w:val="22"/>
        </w:rPr>
      </w:pPr>
      <w:r w:rsidRPr="00AD1264">
        <w:rPr>
          <w:rFonts w:asciiTheme="minorHAnsi" w:hAnsiTheme="minorHAnsi" w:cstheme="minorHAnsi"/>
          <w:sz w:val="22"/>
          <w:szCs w:val="22"/>
        </w:rPr>
        <w:t xml:space="preserve">Fennell T., </w:t>
      </w:r>
      <w:r w:rsidRPr="00AD1264">
        <w:rPr>
          <w:rFonts w:asciiTheme="minorHAnsi" w:hAnsiTheme="minorHAnsi" w:cstheme="minorHAnsi"/>
          <w:i/>
          <w:sz w:val="22"/>
          <w:szCs w:val="22"/>
        </w:rPr>
        <w:t>et al.</w:t>
      </w:r>
      <w:r w:rsidRPr="00AD1264">
        <w:rPr>
          <w:rFonts w:asciiTheme="minorHAnsi" w:hAnsiTheme="minorHAnsi" w:cstheme="minorHAnsi"/>
          <w:sz w:val="22"/>
          <w:szCs w:val="22"/>
        </w:rPr>
        <w:t xml:space="preserve"> (2018). Metabolism and disposition of 2-ethylhexyl-p-methoxycinnamate following oral gavage and dermal exposure in Harlan Sprague Dawley rats and B6C3F1/N mice and in hepatocytes in vitro. </w:t>
      </w:r>
      <w:proofErr w:type="spellStart"/>
      <w:r w:rsidRPr="00AD1264">
        <w:rPr>
          <w:rFonts w:asciiTheme="minorHAnsi" w:hAnsiTheme="minorHAnsi" w:cstheme="minorHAnsi"/>
          <w:i/>
          <w:sz w:val="22"/>
          <w:szCs w:val="22"/>
        </w:rPr>
        <w:t>Xenobiotica</w:t>
      </w:r>
      <w:proofErr w:type="spellEnd"/>
      <w:r w:rsidRPr="00AD1264">
        <w:rPr>
          <w:rFonts w:asciiTheme="minorHAnsi" w:hAnsiTheme="minorHAnsi" w:cstheme="minorHAnsi"/>
          <w:i/>
          <w:sz w:val="22"/>
          <w:szCs w:val="22"/>
        </w:rPr>
        <w:t xml:space="preserve">. </w:t>
      </w:r>
      <w:r w:rsidRPr="00AD1264">
        <w:rPr>
          <w:rFonts w:asciiTheme="minorHAnsi" w:hAnsiTheme="minorHAnsi" w:cstheme="minorHAnsi"/>
          <w:sz w:val="22"/>
          <w:szCs w:val="22"/>
        </w:rPr>
        <w:t>48: 1142-1156.</w:t>
      </w:r>
    </w:p>
    <w:p w14:paraId="285A88CB" w14:textId="77777777" w:rsidR="00423137" w:rsidRPr="00AD1264" w:rsidRDefault="00423137" w:rsidP="00423137">
      <w:pPr>
        <w:autoSpaceDE w:val="0"/>
        <w:autoSpaceDN w:val="0"/>
        <w:adjustRightInd w:val="0"/>
        <w:spacing w:after="180" w:line="252" w:lineRule="auto"/>
        <w:rPr>
          <w:rFonts w:asciiTheme="minorHAnsi" w:hAnsiTheme="minorHAnsi" w:cstheme="minorHAnsi"/>
          <w:sz w:val="22"/>
          <w:szCs w:val="22"/>
        </w:rPr>
      </w:pPr>
      <w:r w:rsidRPr="00AD1264">
        <w:rPr>
          <w:rFonts w:asciiTheme="minorHAnsi" w:hAnsiTheme="minorHAnsi" w:cstheme="minorHAnsi"/>
          <w:sz w:val="22"/>
          <w:szCs w:val="22"/>
        </w:rPr>
        <w:t xml:space="preserve">Finlayson Z. (2021). The In Vitro Percutaneous Absorption of [14C] Homosalate in a Cosmetic Formulation Through Human Split Thickness Skin according to OECD Guideline 428, SCCS/1358/10. Charles River Laboratories Edinburgh Ltd. Test Facility Study No. 786915. </w:t>
      </w:r>
    </w:p>
    <w:p w14:paraId="343E89D8" w14:textId="77777777" w:rsidR="00423137" w:rsidRPr="00184DF4" w:rsidRDefault="00423137" w:rsidP="00423137">
      <w:pPr>
        <w:autoSpaceDE w:val="0"/>
        <w:autoSpaceDN w:val="0"/>
        <w:adjustRightInd w:val="0"/>
        <w:spacing w:after="180" w:line="252" w:lineRule="auto"/>
        <w:rPr>
          <w:rFonts w:asciiTheme="minorHAnsi" w:hAnsiTheme="minorHAnsi" w:cstheme="minorHAnsi"/>
          <w:sz w:val="22"/>
          <w:szCs w:val="22"/>
        </w:rPr>
      </w:pPr>
      <w:proofErr w:type="spellStart"/>
      <w:r w:rsidRPr="00184DF4">
        <w:rPr>
          <w:rFonts w:asciiTheme="minorHAnsi" w:hAnsiTheme="minorHAnsi" w:cstheme="minorHAnsi"/>
          <w:sz w:val="22"/>
          <w:szCs w:val="22"/>
        </w:rPr>
        <w:t>Fivenson</w:t>
      </w:r>
      <w:proofErr w:type="spellEnd"/>
      <w:r w:rsidRPr="00184DF4">
        <w:rPr>
          <w:rFonts w:asciiTheme="minorHAnsi" w:hAnsiTheme="minorHAnsi" w:cstheme="minorHAnsi"/>
          <w:sz w:val="22"/>
          <w:szCs w:val="22"/>
        </w:rPr>
        <w:t xml:space="preserve">, D., </w:t>
      </w:r>
      <w:proofErr w:type="spellStart"/>
      <w:r w:rsidRPr="00184DF4">
        <w:rPr>
          <w:rFonts w:asciiTheme="minorHAnsi" w:hAnsiTheme="minorHAnsi" w:cstheme="minorHAnsi"/>
          <w:sz w:val="22"/>
          <w:szCs w:val="22"/>
        </w:rPr>
        <w:t>Sabzevari</w:t>
      </w:r>
      <w:proofErr w:type="spellEnd"/>
      <w:r w:rsidRPr="00184DF4">
        <w:rPr>
          <w:rFonts w:asciiTheme="minorHAnsi" w:hAnsiTheme="minorHAnsi" w:cstheme="minorHAnsi"/>
          <w:sz w:val="22"/>
          <w:szCs w:val="22"/>
        </w:rPr>
        <w:t xml:space="preserve">, N., </w:t>
      </w:r>
      <w:proofErr w:type="spellStart"/>
      <w:r w:rsidRPr="00184DF4">
        <w:rPr>
          <w:rFonts w:asciiTheme="minorHAnsi" w:hAnsiTheme="minorHAnsi" w:cstheme="minorHAnsi"/>
          <w:sz w:val="22"/>
          <w:szCs w:val="22"/>
        </w:rPr>
        <w:t>Qiblawi</w:t>
      </w:r>
      <w:proofErr w:type="spellEnd"/>
      <w:r w:rsidRPr="00184DF4">
        <w:rPr>
          <w:rFonts w:asciiTheme="minorHAnsi" w:hAnsiTheme="minorHAnsi" w:cstheme="minorHAnsi"/>
          <w:sz w:val="22"/>
          <w:szCs w:val="22"/>
        </w:rPr>
        <w:t>, S., Blitz, J., Norton, B. B., &amp; Norton, S. A. (2020). Sunscreens: UV filters to protect us: Part 2-Increasing awareness of UV filters and their potential toxicities to us and our environment. </w:t>
      </w:r>
      <w:r w:rsidRPr="00184DF4">
        <w:rPr>
          <w:rFonts w:asciiTheme="minorHAnsi" w:hAnsiTheme="minorHAnsi" w:cstheme="minorHAnsi"/>
          <w:i/>
          <w:iCs/>
          <w:sz w:val="22"/>
          <w:szCs w:val="22"/>
        </w:rPr>
        <w:t>International journal of women's dermatology</w:t>
      </w:r>
      <w:r w:rsidRPr="00184DF4">
        <w:rPr>
          <w:rFonts w:asciiTheme="minorHAnsi" w:hAnsiTheme="minorHAnsi" w:cstheme="minorHAnsi"/>
          <w:sz w:val="22"/>
          <w:szCs w:val="22"/>
        </w:rPr>
        <w:t>, </w:t>
      </w:r>
      <w:r w:rsidRPr="00184DF4">
        <w:rPr>
          <w:rFonts w:asciiTheme="minorHAnsi" w:hAnsiTheme="minorHAnsi" w:cstheme="minorHAnsi"/>
          <w:i/>
          <w:iCs/>
          <w:sz w:val="22"/>
          <w:szCs w:val="22"/>
        </w:rPr>
        <w:t>7</w:t>
      </w:r>
      <w:r w:rsidRPr="00184DF4">
        <w:rPr>
          <w:rFonts w:asciiTheme="minorHAnsi" w:hAnsiTheme="minorHAnsi" w:cstheme="minorHAnsi"/>
          <w:sz w:val="22"/>
          <w:szCs w:val="22"/>
        </w:rPr>
        <w:t xml:space="preserve">(1), 45–69. </w:t>
      </w:r>
    </w:p>
    <w:p w14:paraId="5E3B02DA"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Freitas J.V., </w:t>
      </w:r>
      <w:proofErr w:type="spellStart"/>
      <w:r w:rsidRPr="00AD1264">
        <w:rPr>
          <w:rFonts w:asciiTheme="minorHAnsi" w:hAnsiTheme="minorHAnsi" w:cstheme="minorHAnsi"/>
          <w:color w:val="auto"/>
          <w:sz w:val="22"/>
          <w:szCs w:val="22"/>
        </w:rPr>
        <w:t>Praca</w:t>
      </w:r>
      <w:proofErr w:type="spellEnd"/>
      <w:r w:rsidRPr="00AD1264">
        <w:rPr>
          <w:rFonts w:asciiTheme="minorHAnsi" w:hAnsiTheme="minorHAnsi" w:cstheme="minorHAnsi"/>
          <w:color w:val="auto"/>
          <w:sz w:val="22"/>
          <w:szCs w:val="22"/>
        </w:rPr>
        <w:t xml:space="preserve"> F.S.G., Bentley M.V.L.B., Gaspar L.R. (2015). Trans-resveratrol and beta-carotene from sunscreens penetrate viable skin layers and reduce cutaneous penetration of UV-filters. </w:t>
      </w:r>
      <w:r w:rsidRPr="00AD1264">
        <w:rPr>
          <w:rFonts w:asciiTheme="minorHAnsi" w:hAnsiTheme="minorHAnsi" w:cstheme="minorHAnsi"/>
          <w:i/>
          <w:color w:val="auto"/>
          <w:sz w:val="22"/>
          <w:szCs w:val="22"/>
        </w:rPr>
        <w:t>Int. J. Pharm</w:t>
      </w:r>
      <w:r w:rsidRPr="00AD1264">
        <w:rPr>
          <w:rFonts w:asciiTheme="minorHAnsi" w:hAnsiTheme="minorHAnsi" w:cstheme="minorHAnsi"/>
          <w:color w:val="auto"/>
          <w:sz w:val="22"/>
          <w:szCs w:val="22"/>
        </w:rPr>
        <w:t xml:space="preserve">. 484: 131–137. </w:t>
      </w:r>
    </w:p>
    <w:p w14:paraId="18E947CE"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Gaspar L.R.,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(2013). Skin phototoxicity of cosmetic formulations containing </w:t>
      </w:r>
      <w:proofErr w:type="spellStart"/>
      <w:r w:rsidRPr="00AD1264">
        <w:rPr>
          <w:rFonts w:asciiTheme="minorHAnsi" w:hAnsiTheme="minorHAnsi" w:cstheme="minorHAnsi"/>
          <w:color w:val="auto"/>
          <w:sz w:val="22"/>
          <w:szCs w:val="22"/>
        </w:rPr>
        <w:t>photounstable</w:t>
      </w:r>
      <w:proofErr w:type="spellEnd"/>
      <w:r w:rsidRPr="00AD1264">
        <w:rPr>
          <w:rFonts w:asciiTheme="minorHAnsi" w:hAnsiTheme="minorHAnsi" w:cstheme="minorHAnsi"/>
          <w:color w:val="auto"/>
          <w:sz w:val="22"/>
          <w:szCs w:val="22"/>
        </w:rPr>
        <w:t xml:space="preserve"> and photostable UV-filters and vitamin A palmitate. </w:t>
      </w:r>
      <w:proofErr w:type="spellStart"/>
      <w:r w:rsidRPr="00AD1264">
        <w:rPr>
          <w:rFonts w:asciiTheme="minorHAnsi" w:hAnsiTheme="minorHAnsi" w:cstheme="minorHAnsi"/>
          <w:i/>
          <w:color w:val="auto"/>
          <w:sz w:val="22"/>
          <w:szCs w:val="22"/>
        </w:rPr>
        <w:t>Toxicol</w:t>
      </w:r>
      <w:proofErr w:type="spellEnd"/>
      <w:r w:rsidRPr="00AD1264">
        <w:rPr>
          <w:rFonts w:asciiTheme="minorHAnsi" w:hAnsiTheme="minorHAnsi" w:cstheme="minorHAnsi"/>
          <w:i/>
          <w:color w:val="auto"/>
          <w:sz w:val="22"/>
          <w:szCs w:val="22"/>
        </w:rPr>
        <w:t xml:space="preserve">. in Vitro. </w:t>
      </w:r>
      <w:r w:rsidRPr="00AD1264">
        <w:rPr>
          <w:rFonts w:asciiTheme="minorHAnsi" w:hAnsiTheme="minorHAnsi" w:cstheme="minorHAnsi"/>
          <w:color w:val="auto"/>
          <w:sz w:val="22"/>
          <w:szCs w:val="22"/>
        </w:rPr>
        <w:t xml:space="preserve">27: 418–425. </w:t>
      </w:r>
    </w:p>
    <w:p w14:paraId="48745ECF"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proofErr w:type="spellStart"/>
      <w:r w:rsidRPr="00AD1264">
        <w:rPr>
          <w:rFonts w:asciiTheme="minorHAnsi" w:hAnsiTheme="minorHAnsi" w:cstheme="minorHAnsi"/>
          <w:color w:val="auto"/>
          <w:sz w:val="22"/>
          <w:szCs w:val="22"/>
        </w:rPr>
        <w:t>Gilaberte</w:t>
      </w:r>
      <w:proofErr w:type="spellEnd"/>
      <w:r w:rsidRPr="00AD1264">
        <w:rPr>
          <w:rFonts w:asciiTheme="minorHAnsi" w:hAnsiTheme="minorHAnsi" w:cstheme="minorHAnsi"/>
          <w:color w:val="auto"/>
          <w:sz w:val="22"/>
          <w:szCs w:val="22"/>
        </w:rPr>
        <w:t xml:space="preserve"> Y., &amp; Carrascosa J. M. (2014). Sun protection in children: realities and challenges. </w:t>
      </w:r>
      <w:proofErr w:type="spellStart"/>
      <w:r w:rsidRPr="00AD1264">
        <w:rPr>
          <w:rFonts w:asciiTheme="minorHAnsi" w:hAnsiTheme="minorHAnsi" w:cstheme="minorHAnsi"/>
          <w:i/>
          <w:color w:val="auto"/>
          <w:sz w:val="22"/>
          <w:szCs w:val="22"/>
        </w:rPr>
        <w:t>Actas</w:t>
      </w:r>
      <w:proofErr w:type="spellEnd"/>
      <w:r w:rsidRPr="00AD1264">
        <w:rPr>
          <w:rFonts w:asciiTheme="minorHAnsi" w:hAnsiTheme="minorHAnsi" w:cstheme="minorHAnsi"/>
          <w:i/>
          <w:color w:val="auto"/>
          <w:sz w:val="22"/>
          <w:szCs w:val="22"/>
        </w:rPr>
        <w:t xml:space="preserve"> </w:t>
      </w:r>
      <w:proofErr w:type="spellStart"/>
      <w:r w:rsidRPr="00AD1264">
        <w:rPr>
          <w:rFonts w:asciiTheme="minorHAnsi" w:hAnsiTheme="minorHAnsi" w:cstheme="minorHAnsi"/>
          <w:i/>
          <w:color w:val="auto"/>
          <w:sz w:val="22"/>
          <w:szCs w:val="22"/>
        </w:rPr>
        <w:t>Dermosifiliogr</w:t>
      </w:r>
      <w:proofErr w:type="spellEnd"/>
      <w:r w:rsidRPr="00AD1264">
        <w:rPr>
          <w:rFonts w:asciiTheme="minorHAnsi" w:hAnsiTheme="minorHAnsi" w:cstheme="minorHAnsi"/>
          <w:color w:val="auto"/>
          <w:sz w:val="22"/>
          <w:szCs w:val="22"/>
        </w:rPr>
        <w:t xml:space="preserve"> </w:t>
      </w:r>
      <w:r w:rsidRPr="00AD1264">
        <w:rPr>
          <w:rFonts w:asciiTheme="minorHAnsi" w:hAnsiTheme="minorHAnsi" w:cstheme="minorHAnsi"/>
          <w:i/>
          <w:color w:val="auto"/>
          <w:sz w:val="22"/>
          <w:szCs w:val="22"/>
        </w:rPr>
        <w:t>(English Edition).</w:t>
      </w:r>
      <w:r w:rsidRPr="00AD1264">
        <w:rPr>
          <w:rFonts w:asciiTheme="minorHAnsi" w:hAnsiTheme="minorHAnsi" w:cstheme="minorHAnsi"/>
          <w:color w:val="auto"/>
          <w:sz w:val="22"/>
          <w:szCs w:val="22"/>
        </w:rPr>
        <w:t xml:space="preserve"> 105: 253–262. </w:t>
      </w:r>
    </w:p>
    <w:p w14:paraId="33661526"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Gilbert E.,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(2013). Commonly used UV filter toxicity on biological functions: review of last decade studies. </w:t>
      </w:r>
      <w:r w:rsidRPr="00AD1264">
        <w:rPr>
          <w:rFonts w:asciiTheme="minorHAnsi" w:hAnsiTheme="minorHAnsi" w:cstheme="minorHAnsi"/>
          <w:i/>
          <w:color w:val="auto"/>
          <w:sz w:val="22"/>
          <w:szCs w:val="22"/>
        </w:rPr>
        <w:t xml:space="preserve">Int. J. </w:t>
      </w:r>
      <w:proofErr w:type="spellStart"/>
      <w:r w:rsidRPr="00AD1264">
        <w:rPr>
          <w:rFonts w:asciiTheme="minorHAnsi" w:hAnsiTheme="minorHAnsi" w:cstheme="minorHAnsi"/>
          <w:i/>
          <w:color w:val="auto"/>
          <w:sz w:val="22"/>
          <w:szCs w:val="22"/>
        </w:rPr>
        <w:t>Cosmet</w:t>
      </w:r>
      <w:proofErr w:type="spellEnd"/>
      <w:r w:rsidRPr="00AD1264">
        <w:rPr>
          <w:rFonts w:asciiTheme="minorHAnsi" w:hAnsiTheme="minorHAnsi" w:cstheme="minorHAnsi"/>
          <w:i/>
          <w:color w:val="auto"/>
          <w:sz w:val="22"/>
          <w:szCs w:val="22"/>
        </w:rPr>
        <w:t>. Sci</w:t>
      </w:r>
      <w:r w:rsidRPr="00AD1264">
        <w:rPr>
          <w:rFonts w:asciiTheme="minorHAnsi" w:hAnsiTheme="minorHAnsi" w:cstheme="minorHAnsi"/>
          <w:color w:val="auto"/>
          <w:sz w:val="22"/>
          <w:szCs w:val="22"/>
        </w:rPr>
        <w:t>. 35: 208-219.</w:t>
      </w:r>
    </w:p>
    <w:p w14:paraId="6E46267F"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Gomes Benevenuto C.,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(2015). Combination of retinyl palmitate and UV-filters: phototoxicity risk assessment based on photostability and in vitro and in vivo phototoxicity assays. </w:t>
      </w:r>
      <w:r w:rsidRPr="00AD1264">
        <w:rPr>
          <w:rFonts w:asciiTheme="minorHAnsi" w:hAnsiTheme="minorHAnsi" w:cstheme="minorHAnsi"/>
          <w:i/>
          <w:color w:val="auto"/>
          <w:sz w:val="22"/>
          <w:szCs w:val="22"/>
        </w:rPr>
        <w:t>Eur. J. Pharm.</w:t>
      </w:r>
      <w:r w:rsidRPr="00AD1264">
        <w:rPr>
          <w:rFonts w:asciiTheme="minorHAnsi" w:hAnsiTheme="minorHAnsi" w:cstheme="minorHAnsi"/>
          <w:color w:val="auto"/>
          <w:sz w:val="22"/>
          <w:szCs w:val="22"/>
        </w:rPr>
        <w:t xml:space="preserve"> 68:127-136.</w:t>
      </w:r>
    </w:p>
    <w:p w14:paraId="143FD239"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Guesmi A., </w:t>
      </w:r>
      <w:r w:rsidRPr="00AD1264">
        <w:rPr>
          <w:rFonts w:asciiTheme="minorHAnsi" w:hAnsiTheme="minorHAnsi" w:cstheme="minorHAnsi"/>
          <w:i/>
          <w:iCs/>
          <w:color w:val="auto"/>
          <w:sz w:val="22"/>
          <w:szCs w:val="22"/>
        </w:rPr>
        <w:t xml:space="preserve">et al. </w:t>
      </w:r>
      <w:r w:rsidRPr="00AD1264">
        <w:rPr>
          <w:rFonts w:asciiTheme="minorHAnsi" w:hAnsiTheme="minorHAnsi" w:cstheme="minorHAnsi"/>
          <w:color w:val="auto"/>
          <w:sz w:val="22"/>
          <w:szCs w:val="22"/>
        </w:rPr>
        <w:t xml:space="preserve">(2020). </w:t>
      </w:r>
      <w:r w:rsidRPr="00AD1264">
        <w:rPr>
          <w:rFonts w:asciiTheme="minorHAnsi" w:hAnsiTheme="minorHAnsi" w:cstheme="minorHAnsi"/>
          <w:i/>
          <w:iCs/>
          <w:color w:val="auto"/>
          <w:sz w:val="22"/>
          <w:szCs w:val="22"/>
        </w:rPr>
        <w:t xml:space="preserve">In vitro </w:t>
      </w:r>
      <w:r w:rsidRPr="00AD1264">
        <w:rPr>
          <w:rFonts w:asciiTheme="minorHAnsi" w:hAnsiTheme="minorHAnsi" w:cstheme="minorHAnsi"/>
          <w:color w:val="auto"/>
          <w:sz w:val="22"/>
          <w:szCs w:val="22"/>
        </w:rPr>
        <w:t xml:space="preserve">metabolism of sunscreen compounds by liquid chromatography/high-resolution tandem mass spectrometry. </w:t>
      </w:r>
      <w:r w:rsidRPr="00AD1264">
        <w:rPr>
          <w:rFonts w:asciiTheme="minorHAnsi" w:hAnsiTheme="minorHAnsi" w:cstheme="minorHAnsi"/>
          <w:i/>
          <w:color w:val="auto"/>
          <w:sz w:val="22"/>
          <w:szCs w:val="22"/>
        </w:rPr>
        <w:t xml:space="preserve">Rapid Commun. Mass. </w:t>
      </w:r>
      <w:proofErr w:type="spellStart"/>
      <w:r w:rsidRPr="00AD1264">
        <w:rPr>
          <w:rFonts w:asciiTheme="minorHAnsi" w:hAnsiTheme="minorHAnsi" w:cstheme="minorHAnsi"/>
          <w:i/>
          <w:color w:val="auto"/>
          <w:sz w:val="22"/>
          <w:szCs w:val="22"/>
        </w:rPr>
        <w:t>Spectrom</w:t>
      </w:r>
      <w:proofErr w:type="spellEnd"/>
      <w:r w:rsidRPr="00AD1264">
        <w:rPr>
          <w:rFonts w:asciiTheme="minorHAnsi" w:hAnsiTheme="minorHAnsi" w:cstheme="minorHAnsi"/>
          <w:i/>
          <w:color w:val="auto"/>
          <w:sz w:val="22"/>
          <w:szCs w:val="22"/>
        </w:rPr>
        <w:t>.</w:t>
      </w:r>
      <w:r w:rsidRPr="00AD1264">
        <w:rPr>
          <w:rFonts w:asciiTheme="minorHAnsi" w:hAnsiTheme="minorHAnsi" w:cstheme="minorHAnsi"/>
          <w:color w:val="auto"/>
          <w:sz w:val="22"/>
          <w:szCs w:val="22"/>
        </w:rPr>
        <w:t xml:space="preserve"> 34: e8679.</w:t>
      </w:r>
    </w:p>
    <w:p w14:paraId="6F708063" w14:textId="77777777" w:rsidR="00423137" w:rsidRPr="00AD1264" w:rsidRDefault="00423137" w:rsidP="00423137">
      <w:pPr>
        <w:rPr>
          <w:rFonts w:asciiTheme="minorHAnsi" w:hAnsiTheme="minorHAnsi" w:cstheme="minorHAnsi"/>
          <w:sz w:val="22"/>
          <w:szCs w:val="22"/>
        </w:rPr>
      </w:pPr>
      <w:r w:rsidRPr="00AD1264">
        <w:rPr>
          <w:rFonts w:asciiTheme="minorHAnsi" w:hAnsiTheme="minorHAnsi" w:cstheme="minorHAnsi"/>
          <w:sz w:val="22"/>
          <w:szCs w:val="22"/>
        </w:rPr>
        <w:t xml:space="preserve">Han X., Lu T., Hu Y., Duan J., Guan Y., Huang X. </w:t>
      </w:r>
      <w:r w:rsidRPr="00AD1264">
        <w:rPr>
          <w:rFonts w:asciiTheme="minorHAnsi" w:hAnsiTheme="minorHAnsi" w:cstheme="minorHAnsi"/>
          <w:i/>
          <w:iCs/>
          <w:sz w:val="22"/>
          <w:szCs w:val="22"/>
        </w:rPr>
        <w:t>et al</w:t>
      </w:r>
      <w:r w:rsidRPr="00AD1264">
        <w:rPr>
          <w:rFonts w:asciiTheme="minorHAnsi" w:hAnsiTheme="minorHAnsi" w:cstheme="minorHAnsi"/>
          <w:sz w:val="22"/>
          <w:szCs w:val="22"/>
        </w:rPr>
        <w:t xml:space="preserve">. (2022). A metabolomic study on the effect of prenatal exposure to Benzophenone-3 on spontaneous fetal loss in mice. </w:t>
      </w:r>
      <w:proofErr w:type="spellStart"/>
      <w:r w:rsidRPr="00AD1264">
        <w:rPr>
          <w:rFonts w:asciiTheme="minorHAnsi" w:hAnsiTheme="minorHAnsi" w:cstheme="minorHAnsi"/>
          <w:i/>
          <w:iCs/>
          <w:sz w:val="22"/>
          <w:szCs w:val="22"/>
        </w:rPr>
        <w:t>Ecotoxicol</w:t>
      </w:r>
      <w:proofErr w:type="spellEnd"/>
      <w:r w:rsidRPr="00AD1264">
        <w:rPr>
          <w:rFonts w:asciiTheme="minorHAnsi" w:hAnsiTheme="minorHAnsi" w:cstheme="minorHAnsi"/>
          <w:i/>
          <w:iCs/>
          <w:sz w:val="22"/>
          <w:szCs w:val="22"/>
        </w:rPr>
        <w:t>. Environ. Saf.</w:t>
      </w:r>
      <w:r w:rsidRPr="00AD1264">
        <w:rPr>
          <w:rFonts w:asciiTheme="minorHAnsi" w:hAnsiTheme="minorHAnsi" w:cstheme="minorHAnsi"/>
          <w:sz w:val="22"/>
          <w:szCs w:val="22"/>
        </w:rPr>
        <w:t xml:space="preserve"> 233: 113347.</w:t>
      </w:r>
    </w:p>
    <w:p w14:paraId="49FA5232"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Hayden C.G.J., Cross S.E., Anderson C., Saunders N.A., &amp; Roberts M.S. (2005). Sunscreen penetration of human skin and related keratinocyte toxicity after topical application. </w:t>
      </w:r>
      <w:r w:rsidRPr="00AD1264">
        <w:rPr>
          <w:rFonts w:asciiTheme="minorHAnsi" w:hAnsiTheme="minorHAnsi" w:cstheme="minorHAnsi"/>
          <w:i/>
          <w:color w:val="auto"/>
          <w:sz w:val="22"/>
          <w:szCs w:val="22"/>
        </w:rPr>
        <w:t xml:space="preserve">Skin </w:t>
      </w:r>
      <w:proofErr w:type="spellStart"/>
      <w:r w:rsidRPr="00AD1264">
        <w:rPr>
          <w:rFonts w:asciiTheme="minorHAnsi" w:hAnsiTheme="minorHAnsi" w:cstheme="minorHAnsi"/>
          <w:i/>
          <w:color w:val="auto"/>
          <w:sz w:val="22"/>
          <w:szCs w:val="22"/>
        </w:rPr>
        <w:t>Pharmacol</w:t>
      </w:r>
      <w:proofErr w:type="spellEnd"/>
      <w:r w:rsidRPr="00AD1264">
        <w:rPr>
          <w:rFonts w:asciiTheme="minorHAnsi" w:hAnsiTheme="minorHAnsi" w:cstheme="minorHAnsi"/>
          <w:i/>
          <w:color w:val="auto"/>
          <w:sz w:val="22"/>
          <w:szCs w:val="22"/>
        </w:rPr>
        <w:t>. Physiol</w:t>
      </w:r>
      <w:r w:rsidRPr="00AD1264">
        <w:rPr>
          <w:rFonts w:asciiTheme="minorHAnsi" w:hAnsiTheme="minorHAnsi" w:cstheme="minorHAnsi"/>
          <w:color w:val="auto"/>
          <w:sz w:val="22"/>
          <w:szCs w:val="22"/>
        </w:rPr>
        <w:t xml:space="preserve">. 18: 170–174. </w:t>
      </w:r>
    </w:p>
    <w:p w14:paraId="2330284D"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AD1264">
        <w:rPr>
          <w:rFonts w:asciiTheme="minorHAnsi" w:hAnsiTheme="minorHAnsi" w:cstheme="minorHAnsi"/>
          <w:color w:val="auto"/>
          <w:sz w:val="22"/>
          <w:szCs w:val="22"/>
        </w:rPr>
        <w:t xml:space="preserve">Hazardous Substances Data Bank (HSDB). Accessed from </w:t>
      </w:r>
      <w:hyperlink r:id="rId67" w:history="1">
        <w:r w:rsidRPr="00184DF4">
          <w:rPr>
            <w:rStyle w:val="Hyperlink"/>
            <w:rFonts w:asciiTheme="minorHAnsi" w:hAnsiTheme="minorHAnsi" w:cstheme="minorHAnsi"/>
            <w:sz w:val="22"/>
            <w:szCs w:val="22"/>
          </w:rPr>
          <w:t xml:space="preserve">https://toxnet.nlm.nih.gov/ </w:t>
        </w:r>
        <w:proofErr w:type="spellStart"/>
        <w:r w:rsidRPr="00184DF4">
          <w:rPr>
            <w:rStyle w:val="Hyperlink"/>
            <w:rFonts w:asciiTheme="minorHAnsi" w:hAnsiTheme="minorHAnsi" w:cstheme="minorHAnsi"/>
            <w:sz w:val="22"/>
            <w:szCs w:val="22"/>
          </w:rPr>
          <w:t>newtoxnet</w:t>
        </w:r>
        <w:proofErr w:type="spellEnd"/>
        <w:r w:rsidRPr="00184DF4">
          <w:rPr>
            <w:rStyle w:val="Hyperlink"/>
            <w:rFonts w:asciiTheme="minorHAnsi" w:hAnsiTheme="minorHAnsi" w:cstheme="minorHAnsi"/>
            <w:sz w:val="22"/>
            <w:szCs w:val="22"/>
          </w:rPr>
          <w:t>/hsdb.htm</w:t>
        </w:r>
      </w:hyperlink>
      <w:r w:rsidRPr="00184DF4">
        <w:rPr>
          <w:rFonts w:asciiTheme="minorHAnsi" w:hAnsiTheme="minorHAnsi" w:cstheme="minorHAnsi"/>
          <w:sz w:val="22"/>
          <w:szCs w:val="22"/>
        </w:rPr>
        <w:t xml:space="preserve"> </w:t>
      </w:r>
    </w:p>
    <w:p w14:paraId="0986C72D"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Hiller J.,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(2019). Systemic availability of lipophilic organic UV filters through dermal sunscreen exposure. </w:t>
      </w:r>
      <w:r w:rsidRPr="00AD1264">
        <w:rPr>
          <w:rFonts w:asciiTheme="minorHAnsi" w:hAnsiTheme="minorHAnsi" w:cstheme="minorHAnsi"/>
          <w:i/>
          <w:color w:val="auto"/>
          <w:sz w:val="22"/>
          <w:szCs w:val="22"/>
        </w:rPr>
        <w:t>Environ. Int.</w:t>
      </w:r>
      <w:r w:rsidRPr="00AD1264">
        <w:rPr>
          <w:rFonts w:asciiTheme="minorHAnsi" w:hAnsiTheme="minorHAnsi" w:cstheme="minorHAnsi"/>
          <w:color w:val="auto"/>
          <w:sz w:val="22"/>
          <w:szCs w:val="22"/>
        </w:rPr>
        <w:t xml:space="preserve"> 132: 105068.</w:t>
      </w:r>
    </w:p>
    <w:p w14:paraId="1293BB7A"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proofErr w:type="spellStart"/>
      <w:r w:rsidRPr="00AD1264">
        <w:rPr>
          <w:rFonts w:asciiTheme="minorHAnsi" w:hAnsiTheme="minorHAnsi" w:cstheme="minorHAnsi"/>
          <w:color w:val="auto"/>
          <w:sz w:val="22"/>
          <w:szCs w:val="22"/>
        </w:rPr>
        <w:t>Hojerová</w:t>
      </w:r>
      <w:proofErr w:type="spellEnd"/>
      <w:r w:rsidRPr="00AD1264">
        <w:rPr>
          <w:rFonts w:asciiTheme="minorHAnsi" w:hAnsiTheme="minorHAnsi" w:cstheme="minorHAnsi"/>
          <w:color w:val="auto"/>
          <w:sz w:val="22"/>
          <w:szCs w:val="22"/>
        </w:rPr>
        <w:t xml:space="preserve"> J., </w:t>
      </w:r>
      <w:proofErr w:type="spellStart"/>
      <w:r w:rsidRPr="00AD1264">
        <w:rPr>
          <w:rFonts w:asciiTheme="minorHAnsi" w:hAnsiTheme="minorHAnsi" w:cstheme="minorHAnsi"/>
          <w:color w:val="auto"/>
          <w:sz w:val="22"/>
          <w:szCs w:val="22"/>
        </w:rPr>
        <w:t>Peráčková</w:t>
      </w:r>
      <w:proofErr w:type="spellEnd"/>
      <w:r w:rsidRPr="00AD1264">
        <w:rPr>
          <w:rFonts w:asciiTheme="minorHAnsi" w:hAnsiTheme="minorHAnsi" w:cstheme="minorHAnsi"/>
          <w:color w:val="auto"/>
          <w:sz w:val="22"/>
          <w:szCs w:val="22"/>
        </w:rPr>
        <w:t xml:space="preserve"> Z., &amp; Beránková M. (2017). Margin of safety for two UV filters estimated by in vitro permeation studies mimicking consumer habits: Effects of skin shaving and sunscreen reapplication. </w:t>
      </w:r>
      <w:r w:rsidRPr="00AD1264">
        <w:rPr>
          <w:rFonts w:asciiTheme="minorHAnsi" w:hAnsiTheme="minorHAnsi" w:cstheme="minorHAnsi"/>
          <w:i/>
          <w:iCs/>
          <w:color w:val="auto"/>
          <w:sz w:val="22"/>
          <w:szCs w:val="22"/>
        </w:rPr>
        <w:t xml:space="preserve">Food Chem. </w:t>
      </w:r>
      <w:proofErr w:type="spellStart"/>
      <w:r w:rsidRPr="00AD1264">
        <w:rPr>
          <w:rFonts w:asciiTheme="minorHAnsi" w:hAnsiTheme="minorHAnsi" w:cstheme="minorHAnsi"/>
          <w:i/>
          <w:iCs/>
          <w:color w:val="auto"/>
          <w:sz w:val="22"/>
          <w:szCs w:val="22"/>
        </w:rPr>
        <w:t>Toxicol</w:t>
      </w:r>
      <w:proofErr w:type="spellEnd"/>
      <w:r w:rsidRPr="00AD1264">
        <w:rPr>
          <w:rFonts w:asciiTheme="minorHAnsi" w:hAnsiTheme="minorHAnsi" w:cstheme="minorHAnsi"/>
          <w:i/>
          <w:iCs/>
          <w:color w:val="auto"/>
          <w:sz w:val="22"/>
          <w:szCs w:val="22"/>
        </w:rPr>
        <w:t>.</w:t>
      </w:r>
      <w:r w:rsidRPr="00AD1264">
        <w:rPr>
          <w:rFonts w:asciiTheme="minorHAnsi" w:hAnsiTheme="minorHAnsi" w:cstheme="minorHAnsi"/>
          <w:color w:val="auto"/>
          <w:sz w:val="22"/>
          <w:szCs w:val="22"/>
        </w:rPr>
        <w:t xml:space="preserve"> 103: 66–78.</w:t>
      </w:r>
    </w:p>
    <w:p w14:paraId="488BFEA7" w14:textId="77777777" w:rsidR="00423137" w:rsidRPr="00AD1264" w:rsidRDefault="00423137" w:rsidP="00423137">
      <w:pPr>
        <w:autoSpaceDE w:val="0"/>
        <w:autoSpaceDN w:val="0"/>
        <w:adjustRightInd w:val="0"/>
        <w:spacing w:after="180" w:line="252" w:lineRule="auto"/>
        <w:rPr>
          <w:rFonts w:asciiTheme="minorHAnsi" w:hAnsiTheme="minorHAnsi" w:cstheme="minorHAnsi"/>
          <w:sz w:val="22"/>
          <w:szCs w:val="22"/>
        </w:rPr>
      </w:pPr>
      <w:r w:rsidRPr="00AD1264">
        <w:rPr>
          <w:rFonts w:asciiTheme="minorHAnsi" w:hAnsiTheme="minorHAnsi" w:cstheme="minorHAnsi"/>
          <w:sz w:val="22"/>
          <w:szCs w:val="22"/>
        </w:rPr>
        <w:t xml:space="preserve">Huang Y., </w:t>
      </w:r>
      <w:r w:rsidRPr="00AD1264">
        <w:rPr>
          <w:rFonts w:asciiTheme="minorHAnsi" w:hAnsiTheme="minorHAnsi" w:cstheme="minorHAnsi"/>
          <w:i/>
          <w:sz w:val="22"/>
          <w:szCs w:val="22"/>
        </w:rPr>
        <w:t>et al.</w:t>
      </w:r>
      <w:r w:rsidRPr="00AD1264">
        <w:rPr>
          <w:rFonts w:asciiTheme="minorHAnsi" w:hAnsiTheme="minorHAnsi" w:cstheme="minorHAnsi"/>
          <w:sz w:val="22"/>
          <w:szCs w:val="22"/>
        </w:rPr>
        <w:t xml:space="preserve"> (2019). Fate of UV filter Ethylhexyl methoxycinnamate in rat model and human urine: Metabolism, exposure and demographic associations. </w:t>
      </w:r>
      <w:r w:rsidRPr="00AD1264">
        <w:rPr>
          <w:rFonts w:asciiTheme="minorHAnsi" w:hAnsiTheme="minorHAnsi" w:cstheme="minorHAnsi"/>
          <w:i/>
          <w:sz w:val="22"/>
          <w:szCs w:val="22"/>
        </w:rPr>
        <w:t xml:space="preserve">Sci Tot Environ. </w:t>
      </w:r>
      <w:r w:rsidRPr="00AD1264">
        <w:rPr>
          <w:rFonts w:asciiTheme="minorHAnsi" w:hAnsiTheme="minorHAnsi" w:cstheme="minorHAnsi"/>
          <w:sz w:val="22"/>
          <w:szCs w:val="22"/>
        </w:rPr>
        <w:t>686: 729-736.</w:t>
      </w:r>
    </w:p>
    <w:p w14:paraId="3DB52383" w14:textId="77777777" w:rsidR="00423137" w:rsidRPr="00AD1264" w:rsidRDefault="00423137" w:rsidP="00423137">
      <w:pPr>
        <w:autoSpaceDE w:val="0"/>
        <w:autoSpaceDN w:val="0"/>
        <w:adjustRightInd w:val="0"/>
        <w:spacing w:after="180" w:line="252" w:lineRule="auto"/>
        <w:rPr>
          <w:rFonts w:asciiTheme="minorHAnsi" w:hAnsiTheme="minorHAnsi" w:cstheme="minorHAnsi"/>
          <w:i/>
          <w:sz w:val="22"/>
          <w:szCs w:val="22"/>
        </w:rPr>
      </w:pPr>
      <w:r w:rsidRPr="00AD1264">
        <w:rPr>
          <w:rFonts w:asciiTheme="minorHAnsi" w:hAnsiTheme="minorHAnsi" w:cstheme="minorHAnsi"/>
          <w:sz w:val="22"/>
          <w:szCs w:val="22"/>
        </w:rPr>
        <w:t xml:space="preserve">Huang Y., </w:t>
      </w:r>
      <w:r w:rsidRPr="00AD1264">
        <w:rPr>
          <w:rFonts w:asciiTheme="minorHAnsi" w:hAnsiTheme="minorHAnsi" w:cstheme="minorHAnsi"/>
          <w:i/>
          <w:sz w:val="22"/>
          <w:szCs w:val="22"/>
        </w:rPr>
        <w:t>et al.</w:t>
      </w:r>
      <w:r w:rsidRPr="00AD1264">
        <w:rPr>
          <w:rFonts w:asciiTheme="minorHAnsi" w:hAnsiTheme="minorHAnsi" w:cstheme="minorHAnsi"/>
          <w:sz w:val="22"/>
          <w:szCs w:val="22"/>
        </w:rPr>
        <w:t xml:space="preserve"> (2021).</w:t>
      </w:r>
      <w:r w:rsidRPr="00AD1264">
        <w:rPr>
          <w:rFonts w:asciiTheme="minorHAnsi" w:hAnsiTheme="minorHAnsi" w:cstheme="minorHAnsi"/>
          <w:i/>
          <w:sz w:val="22"/>
          <w:szCs w:val="22"/>
        </w:rPr>
        <w:t xml:space="preserve"> </w:t>
      </w:r>
      <w:r w:rsidRPr="00AD1264">
        <w:rPr>
          <w:rFonts w:asciiTheme="minorHAnsi" w:hAnsiTheme="minorHAnsi" w:cstheme="minorHAnsi"/>
          <w:iCs/>
          <w:sz w:val="22"/>
          <w:szCs w:val="22"/>
        </w:rPr>
        <w:t xml:space="preserve">Risks of organic UV filters: a review of environmental and human health concern studies, </w:t>
      </w:r>
      <w:r w:rsidRPr="00AD1264">
        <w:rPr>
          <w:rFonts w:asciiTheme="minorHAnsi" w:hAnsiTheme="minorHAnsi" w:cstheme="minorHAnsi"/>
          <w:i/>
          <w:sz w:val="22"/>
          <w:szCs w:val="22"/>
        </w:rPr>
        <w:t xml:space="preserve">Sci Tot Environ, </w:t>
      </w:r>
      <w:r w:rsidRPr="00AD1264">
        <w:rPr>
          <w:rFonts w:asciiTheme="minorHAnsi" w:hAnsiTheme="minorHAnsi" w:cstheme="minorHAnsi"/>
          <w:iCs/>
          <w:sz w:val="22"/>
          <w:szCs w:val="22"/>
        </w:rPr>
        <w:t>755, Part 1, 2021, 142486,</w:t>
      </w:r>
    </w:p>
    <w:p w14:paraId="69202012"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Janjua N.R.,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(2004). Systemic Absorption of the Sunscreens Benzophenone-3, Octyl-Methoxycinnamate, and 3-(4-Methyl-Benzylidene) Camphor After Whole-Body Topical Application and Reproductive Hormone Levels in Humans. </w:t>
      </w:r>
      <w:r w:rsidRPr="00AD1264">
        <w:rPr>
          <w:rFonts w:asciiTheme="minorHAnsi" w:hAnsiTheme="minorHAnsi" w:cstheme="minorHAnsi"/>
          <w:i/>
          <w:color w:val="auto"/>
          <w:sz w:val="22"/>
          <w:szCs w:val="22"/>
        </w:rPr>
        <w:t>J. Invest. Dermatol</w:t>
      </w:r>
      <w:r w:rsidRPr="00AD1264">
        <w:rPr>
          <w:rFonts w:asciiTheme="minorHAnsi" w:hAnsiTheme="minorHAnsi" w:cstheme="minorHAnsi"/>
          <w:color w:val="auto"/>
          <w:sz w:val="22"/>
          <w:szCs w:val="22"/>
        </w:rPr>
        <w:t xml:space="preserve">. 123: 57–61. </w:t>
      </w:r>
    </w:p>
    <w:p w14:paraId="107B3752" w14:textId="77777777" w:rsidR="00423137" w:rsidRPr="00AD1264" w:rsidRDefault="00423137" w:rsidP="00423137">
      <w:pPr>
        <w:rPr>
          <w:rFonts w:asciiTheme="minorHAnsi" w:hAnsiTheme="minorHAnsi" w:cstheme="minorHAnsi"/>
          <w:sz w:val="22"/>
          <w:szCs w:val="22"/>
        </w:rPr>
      </w:pPr>
      <w:r w:rsidRPr="00AD1264">
        <w:rPr>
          <w:rFonts w:asciiTheme="minorHAnsi" w:hAnsiTheme="minorHAnsi" w:cstheme="minorHAnsi"/>
          <w:sz w:val="22"/>
          <w:szCs w:val="22"/>
        </w:rPr>
        <w:t xml:space="preserve">Jung W., Seok S.H., Shin S., Ryu S.H., Kim K.B., Shin B.S. et al. (2022). </w:t>
      </w:r>
      <w:proofErr w:type="spellStart"/>
      <w:r w:rsidRPr="00AD1264">
        <w:rPr>
          <w:rFonts w:asciiTheme="minorHAnsi" w:hAnsiTheme="minorHAnsi" w:cstheme="minorHAnsi"/>
          <w:sz w:val="22"/>
          <w:szCs w:val="22"/>
        </w:rPr>
        <w:t>Toxicokinetics</w:t>
      </w:r>
      <w:proofErr w:type="spellEnd"/>
      <w:r w:rsidRPr="00AD1264">
        <w:rPr>
          <w:rFonts w:asciiTheme="minorHAnsi" w:hAnsiTheme="minorHAnsi" w:cstheme="minorHAnsi"/>
          <w:sz w:val="22"/>
          <w:szCs w:val="22"/>
        </w:rPr>
        <w:t xml:space="preserve">, Percutaneous Absorption and Tissue Distribution of Benzophenone-3, an UV Filtering Agent, in Rats. </w:t>
      </w:r>
      <w:r w:rsidRPr="00AD1264">
        <w:rPr>
          <w:rFonts w:asciiTheme="minorHAnsi" w:hAnsiTheme="minorHAnsi" w:cstheme="minorHAnsi"/>
          <w:i/>
          <w:iCs/>
          <w:sz w:val="22"/>
          <w:szCs w:val="22"/>
        </w:rPr>
        <w:t>Toxics</w:t>
      </w:r>
      <w:r w:rsidRPr="00AD1264">
        <w:rPr>
          <w:rFonts w:asciiTheme="minorHAnsi" w:hAnsiTheme="minorHAnsi" w:cstheme="minorHAnsi"/>
          <w:sz w:val="22"/>
          <w:szCs w:val="22"/>
        </w:rPr>
        <w:t xml:space="preserve"> 10: 672.</w:t>
      </w:r>
    </w:p>
    <w:p w14:paraId="62060407"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proofErr w:type="spellStart"/>
      <w:r w:rsidRPr="00AD1264">
        <w:rPr>
          <w:rFonts w:asciiTheme="minorHAnsi" w:hAnsiTheme="minorHAnsi" w:cstheme="minorHAnsi"/>
          <w:color w:val="auto"/>
          <w:sz w:val="22"/>
          <w:szCs w:val="22"/>
        </w:rPr>
        <w:t>Kariagina</w:t>
      </w:r>
      <w:proofErr w:type="spellEnd"/>
      <w:r w:rsidRPr="00AD1264">
        <w:rPr>
          <w:rFonts w:asciiTheme="minorHAnsi" w:hAnsiTheme="minorHAnsi" w:cstheme="minorHAnsi"/>
          <w:color w:val="auto"/>
          <w:sz w:val="22"/>
          <w:szCs w:val="22"/>
        </w:rPr>
        <w:t xml:space="preserve"> A., Morozova E., Hoshyar R., </w:t>
      </w:r>
      <w:proofErr w:type="spellStart"/>
      <w:r w:rsidRPr="00AD1264">
        <w:rPr>
          <w:rFonts w:asciiTheme="minorHAnsi" w:hAnsiTheme="minorHAnsi" w:cstheme="minorHAnsi"/>
          <w:color w:val="auto"/>
          <w:sz w:val="22"/>
          <w:szCs w:val="22"/>
        </w:rPr>
        <w:t>Auperlee</w:t>
      </w:r>
      <w:proofErr w:type="spellEnd"/>
      <w:r w:rsidRPr="00AD1264">
        <w:rPr>
          <w:rFonts w:asciiTheme="minorHAnsi" w:hAnsiTheme="minorHAnsi" w:cstheme="minorHAnsi"/>
          <w:color w:val="auto"/>
          <w:sz w:val="22"/>
          <w:szCs w:val="22"/>
        </w:rPr>
        <w:t xml:space="preserve"> M.D., Borin M. A., Haslam S.Z., </w:t>
      </w:r>
      <w:proofErr w:type="spellStart"/>
      <w:r w:rsidRPr="00AD1264">
        <w:rPr>
          <w:rFonts w:asciiTheme="minorHAnsi" w:hAnsiTheme="minorHAnsi" w:cstheme="minorHAnsi"/>
          <w:color w:val="auto"/>
          <w:sz w:val="22"/>
          <w:szCs w:val="22"/>
        </w:rPr>
        <w:t>Schwrts</w:t>
      </w:r>
      <w:proofErr w:type="spellEnd"/>
      <w:r w:rsidRPr="00AD1264">
        <w:rPr>
          <w:rFonts w:asciiTheme="minorHAnsi" w:hAnsiTheme="minorHAnsi" w:cstheme="minorHAnsi"/>
          <w:color w:val="auto"/>
          <w:sz w:val="22"/>
          <w:szCs w:val="22"/>
        </w:rPr>
        <w:t xml:space="preserve"> R. C. (2020). Benzophenone-3 promotion of mammary tumorigenesis is diet dependent. </w:t>
      </w:r>
      <w:proofErr w:type="spellStart"/>
      <w:r w:rsidRPr="00AD1264">
        <w:rPr>
          <w:rFonts w:asciiTheme="minorHAnsi" w:hAnsiTheme="minorHAnsi" w:cstheme="minorHAnsi"/>
          <w:i/>
          <w:iCs/>
          <w:color w:val="auto"/>
          <w:sz w:val="22"/>
          <w:szCs w:val="22"/>
        </w:rPr>
        <w:t>Oncotarget</w:t>
      </w:r>
      <w:proofErr w:type="spellEnd"/>
      <w:r w:rsidRPr="00AD1264">
        <w:rPr>
          <w:rFonts w:asciiTheme="minorHAnsi" w:hAnsiTheme="minorHAnsi" w:cstheme="minorHAnsi"/>
          <w:i/>
          <w:iCs/>
          <w:color w:val="auto"/>
          <w:sz w:val="22"/>
          <w:szCs w:val="22"/>
        </w:rPr>
        <w:t xml:space="preserve"> </w:t>
      </w:r>
      <w:r w:rsidRPr="00AD1264">
        <w:rPr>
          <w:rFonts w:asciiTheme="minorHAnsi" w:hAnsiTheme="minorHAnsi" w:cstheme="minorHAnsi"/>
          <w:color w:val="auto"/>
          <w:sz w:val="22"/>
          <w:szCs w:val="22"/>
        </w:rPr>
        <w:t xml:space="preserve">11(48): 4465-4478. </w:t>
      </w:r>
    </w:p>
    <w:p w14:paraId="1BD56613"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Karlsson I.,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(2009). Photodegradation of </w:t>
      </w:r>
      <w:proofErr w:type="spellStart"/>
      <w:r w:rsidRPr="00AD1264">
        <w:rPr>
          <w:rFonts w:asciiTheme="minorHAnsi" w:hAnsiTheme="minorHAnsi" w:cstheme="minorHAnsi"/>
          <w:color w:val="auto"/>
          <w:sz w:val="22"/>
          <w:szCs w:val="22"/>
        </w:rPr>
        <w:t>dibenzoylmethanes</w:t>
      </w:r>
      <w:proofErr w:type="spellEnd"/>
      <w:r w:rsidRPr="00AD1264">
        <w:rPr>
          <w:rFonts w:asciiTheme="minorHAnsi" w:hAnsiTheme="minorHAnsi" w:cstheme="minorHAnsi"/>
          <w:color w:val="auto"/>
          <w:sz w:val="22"/>
          <w:szCs w:val="22"/>
        </w:rPr>
        <w:t xml:space="preserve">: potential cause of </w:t>
      </w:r>
      <w:proofErr w:type="spellStart"/>
      <w:r w:rsidRPr="00AD1264">
        <w:rPr>
          <w:rFonts w:asciiTheme="minorHAnsi" w:hAnsiTheme="minorHAnsi" w:cstheme="minorHAnsi"/>
          <w:color w:val="auto"/>
          <w:sz w:val="22"/>
          <w:szCs w:val="22"/>
        </w:rPr>
        <w:t>photocontact</w:t>
      </w:r>
      <w:proofErr w:type="spellEnd"/>
      <w:r w:rsidRPr="00AD1264">
        <w:rPr>
          <w:rFonts w:asciiTheme="minorHAnsi" w:hAnsiTheme="minorHAnsi" w:cstheme="minorHAnsi"/>
          <w:color w:val="auto"/>
          <w:sz w:val="22"/>
          <w:szCs w:val="22"/>
        </w:rPr>
        <w:t xml:space="preserve"> allergy to sunscreens. </w:t>
      </w:r>
      <w:r w:rsidRPr="00AD1264">
        <w:rPr>
          <w:rFonts w:asciiTheme="minorHAnsi" w:hAnsiTheme="minorHAnsi" w:cstheme="minorHAnsi"/>
          <w:i/>
          <w:iCs/>
          <w:color w:val="auto"/>
          <w:sz w:val="22"/>
          <w:szCs w:val="22"/>
        </w:rPr>
        <w:t xml:space="preserve">Chem. Res. </w:t>
      </w:r>
      <w:proofErr w:type="spellStart"/>
      <w:r w:rsidRPr="00AD1264">
        <w:rPr>
          <w:rFonts w:asciiTheme="minorHAnsi" w:hAnsiTheme="minorHAnsi" w:cstheme="minorHAnsi"/>
          <w:i/>
          <w:iCs/>
          <w:color w:val="auto"/>
          <w:sz w:val="22"/>
          <w:szCs w:val="22"/>
        </w:rPr>
        <w:t>Toxicol</w:t>
      </w:r>
      <w:proofErr w:type="spellEnd"/>
      <w:r w:rsidRPr="00AD1264">
        <w:rPr>
          <w:rFonts w:asciiTheme="minorHAnsi" w:hAnsiTheme="minorHAnsi" w:cstheme="minorHAnsi"/>
          <w:i/>
          <w:iCs/>
          <w:color w:val="auto"/>
          <w:sz w:val="22"/>
          <w:szCs w:val="22"/>
        </w:rPr>
        <w:t>.</w:t>
      </w:r>
      <w:r w:rsidRPr="00AD1264">
        <w:rPr>
          <w:rFonts w:asciiTheme="minorHAnsi" w:hAnsiTheme="minorHAnsi" w:cstheme="minorHAnsi"/>
          <w:color w:val="auto"/>
          <w:sz w:val="22"/>
          <w:szCs w:val="22"/>
        </w:rPr>
        <w:t xml:space="preserve"> 22: 1881–1892.</w:t>
      </w:r>
    </w:p>
    <w:p w14:paraId="64B99F19"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Klimova Z.,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(2015). Skin absorption and human exposure estimation of three widely discussed UV filters in sunscreens In vitro study mimicking real-life consumer habits. </w:t>
      </w:r>
      <w:r w:rsidRPr="00AD1264">
        <w:rPr>
          <w:rFonts w:asciiTheme="minorHAnsi" w:hAnsiTheme="minorHAnsi" w:cstheme="minorHAnsi"/>
          <w:i/>
          <w:color w:val="auto"/>
          <w:sz w:val="22"/>
          <w:szCs w:val="22"/>
        </w:rPr>
        <w:t xml:space="preserve">Food Chem. </w:t>
      </w:r>
      <w:proofErr w:type="spellStart"/>
      <w:r w:rsidRPr="00AD1264">
        <w:rPr>
          <w:rFonts w:asciiTheme="minorHAnsi" w:hAnsiTheme="minorHAnsi" w:cstheme="minorHAnsi"/>
          <w:i/>
          <w:color w:val="auto"/>
          <w:sz w:val="22"/>
          <w:szCs w:val="22"/>
        </w:rPr>
        <w:t>Toxicol</w:t>
      </w:r>
      <w:proofErr w:type="spellEnd"/>
      <w:r w:rsidRPr="00AD1264">
        <w:rPr>
          <w:rFonts w:asciiTheme="minorHAnsi" w:hAnsiTheme="minorHAnsi" w:cstheme="minorHAnsi"/>
          <w:color w:val="auto"/>
          <w:sz w:val="22"/>
          <w:szCs w:val="22"/>
        </w:rPr>
        <w:t>. 83: 237-250.</w:t>
      </w:r>
    </w:p>
    <w:p w14:paraId="401964C3" w14:textId="77777777" w:rsidR="00423137" w:rsidRPr="00AD1264" w:rsidRDefault="00423137" w:rsidP="00423137">
      <w:pPr>
        <w:rPr>
          <w:rFonts w:asciiTheme="minorHAnsi" w:hAnsiTheme="minorHAnsi" w:cstheme="minorHAnsi"/>
          <w:sz w:val="22"/>
          <w:szCs w:val="22"/>
        </w:rPr>
      </w:pPr>
      <w:r w:rsidRPr="00AD1264">
        <w:rPr>
          <w:rFonts w:asciiTheme="minorHAnsi" w:hAnsiTheme="minorHAnsi" w:cstheme="minorHAnsi"/>
          <w:sz w:val="22"/>
          <w:szCs w:val="22"/>
        </w:rPr>
        <w:t xml:space="preserve">Ko H., An S., Ahn S., Park I.G., Gong J., Hwang S.Y. et al. (2022). Sunscreen filter octocrylene is a potential </w:t>
      </w:r>
      <w:proofErr w:type="spellStart"/>
      <w:r w:rsidRPr="00AD1264">
        <w:rPr>
          <w:rFonts w:asciiTheme="minorHAnsi" w:hAnsiTheme="minorHAnsi" w:cstheme="minorHAnsi"/>
          <w:sz w:val="22"/>
          <w:szCs w:val="22"/>
        </w:rPr>
        <w:t>obesogen</w:t>
      </w:r>
      <w:proofErr w:type="spellEnd"/>
      <w:r w:rsidRPr="00AD1264">
        <w:rPr>
          <w:rFonts w:asciiTheme="minorHAnsi" w:hAnsiTheme="minorHAnsi" w:cstheme="minorHAnsi"/>
          <w:sz w:val="22"/>
          <w:szCs w:val="22"/>
        </w:rPr>
        <w:t xml:space="preserve"> by acting as a </w:t>
      </w:r>
      <w:proofErr w:type="spellStart"/>
      <w:r w:rsidRPr="00AD1264">
        <w:rPr>
          <w:rFonts w:asciiTheme="minorHAnsi" w:hAnsiTheme="minorHAnsi" w:cstheme="minorHAnsi"/>
          <w:sz w:val="22"/>
          <w:szCs w:val="22"/>
        </w:rPr>
        <w:t>PPARγ</w:t>
      </w:r>
      <w:proofErr w:type="spellEnd"/>
      <w:r w:rsidRPr="00AD1264">
        <w:rPr>
          <w:rFonts w:asciiTheme="minorHAnsi" w:hAnsiTheme="minorHAnsi" w:cstheme="minorHAnsi"/>
          <w:sz w:val="22"/>
          <w:szCs w:val="22"/>
        </w:rPr>
        <w:t xml:space="preserve"> partial agonist. </w:t>
      </w:r>
      <w:proofErr w:type="spellStart"/>
      <w:r w:rsidRPr="00AD1264">
        <w:rPr>
          <w:rFonts w:asciiTheme="minorHAnsi" w:hAnsiTheme="minorHAnsi" w:cstheme="minorHAnsi"/>
          <w:i/>
          <w:iCs/>
          <w:sz w:val="22"/>
          <w:szCs w:val="22"/>
        </w:rPr>
        <w:t>Toxicol</w:t>
      </w:r>
      <w:proofErr w:type="spellEnd"/>
      <w:r w:rsidRPr="00AD1264">
        <w:rPr>
          <w:rFonts w:asciiTheme="minorHAnsi" w:hAnsiTheme="minorHAnsi" w:cstheme="minorHAnsi"/>
          <w:i/>
          <w:iCs/>
          <w:sz w:val="22"/>
          <w:szCs w:val="22"/>
        </w:rPr>
        <w:t>. Lett.</w:t>
      </w:r>
      <w:r w:rsidRPr="00AD1264">
        <w:rPr>
          <w:rFonts w:asciiTheme="minorHAnsi" w:hAnsiTheme="minorHAnsi" w:cstheme="minorHAnsi"/>
          <w:sz w:val="22"/>
          <w:szCs w:val="22"/>
        </w:rPr>
        <w:t xml:space="preserve"> 355: 141–149.</w:t>
      </w:r>
    </w:p>
    <w:p w14:paraId="293B6F26"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La Merrill M.A., Vandenberg L.N., Smith M.T., </w:t>
      </w:r>
      <w:r w:rsidRPr="00AD1264">
        <w:rPr>
          <w:rFonts w:asciiTheme="minorHAnsi" w:hAnsiTheme="minorHAnsi" w:cstheme="minorHAnsi"/>
          <w:i/>
          <w:iCs/>
          <w:color w:val="auto"/>
          <w:sz w:val="22"/>
          <w:szCs w:val="22"/>
        </w:rPr>
        <w:t>et al.</w:t>
      </w:r>
      <w:r w:rsidRPr="00AD1264">
        <w:rPr>
          <w:rFonts w:asciiTheme="minorHAnsi" w:hAnsiTheme="minorHAnsi" w:cstheme="minorHAnsi"/>
          <w:color w:val="auto"/>
          <w:sz w:val="22"/>
          <w:szCs w:val="22"/>
        </w:rPr>
        <w:t> (2020). Consensus on the key characteristics of endocrine-disrupting chemicals as a basis for hazard identification. </w:t>
      </w:r>
      <w:r w:rsidRPr="00AD1264">
        <w:rPr>
          <w:rFonts w:asciiTheme="minorHAnsi" w:hAnsiTheme="minorHAnsi" w:cstheme="minorHAnsi"/>
          <w:i/>
          <w:iCs/>
          <w:color w:val="auto"/>
          <w:sz w:val="22"/>
          <w:szCs w:val="22"/>
        </w:rPr>
        <w:t>Nat. Rev. Endocrinol.</w:t>
      </w:r>
      <w:r w:rsidRPr="00AD1264">
        <w:rPr>
          <w:rFonts w:asciiTheme="minorHAnsi" w:hAnsiTheme="minorHAnsi" w:cstheme="minorHAnsi"/>
          <w:color w:val="auto"/>
          <w:sz w:val="22"/>
          <w:szCs w:val="22"/>
        </w:rPr>
        <w:t xml:space="preserve"> 16: 45–57. </w:t>
      </w:r>
    </w:p>
    <w:p w14:paraId="6823C444" w14:textId="77777777" w:rsidR="00423137" w:rsidRPr="00AD1264" w:rsidRDefault="00423137" w:rsidP="00423137">
      <w:pPr>
        <w:rPr>
          <w:rFonts w:asciiTheme="minorHAnsi" w:hAnsiTheme="minorHAnsi" w:cstheme="minorHAnsi"/>
          <w:sz w:val="22"/>
          <w:szCs w:val="22"/>
        </w:rPr>
      </w:pPr>
      <w:r w:rsidRPr="00AD1264">
        <w:rPr>
          <w:rFonts w:asciiTheme="minorHAnsi" w:hAnsiTheme="minorHAnsi" w:cstheme="minorHAnsi"/>
          <w:sz w:val="22"/>
          <w:szCs w:val="22"/>
        </w:rPr>
        <w:t xml:space="preserve">Lee H., Park J., &amp; Park K. (2022). Effects of consumer products chemicals ingredients and their mixtures on the estrogen receptor/androgen receptor transcriptional activation. </w:t>
      </w:r>
      <w:r w:rsidRPr="00AD1264">
        <w:rPr>
          <w:rFonts w:asciiTheme="minorHAnsi" w:hAnsiTheme="minorHAnsi" w:cstheme="minorHAnsi"/>
          <w:i/>
          <w:iCs/>
          <w:sz w:val="22"/>
          <w:szCs w:val="22"/>
        </w:rPr>
        <w:t>Chemosphere</w:t>
      </w:r>
      <w:r w:rsidRPr="00AD1264">
        <w:rPr>
          <w:rFonts w:asciiTheme="minorHAnsi" w:hAnsiTheme="minorHAnsi" w:cstheme="minorHAnsi"/>
          <w:sz w:val="22"/>
          <w:szCs w:val="22"/>
        </w:rPr>
        <w:t xml:space="preserve"> 302: 134866.</w:t>
      </w:r>
    </w:p>
    <w:p w14:paraId="3F2D5F23"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Loh T.Y., &amp; Cohen P.R. (2016). Ketoprofen-induced photoallergic dermatitis. </w:t>
      </w:r>
      <w:r w:rsidRPr="00AD1264">
        <w:rPr>
          <w:rFonts w:asciiTheme="minorHAnsi" w:hAnsiTheme="minorHAnsi" w:cstheme="minorHAnsi"/>
          <w:i/>
          <w:color w:val="auto"/>
          <w:sz w:val="22"/>
          <w:szCs w:val="22"/>
        </w:rPr>
        <w:t xml:space="preserve">Indian J. Med. Res. </w:t>
      </w:r>
      <w:r w:rsidRPr="00AD1264">
        <w:rPr>
          <w:rFonts w:asciiTheme="minorHAnsi" w:hAnsiTheme="minorHAnsi" w:cstheme="minorHAnsi"/>
          <w:color w:val="auto"/>
          <w:sz w:val="22"/>
          <w:szCs w:val="22"/>
        </w:rPr>
        <w:t>144: 803–806.</w:t>
      </w:r>
    </w:p>
    <w:p w14:paraId="4AA793E9" w14:textId="77777777" w:rsidR="00423137" w:rsidRPr="00AD1264" w:rsidRDefault="00423137" w:rsidP="00423137">
      <w:pPr>
        <w:pStyle w:val="FootnoteText"/>
        <w:spacing w:after="180" w:line="252" w:lineRule="auto"/>
        <w:rPr>
          <w:rFonts w:asciiTheme="minorHAnsi" w:hAnsiTheme="minorHAnsi" w:cstheme="minorHAnsi"/>
          <w:color w:val="auto"/>
          <w:kern w:val="16"/>
          <w:sz w:val="22"/>
          <w:szCs w:val="22"/>
        </w:rPr>
      </w:pPr>
      <w:r w:rsidRPr="00AD1264">
        <w:rPr>
          <w:rFonts w:asciiTheme="minorHAnsi" w:hAnsiTheme="minorHAnsi" w:cstheme="minorHAnsi"/>
          <w:color w:val="auto"/>
          <w:kern w:val="16"/>
          <w:sz w:val="22"/>
          <w:szCs w:val="22"/>
        </w:rPr>
        <w:t xml:space="preserve">Lorigo M., </w:t>
      </w:r>
      <w:r w:rsidRPr="00AD1264">
        <w:rPr>
          <w:rFonts w:asciiTheme="minorHAnsi" w:hAnsiTheme="minorHAnsi" w:cstheme="minorHAnsi"/>
          <w:i/>
          <w:color w:val="auto"/>
          <w:kern w:val="16"/>
          <w:sz w:val="22"/>
          <w:szCs w:val="22"/>
        </w:rPr>
        <w:t>et al.</w:t>
      </w:r>
      <w:r w:rsidRPr="00AD1264">
        <w:rPr>
          <w:rFonts w:asciiTheme="minorHAnsi" w:hAnsiTheme="minorHAnsi" w:cstheme="minorHAnsi"/>
          <w:color w:val="auto"/>
          <w:kern w:val="16"/>
          <w:sz w:val="22"/>
          <w:szCs w:val="22"/>
        </w:rPr>
        <w:t xml:space="preserve"> (2018). Photoprotection of ultraviolet-B filters: Updated review of endocrine disrupting properties. </w:t>
      </w:r>
      <w:r w:rsidRPr="00AD1264">
        <w:rPr>
          <w:rFonts w:asciiTheme="minorHAnsi" w:hAnsiTheme="minorHAnsi" w:cstheme="minorHAnsi"/>
          <w:i/>
          <w:color w:val="auto"/>
          <w:kern w:val="16"/>
          <w:sz w:val="22"/>
          <w:szCs w:val="22"/>
        </w:rPr>
        <w:t>Steroids</w:t>
      </w:r>
      <w:r w:rsidRPr="00AD1264">
        <w:rPr>
          <w:rFonts w:asciiTheme="minorHAnsi" w:hAnsiTheme="minorHAnsi" w:cstheme="minorHAnsi"/>
          <w:color w:val="auto"/>
          <w:kern w:val="16"/>
          <w:sz w:val="22"/>
          <w:szCs w:val="22"/>
        </w:rPr>
        <w:t>. 131: 46-58.</w:t>
      </w:r>
    </w:p>
    <w:p w14:paraId="19E23574"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 xml:space="preserve">Lorigo M., &amp; </w:t>
      </w:r>
      <w:proofErr w:type="spellStart"/>
      <w:r w:rsidRPr="00184DF4">
        <w:rPr>
          <w:rFonts w:asciiTheme="minorHAnsi" w:hAnsiTheme="minorHAnsi" w:cstheme="minorHAnsi"/>
          <w:sz w:val="22"/>
          <w:szCs w:val="22"/>
        </w:rPr>
        <w:t>Cairrao</w:t>
      </w:r>
      <w:proofErr w:type="spellEnd"/>
      <w:r w:rsidRPr="00184DF4">
        <w:rPr>
          <w:rFonts w:asciiTheme="minorHAnsi" w:hAnsiTheme="minorHAnsi" w:cstheme="minorHAnsi"/>
          <w:sz w:val="22"/>
          <w:szCs w:val="22"/>
        </w:rPr>
        <w:t xml:space="preserve"> E. (2022). UV-B filter </w:t>
      </w:r>
      <w:proofErr w:type="spellStart"/>
      <w:r w:rsidRPr="00184DF4">
        <w:rPr>
          <w:rFonts w:asciiTheme="minorHAnsi" w:hAnsiTheme="minorHAnsi" w:cstheme="minorHAnsi"/>
          <w:sz w:val="22"/>
          <w:szCs w:val="22"/>
        </w:rPr>
        <w:t>octylmethoxycinnamate</w:t>
      </w:r>
      <w:proofErr w:type="spellEnd"/>
      <w:r w:rsidRPr="00184DF4">
        <w:rPr>
          <w:rFonts w:asciiTheme="minorHAnsi" w:hAnsiTheme="minorHAnsi" w:cstheme="minorHAnsi"/>
          <w:sz w:val="22"/>
          <w:szCs w:val="22"/>
        </w:rPr>
        <w:t xml:space="preserve">-induced vascular endothelial disruption on rat aorta: In silico and in vitro approach. </w:t>
      </w:r>
      <w:r w:rsidRPr="00184DF4">
        <w:rPr>
          <w:rFonts w:asciiTheme="minorHAnsi" w:hAnsiTheme="minorHAnsi" w:cstheme="minorHAnsi"/>
          <w:i/>
          <w:iCs/>
          <w:sz w:val="22"/>
          <w:szCs w:val="22"/>
        </w:rPr>
        <w:t>Chemosphere</w:t>
      </w:r>
      <w:r w:rsidRPr="00184DF4">
        <w:rPr>
          <w:rFonts w:asciiTheme="minorHAnsi" w:hAnsiTheme="minorHAnsi" w:cstheme="minorHAnsi"/>
          <w:sz w:val="22"/>
          <w:szCs w:val="22"/>
        </w:rPr>
        <w:t xml:space="preserve"> 307: 135807.</w:t>
      </w:r>
    </w:p>
    <w:p w14:paraId="16295485"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 xml:space="preserve">Lorigo M., </w:t>
      </w:r>
      <w:proofErr w:type="spellStart"/>
      <w:r w:rsidRPr="00184DF4">
        <w:rPr>
          <w:rFonts w:asciiTheme="minorHAnsi" w:hAnsiTheme="minorHAnsi" w:cstheme="minorHAnsi"/>
          <w:sz w:val="22"/>
          <w:szCs w:val="22"/>
        </w:rPr>
        <w:t>Quintaneiro</w:t>
      </w:r>
      <w:proofErr w:type="spellEnd"/>
      <w:r w:rsidRPr="00184DF4">
        <w:rPr>
          <w:rFonts w:asciiTheme="minorHAnsi" w:hAnsiTheme="minorHAnsi" w:cstheme="minorHAnsi"/>
          <w:sz w:val="22"/>
          <w:szCs w:val="22"/>
        </w:rPr>
        <w:t xml:space="preserve"> C., Breitenfeld L, &amp; </w:t>
      </w:r>
      <w:proofErr w:type="spellStart"/>
      <w:r w:rsidRPr="00184DF4">
        <w:rPr>
          <w:rFonts w:asciiTheme="minorHAnsi" w:hAnsiTheme="minorHAnsi" w:cstheme="minorHAnsi"/>
          <w:sz w:val="22"/>
          <w:szCs w:val="22"/>
        </w:rPr>
        <w:t>Cairrao</w:t>
      </w:r>
      <w:proofErr w:type="spellEnd"/>
      <w:r w:rsidRPr="00184DF4">
        <w:rPr>
          <w:rFonts w:asciiTheme="minorHAnsi" w:hAnsiTheme="minorHAnsi" w:cstheme="minorHAnsi"/>
          <w:sz w:val="22"/>
          <w:szCs w:val="22"/>
        </w:rPr>
        <w:t xml:space="preserve"> E. (2021). UV-B Filter </w:t>
      </w:r>
      <w:proofErr w:type="spellStart"/>
      <w:r w:rsidRPr="00184DF4">
        <w:rPr>
          <w:rFonts w:asciiTheme="minorHAnsi" w:hAnsiTheme="minorHAnsi" w:cstheme="minorHAnsi"/>
          <w:sz w:val="22"/>
          <w:szCs w:val="22"/>
        </w:rPr>
        <w:t>Octylmethoxycinnamate</w:t>
      </w:r>
      <w:proofErr w:type="spellEnd"/>
      <w:r w:rsidRPr="00184DF4">
        <w:rPr>
          <w:rFonts w:asciiTheme="minorHAnsi" w:hAnsiTheme="minorHAnsi" w:cstheme="minorHAnsi"/>
          <w:sz w:val="22"/>
          <w:szCs w:val="22"/>
        </w:rPr>
        <w:t xml:space="preserve"> Alters the Vascular Contractility Patterns in Pregnant Women with Hypothyroidism. </w:t>
      </w:r>
      <w:r w:rsidRPr="00184DF4">
        <w:rPr>
          <w:rFonts w:asciiTheme="minorHAnsi" w:hAnsiTheme="minorHAnsi" w:cstheme="minorHAnsi"/>
          <w:i/>
          <w:iCs/>
          <w:sz w:val="22"/>
          <w:szCs w:val="22"/>
        </w:rPr>
        <w:t>Biomedicines</w:t>
      </w:r>
      <w:r w:rsidRPr="00184DF4">
        <w:rPr>
          <w:rFonts w:asciiTheme="minorHAnsi" w:hAnsiTheme="minorHAnsi" w:cstheme="minorHAnsi"/>
          <w:sz w:val="22"/>
          <w:szCs w:val="22"/>
        </w:rPr>
        <w:t xml:space="preserve"> 9: 115.</w:t>
      </w:r>
    </w:p>
    <w:p w14:paraId="4A9C40B1"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 xml:space="preserve">Lorigo M., </w:t>
      </w:r>
      <w:proofErr w:type="spellStart"/>
      <w:r w:rsidRPr="00184DF4">
        <w:rPr>
          <w:rFonts w:asciiTheme="minorHAnsi" w:hAnsiTheme="minorHAnsi" w:cstheme="minorHAnsi"/>
          <w:sz w:val="22"/>
          <w:szCs w:val="22"/>
        </w:rPr>
        <w:t>Quintaneiro</w:t>
      </w:r>
      <w:proofErr w:type="spellEnd"/>
      <w:r w:rsidRPr="00184DF4">
        <w:rPr>
          <w:rFonts w:asciiTheme="minorHAnsi" w:hAnsiTheme="minorHAnsi" w:cstheme="minorHAnsi"/>
          <w:sz w:val="22"/>
          <w:szCs w:val="22"/>
        </w:rPr>
        <w:t xml:space="preserve"> C., Breitenfeld L., &amp; </w:t>
      </w:r>
      <w:proofErr w:type="spellStart"/>
      <w:r w:rsidRPr="00184DF4">
        <w:rPr>
          <w:rFonts w:asciiTheme="minorHAnsi" w:hAnsiTheme="minorHAnsi" w:cstheme="minorHAnsi"/>
          <w:sz w:val="22"/>
          <w:szCs w:val="22"/>
        </w:rPr>
        <w:t>Cairrao</w:t>
      </w:r>
      <w:proofErr w:type="spellEnd"/>
      <w:r w:rsidRPr="00184DF4">
        <w:rPr>
          <w:rFonts w:asciiTheme="minorHAnsi" w:hAnsiTheme="minorHAnsi" w:cstheme="minorHAnsi"/>
          <w:sz w:val="22"/>
          <w:szCs w:val="22"/>
        </w:rPr>
        <w:t xml:space="preserve"> E. (2022). UV-B Filter </w:t>
      </w:r>
      <w:proofErr w:type="spellStart"/>
      <w:r w:rsidRPr="00184DF4">
        <w:rPr>
          <w:rFonts w:asciiTheme="minorHAnsi" w:hAnsiTheme="minorHAnsi" w:cstheme="minorHAnsi"/>
          <w:sz w:val="22"/>
          <w:szCs w:val="22"/>
        </w:rPr>
        <w:t>Octylmethoxycinnamate</w:t>
      </w:r>
      <w:proofErr w:type="spellEnd"/>
      <w:r w:rsidRPr="00184DF4">
        <w:rPr>
          <w:rFonts w:asciiTheme="minorHAnsi" w:hAnsiTheme="minorHAnsi" w:cstheme="minorHAnsi"/>
          <w:sz w:val="22"/>
          <w:szCs w:val="22"/>
        </w:rPr>
        <w:t xml:space="preserve"> Is a Modulator of the Serotonin and Histamine Receptors in Human Umbilical Arteries</w:t>
      </w:r>
      <w:r w:rsidRPr="00184DF4">
        <w:rPr>
          <w:rFonts w:asciiTheme="minorHAnsi" w:hAnsiTheme="minorHAnsi" w:cstheme="minorHAnsi"/>
          <w:i/>
          <w:iCs/>
          <w:sz w:val="22"/>
          <w:szCs w:val="22"/>
        </w:rPr>
        <w:t>. Biomedicines</w:t>
      </w:r>
      <w:r w:rsidRPr="00184DF4">
        <w:rPr>
          <w:rFonts w:asciiTheme="minorHAnsi" w:hAnsiTheme="minorHAnsi" w:cstheme="minorHAnsi"/>
          <w:sz w:val="22"/>
          <w:szCs w:val="22"/>
        </w:rPr>
        <w:t xml:space="preserve"> 10: 1054.</w:t>
      </w:r>
    </w:p>
    <w:p w14:paraId="676A9FFD"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 xml:space="preserve">Ma J., Yang B., Hu X., Gao Y., &amp; Qin C. (2023). The binding mechanism of benzophenone-type UV filters and human serum albumin: The role of site, number, and type of functional group substitutions. </w:t>
      </w:r>
      <w:r w:rsidRPr="00184DF4">
        <w:rPr>
          <w:rFonts w:asciiTheme="minorHAnsi" w:hAnsiTheme="minorHAnsi" w:cstheme="minorHAnsi"/>
          <w:i/>
          <w:iCs/>
          <w:sz w:val="22"/>
          <w:szCs w:val="22"/>
        </w:rPr>
        <w:t xml:space="preserve">Environ. </w:t>
      </w:r>
      <w:proofErr w:type="spellStart"/>
      <w:r w:rsidRPr="00184DF4">
        <w:rPr>
          <w:rFonts w:asciiTheme="minorHAnsi" w:hAnsiTheme="minorHAnsi" w:cstheme="minorHAnsi"/>
          <w:i/>
          <w:iCs/>
          <w:sz w:val="22"/>
          <w:szCs w:val="22"/>
        </w:rPr>
        <w:t>Pollut</w:t>
      </w:r>
      <w:proofErr w:type="spellEnd"/>
      <w:r w:rsidRPr="00184DF4">
        <w:rPr>
          <w:rFonts w:asciiTheme="minorHAnsi" w:hAnsiTheme="minorHAnsi" w:cstheme="minorHAnsi"/>
          <w:i/>
          <w:iCs/>
          <w:sz w:val="22"/>
          <w:szCs w:val="22"/>
        </w:rPr>
        <w:t>.</w:t>
      </w:r>
      <w:r w:rsidRPr="00184DF4">
        <w:rPr>
          <w:rFonts w:asciiTheme="minorHAnsi" w:hAnsiTheme="minorHAnsi" w:cstheme="minorHAnsi"/>
          <w:sz w:val="22"/>
          <w:szCs w:val="22"/>
        </w:rPr>
        <w:t xml:space="preserve"> 324: 121342.</w:t>
      </w:r>
    </w:p>
    <w:p w14:paraId="00889703" w14:textId="77777777" w:rsidR="00423137" w:rsidRPr="00184DF4" w:rsidRDefault="00423137" w:rsidP="00423137">
      <w:pPr>
        <w:pStyle w:val="WhiteSpace"/>
        <w:spacing w:after="180"/>
        <w:rPr>
          <w:rFonts w:asciiTheme="minorHAnsi" w:hAnsiTheme="minorHAnsi" w:cstheme="minorHAnsi"/>
          <w:sz w:val="22"/>
          <w:szCs w:val="22"/>
        </w:rPr>
      </w:pPr>
      <w:r w:rsidRPr="00184DF4">
        <w:rPr>
          <w:rFonts w:asciiTheme="minorHAnsi" w:hAnsiTheme="minorHAnsi" w:cstheme="minorHAnsi"/>
          <w:sz w:val="22"/>
          <w:szCs w:val="22"/>
        </w:rPr>
        <w:t xml:space="preserve">Majhi P.D., </w:t>
      </w:r>
      <w:r w:rsidRPr="00184DF4">
        <w:rPr>
          <w:rFonts w:asciiTheme="minorHAnsi" w:hAnsiTheme="minorHAnsi" w:cstheme="minorHAnsi"/>
          <w:i/>
          <w:sz w:val="22"/>
          <w:szCs w:val="22"/>
        </w:rPr>
        <w:t>et al.</w:t>
      </w:r>
      <w:r w:rsidRPr="00184DF4">
        <w:rPr>
          <w:rFonts w:asciiTheme="minorHAnsi" w:hAnsiTheme="minorHAnsi" w:cstheme="minorHAnsi"/>
          <w:sz w:val="22"/>
          <w:szCs w:val="22"/>
        </w:rPr>
        <w:t xml:space="preserve"> (2020). Effects of benzophenone-3 and propylparaben on estrogen receptor-dependent R-loops and DNA damage in breast epithelial cells and mice. </w:t>
      </w:r>
      <w:r w:rsidRPr="00184DF4">
        <w:rPr>
          <w:rFonts w:asciiTheme="minorHAnsi" w:hAnsiTheme="minorHAnsi" w:cstheme="minorHAnsi"/>
          <w:i/>
          <w:sz w:val="22"/>
          <w:szCs w:val="22"/>
        </w:rPr>
        <w:t xml:space="preserve">Environ. Health </w:t>
      </w:r>
      <w:proofErr w:type="spellStart"/>
      <w:r w:rsidRPr="00184DF4">
        <w:rPr>
          <w:rFonts w:asciiTheme="minorHAnsi" w:hAnsiTheme="minorHAnsi" w:cstheme="minorHAnsi"/>
          <w:i/>
          <w:sz w:val="22"/>
          <w:szCs w:val="22"/>
        </w:rPr>
        <w:t>Perspect</w:t>
      </w:r>
      <w:proofErr w:type="spellEnd"/>
      <w:r w:rsidRPr="00184DF4">
        <w:rPr>
          <w:rFonts w:asciiTheme="minorHAnsi" w:hAnsiTheme="minorHAnsi" w:cstheme="minorHAnsi"/>
          <w:i/>
          <w:sz w:val="22"/>
          <w:szCs w:val="22"/>
        </w:rPr>
        <w:t>.</w:t>
      </w:r>
      <w:r w:rsidRPr="00184DF4">
        <w:rPr>
          <w:rFonts w:asciiTheme="minorHAnsi" w:hAnsiTheme="minorHAnsi" w:cstheme="minorHAnsi"/>
          <w:sz w:val="22"/>
          <w:szCs w:val="22"/>
        </w:rPr>
        <w:t xml:space="preserve"> 128: 017002-1-15.</w:t>
      </w:r>
    </w:p>
    <w:p w14:paraId="1316095C"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Matta M.K., </w:t>
      </w:r>
      <w:proofErr w:type="spellStart"/>
      <w:r w:rsidRPr="00AD1264">
        <w:rPr>
          <w:rFonts w:asciiTheme="minorHAnsi" w:hAnsiTheme="minorHAnsi" w:cstheme="minorHAnsi"/>
          <w:color w:val="auto"/>
          <w:sz w:val="22"/>
          <w:szCs w:val="22"/>
        </w:rPr>
        <w:t>Zusterzeel</w:t>
      </w:r>
      <w:proofErr w:type="spellEnd"/>
      <w:r w:rsidRPr="00AD1264">
        <w:rPr>
          <w:rFonts w:asciiTheme="minorHAnsi" w:hAnsiTheme="minorHAnsi" w:cstheme="minorHAnsi"/>
          <w:color w:val="auto"/>
          <w:sz w:val="22"/>
          <w:szCs w:val="22"/>
        </w:rPr>
        <w:t xml:space="preserve"> R., Pilli N.R.,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(2019). Effect of sunscreen application under maximal use conditions on plasma concentration of sunscreen active ingredients: a randomized clinical trial. </w:t>
      </w:r>
      <w:r w:rsidRPr="00AD1264">
        <w:rPr>
          <w:rFonts w:asciiTheme="minorHAnsi" w:hAnsiTheme="minorHAnsi" w:cstheme="minorHAnsi"/>
          <w:i/>
          <w:iCs/>
          <w:color w:val="auto"/>
          <w:sz w:val="22"/>
          <w:szCs w:val="22"/>
        </w:rPr>
        <w:t> JAMA</w:t>
      </w:r>
      <w:r w:rsidRPr="00AD1264">
        <w:rPr>
          <w:rFonts w:asciiTheme="minorHAnsi" w:hAnsiTheme="minorHAnsi" w:cstheme="minorHAnsi"/>
          <w:color w:val="auto"/>
          <w:sz w:val="22"/>
          <w:szCs w:val="22"/>
        </w:rPr>
        <w:t>. 321(21): 2082-2091.</w:t>
      </w:r>
    </w:p>
    <w:p w14:paraId="4F71DBE6"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Matta, M. K., Florian, J., </w:t>
      </w:r>
      <w:proofErr w:type="spellStart"/>
      <w:r w:rsidRPr="00AD1264">
        <w:rPr>
          <w:rFonts w:asciiTheme="minorHAnsi" w:hAnsiTheme="minorHAnsi" w:cstheme="minorHAnsi"/>
          <w:color w:val="auto"/>
          <w:sz w:val="22"/>
          <w:szCs w:val="22"/>
        </w:rPr>
        <w:t>Zusterzeel</w:t>
      </w:r>
      <w:proofErr w:type="spellEnd"/>
      <w:r w:rsidRPr="00AD1264">
        <w:rPr>
          <w:rFonts w:asciiTheme="minorHAnsi" w:hAnsiTheme="minorHAnsi" w:cstheme="minorHAnsi"/>
          <w:color w:val="auto"/>
          <w:sz w:val="22"/>
          <w:szCs w:val="22"/>
        </w:rPr>
        <w:t xml:space="preserve">, R., Pilli, N. R., </w:t>
      </w:r>
      <w:r w:rsidRPr="00AD1264">
        <w:rPr>
          <w:rFonts w:asciiTheme="minorHAnsi" w:hAnsiTheme="minorHAnsi" w:cstheme="minorHAnsi"/>
          <w:i/>
          <w:iCs/>
          <w:color w:val="auto"/>
          <w:sz w:val="22"/>
          <w:szCs w:val="22"/>
        </w:rPr>
        <w:t>et al.</w:t>
      </w:r>
      <w:r w:rsidRPr="00AD1264">
        <w:rPr>
          <w:rFonts w:asciiTheme="minorHAnsi" w:hAnsiTheme="minorHAnsi" w:cstheme="minorHAnsi"/>
          <w:color w:val="auto"/>
          <w:sz w:val="22"/>
          <w:szCs w:val="22"/>
        </w:rPr>
        <w:t xml:space="preserve"> (2020). Effect of Sunscreen Application on Plasma Concentration of Sunscreen Active Ingredients: A Randomized Clinical Trial. </w:t>
      </w:r>
      <w:r w:rsidRPr="00AD1264">
        <w:rPr>
          <w:rFonts w:asciiTheme="minorHAnsi" w:hAnsiTheme="minorHAnsi" w:cstheme="minorHAnsi"/>
          <w:i/>
          <w:iCs/>
          <w:color w:val="auto"/>
          <w:sz w:val="22"/>
          <w:szCs w:val="22"/>
        </w:rPr>
        <w:t>JAMA</w:t>
      </w:r>
      <w:r w:rsidRPr="00AD1264">
        <w:rPr>
          <w:rFonts w:asciiTheme="minorHAnsi" w:hAnsiTheme="minorHAnsi" w:cstheme="minorHAnsi"/>
          <w:color w:val="auto"/>
          <w:sz w:val="22"/>
          <w:szCs w:val="22"/>
        </w:rPr>
        <w:t>, </w:t>
      </w:r>
      <w:r w:rsidRPr="00AD1264">
        <w:rPr>
          <w:rFonts w:asciiTheme="minorHAnsi" w:hAnsiTheme="minorHAnsi" w:cstheme="minorHAnsi"/>
          <w:i/>
          <w:iCs/>
          <w:color w:val="auto"/>
          <w:sz w:val="22"/>
          <w:szCs w:val="22"/>
        </w:rPr>
        <w:t>323</w:t>
      </w:r>
      <w:r w:rsidRPr="00AD1264">
        <w:rPr>
          <w:rFonts w:asciiTheme="minorHAnsi" w:hAnsiTheme="minorHAnsi" w:cstheme="minorHAnsi"/>
          <w:color w:val="auto"/>
          <w:sz w:val="22"/>
          <w:szCs w:val="22"/>
        </w:rPr>
        <w:t xml:space="preserve">(3), 256–267. </w:t>
      </w:r>
    </w:p>
    <w:p w14:paraId="5E0DE4DA"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 xml:space="preserve">Meng Q., Yeung K., &amp; Chan K.M. (2021). Toxic effects of octocrylene on zebrafish larvae and liver cell line (ZFL). </w:t>
      </w:r>
      <w:proofErr w:type="spellStart"/>
      <w:r w:rsidRPr="00184DF4">
        <w:rPr>
          <w:rFonts w:asciiTheme="minorHAnsi" w:hAnsiTheme="minorHAnsi" w:cstheme="minorHAnsi"/>
          <w:i/>
          <w:iCs/>
          <w:sz w:val="22"/>
          <w:szCs w:val="22"/>
        </w:rPr>
        <w:t>Aquat</w:t>
      </w:r>
      <w:proofErr w:type="spellEnd"/>
      <w:r w:rsidRPr="00184DF4">
        <w:rPr>
          <w:rFonts w:asciiTheme="minorHAnsi" w:hAnsiTheme="minorHAnsi" w:cstheme="minorHAnsi"/>
          <w:i/>
          <w:iCs/>
          <w:sz w:val="22"/>
          <w:szCs w:val="22"/>
        </w:rPr>
        <w:t xml:space="preserve">. </w:t>
      </w:r>
      <w:proofErr w:type="spellStart"/>
      <w:r w:rsidRPr="00184DF4">
        <w:rPr>
          <w:rFonts w:asciiTheme="minorHAnsi" w:hAnsiTheme="minorHAnsi" w:cstheme="minorHAnsi"/>
          <w:i/>
          <w:iCs/>
          <w:sz w:val="22"/>
          <w:szCs w:val="22"/>
        </w:rPr>
        <w:t>Toxicol</w:t>
      </w:r>
      <w:proofErr w:type="spellEnd"/>
      <w:r w:rsidRPr="00184DF4">
        <w:rPr>
          <w:rFonts w:asciiTheme="minorHAnsi" w:hAnsiTheme="minorHAnsi" w:cstheme="minorHAnsi"/>
          <w:i/>
          <w:iCs/>
          <w:sz w:val="22"/>
          <w:szCs w:val="22"/>
        </w:rPr>
        <w:t>.</w:t>
      </w:r>
      <w:r w:rsidRPr="00184DF4">
        <w:rPr>
          <w:rFonts w:asciiTheme="minorHAnsi" w:hAnsiTheme="minorHAnsi" w:cstheme="minorHAnsi"/>
          <w:sz w:val="22"/>
          <w:szCs w:val="22"/>
        </w:rPr>
        <w:t xml:space="preserve"> 236: 105843.</w:t>
      </w:r>
    </w:p>
    <w:p w14:paraId="56115CB4"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Montenegro L.,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(2011). Vehicle effects on in vitro release and skin permeation of </w:t>
      </w:r>
      <w:proofErr w:type="spellStart"/>
      <w:r w:rsidRPr="00AD1264">
        <w:rPr>
          <w:rFonts w:asciiTheme="minorHAnsi" w:hAnsiTheme="minorHAnsi" w:cstheme="minorHAnsi"/>
          <w:color w:val="auto"/>
          <w:sz w:val="22"/>
          <w:szCs w:val="22"/>
        </w:rPr>
        <w:t>octylmethoxycinnamate</w:t>
      </w:r>
      <w:proofErr w:type="spellEnd"/>
      <w:r w:rsidRPr="00AD1264">
        <w:rPr>
          <w:rFonts w:asciiTheme="minorHAnsi" w:hAnsiTheme="minorHAnsi" w:cstheme="minorHAnsi"/>
          <w:color w:val="auto"/>
          <w:sz w:val="22"/>
          <w:szCs w:val="22"/>
        </w:rPr>
        <w:t xml:space="preserve"> from microemulsions. </w:t>
      </w:r>
      <w:r w:rsidRPr="00AD1264">
        <w:rPr>
          <w:rFonts w:asciiTheme="minorHAnsi" w:hAnsiTheme="minorHAnsi" w:cstheme="minorHAnsi"/>
          <w:i/>
          <w:color w:val="auto"/>
          <w:sz w:val="22"/>
          <w:szCs w:val="22"/>
        </w:rPr>
        <w:t>Pharmaceutical Nanotechnology</w:t>
      </w:r>
      <w:r w:rsidRPr="00AD1264">
        <w:rPr>
          <w:rFonts w:asciiTheme="minorHAnsi" w:hAnsiTheme="minorHAnsi" w:cstheme="minorHAnsi"/>
          <w:color w:val="auto"/>
          <w:sz w:val="22"/>
          <w:szCs w:val="22"/>
        </w:rPr>
        <w:t>. 405: 162-168.</w:t>
      </w:r>
    </w:p>
    <w:p w14:paraId="731E599A" w14:textId="77777777" w:rsidR="00423137" w:rsidRPr="00184DF4" w:rsidRDefault="00423137" w:rsidP="00423137">
      <w:pPr>
        <w:pStyle w:val="WhiteSpace"/>
        <w:spacing w:after="180"/>
        <w:rPr>
          <w:rFonts w:asciiTheme="minorHAnsi" w:hAnsiTheme="minorHAnsi" w:cstheme="minorHAnsi"/>
          <w:sz w:val="22"/>
          <w:szCs w:val="22"/>
        </w:rPr>
      </w:pPr>
      <w:r w:rsidRPr="00184DF4">
        <w:rPr>
          <w:rFonts w:asciiTheme="minorHAnsi" w:hAnsiTheme="minorHAnsi" w:cstheme="minorHAnsi"/>
          <w:sz w:val="22"/>
          <w:szCs w:val="22"/>
        </w:rPr>
        <w:t xml:space="preserve">Montenegro L., </w:t>
      </w:r>
      <w:proofErr w:type="spellStart"/>
      <w:r w:rsidRPr="00184DF4">
        <w:rPr>
          <w:rFonts w:asciiTheme="minorHAnsi" w:hAnsiTheme="minorHAnsi" w:cstheme="minorHAnsi"/>
          <w:sz w:val="22"/>
          <w:szCs w:val="22"/>
        </w:rPr>
        <w:t>Turnaturi</w:t>
      </w:r>
      <w:proofErr w:type="spellEnd"/>
      <w:r w:rsidRPr="00184DF4">
        <w:rPr>
          <w:rFonts w:asciiTheme="minorHAnsi" w:hAnsiTheme="minorHAnsi" w:cstheme="minorHAnsi"/>
          <w:sz w:val="22"/>
          <w:szCs w:val="22"/>
        </w:rPr>
        <w:t xml:space="preserve"> R., Parenti C., &amp; </w:t>
      </w:r>
      <w:proofErr w:type="spellStart"/>
      <w:r w:rsidRPr="00184DF4">
        <w:rPr>
          <w:rFonts w:asciiTheme="minorHAnsi" w:hAnsiTheme="minorHAnsi" w:cstheme="minorHAnsi"/>
          <w:sz w:val="22"/>
          <w:szCs w:val="22"/>
        </w:rPr>
        <w:t>Pasquinucci</w:t>
      </w:r>
      <w:proofErr w:type="spellEnd"/>
      <w:r w:rsidRPr="00184DF4">
        <w:rPr>
          <w:rFonts w:asciiTheme="minorHAnsi" w:hAnsiTheme="minorHAnsi" w:cstheme="minorHAnsi"/>
          <w:sz w:val="22"/>
          <w:szCs w:val="22"/>
        </w:rPr>
        <w:t xml:space="preserve"> L. (2018). In Vitro Evaluation of Sunscreen Safety: Effects of the Vehicle and Repeated Applications on Skin Permeation from Topical Formulations. </w:t>
      </w:r>
      <w:r w:rsidRPr="00184DF4">
        <w:rPr>
          <w:rFonts w:asciiTheme="minorHAnsi" w:hAnsiTheme="minorHAnsi" w:cstheme="minorHAnsi"/>
          <w:i/>
          <w:iCs/>
          <w:sz w:val="22"/>
          <w:szCs w:val="22"/>
        </w:rPr>
        <w:t>Pharmaceutics.</w:t>
      </w:r>
      <w:r w:rsidRPr="00184DF4">
        <w:rPr>
          <w:rFonts w:asciiTheme="minorHAnsi" w:hAnsiTheme="minorHAnsi" w:cstheme="minorHAnsi"/>
          <w:sz w:val="22"/>
          <w:szCs w:val="22"/>
        </w:rPr>
        <w:t> </w:t>
      </w:r>
      <w:r w:rsidRPr="00184DF4">
        <w:rPr>
          <w:rFonts w:asciiTheme="minorHAnsi" w:hAnsiTheme="minorHAnsi" w:cstheme="minorHAnsi"/>
          <w:iCs/>
          <w:sz w:val="22"/>
          <w:szCs w:val="22"/>
        </w:rPr>
        <w:t>10</w:t>
      </w:r>
      <w:r w:rsidRPr="00184DF4">
        <w:rPr>
          <w:rFonts w:asciiTheme="minorHAnsi" w:hAnsiTheme="minorHAnsi" w:cstheme="minorHAnsi"/>
          <w:sz w:val="22"/>
          <w:szCs w:val="22"/>
        </w:rPr>
        <w:t>(1): 27.</w:t>
      </w:r>
    </w:p>
    <w:p w14:paraId="6E605E95"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Monti D.,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(2008). Skin permeation and distribution of two sunscreens: a comparison between reconstituted human skin and hairless rat skin. </w:t>
      </w:r>
      <w:r w:rsidRPr="00AD1264">
        <w:rPr>
          <w:rFonts w:asciiTheme="minorHAnsi" w:hAnsiTheme="minorHAnsi" w:cstheme="minorHAnsi"/>
          <w:i/>
          <w:color w:val="auto"/>
          <w:sz w:val="22"/>
          <w:szCs w:val="22"/>
        </w:rPr>
        <w:t xml:space="preserve">Skin </w:t>
      </w:r>
      <w:proofErr w:type="spellStart"/>
      <w:r w:rsidRPr="00AD1264">
        <w:rPr>
          <w:rFonts w:asciiTheme="minorHAnsi" w:hAnsiTheme="minorHAnsi" w:cstheme="minorHAnsi"/>
          <w:i/>
          <w:color w:val="auto"/>
          <w:sz w:val="22"/>
          <w:szCs w:val="22"/>
        </w:rPr>
        <w:t>Pharmacol</w:t>
      </w:r>
      <w:proofErr w:type="spellEnd"/>
      <w:r w:rsidRPr="00AD1264">
        <w:rPr>
          <w:rFonts w:asciiTheme="minorHAnsi" w:hAnsiTheme="minorHAnsi" w:cstheme="minorHAnsi"/>
          <w:i/>
          <w:color w:val="auto"/>
          <w:sz w:val="22"/>
          <w:szCs w:val="22"/>
        </w:rPr>
        <w:t>. Physiol</w:t>
      </w:r>
      <w:r w:rsidRPr="00AD1264">
        <w:rPr>
          <w:rFonts w:asciiTheme="minorHAnsi" w:hAnsiTheme="minorHAnsi" w:cstheme="minorHAnsi"/>
          <w:color w:val="auto"/>
          <w:sz w:val="22"/>
          <w:szCs w:val="22"/>
        </w:rPr>
        <w:t>. 21: 318e325.</w:t>
      </w:r>
    </w:p>
    <w:p w14:paraId="02195ADE"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Nakamura N.,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(2015). Effects of maternal and lactational exposure to 2-hydroxy-4-methoxybenzone on development and reproductive organs in male and female rat offspring. </w:t>
      </w:r>
      <w:r w:rsidRPr="00AD1264">
        <w:rPr>
          <w:rFonts w:asciiTheme="minorHAnsi" w:hAnsiTheme="minorHAnsi" w:cstheme="minorHAnsi"/>
          <w:i/>
          <w:color w:val="auto"/>
          <w:sz w:val="22"/>
          <w:szCs w:val="22"/>
        </w:rPr>
        <w:t>Birth Defects Res</w:t>
      </w:r>
      <w:r w:rsidRPr="00AD1264">
        <w:rPr>
          <w:rFonts w:asciiTheme="minorHAnsi" w:hAnsiTheme="minorHAnsi" w:cstheme="minorHAnsi"/>
          <w:color w:val="auto"/>
          <w:sz w:val="22"/>
          <w:szCs w:val="22"/>
        </w:rPr>
        <w:t>. 104: 35-51.</w:t>
      </w:r>
    </w:p>
    <w:p w14:paraId="21BF96F2"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Nash J.F., &amp; Tanner P.R. (2014). Relevance of UV filter/sunscreen product photostability to human safety. </w:t>
      </w:r>
      <w:proofErr w:type="spellStart"/>
      <w:r w:rsidRPr="00AD1264">
        <w:rPr>
          <w:rFonts w:asciiTheme="minorHAnsi" w:hAnsiTheme="minorHAnsi" w:cstheme="minorHAnsi"/>
          <w:i/>
          <w:color w:val="auto"/>
          <w:sz w:val="22"/>
          <w:szCs w:val="22"/>
        </w:rPr>
        <w:t>Photodermatol</w:t>
      </w:r>
      <w:proofErr w:type="spellEnd"/>
      <w:r w:rsidRPr="00AD1264">
        <w:rPr>
          <w:rFonts w:asciiTheme="minorHAnsi" w:hAnsiTheme="minorHAnsi" w:cstheme="minorHAnsi"/>
          <w:i/>
          <w:color w:val="auto"/>
          <w:sz w:val="22"/>
          <w:szCs w:val="22"/>
        </w:rPr>
        <w:t xml:space="preserve">. </w:t>
      </w:r>
      <w:proofErr w:type="spellStart"/>
      <w:r w:rsidRPr="00AD1264">
        <w:rPr>
          <w:rFonts w:asciiTheme="minorHAnsi" w:hAnsiTheme="minorHAnsi" w:cstheme="minorHAnsi"/>
          <w:i/>
          <w:color w:val="auto"/>
          <w:sz w:val="22"/>
          <w:szCs w:val="22"/>
        </w:rPr>
        <w:t>Photoimmunol</w:t>
      </w:r>
      <w:proofErr w:type="spellEnd"/>
      <w:r w:rsidRPr="00AD1264">
        <w:rPr>
          <w:rFonts w:asciiTheme="minorHAnsi" w:hAnsiTheme="minorHAnsi" w:cstheme="minorHAnsi"/>
          <w:i/>
          <w:color w:val="auto"/>
          <w:sz w:val="22"/>
          <w:szCs w:val="22"/>
        </w:rPr>
        <w:t xml:space="preserve">. </w:t>
      </w:r>
      <w:proofErr w:type="spellStart"/>
      <w:r w:rsidRPr="00AD1264">
        <w:rPr>
          <w:rFonts w:asciiTheme="minorHAnsi" w:hAnsiTheme="minorHAnsi" w:cstheme="minorHAnsi"/>
          <w:i/>
          <w:color w:val="auto"/>
          <w:sz w:val="22"/>
          <w:szCs w:val="22"/>
        </w:rPr>
        <w:t>Photomed</w:t>
      </w:r>
      <w:proofErr w:type="spellEnd"/>
      <w:r w:rsidRPr="00AD1264">
        <w:rPr>
          <w:rFonts w:asciiTheme="minorHAnsi" w:hAnsiTheme="minorHAnsi" w:cstheme="minorHAnsi"/>
          <w:i/>
          <w:color w:val="auto"/>
          <w:sz w:val="22"/>
          <w:szCs w:val="22"/>
        </w:rPr>
        <w:t>.</w:t>
      </w:r>
      <w:r w:rsidRPr="00AD1264">
        <w:rPr>
          <w:rFonts w:asciiTheme="minorHAnsi" w:hAnsiTheme="minorHAnsi" w:cstheme="minorHAnsi"/>
          <w:color w:val="auto"/>
          <w:sz w:val="22"/>
          <w:szCs w:val="22"/>
        </w:rPr>
        <w:t xml:space="preserve"> 30: 88-95.</w:t>
      </w:r>
    </w:p>
    <w:p w14:paraId="4E0E8068" w14:textId="77777777" w:rsidR="00423137" w:rsidRPr="00184DF4" w:rsidRDefault="00423137" w:rsidP="00423137">
      <w:pPr>
        <w:pStyle w:val="WhiteSpace"/>
        <w:spacing w:after="180"/>
        <w:rPr>
          <w:rFonts w:asciiTheme="minorHAnsi" w:hAnsiTheme="minorHAnsi" w:cstheme="minorHAnsi"/>
          <w:sz w:val="22"/>
          <w:szCs w:val="22"/>
        </w:rPr>
      </w:pPr>
      <w:r w:rsidRPr="00184DF4">
        <w:rPr>
          <w:rFonts w:asciiTheme="minorHAnsi" w:hAnsiTheme="minorHAnsi" w:cstheme="minorHAnsi"/>
          <w:sz w:val="22"/>
          <w:szCs w:val="22"/>
        </w:rPr>
        <w:t xml:space="preserve">National Industrial Chemicals Notification and Assessment Scheme – NICNAS (2017). 2-Propenoic acid, 3-(4-methoxyphenyl)-, 2-ethylhexyl ester: Human health tier II assessment. Retrieved from 2-Propenoic acid, 3-(4-methoxyphenyl)-, 2-ethylhexyl ester. Human health tier II assessment. Retrieved from </w:t>
      </w:r>
      <w:hyperlink r:id="rId68" w:history="1">
        <w:r w:rsidRPr="00184DF4">
          <w:rPr>
            <w:rStyle w:val="Hyperlink"/>
            <w:rFonts w:asciiTheme="minorHAnsi" w:hAnsiTheme="minorHAnsi" w:cstheme="minorHAnsi"/>
            <w:sz w:val="22"/>
            <w:szCs w:val="22"/>
          </w:rPr>
          <w:t>https://www.industrialchemicals.gov.au/sites/default/files/2-Propenoic%20acid%2C%203-%284-methoxyphenyl%29-%2C%202-ethylhexyl%20 ester_Human%20health%20tier%20II%20assessment.pdf</w:t>
        </w:r>
      </w:hyperlink>
      <w:r w:rsidRPr="00184DF4">
        <w:rPr>
          <w:rFonts w:asciiTheme="minorHAnsi" w:hAnsiTheme="minorHAnsi" w:cstheme="minorHAnsi"/>
          <w:sz w:val="22"/>
          <w:szCs w:val="22"/>
        </w:rPr>
        <w:t xml:space="preserve"> </w:t>
      </w:r>
    </w:p>
    <w:p w14:paraId="1D60F2FF"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National Toxicology Program – NTP (2022a). NTP Developmental and Reproductive Toxicity Technical Report on the Modified One-Generation Study of 2-Hydroxy-4-methoxybenzophenone (CASRN 131-57-7) Administered in Feed to Sprague Dawley (</w:t>
      </w:r>
      <w:proofErr w:type="spellStart"/>
      <w:proofErr w:type="gramStart"/>
      <w:r w:rsidRPr="00184DF4">
        <w:rPr>
          <w:rFonts w:asciiTheme="minorHAnsi" w:hAnsiTheme="minorHAnsi" w:cstheme="minorHAnsi"/>
          <w:sz w:val="22"/>
          <w:szCs w:val="22"/>
        </w:rPr>
        <w:t>Hsd:Sprague</w:t>
      </w:r>
      <w:proofErr w:type="spellEnd"/>
      <w:proofErr w:type="gramEnd"/>
      <w:r w:rsidRPr="00184DF4">
        <w:rPr>
          <w:rFonts w:asciiTheme="minorHAnsi" w:hAnsiTheme="minorHAnsi" w:cstheme="minorHAnsi"/>
          <w:sz w:val="22"/>
          <w:szCs w:val="22"/>
        </w:rPr>
        <w:t xml:space="preserve"> Dawley SD) Rats with Prenatal and Reproductive Performance Assessments in F1 Offspring. Retrieved from </w:t>
      </w:r>
      <w:hyperlink r:id="rId69" w:history="1">
        <w:r w:rsidRPr="00184DF4">
          <w:rPr>
            <w:rStyle w:val="Hyperlink"/>
            <w:rFonts w:asciiTheme="minorHAnsi" w:hAnsiTheme="minorHAnsi" w:cstheme="minorHAnsi"/>
            <w:sz w:val="22"/>
            <w:szCs w:val="22"/>
          </w:rPr>
          <w:t>https://www.ncbi.nlm.nih.gov/books/NBK582008/</w:t>
        </w:r>
      </w:hyperlink>
      <w:r w:rsidRPr="00184DF4">
        <w:rPr>
          <w:rFonts w:asciiTheme="minorHAnsi" w:hAnsiTheme="minorHAnsi" w:cstheme="minorHAnsi"/>
          <w:sz w:val="22"/>
          <w:szCs w:val="22"/>
        </w:rPr>
        <w:t xml:space="preserve"> </w:t>
      </w:r>
    </w:p>
    <w:p w14:paraId="2B56D29E"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National Toxicology Program – NTP (2022b). NTP Developmental and Reproductive Toxicity Technical Report on the Modified One-Generation Study of 2-Ethylhexyl p-Methoxycinnamate (CASRN 5466-77-3) Administered in Feed to Sprague Dawley (</w:t>
      </w:r>
      <w:proofErr w:type="spellStart"/>
      <w:proofErr w:type="gramStart"/>
      <w:r w:rsidRPr="00184DF4">
        <w:rPr>
          <w:rFonts w:asciiTheme="minorHAnsi" w:hAnsiTheme="minorHAnsi" w:cstheme="minorHAnsi"/>
          <w:sz w:val="22"/>
          <w:szCs w:val="22"/>
        </w:rPr>
        <w:t>Hsd:Sprague</w:t>
      </w:r>
      <w:proofErr w:type="spellEnd"/>
      <w:proofErr w:type="gramEnd"/>
      <w:r w:rsidRPr="00184DF4">
        <w:rPr>
          <w:rFonts w:asciiTheme="minorHAnsi" w:hAnsiTheme="minorHAnsi" w:cstheme="minorHAnsi"/>
          <w:sz w:val="22"/>
          <w:szCs w:val="22"/>
        </w:rPr>
        <w:t xml:space="preserve"> Dawley SD) Rats with Prenatal, Reproductive Performance, and </w:t>
      </w:r>
      <w:proofErr w:type="spellStart"/>
      <w:r w:rsidRPr="00184DF4">
        <w:rPr>
          <w:rFonts w:asciiTheme="minorHAnsi" w:hAnsiTheme="minorHAnsi" w:cstheme="minorHAnsi"/>
          <w:sz w:val="22"/>
          <w:szCs w:val="22"/>
        </w:rPr>
        <w:t>Subchronic</w:t>
      </w:r>
      <w:proofErr w:type="spellEnd"/>
      <w:r w:rsidRPr="00184DF4">
        <w:rPr>
          <w:rFonts w:asciiTheme="minorHAnsi" w:hAnsiTheme="minorHAnsi" w:cstheme="minorHAnsi"/>
          <w:sz w:val="22"/>
          <w:szCs w:val="22"/>
        </w:rPr>
        <w:t xml:space="preserve"> Assessments in F1 Offspring. Retrieved from </w:t>
      </w:r>
      <w:hyperlink r:id="rId70" w:history="1">
        <w:r w:rsidRPr="00184DF4">
          <w:rPr>
            <w:rStyle w:val="Hyperlink"/>
            <w:rFonts w:asciiTheme="minorHAnsi" w:hAnsiTheme="minorHAnsi" w:cstheme="minorHAnsi"/>
            <w:sz w:val="22"/>
            <w:szCs w:val="22"/>
          </w:rPr>
          <w:t>https://www.ncbi.nlm.nih.gov/books/NBK581587/</w:t>
        </w:r>
      </w:hyperlink>
      <w:r w:rsidRPr="00184DF4">
        <w:rPr>
          <w:rFonts w:asciiTheme="minorHAnsi" w:hAnsiTheme="minorHAnsi" w:cstheme="minorHAnsi"/>
          <w:sz w:val="22"/>
          <w:szCs w:val="22"/>
        </w:rPr>
        <w:t xml:space="preserve"> </w:t>
      </w:r>
    </w:p>
    <w:p w14:paraId="3CDAB0CB" w14:textId="77777777" w:rsidR="00423137" w:rsidRPr="00184DF4" w:rsidRDefault="00423137" w:rsidP="00423137">
      <w:pPr>
        <w:pStyle w:val="WhiteSpace"/>
        <w:spacing w:after="180"/>
        <w:rPr>
          <w:rFonts w:asciiTheme="minorHAnsi" w:hAnsiTheme="minorHAnsi" w:cstheme="minorHAnsi"/>
          <w:sz w:val="22"/>
          <w:szCs w:val="22"/>
        </w:rPr>
      </w:pPr>
      <w:bookmarkStart w:id="167" w:name="Acknowledgment"/>
      <w:bookmarkStart w:id="168" w:name="_bookmark21"/>
      <w:bookmarkStart w:id="169" w:name="_bookmark20"/>
      <w:bookmarkStart w:id="170" w:name="_bookmark19"/>
      <w:bookmarkStart w:id="171" w:name="Conclusions_and_future_perspectives"/>
      <w:bookmarkStart w:id="172" w:name="References"/>
      <w:bookmarkStart w:id="173" w:name="_bookmark0"/>
      <w:bookmarkStart w:id="174" w:name="_bookmark1"/>
      <w:bookmarkStart w:id="175" w:name="_bookmark2"/>
      <w:bookmarkStart w:id="176" w:name="_bookmark3"/>
      <w:bookmarkStart w:id="177" w:name="_bookmark4"/>
      <w:bookmarkStart w:id="178" w:name="_bookmark5"/>
      <w:bookmarkStart w:id="179" w:name="_bookmark6"/>
      <w:bookmarkStart w:id="180" w:name="_bookmark7"/>
      <w:bookmarkStart w:id="181" w:name="_bookmark8"/>
      <w:bookmarkStart w:id="182" w:name="_bookmark9"/>
      <w:bookmarkStart w:id="183" w:name="_bookmark10"/>
      <w:bookmarkStart w:id="184" w:name="_bookmark11"/>
      <w:bookmarkStart w:id="185" w:name="_bookmark12"/>
      <w:bookmarkStart w:id="186" w:name="_bookmark13"/>
      <w:bookmarkStart w:id="187" w:name="_bookmark14"/>
      <w:bookmarkStart w:id="188" w:name="_bookmark15"/>
      <w:bookmarkStart w:id="189" w:name="_bookmark16"/>
      <w:bookmarkStart w:id="190" w:name="_bookmark1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184DF4">
        <w:rPr>
          <w:rFonts w:asciiTheme="minorHAnsi" w:hAnsiTheme="minorHAnsi" w:cstheme="minorHAnsi"/>
          <w:sz w:val="22"/>
          <w:szCs w:val="22"/>
        </w:rPr>
        <w:t xml:space="preserve">Odio M.R., </w:t>
      </w:r>
      <w:r w:rsidRPr="00184DF4">
        <w:rPr>
          <w:rFonts w:asciiTheme="minorHAnsi" w:hAnsiTheme="minorHAnsi" w:cstheme="minorHAnsi"/>
          <w:i/>
          <w:iCs/>
          <w:sz w:val="22"/>
          <w:szCs w:val="22"/>
        </w:rPr>
        <w:t>et al</w:t>
      </w:r>
      <w:r w:rsidRPr="00184DF4">
        <w:rPr>
          <w:rFonts w:asciiTheme="minorHAnsi" w:hAnsiTheme="minorHAnsi" w:cstheme="minorHAnsi"/>
          <w:sz w:val="22"/>
          <w:szCs w:val="22"/>
        </w:rPr>
        <w:t xml:space="preserve">. (1994). Evaluation of </w:t>
      </w:r>
      <w:proofErr w:type="spellStart"/>
      <w:r w:rsidRPr="00184DF4">
        <w:rPr>
          <w:rFonts w:asciiTheme="minorHAnsi" w:hAnsiTheme="minorHAnsi" w:cstheme="minorHAnsi"/>
          <w:sz w:val="22"/>
          <w:szCs w:val="22"/>
        </w:rPr>
        <w:t>subchronic</w:t>
      </w:r>
      <w:proofErr w:type="spellEnd"/>
      <w:r w:rsidRPr="00184DF4">
        <w:rPr>
          <w:rFonts w:asciiTheme="minorHAnsi" w:hAnsiTheme="minorHAnsi" w:cstheme="minorHAnsi"/>
          <w:sz w:val="22"/>
          <w:szCs w:val="22"/>
        </w:rPr>
        <w:t xml:space="preserve"> (13 week), reproductive, and </w:t>
      </w:r>
      <w:r w:rsidRPr="00184DF4">
        <w:rPr>
          <w:rFonts w:asciiTheme="minorHAnsi" w:hAnsiTheme="minorHAnsi" w:cstheme="minorHAnsi"/>
          <w:i/>
          <w:iCs/>
          <w:sz w:val="22"/>
          <w:szCs w:val="22"/>
        </w:rPr>
        <w:t xml:space="preserve">in vitro </w:t>
      </w:r>
      <w:r w:rsidRPr="00184DF4">
        <w:rPr>
          <w:rFonts w:asciiTheme="minorHAnsi" w:hAnsiTheme="minorHAnsi" w:cstheme="minorHAnsi"/>
          <w:sz w:val="22"/>
          <w:szCs w:val="22"/>
        </w:rPr>
        <w:t xml:space="preserve">genetic toxicity potential of 2-ethylhexyl-2-cyano-3,3-diphenyl acrylate (Octocrylene). </w:t>
      </w:r>
      <w:proofErr w:type="spellStart"/>
      <w:r w:rsidRPr="00184DF4">
        <w:rPr>
          <w:rFonts w:asciiTheme="minorHAnsi" w:hAnsiTheme="minorHAnsi" w:cstheme="minorHAnsi"/>
          <w:i/>
          <w:sz w:val="22"/>
          <w:szCs w:val="22"/>
        </w:rPr>
        <w:t>Fundam</w:t>
      </w:r>
      <w:proofErr w:type="spellEnd"/>
      <w:r w:rsidRPr="00184DF4">
        <w:rPr>
          <w:rFonts w:asciiTheme="minorHAnsi" w:hAnsiTheme="minorHAnsi" w:cstheme="minorHAnsi"/>
          <w:i/>
          <w:sz w:val="22"/>
          <w:szCs w:val="22"/>
        </w:rPr>
        <w:t xml:space="preserve">. Appl. </w:t>
      </w:r>
      <w:proofErr w:type="spellStart"/>
      <w:r w:rsidRPr="00184DF4">
        <w:rPr>
          <w:rFonts w:asciiTheme="minorHAnsi" w:hAnsiTheme="minorHAnsi" w:cstheme="minorHAnsi"/>
          <w:i/>
          <w:sz w:val="22"/>
          <w:szCs w:val="22"/>
        </w:rPr>
        <w:t>Toxicol</w:t>
      </w:r>
      <w:proofErr w:type="spellEnd"/>
      <w:r w:rsidRPr="00184DF4">
        <w:rPr>
          <w:rFonts w:asciiTheme="minorHAnsi" w:hAnsiTheme="minorHAnsi" w:cstheme="minorHAnsi"/>
          <w:sz w:val="22"/>
          <w:szCs w:val="22"/>
        </w:rPr>
        <w:t>. 22(3): 355-68.</w:t>
      </w:r>
    </w:p>
    <w:p w14:paraId="2CBD3AD5" w14:textId="77777777" w:rsidR="00423137" w:rsidRPr="00184DF4" w:rsidRDefault="00423137" w:rsidP="00423137">
      <w:pPr>
        <w:pStyle w:val="WhiteSpace"/>
        <w:spacing w:after="180"/>
        <w:rPr>
          <w:rFonts w:asciiTheme="minorHAnsi" w:hAnsiTheme="minorHAnsi" w:cstheme="minorHAnsi"/>
          <w:sz w:val="22"/>
          <w:szCs w:val="22"/>
        </w:rPr>
      </w:pPr>
      <w:r w:rsidRPr="00184DF4">
        <w:rPr>
          <w:rFonts w:asciiTheme="minorHAnsi" w:hAnsiTheme="minorHAnsi" w:cstheme="minorHAnsi"/>
          <w:sz w:val="22"/>
          <w:szCs w:val="22"/>
        </w:rPr>
        <w:t xml:space="preserve">Organisation for Economic Co-operation and Development – OECD (2019). Considerations When Assessing Children’s Exposure to Chemicals from Products, Series on Testing and Assessment No. 310, ENV/JM/MONO (2019) 29. Retrieved from </w:t>
      </w:r>
      <w:hyperlink r:id="rId71" w:history="1">
        <w:r w:rsidRPr="00184DF4">
          <w:rPr>
            <w:rStyle w:val="Hyperlink"/>
            <w:rFonts w:asciiTheme="minorHAnsi" w:hAnsiTheme="minorHAnsi" w:cstheme="minorHAnsi"/>
            <w:sz w:val="22"/>
            <w:szCs w:val="22"/>
          </w:rPr>
          <w:t>https://one.oecd.org/document/ENV/JM/MONO(2019)29/en/pdf</w:t>
        </w:r>
      </w:hyperlink>
      <w:r w:rsidRPr="00184DF4">
        <w:rPr>
          <w:rFonts w:asciiTheme="minorHAnsi" w:hAnsiTheme="minorHAnsi" w:cstheme="minorHAnsi"/>
          <w:sz w:val="22"/>
          <w:szCs w:val="22"/>
        </w:rPr>
        <w:t xml:space="preserve"> </w:t>
      </w:r>
    </w:p>
    <w:p w14:paraId="7286C41C" w14:textId="77777777" w:rsidR="00423137" w:rsidRPr="00184DF4" w:rsidRDefault="00423137" w:rsidP="00423137">
      <w:pPr>
        <w:pStyle w:val="WhiteSpace"/>
        <w:spacing w:after="180"/>
        <w:rPr>
          <w:rFonts w:asciiTheme="minorHAnsi" w:hAnsiTheme="minorHAnsi" w:cstheme="minorHAnsi"/>
          <w:sz w:val="22"/>
          <w:szCs w:val="22"/>
        </w:rPr>
      </w:pPr>
      <w:proofErr w:type="spellStart"/>
      <w:r w:rsidRPr="00184DF4">
        <w:rPr>
          <w:rFonts w:asciiTheme="minorHAnsi" w:hAnsiTheme="minorHAnsi" w:cstheme="minorHAnsi"/>
          <w:sz w:val="22"/>
          <w:szCs w:val="22"/>
        </w:rPr>
        <w:t>Philippat</w:t>
      </w:r>
      <w:proofErr w:type="spellEnd"/>
      <w:r w:rsidRPr="00184DF4">
        <w:rPr>
          <w:rFonts w:asciiTheme="minorHAnsi" w:hAnsiTheme="minorHAnsi" w:cstheme="minorHAnsi"/>
          <w:sz w:val="22"/>
          <w:szCs w:val="22"/>
        </w:rPr>
        <w:t xml:space="preserve"> C., </w:t>
      </w:r>
      <w:proofErr w:type="spellStart"/>
      <w:r w:rsidRPr="00184DF4">
        <w:rPr>
          <w:rFonts w:asciiTheme="minorHAnsi" w:hAnsiTheme="minorHAnsi" w:cstheme="minorHAnsi"/>
          <w:sz w:val="22"/>
          <w:szCs w:val="22"/>
        </w:rPr>
        <w:t>Mortamais</w:t>
      </w:r>
      <w:proofErr w:type="spellEnd"/>
      <w:r w:rsidRPr="00184DF4">
        <w:rPr>
          <w:rFonts w:asciiTheme="minorHAnsi" w:hAnsiTheme="minorHAnsi" w:cstheme="minorHAnsi"/>
          <w:sz w:val="22"/>
          <w:szCs w:val="22"/>
        </w:rPr>
        <w:t xml:space="preserve"> M., Chevrier C., Petit C., Calafat A.M., Ye X., Silva M.J., Brambilla C., Pin I., Charles M-A., Cordier S., &amp; Slama R. (2012). Exposure to phthalates and phenols during pregnancy and oﬀspring size at birth, </w:t>
      </w:r>
      <w:r w:rsidRPr="00184DF4">
        <w:rPr>
          <w:rFonts w:asciiTheme="minorHAnsi" w:hAnsiTheme="minorHAnsi" w:cstheme="minorHAnsi"/>
          <w:i/>
          <w:iCs/>
          <w:sz w:val="22"/>
          <w:szCs w:val="22"/>
        </w:rPr>
        <w:t xml:space="preserve">Environ. Health </w:t>
      </w:r>
      <w:proofErr w:type="spellStart"/>
      <w:r w:rsidRPr="00184DF4">
        <w:rPr>
          <w:rFonts w:asciiTheme="minorHAnsi" w:hAnsiTheme="minorHAnsi" w:cstheme="minorHAnsi"/>
          <w:i/>
          <w:iCs/>
          <w:sz w:val="22"/>
          <w:szCs w:val="22"/>
        </w:rPr>
        <w:t>Perspect</w:t>
      </w:r>
      <w:proofErr w:type="spellEnd"/>
      <w:r w:rsidRPr="00184DF4">
        <w:rPr>
          <w:rFonts w:asciiTheme="minorHAnsi" w:hAnsiTheme="minorHAnsi" w:cstheme="minorHAnsi"/>
          <w:i/>
          <w:iCs/>
          <w:sz w:val="22"/>
          <w:szCs w:val="22"/>
        </w:rPr>
        <w:t>.</w:t>
      </w:r>
      <w:r w:rsidRPr="00184DF4">
        <w:rPr>
          <w:rFonts w:asciiTheme="minorHAnsi" w:hAnsiTheme="minorHAnsi" w:cstheme="minorHAnsi"/>
          <w:sz w:val="22"/>
          <w:szCs w:val="22"/>
        </w:rPr>
        <w:t xml:space="preserve"> 120: 464. </w:t>
      </w:r>
    </w:p>
    <w:p w14:paraId="371E51FF"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 xml:space="preserve">Pilli N.R., Narayanasamy S., Florian J., </w:t>
      </w:r>
      <w:proofErr w:type="spellStart"/>
      <w:r w:rsidRPr="00184DF4">
        <w:rPr>
          <w:rFonts w:asciiTheme="minorHAnsi" w:hAnsiTheme="minorHAnsi" w:cstheme="minorHAnsi"/>
          <w:sz w:val="22"/>
          <w:szCs w:val="22"/>
        </w:rPr>
        <w:t>Zusterzeel</w:t>
      </w:r>
      <w:proofErr w:type="spellEnd"/>
      <w:r w:rsidRPr="00184DF4">
        <w:rPr>
          <w:rFonts w:asciiTheme="minorHAnsi" w:hAnsiTheme="minorHAnsi" w:cstheme="minorHAnsi"/>
          <w:sz w:val="22"/>
          <w:szCs w:val="22"/>
        </w:rPr>
        <w:t xml:space="preserve"> R., Patel V., Strauss D.G. et al. (2021). Novel simultaneous method for the determination of avobenzone and oxybenzone in human plasma by UHPLC-MS/MS with phospholipid removal pretreatment: An application to a sunscreen clinical trial. </w:t>
      </w:r>
      <w:r w:rsidRPr="00184DF4">
        <w:rPr>
          <w:rFonts w:asciiTheme="minorHAnsi" w:hAnsiTheme="minorHAnsi" w:cstheme="minorHAnsi"/>
          <w:i/>
          <w:iCs/>
          <w:sz w:val="22"/>
          <w:szCs w:val="22"/>
        </w:rPr>
        <w:t>J. </w:t>
      </w:r>
      <w:proofErr w:type="spellStart"/>
      <w:r w:rsidRPr="00184DF4">
        <w:rPr>
          <w:rFonts w:asciiTheme="minorHAnsi" w:hAnsiTheme="minorHAnsi" w:cstheme="minorHAnsi"/>
          <w:i/>
          <w:iCs/>
          <w:sz w:val="22"/>
          <w:szCs w:val="22"/>
        </w:rPr>
        <w:t>Chromatogr</w:t>
      </w:r>
      <w:proofErr w:type="spellEnd"/>
      <w:r w:rsidRPr="00184DF4">
        <w:rPr>
          <w:rFonts w:asciiTheme="minorHAnsi" w:hAnsiTheme="minorHAnsi" w:cstheme="minorHAnsi"/>
          <w:i/>
          <w:iCs/>
          <w:sz w:val="22"/>
          <w:szCs w:val="22"/>
        </w:rPr>
        <w:t xml:space="preserve">. B. </w:t>
      </w:r>
      <w:proofErr w:type="spellStart"/>
      <w:r w:rsidRPr="00184DF4">
        <w:rPr>
          <w:rFonts w:asciiTheme="minorHAnsi" w:hAnsiTheme="minorHAnsi" w:cstheme="minorHAnsi"/>
          <w:i/>
          <w:iCs/>
          <w:sz w:val="22"/>
          <w:szCs w:val="22"/>
        </w:rPr>
        <w:t>Analyt</w:t>
      </w:r>
      <w:proofErr w:type="spellEnd"/>
      <w:r w:rsidRPr="00184DF4">
        <w:rPr>
          <w:rFonts w:asciiTheme="minorHAnsi" w:hAnsiTheme="minorHAnsi" w:cstheme="minorHAnsi"/>
          <w:i/>
          <w:iCs/>
          <w:sz w:val="22"/>
          <w:szCs w:val="22"/>
        </w:rPr>
        <w:t>. Technol. Biomed. Life Sci.</w:t>
      </w:r>
      <w:r w:rsidRPr="00184DF4">
        <w:rPr>
          <w:rFonts w:asciiTheme="minorHAnsi" w:hAnsiTheme="minorHAnsi" w:cstheme="minorHAnsi"/>
          <w:sz w:val="22"/>
          <w:szCs w:val="22"/>
        </w:rPr>
        <w:t xml:space="preserve"> 1169: 122615.</w:t>
      </w:r>
    </w:p>
    <w:p w14:paraId="213C65CD"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proofErr w:type="spellStart"/>
      <w:r w:rsidRPr="00AD1264">
        <w:rPr>
          <w:rFonts w:asciiTheme="minorHAnsi" w:hAnsiTheme="minorHAnsi" w:cstheme="minorHAnsi"/>
          <w:color w:val="auto"/>
          <w:sz w:val="22"/>
          <w:szCs w:val="22"/>
        </w:rPr>
        <w:t>Potard</w:t>
      </w:r>
      <w:proofErr w:type="spellEnd"/>
      <w:r w:rsidRPr="00AD1264">
        <w:rPr>
          <w:rFonts w:asciiTheme="minorHAnsi" w:hAnsiTheme="minorHAnsi" w:cstheme="minorHAnsi"/>
          <w:color w:val="auto"/>
          <w:sz w:val="22"/>
          <w:szCs w:val="22"/>
        </w:rPr>
        <w:t xml:space="preserve"> G., Laugel C., Schaefer H., Marty J.P. (2000). The stripping technique: </w:t>
      </w:r>
      <w:r w:rsidRPr="00AD1264">
        <w:rPr>
          <w:rFonts w:asciiTheme="minorHAnsi" w:hAnsiTheme="minorHAnsi" w:cstheme="minorHAnsi"/>
          <w:i/>
          <w:color w:val="auto"/>
          <w:sz w:val="22"/>
          <w:szCs w:val="22"/>
        </w:rPr>
        <w:t>in vitro</w:t>
      </w:r>
      <w:r w:rsidRPr="00AD1264">
        <w:rPr>
          <w:rFonts w:asciiTheme="minorHAnsi" w:hAnsiTheme="minorHAnsi" w:cstheme="minorHAnsi"/>
          <w:color w:val="auto"/>
          <w:sz w:val="22"/>
          <w:szCs w:val="22"/>
        </w:rPr>
        <w:t xml:space="preserve"> absorption and penetration of five UV filters on excised fresh human skin. </w:t>
      </w:r>
      <w:r w:rsidRPr="00AD1264">
        <w:rPr>
          <w:rFonts w:asciiTheme="minorHAnsi" w:hAnsiTheme="minorHAnsi" w:cstheme="minorHAnsi"/>
          <w:i/>
          <w:color w:val="auto"/>
          <w:sz w:val="22"/>
          <w:szCs w:val="22"/>
        </w:rPr>
        <w:t xml:space="preserve">Skin </w:t>
      </w:r>
      <w:proofErr w:type="spellStart"/>
      <w:r w:rsidRPr="00AD1264">
        <w:rPr>
          <w:rFonts w:asciiTheme="minorHAnsi" w:hAnsiTheme="minorHAnsi" w:cstheme="minorHAnsi"/>
          <w:i/>
          <w:color w:val="auto"/>
          <w:sz w:val="22"/>
          <w:szCs w:val="22"/>
        </w:rPr>
        <w:t>Pharmacol</w:t>
      </w:r>
      <w:proofErr w:type="spellEnd"/>
      <w:r w:rsidRPr="00AD1264">
        <w:rPr>
          <w:rFonts w:asciiTheme="minorHAnsi" w:hAnsiTheme="minorHAnsi" w:cstheme="minorHAnsi"/>
          <w:i/>
          <w:color w:val="auto"/>
          <w:sz w:val="22"/>
          <w:szCs w:val="22"/>
        </w:rPr>
        <w:t>. Appl. Skin. Physiol</w:t>
      </w:r>
      <w:r w:rsidRPr="00AD1264">
        <w:rPr>
          <w:rFonts w:asciiTheme="minorHAnsi" w:hAnsiTheme="minorHAnsi" w:cstheme="minorHAnsi"/>
          <w:color w:val="auto"/>
          <w:sz w:val="22"/>
          <w:szCs w:val="22"/>
        </w:rPr>
        <w:t>. 13: 336–344.</w:t>
      </w:r>
    </w:p>
    <w:p w14:paraId="251A2BDC"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Rehfeld A., Egeberg D. L., Almstrup K., Petersen J. H., Dissing S., &amp; Skakkebæk N.E. (2018). EDC IMPACT: Chemical UV filters can affect human sperm function in a progesterone-like manner. </w:t>
      </w:r>
      <w:r w:rsidRPr="00AD1264">
        <w:rPr>
          <w:rFonts w:asciiTheme="minorHAnsi" w:hAnsiTheme="minorHAnsi" w:cstheme="minorHAnsi"/>
          <w:i/>
          <w:color w:val="auto"/>
          <w:sz w:val="22"/>
          <w:szCs w:val="22"/>
        </w:rPr>
        <w:t>Endocrine Connections</w:t>
      </w:r>
      <w:r w:rsidRPr="00AD1264">
        <w:rPr>
          <w:rFonts w:asciiTheme="minorHAnsi" w:hAnsiTheme="minorHAnsi" w:cstheme="minorHAnsi"/>
          <w:color w:val="auto"/>
          <w:sz w:val="22"/>
          <w:szCs w:val="22"/>
        </w:rPr>
        <w:t>. 7(1): 16-25.</w:t>
      </w:r>
    </w:p>
    <w:p w14:paraId="78116E36"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Romita P., Foti C., Hansel K., &amp; </w:t>
      </w:r>
      <w:proofErr w:type="spellStart"/>
      <w:r w:rsidRPr="00AD1264">
        <w:rPr>
          <w:rFonts w:asciiTheme="minorHAnsi" w:hAnsiTheme="minorHAnsi" w:cstheme="minorHAnsi"/>
          <w:color w:val="auto"/>
          <w:sz w:val="22"/>
          <w:szCs w:val="22"/>
        </w:rPr>
        <w:t>Stingeni</w:t>
      </w:r>
      <w:proofErr w:type="spellEnd"/>
      <w:r w:rsidRPr="00AD1264">
        <w:rPr>
          <w:rFonts w:asciiTheme="minorHAnsi" w:hAnsiTheme="minorHAnsi" w:cstheme="minorHAnsi"/>
          <w:color w:val="auto"/>
          <w:sz w:val="22"/>
          <w:szCs w:val="22"/>
        </w:rPr>
        <w:t xml:space="preserve"> L. (2018). Photo-contact allergy to octocrylene: a decreasing trend? </w:t>
      </w:r>
      <w:r w:rsidRPr="00AD1264">
        <w:rPr>
          <w:rFonts w:asciiTheme="minorHAnsi" w:hAnsiTheme="minorHAnsi" w:cstheme="minorHAnsi"/>
          <w:i/>
          <w:color w:val="auto"/>
          <w:sz w:val="22"/>
          <w:szCs w:val="22"/>
        </w:rPr>
        <w:t>Contact Derm.</w:t>
      </w:r>
      <w:r w:rsidRPr="00AD1264">
        <w:rPr>
          <w:rFonts w:asciiTheme="minorHAnsi" w:hAnsiTheme="minorHAnsi" w:cstheme="minorHAnsi"/>
          <w:color w:val="auto"/>
          <w:sz w:val="22"/>
          <w:szCs w:val="22"/>
        </w:rPr>
        <w:t xml:space="preserve">  78: 224–225.</w:t>
      </w:r>
    </w:p>
    <w:p w14:paraId="4FBDFEE8"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Ruszkiewicz, J. A., Pinkas, A., Ferrer, B., Peres, T. V., </w:t>
      </w:r>
      <w:proofErr w:type="spellStart"/>
      <w:r w:rsidRPr="00AD1264">
        <w:rPr>
          <w:rFonts w:asciiTheme="minorHAnsi" w:hAnsiTheme="minorHAnsi" w:cstheme="minorHAnsi"/>
          <w:color w:val="auto"/>
          <w:sz w:val="22"/>
          <w:szCs w:val="22"/>
        </w:rPr>
        <w:t>Tsatsakis</w:t>
      </w:r>
      <w:proofErr w:type="spellEnd"/>
      <w:r w:rsidRPr="00AD1264">
        <w:rPr>
          <w:rFonts w:asciiTheme="minorHAnsi" w:hAnsiTheme="minorHAnsi" w:cstheme="minorHAnsi"/>
          <w:color w:val="auto"/>
          <w:sz w:val="22"/>
          <w:szCs w:val="22"/>
        </w:rPr>
        <w:t>, A., &amp; Aschner, M. (2017). Neurotoxic effect of active ingredients in sunscreen products, a contemporary review. </w:t>
      </w:r>
      <w:r w:rsidRPr="00AD1264">
        <w:rPr>
          <w:rFonts w:asciiTheme="minorHAnsi" w:hAnsiTheme="minorHAnsi" w:cstheme="minorHAnsi"/>
          <w:i/>
          <w:iCs/>
          <w:color w:val="auto"/>
          <w:sz w:val="22"/>
          <w:szCs w:val="22"/>
        </w:rPr>
        <w:t>Toxicology reports</w:t>
      </w:r>
      <w:r w:rsidRPr="00AD1264">
        <w:rPr>
          <w:rFonts w:asciiTheme="minorHAnsi" w:hAnsiTheme="minorHAnsi" w:cstheme="minorHAnsi"/>
          <w:color w:val="auto"/>
          <w:sz w:val="22"/>
          <w:szCs w:val="22"/>
        </w:rPr>
        <w:t>, </w:t>
      </w:r>
      <w:r w:rsidRPr="00AD1264">
        <w:rPr>
          <w:rFonts w:asciiTheme="minorHAnsi" w:hAnsiTheme="minorHAnsi" w:cstheme="minorHAnsi"/>
          <w:i/>
          <w:iCs/>
          <w:color w:val="auto"/>
          <w:sz w:val="22"/>
          <w:szCs w:val="22"/>
        </w:rPr>
        <w:t>4</w:t>
      </w:r>
      <w:r w:rsidRPr="00AD1264">
        <w:rPr>
          <w:rFonts w:asciiTheme="minorHAnsi" w:hAnsiTheme="minorHAnsi" w:cstheme="minorHAnsi"/>
          <w:color w:val="auto"/>
          <w:sz w:val="22"/>
          <w:szCs w:val="22"/>
        </w:rPr>
        <w:t>, 245–259.</w:t>
      </w:r>
    </w:p>
    <w:p w14:paraId="46E8FCB2"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Santamaria, C. G., Meyer, N., Schumacher, A., </w:t>
      </w:r>
      <w:proofErr w:type="spellStart"/>
      <w:r w:rsidRPr="00AD1264">
        <w:rPr>
          <w:rFonts w:asciiTheme="minorHAnsi" w:hAnsiTheme="minorHAnsi" w:cstheme="minorHAnsi"/>
          <w:color w:val="auto"/>
          <w:sz w:val="22"/>
          <w:szCs w:val="22"/>
        </w:rPr>
        <w:t>Zenclussen</w:t>
      </w:r>
      <w:proofErr w:type="spellEnd"/>
      <w:r w:rsidRPr="00AD1264">
        <w:rPr>
          <w:rFonts w:asciiTheme="minorHAnsi" w:hAnsiTheme="minorHAnsi" w:cstheme="minorHAnsi"/>
          <w:color w:val="auto"/>
          <w:sz w:val="22"/>
          <w:szCs w:val="22"/>
        </w:rPr>
        <w:t xml:space="preserve">, M. L., Teglia, C. M., </w:t>
      </w:r>
      <w:proofErr w:type="spellStart"/>
      <w:r w:rsidRPr="00AD1264">
        <w:rPr>
          <w:rFonts w:asciiTheme="minorHAnsi" w:hAnsiTheme="minorHAnsi" w:cstheme="minorHAnsi"/>
          <w:color w:val="auto"/>
          <w:sz w:val="22"/>
          <w:szCs w:val="22"/>
        </w:rPr>
        <w:t>Culzoni</w:t>
      </w:r>
      <w:proofErr w:type="spellEnd"/>
      <w:r w:rsidRPr="00AD1264">
        <w:rPr>
          <w:rFonts w:asciiTheme="minorHAnsi" w:hAnsiTheme="minorHAnsi" w:cstheme="minorHAnsi"/>
          <w:color w:val="auto"/>
          <w:sz w:val="22"/>
          <w:szCs w:val="22"/>
        </w:rPr>
        <w:t xml:space="preserve">, M. J., </w:t>
      </w:r>
      <w:proofErr w:type="spellStart"/>
      <w:r w:rsidRPr="00AD1264">
        <w:rPr>
          <w:rFonts w:asciiTheme="minorHAnsi" w:hAnsiTheme="minorHAnsi" w:cstheme="minorHAnsi"/>
          <w:color w:val="auto"/>
          <w:sz w:val="22"/>
          <w:szCs w:val="22"/>
        </w:rPr>
        <w:t>Zenclussen</w:t>
      </w:r>
      <w:proofErr w:type="spellEnd"/>
      <w:r w:rsidRPr="00AD1264">
        <w:rPr>
          <w:rFonts w:asciiTheme="minorHAnsi" w:hAnsiTheme="minorHAnsi" w:cstheme="minorHAnsi"/>
          <w:color w:val="auto"/>
          <w:sz w:val="22"/>
          <w:szCs w:val="22"/>
        </w:rPr>
        <w:t>, A. C., &amp; Rodriguez, H. A. (2020). Dermal exposure to the UV filter benzophenone-3 during early pregnancy affects fetal growth and sex ratio of the progeny in mice. </w:t>
      </w:r>
      <w:r w:rsidRPr="00AD1264">
        <w:rPr>
          <w:rFonts w:asciiTheme="minorHAnsi" w:hAnsiTheme="minorHAnsi" w:cstheme="minorHAnsi"/>
          <w:i/>
          <w:iCs/>
          <w:color w:val="auto"/>
          <w:sz w:val="22"/>
          <w:szCs w:val="22"/>
        </w:rPr>
        <w:t>Archives of toxicology</w:t>
      </w:r>
      <w:r w:rsidRPr="00AD1264">
        <w:rPr>
          <w:rFonts w:asciiTheme="minorHAnsi" w:hAnsiTheme="minorHAnsi" w:cstheme="minorHAnsi"/>
          <w:color w:val="auto"/>
          <w:sz w:val="22"/>
          <w:szCs w:val="22"/>
        </w:rPr>
        <w:t xml:space="preserve">, 94(8), 2847–2859. </w:t>
      </w:r>
    </w:p>
    <w:p w14:paraId="73332083"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 xml:space="preserve">Sauce R., Pinto C.A.S.O., Velasco M.V.R., Rosado C., &amp; Baby A.R. (2021). Ex vivo penetration analysis and anti-inflammatory efficacy of the association of ferulic acid and UV filters. </w:t>
      </w:r>
      <w:r w:rsidRPr="00184DF4">
        <w:rPr>
          <w:rFonts w:asciiTheme="minorHAnsi" w:hAnsiTheme="minorHAnsi" w:cstheme="minorHAnsi"/>
          <w:i/>
          <w:iCs/>
          <w:sz w:val="22"/>
          <w:szCs w:val="22"/>
        </w:rPr>
        <w:t>Eur. J. Pharm. Sci.</w:t>
      </w:r>
      <w:r w:rsidRPr="00184DF4">
        <w:rPr>
          <w:rFonts w:asciiTheme="minorHAnsi" w:hAnsiTheme="minorHAnsi" w:cstheme="minorHAnsi"/>
          <w:sz w:val="22"/>
          <w:szCs w:val="22"/>
        </w:rPr>
        <w:t xml:space="preserve"> 156: 105578.</w:t>
      </w:r>
    </w:p>
    <w:p w14:paraId="0B73385B"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Scalia S., </w:t>
      </w:r>
      <w:proofErr w:type="spellStart"/>
      <w:r w:rsidRPr="00AD1264">
        <w:rPr>
          <w:rFonts w:asciiTheme="minorHAnsi" w:hAnsiTheme="minorHAnsi" w:cstheme="minorHAnsi"/>
          <w:color w:val="auto"/>
          <w:sz w:val="22"/>
          <w:szCs w:val="22"/>
        </w:rPr>
        <w:t>Battaglioli</w:t>
      </w:r>
      <w:proofErr w:type="spellEnd"/>
      <w:r w:rsidRPr="00AD1264">
        <w:rPr>
          <w:rFonts w:asciiTheme="minorHAnsi" w:hAnsiTheme="minorHAnsi" w:cstheme="minorHAnsi"/>
          <w:color w:val="auto"/>
          <w:sz w:val="22"/>
          <w:szCs w:val="22"/>
        </w:rPr>
        <w:t xml:space="preserve"> S., &amp; Bianchi A. (2019). </w:t>
      </w:r>
      <w:r w:rsidRPr="00AD1264">
        <w:rPr>
          <w:rFonts w:asciiTheme="minorHAnsi" w:hAnsiTheme="minorHAnsi" w:cstheme="minorHAnsi"/>
          <w:i/>
          <w:color w:val="auto"/>
          <w:sz w:val="22"/>
          <w:szCs w:val="22"/>
        </w:rPr>
        <w:t>In vivo</w:t>
      </w:r>
      <w:r w:rsidRPr="00AD1264">
        <w:rPr>
          <w:rFonts w:asciiTheme="minorHAnsi" w:hAnsiTheme="minorHAnsi" w:cstheme="minorHAnsi"/>
          <w:color w:val="auto"/>
          <w:sz w:val="22"/>
          <w:szCs w:val="22"/>
        </w:rPr>
        <w:t xml:space="preserve"> Human Skin Penetration of the UV Filter Ethylhexyl Triazone: Effect of Lipid Microparticle Encapsulation. </w:t>
      </w:r>
      <w:r w:rsidRPr="00AD1264">
        <w:rPr>
          <w:rFonts w:asciiTheme="minorHAnsi" w:hAnsiTheme="minorHAnsi" w:cstheme="minorHAnsi"/>
          <w:i/>
          <w:iCs/>
          <w:color w:val="auto"/>
          <w:sz w:val="22"/>
          <w:szCs w:val="22"/>
        </w:rPr>
        <w:t xml:space="preserve">Skin </w:t>
      </w:r>
      <w:proofErr w:type="spellStart"/>
      <w:r w:rsidRPr="00AD1264">
        <w:rPr>
          <w:rFonts w:asciiTheme="minorHAnsi" w:hAnsiTheme="minorHAnsi" w:cstheme="minorHAnsi"/>
          <w:i/>
          <w:iCs/>
          <w:color w:val="auto"/>
          <w:sz w:val="22"/>
          <w:szCs w:val="22"/>
        </w:rPr>
        <w:t>Pharmacol</w:t>
      </w:r>
      <w:proofErr w:type="spellEnd"/>
      <w:r w:rsidRPr="00AD1264">
        <w:rPr>
          <w:rFonts w:asciiTheme="minorHAnsi" w:hAnsiTheme="minorHAnsi" w:cstheme="minorHAnsi"/>
          <w:i/>
          <w:iCs/>
          <w:color w:val="auto"/>
          <w:sz w:val="22"/>
          <w:szCs w:val="22"/>
        </w:rPr>
        <w:t>. Physiol.</w:t>
      </w:r>
      <w:r w:rsidRPr="00AD1264">
        <w:rPr>
          <w:rFonts w:asciiTheme="minorHAnsi" w:hAnsiTheme="minorHAnsi" w:cstheme="minorHAnsi"/>
          <w:color w:val="auto"/>
          <w:sz w:val="22"/>
          <w:szCs w:val="22"/>
        </w:rPr>
        <w:t xml:space="preserve"> 32: 22–31.</w:t>
      </w:r>
    </w:p>
    <w:p w14:paraId="5E45AAC9" w14:textId="77777777" w:rsidR="00423137" w:rsidRPr="00184DF4" w:rsidRDefault="00423137" w:rsidP="00423137">
      <w:pPr>
        <w:pStyle w:val="Standard"/>
        <w:rPr>
          <w:rFonts w:asciiTheme="minorHAnsi" w:hAnsiTheme="minorHAnsi" w:cstheme="minorHAnsi"/>
          <w:sz w:val="22"/>
        </w:rPr>
      </w:pPr>
      <w:r w:rsidRPr="00184DF4">
        <w:rPr>
          <w:rFonts w:asciiTheme="minorHAnsi" w:hAnsiTheme="minorHAnsi" w:cstheme="minorHAnsi"/>
          <w:sz w:val="22"/>
        </w:rPr>
        <w:t xml:space="preserve">Schlumpf M., </w:t>
      </w:r>
      <w:proofErr w:type="spellStart"/>
      <w:r w:rsidRPr="00184DF4">
        <w:rPr>
          <w:rFonts w:asciiTheme="minorHAnsi" w:hAnsiTheme="minorHAnsi" w:cstheme="minorHAnsi"/>
          <w:sz w:val="22"/>
        </w:rPr>
        <w:t>Kypke</w:t>
      </w:r>
      <w:proofErr w:type="spellEnd"/>
      <w:r w:rsidRPr="00184DF4">
        <w:rPr>
          <w:rFonts w:asciiTheme="minorHAnsi" w:hAnsiTheme="minorHAnsi" w:cstheme="minorHAnsi"/>
          <w:sz w:val="22"/>
        </w:rPr>
        <w:t xml:space="preserve"> K. </w:t>
      </w:r>
      <w:r w:rsidRPr="00184DF4">
        <w:rPr>
          <w:rFonts w:asciiTheme="minorHAnsi" w:hAnsiTheme="minorHAnsi" w:cstheme="minorHAnsi"/>
          <w:i/>
          <w:iCs/>
          <w:sz w:val="22"/>
        </w:rPr>
        <w:t>et al.</w:t>
      </w:r>
      <w:r w:rsidRPr="00184DF4">
        <w:rPr>
          <w:rFonts w:asciiTheme="minorHAnsi" w:hAnsiTheme="minorHAnsi" w:cstheme="minorHAnsi"/>
          <w:sz w:val="22"/>
        </w:rPr>
        <w:t xml:space="preserve"> (2008). Endocrine Active UV Filters: Developmental Toxicity and Exposure Through Breast Milk, </w:t>
      </w:r>
      <w:r w:rsidRPr="00184DF4">
        <w:rPr>
          <w:rFonts w:asciiTheme="minorHAnsi" w:hAnsiTheme="minorHAnsi" w:cstheme="minorHAnsi"/>
          <w:i/>
          <w:iCs/>
          <w:sz w:val="22"/>
        </w:rPr>
        <w:t>CHIMIA International Journal for Chemistry</w:t>
      </w:r>
      <w:r w:rsidRPr="00184DF4">
        <w:rPr>
          <w:rFonts w:asciiTheme="minorHAnsi" w:hAnsiTheme="minorHAnsi" w:cstheme="minorHAnsi"/>
          <w:sz w:val="22"/>
        </w:rPr>
        <w:t xml:space="preserve"> 62(5):345-351</w:t>
      </w:r>
    </w:p>
    <w:p w14:paraId="31B5D5E9"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Schlumpf M., </w:t>
      </w:r>
      <w:proofErr w:type="spellStart"/>
      <w:r w:rsidRPr="00AD1264">
        <w:rPr>
          <w:rFonts w:asciiTheme="minorHAnsi" w:hAnsiTheme="minorHAnsi" w:cstheme="minorHAnsi"/>
          <w:color w:val="auto"/>
          <w:sz w:val="22"/>
          <w:szCs w:val="22"/>
        </w:rPr>
        <w:t>Kypke</w:t>
      </w:r>
      <w:proofErr w:type="spellEnd"/>
      <w:r w:rsidRPr="00AD1264">
        <w:rPr>
          <w:rFonts w:asciiTheme="minorHAnsi" w:hAnsiTheme="minorHAnsi" w:cstheme="minorHAnsi"/>
          <w:color w:val="auto"/>
          <w:sz w:val="22"/>
          <w:szCs w:val="22"/>
        </w:rPr>
        <w:t xml:space="preserve"> K., </w:t>
      </w:r>
      <w:proofErr w:type="spellStart"/>
      <w:r w:rsidRPr="00AD1264">
        <w:rPr>
          <w:rFonts w:asciiTheme="minorHAnsi" w:hAnsiTheme="minorHAnsi" w:cstheme="minorHAnsi"/>
          <w:color w:val="auto"/>
          <w:sz w:val="22"/>
          <w:szCs w:val="22"/>
        </w:rPr>
        <w:t>Wittassek</w:t>
      </w:r>
      <w:proofErr w:type="spellEnd"/>
      <w:r w:rsidRPr="00AD1264">
        <w:rPr>
          <w:rFonts w:asciiTheme="minorHAnsi" w:hAnsiTheme="minorHAnsi" w:cstheme="minorHAnsi"/>
          <w:color w:val="auto"/>
          <w:sz w:val="22"/>
          <w:szCs w:val="22"/>
        </w:rPr>
        <w:t xml:space="preserve"> M.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(2010). Exposure patterns of UV filters, fragrances, parabens, phthalates, </w:t>
      </w:r>
      <w:proofErr w:type="spellStart"/>
      <w:r w:rsidRPr="00AD1264">
        <w:rPr>
          <w:rFonts w:asciiTheme="minorHAnsi" w:hAnsiTheme="minorHAnsi" w:cstheme="minorHAnsi"/>
          <w:color w:val="auto"/>
          <w:sz w:val="22"/>
          <w:szCs w:val="22"/>
        </w:rPr>
        <w:t>organochlor</w:t>
      </w:r>
      <w:proofErr w:type="spellEnd"/>
      <w:r w:rsidRPr="00AD1264">
        <w:rPr>
          <w:rFonts w:asciiTheme="minorHAnsi" w:hAnsiTheme="minorHAnsi" w:cstheme="minorHAnsi"/>
          <w:color w:val="auto"/>
          <w:sz w:val="22"/>
          <w:szCs w:val="22"/>
        </w:rPr>
        <w:t xml:space="preserve"> pesticides, PBDEs, and PCBs in human milk: correlation of UV filters with use of cosmetics. </w:t>
      </w:r>
      <w:r w:rsidRPr="00AD1264">
        <w:rPr>
          <w:rFonts w:asciiTheme="minorHAnsi" w:hAnsiTheme="minorHAnsi" w:cstheme="minorHAnsi"/>
          <w:i/>
          <w:color w:val="auto"/>
          <w:sz w:val="22"/>
          <w:szCs w:val="22"/>
        </w:rPr>
        <w:t xml:space="preserve">Chemosphere. </w:t>
      </w:r>
      <w:r w:rsidRPr="00AD1264">
        <w:rPr>
          <w:rFonts w:asciiTheme="minorHAnsi" w:hAnsiTheme="minorHAnsi" w:cstheme="minorHAnsi"/>
          <w:color w:val="auto"/>
          <w:sz w:val="22"/>
          <w:szCs w:val="22"/>
        </w:rPr>
        <w:t>81: 1171–83.</w:t>
      </w:r>
    </w:p>
    <w:p w14:paraId="27DC0CE9"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Schneider S.,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(2005). Octyl methoxycinnamate: Two generation reproduction toxicity in Wistar rats by dietary administration. </w:t>
      </w:r>
      <w:r w:rsidRPr="00AD1264">
        <w:rPr>
          <w:rFonts w:asciiTheme="minorHAnsi" w:hAnsiTheme="minorHAnsi" w:cstheme="minorHAnsi"/>
          <w:i/>
          <w:color w:val="auto"/>
          <w:sz w:val="22"/>
          <w:szCs w:val="22"/>
        </w:rPr>
        <w:t xml:space="preserve">Food Chem. </w:t>
      </w:r>
      <w:proofErr w:type="spellStart"/>
      <w:r w:rsidRPr="00AD1264">
        <w:rPr>
          <w:rFonts w:asciiTheme="minorHAnsi" w:hAnsiTheme="minorHAnsi" w:cstheme="minorHAnsi"/>
          <w:i/>
          <w:color w:val="auto"/>
          <w:sz w:val="22"/>
          <w:szCs w:val="22"/>
        </w:rPr>
        <w:t>Toxicol</w:t>
      </w:r>
      <w:proofErr w:type="spellEnd"/>
      <w:r w:rsidRPr="00AD1264">
        <w:rPr>
          <w:rFonts w:asciiTheme="minorHAnsi" w:hAnsiTheme="minorHAnsi" w:cstheme="minorHAnsi"/>
          <w:color w:val="auto"/>
          <w:sz w:val="22"/>
          <w:szCs w:val="22"/>
        </w:rPr>
        <w:t>. 43: 1083-1092.</w:t>
      </w:r>
    </w:p>
    <w:p w14:paraId="3FE80223"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AD1264">
        <w:rPr>
          <w:rFonts w:asciiTheme="minorHAnsi" w:hAnsiTheme="minorHAnsi" w:cstheme="minorHAnsi"/>
          <w:color w:val="auto"/>
          <w:sz w:val="22"/>
          <w:szCs w:val="22"/>
        </w:rPr>
        <w:t xml:space="preserve">Scientific Committee on Consumer Products – SCCS (2006a). SCCP opinion on benzophenone-3, SCCP/1069/06. Retrieved from </w:t>
      </w:r>
      <w:hyperlink r:id="rId72" w:history="1">
        <w:r w:rsidRPr="00184DF4">
          <w:rPr>
            <w:rStyle w:val="Hyperlink"/>
            <w:rFonts w:asciiTheme="minorHAnsi" w:hAnsiTheme="minorHAnsi" w:cstheme="minorHAnsi"/>
            <w:sz w:val="22"/>
            <w:szCs w:val="22"/>
          </w:rPr>
          <w:t>https://ec.europa.eu/health/ph_risk/committees/ 04_sccp/docs/sccp_o_078.pdf</w:t>
        </w:r>
      </w:hyperlink>
      <w:r w:rsidRPr="00184DF4">
        <w:rPr>
          <w:rFonts w:asciiTheme="minorHAnsi" w:hAnsiTheme="minorHAnsi" w:cstheme="minorHAnsi"/>
          <w:sz w:val="22"/>
          <w:szCs w:val="22"/>
        </w:rPr>
        <w:t xml:space="preserve"> </w:t>
      </w:r>
    </w:p>
    <w:p w14:paraId="42A6DB19" w14:textId="77777777" w:rsidR="00423137" w:rsidRPr="00184DF4" w:rsidRDefault="00423137" w:rsidP="00423137">
      <w:pPr>
        <w:pStyle w:val="FootnoteText"/>
        <w:spacing w:after="180" w:line="252" w:lineRule="auto"/>
        <w:rPr>
          <w:rStyle w:val="Hyperlink"/>
          <w:rFonts w:asciiTheme="minorHAnsi" w:hAnsiTheme="minorHAnsi" w:cstheme="minorHAnsi"/>
          <w:sz w:val="22"/>
          <w:szCs w:val="22"/>
        </w:rPr>
      </w:pPr>
      <w:r w:rsidRPr="00AD1264">
        <w:rPr>
          <w:rFonts w:asciiTheme="minorHAnsi" w:hAnsiTheme="minorHAnsi" w:cstheme="minorHAnsi"/>
          <w:color w:val="auto"/>
          <w:sz w:val="22"/>
          <w:szCs w:val="22"/>
        </w:rPr>
        <w:t xml:space="preserve">Scientific Committee on Consumer Products – SCCS (2006b). SCCP opinion on phenylbenzimidazole sulfonic acid and its salts, COLIPA S45. SCCO_o-079. Retrieved from </w:t>
      </w:r>
      <w:hyperlink r:id="rId73" w:history="1">
        <w:r w:rsidRPr="00184DF4">
          <w:rPr>
            <w:rStyle w:val="Hyperlink"/>
            <w:rFonts w:asciiTheme="minorHAnsi" w:hAnsiTheme="minorHAnsi" w:cstheme="minorHAnsi"/>
            <w:sz w:val="22"/>
            <w:szCs w:val="22"/>
          </w:rPr>
          <w:t>https://ec.europa.eu/health/ph_risk/committees/04_sccp/sccp_opinions_en.htm</w:t>
        </w:r>
      </w:hyperlink>
    </w:p>
    <w:p w14:paraId="16301484" w14:textId="77777777" w:rsidR="00423137" w:rsidRPr="00184DF4" w:rsidRDefault="00423137" w:rsidP="00423137">
      <w:pPr>
        <w:autoSpaceDE w:val="0"/>
        <w:autoSpaceDN w:val="0"/>
        <w:adjustRightInd w:val="0"/>
        <w:spacing w:after="180" w:line="252" w:lineRule="auto"/>
        <w:rPr>
          <w:rFonts w:asciiTheme="minorHAnsi" w:hAnsiTheme="minorHAnsi" w:cstheme="minorHAnsi"/>
          <w:sz w:val="22"/>
          <w:szCs w:val="22"/>
        </w:rPr>
      </w:pPr>
      <w:r w:rsidRPr="00184DF4">
        <w:rPr>
          <w:rFonts w:asciiTheme="minorHAnsi" w:hAnsiTheme="minorHAnsi" w:cstheme="minorHAnsi"/>
          <w:sz w:val="22"/>
          <w:szCs w:val="22"/>
        </w:rPr>
        <w:t xml:space="preserve">Scientific Committee on Consumer Products – SCCS (2008). Opinion on benzophenone-3, 16 December 2008. Retrieved from </w:t>
      </w:r>
      <w:hyperlink r:id="rId74" w:history="1">
        <w:r w:rsidRPr="00184DF4">
          <w:rPr>
            <w:rStyle w:val="Hyperlink"/>
            <w:rFonts w:asciiTheme="minorHAnsi" w:hAnsiTheme="minorHAnsi" w:cstheme="minorHAnsi"/>
            <w:sz w:val="22"/>
            <w:szCs w:val="22"/>
          </w:rPr>
          <w:t>https://health.ec.europa.eu/system/files/2022-08/sccs_o_247.pdf</w:t>
        </w:r>
      </w:hyperlink>
      <w:r w:rsidRPr="00184DF4">
        <w:rPr>
          <w:rFonts w:asciiTheme="minorHAnsi" w:hAnsiTheme="minorHAnsi" w:cstheme="minorHAnsi"/>
          <w:sz w:val="22"/>
          <w:szCs w:val="22"/>
        </w:rPr>
        <w:t xml:space="preserve"> </w:t>
      </w:r>
    </w:p>
    <w:p w14:paraId="4D8FDBE7" w14:textId="77777777" w:rsidR="00423137" w:rsidRPr="00184DF4" w:rsidRDefault="00423137" w:rsidP="00423137">
      <w:pPr>
        <w:pStyle w:val="WhiteSpace"/>
        <w:spacing w:after="180"/>
        <w:rPr>
          <w:rFonts w:asciiTheme="minorHAnsi" w:hAnsiTheme="minorHAnsi" w:cstheme="minorHAnsi"/>
          <w:sz w:val="22"/>
          <w:szCs w:val="22"/>
        </w:rPr>
      </w:pPr>
      <w:r w:rsidRPr="00184DF4">
        <w:rPr>
          <w:rFonts w:asciiTheme="minorHAnsi" w:hAnsiTheme="minorHAnsi" w:cstheme="minorHAnsi"/>
          <w:sz w:val="22"/>
          <w:szCs w:val="22"/>
        </w:rPr>
        <w:t xml:space="preserve">Scientific Committee on Consumer Products – SCCS (2016). The SCCS notes of guidance for the testing of cosmetic ingredients and their safety evaluation, 9th revision. Retrieved from </w:t>
      </w:r>
      <w:hyperlink r:id="rId75" w:history="1">
        <w:r w:rsidRPr="00184DF4">
          <w:rPr>
            <w:rStyle w:val="Hyperlink"/>
            <w:rFonts w:asciiTheme="minorHAnsi" w:hAnsiTheme="minorHAnsi" w:cstheme="minorHAnsi"/>
            <w:sz w:val="22"/>
            <w:szCs w:val="22"/>
          </w:rPr>
          <w:t>https://ec.europa.eu/health/scientific_committees/consumer_safety/docs/sccs_o_190.pdf</w:t>
        </w:r>
      </w:hyperlink>
      <w:r w:rsidRPr="00184DF4">
        <w:rPr>
          <w:rFonts w:asciiTheme="minorHAnsi" w:hAnsiTheme="minorHAnsi" w:cstheme="minorHAnsi"/>
          <w:sz w:val="22"/>
          <w:szCs w:val="22"/>
        </w:rPr>
        <w:t xml:space="preserve"> </w:t>
      </w:r>
    </w:p>
    <w:p w14:paraId="22F3FF7E" w14:textId="77777777" w:rsidR="00423137" w:rsidRPr="00184DF4" w:rsidRDefault="00423137" w:rsidP="00423137">
      <w:pPr>
        <w:pStyle w:val="WhiteSpace"/>
        <w:spacing w:after="180"/>
        <w:rPr>
          <w:rFonts w:asciiTheme="minorHAnsi" w:hAnsiTheme="minorHAnsi" w:cstheme="minorHAnsi"/>
          <w:sz w:val="22"/>
          <w:szCs w:val="22"/>
        </w:rPr>
      </w:pPr>
      <w:r w:rsidRPr="00184DF4">
        <w:rPr>
          <w:rFonts w:asciiTheme="minorHAnsi" w:hAnsiTheme="minorHAnsi" w:cstheme="minorHAnsi"/>
          <w:sz w:val="22"/>
          <w:szCs w:val="22"/>
        </w:rPr>
        <w:t xml:space="preserve">Scientific Committee on Consumer Products – SCCS (2020). Opinion on homosalate (CAS No 118-56-9, EC No 204-260-8), preliminary version of 27-28 October 2020, final version of 24-25 June 2021, SCCS/1622/20.SCCS/1622/20. Retrieved from </w:t>
      </w:r>
      <w:hyperlink r:id="rId76" w:history="1">
        <w:r w:rsidRPr="00184DF4">
          <w:rPr>
            <w:rStyle w:val="Hyperlink"/>
            <w:rFonts w:asciiTheme="minorHAnsi" w:hAnsiTheme="minorHAnsi" w:cstheme="minorHAnsi"/>
            <w:sz w:val="22"/>
            <w:szCs w:val="22"/>
          </w:rPr>
          <w:t>https://health.ec.europa.eu/ publications/</w:t>
        </w:r>
        <w:proofErr w:type="spellStart"/>
        <w:r w:rsidRPr="00184DF4">
          <w:rPr>
            <w:rStyle w:val="Hyperlink"/>
            <w:rFonts w:asciiTheme="minorHAnsi" w:hAnsiTheme="minorHAnsi" w:cstheme="minorHAnsi"/>
            <w:sz w:val="22"/>
            <w:szCs w:val="22"/>
          </w:rPr>
          <w:t>homosalate_en</w:t>
        </w:r>
        <w:proofErr w:type="spellEnd"/>
      </w:hyperlink>
      <w:r w:rsidRPr="00184DF4">
        <w:rPr>
          <w:rFonts w:asciiTheme="minorHAnsi" w:hAnsiTheme="minorHAnsi" w:cstheme="minorHAnsi"/>
          <w:sz w:val="22"/>
          <w:szCs w:val="22"/>
        </w:rPr>
        <w:t xml:space="preserve"> </w:t>
      </w:r>
    </w:p>
    <w:p w14:paraId="059D3EB2"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AD1264">
        <w:rPr>
          <w:rFonts w:asciiTheme="minorHAnsi" w:hAnsiTheme="minorHAnsi" w:cstheme="minorHAnsi"/>
          <w:color w:val="auto"/>
          <w:sz w:val="22"/>
          <w:szCs w:val="22"/>
        </w:rPr>
        <w:t xml:space="preserve">Scientific Committee on Consumer Products – SCCS (2021a). Opinion on octocrylene. SCCS/1627/21. Retrieved from </w:t>
      </w:r>
      <w:hyperlink r:id="rId77" w:history="1">
        <w:r w:rsidRPr="00184DF4">
          <w:rPr>
            <w:rStyle w:val="Hyperlink"/>
            <w:rFonts w:asciiTheme="minorHAnsi" w:hAnsiTheme="minorHAnsi" w:cstheme="minorHAnsi"/>
            <w:sz w:val="22"/>
            <w:szCs w:val="22"/>
          </w:rPr>
          <w:t xml:space="preserve">https://ec.europa.eu/health/sites/health/files/ </w:t>
        </w:r>
        <w:proofErr w:type="spellStart"/>
        <w:r w:rsidRPr="00184DF4">
          <w:rPr>
            <w:rStyle w:val="Hyperlink"/>
            <w:rFonts w:asciiTheme="minorHAnsi" w:hAnsiTheme="minorHAnsi" w:cstheme="minorHAnsi"/>
            <w:sz w:val="22"/>
            <w:szCs w:val="22"/>
          </w:rPr>
          <w:t>scientific_committees</w:t>
        </w:r>
        <w:proofErr w:type="spellEnd"/>
        <w:r w:rsidRPr="00184DF4">
          <w:rPr>
            <w:rStyle w:val="Hyperlink"/>
            <w:rFonts w:asciiTheme="minorHAnsi" w:hAnsiTheme="minorHAnsi" w:cstheme="minorHAnsi"/>
            <w:sz w:val="22"/>
            <w:szCs w:val="22"/>
          </w:rPr>
          <w:t>/</w:t>
        </w:r>
        <w:proofErr w:type="spellStart"/>
        <w:r w:rsidRPr="00184DF4">
          <w:rPr>
            <w:rStyle w:val="Hyperlink"/>
            <w:rFonts w:asciiTheme="minorHAnsi" w:hAnsiTheme="minorHAnsi" w:cstheme="minorHAnsi"/>
            <w:sz w:val="22"/>
            <w:szCs w:val="22"/>
          </w:rPr>
          <w:t>consumer_safety</w:t>
        </w:r>
        <w:proofErr w:type="spellEnd"/>
        <w:r w:rsidRPr="00184DF4">
          <w:rPr>
            <w:rStyle w:val="Hyperlink"/>
            <w:rFonts w:asciiTheme="minorHAnsi" w:hAnsiTheme="minorHAnsi" w:cstheme="minorHAnsi"/>
            <w:sz w:val="22"/>
            <w:szCs w:val="22"/>
          </w:rPr>
          <w:t>/docs/sccs_o_249.pdf</w:t>
        </w:r>
      </w:hyperlink>
      <w:r w:rsidRPr="00184DF4">
        <w:rPr>
          <w:rFonts w:asciiTheme="minorHAnsi" w:hAnsiTheme="minorHAnsi" w:cstheme="minorHAnsi"/>
          <w:sz w:val="22"/>
          <w:szCs w:val="22"/>
        </w:rPr>
        <w:t xml:space="preserve"> </w:t>
      </w:r>
    </w:p>
    <w:p w14:paraId="7C7AF5CC" w14:textId="77777777" w:rsidR="00423137" w:rsidRPr="00184DF4" w:rsidRDefault="00423137" w:rsidP="00423137">
      <w:pPr>
        <w:pStyle w:val="FootnoteText"/>
        <w:spacing w:after="180"/>
        <w:rPr>
          <w:rFonts w:asciiTheme="minorHAnsi" w:hAnsiTheme="minorHAnsi" w:cstheme="minorHAnsi"/>
          <w:iCs/>
          <w:sz w:val="22"/>
          <w:szCs w:val="22"/>
        </w:rPr>
      </w:pPr>
      <w:r w:rsidRPr="00AD1264">
        <w:rPr>
          <w:rFonts w:asciiTheme="minorHAnsi" w:hAnsiTheme="minorHAnsi" w:cstheme="minorHAnsi"/>
          <w:color w:val="auto"/>
          <w:sz w:val="22"/>
          <w:szCs w:val="22"/>
        </w:rPr>
        <w:t>Scientific Committee on Consumer Products – SCCS (</w:t>
      </w:r>
      <w:r w:rsidRPr="00AD1264">
        <w:rPr>
          <w:rFonts w:asciiTheme="minorHAnsi" w:hAnsiTheme="minorHAnsi" w:cstheme="minorHAnsi"/>
          <w:iCs/>
          <w:color w:val="auto"/>
          <w:sz w:val="22"/>
          <w:szCs w:val="22"/>
        </w:rPr>
        <w:t xml:space="preserve">2021b). The SCCS notes of guidance for the testing of cosmetic ingredients and their safety evaluation, 11th revision. Retrieved from </w:t>
      </w:r>
      <w:hyperlink r:id="rId78" w:history="1">
        <w:r w:rsidRPr="00184DF4">
          <w:rPr>
            <w:rStyle w:val="Hyperlink"/>
            <w:rFonts w:asciiTheme="minorHAnsi" w:hAnsiTheme="minorHAnsi" w:cstheme="minorHAnsi"/>
            <w:iCs/>
            <w:sz w:val="22"/>
            <w:szCs w:val="22"/>
          </w:rPr>
          <w:t>https://ec.europa.eu/health/system/files/2021-04/sccs_o_250_0.pdf</w:t>
        </w:r>
      </w:hyperlink>
      <w:r w:rsidRPr="00184DF4">
        <w:rPr>
          <w:rFonts w:asciiTheme="minorHAnsi" w:hAnsiTheme="minorHAnsi" w:cstheme="minorHAnsi"/>
          <w:iCs/>
          <w:sz w:val="22"/>
          <w:szCs w:val="22"/>
        </w:rPr>
        <w:t xml:space="preserve"> </w:t>
      </w:r>
    </w:p>
    <w:p w14:paraId="143489B9"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AD1264">
        <w:rPr>
          <w:rFonts w:asciiTheme="minorHAnsi" w:hAnsiTheme="minorHAnsi" w:cstheme="minorHAnsi"/>
          <w:color w:val="auto"/>
          <w:sz w:val="22"/>
          <w:szCs w:val="22"/>
        </w:rPr>
        <w:t xml:space="preserve">Scientific Committee on Consumer Products – SCCS (2021c). Opinion on Benzophenone-3 (CAS No 131-57-7, EC No 205-031-5), preliminary version of 15 December 2020, final version of 30-31 March 2021, SCCS/1625/20. Retrieved from </w:t>
      </w:r>
      <w:hyperlink r:id="rId79" w:history="1">
        <w:r w:rsidRPr="00184DF4">
          <w:rPr>
            <w:rStyle w:val="Hyperlink"/>
            <w:rFonts w:asciiTheme="minorHAnsi" w:hAnsiTheme="minorHAnsi" w:cstheme="minorHAnsi"/>
            <w:sz w:val="22"/>
            <w:szCs w:val="22"/>
          </w:rPr>
          <w:t>https://ec.europa.eu/health/sites/ health/files/scientific_committees/consumer_safety/docs/sccs_o_247.pdf</w:t>
        </w:r>
      </w:hyperlink>
      <w:r w:rsidRPr="00184DF4">
        <w:rPr>
          <w:rFonts w:asciiTheme="minorHAnsi" w:hAnsiTheme="minorHAnsi" w:cstheme="minorHAnsi"/>
          <w:sz w:val="22"/>
          <w:szCs w:val="22"/>
        </w:rPr>
        <w:t xml:space="preserve"> </w:t>
      </w:r>
    </w:p>
    <w:p w14:paraId="3E94465D"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Scientific Committee on Consumer Products – SCCS (2021d). The SCCS Notes of Guidance for the testing of cosmetic ingredients and their safety evaluation, 11th revision, 30-31 March 2021, SCCS/1628/21. </w:t>
      </w:r>
      <w:r w:rsidRPr="00AD1264">
        <w:rPr>
          <w:rFonts w:asciiTheme="minorHAnsi" w:hAnsiTheme="minorHAnsi" w:cstheme="minorHAnsi"/>
          <w:i/>
          <w:iCs/>
          <w:color w:val="auto"/>
          <w:sz w:val="22"/>
          <w:szCs w:val="22"/>
        </w:rPr>
        <w:t xml:space="preserve">Reg </w:t>
      </w:r>
      <w:proofErr w:type="spellStart"/>
      <w:r w:rsidRPr="00AD1264">
        <w:rPr>
          <w:rFonts w:asciiTheme="minorHAnsi" w:hAnsiTheme="minorHAnsi" w:cstheme="minorHAnsi"/>
          <w:i/>
          <w:iCs/>
          <w:color w:val="auto"/>
          <w:sz w:val="22"/>
          <w:szCs w:val="22"/>
        </w:rPr>
        <w:t>Toxicol</w:t>
      </w:r>
      <w:proofErr w:type="spellEnd"/>
      <w:r w:rsidRPr="00AD1264">
        <w:rPr>
          <w:rFonts w:asciiTheme="minorHAnsi" w:hAnsiTheme="minorHAnsi" w:cstheme="minorHAnsi"/>
          <w:i/>
          <w:iCs/>
          <w:color w:val="auto"/>
          <w:sz w:val="22"/>
          <w:szCs w:val="22"/>
        </w:rPr>
        <w:t xml:space="preserve"> </w:t>
      </w:r>
      <w:proofErr w:type="spellStart"/>
      <w:r w:rsidRPr="00AD1264">
        <w:rPr>
          <w:rFonts w:asciiTheme="minorHAnsi" w:hAnsiTheme="minorHAnsi" w:cstheme="minorHAnsi"/>
          <w:i/>
          <w:iCs/>
          <w:color w:val="auto"/>
          <w:sz w:val="22"/>
          <w:szCs w:val="22"/>
        </w:rPr>
        <w:t>Pharmacol</w:t>
      </w:r>
      <w:proofErr w:type="spellEnd"/>
      <w:r w:rsidRPr="00AD1264">
        <w:rPr>
          <w:rFonts w:asciiTheme="minorHAnsi" w:hAnsiTheme="minorHAnsi" w:cstheme="minorHAnsi"/>
          <w:i/>
          <w:iCs/>
          <w:color w:val="auto"/>
          <w:sz w:val="22"/>
          <w:szCs w:val="22"/>
        </w:rPr>
        <w:t xml:space="preserve">. </w:t>
      </w:r>
      <w:r w:rsidRPr="00AD1264">
        <w:rPr>
          <w:rFonts w:asciiTheme="minorHAnsi" w:hAnsiTheme="minorHAnsi" w:cstheme="minorHAnsi"/>
          <w:color w:val="auto"/>
          <w:sz w:val="22"/>
          <w:szCs w:val="22"/>
        </w:rPr>
        <w:t xml:space="preserve">127, 105052. </w:t>
      </w:r>
    </w:p>
    <w:p w14:paraId="595C348D"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AD1264">
        <w:rPr>
          <w:rFonts w:asciiTheme="minorHAnsi" w:hAnsiTheme="minorHAnsi" w:cstheme="minorHAnsi"/>
          <w:color w:val="auto"/>
          <w:sz w:val="22"/>
          <w:szCs w:val="22"/>
        </w:rPr>
        <w:t>Scientific Committee on Cosmetic Products and Non-Food Products Intended for Consumers –SCCFP (2003). The SCCNFP’s notes of guidance for the testing of cosmetic ingredients and their safety evaluation. 5</w:t>
      </w:r>
      <w:r w:rsidRPr="00AD1264">
        <w:rPr>
          <w:rFonts w:asciiTheme="minorHAnsi" w:hAnsiTheme="minorHAnsi" w:cstheme="minorHAnsi"/>
          <w:color w:val="auto"/>
          <w:sz w:val="22"/>
          <w:szCs w:val="22"/>
          <w:vertAlign w:val="superscript"/>
        </w:rPr>
        <w:t>th</w:t>
      </w:r>
      <w:r w:rsidRPr="00AD1264">
        <w:rPr>
          <w:rFonts w:asciiTheme="minorHAnsi" w:hAnsiTheme="minorHAnsi" w:cstheme="minorHAnsi"/>
          <w:color w:val="auto"/>
          <w:sz w:val="22"/>
          <w:szCs w:val="22"/>
        </w:rPr>
        <w:t xml:space="preserve"> revision, 20 October 2023. SCCNFP/0690/03. Retrieved from </w:t>
      </w:r>
      <w:hyperlink r:id="rId80" w:history="1">
        <w:r w:rsidRPr="00184DF4">
          <w:rPr>
            <w:rStyle w:val="Hyperlink"/>
            <w:rFonts w:asciiTheme="minorHAnsi" w:hAnsiTheme="minorHAnsi" w:cstheme="minorHAnsi"/>
            <w:sz w:val="22"/>
            <w:szCs w:val="22"/>
          </w:rPr>
          <w:t>https://ec.europa.eu/health/ph_risk/committees/sccp/documents/out242_en.pdf</w:t>
        </w:r>
      </w:hyperlink>
      <w:r w:rsidRPr="00184DF4">
        <w:rPr>
          <w:rFonts w:asciiTheme="minorHAnsi" w:hAnsiTheme="minorHAnsi" w:cstheme="minorHAnsi"/>
          <w:sz w:val="22"/>
          <w:szCs w:val="22"/>
        </w:rPr>
        <w:t xml:space="preserve"> </w:t>
      </w:r>
    </w:p>
    <w:p w14:paraId="4158EC19" w14:textId="77777777" w:rsidR="00423137" w:rsidRPr="00184DF4" w:rsidRDefault="00423137" w:rsidP="00423137">
      <w:pPr>
        <w:pStyle w:val="WhiteSpace"/>
        <w:spacing w:after="180"/>
        <w:rPr>
          <w:rFonts w:asciiTheme="minorHAnsi" w:hAnsiTheme="minorHAnsi" w:cstheme="minorHAnsi"/>
          <w:sz w:val="22"/>
          <w:szCs w:val="22"/>
        </w:rPr>
      </w:pPr>
      <w:r w:rsidRPr="00184DF4">
        <w:rPr>
          <w:rFonts w:asciiTheme="minorHAnsi" w:hAnsiTheme="minorHAnsi" w:cstheme="minorHAnsi"/>
          <w:sz w:val="22"/>
          <w:szCs w:val="22"/>
        </w:rPr>
        <w:t xml:space="preserve">Scientific Committee on Cosmetology – SCC (2000). Reports of the Scientific Committee on Cosmetology (ninth series). 2-ethylhexyl-4-methoxycinnamate (S28), pages 888-895. Retrieved from </w:t>
      </w:r>
      <w:hyperlink r:id="rId81" w:history="1">
        <w:r w:rsidRPr="00184DF4">
          <w:rPr>
            <w:rStyle w:val="Hyperlink"/>
            <w:rFonts w:asciiTheme="minorHAnsi" w:hAnsiTheme="minorHAnsi" w:cstheme="minorHAnsi"/>
            <w:sz w:val="22"/>
            <w:szCs w:val="22"/>
          </w:rPr>
          <w:t>https://ec.europa.eu/health/scientific_committees/consumer_safety/docs/scc_o_9.pdf</w:t>
        </w:r>
      </w:hyperlink>
    </w:p>
    <w:p w14:paraId="0B6663FC" w14:textId="77777777" w:rsidR="00423137" w:rsidRPr="00184DF4" w:rsidRDefault="00423137" w:rsidP="00423137">
      <w:pPr>
        <w:pStyle w:val="Standard"/>
        <w:spacing w:after="180"/>
        <w:rPr>
          <w:rStyle w:val="Hyperlink"/>
          <w:rFonts w:asciiTheme="minorHAnsi" w:hAnsiTheme="minorHAnsi" w:cstheme="minorHAnsi"/>
          <w:sz w:val="22"/>
        </w:rPr>
      </w:pPr>
      <w:r w:rsidRPr="00184DF4">
        <w:rPr>
          <w:rFonts w:asciiTheme="minorHAnsi" w:hAnsiTheme="minorHAnsi" w:cstheme="minorHAnsi"/>
          <w:sz w:val="22"/>
        </w:rPr>
        <w:t>Scientific Committee on Toxicity, Ecotoxicity and the Environment – CSTEE (2001). Position paper on margins of safety (MOS) in human health risk assessment expressed at the 22</w:t>
      </w:r>
      <w:r w:rsidRPr="00184DF4">
        <w:rPr>
          <w:rFonts w:asciiTheme="minorHAnsi" w:hAnsiTheme="minorHAnsi" w:cstheme="minorHAnsi"/>
          <w:sz w:val="22"/>
          <w:vertAlign w:val="superscript"/>
        </w:rPr>
        <w:t>nd</w:t>
      </w:r>
      <w:r w:rsidRPr="00184DF4">
        <w:rPr>
          <w:rFonts w:asciiTheme="minorHAnsi" w:hAnsiTheme="minorHAnsi" w:cstheme="minorHAnsi"/>
          <w:sz w:val="22"/>
        </w:rPr>
        <w:t xml:space="preserve"> CSTEE plenary meeting, Brussels, 06/07 March, 2001. Retrieved from </w:t>
      </w:r>
      <w:hyperlink r:id="rId82" w:history="1">
        <w:r w:rsidRPr="00184DF4">
          <w:rPr>
            <w:rStyle w:val="Hyperlink"/>
            <w:rFonts w:asciiTheme="minorHAnsi" w:hAnsiTheme="minorHAnsi" w:cstheme="minorHAnsi"/>
            <w:sz w:val="22"/>
          </w:rPr>
          <w:t>https://ec.europa.eu/health/scientific_committees/environmental_risks/opinions/sctee/sct_out110_en.htm</w:t>
        </w:r>
      </w:hyperlink>
    </w:p>
    <w:p w14:paraId="72167969"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 xml:space="preserve">Shin J.C., Lee E., An S., Jin S.H., Ha J., Choi W.J. et al. (2020). Benzophenone-3 and benzophenone-8 exhibit obesogenic activity via peroxisome proliferator-activated receptor γ pathway. </w:t>
      </w:r>
      <w:proofErr w:type="spellStart"/>
      <w:r w:rsidRPr="00184DF4">
        <w:rPr>
          <w:rFonts w:asciiTheme="minorHAnsi" w:hAnsiTheme="minorHAnsi" w:cstheme="minorHAnsi"/>
          <w:i/>
          <w:iCs/>
          <w:sz w:val="22"/>
          <w:szCs w:val="22"/>
        </w:rPr>
        <w:t>Toxicol</w:t>
      </w:r>
      <w:proofErr w:type="spellEnd"/>
      <w:r w:rsidRPr="00184DF4">
        <w:rPr>
          <w:rFonts w:asciiTheme="minorHAnsi" w:hAnsiTheme="minorHAnsi" w:cstheme="minorHAnsi"/>
          <w:i/>
          <w:iCs/>
          <w:sz w:val="22"/>
          <w:szCs w:val="22"/>
        </w:rPr>
        <w:t>. In Vitro</w:t>
      </w:r>
      <w:r w:rsidRPr="00184DF4">
        <w:rPr>
          <w:rFonts w:asciiTheme="minorHAnsi" w:hAnsiTheme="minorHAnsi" w:cstheme="minorHAnsi"/>
          <w:sz w:val="22"/>
          <w:szCs w:val="22"/>
        </w:rPr>
        <w:t xml:space="preserve"> 67: 104886.</w:t>
      </w:r>
    </w:p>
    <w:p w14:paraId="633C9A31"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Stamatas G.N., </w:t>
      </w:r>
      <w:r w:rsidRPr="00AD1264">
        <w:rPr>
          <w:rFonts w:asciiTheme="minorHAnsi" w:hAnsiTheme="minorHAnsi" w:cstheme="minorHAnsi"/>
          <w:i/>
          <w:color w:val="auto"/>
          <w:sz w:val="22"/>
          <w:szCs w:val="22"/>
        </w:rPr>
        <w:t>et al</w:t>
      </w:r>
      <w:r w:rsidRPr="00AD1264">
        <w:rPr>
          <w:rFonts w:asciiTheme="minorHAnsi" w:hAnsiTheme="minorHAnsi" w:cstheme="minorHAnsi"/>
          <w:color w:val="auto"/>
          <w:sz w:val="22"/>
          <w:szCs w:val="22"/>
        </w:rPr>
        <w:t xml:space="preserve">. (2010). Infant skin microstructure assessed </w:t>
      </w:r>
      <w:r w:rsidRPr="00AD1264">
        <w:rPr>
          <w:rFonts w:asciiTheme="minorHAnsi" w:hAnsiTheme="minorHAnsi" w:cstheme="minorHAnsi"/>
          <w:i/>
          <w:color w:val="auto"/>
          <w:sz w:val="22"/>
          <w:szCs w:val="22"/>
        </w:rPr>
        <w:t>in vivo</w:t>
      </w:r>
      <w:r w:rsidRPr="00AD1264">
        <w:rPr>
          <w:rFonts w:asciiTheme="minorHAnsi" w:hAnsiTheme="minorHAnsi" w:cstheme="minorHAnsi"/>
          <w:color w:val="auto"/>
          <w:sz w:val="22"/>
          <w:szCs w:val="22"/>
        </w:rPr>
        <w:t xml:space="preserve"> differs from adult skin in organisation and at the cellular level. </w:t>
      </w:r>
      <w:proofErr w:type="spellStart"/>
      <w:r w:rsidRPr="00AD1264">
        <w:rPr>
          <w:rFonts w:asciiTheme="minorHAnsi" w:hAnsiTheme="minorHAnsi" w:cstheme="minorHAnsi"/>
          <w:i/>
          <w:color w:val="auto"/>
          <w:sz w:val="22"/>
          <w:szCs w:val="22"/>
        </w:rPr>
        <w:t>Pediatr</w:t>
      </w:r>
      <w:proofErr w:type="spellEnd"/>
      <w:r w:rsidRPr="00AD1264">
        <w:rPr>
          <w:rFonts w:asciiTheme="minorHAnsi" w:hAnsiTheme="minorHAnsi" w:cstheme="minorHAnsi"/>
          <w:i/>
          <w:color w:val="auto"/>
          <w:sz w:val="22"/>
          <w:szCs w:val="22"/>
        </w:rPr>
        <w:t xml:space="preserve"> Dermatol</w:t>
      </w:r>
      <w:r w:rsidRPr="00AD1264">
        <w:rPr>
          <w:rFonts w:asciiTheme="minorHAnsi" w:hAnsiTheme="minorHAnsi" w:cstheme="minorHAnsi"/>
          <w:color w:val="auto"/>
          <w:sz w:val="22"/>
          <w:szCs w:val="22"/>
        </w:rPr>
        <w:t>. 27: 125-131.</w:t>
      </w:r>
    </w:p>
    <w:p w14:paraId="26F43D1E" w14:textId="77777777" w:rsidR="00423137" w:rsidRPr="00AD1264" w:rsidRDefault="00423137" w:rsidP="00423137">
      <w:pPr>
        <w:pStyle w:val="FootnoteText"/>
        <w:spacing w:after="180" w:line="252" w:lineRule="auto"/>
        <w:rPr>
          <w:rFonts w:asciiTheme="minorHAnsi" w:hAnsiTheme="minorHAnsi" w:cstheme="minorHAnsi"/>
          <w:color w:val="auto"/>
          <w:sz w:val="22"/>
          <w:szCs w:val="22"/>
        </w:rPr>
      </w:pPr>
      <w:r w:rsidRPr="00AD1264">
        <w:rPr>
          <w:rFonts w:asciiTheme="minorHAnsi" w:hAnsiTheme="minorHAnsi" w:cstheme="minorHAnsi"/>
          <w:color w:val="auto"/>
          <w:sz w:val="22"/>
          <w:szCs w:val="22"/>
        </w:rPr>
        <w:t xml:space="preserve">Suh, S., Pham, C., Smith, J., &amp; </w:t>
      </w:r>
      <w:proofErr w:type="spellStart"/>
      <w:r w:rsidRPr="00AD1264">
        <w:rPr>
          <w:rFonts w:asciiTheme="minorHAnsi" w:hAnsiTheme="minorHAnsi" w:cstheme="minorHAnsi"/>
          <w:color w:val="auto"/>
          <w:sz w:val="22"/>
          <w:szCs w:val="22"/>
        </w:rPr>
        <w:t>Mesinkovska</w:t>
      </w:r>
      <w:proofErr w:type="spellEnd"/>
      <w:r w:rsidRPr="00AD1264">
        <w:rPr>
          <w:rFonts w:asciiTheme="minorHAnsi" w:hAnsiTheme="minorHAnsi" w:cstheme="minorHAnsi"/>
          <w:color w:val="auto"/>
          <w:sz w:val="22"/>
          <w:szCs w:val="22"/>
        </w:rPr>
        <w:t>, N. A. (2020). The banned sunscreen ingredients and their impact on human health: a systematic review. </w:t>
      </w:r>
      <w:r w:rsidRPr="00AD1264">
        <w:rPr>
          <w:rFonts w:asciiTheme="minorHAnsi" w:hAnsiTheme="minorHAnsi" w:cstheme="minorHAnsi"/>
          <w:i/>
          <w:iCs/>
          <w:color w:val="auto"/>
          <w:sz w:val="22"/>
          <w:szCs w:val="22"/>
        </w:rPr>
        <w:t>Int J Dermatol.</w:t>
      </w:r>
      <w:r w:rsidRPr="00AD1264">
        <w:rPr>
          <w:rFonts w:asciiTheme="minorHAnsi" w:hAnsiTheme="minorHAnsi" w:cstheme="minorHAnsi"/>
          <w:color w:val="auto"/>
          <w:sz w:val="22"/>
          <w:szCs w:val="22"/>
        </w:rPr>
        <w:t xml:space="preserve"> 59(9), 1033–1042. </w:t>
      </w:r>
    </w:p>
    <w:p w14:paraId="02D97049"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AD1264">
        <w:rPr>
          <w:rFonts w:asciiTheme="minorHAnsi" w:hAnsiTheme="minorHAnsi" w:cstheme="minorHAnsi"/>
          <w:color w:val="auto"/>
          <w:sz w:val="22"/>
          <w:szCs w:val="22"/>
        </w:rPr>
        <w:t xml:space="preserve">Therapeutic Goods Administration – TGA (2016). Australian Regulatory Guidelines for Sunscreens. Version 1.1, January 2016. Australian Government, Department of Health, TGA, Woden, 43 pp. Retrieved from </w:t>
      </w:r>
      <w:hyperlink r:id="rId83" w:history="1">
        <w:r w:rsidRPr="00184DF4">
          <w:rPr>
            <w:rStyle w:val="Hyperlink"/>
            <w:rFonts w:asciiTheme="minorHAnsi" w:hAnsiTheme="minorHAnsi" w:cstheme="minorHAnsi"/>
            <w:sz w:val="22"/>
            <w:szCs w:val="22"/>
          </w:rPr>
          <w:t xml:space="preserve">https://www.tga.gov.au/resources/resource/guidance/ </w:t>
        </w:r>
        <w:proofErr w:type="spellStart"/>
        <w:r w:rsidRPr="00184DF4">
          <w:rPr>
            <w:rStyle w:val="Hyperlink"/>
            <w:rFonts w:asciiTheme="minorHAnsi" w:hAnsiTheme="minorHAnsi" w:cstheme="minorHAnsi"/>
            <w:sz w:val="22"/>
            <w:szCs w:val="22"/>
          </w:rPr>
          <w:t>australian</w:t>
        </w:r>
        <w:proofErr w:type="spellEnd"/>
        <w:r w:rsidRPr="00184DF4">
          <w:rPr>
            <w:rStyle w:val="Hyperlink"/>
            <w:rFonts w:asciiTheme="minorHAnsi" w:hAnsiTheme="minorHAnsi" w:cstheme="minorHAnsi"/>
            <w:sz w:val="22"/>
            <w:szCs w:val="22"/>
          </w:rPr>
          <w:t>-regulatory-guidelines-sunscreens-</w:t>
        </w:r>
        <w:proofErr w:type="spellStart"/>
        <w:r w:rsidRPr="00184DF4">
          <w:rPr>
            <w:rStyle w:val="Hyperlink"/>
            <w:rFonts w:asciiTheme="minorHAnsi" w:hAnsiTheme="minorHAnsi" w:cstheme="minorHAnsi"/>
            <w:sz w:val="22"/>
            <w:szCs w:val="22"/>
          </w:rPr>
          <w:t>args</w:t>
        </w:r>
        <w:proofErr w:type="spellEnd"/>
      </w:hyperlink>
      <w:r w:rsidRPr="00184DF4">
        <w:rPr>
          <w:rFonts w:asciiTheme="minorHAnsi" w:hAnsiTheme="minorHAnsi" w:cstheme="minorHAnsi"/>
          <w:sz w:val="22"/>
          <w:szCs w:val="22"/>
        </w:rPr>
        <w:t xml:space="preserve"> </w:t>
      </w:r>
    </w:p>
    <w:p w14:paraId="6AB53F76"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184DF4">
        <w:rPr>
          <w:rFonts w:asciiTheme="minorHAnsi" w:hAnsiTheme="minorHAnsi" w:cstheme="minorHAnsi"/>
          <w:color w:val="auto"/>
          <w:sz w:val="22"/>
          <w:szCs w:val="22"/>
        </w:rPr>
        <w:t xml:space="preserve">Therapeutic Goods Administration – TGA (2020). Therapeutic Goods (Permissible Ingredients) Determination No. 4. Retrieved from </w:t>
      </w:r>
      <w:hyperlink r:id="rId84" w:history="1">
        <w:r w:rsidRPr="00184DF4">
          <w:rPr>
            <w:rStyle w:val="Hyperlink"/>
            <w:rFonts w:asciiTheme="minorHAnsi" w:hAnsiTheme="minorHAnsi" w:cstheme="minorHAnsi"/>
            <w:sz w:val="22"/>
            <w:szCs w:val="22"/>
          </w:rPr>
          <w:t>https://www.legislation.gov.au/Details/F2020L01612/ Html/Volume_4</w:t>
        </w:r>
      </w:hyperlink>
    </w:p>
    <w:p w14:paraId="465092BF" w14:textId="77777777" w:rsidR="00423137" w:rsidRPr="00184DF4" w:rsidRDefault="00423137" w:rsidP="00423137">
      <w:pPr>
        <w:pStyle w:val="FootnoteText"/>
        <w:spacing w:after="180" w:line="252" w:lineRule="auto"/>
        <w:rPr>
          <w:rFonts w:asciiTheme="minorHAnsi" w:hAnsiTheme="minorHAnsi" w:cstheme="minorHAnsi"/>
          <w:color w:val="auto"/>
          <w:sz w:val="22"/>
          <w:szCs w:val="22"/>
        </w:rPr>
      </w:pPr>
      <w:r w:rsidRPr="00184DF4">
        <w:rPr>
          <w:rFonts w:asciiTheme="minorHAnsi" w:hAnsiTheme="minorHAnsi" w:cstheme="minorHAnsi"/>
          <w:color w:val="auto"/>
          <w:sz w:val="22"/>
          <w:szCs w:val="22"/>
        </w:rPr>
        <w:t xml:space="preserve">Touitou E., &amp; Godin B. (2008). Skin nonpenetrating sunscreens for cosmetic and pharmaceutical formulations. </w:t>
      </w:r>
      <w:r w:rsidRPr="00184DF4">
        <w:rPr>
          <w:rFonts w:asciiTheme="minorHAnsi" w:hAnsiTheme="minorHAnsi" w:cstheme="minorHAnsi"/>
          <w:i/>
          <w:color w:val="auto"/>
          <w:sz w:val="22"/>
          <w:szCs w:val="22"/>
        </w:rPr>
        <w:t>Clinics Dermatol</w:t>
      </w:r>
      <w:r w:rsidRPr="00184DF4">
        <w:rPr>
          <w:rFonts w:asciiTheme="minorHAnsi" w:hAnsiTheme="minorHAnsi" w:cstheme="minorHAnsi"/>
          <w:color w:val="auto"/>
          <w:sz w:val="22"/>
          <w:szCs w:val="22"/>
        </w:rPr>
        <w:t>. 26: 375–379.</w:t>
      </w:r>
    </w:p>
    <w:p w14:paraId="1C1A840D"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184DF4">
        <w:rPr>
          <w:rFonts w:asciiTheme="minorHAnsi" w:hAnsiTheme="minorHAnsi" w:cstheme="minorHAnsi"/>
          <w:color w:val="auto"/>
          <w:sz w:val="22"/>
          <w:szCs w:val="22"/>
        </w:rPr>
        <w:t xml:space="preserve">United States Environmental Protection Agency – US EPA (2011). Exposure Factors Handbook 2011 Edition, EPA/600/R-09/052F, Washington DC. Retrieved from </w:t>
      </w:r>
      <w:hyperlink r:id="rId85" w:history="1">
        <w:r w:rsidRPr="00184DF4">
          <w:rPr>
            <w:rStyle w:val="Hyperlink"/>
            <w:rFonts w:asciiTheme="minorHAnsi" w:hAnsiTheme="minorHAnsi" w:cstheme="minorHAnsi"/>
            <w:sz w:val="22"/>
            <w:szCs w:val="22"/>
          </w:rPr>
          <w:t>https://cfpub.epa.gov/ncea/risk/recordisplay.cfm?deid=236252</w:t>
        </w:r>
      </w:hyperlink>
      <w:r w:rsidRPr="00184DF4">
        <w:rPr>
          <w:rFonts w:asciiTheme="minorHAnsi" w:hAnsiTheme="minorHAnsi" w:cstheme="minorHAnsi"/>
          <w:sz w:val="22"/>
          <w:szCs w:val="22"/>
        </w:rPr>
        <w:t xml:space="preserve">. </w:t>
      </w:r>
    </w:p>
    <w:p w14:paraId="4048B852" w14:textId="77777777" w:rsidR="00423137" w:rsidRPr="00184DF4" w:rsidRDefault="00423137" w:rsidP="00423137">
      <w:pPr>
        <w:pStyle w:val="FootnoteText"/>
        <w:spacing w:after="180" w:line="252" w:lineRule="auto"/>
        <w:rPr>
          <w:rFonts w:asciiTheme="minorHAnsi" w:hAnsiTheme="minorHAnsi" w:cstheme="minorHAnsi"/>
          <w:sz w:val="22"/>
          <w:szCs w:val="22"/>
        </w:rPr>
      </w:pPr>
      <w:r w:rsidRPr="00184DF4">
        <w:rPr>
          <w:rFonts w:asciiTheme="minorHAnsi" w:hAnsiTheme="minorHAnsi" w:cstheme="minorHAnsi"/>
          <w:color w:val="auto"/>
          <w:sz w:val="22"/>
          <w:szCs w:val="22"/>
        </w:rPr>
        <w:t xml:space="preserve">United States Environmental Protection Agency – US EPA (2014). Child-Specific Exposure Scenarios Examples, EPA/600/R-14-217F, Washington DC. Retrieved from </w:t>
      </w:r>
      <w:hyperlink r:id="rId86" w:history="1">
        <w:r w:rsidRPr="00184DF4">
          <w:rPr>
            <w:rStyle w:val="Hyperlink"/>
            <w:rFonts w:asciiTheme="minorHAnsi" w:hAnsiTheme="minorHAnsi" w:cstheme="minorHAnsi"/>
            <w:sz w:val="22"/>
            <w:szCs w:val="22"/>
          </w:rPr>
          <w:t>https://cfpub.epa.gov/ncea/risk/recordisplay.cfm?deid=262211</w:t>
        </w:r>
      </w:hyperlink>
      <w:r w:rsidRPr="00184DF4">
        <w:rPr>
          <w:rFonts w:asciiTheme="minorHAnsi" w:hAnsiTheme="minorHAnsi" w:cstheme="minorHAnsi"/>
          <w:sz w:val="22"/>
          <w:szCs w:val="22"/>
        </w:rPr>
        <w:t xml:space="preserve">. </w:t>
      </w:r>
    </w:p>
    <w:p w14:paraId="40D3F436" w14:textId="77777777" w:rsidR="00423137" w:rsidRPr="00184DF4" w:rsidRDefault="00423137" w:rsidP="00423137">
      <w:pPr>
        <w:pStyle w:val="Standard"/>
        <w:spacing w:after="180"/>
        <w:rPr>
          <w:rFonts w:asciiTheme="minorHAnsi" w:hAnsiTheme="minorHAnsi" w:cstheme="minorHAnsi"/>
          <w:sz w:val="22"/>
        </w:rPr>
      </w:pPr>
      <w:r w:rsidRPr="00184DF4">
        <w:rPr>
          <w:rFonts w:asciiTheme="minorHAnsi" w:hAnsiTheme="minorHAnsi" w:cstheme="minorHAnsi"/>
          <w:sz w:val="22"/>
        </w:rPr>
        <w:t xml:space="preserve">US Food &amp; Drug Administration – FDA (2018). 21 Code of Federal Regulations § 352.10.: 21 C.F.R. § 352.10. Retrieved from </w:t>
      </w:r>
      <w:hyperlink r:id="rId87" w:history="1">
        <w:r w:rsidRPr="00184DF4">
          <w:rPr>
            <w:rStyle w:val="Hyperlink"/>
            <w:rFonts w:asciiTheme="minorHAnsi" w:hAnsiTheme="minorHAnsi" w:cstheme="minorHAnsi"/>
            <w:sz w:val="22"/>
          </w:rPr>
          <w:t>https://www.ecfr.gov/current/title-21/chapter-I/subchapter-D/part-352</w:t>
        </w:r>
      </w:hyperlink>
      <w:r w:rsidRPr="00184DF4">
        <w:rPr>
          <w:rFonts w:asciiTheme="minorHAnsi" w:hAnsiTheme="minorHAnsi" w:cstheme="minorHAnsi"/>
          <w:sz w:val="22"/>
        </w:rPr>
        <w:t xml:space="preserve"> </w:t>
      </w:r>
    </w:p>
    <w:p w14:paraId="1E4C8DF7" w14:textId="77777777" w:rsidR="00423137" w:rsidRPr="00184DF4" w:rsidRDefault="00423137" w:rsidP="00423137">
      <w:pPr>
        <w:pStyle w:val="FootnoteText"/>
        <w:rPr>
          <w:rFonts w:asciiTheme="minorHAnsi" w:hAnsiTheme="minorHAnsi" w:cstheme="minorHAnsi"/>
          <w:sz w:val="22"/>
          <w:szCs w:val="22"/>
        </w:rPr>
      </w:pPr>
      <w:r w:rsidRPr="00184DF4">
        <w:rPr>
          <w:rFonts w:asciiTheme="minorHAnsi" w:hAnsiTheme="minorHAnsi" w:cstheme="minorHAnsi"/>
          <w:color w:val="auto"/>
          <w:sz w:val="22"/>
          <w:szCs w:val="22"/>
        </w:rPr>
        <w:t xml:space="preserve">US Food &amp; Drug Administration – FDA (2019b). Sunscreen drug products for over-the-counter human use: proposed rule (2019). </w:t>
      </w:r>
      <w:r w:rsidRPr="00184DF4">
        <w:rPr>
          <w:rFonts w:asciiTheme="minorHAnsi" w:hAnsiTheme="minorHAnsi" w:cstheme="minorHAnsi"/>
          <w:i/>
          <w:color w:val="auto"/>
          <w:sz w:val="22"/>
          <w:szCs w:val="22"/>
        </w:rPr>
        <w:t xml:space="preserve">Fed. </w:t>
      </w:r>
      <w:proofErr w:type="spellStart"/>
      <w:r w:rsidRPr="00184DF4">
        <w:rPr>
          <w:rFonts w:asciiTheme="minorHAnsi" w:hAnsiTheme="minorHAnsi" w:cstheme="minorHAnsi"/>
          <w:i/>
          <w:color w:val="auto"/>
          <w:sz w:val="22"/>
          <w:szCs w:val="22"/>
        </w:rPr>
        <w:t>Regist</w:t>
      </w:r>
      <w:proofErr w:type="spellEnd"/>
      <w:r w:rsidRPr="00184DF4">
        <w:rPr>
          <w:rFonts w:asciiTheme="minorHAnsi" w:hAnsiTheme="minorHAnsi" w:cstheme="minorHAnsi"/>
          <w:i/>
          <w:color w:val="auto"/>
          <w:sz w:val="22"/>
          <w:szCs w:val="22"/>
        </w:rPr>
        <w:t>.</w:t>
      </w:r>
      <w:r w:rsidRPr="00184DF4">
        <w:rPr>
          <w:rFonts w:asciiTheme="minorHAnsi" w:hAnsiTheme="minorHAnsi" w:cstheme="minorHAnsi"/>
          <w:color w:val="auto"/>
          <w:sz w:val="22"/>
          <w:szCs w:val="22"/>
        </w:rPr>
        <w:t xml:space="preserve"> 84(38):6204–75. Retrieved from </w:t>
      </w:r>
      <w:hyperlink r:id="rId88" w:history="1">
        <w:r w:rsidRPr="00184DF4">
          <w:rPr>
            <w:rStyle w:val="Hyperlink"/>
            <w:rFonts w:asciiTheme="minorHAnsi" w:hAnsiTheme="minorHAnsi" w:cstheme="minorHAnsi"/>
            <w:sz w:val="22"/>
            <w:szCs w:val="22"/>
          </w:rPr>
          <w:t>https://www.federalregister.gov/documents/2019/02/26/2019-03019/sunscreen-drug-products-for-over-the-counter-human-use</w:t>
        </w:r>
      </w:hyperlink>
      <w:r w:rsidRPr="00184DF4">
        <w:rPr>
          <w:rFonts w:asciiTheme="minorHAnsi" w:hAnsiTheme="minorHAnsi" w:cstheme="minorHAnsi"/>
          <w:sz w:val="22"/>
          <w:szCs w:val="22"/>
        </w:rPr>
        <w:t xml:space="preserve"> </w:t>
      </w:r>
    </w:p>
    <w:p w14:paraId="79EF081B" w14:textId="77777777" w:rsidR="00423137" w:rsidRPr="00184DF4" w:rsidRDefault="00423137" w:rsidP="00423137">
      <w:pPr>
        <w:pStyle w:val="FootnoteText"/>
        <w:spacing w:after="180"/>
        <w:rPr>
          <w:rFonts w:asciiTheme="minorHAnsi" w:hAnsiTheme="minorHAnsi" w:cstheme="minorHAnsi"/>
          <w:sz w:val="22"/>
          <w:szCs w:val="22"/>
        </w:rPr>
      </w:pPr>
      <w:r w:rsidRPr="00184DF4">
        <w:rPr>
          <w:rFonts w:asciiTheme="minorHAnsi" w:hAnsiTheme="minorHAnsi" w:cstheme="minorHAnsi"/>
          <w:color w:val="auto"/>
          <w:sz w:val="22"/>
          <w:szCs w:val="22"/>
        </w:rPr>
        <w:t xml:space="preserve">US Food &amp; Drug Administration – FDA (2019c). Food additives: threshold of regulation of ingredients used in food-contract articles: final rule. Retrieved from </w:t>
      </w:r>
      <w:hyperlink r:id="rId89" w:history="1">
        <w:r w:rsidRPr="00184DF4">
          <w:rPr>
            <w:rStyle w:val="Hyperlink"/>
            <w:rFonts w:asciiTheme="minorHAnsi" w:hAnsiTheme="minorHAnsi" w:cstheme="minorHAnsi"/>
            <w:sz w:val="22"/>
            <w:szCs w:val="22"/>
          </w:rPr>
          <w:t>https://www.govinfo.gov/content/pkg/FR-1995-07-17/pdf/95-17435.pdf. Published July 17</w:t>
        </w:r>
      </w:hyperlink>
    </w:p>
    <w:p w14:paraId="6216E9AB" w14:textId="77777777" w:rsidR="00423137" w:rsidRPr="00184DF4" w:rsidRDefault="00423137" w:rsidP="00423137">
      <w:pPr>
        <w:pStyle w:val="Standard"/>
        <w:rPr>
          <w:rFonts w:asciiTheme="minorHAnsi" w:hAnsiTheme="minorHAnsi" w:cstheme="minorHAnsi"/>
          <w:sz w:val="22"/>
        </w:rPr>
      </w:pPr>
      <w:r w:rsidRPr="00184DF4">
        <w:rPr>
          <w:rFonts w:asciiTheme="minorHAnsi" w:hAnsiTheme="minorHAnsi" w:cstheme="minorHAnsi"/>
          <w:sz w:val="22"/>
        </w:rPr>
        <w:t xml:space="preserve">US Food and Drug Administration – FDA (2019a). Maximal Usage Trials for Topically Applied Active Ingredients Being Considered for Inclusion in an Over-The - Counter Monograph: Study Elements and Considerations; Guidance for Industry. Retrieved from </w:t>
      </w:r>
      <w:hyperlink r:id="rId90" w:history="1">
        <w:r w:rsidRPr="00184DF4">
          <w:rPr>
            <w:rStyle w:val="Hyperlink"/>
            <w:rFonts w:asciiTheme="minorHAnsi" w:hAnsiTheme="minorHAnsi" w:cstheme="minorHAnsi"/>
            <w:sz w:val="22"/>
          </w:rPr>
          <w:t>https://www.fda.gov/media/125080/download</w:t>
        </w:r>
      </w:hyperlink>
      <w:r w:rsidRPr="00184DF4">
        <w:rPr>
          <w:rFonts w:asciiTheme="minorHAnsi" w:hAnsiTheme="minorHAnsi" w:cstheme="minorHAnsi"/>
          <w:sz w:val="22"/>
        </w:rPr>
        <w:t xml:space="preserve"> </w:t>
      </w:r>
    </w:p>
    <w:p w14:paraId="240F3AB0" w14:textId="77777777" w:rsidR="00423137" w:rsidRPr="00184DF4" w:rsidRDefault="00423137" w:rsidP="00423137">
      <w:pPr>
        <w:pStyle w:val="FootnoteText"/>
        <w:spacing w:after="180"/>
        <w:rPr>
          <w:rFonts w:asciiTheme="minorHAnsi" w:hAnsiTheme="minorHAnsi" w:cstheme="minorHAnsi"/>
          <w:color w:val="auto"/>
          <w:sz w:val="22"/>
          <w:szCs w:val="22"/>
        </w:rPr>
      </w:pPr>
      <w:r w:rsidRPr="00184DF4">
        <w:rPr>
          <w:rFonts w:asciiTheme="minorHAnsi" w:hAnsiTheme="minorHAnsi" w:cstheme="minorHAnsi"/>
          <w:color w:val="auto"/>
          <w:sz w:val="22"/>
          <w:szCs w:val="22"/>
        </w:rPr>
        <w:t xml:space="preserve">Uter W., Lessmann H., Geier J., IVDK (2017). Is octocrylene a frequent contact allergen? </w:t>
      </w:r>
      <w:r w:rsidRPr="00184DF4">
        <w:rPr>
          <w:rFonts w:asciiTheme="minorHAnsi" w:hAnsiTheme="minorHAnsi" w:cstheme="minorHAnsi"/>
          <w:i/>
          <w:color w:val="auto"/>
          <w:sz w:val="22"/>
          <w:szCs w:val="22"/>
        </w:rPr>
        <w:t>Contact Derm</w:t>
      </w:r>
      <w:r w:rsidRPr="00184DF4">
        <w:rPr>
          <w:rFonts w:asciiTheme="minorHAnsi" w:hAnsiTheme="minorHAnsi" w:cstheme="minorHAnsi"/>
          <w:color w:val="auto"/>
          <w:sz w:val="22"/>
          <w:szCs w:val="22"/>
        </w:rPr>
        <w:t>. 77: 127–128.</w:t>
      </w:r>
    </w:p>
    <w:p w14:paraId="774B252F" w14:textId="77777777" w:rsidR="00423137" w:rsidRPr="00184DF4" w:rsidRDefault="00423137" w:rsidP="00423137">
      <w:pPr>
        <w:pStyle w:val="FootnoteText"/>
        <w:spacing w:after="180"/>
        <w:rPr>
          <w:rFonts w:asciiTheme="minorHAnsi" w:hAnsiTheme="minorHAnsi" w:cstheme="minorHAnsi"/>
          <w:color w:val="auto"/>
          <w:sz w:val="22"/>
          <w:szCs w:val="22"/>
        </w:rPr>
      </w:pPr>
      <w:r w:rsidRPr="00184DF4">
        <w:rPr>
          <w:rFonts w:asciiTheme="minorHAnsi" w:hAnsiTheme="minorHAnsi" w:cstheme="minorHAnsi"/>
          <w:color w:val="auto"/>
          <w:sz w:val="22"/>
          <w:szCs w:val="22"/>
        </w:rPr>
        <w:t xml:space="preserve">Wang J., Pan L., Wu S., Lu L., Xu Y., </w:t>
      </w:r>
      <w:proofErr w:type="spellStart"/>
      <w:proofErr w:type="gramStart"/>
      <w:r w:rsidRPr="00184DF4">
        <w:rPr>
          <w:rFonts w:asciiTheme="minorHAnsi" w:hAnsiTheme="minorHAnsi" w:cstheme="minorHAnsi"/>
          <w:color w:val="auto"/>
          <w:sz w:val="22"/>
          <w:szCs w:val="22"/>
        </w:rPr>
        <w:t>Zhu,Y</w:t>
      </w:r>
      <w:proofErr w:type="spellEnd"/>
      <w:r w:rsidRPr="00184DF4">
        <w:rPr>
          <w:rFonts w:asciiTheme="minorHAnsi" w:hAnsiTheme="minorHAnsi" w:cstheme="minorHAnsi"/>
          <w:color w:val="auto"/>
          <w:sz w:val="22"/>
          <w:szCs w:val="22"/>
        </w:rPr>
        <w:t>.</w:t>
      </w:r>
      <w:proofErr w:type="gramEnd"/>
      <w:r w:rsidRPr="00184DF4">
        <w:rPr>
          <w:rFonts w:asciiTheme="minorHAnsi" w:hAnsiTheme="minorHAnsi" w:cstheme="minorHAnsi"/>
          <w:color w:val="auto"/>
          <w:sz w:val="22"/>
          <w:szCs w:val="22"/>
        </w:rPr>
        <w:t>, Guo M., &amp; Zhuang S. (2016). Recent Advances on Endocrine Disrupting Effects of UV Filters. </w:t>
      </w:r>
      <w:r w:rsidRPr="00184DF4">
        <w:rPr>
          <w:rFonts w:asciiTheme="minorHAnsi" w:hAnsiTheme="minorHAnsi" w:cstheme="minorHAnsi"/>
          <w:i/>
          <w:iCs/>
          <w:color w:val="auto"/>
          <w:sz w:val="22"/>
          <w:szCs w:val="22"/>
        </w:rPr>
        <w:t>Int. J. Environ. Res. Pub. Health</w:t>
      </w:r>
      <w:r w:rsidRPr="00184DF4">
        <w:rPr>
          <w:rFonts w:asciiTheme="minorHAnsi" w:hAnsiTheme="minorHAnsi" w:cstheme="minorHAnsi"/>
          <w:color w:val="auto"/>
          <w:sz w:val="22"/>
          <w:szCs w:val="22"/>
        </w:rPr>
        <w:t>. </w:t>
      </w:r>
      <w:r w:rsidRPr="00184DF4">
        <w:rPr>
          <w:rFonts w:asciiTheme="minorHAnsi" w:hAnsiTheme="minorHAnsi" w:cstheme="minorHAnsi"/>
          <w:iCs/>
          <w:color w:val="auto"/>
          <w:sz w:val="22"/>
          <w:szCs w:val="22"/>
        </w:rPr>
        <w:t>13</w:t>
      </w:r>
      <w:r w:rsidRPr="00184DF4">
        <w:rPr>
          <w:rFonts w:asciiTheme="minorHAnsi" w:hAnsiTheme="minorHAnsi" w:cstheme="minorHAnsi"/>
          <w:color w:val="auto"/>
          <w:sz w:val="22"/>
          <w:szCs w:val="22"/>
        </w:rPr>
        <w:t xml:space="preserve">(8): 782. </w:t>
      </w:r>
    </w:p>
    <w:p w14:paraId="18DE8592" w14:textId="77777777" w:rsidR="00423137" w:rsidRPr="00184DF4" w:rsidRDefault="00423137" w:rsidP="00423137">
      <w:pPr>
        <w:spacing w:after="180" w:line="240" w:lineRule="atLeast"/>
        <w:rPr>
          <w:rFonts w:asciiTheme="minorHAnsi" w:hAnsiTheme="minorHAnsi" w:cstheme="minorHAnsi"/>
          <w:sz w:val="22"/>
          <w:szCs w:val="22"/>
        </w:rPr>
      </w:pPr>
      <w:r w:rsidRPr="00184DF4">
        <w:rPr>
          <w:rFonts w:asciiTheme="minorHAnsi" w:hAnsiTheme="minorHAnsi" w:cstheme="minorHAnsi"/>
          <w:sz w:val="22"/>
          <w:szCs w:val="22"/>
        </w:rPr>
        <w:t xml:space="preserve">Weiss V., Gobec M. &amp; Jakopin Ž. (2023). In vitro investigation of immunomodulatory activities of selected UV-filters. </w:t>
      </w:r>
      <w:r w:rsidRPr="00184DF4">
        <w:rPr>
          <w:rFonts w:asciiTheme="minorHAnsi" w:hAnsiTheme="minorHAnsi" w:cstheme="minorHAnsi"/>
          <w:i/>
          <w:iCs/>
          <w:sz w:val="22"/>
          <w:szCs w:val="22"/>
        </w:rPr>
        <w:t xml:space="preserve">Food Chem. </w:t>
      </w:r>
      <w:proofErr w:type="spellStart"/>
      <w:r w:rsidRPr="00184DF4">
        <w:rPr>
          <w:rFonts w:asciiTheme="minorHAnsi" w:hAnsiTheme="minorHAnsi" w:cstheme="minorHAnsi"/>
          <w:i/>
          <w:iCs/>
          <w:sz w:val="22"/>
          <w:szCs w:val="22"/>
        </w:rPr>
        <w:t>Toxicol</w:t>
      </w:r>
      <w:proofErr w:type="spellEnd"/>
      <w:r w:rsidRPr="00184DF4">
        <w:rPr>
          <w:rFonts w:asciiTheme="minorHAnsi" w:hAnsiTheme="minorHAnsi" w:cstheme="minorHAnsi"/>
          <w:i/>
          <w:iCs/>
          <w:sz w:val="22"/>
          <w:szCs w:val="22"/>
        </w:rPr>
        <w:t>.</w:t>
      </w:r>
      <w:r w:rsidRPr="00184DF4">
        <w:rPr>
          <w:rFonts w:asciiTheme="minorHAnsi" w:hAnsiTheme="minorHAnsi" w:cstheme="minorHAnsi"/>
          <w:sz w:val="22"/>
          <w:szCs w:val="22"/>
        </w:rPr>
        <w:t xml:space="preserve"> 174: 113684.</w:t>
      </w:r>
    </w:p>
    <w:p w14:paraId="2BB6F181" w14:textId="77777777" w:rsidR="00423137" w:rsidRPr="00184DF4" w:rsidRDefault="00423137" w:rsidP="00423137">
      <w:pPr>
        <w:spacing w:after="180" w:line="240" w:lineRule="atLeast"/>
        <w:rPr>
          <w:rFonts w:asciiTheme="minorHAnsi" w:hAnsiTheme="minorHAnsi" w:cstheme="minorHAnsi"/>
          <w:sz w:val="22"/>
          <w:szCs w:val="22"/>
        </w:rPr>
      </w:pPr>
      <w:r w:rsidRPr="00184DF4">
        <w:rPr>
          <w:rFonts w:asciiTheme="minorHAnsi" w:hAnsiTheme="minorHAnsi" w:cstheme="minorHAnsi"/>
          <w:sz w:val="22"/>
          <w:szCs w:val="22"/>
        </w:rPr>
        <w:t>Xu M., Zheng D., &amp; Gong S. (2021). Effects of Low Concentration Benzophenone-3 Exposure on the sex ratio and offspring development of zebrafish (</w:t>
      </w:r>
      <w:r w:rsidRPr="00184DF4">
        <w:rPr>
          <w:rFonts w:asciiTheme="minorHAnsi" w:hAnsiTheme="minorHAnsi" w:cstheme="minorHAnsi"/>
          <w:i/>
          <w:iCs/>
          <w:sz w:val="22"/>
          <w:szCs w:val="22"/>
        </w:rPr>
        <w:t>Danio rerio</w:t>
      </w:r>
      <w:r w:rsidRPr="00184DF4">
        <w:rPr>
          <w:rFonts w:asciiTheme="minorHAnsi" w:hAnsiTheme="minorHAnsi" w:cstheme="minorHAnsi"/>
          <w:sz w:val="22"/>
          <w:szCs w:val="22"/>
        </w:rPr>
        <w:t xml:space="preserve">). </w:t>
      </w:r>
      <w:r w:rsidRPr="00184DF4">
        <w:rPr>
          <w:rFonts w:asciiTheme="minorHAnsi" w:hAnsiTheme="minorHAnsi" w:cstheme="minorHAnsi"/>
          <w:i/>
          <w:iCs/>
          <w:sz w:val="22"/>
          <w:szCs w:val="22"/>
        </w:rPr>
        <w:t xml:space="preserve">Bull. Environ. </w:t>
      </w:r>
      <w:proofErr w:type="spellStart"/>
      <w:r w:rsidRPr="00184DF4">
        <w:rPr>
          <w:rFonts w:asciiTheme="minorHAnsi" w:hAnsiTheme="minorHAnsi" w:cstheme="minorHAnsi"/>
          <w:i/>
          <w:iCs/>
          <w:sz w:val="22"/>
          <w:szCs w:val="22"/>
        </w:rPr>
        <w:t>Contam</w:t>
      </w:r>
      <w:proofErr w:type="spellEnd"/>
      <w:r w:rsidRPr="00184DF4">
        <w:rPr>
          <w:rFonts w:asciiTheme="minorHAnsi" w:hAnsiTheme="minorHAnsi" w:cstheme="minorHAnsi"/>
          <w:i/>
          <w:iCs/>
          <w:sz w:val="22"/>
          <w:szCs w:val="22"/>
        </w:rPr>
        <w:t xml:space="preserve">. </w:t>
      </w:r>
      <w:proofErr w:type="spellStart"/>
      <w:r w:rsidRPr="00184DF4">
        <w:rPr>
          <w:rFonts w:asciiTheme="minorHAnsi" w:hAnsiTheme="minorHAnsi" w:cstheme="minorHAnsi"/>
          <w:i/>
          <w:iCs/>
          <w:sz w:val="22"/>
          <w:szCs w:val="22"/>
        </w:rPr>
        <w:t>Toxicol</w:t>
      </w:r>
      <w:proofErr w:type="spellEnd"/>
      <w:r w:rsidRPr="00184DF4">
        <w:rPr>
          <w:rFonts w:asciiTheme="minorHAnsi" w:hAnsiTheme="minorHAnsi" w:cstheme="minorHAnsi"/>
          <w:i/>
          <w:iCs/>
          <w:sz w:val="22"/>
          <w:szCs w:val="22"/>
        </w:rPr>
        <w:t>.</w:t>
      </w:r>
      <w:r w:rsidRPr="00184DF4">
        <w:rPr>
          <w:rFonts w:asciiTheme="minorHAnsi" w:hAnsiTheme="minorHAnsi" w:cstheme="minorHAnsi"/>
          <w:sz w:val="22"/>
          <w:szCs w:val="22"/>
        </w:rPr>
        <w:t xml:space="preserve"> 106: 740–746.</w:t>
      </w:r>
    </w:p>
    <w:p w14:paraId="245BB5EF" w14:textId="77777777" w:rsidR="00423137" w:rsidRPr="00184DF4" w:rsidRDefault="00423137" w:rsidP="00423137">
      <w:pPr>
        <w:pStyle w:val="FootnoteText"/>
        <w:spacing w:after="180" w:line="252" w:lineRule="auto"/>
        <w:rPr>
          <w:rFonts w:asciiTheme="minorHAnsi" w:hAnsiTheme="minorHAnsi" w:cstheme="minorHAnsi"/>
          <w:color w:val="auto"/>
          <w:sz w:val="22"/>
          <w:szCs w:val="22"/>
        </w:rPr>
      </w:pPr>
      <w:r w:rsidRPr="00184DF4">
        <w:rPr>
          <w:rFonts w:asciiTheme="minorHAnsi" w:hAnsiTheme="minorHAnsi" w:cstheme="minorHAnsi"/>
          <w:color w:val="auto"/>
          <w:sz w:val="22"/>
          <w:szCs w:val="22"/>
        </w:rPr>
        <w:t xml:space="preserve">Yang </w:t>
      </w:r>
      <w:r w:rsidRPr="00184DF4">
        <w:rPr>
          <w:rFonts w:asciiTheme="minorHAnsi" w:hAnsiTheme="minorHAnsi" w:cstheme="minorHAnsi"/>
          <w:i/>
          <w:color w:val="auto"/>
          <w:sz w:val="22"/>
          <w:szCs w:val="22"/>
        </w:rPr>
        <w:t>et al.</w:t>
      </w:r>
      <w:r w:rsidRPr="00184DF4">
        <w:rPr>
          <w:rFonts w:asciiTheme="minorHAnsi" w:hAnsiTheme="minorHAnsi" w:cstheme="minorHAnsi"/>
          <w:color w:val="auto"/>
          <w:sz w:val="22"/>
          <w:szCs w:val="22"/>
        </w:rPr>
        <w:t xml:space="preserve"> (2018). Homosalate aggravates the invasion of human trophoblast cells as well as regulates intracellular </w:t>
      </w:r>
      <w:proofErr w:type="spellStart"/>
      <w:r w:rsidRPr="00184DF4">
        <w:rPr>
          <w:rFonts w:asciiTheme="minorHAnsi" w:hAnsiTheme="minorHAnsi" w:cstheme="minorHAnsi"/>
          <w:color w:val="auto"/>
          <w:sz w:val="22"/>
          <w:szCs w:val="22"/>
        </w:rPr>
        <w:t>signaling</w:t>
      </w:r>
      <w:proofErr w:type="spellEnd"/>
      <w:r w:rsidRPr="00184DF4">
        <w:rPr>
          <w:rFonts w:asciiTheme="minorHAnsi" w:hAnsiTheme="minorHAnsi" w:cstheme="minorHAnsi"/>
          <w:color w:val="auto"/>
          <w:sz w:val="22"/>
          <w:szCs w:val="22"/>
        </w:rPr>
        <w:t xml:space="preserve"> pathways including PI3K/AKT and MAPK pathways. </w:t>
      </w:r>
      <w:r w:rsidRPr="00184DF4">
        <w:rPr>
          <w:rFonts w:asciiTheme="minorHAnsi" w:hAnsiTheme="minorHAnsi" w:cstheme="minorHAnsi"/>
          <w:i/>
          <w:color w:val="auto"/>
          <w:sz w:val="22"/>
          <w:szCs w:val="22"/>
        </w:rPr>
        <w:t xml:space="preserve">Environ. </w:t>
      </w:r>
      <w:proofErr w:type="spellStart"/>
      <w:r w:rsidRPr="00184DF4">
        <w:rPr>
          <w:rFonts w:asciiTheme="minorHAnsi" w:hAnsiTheme="minorHAnsi" w:cstheme="minorHAnsi"/>
          <w:i/>
          <w:color w:val="auto"/>
          <w:sz w:val="22"/>
          <w:szCs w:val="22"/>
        </w:rPr>
        <w:t>Pollut</w:t>
      </w:r>
      <w:proofErr w:type="spellEnd"/>
      <w:r w:rsidRPr="00184DF4">
        <w:rPr>
          <w:rFonts w:asciiTheme="minorHAnsi" w:hAnsiTheme="minorHAnsi" w:cstheme="minorHAnsi"/>
          <w:i/>
          <w:color w:val="auto"/>
          <w:sz w:val="22"/>
          <w:szCs w:val="22"/>
        </w:rPr>
        <w:t>.</w:t>
      </w:r>
      <w:r w:rsidRPr="00184DF4">
        <w:rPr>
          <w:rFonts w:asciiTheme="minorHAnsi" w:hAnsiTheme="minorHAnsi" w:cstheme="minorHAnsi"/>
          <w:color w:val="auto"/>
          <w:sz w:val="22"/>
          <w:szCs w:val="22"/>
        </w:rPr>
        <w:t xml:space="preserve"> 243: 1263–1273.</w:t>
      </w:r>
    </w:p>
    <w:p w14:paraId="6D5F6405" w14:textId="77777777" w:rsidR="00423137" w:rsidRPr="00184DF4" w:rsidRDefault="00423137" w:rsidP="00423137">
      <w:pPr>
        <w:pStyle w:val="FootnoteText"/>
        <w:spacing w:after="180" w:line="252" w:lineRule="auto"/>
        <w:rPr>
          <w:rFonts w:asciiTheme="minorHAnsi" w:hAnsiTheme="minorHAnsi" w:cstheme="minorHAnsi"/>
          <w:color w:val="auto"/>
          <w:sz w:val="22"/>
          <w:szCs w:val="22"/>
        </w:rPr>
      </w:pPr>
      <w:r w:rsidRPr="00184DF4">
        <w:rPr>
          <w:rFonts w:asciiTheme="minorHAnsi" w:hAnsiTheme="minorHAnsi" w:cstheme="minorHAnsi"/>
          <w:color w:val="auto"/>
          <w:sz w:val="22"/>
          <w:szCs w:val="22"/>
        </w:rPr>
        <w:t xml:space="preserve">Yap F.H., Chua H.C., &amp; Tait C.P. (2017). Active sunscreen ingredients in Australia. </w:t>
      </w:r>
      <w:proofErr w:type="spellStart"/>
      <w:r w:rsidRPr="00184DF4">
        <w:rPr>
          <w:rFonts w:asciiTheme="minorHAnsi" w:hAnsiTheme="minorHAnsi" w:cstheme="minorHAnsi"/>
          <w:i/>
          <w:iCs/>
          <w:color w:val="auto"/>
          <w:sz w:val="22"/>
          <w:szCs w:val="22"/>
        </w:rPr>
        <w:t>Australas</w:t>
      </w:r>
      <w:proofErr w:type="spellEnd"/>
      <w:r w:rsidRPr="00184DF4">
        <w:rPr>
          <w:rFonts w:asciiTheme="minorHAnsi" w:hAnsiTheme="minorHAnsi" w:cstheme="minorHAnsi"/>
          <w:i/>
          <w:iCs/>
          <w:color w:val="auto"/>
          <w:sz w:val="22"/>
          <w:szCs w:val="22"/>
        </w:rPr>
        <w:t>. J. Dermatol.</w:t>
      </w:r>
      <w:r w:rsidRPr="00184DF4">
        <w:rPr>
          <w:rFonts w:asciiTheme="minorHAnsi" w:hAnsiTheme="minorHAnsi" w:cstheme="minorHAnsi"/>
          <w:color w:val="auto"/>
          <w:sz w:val="22"/>
          <w:szCs w:val="22"/>
        </w:rPr>
        <w:t xml:space="preserve"> 58: e160–e170. </w:t>
      </w:r>
    </w:p>
    <w:p w14:paraId="7F8CF79E" w14:textId="77777777" w:rsidR="00423137" w:rsidRPr="00184DF4" w:rsidRDefault="00423137" w:rsidP="00423137">
      <w:pPr>
        <w:pStyle w:val="FootnoteText"/>
        <w:spacing w:after="180" w:line="252" w:lineRule="auto"/>
        <w:rPr>
          <w:rFonts w:asciiTheme="minorHAnsi" w:hAnsiTheme="minorHAnsi" w:cstheme="minorHAnsi"/>
          <w:i/>
          <w:color w:val="auto"/>
          <w:sz w:val="22"/>
          <w:szCs w:val="22"/>
        </w:rPr>
      </w:pPr>
      <w:r w:rsidRPr="00184DF4">
        <w:rPr>
          <w:rFonts w:asciiTheme="minorHAnsi" w:hAnsiTheme="minorHAnsi" w:cstheme="minorHAnsi"/>
          <w:color w:val="auto"/>
          <w:sz w:val="22"/>
          <w:szCs w:val="22"/>
        </w:rPr>
        <w:t xml:space="preserve">Yazar S., &amp; </w:t>
      </w:r>
      <w:proofErr w:type="spellStart"/>
      <w:r w:rsidRPr="00184DF4">
        <w:rPr>
          <w:rFonts w:asciiTheme="minorHAnsi" w:hAnsiTheme="minorHAnsi" w:cstheme="minorHAnsi"/>
          <w:color w:val="auto"/>
          <w:sz w:val="22"/>
          <w:szCs w:val="22"/>
        </w:rPr>
        <w:t>Gökçke</w:t>
      </w:r>
      <w:proofErr w:type="spellEnd"/>
      <w:r w:rsidRPr="00184DF4">
        <w:rPr>
          <w:rFonts w:asciiTheme="minorHAnsi" w:hAnsiTheme="minorHAnsi" w:cstheme="minorHAnsi"/>
          <w:color w:val="auto"/>
          <w:sz w:val="22"/>
          <w:szCs w:val="22"/>
        </w:rPr>
        <w:t xml:space="preserve"> Y. (2018). Assessment of in vitro genotoxicity effect of homosalate in cosmetics. </w:t>
      </w:r>
      <w:r w:rsidRPr="00184DF4">
        <w:rPr>
          <w:rFonts w:asciiTheme="minorHAnsi" w:hAnsiTheme="minorHAnsi" w:cstheme="minorHAnsi"/>
          <w:i/>
          <w:color w:val="auto"/>
          <w:sz w:val="22"/>
          <w:szCs w:val="22"/>
        </w:rPr>
        <w:t xml:space="preserve">Marmara Pharma. J. </w:t>
      </w:r>
      <w:r w:rsidRPr="00184DF4">
        <w:rPr>
          <w:rFonts w:asciiTheme="minorHAnsi" w:hAnsiTheme="minorHAnsi" w:cstheme="minorHAnsi"/>
          <w:color w:val="auto"/>
          <w:sz w:val="22"/>
          <w:szCs w:val="22"/>
        </w:rPr>
        <w:t>22: 436-442.</w:t>
      </w:r>
      <w:r w:rsidRPr="00184DF4">
        <w:rPr>
          <w:rFonts w:asciiTheme="minorHAnsi" w:hAnsiTheme="minorHAnsi" w:cstheme="minorHAnsi"/>
          <w:i/>
          <w:color w:val="auto"/>
          <w:sz w:val="22"/>
          <w:szCs w:val="22"/>
        </w:rPr>
        <w:t xml:space="preserve"> </w:t>
      </w:r>
    </w:p>
    <w:p w14:paraId="5E046680" w14:textId="77777777" w:rsidR="00423137" w:rsidRPr="00184DF4" w:rsidRDefault="00423137" w:rsidP="00423137">
      <w:pPr>
        <w:pStyle w:val="FootnoteText"/>
        <w:spacing w:after="180" w:line="252" w:lineRule="auto"/>
        <w:rPr>
          <w:rFonts w:asciiTheme="minorHAnsi" w:hAnsiTheme="minorHAnsi" w:cstheme="minorHAnsi"/>
          <w:color w:val="auto"/>
          <w:sz w:val="22"/>
          <w:szCs w:val="22"/>
        </w:rPr>
      </w:pPr>
      <w:r w:rsidRPr="00184DF4">
        <w:rPr>
          <w:rFonts w:asciiTheme="minorHAnsi" w:hAnsiTheme="minorHAnsi" w:cstheme="minorHAnsi"/>
          <w:color w:val="auto"/>
          <w:sz w:val="22"/>
          <w:szCs w:val="22"/>
        </w:rPr>
        <w:t xml:space="preserve">Yazar S., &amp; </w:t>
      </w:r>
      <w:proofErr w:type="spellStart"/>
      <w:r w:rsidRPr="00184DF4">
        <w:rPr>
          <w:rFonts w:asciiTheme="minorHAnsi" w:hAnsiTheme="minorHAnsi" w:cstheme="minorHAnsi"/>
          <w:color w:val="auto"/>
          <w:sz w:val="22"/>
          <w:szCs w:val="22"/>
        </w:rPr>
        <w:t>Krtekin</w:t>
      </w:r>
      <w:proofErr w:type="spellEnd"/>
      <w:r w:rsidRPr="00184DF4">
        <w:rPr>
          <w:rFonts w:asciiTheme="minorHAnsi" w:hAnsiTheme="minorHAnsi" w:cstheme="minorHAnsi"/>
          <w:color w:val="auto"/>
          <w:sz w:val="22"/>
          <w:szCs w:val="22"/>
        </w:rPr>
        <w:t xml:space="preserve"> S.K. (2019). Assessment of the cytotoxicity and genotoxicity of homosalate in MCF</w:t>
      </w:r>
      <w:r w:rsidRPr="00184DF4">
        <w:rPr>
          <w:rFonts w:ascii="Cambria Math" w:hAnsi="Cambria Math" w:cs="Cambria Math"/>
          <w:color w:val="auto"/>
          <w:sz w:val="22"/>
          <w:szCs w:val="22"/>
        </w:rPr>
        <w:t>‐</w:t>
      </w:r>
      <w:r w:rsidRPr="00184DF4">
        <w:rPr>
          <w:rFonts w:asciiTheme="minorHAnsi" w:hAnsiTheme="minorHAnsi" w:cstheme="minorHAnsi"/>
          <w:color w:val="auto"/>
          <w:sz w:val="22"/>
          <w:szCs w:val="22"/>
        </w:rPr>
        <w:t>7. S</w:t>
      </w:r>
      <w:r w:rsidRPr="00184DF4">
        <w:rPr>
          <w:rFonts w:asciiTheme="minorHAnsi" w:hAnsiTheme="minorHAnsi" w:cstheme="minorHAnsi"/>
          <w:i/>
          <w:color w:val="auto"/>
          <w:sz w:val="22"/>
          <w:szCs w:val="22"/>
        </w:rPr>
        <w:t>. J. Cosmetic Dermatol</w:t>
      </w:r>
      <w:r w:rsidRPr="00184DF4">
        <w:rPr>
          <w:rFonts w:asciiTheme="minorHAnsi" w:hAnsiTheme="minorHAnsi" w:cstheme="minorHAnsi"/>
          <w:color w:val="auto"/>
          <w:sz w:val="22"/>
          <w:szCs w:val="22"/>
        </w:rPr>
        <w:t>. 19: 246-252.</w:t>
      </w:r>
    </w:p>
    <w:p w14:paraId="69DD3150" w14:textId="77777777" w:rsidR="00423137" w:rsidRPr="00184DF4" w:rsidRDefault="00423137" w:rsidP="00423137">
      <w:pPr>
        <w:pStyle w:val="FootnoteText"/>
        <w:spacing w:after="180" w:line="252" w:lineRule="auto"/>
        <w:rPr>
          <w:rFonts w:asciiTheme="minorHAnsi" w:hAnsiTheme="minorHAnsi" w:cstheme="minorHAnsi"/>
          <w:color w:val="auto"/>
          <w:sz w:val="22"/>
          <w:szCs w:val="22"/>
        </w:rPr>
      </w:pPr>
      <w:r w:rsidRPr="00184DF4">
        <w:rPr>
          <w:rFonts w:asciiTheme="minorHAnsi" w:hAnsiTheme="minorHAnsi" w:cstheme="minorHAnsi"/>
          <w:color w:val="auto"/>
          <w:sz w:val="22"/>
          <w:szCs w:val="22"/>
        </w:rPr>
        <w:t xml:space="preserve">Yener G., </w:t>
      </w:r>
      <w:r w:rsidRPr="00184DF4">
        <w:rPr>
          <w:rFonts w:asciiTheme="minorHAnsi" w:hAnsiTheme="minorHAnsi" w:cstheme="minorHAnsi"/>
          <w:i/>
          <w:color w:val="auto"/>
          <w:sz w:val="22"/>
          <w:szCs w:val="22"/>
        </w:rPr>
        <w:t>et al.</w:t>
      </w:r>
      <w:r w:rsidRPr="00184DF4">
        <w:rPr>
          <w:rFonts w:asciiTheme="minorHAnsi" w:hAnsiTheme="minorHAnsi" w:cstheme="minorHAnsi"/>
          <w:color w:val="auto"/>
          <w:sz w:val="22"/>
          <w:szCs w:val="22"/>
        </w:rPr>
        <w:t xml:space="preserve"> (2003). Importance of using lipid microspheres as carriers for UV filters on the example octyl methoxy cinnamate. </w:t>
      </w:r>
      <w:r w:rsidRPr="00184DF4">
        <w:rPr>
          <w:rFonts w:asciiTheme="minorHAnsi" w:hAnsiTheme="minorHAnsi" w:cstheme="minorHAnsi"/>
          <w:i/>
          <w:color w:val="auto"/>
          <w:sz w:val="22"/>
          <w:szCs w:val="22"/>
        </w:rPr>
        <w:t>Int. J. Pharmaceutics.</w:t>
      </w:r>
      <w:r w:rsidRPr="00184DF4">
        <w:rPr>
          <w:rFonts w:asciiTheme="minorHAnsi" w:hAnsiTheme="minorHAnsi" w:cstheme="minorHAnsi"/>
          <w:color w:val="auto"/>
          <w:sz w:val="22"/>
          <w:szCs w:val="22"/>
        </w:rPr>
        <w:t xml:space="preserve"> 258: 203-207. </w:t>
      </w:r>
    </w:p>
    <w:p w14:paraId="65B9AAB8" w14:textId="77777777" w:rsidR="00423137" w:rsidRPr="00184DF4" w:rsidRDefault="00423137" w:rsidP="00423137">
      <w:pPr>
        <w:rPr>
          <w:rFonts w:asciiTheme="minorHAnsi" w:hAnsiTheme="minorHAnsi" w:cstheme="minorHAnsi"/>
          <w:sz w:val="22"/>
          <w:szCs w:val="22"/>
        </w:rPr>
      </w:pPr>
      <w:r w:rsidRPr="00184DF4">
        <w:rPr>
          <w:rFonts w:asciiTheme="minorHAnsi" w:hAnsiTheme="minorHAnsi" w:cstheme="minorHAnsi"/>
          <w:sz w:val="22"/>
          <w:szCs w:val="22"/>
        </w:rPr>
        <w:t xml:space="preserve">Zhang X.Y., Jiao X.F., Wu D., Chen F., Ding Z.M., Wang Y.S. et al. (2022). Benzophenone-3 breaches mouse Sertoli cell barrier and alters F-actin organization without evoking apoptosis. </w:t>
      </w:r>
      <w:r w:rsidRPr="00184DF4">
        <w:rPr>
          <w:rFonts w:asciiTheme="minorHAnsi" w:hAnsiTheme="minorHAnsi" w:cstheme="minorHAnsi"/>
          <w:i/>
          <w:iCs/>
          <w:sz w:val="22"/>
          <w:szCs w:val="22"/>
        </w:rPr>
        <w:t xml:space="preserve">Environ. </w:t>
      </w:r>
      <w:proofErr w:type="spellStart"/>
      <w:r w:rsidRPr="00184DF4">
        <w:rPr>
          <w:rFonts w:asciiTheme="minorHAnsi" w:hAnsiTheme="minorHAnsi" w:cstheme="minorHAnsi"/>
          <w:i/>
          <w:iCs/>
          <w:sz w:val="22"/>
          <w:szCs w:val="22"/>
        </w:rPr>
        <w:t>Toxicol</w:t>
      </w:r>
      <w:proofErr w:type="spellEnd"/>
      <w:r w:rsidRPr="00184DF4">
        <w:rPr>
          <w:rFonts w:asciiTheme="minorHAnsi" w:hAnsiTheme="minorHAnsi" w:cstheme="minorHAnsi"/>
          <w:i/>
          <w:iCs/>
          <w:sz w:val="22"/>
          <w:szCs w:val="22"/>
        </w:rPr>
        <w:t>.</w:t>
      </w:r>
      <w:r w:rsidRPr="00184DF4">
        <w:rPr>
          <w:rFonts w:asciiTheme="minorHAnsi" w:hAnsiTheme="minorHAnsi" w:cstheme="minorHAnsi"/>
          <w:sz w:val="22"/>
          <w:szCs w:val="22"/>
        </w:rPr>
        <w:t xml:space="preserve"> 37: 28–40.</w:t>
      </w:r>
    </w:p>
    <w:p w14:paraId="7A80146A" w14:textId="77777777" w:rsidR="00423137" w:rsidRPr="00423137" w:rsidRDefault="00423137" w:rsidP="00423137"/>
    <w:p w14:paraId="70710770" w14:textId="77777777" w:rsidR="00B528AB" w:rsidRDefault="00B528AB" w:rsidP="00DD3815">
      <w:pPr>
        <w:pStyle w:val="LegalSubheading"/>
        <w:rPr>
          <w:b/>
          <w:bCs/>
        </w:rPr>
        <w:sectPr w:rsidR="00B528AB" w:rsidSect="00537B47">
          <w:headerReference w:type="default" r:id="rId91"/>
          <w:footerReference w:type="default" r:id="rId92"/>
          <w:headerReference w:type="first" r:id="rId93"/>
          <w:footerReference w:type="first" r:id="rId94"/>
          <w:pgSz w:w="11906" w:h="16838"/>
          <w:pgMar w:top="1440" w:right="1440" w:bottom="1440" w:left="1440" w:header="708" w:footer="708" w:gutter="0"/>
          <w:cols w:space="708"/>
          <w:titlePg/>
          <w:docGrid w:linePitch="360"/>
        </w:sectPr>
      </w:pPr>
    </w:p>
    <w:p w14:paraId="3B3741E8" w14:textId="77777777" w:rsidR="00B528AB" w:rsidRPr="00DD3815" w:rsidRDefault="00B528AB" w:rsidP="00423137">
      <w:pPr>
        <w:pStyle w:val="LegalSubheading"/>
        <w:rPr>
          <w:b/>
          <w:bCs/>
        </w:rPr>
      </w:pPr>
    </w:p>
    <w:sectPr w:rsidR="00B528AB" w:rsidRPr="00DD3815" w:rsidSect="00537B47">
      <w:headerReference w:type="first" r:id="rId95"/>
      <w:footerReference w:type="first" r:id="rId9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2443" w14:textId="77777777" w:rsidR="00FA32DF" w:rsidRDefault="00FA32DF" w:rsidP="00537B47">
      <w:pPr>
        <w:spacing w:after="0" w:line="240" w:lineRule="auto"/>
      </w:pPr>
      <w:r>
        <w:separator/>
      </w:r>
    </w:p>
  </w:endnote>
  <w:endnote w:type="continuationSeparator" w:id="0">
    <w:p w14:paraId="5A0E7A5A" w14:textId="77777777" w:rsidR="00FA32DF" w:rsidRDefault="00FA32DF"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OT863180fb">
    <w:altName w:val="Cambria"/>
    <w:panose1 w:val="00000000000000000000"/>
    <w:charset w:val="00"/>
    <w:family w:val="roman"/>
    <w:notTrueType/>
    <w:pitch w:val="default"/>
    <w:sig w:usb0="00000003" w:usb1="00000000" w:usb2="00000000" w:usb3="00000000" w:csb0="00000001" w:csb1="00000000"/>
  </w:font>
  <w:font w:name="CharisSIL">
    <w:altName w:val="Yu Gothic"/>
    <w:panose1 w:val="00000000000000000000"/>
    <w:charset w:val="80"/>
    <w:family w:val="swiss"/>
    <w:notTrueType/>
    <w:pitch w:val="default"/>
    <w:sig w:usb0="00000003" w:usb1="08070000" w:usb2="00000010" w:usb3="00000000" w:csb0="00020001" w:csb1="00000000"/>
  </w:font>
  <w:font w:name="CIDFont+F2">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7038" w14:textId="008E14B0"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6BD44511" wp14:editId="496A7E22">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A417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026EBE" w:rsidRPr="008466F9">
      <w:t>Literature search and summaries of seven sunscreen active ingredients</w:t>
    </w:r>
    <w:r w:rsidR="00DD3815" w:rsidRPr="00DD3815">
      <w:t xml:space="preserve"> </w:t>
    </w:r>
    <w:r w:rsidR="00DD3815" w:rsidRPr="00DD3815">
      <w:tab/>
      <w:t xml:space="preserve">Page </w:t>
    </w:r>
    <w:r w:rsidR="00DD3815" w:rsidRPr="00DD3815">
      <w:fldChar w:fldCharType="begin"/>
    </w:r>
    <w:r w:rsidR="00DD3815" w:rsidRPr="00DD3815">
      <w:instrText xml:space="preserve"> PAGE  \* Arabic  \* MERGEFORMAT </w:instrText>
    </w:r>
    <w:r w:rsidR="00DD3815" w:rsidRPr="00DD3815">
      <w:fldChar w:fldCharType="separate"/>
    </w:r>
    <w:r w:rsidR="00DD3815" w:rsidRPr="00DD3815">
      <w:t>1</w:t>
    </w:r>
    <w:r w:rsidR="00DD3815" w:rsidRPr="00DD3815">
      <w:fldChar w:fldCharType="end"/>
    </w:r>
    <w:r w:rsidR="00DD3815" w:rsidRPr="00DD3815">
      <w:t xml:space="preserve"> of </w:t>
    </w:r>
    <w:fldSimple w:instr=" NUMPAGES  \* Arabic  \* MERGEFORMAT ">
      <w:r w:rsidR="00DD3815"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36185"/>
      <w:showingPlcHdr/>
      <w:picture/>
    </w:sdtPr>
    <w:sdtEndPr/>
    <w:sdtContent>
      <w:p w14:paraId="1DD7697D" w14:textId="77777777" w:rsidR="00537B47" w:rsidRDefault="00977F26">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583F968E" wp14:editId="1A7FBC20">
              <wp:simplePos x="0" y="0"/>
              <wp:positionH relativeFrom="column">
                <wp:posOffset>-918210</wp:posOffset>
              </wp:positionH>
              <wp:positionV relativeFrom="paragraph">
                <wp:posOffset>-4500880</wp:posOffset>
              </wp:positionV>
              <wp:extent cx="7567200" cy="5076000"/>
              <wp:effectExtent l="0" t="0" r="0" b="0"/>
              <wp:wrapNone/>
              <wp:docPr id="1676112422" name="Picture 167611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5DE059B5" w14:textId="77777777" w:rsidTr="00574690">
      <w:trPr>
        <w:trHeight w:hRule="exact" w:val="565"/>
        <w:jc w:val="center"/>
      </w:trPr>
      <w:tc>
        <w:tcPr>
          <w:tcW w:w="9145" w:type="dxa"/>
        </w:tcPr>
        <w:p w14:paraId="4262A853" w14:textId="77777777" w:rsidR="00B528AB" w:rsidRPr="00215D48" w:rsidRDefault="00B528AB" w:rsidP="00B528AB">
          <w:pPr>
            <w:pStyle w:val="TGASignoff"/>
          </w:pPr>
          <w:r w:rsidRPr="00215D48">
            <w:t>Therapeutic Goods Administration</w:t>
          </w:r>
        </w:p>
      </w:tc>
    </w:tr>
    <w:tr w:rsidR="00B528AB" w:rsidRPr="00215D48" w14:paraId="3EEB2F13" w14:textId="77777777" w:rsidTr="00574690">
      <w:trPr>
        <w:trHeight w:val="963"/>
        <w:jc w:val="center"/>
      </w:trPr>
      <w:tc>
        <w:tcPr>
          <w:tcW w:w="9145" w:type="dxa"/>
          <w:tcMar>
            <w:top w:w="28" w:type="dxa"/>
          </w:tcMar>
        </w:tcPr>
        <w:p w14:paraId="02DE61A1" w14:textId="77777777" w:rsidR="00B528AB" w:rsidRPr="00215D48" w:rsidRDefault="00B528AB" w:rsidP="00B528AB">
          <w:pPr>
            <w:pStyle w:val="Address"/>
            <w:jc w:val="center"/>
          </w:pPr>
          <w:r w:rsidRPr="00215D48">
            <w:t>PO Box 100 Woden ACT 2606 Australia</w:t>
          </w:r>
        </w:p>
        <w:p w14:paraId="28540E0B"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3BAB8A73"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5E19B664" w14:textId="77777777" w:rsidTr="00574690">
      <w:trPr>
        <w:trHeight w:val="251"/>
        <w:jc w:val="center"/>
      </w:trPr>
      <w:tc>
        <w:tcPr>
          <w:tcW w:w="9145" w:type="dxa"/>
          <w:tcMar>
            <w:top w:w="28" w:type="dxa"/>
          </w:tcMar>
        </w:tcPr>
        <w:p w14:paraId="5F79C8D0" w14:textId="77777777" w:rsidR="00B528AB" w:rsidRPr="00215D48" w:rsidRDefault="00B528AB" w:rsidP="00B528AB">
          <w:pPr>
            <w:pStyle w:val="Address"/>
            <w:jc w:val="center"/>
          </w:pPr>
          <w:r w:rsidRPr="00215D48">
            <w:t>Reference/Publication #</w:t>
          </w:r>
        </w:p>
      </w:tc>
    </w:tr>
  </w:tbl>
  <w:p w14:paraId="1B770A93"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EF7B" w14:textId="77777777" w:rsidR="00FA32DF" w:rsidRDefault="00FA32DF" w:rsidP="00537B47">
      <w:pPr>
        <w:spacing w:after="0" w:line="240" w:lineRule="auto"/>
      </w:pPr>
      <w:r>
        <w:separator/>
      </w:r>
    </w:p>
  </w:footnote>
  <w:footnote w:type="continuationSeparator" w:id="0">
    <w:p w14:paraId="12C9975A" w14:textId="77777777" w:rsidR="00FA32DF" w:rsidRDefault="00FA32DF" w:rsidP="00537B47">
      <w:pPr>
        <w:spacing w:after="0" w:line="240" w:lineRule="auto"/>
      </w:pPr>
      <w:r>
        <w:continuationSeparator/>
      </w:r>
    </w:p>
  </w:footnote>
  <w:footnote w:id="1">
    <w:p w14:paraId="6E1C7223" w14:textId="77777777" w:rsidR="00026EBE" w:rsidRDefault="00026EBE" w:rsidP="00026EBE">
      <w:pPr>
        <w:pStyle w:val="FootnoteText"/>
      </w:pPr>
      <w:r>
        <w:rPr>
          <w:rStyle w:val="FootnoteReference"/>
        </w:rPr>
        <w:footnoteRef/>
      </w:r>
      <w:r>
        <w:t xml:space="preserve"> </w:t>
      </w:r>
      <w:hyperlink r:id="rId1" w:history="1">
        <w:r w:rsidRPr="00245280">
          <w:rPr>
            <w:rStyle w:val="Hyperlink"/>
          </w:rPr>
          <w:t>http://webprod.hc-sc.gc.ca/nhpid-bdipsn/atReq.do?atid=sunscreen-ecransolaire&amp;lang=eng</w:t>
        </w:r>
      </w:hyperlink>
    </w:p>
  </w:footnote>
  <w:footnote w:id="2">
    <w:p w14:paraId="5453AACA" w14:textId="77777777" w:rsidR="00026EBE" w:rsidRDefault="00026EBE" w:rsidP="00026EBE">
      <w:pPr>
        <w:pStyle w:val="FootnoteText"/>
      </w:pPr>
      <w:r>
        <w:rPr>
          <w:rStyle w:val="FootnoteReference"/>
        </w:rPr>
        <w:footnoteRef/>
      </w:r>
      <w:r>
        <w:t>(</w:t>
      </w:r>
      <w:hyperlink r:id="rId2" w:history="1">
        <w:r w:rsidRPr="00245280">
          <w:rPr>
            <w:rStyle w:val="Hyperlink"/>
          </w:rPr>
          <w:t>https://www.mhlw.go.jp/english/dl/cosmetics.pdf</w:t>
        </w:r>
      </w:hyperlink>
    </w:p>
  </w:footnote>
  <w:footnote w:id="3">
    <w:p w14:paraId="28CBEDD0" w14:textId="77777777" w:rsidR="00026EBE" w:rsidRDefault="00026EBE" w:rsidP="00026EBE">
      <w:pPr>
        <w:pStyle w:val="FootnoteText"/>
      </w:pPr>
      <w:r>
        <w:rPr>
          <w:rStyle w:val="FootnoteReference"/>
        </w:rPr>
        <w:footnoteRef/>
      </w:r>
      <w:r>
        <w:t xml:space="preserve"> </w:t>
      </w:r>
      <w:hyperlink r:id="rId3" w:history="1">
        <w:r w:rsidRPr="00732141">
          <w:rPr>
            <w:rStyle w:val="Hyperlink"/>
          </w:rPr>
          <w:t>https://ec.europa.eu/health/ph_risk/committees/04_sccp/sccp_opinions_en.htm</w:t>
        </w:r>
      </w:hyperlink>
    </w:p>
  </w:footnote>
  <w:footnote w:id="4">
    <w:p w14:paraId="326F03A7" w14:textId="77777777" w:rsidR="00026EBE" w:rsidRPr="0094232A" w:rsidRDefault="00026EBE" w:rsidP="00026EBE">
      <w:pPr>
        <w:pStyle w:val="FootnoteText"/>
        <w:rPr>
          <w:rFonts w:ascii="Cambria" w:hAnsi="Cambria"/>
        </w:rPr>
      </w:pPr>
      <w:r w:rsidRPr="0094232A">
        <w:rPr>
          <w:rStyle w:val="FootnoteReference"/>
          <w:rFonts w:ascii="Cambria" w:hAnsi="Cambria"/>
        </w:rPr>
        <w:footnoteRef/>
      </w:r>
      <w:r w:rsidRPr="0094232A">
        <w:rPr>
          <w:rFonts w:ascii="Cambria" w:hAnsi="Cambria"/>
        </w:rPr>
        <w:t xml:space="preserve"> The dose was applied to a small square of gauze (10 cm</w:t>
      </w:r>
      <w:r w:rsidRPr="0094232A">
        <w:rPr>
          <w:rFonts w:ascii="Cambria" w:hAnsi="Cambria"/>
          <w:vertAlign w:val="superscript"/>
        </w:rPr>
        <w:t>2</w:t>
      </w:r>
      <w:r w:rsidRPr="0094232A">
        <w:rPr>
          <w:rFonts w:ascii="Cambria" w:hAnsi="Cambria"/>
        </w:rPr>
        <w:t>) taped to the skin.</w:t>
      </w:r>
    </w:p>
  </w:footnote>
  <w:footnote w:id="5">
    <w:p w14:paraId="028BF663" w14:textId="77777777" w:rsidR="00026EBE" w:rsidRPr="00A5592A" w:rsidRDefault="00026EBE" w:rsidP="00026EBE">
      <w:pPr>
        <w:pStyle w:val="FootnoteText"/>
        <w:rPr>
          <w:rFonts w:cs="Arial"/>
        </w:rPr>
      </w:pPr>
      <w:r>
        <w:rPr>
          <w:rStyle w:val="FootnoteReference"/>
        </w:rPr>
        <w:footnoteRef/>
      </w:r>
      <w:r>
        <w:t xml:space="preserve"> </w:t>
      </w:r>
      <w:r w:rsidRPr="00A5592A">
        <w:rPr>
          <w:rFonts w:cs="Arial"/>
        </w:rPr>
        <w:t xml:space="preserve">The June 2021 SCCS opinion for homosalate uses a different dermal absorption value for the SED calculation. The systemic exposure dose for homosalate used as a UV filter in cosmetic products is calculated using a dermal absorption value of 5.3% derived from an </w:t>
      </w:r>
      <w:r w:rsidRPr="00A5592A">
        <w:rPr>
          <w:rFonts w:cs="Arial"/>
          <w:i/>
          <w:iCs/>
        </w:rPr>
        <w:t xml:space="preserve">in vitro </w:t>
      </w:r>
      <w:r w:rsidRPr="00A5592A">
        <w:rPr>
          <w:rFonts w:cs="Arial"/>
        </w:rPr>
        <w:t xml:space="preserve">dermal penetration study using viable human skin (Finlayson 2021, as cited in SCCS 2020) and a standard sunscreen formulation containing 10% homosalate. </w:t>
      </w:r>
    </w:p>
  </w:footnote>
  <w:footnote w:id="6">
    <w:p w14:paraId="4E77EDA9" w14:textId="77777777" w:rsidR="00026EBE" w:rsidRDefault="00026EBE" w:rsidP="00026EBE">
      <w:pPr>
        <w:pStyle w:val="FootnoteText"/>
      </w:pPr>
      <w:r>
        <w:rPr>
          <w:rStyle w:val="FootnoteReference"/>
        </w:rPr>
        <w:footnoteRef/>
      </w:r>
      <w:r>
        <w:t xml:space="preserve"> Ecamsule (CAS </w:t>
      </w:r>
      <w:r w:rsidRPr="00DF0293">
        <w:t>92761-26-7</w:t>
      </w:r>
      <w:r>
        <w:t xml:space="preserve">) is commonly used as an active ingredient in sunscreen. However, currently it is not used in any sunscreen product marketed in Australia. </w:t>
      </w:r>
    </w:p>
  </w:footnote>
  <w:footnote w:id="7">
    <w:p w14:paraId="69E540FD" w14:textId="77777777" w:rsidR="00026EBE" w:rsidRDefault="00026EBE" w:rsidP="00026EBE">
      <w:pPr>
        <w:pStyle w:val="FootnoteText"/>
      </w:pPr>
      <w:r>
        <w:rPr>
          <w:rStyle w:val="FootnoteReference"/>
        </w:rPr>
        <w:footnoteRef/>
      </w:r>
      <w:r>
        <w:t xml:space="preserve"> Octisalate or octyl salicylate is an active ingredient used in sunscreen. This has been evaluated by TGA as an excipient to be used in prescription medicines. </w:t>
      </w:r>
    </w:p>
  </w:footnote>
  <w:footnote w:id="8">
    <w:p w14:paraId="656E28CC" w14:textId="77777777" w:rsidR="00026EBE" w:rsidRDefault="00026EBE" w:rsidP="00026EBE">
      <w:pPr>
        <w:pStyle w:val="FootnoteText"/>
      </w:pPr>
      <w:r>
        <w:rPr>
          <w:rStyle w:val="FootnoteReference"/>
        </w:rPr>
        <w:footnoteRef/>
      </w:r>
      <w:r>
        <w:t xml:space="preserve"> </w:t>
      </w:r>
      <w:r w:rsidRPr="0043710F">
        <w:t>EHT was included in these 14 ingredients</w:t>
      </w:r>
    </w:p>
  </w:footnote>
  <w:footnote w:id="9">
    <w:p w14:paraId="4E20094D" w14:textId="77777777" w:rsidR="00026EBE" w:rsidRDefault="00026EBE" w:rsidP="00026EBE">
      <w:pPr>
        <w:pStyle w:val="FootnoteText"/>
      </w:pPr>
      <w:r>
        <w:rPr>
          <w:rStyle w:val="FootnoteReference"/>
        </w:rPr>
        <w:footnoteRef/>
      </w:r>
      <w:r>
        <w:t xml:space="preserve"> </w:t>
      </w:r>
      <w:r w:rsidRPr="0043710F">
        <w:t>H</w:t>
      </w:r>
      <w:r w:rsidRPr="0074486E">
        <w:t>omosalate and avobenzone were included</w:t>
      </w:r>
    </w:p>
  </w:footnote>
  <w:footnote w:id="10">
    <w:p w14:paraId="3E11BE17" w14:textId="77777777" w:rsidR="00026EBE" w:rsidRPr="00645F1F" w:rsidRDefault="00026EBE" w:rsidP="00026EBE">
      <w:pPr>
        <w:pStyle w:val="FootnoteText"/>
        <w:rPr>
          <w:rFonts w:cstheme="minorHAnsi"/>
        </w:rPr>
      </w:pPr>
      <w:r w:rsidRPr="00645F1F">
        <w:rPr>
          <w:rStyle w:val="FootnoteReference"/>
          <w:rFonts w:cstheme="minorHAnsi"/>
        </w:rPr>
        <w:footnoteRef/>
      </w:r>
      <w:r w:rsidRPr="00645F1F">
        <w:rPr>
          <w:rFonts w:cstheme="minorHAnsi"/>
        </w:rPr>
        <w:t xml:space="preserve"> QSAR software for modelling and predicting toxicity of chemicals.  CASE Ultra has both methodologies (statistics based and expert rule based) built in for a complete ICH M7 compliant assessment. Leadscope Model Applier (Leadscope, Inc.) is a chemoinformatic platform that provides QSAR models for the prediction of potential toxicity and adverse human clinical effects of pharmaceuticals, cosmetics, food ingredients and other chemicals. </w:t>
      </w:r>
    </w:p>
  </w:footnote>
  <w:footnote w:id="11">
    <w:p w14:paraId="49B66081" w14:textId="77777777" w:rsidR="00026EBE" w:rsidRDefault="00026EBE" w:rsidP="00026EBE">
      <w:pPr>
        <w:pStyle w:val="FootnoteText"/>
      </w:pPr>
      <w:r w:rsidRPr="00645F1F">
        <w:rPr>
          <w:rStyle w:val="FootnoteReference"/>
          <w:rFonts w:cstheme="minorHAnsi"/>
        </w:rPr>
        <w:footnoteRef/>
      </w:r>
      <w:r w:rsidRPr="00645F1F">
        <w:rPr>
          <w:rFonts w:cstheme="minorHAnsi"/>
        </w:rPr>
        <w:t xml:space="preserve"> French Agency for Food, Environmental and Occupational Health &amp; Safety (ANSES) – See Eurometaux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7F8F"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7618" w14:textId="77777777" w:rsidR="00537B47" w:rsidRDefault="005F6958" w:rsidP="005F6958">
    <w:r>
      <w:rPr>
        <w:noProof/>
      </w:rPr>
      <w:drawing>
        <wp:anchor distT="0" distB="0" distL="114300" distR="114300" simplePos="0" relativeHeight="251659264" behindDoc="1" locked="0" layoutInCell="1" allowOverlap="1" wp14:anchorId="1575B9FE" wp14:editId="606CFE5E">
          <wp:simplePos x="0" y="0"/>
          <wp:positionH relativeFrom="column">
            <wp:posOffset>-228600</wp:posOffset>
          </wp:positionH>
          <wp:positionV relativeFrom="paragraph">
            <wp:posOffset>72390</wp:posOffset>
          </wp:positionV>
          <wp:extent cx="2245311" cy="521970"/>
          <wp:effectExtent l="0" t="0" r="3175" b="0"/>
          <wp:wrapNone/>
          <wp:docPr id="1881385924" name="Picture 188138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06745B9" wp14:editId="24EAA16D">
          <wp:simplePos x="0" y="0"/>
          <wp:positionH relativeFrom="page">
            <wp:align>right</wp:align>
          </wp:positionH>
          <wp:positionV relativeFrom="paragraph">
            <wp:posOffset>3122930</wp:posOffset>
          </wp:positionV>
          <wp:extent cx="7553325" cy="4260356"/>
          <wp:effectExtent l="0" t="0" r="0" b="6985"/>
          <wp:wrapNone/>
          <wp:docPr id="894262015" name="Picture 894262015"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9D94"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9737033">
    <w:abstractNumId w:val="2"/>
  </w:num>
  <w:num w:numId="2" w16cid:durableId="1244874731">
    <w:abstractNumId w:val="6"/>
  </w:num>
  <w:num w:numId="3" w16cid:durableId="1834369178">
    <w:abstractNumId w:val="4"/>
  </w:num>
  <w:num w:numId="4" w16cid:durableId="729621980">
    <w:abstractNumId w:val="3"/>
  </w:num>
  <w:num w:numId="5" w16cid:durableId="467238759">
    <w:abstractNumId w:val="7"/>
  </w:num>
  <w:num w:numId="6" w16cid:durableId="1237932114">
    <w:abstractNumId w:val="8"/>
  </w:num>
  <w:num w:numId="7" w16cid:durableId="1799059278">
    <w:abstractNumId w:val="1"/>
  </w:num>
  <w:num w:numId="8" w16cid:durableId="1712530828">
    <w:abstractNumId w:val="6"/>
  </w:num>
  <w:num w:numId="9" w16cid:durableId="1529752905">
    <w:abstractNumId w:val="0"/>
  </w:num>
  <w:num w:numId="10" w16cid:durableId="1693191331">
    <w:abstractNumId w:val="5"/>
  </w:num>
  <w:num w:numId="11" w16cid:durableId="1110271873">
    <w:abstractNumId w:val="6"/>
  </w:num>
  <w:num w:numId="12" w16cid:durableId="991257336">
    <w:abstractNumId w:val="4"/>
  </w:num>
  <w:num w:numId="13" w16cid:durableId="1860776656">
    <w:abstractNumId w:val="9"/>
  </w:num>
  <w:num w:numId="14" w16cid:durableId="52388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DF"/>
    <w:rsid w:val="00026EBE"/>
    <w:rsid w:val="00036D43"/>
    <w:rsid w:val="0016606E"/>
    <w:rsid w:val="001A6E57"/>
    <w:rsid w:val="0020324F"/>
    <w:rsid w:val="00241EE0"/>
    <w:rsid w:val="002A0D54"/>
    <w:rsid w:val="00375B64"/>
    <w:rsid w:val="00423137"/>
    <w:rsid w:val="00444E0E"/>
    <w:rsid w:val="004E0ADA"/>
    <w:rsid w:val="004E2F19"/>
    <w:rsid w:val="00537B47"/>
    <w:rsid w:val="00574AB1"/>
    <w:rsid w:val="0058575E"/>
    <w:rsid w:val="005F6958"/>
    <w:rsid w:val="00652D0C"/>
    <w:rsid w:val="006B19D8"/>
    <w:rsid w:val="007633FE"/>
    <w:rsid w:val="007F0A77"/>
    <w:rsid w:val="007F5F27"/>
    <w:rsid w:val="00820CF4"/>
    <w:rsid w:val="00830C91"/>
    <w:rsid w:val="0086789A"/>
    <w:rsid w:val="0089410A"/>
    <w:rsid w:val="008B078A"/>
    <w:rsid w:val="008B515F"/>
    <w:rsid w:val="008C7621"/>
    <w:rsid w:val="008C7764"/>
    <w:rsid w:val="008E6696"/>
    <w:rsid w:val="008E728F"/>
    <w:rsid w:val="00977F26"/>
    <w:rsid w:val="009A4C15"/>
    <w:rsid w:val="00B43990"/>
    <w:rsid w:val="00B528AB"/>
    <w:rsid w:val="00B55641"/>
    <w:rsid w:val="00BA389C"/>
    <w:rsid w:val="00BC4008"/>
    <w:rsid w:val="00C12A2D"/>
    <w:rsid w:val="00CA2E92"/>
    <w:rsid w:val="00CC3276"/>
    <w:rsid w:val="00D13F8A"/>
    <w:rsid w:val="00D82083"/>
    <w:rsid w:val="00D918D5"/>
    <w:rsid w:val="00DD3815"/>
    <w:rsid w:val="00E02CCC"/>
    <w:rsid w:val="00E17F93"/>
    <w:rsid w:val="00E905BC"/>
    <w:rsid w:val="00E94C79"/>
    <w:rsid w:val="00EB1567"/>
    <w:rsid w:val="00ED0477"/>
    <w:rsid w:val="00F35094"/>
    <w:rsid w:val="00F42792"/>
    <w:rsid w:val="00FA32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C8816"/>
  <w15:chartTrackingRefBased/>
  <w15:docId w15:val="{E411AAB1-F720-45DA-9A52-B9D3A60D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E94C79"/>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E94C79"/>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 w:type="character" w:styleId="CommentReference">
    <w:name w:val="annotation reference"/>
    <w:basedOn w:val="DefaultParagraphFont"/>
    <w:uiPriority w:val="99"/>
    <w:rsid w:val="00FA32DF"/>
    <w:rPr>
      <w:sz w:val="16"/>
      <w:szCs w:val="16"/>
    </w:rPr>
  </w:style>
  <w:style w:type="character" w:styleId="UnresolvedMention">
    <w:name w:val="Unresolved Mention"/>
    <w:basedOn w:val="DefaultParagraphFont"/>
    <w:uiPriority w:val="99"/>
    <w:semiHidden/>
    <w:unhideWhenUsed/>
    <w:rsid w:val="00ED0477"/>
    <w:rPr>
      <w:color w:val="605E5C"/>
      <w:shd w:val="clear" w:color="auto" w:fill="E1DFDD"/>
    </w:rPr>
  </w:style>
  <w:style w:type="paragraph" w:customStyle="1" w:styleId="Standard">
    <w:name w:val="Standard"/>
    <w:basedOn w:val="Normal"/>
    <w:link w:val="StandardChar"/>
    <w:rsid w:val="00026EBE"/>
    <w:pPr>
      <w:spacing w:after="220" w:line="252" w:lineRule="auto"/>
    </w:pPr>
    <w:rPr>
      <w:rFonts w:ascii="Cambria" w:eastAsia="Times New Roman" w:hAnsi="Cambria"/>
      <w:snapToGrid w:val="0"/>
      <w:kern w:val="16"/>
      <w:sz w:val="23"/>
      <w:szCs w:val="22"/>
    </w:rPr>
  </w:style>
  <w:style w:type="character" w:customStyle="1" w:styleId="StandardChar">
    <w:name w:val="Standard Char"/>
    <w:basedOn w:val="DefaultParagraphFont"/>
    <w:link w:val="Standard"/>
    <w:rsid w:val="00026EBE"/>
    <w:rPr>
      <w:rFonts w:ascii="Cambria" w:eastAsia="Times New Roman" w:hAnsi="Cambria"/>
      <w:snapToGrid w:val="0"/>
      <w:kern w:val="16"/>
      <w:sz w:val="23"/>
      <w:szCs w:val="22"/>
    </w:rPr>
  </w:style>
  <w:style w:type="paragraph" w:customStyle="1" w:styleId="Tabletext">
    <w:name w:val="Table text"/>
    <w:basedOn w:val="Standard"/>
    <w:link w:val="TabletextChar"/>
    <w:rsid w:val="00026EBE"/>
    <w:pPr>
      <w:spacing w:line="210" w:lineRule="exact"/>
    </w:pPr>
    <w:rPr>
      <w:sz w:val="19"/>
      <w:szCs w:val="19"/>
    </w:rPr>
  </w:style>
  <w:style w:type="character" w:customStyle="1" w:styleId="TabletextChar">
    <w:name w:val="Table text Char"/>
    <w:basedOn w:val="DefaultParagraphFont"/>
    <w:link w:val="Tabletext"/>
    <w:rsid w:val="00026EBE"/>
    <w:rPr>
      <w:rFonts w:ascii="Cambria" w:eastAsia="Times New Roman" w:hAnsi="Cambria"/>
      <w:snapToGrid w:val="0"/>
      <w:kern w:val="16"/>
      <w:sz w:val="19"/>
      <w:szCs w:val="19"/>
    </w:rPr>
  </w:style>
  <w:style w:type="paragraph" w:customStyle="1" w:styleId="TableHeader">
    <w:name w:val="Table Header"/>
    <w:basedOn w:val="Normal"/>
    <w:rsid w:val="00026EBE"/>
    <w:pPr>
      <w:keepNext/>
      <w:keepLines/>
      <w:widowControl w:val="0"/>
      <w:spacing w:before="60" w:after="60" w:line="200" w:lineRule="exact"/>
      <w:jc w:val="center"/>
    </w:pPr>
    <w:rPr>
      <w:rFonts w:ascii="Cambria" w:eastAsiaTheme="minorEastAsia" w:hAnsi="Cambria"/>
      <w:b/>
      <w:snapToGrid w:val="0"/>
      <w:sz w:val="19"/>
      <w:szCs w:val="19"/>
    </w:rPr>
  </w:style>
  <w:style w:type="paragraph" w:customStyle="1" w:styleId="Tabletextleft">
    <w:name w:val="Table text (left)"/>
    <w:basedOn w:val="Tabletext"/>
    <w:rsid w:val="00026EBE"/>
    <w:pPr>
      <w:spacing w:before="20" w:after="20" w:line="200" w:lineRule="exact"/>
      <w:ind w:left="57" w:right="57"/>
    </w:pPr>
    <w:rPr>
      <w:snapToGrid/>
      <w:sz w:val="18"/>
      <w:szCs w:val="18"/>
    </w:rPr>
  </w:style>
  <w:style w:type="paragraph" w:customStyle="1" w:styleId="WhiteSpace">
    <w:name w:val="White Space"/>
    <w:basedOn w:val="Standard"/>
    <w:link w:val="WhiteSpaceChar"/>
    <w:rsid w:val="00423137"/>
    <w:pPr>
      <w:spacing w:after="0"/>
    </w:pPr>
    <w:rPr>
      <w:sz w:val="16"/>
      <w:szCs w:val="16"/>
    </w:rPr>
  </w:style>
  <w:style w:type="character" w:customStyle="1" w:styleId="WhiteSpaceChar">
    <w:name w:val="White Space Char"/>
    <w:basedOn w:val="TabletextChar"/>
    <w:link w:val="WhiteSpace"/>
    <w:rsid w:val="00423137"/>
    <w:rPr>
      <w:rFonts w:ascii="Cambria" w:eastAsia="Times New Roman" w:hAnsi="Cambria"/>
      <w:snapToGrid w:val="0"/>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fpub.epa.gov/ncea/iris_drafts/atoz.cfm" TargetMode="External"/><Relationship Id="rId21" Type="http://schemas.openxmlformats.org/officeDocument/2006/relationships/hyperlink" Target="https://www.cdc.gov/niosh/index.htm" TargetMode="External"/><Relationship Id="rId34" Type="http://schemas.openxmlformats.org/officeDocument/2006/relationships/hyperlink" Target="https://cosmeticseurope.eu/library/" TargetMode="External"/><Relationship Id="rId42" Type="http://schemas.openxmlformats.org/officeDocument/2006/relationships/hyperlink" Target="http://www.chemsec.org" TargetMode="External"/><Relationship Id="rId47" Type="http://schemas.openxmlformats.org/officeDocument/2006/relationships/hyperlink" Target="https://www.canada.ca/en/health-canada/services/drugs-health-products/compliance-enforcement/information-health-product/drugs/active-ingredients.html" TargetMode="External"/><Relationship Id="rId50" Type="http://schemas.openxmlformats.org/officeDocument/2006/relationships/hyperlink" Target="http://www.iter.tera.org/" TargetMode="External"/><Relationship Id="rId55" Type="http://schemas.openxmlformats.org/officeDocument/2006/relationships/hyperlink" Target="https://www.cancer.org.au/cancer-information/causes-and-prevention/sun-safety/about-sunscreen/spf50-sunscreen" TargetMode="External"/><Relationship Id="rId63" Type="http://schemas.openxmlformats.org/officeDocument/2006/relationships/hyperlink" Target="https://echa.europa.eu/registration-dossier/-/registered-dossier/14858/7/6/1" TargetMode="External"/><Relationship Id="rId68" Type="http://schemas.openxmlformats.org/officeDocument/2006/relationships/hyperlink" Target="https://www.industrialchemicals.gov.au/sites/default/files/2-Propenoic%20acid%2C%203-%284-methoxyphenyl%29-%2C%202-ethylhexyl%20ester_Human%20health%20tier%20II%20assessment.pdf" TargetMode="External"/><Relationship Id="rId76" Type="http://schemas.openxmlformats.org/officeDocument/2006/relationships/hyperlink" Target="https://health.ec.europa.eu/publications/homosalate_en" TargetMode="External"/><Relationship Id="rId84" Type="http://schemas.openxmlformats.org/officeDocument/2006/relationships/hyperlink" Target="https://www.legislation.gov.au/Details/F2020L01612/Html/Volume_4" TargetMode="External"/><Relationship Id="rId89" Type="http://schemas.openxmlformats.org/officeDocument/2006/relationships/hyperlink" Target="https://www.govinfo.gov/content/pkg/FR-1995-07-17/pdf/95-17435.pdf.%20Published%20July%2017" TargetMode="External"/><Relationship Id="rId97" Type="http://schemas.openxmlformats.org/officeDocument/2006/relationships/fontTable" Target="fontTable.xml"/><Relationship Id="rId7" Type="http://schemas.openxmlformats.org/officeDocument/2006/relationships/hyperlink" Target="mailto:tga.copyright@tga.gov.au" TargetMode="External"/><Relationship Id="rId71" Type="http://schemas.openxmlformats.org/officeDocument/2006/relationships/hyperlink" Target="https://one.oecd.org/document/ENV/JM/MONO(2019)29/en/pdf" TargetMode="External"/><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cbi.nlm.nih.gov/pmc/articles/PMC4997468/table/ijerph-13-00782-t002/" TargetMode="External"/><Relationship Id="rId29" Type="http://schemas.openxmlformats.org/officeDocument/2006/relationships/hyperlink" Target="https://cfpub.epa.gov/si/" TargetMode="External"/><Relationship Id="rId11" Type="http://schemas.openxmlformats.org/officeDocument/2006/relationships/image" Target="media/image3.png"/><Relationship Id="rId24" Type="http://schemas.openxmlformats.org/officeDocument/2006/relationships/hyperlink" Target="http://ctdbase.org/" TargetMode="External"/><Relationship Id="rId32" Type="http://schemas.openxmlformats.org/officeDocument/2006/relationships/hyperlink" Target="https://op.europa.eu/en/" TargetMode="External"/><Relationship Id="rId37" Type="http://schemas.openxmlformats.org/officeDocument/2006/relationships/hyperlink" Target="http://www.nst.dk" TargetMode="External"/><Relationship Id="rId40" Type="http://schemas.openxmlformats.org/officeDocument/2006/relationships/hyperlink" Target="http://www.anses.fr" TargetMode="External"/><Relationship Id="rId45" Type="http://schemas.openxmlformats.org/officeDocument/2006/relationships/hyperlink" Target="http://hcis.safeworkaustralia.gov.au/" TargetMode="External"/><Relationship Id="rId53" Type="http://schemas.openxmlformats.org/officeDocument/2006/relationships/hyperlink" Target="http://www.cend.dk/files/UV-filter-rapport-28022013_40s388pi.pdf" TargetMode="External"/><Relationship Id="rId58" Type="http://schemas.openxmlformats.org/officeDocument/2006/relationships/hyperlink" Target="https://www.reach-metals.eu/reach/em-guidance-documents-and-tools/rmoa-guidance" TargetMode="External"/><Relationship Id="rId66" Type="http://schemas.openxmlformats.org/officeDocument/2006/relationships/hyperlink" Target="https://ec.europa.eu/newsroom/growth/items/702447/en" TargetMode="External"/><Relationship Id="rId74" Type="http://schemas.openxmlformats.org/officeDocument/2006/relationships/hyperlink" Target="https://health.ec.europa.eu/system/files/2022-08/sccs_o_247.pdf" TargetMode="External"/><Relationship Id="rId79" Type="http://schemas.openxmlformats.org/officeDocument/2006/relationships/hyperlink" Target="https://ec.europa.eu/health/sites/health/files/scientific_committees/consumer_safety/docs/sccs_o_247.pdf" TargetMode="External"/><Relationship Id="rId87" Type="http://schemas.openxmlformats.org/officeDocument/2006/relationships/hyperlink" Target="https://www.ecfr.gov/current/title-21/chapter-I/subchapter-D/part-352" TargetMode="External"/><Relationship Id="rId5" Type="http://schemas.openxmlformats.org/officeDocument/2006/relationships/footnotes" Target="footnotes.xml"/><Relationship Id="rId61" Type="http://schemas.openxmlformats.org/officeDocument/2006/relationships/hyperlink" Target="https://echa.europa.eu/registration-dossier/-/registered-dossier/14255/7/2/1" TargetMode="External"/><Relationship Id="rId82" Type="http://schemas.openxmlformats.org/officeDocument/2006/relationships/hyperlink" Target="https://ec.europa.eu/health/scientific_committees/environmental_risks/opinions/sctee/sct_out110_en.htm" TargetMode="External"/><Relationship Id="rId90" Type="http://schemas.openxmlformats.org/officeDocument/2006/relationships/hyperlink" Target="https://www.fda.gov/media/125080/download" TargetMode="External"/><Relationship Id="rId95" Type="http://schemas.openxmlformats.org/officeDocument/2006/relationships/header" Target="header3.xml"/><Relationship Id="rId19" Type="http://schemas.openxmlformats.org/officeDocument/2006/relationships/hyperlink" Target="https://jr.chemwatch.net/chemwatch.web/account/login?ReturnUrl=%2fchemwatch.web%2fhome" TargetMode="External"/><Relationship Id="rId14" Type="http://schemas.openxmlformats.org/officeDocument/2006/relationships/image" Target="media/image6.png"/><Relationship Id="rId22" Type="http://schemas.openxmlformats.org/officeDocument/2006/relationships/hyperlink" Target="https://ntp.niehs.nih.gov/nctr/" TargetMode="External"/><Relationship Id="rId27" Type="http://schemas.openxmlformats.org/officeDocument/2006/relationships/hyperlink" Target="https://www.epa.gov/iris" TargetMode="External"/><Relationship Id="rId30" Type="http://schemas.openxmlformats.org/officeDocument/2006/relationships/hyperlink" Target="https://www.cancerresearchuk.org/" TargetMode="External"/><Relationship Id="rId35" Type="http://schemas.openxmlformats.org/officeDocument/2006/relationships/hyperlink" Target="https://hpvchemicals.oecd.org" TargetMode="External"/><Relationship Id="rId43" Type="http://schemas.openxmlformats.org/officeDocument/2006/relationships/hyperlink" Target="http://www.forbrugerkemi.dk" TargetMode="External"/><Relationship Id="rId48" Type="http://schemas.openxmlformats.org/officeDocument/2006/relationships/hyperlink" Target="https://www.ewg.org/" TargetMode="External"/><Relationship Id="rId56" Type="http://schemas.openxmlformats.org/officeDocument/2006/relationships/hyperlink" Target="https://www.cir-safety.org/sites/default/files/salicy042019FAR.pdf" TargetMode="External"/><Relationship Id="rId64" Type="http://schemas.openxmlformats.org/officeDocument/2006/relationships/hyperlink" Target="https://echa.europa.eu/substance-information/-/substanceinfo/100.024.341%20" TargetMode="External"/><Relationship Id="rId69" Type="http://schemas.openxmlformats.org/officeDocument/2006/relationships/hyperlink" Target="https://www.ncbi.nlm.nih.gov/books/NBK582008/" TargetMode="External"/><Relationship Id="rId77" Type="http://schemas.openxmlformats.org/officeDocument/2006/relationships/hyperlink" Target="https://ec.europa.eu/health/sites/health/files/%20scientific_committees/consumer_safety/docs/sccs_o_249.pdf" TargetMode="External"/><Relationship Id="rId8" Type="http://schemas.openxmlformats.org/officeDocument/2006/relationships/hyperlink" Target="https://www.legislation.gov.au/F2024L01196/asmade/text" TargetMode="External"/><Relationship Id="rId51" Type="http://schemas.openxmlformats.org/officeDocument/2006/relationships/hyperlink" Target="https://www.cir-safety.org/" TargetMode="External"/><Relationship Id="rId72" Type="http://schemas.openxmlformats.org/officeDocument/2006/relationships/hyperlink" Target="https://ec.europa.eu/health/ph_risk/committees/04_sccp/docs/sccp_o_078.pdf" TargetMode="External"/><Relationship Id="rId80" Type="http://schemas.openxmlformats.org/officeDocument/2006/relationships/hyperlink" Target="https://ec.europa.eu/health/ph_risk/committees/sccp/documents/out242_en.pdf" TargetMode="External"/><Relationship Id="rId85" Type="http://schemas.openxmlformats.org/officeDocument/2006/relationships/hyperlink" Target="https://cfpub.epa.gov/ncea/risk/recordisplay.cfm?deid=236252" TargetMode="External"/><Relationship Id="rId93" Type="http://schemas.openxmlformats.org/officeDocument/2006/relationships/header" Target="header2.xm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google.com/url?sa=t&amp;rct=j&amp;q=&amp;esrc=s&amp;source=web&amp;cd=&amp;cad=rja&amp;uact=8&amp;ved=2ahUKEwi0qae3v5nqAhX_yzgGHTxuD0gQFjAAegQIBRAB&amp;url=http%3A%2F%2Fwww.who.org%2F&amp;usg=AOvVaw2Qpmzeou9L6bTYTLhHbaBh" TargetMode="External"/><Relationship Id="rId25" Type="http://schemas.openxmlformats.org/officeDocument/2006/relationships/hyperlink" Target="https://www.whatsinproducts.com/" TargetMode="External"/><Relationship Id="rId33" Type="http://schemas.openxmlformats.org/officeDocument/2006/relationships/hyperlink" Target="http://www.rivm.nl" TargetMode="External"/><Relationship Id="rId38" Type="http://schemas.openxmlformats.org/officeDocument/2006/relationships/hyperlink" Target="http://www.kemi.se" TargetMode="External"/><Relationship Id="rId46" Type="http://schemas.openxmlformats.org/officeDocument/2006/relationships/hyperlink" Target="https://www.drugbank.ca/" TargetMode="External"/><Relationship Id="rId59" Type="http://schemas.openxmlformats.org/officeDocument/2006/relationships/hyperlink" Target="https://echa.europa.eu/fr/registration-dossier/-/registered-dossier/14858/7/2/1" TargetMode="External"/><Relationship Id="rId67" Type="http://schemas.openxmlformats.org/officeDocument/2006/relationships/hyperlink" Target="https://toxnet.nlm.nih.gov/newtoxnet/hsdb.htm" TargetMode="External"/><Relationship Id="rId20" Type="http://schemas.openxmlformats.org/officeDocument/2006/relationships/hyperlink" Target="http://www.epa.gov" TargetMode="External"/><Relationship Id="rId41" Type="http://schemas.openxmlformats.org/officeDocument/2006/relationships/hyperlink" Target="http://www.environment-agency.gov.uk" TargetMode="External"/><Relationship Id="rId54" Type="http://schemas.openxmlformats.org/officeDocument/2006/relationships/hyperlink" Target="http://www.fda.gov/ohrms/dockets/dailys/04/july04/070804/03n-0233-sup0002-018-tab-16-vol3.pdf" TargetMode="External"/><Relationship Id="rId62" Type="http://schemas.openxmlformats.org/officeDocument/2006/relationships/hyperlink" Target="https://echa.europa.eu/el/registration-dossier/-/registered-dossier/13246" TargetMode="External"/><Relationship Id="rId70" Type="http://schemas.openxmlformats.org/officeDocument/2006/relationships/hyperlink" Target="https://www.ncbi.nlm.nih.gov/books/NBK581587/" TargetMode="External"/><Relationship Id="rId75" Type="http://schemas.openxmlformats.org/officeDocument/2006/relationships/hyperlink" Target="https://ec.europa.eu/health/scientific_committees/consumer_safety/docs/sccs_o_190.pdf" TargetMode="External"/><Relationship Id="rId83" Type="http://schemas.openxmlformats.org/officeDocument/2006/relationships/hyperlink" Target="https://www.tga.gov.au/resources/resource/guidance/australian-regulatory-guidelines-sunscreens-args" TargetMode="External"/><Relationship Id="rId88" Type="http://schemas.openxmlformats.org/officeDocument/2006/relationships/hyperlink" Target="https://www.federalregister.gov/documents/2019/02/26/2019-03019/sunscreen-drug-products-for-over-the-counter-human-use"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yperlink" Target="https://ntp.niehs.nih.gov/publications/index.html" TargetMode="External"/><Relationship Id="rId28" Type="http://schemas.openxmlformats.org/officeDocument/2006/relationships/hyperlink" Target="https://chemview.epa.gov/chemview/" TargetMode="External"/><Relationship Id="rId36" Type="http://schemas.openxmlformats.org/officeDocument/2006/relationships/hyperlink" Target="http://www.mst.dk" TargetMode="External"/><Relationship Id="rId49" Type="http://schemas.openxmlformats.org/officeDocument/2006/relationships/hyperlink" Target="https://www.foodpackagingforum.org/" TargetMode="External"/><Relationship Id="rId57" Type="http://schemas.openxmlformats.org/officeDocument/2006/relationships/hyperlink" Target="https://www2.mst.dk/Udgiv/publications/2015/10/978-87-93352-82-7.pdf" TargetMode="External"/><Relationship Id="rId10" Type="http://schemas.openxmlformats.org/officeDocument/2006/relationships/image" Target="media/image2.jpeg"/><Relationship Id="rId31" Type="http://schemas.openxmlformats.org/officeDocument/2006/relationships/hyperlink" Target="https://echa.europa.eu/web/guest/information-on-chemicals/registered-substances" TargetMode="External"/><Relationship Id="rId44" Type="http://schemas.openxmlformats.org/officeDocument/2006/relationships/hyperlink" Target="https://www.rivm.nl/en" TargetMode="External"/><Relationship Id="rId52" Type="http://schemas.openxmlformats.org/officeDocument/2006/relationships/hyperlink" Target="https://store.standards.org.au/product/as-nzs-2604-2021" TargetMode="External"/><Relationship Id="rId60" Type="http://schemas.openxmlformats.org/officeDocument/2006/relationships/hyperlink" Target="https://echa.europa.eu/registration-dossier/-/registered-dossier/14835/1" TargetMode="External"/><Relationship Id="rId65" Type="http://schemas.openxmlformats.org/officeDocument/2006/relationships/hyperlink" Target="https://eur-lex.europa.eu/LexUriServ/LexUriServ.do?uri=OJ:L:2006:265:0039:0043:en:PDF" TargetMode="External"/><Relationship Id="rId73" Type="http://schemas.openxmlformats.org/officeDocument/2006/relationships/hyperlink" Target="https://ec.europa.eu/health/ph_risk/committees/04_sccp/sccp_opinions_en.htm" TargetMode="External"/><Relationship Id="rId78" Type="http://schemas.openxmlformats.org/officeDocument/2006/relationships/hyperlink" Target="https://ec.europa.eu/health/system/files/2021-04/sccs_o_250_0.pdf" TargetMode="External"/><Relationship Id="rId81" Type="http://schemas.openxmlformats.org/officeDocument/2006/relationships/hyperlink" Target="https://ec.europa.eu/health/scientific_committees/consumer_safety/docs/scc_o_9.pdf" TargetMode="External"/><Relationship Id="rId86" Type="http://schemas.openxmlformats.org/officeDocument/2006/relationships/hyperlink" Target="https://cfpub.epa.gov/ncea/risk/recordisplay.cfm?deid=262211" TargetMode="External"/><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pubchem.ncbi.nlm.nih.gov" TargetMode="External"/><Relationship Id="rId39" Type="http://schemas.openxmlformats.org/officeDocument/2006/relationships/hyperlink" Target="http://www.miljodirektoratet.n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health/ph_risk/committees/04_sccp/sccp_opinions_en.htm" TargetMode="External"/><Relationship Id="rId2" Type="http://schemas.openxmlformats.org/officeDocument/2006/relationships/hyperlink" Target="https://www.mhlw.go.jp/english/dl/cosmetics.pdf" TargetMode="External"/><Relationship Id="rId1" Type="http://schemas.openxmlformats.org/officeDocument/2006/relationships/hyperlink" Target="http://webprod.hc-sc.gc.ca/nhpid-bdipsn/atReq.do?atid=sunscreen-ecransolaire&amp;lang=e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53</TotalTime>
  <Pages>54</Pages>
  <Words>20935</Words>
  <Characters>123727</Characters>
  <Application>Microsoft Office Word</Application>
  <DocSecurity>0</DocSecurity>
  <Lines>3749</Lines>
  <Paragraphs>1506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Literature search and summaries of seven sunscreen active ingredients</vt:lpstr>
      <vt:lpstr>Literature search and summaries of seven sunscreen active ingredients</vt:lpstr>
      <vt:lpstr>    Copyright</vt:lpstr>
      <vt:lpstr>    © Commonwealth of Australia 2025 This work is copyright. You may reproduce the w</vt:lpstr>
      <vt:lpstr>    </vt:lpstr>
      <vt:lpstr>    &lt;Contents</vt:lpstr>
      <vt:lpstr>    </vt:lpstr>
      <vt:lpstr>    Executive summary</vt:lpstr>
      <vt:lpstr>    Introduction</vt:lpstr>
      <vt:lpstr>        What are these ingredients</vt:lpstr>
      <vt:lpstr>        Current restrictions in Australia and overseas</vt:lpstr>
      <vt:lpstr>        Literature search summary</vt:lpstr>
      <vt:lpstr>    Pharmacokinetics</vt:lpstr>
      <vt:lpstr>    Clinical trials</vt:lpstr>
      <vt:lpstr>    Toxicity</vt:lpstr>
      <vt:lpstr>        Acute toxicity </vt:lpstr>
      <vt:lpstr>        Local tolerance </vt:lpstr>
      <vt:lpstr>        Sensitisation </vt:lpstr>
      <vt:lpstr>        Repeat dose toxicity </vt:lpstr>
      <vt:lpstr>        Genotoxicity </vt:lpstr>
      <vt:lpstr>        Carcinogenicity</vt:lpstr>
      <vt:lpstr>        Reproductive and developmental studies</vt:lpstr>
      <vt:lpstr>        Endocrine activity modulation</vt:lpstr>
      <vt:lpstr>        Other studies </vt:lpstr>
    </vt:vector>
  </TitlesOfParts>
  <Company/>
  <LinksUpToDate>false</LinksUpToDate>
  <CharactersWithSpaces>143156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search and summaries of seven sunscreen active ingredients</dc:title>
  <dc:subject>sunscreens</dc:subject>
  <dc:creator>Therapeutic Goods Administration</dc:creator>
  <cp:keywords/>
  <dc:description/>
  <cp:lastModifiedBy>LACK, Janet</cp:lastModifiedBy>
  <cp:revision>3</cp:revision>
  <dcterms:created xsi:type="dcterms:W3CDTF">2025-02-09T21:30:00Z</dcterms:created>
  <dcterms:modified xsi:type="dcterms:W3CDTF">2025-02-10T01:00:00Z</dcterms:modified>
</cp:coreProperties>
</file>