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D5519" w14:textId="77777777" w:rsidR="00375DF3" w:rsidRPr="00377337" w:rsidRDefault="00375DF3" w:rsidP="003B7CFF">
      <w:pPr>
        <w:pStyle w:val="Paragraph"/>
      </w:pPr>
      <w:r w:rsidRPr="00377337">
        <w:rPr>
          <w:noProof/>
        </w:rPr>
        <mc:AlternateContent>
          <mc:Choice Requires="wps">
            <w:drawing>
              <wp:inline distT="0" distB="0" distL="0" distR="0" wp14:anchorId="121EEF0B" wp14:editId="47C53A69">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C96DA" w14:textId="77777777" w:rsidR="00257099" w:rsidRPr="00BE2A26" w:rsidRDefault="00257099" w:rsidP="003B7CFF">
                            <w:pPr>
                              <w:pStyle w:val="Paragraph"/>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21EEF0B"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26BC96DA" w14:textId="77777777" w:rsidR="00257099" w:rsidRPr="00BE2A26" w:rsidRDefault="00257099" w:rsidP="003B7CFF">
                      <w:pPr>
                        <w:pStyle w:val="Paragraph"/>
                      </w:pPr>
                      <w:r w:rsidRPr="00BE2A26">
                        <w:rPr>
                          <w:rFonts w:ascii="SimSun" w:eastAsia="SimSun" w:hAnsi="SimSun" w:cs="Arial" w:hint="eastAsia"/>
                          <w:sz w:val="40"/>
                        </w:rPr>
                        <w:t>▼</w:t>
                      </w:r>
                    </w:p>
                  </w:txbxContent>
                </v:textbox>
                <w10:anchorlock/>
              </v:shape>
            </w:pict>
          </mc:Fallback>
        </mc:AlternateContent>
      </w:r>
      <w:r w:rsidR="001A3992" w:rsidRPr="00377337">
        <w:t>This medicinal product is subject to additional monitoring in Australia. This will allow quick identification of new safety information. Healthcare professionals are asked to report any suspected adverse events at</w:t>
      </w:r>
      <w:r w:rsidR="008958C0">
        <w:t xml:space="preserve"> www.tga.gov.au/reporting-problems.</w:t>
      </w:r>
    </w:p>
    <w:p w14:paraId="11567DF8" w14:textId="7A59EBB0" w:rsidR="00ED27EC" w:rsidRPr="003A4225" w:rsidRDefault="006018AE" w:rsidP="00ED27EC">
      <w:pPr>
        <w:pStyle w:val="Heading1Unnumbered"/>
        <w:rPr>
          <w:rFonts w:eastAsia="SimSun"/>
        </w:rPr>
      </w:pPr>
      <w:r w:rsidRPr="003A4225">
        <w:rPr>
          <w:rFonts w:eastAsia="SimSun"/>
        </w:rPr>
        <w:t>Australian P</w:t>
      </w:r>
      <w:r w:rsidR="00A32E10" w:rsidRPr="003A4225">
        <w:rPr>
          <w:rFonts w:eastAsia="SimSun"/>
        </w:rPr>
        <w:t xml:space="preserve">RODUCT </w:t>
      </w:r>
      <w:r w:rsidRPr="003A4225">
        <w:rPr>
          <w:rFonts w:eastAsia="SimSun"/>
        </w:rPr>
        <w:t>I</w:t>
      </w:r>
      <w:r w:rsidR="00A32E10" w:rsidRPr="003A4225">
        <w:rPr>
          <w:rFonts w:eastAsia="SimSun"/>
        </w:rPr>
        <w:t>NFORMATION</w:t>
      </w:r>
      <w:r w:rsidR="00BD4838" w:rsidRPr="003A4225">
        <w:rPr>
          <w:rFonts w:eastAsia="SimSun"/>
        </w:rPr>
        <w:fldChar w:fldCharType="begin"/>
      </w:r>
      <w:r w:rsidR="00BD4838" w:rsidRPr="003A4225">
        <w:rPr>
          <w:rFonts w:eastAsia="SimSun"/>
        </w:rPr>
        <w:instrText xml:space="preserve"> DOCVARIABLE VAULT_ND_9c0c0768-25da-419a-9352-7970347c452c \* MERGEFORMAT </w:instrText>
      </w:r>
      <w:r w:rsidR="00BD4838" w:rsidRPr="003A4225">
        <w:rPr>
          <w:rFonts w:eastAsia="SimSun"/>
        </w:rPr>
        <w:fldChar w:fldCharType="separate"/>
      </w:r>
      <w:r w:rsidR="00BD4838" w:rsidRPr="003A4225">
        <w:rPr>
          <w:rFonts w:eastAsia="SimSun"/>
        </w:rPr>
        <w:t xml:space="preserve"> </w:t>
      </w:r>
      <w:r w:rsidR="00BD4838" w:rsidRPr="003A4225">
        <w:rPr>
          <w:rFonts w:eastAsia="SimSun"/>
        </w:rPr>
        <w:fldChar w:fldCharType="end"/>
      </w:r>
    </w:p>
    <w:p w14:paraId="3E2B5D6C" w14:textId="0182B27E" w:rsidR="006018AE" w:rsidRPr="00377337" w:rsidRDefault="000C60F4" w:rsidP="00ED27EC">
      <w:pPr>
        <w:pStyle w:val="Heading1Unnumbered"/>
        <w:rPr>
          <w:rFonts w:eastAsia="SimSun"/>
        </w:rPr>
      </w:pPr>
      <w:r>
        <w:rPr>
          <w:rFonts w:eastAsia="SimSun"/>
          <w:caps w:val="0"/>
        </w:rPr>
        <w:t>TRUQAP</w:t>
      </w:r>
      <w:r w:rsidR="00A240F2" w:rsidRPr="00A240F2">
        <w:rPr>
          <w:rFonts w:eastAsia="SimSun"/>
          <w:caps w:val="0"/>
          <w:vertAlign w:val="superscript"/>
        </w:rPr>
        <w:t>®</w:t>
      </w:r>
      <w:r w:rsidR="00C85970">
        <w:rPr>
          <w:rFonts w:eastAsia="SimSun"/>
        </w:rPr>
        <w:br/>
      </w:r>
      <w:proofErr w:type="spellStart"/>
      <w:r w:rsidR="003E2048">
        <w:rPr>
          <w:rFonts w:eastAsia="SimSun"/>
          <w:caps w:val="0"/>
        </w:rPr>
        <w:t>C</w:t>
      </w:r>
      <w:r w:rsidR="00CE6731">
        <w:rPr>
          <w:rFonts w:eastAsia="SimSun"/>
          <w:caps w:val="0"/>
        </w:rPr>
        <w:t>apiva</w:t>
      </w:r>
      <w:r w:rsidR="00171845">
        <w:rPr>
          <w:rFonts w:eastAsia="SimSun"/>
          <w:caps w:val="0"/>
        </w:rPr>
        <w:t>s</w:t>
      </w:r>
      <w:r w:rsidR="00CE6731">
        <w:rPr>
          <w:rFonts w:eastAsia="SimSun"/>
          <w:caps w:val="0"/>
        </w:rPr>
        <w:t>ertib</w:t>
      </w:r>
      <w:proofErr w:type="spellEnd"/>
    </w:p>
    <w:p w14:paraId="20ABD945" w14:textId="1541C4EC" w:rsidR="001A3992" w:rsidRPr="003A4225" w:rsidRDefault="001A3992" w:rsidP="00994852">
      <w:pPr>
        <w:pStyle w:val="Heading1"/>
      </w:pPr>
      <w:r w:rsidRPr="003A4225">
        <w:t>Name of the medicine</w:t>
      </w:r>
      <w:fldSimple w:instr=" DOCVARIABLE VAULT_ND_aab658d2-e5f5-4da7-bcc1-4f6e8e2172d8 \* MERGEFORMAT ">
        <w:r w:rsidR="00BD4838" w:rsidRPr="003A4225">
          <w:t xml:space="preserve"> </w:t>
        </w:r>
      </w:fldSimple>
    </w:p>
    <w:p w14:paraId="7BEE4182" w14:textId="3A08BB3F" w:rsidR="0080644B" w:rsidRPr="0080644B" w:rsidRDefault="009D6FB6" w:rsidP="0080644B">
      <w:pPr>
        <w:pStyle w:val="Paragraph"/>
      </w:pPr>
      <w:proofErr w:type="spellStart"/>
      <w:r>
        <w:t>Capivasertib</w:t>
      </w:r>
      <w:proofErr w:type="spellEnd"/>
    </w:p>
    <w:p w14:paraId="7E541880" w14:textId="22BDC0EE" w:rsidR="001A3992" w:rsidRPr="003A4225" w:rsidRDefault="001A3992" w:rsidP="00994852">
      <w:pPr>
        <w:pStyle w:val="Heading1"/>
      </w:pPr>
      <w:bookmarkStart w:id="0" w:name="_Ref505770391"/>
      <w:r w:rsidRPr="003A4225">
        <w:t>Qualitative and quantitative composition</w:t>
      </w:r>
      <w:bookmarkEnd w:id="0"/>
      <w:r w:rsidR="00BD4838" w:rsidRPr="003A4225">
        <w:fldChar w:fldCharType="begin"/>
      </w:r>
      <w:r w:rsidR="00BD4838" w:rsidRPr="003A4225">
        <w:instrText xml:space="preserve"> DOCVARIABLE VAULT_ND_823a5aff-d9af-48d6-8f16-7c7fc5da6aa3 \* MERGEFORMAT </w:instrText>
      </w:r>
      <w:r w:rsidR="00BD4838" w:rsidRPr="003A4225">
        <w:fldChar w:fldCharType="separate"/>
      </w:r>
      <w:r w:rsidR="00BD4838" w:rsidRPr="003A4225">
        <w:t xml:space="preserve"> </w:t>
      </w:r>
      <w:r w:rsidR="00BD4838" w:rsidRPr="003A4225">
        <w:fldChar w:fldCharType="end"/>
      </w:r>
    </w:p>
    <w:p w14:paraId="14BC421E" w14:textId="62307473" w:rsidR="001A53B5" w:rsidRDefault="000C60F4" w:rsidP="001A53B5">
      <w:pPr>
        <w:pStyle w:val="Paragraph"/>
      </w:pPr>
      <w:r>
        <w:t xml:space="preserve">TRUQAP </w:t>
      </w:r>
      <w:r w:rsidR="001A53B5">
        <w:t>160 mg</w:t>
      </w:r>
      <w:r w:rsidR="004940C3">
        <w:t>:</w:t>
      </w:r>
      <w:r w:rsidR="001A53B5">
        <w:t xml:space="preserve"> Each </w:t>
      </w:r>
      <w:r w:rsidR="004940C3">
        <w:t xml:space="preserve">film-coated </w:t>
      </w:r>
      <w:r w:rsidR="001A53B5">
        <w:t xml:space="preserve">tablet contains 160 mg of </w:t>
      </w:r>
      <w:proofErr w:type="spellStart"/>
      <w:r w:rsidR="001A53B5">
        <w:t>capivasertib</w:t>
      </w:r>
      <w:proofErr w:type="spellEnd"/>
      <w:r w:rsidR="001A53B5">
        <w:t>.</w:t>
      </w:r>
    </w:p>
    <w:p w14:paraId="2F16D930" w14:textId="7E523BB0" w:rsidR="001A53B5" w:rsidRDefault="000C60F4" w:rsidP="001A53B5">
      <w:pPr>
        <w:pStyle w:val="Paragraph"/>
      </w:pPr>
      <w:r>
        <w:t xml:space="preserve">TRUQAP </w:t>
      </w:r>
      <w:r w:rsidR="001A53B5">
        <w:t>200 mg</w:t>
      </w:r>
      <w:r w:rsidR="004940C3">
        <w:t>:</w:t>
      </w:r>
      <w:r w:rsidR="001A53B5">
        <w:t xml:space="preserve"> Each </w:t>
      </w:r>
      <w:r w:rsidR="004940C3">
        <w:t>film</w:t>
      </w:r>
      <w:r w:rsidR="00D34A50">
        <w:t>-</w:t>
      </w:r>
      <w:r w:rsidR="004940C3">
        <w:t xml:space="preserve">coated </w:t>
      </w:r>
      <w:r w:rsidR="001A53B5">
        <w:t xml:space="preserve">tablet contains 200 mg of </w:t>
      </w:r>
      <w:proofErr w:type="spellStart"/>
      <w:r w:rsidR="001A53B5">
        <w:t>capivasertib</w:t>
      </w:r>
      <w:proofErr w:type="spellEnd"/>
      <w:r w:rsidR="001A53B5">
        <w:t>.</w:t>
      </w:r>
    </w:p>
    <w:p w14:paraId="01A0DA78" w14:textId="7B75A9F7" w:rsidR="0080644B" w:rsidRDefault="001A53B5" w:rsidP="001A53B5">
      <w:pPr>
        <w:pStyle w:val="Paragraph"/>
      </w:pPr>
      <w:r>
        <w:t xml:space="preserve">For the full list of excipients, see </w:t>
      </w:r>
      <w:r w:rsidR="00423131">
        <w:t>S</w:t>
      </w:r>
      <w:r>
        <w:t>ection 6.1</w:t>
      </w:r>
      <w:r w:rsidR="00423131">
        <w:t xml:space="preserve"> </w:t>
      </w:r>
      <w:bookmarkStart w:id="1" w:name="_Hlk130388080"/>
      <w:r w:rsidR="00423131">
        <w:t>List of excipients</w:t>
      </w:r>
      <w:bookmarkEnd w:id="1"/>
      <w:r>
        <w:t>.</w:t>
      </w:r>
    </w:p>
    <w:p w14:paraId="277DF458" w14:textId="35E6CC2A" w:rsidR="001A3992" w:rsidRPr="003A4225" w:rsidRDefault="001A3992" w:rsidP="00994852">
      <w:pPr>
        <w:pStyle w:val="Heading1"/>
      </w:pPr>
      <w:r w:rsidRPr="003A4225">
        <w:t>Pharmaceutical form</w:t>
      </w:r>
      <w:fldSimple w:instr=" DOCVARIABLE VAULT_ND_16c94ee9-e3d9-4576-962d-30136408fa38 \* MERGEFORMAT ">
        <w:r w:rsidR="00BD4838" w:rsidRPr="003A4225">
          <w:t xml:space="preserve"> </w:t>
        </w:r>
      </w:fldSimple>
    </w:p>
    <w:p w14:paraId="389F63C5" w14:textId="1B5E0EAB" w:rsidR="0080644B" w:rsidRDefault="0060468A" w:rsidP="0080644B">
      <w:pPr>
        <w:pStyle w:val="Paragraph"/>
      </w:pPr>
      <w:r>
        <w:t>Film</w:t>
      </w:r>
      <w:r w:rsidR="007206F3">
        <w:t>-</w:t>
      </w:r>
      <w:r>
        <w:t>coated table</w:t>
      </w:r>
      <w:r w:rsidR="003416BC">
        <w:t>t</w:t>
      </w:r>
      <w:r w:rsidR="002E0F33">
        <w:t>.</w:t>
      </w:r>
    </w:p>
    <w:p w14:paraId="1502923D" w14:textId="0E544FE5" w:rsidR="003416BC" w:rsidRPr="003416BC" w:rsidRDefault="000C60F4" w:rsidP="00A535D0">
      <w:pPr>
        <w:pStyle w:val="Paragraph"/>
      </w:pPr>
      <w:r>
        <w:t>TRUQAP</w:t>
      </w:r>
      <w:r w:rsidRPr="00A535D0">
        <w:t xml:space="preserve"> </w:t>
      </w:r>
      <w:r w:rsidR="003416BC" w:rsidRPr="00A535D0">
        <w:t>160 mg tablets</w:t>
      </w:r>
      <w:r w:rsidR="00A535D0" w:rsidRPr="00A535D0">
        <w:t xml:space="preserve"> are r</w:t>
      </w:r>
      <w:r w:rsidR="003416BC" w:rsidRPr="00A535D0">
        <w:t>ound</w:t>
      </w:r>
      <w:r w:rsidR="003416BC" w:rsidRPr="003416BC">
        <w:t xml:space="preserve">, biconvex, beige film-coated tablets debossed with ‘CAV’ above ‘160’ on one side and plain on the reverse. </w:t>
      </w:r>
    </w:p>
    <w:p w14:paraId="4F650BA1" w14:textId="69083BC4" w:rsidR="003416BC" w:rsidRPr="003416BC" w:rsidRDefault="000C60F4" w:rsidP="00A535D0">
      <w:pPr>
        <w:pStyle w:val="Paragraph"/>
        <w:spacing w:after="0"/>
      </w:pPr>
      <w:r>
        <w:t>TRUQAP</w:t>
      </w:r>
      <w:r w:rsidRPr="00A535D0">
        <w:t xml:space="preserve"> </w:t>
      </w:r>
      <w:r w:rsidR="003416BC" w:rsidRPr="00A535D0">
        <w:t xml:space="preserve">200 mg </w:t>
      </w:r>
      <w:r w:rsidR="003416BC" w:rsidRPr="007206F3">
        <w:t>tablets</w:t>
      </w:r>
      <w:r w:rsidR="00A535D0" w:rsidRPr="007206F3">
        <w:t xml:space="preserve"> are c</w:t>
      </w:r>
      <w:r w:rsidR="003416BC" w:rsidRPr="007206F3">
        <w:t>a</w:t>
      </w:r>
      <w:r w:rsidR="003416BC" w:rsidRPr="003416BC">
        <w:t>psule</w:t>
      </w:r>
      <w:r w:rsidR="007206F3">
        <w:t>-</w:t>
      </w:r>
      <w:r w:rsidR="003416BC" w:rsidRPr="003416BC">
        <w:t>shaped, biconvex, beige film</w:t>
      </w:r>
      <w:r w:rsidR="003416BC" w:rsidRPr="003416BC">
        <w:noBreakHyphen/>
        <w:t>coated tablets debossed with ‘CAV 200’ on one side and plain on the reverse.</w:t>
      </w:r>
    </w:p>
    <w:p w14:paraId="55C36085" w14:textId="6D1E4588" w:rsidR="001A3992" w:rsidRPr="003A4225" w:rsidRDefault="001A3992" w:rsidP="00994852">
      <w:pPr>
        <w:pStyle w:val="Heading1"/>
      </w:pPr>
      <w:r w:rsidRPr="003A4225">
        <w:t>Clinical particulars</w:t>
      </w:r>
      <w:fldSimple w:instr=" DOCVARIABLE VAULT_ND_41d2cc44-c507-45f6-a0aa-f59da380be7f \* MERGEFORMAT ">
        <w:r w:rsidR="00BD4838" w:rsidRPr="003A4225">
          <w:t xml:space="preserve"> </w:t>
        </w:r>
      </w:fldSimple>
    </w:p>
    <w:p w14:paraId="435AB3FF" w14:textId="08A12E84" w:rsidR="001A3992" w:rsidRPr="003A4225" w:rsidRDefault="001A3992" w:rsidP="00994852">
      <w:pPr>
        <w:pStyle w:val="Heading2"/>
      </w:pPr>
      <w:r w:rsidRPr="003A4225">
        <w:t>Therapeutic indi</w:t>
      </w:r>
      <w:r w:rsidR="003B7CFF" w:rsidRPr="003A4225">
        <w:t>cations</w:t>
      </w:r>
      <w:fldSimple w:instr=" DOCVARIABLE VAULT_ND_7bca8ec5-9dcd-4c65-9d38-4b12b663f7cf \* MERGEFORMAT ">
        <w:r w:rsidR="00BD4838" w:rsidRPr="003A4225">
          <w:t xml:space="preserve"> </w:t>
        </w:r>
      </w:fldSimple>
    </w:p>
    <w:p w14:paraId="73757701" w14:textId="35179A65" w:rsidR="00C85696" w:rsidRPr="00C85696" w:rsidRDefault="000C60F4" w:rsidP="00C85696">
      <w:pPr>
        <w:pStyle w:val="Paragraph"/>
      </w:pPr>
      <w:r>
        <w:t>TRUQAP</w:t>
      </w:r>
      <w:r w:rsidRPr="00B70C5D">
        <w:t xml:space="preserve"> </w:t>
      </w:r>
      <w:r w:rsidR="00B70C5D" w:rsidRPr="00B70C5D">
        <w:t xml:space="preserve">is indicated in combination with </w:t>
      </w:r>
      <w:proofErr w:type="spellStart"/>
      <w:r w:rsidR="00B70C5D" w:rsidRPr="00B70C5D">
        <w:t>fulvestrant</w:t>
      </w:r>
      <w:proofErr w:type="spellEnd"/>
      <w:r w:rsidR="00B70C5D" w:rsidRPr="00B70C5D">
        <w:t xml:space="preserve"> for the treatment of adult patients with hormone receptor (HR) positive, human epidermal growth factor receptor 2 (HER2) negative (defined as IHC 0 or 1+, or IHC 2+/ISH-) locally advanced or metastatic breast cancer following recurrence or progression on or after an endocrine based regimen</w:t>
      </w:r>
      <w:r w:rsidR="001A08D6">
        <w:t>.</w:t>
      </w:r>
    </w:p>
    <w:p w14:paraId="7C63446A" w14:textId="6CA9F907" w:rsidR="003B7CFF" w:rsidRPr="003A4225" w:rsidRDefault="001A3992" w:rsidP="00994852">
      <w:pPr>
        <w:pStyle w:val="Heading2"/>
      </w:pPr>
      <w:bookmarkStart w:id="2" w:name="_Dose_and_method"/>
      <w:bookmarkEnd w:id="2"/>
      <w:r w:rsidRPr="003A4225">
        <w:t>Dose and method of administration</w:t>
      </w:r>
      <w:fldSimple w:instr=" DOCVARIABLE VAULT_ND_d8aef1e4-d9a9-44ab-a683-a55a23157ba2 \* MERGEFORMAT ">
        <w:r w:rsidR="00BD4838" w:rsidRPr="003A4225">
          <w:t xml:space="preserve"> </w:t>
        </w:r>
      </w:fldSimple>
    </w:p>
    <w:p w14:paraId="0AF2C748" w14:textId="6F779F39" w:rsidR="0063384D" w:rsidRDefault="00020396" w:rsidP="00105C5E">
      <w:pPr>
        <w:pStyle w:val="Paragraph"/>
      </w:pPr>
      <w:r w:rsidRPr="00020396">
        <w:t>Treatment with TR</w:t>
      </w:r>
      <w:r>
        <w:t>UQAP</w:t>
      </w:r>
      <w:r w:rsidRPr="00020396">
        <w:t xml:space="preserve"> should be initiated and supervised by a physician experienced in the use of anticancer medicinal products.</w:t>
      </w:r>
    </w:p>
    <w:p w14:paraId="055EE710" w14:textId="5B24430B" w:rsidR="00BB5A4B" w:rsidRDefault="00105C5E" w:rsidP="00105C5E">
      <w:pPr>
        <w:pStyle w:val="Paragraph"/>
      </w:pPr>
      <w:r w:rsidRPr="00105C5E">
        <w:t xml:space="preserve">The recommended dose of </w:t>
      </w:r>
      <w:r w:rsidR="000C60F4">
        <w:t>TRUQAP</w:t>
      </w:r>
      <w:r w:rsidR="000C60F4" w:rsidRPr="00105C5E">
        <w:t xml:space="preserve"> </w:t>
      </w:r>
      <w:r w:rsidRPr="00105C5E">
        <w:t xml:space="preserve">in combination with </w:t>
      </w:r>
      <w:proofErr w:type="spellStart"/>
      <w:r w:rsidRPr="00105C5E">
        <w:t>fulvestrant</w:t>
      </w:r>
      <w:proofErr w:type="spellEnd"/>
      <w:r w:rsidRPr="00105C5E">
        <w:t xml:space="preserve"> is 400 mg (two 200 mg tablets) taken orally twice daily approximately 12 hours apart (total daily dose of 800 mg) with or without food, for 4 days followed by 3 days off treatment. See </w:t>
      </w:r>
      <w:r w:rsidR="00820AA5">
        <w:fldChar w:fldCharType="begin"/>
      </w:r>
      <w:r w:rsidR="00820AA5">
        <w:instrText xml:space="preserve"> REF _Ref130833841 \h </w:instrText>
      </w:r>
      <w:r w:rsidR="00820AA5">
        <w:fldChar w:fldCharType="separate"/>
      </w:r>
      <w:r w:rsidR="00820AA5">
        <w:t xml:space="preserve">Table </w:t>
      </w:r>
      <w:r w:rsidR="00820AA5">
        <w:rPr>
          <w:noProof/>
        </w:rPr>
        <w:t>1</w:t>
      </w:r>
      <w:r w:rsidR="00820AA5">
        <w:fldChar w:fldCharType="end"/>
      </w:r>
      <w:r w:rsidRPr="00105C5E">
        <w:t>.</w:t>
      </w:r>
    </w:p>
    <w:p w14:paraId="68FEE4C8" w14:textId="19047810" w:rsidR="008125AF" w:rsidRPr="008125AF" w:rsidRDefault="008125AF" w:rsidP="008125AF">
      <w:pPr>
        <w:pStyle w:val="Paragraph"/>
      </w:pPr>
      <w:r w:rsidRPr="008125AF">
        <w:t xml:space="preserve">The recommended dose of </w:t>
      </w:r>
      <w:proofErr w:type="spellStart"/>
      <w:r w:rsidRPr="008125AF">
        <w:t>fulvestrant</w:t>
      </w:r>
      <w:proofErr w:type="spellEnd"/>
      <w:r w:rsidRPr="008125AF">
        <w:t xml:space="preserve"> is 500 mg administered on Days 1, 15, and 29, and once monthly thereafter. </w:t>
      </w:r>
      <w:bookmarkStart w:id="3" w:name="_Hlk128057774"/>
      <w:r w:rsidRPr="008125AF">
        <w:t>Refer to the approved Pr</w:t>
      </w:r>
      <w:r w:rsidR="00DE30D2">
        <w:t xml:space="preserve">oduct </w:t>
      </w:r>
      <w:r w:rsidRPr="008125AF">
        <w:t xml:space="preserve">Information of </w:t>
      </w:r>
      <w:bookmarkStart w:id="4" w:name="_Hlk79512650"/>
      <w:proofErr w:type="spellStart"/>
      <w:r w:rsidRPr="008125AF">
        <w:t>fulvestrant</w:t>
      </w:r>
      <w:bookmarkEnd w:id="4"/>
      <w:proofErr w:type="spellEnd"/>
      <w:r w:rsidRPr="008125AF">
        <w:t xml:space="preserve"> for more information</w:t>
      </w:r>
      <w:bookmarkEnd w:id="3"/>
      <w:r w:rsidRPr="008125AF">
        <w:t xml:space="preserve">. </w:t>
      </w:r>
    </w:p>
    <w:p w14:paraId="159BACF1" w14:textId="1ED7FB10" w:rsidR="008125AF" w:rsidRPr="008125AF" w:rsidRDefault="008125AF" w:rsidP="008125AF">
      <w:pPr>
        <w:pStyle w:val="Paragraph"/>
      </w:pPr>
      <w:r w:rsidRPr="008125AF">
        <w:lastRenderedPageBreak/>
        <w:t>In pre/peri</w:t>
      </w:r>
      <w:r w:rsidRPr="008125AF">
        <w:noBreakHyphen/>
        <w:t xml:space="preserve">menopausal women, </w:t>
      </w:r>
      <w:r w:rsidR="000C60F4">
        <w:t>TRUQAP</w:t>
      </w:r>
      <w:r w:rsidR="000C60F4" w:rsidRPr="008125AF">
        <w:t xml:space="preserve"> </w:t>
      </w:r>
      <w:r w:rsidRPr="008125AF">
        <w:t xml:space="preserve">plus </w:t>
      </w:r>
      <w:proofErr w:type="spellStart"/>
      <w:r w:rsidRPr="008125AF">
        <w:t>fulvestrant</w:t>
      </w:r>
      <w:proofErr w:type="spellEnd"/>
      <w:r w:rsidRPr="008125AF">
        <w:t xml:space="preserve"> should be combined with a luteini</w:t>
      </w:r>
      <w:r w:rsidR="002114CC">
        <w:t>s</w:t>
      </w:r>
      <w:r w:rsidRPr="008125AF">
        <w:t>ing hormone releasing hormone (LHRH) agonist</w:t>
      </w:r>
      <w:r w:rsidR="001E350C">
        <w:t xml:space="preserve"> according to current clinical practice standards</w:t>
      </w:r>
      <w:r w:rsidRPr="008125AF">
        <w:t>.</w:t>
      </w:r>
    </w:p>
    <w:p w14:paraId="35928B9C" w14:textId="6FAAE4E6" w:rsidR="001E350C" w:rsidRDefault="001E350C" w:rsidP="008125AF">
      <w:pPr>
        <w:pStyle w:val="Paragraph"/>
      </w:pPr>
      <w:r w:rsidRPr="00E378E9">
        <w:t>For men, consider administering a LHRH agonist according to current clinical practice standards.</w:t>
      </w:r>
    </w:p>
    <w:p w14:paraId="64F23F62" w14:textId="6475F06C" w:rsidR="00DB12BF" w:rsidRDefault="008125AF" w:rsidP="008125AF">
      <w:pPr>
        <w:pStyle w:val="Paragraph"/>
        <w:rPr>
          <w:b/>
          <w:bCs/>
        </w:rPr>
      </w:pPr>
      <w:r w:rsidRPr="008125AF">
        <w:t xml:space="preserve">If a dose of </w:t>
      </w:r>
      <w:r w:rsidR="000C60F4">
        <w:t>TRUQAP</w:t>
      </w:r>
      <w:r w:rsidR="000C60F4" w:rsidRPr="008125AF">
        <w:t xml:space="preserve"> </w:t>
      </w:r>
      <w:r w:rsidRPr="008125AF">
        <w:t xml:space="preserve">is missed, it can be taken within 4 hours after the time it is usually taken. After more than 4 hours, the dose should be skipped. The next dose of </w:t>
      </w:r>
      <w:r w:rsidR="001F0F2E">
        <w:t>TRUQAP</w:t>
      </w:r>
      <w:r w:rsidR="001F0F2E" w:rsidRPr="008125AF">
        <w:t xml:space="preserve"> </w:t>
      </w:r>
      <w:r w:rsidRPr="008125AF">
        <w:t xml:space="preserve">should be taken at the usual time. There should be at least 8 hours between doses. If the patient vomits, an additional dose should not be taken. The next dose of </w:t>
      </w:r>
      <w:r w:rsidR="000C60F4">
        <w:t>TRUQAP</w:t>
      </w:r>
      <w:r w:rsidR="000C60F4" w:rsidRPr="008125AF">
        <w:t xml:space="preserve"> </w:t>
      </w:r>
      <w:r w:rsidRPr="008125AF">
        <w:t>should be taken at the usual time.</w:t>
      </w:r>
    </w:p>
    <w:p w14:paraId="3A88FF33" w14:textId="52EAD03E" w:rsidR="00596C8A" w:rsidRPr="00596C8A" w:rsidRDefault="00820AA5" w:rsidP="00820AA5">
      <w:pPr>
        <w:pStyle w:val="Caption"/>
      </w:pPr>
      <w:bookmarkStart w:id="5" w:name="_Ref130833841"/>
      <w:r>
        <w:t xml:space="preserve">Table </w:t>
      </w:r>
      <w:r>
        <w:fldChar w:fldCharType="begin"/>
      </w:r>
      <w:r>
        <w:instrText xml:space="preserve"> SEQ Table \* ARABIC </w:instrText>
      </w:r>
      <w:r>
        <w:fldChar w:fldCharType="separate"/>
      </w:r>
      <w:r w:rsidR="007B1CF0">
        <w:rPr>
          <w:noProof/>
        </w:rPr>
        <w:t>1</w:t>
      </w:r>
      <w:r>
        <w:fldChar w:fldCharType="end"/>
      </w:r>
      <w:bookmarkEnd w:id="5"/>
      <w:r>
        <w:tab/>
      </w:r>
      <w:r w:rsidR="001F0F2E">
        <w:t>TRUQAP</w:t>
      </w:r>
      <w:r w:rsidR="001F0F2E" w:rsidRPr="00596C8A">
        <w:t xml:space="preserve"> </w:t>
      </w:r>
      <w:r w:rsidRPr="00596C8A">
        <w:t>dosing schedule</w:t>
      </w:r>
      <w:r>
        <w:t xml:space="preserve"> </w:t>
      </w:r>
      <w:r w:rsidRPr="00596C8A">
        <w:t>for each week</w:t>
      </w:r>
      <w:fldSimple w:instr=" DOCVARIABLE vault_nd_04ecfd9c-cdaf-42ea-a866-cd053c975913 \* MERGEFORMAT ">
        <w:r w:rsidR="00BD4838">
          <w:t xml:space="preserve"> </w:t>
        </w:r>
      </w:fldSimple>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6"/>
        <w:gridCol w:w="1186"/>
        <w:gridCol w:w="1186"/>
        <w:gridCol w:w="1187"/>
        <w:gridCol w:w="1186"/>
        <w:gridCol w:w="1186"/>
        <w:gridCol w:w="1186"/>
        <w:gridCol w:w="1187"/>
      </w:tblGrid>
      <w:tr w:rsidR="00BB5A4B" w:rsidRPr="00BB5A4B" w14:paraId="1C25B630" w14:textId="77777777" w:rsidTr="00975E92">
        <w:trPr>
          <w:trHeight w:val="516"/>
        </w:trPr>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0CA85D7" w14:textId="4F130B8E" w:rsidR="00BB5A4B" w:rsidRPr="00BB5A4B" w:rsidRDefault="00BB5A4B" w:rsidP="00BB5A4B">
            <w:pPr>
              <w:pStyle w:val="Paragraph"/>
            </w:pP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547D748D" w14:textId="1D7EEF17" w:rsidR="00BB5A4B" w:rsidRPr="00BB5A4B" w:rsidRDefault="005207E0" w:rsidP="00A86AA4">
            <w:pPr>
              <w:pStyle w:val="Paragraph"/>
              <w:jc w:val="center"/>
            </w:pPr>
            <w:r>
              <w:rPr>
                <w:b/>
                <w:bCs/>
              </w:rPr>
              <w:t xml:space="preserve">Day </w:t>
            </w:r>
            <w:r w:rsidR="00BB5A4B" w:rsidRPr="00BB5A4B">
              <w:rPr>
                <w:b/>
                <w:bCs/>
              </w:rPr>
              <w:t>1</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BED3131" w14:textId="4BF4F94F" w:rsidR="00BB5A4B" w:rsidRPr="00BB5A4B" w:rsidRDefault="005207E0" w:rsidP="00A86AA4">
            <w:pPr>
              <w:pStyle w:val="Paragraph"/>
              <w:jc w:val="center"/>
            </w:pPr>
            <w:r>
              <w:rPr>
                <w:b/>
                <w:bCs/>
              </w:rPr>
              <w:t xml:space="preserve">Day </w:t>
            </w:r>
            <w:r w:rsidR="00BB5A4B" w:rsidRPr="00BB5A4B">
              <w:rPr>
                <w:b/>
                <w:bCs/>
              </w:rPr>
              <w:t>2</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14:paraId="05851B31" w14:textId="44A36E31" w:rsidR="00BB5A4B" w:rsidRPr="00BB5A4B" w:rsidRDefault="005207E0" w:rsidP="00A86AA4">
            <w:pPr>
              <w:pStyle w:val="Paragraph"/>
              <w:jc w:val="center"/>
            </w:pPr>
            <w:r>
              <w:rPr>
                <w:b/>
                <w:bCs/>
              </w:rPr>
              <w:t xml:space="preserve">Day </w:t>
            </w:r>
            <w:r w:rsidR="00BB5A4B" w:rsidRPr="00BB5A4B">
              <w:rPr>
                <w:b/>
                <w:bCs/>
              </w:rPr>
              <w:t>3</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5E70D9FA" w14:textId="17476F85" w:rsidR="00BB5A4B" w:rsidRPr="00BB5A4B" w:rsidRDefault="005207E0" w:rsidP="00A86AA4">
            <w:pPr>
              <w:pStyle w:val="Paragraph"/>
              <w:jc w:val="center"/>
            </w:pPr>
            <w:r>
              <w:rPr>
                <w:b/>
                <w:bCs/>
              </w:rPr>
              <w:t xml:space="preserve">Day </w:t>
            </w:r>
            <w:r w:rsidR="00BB5A4B" w:rsidRPr="00BB5A4B">
              <w:rPr>
                <w:b/>
                <w:bCs/>
              </w:rPr>
              <w:t>4</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2A6727FC" w14:textId="7A5284ED" w:rsidR="00BB5A4B" w:rsidRPr="00BB5A4B" w:rsidRDefault="005207E0" w:rsidP="00A86AA4">
            <w:pPr>
              <w:pStyle w:val="Paragraph"/>
              <w:jc w:val="center"/>
            </w:pPr>
            <w:r>
              <w:rPr>
                <w:b/>
                <w:bCs/>
              </w:rPr>
              <w:t xml:space="preserve">Day </w:t>
            </w:r>
            <w:r w:rsidR="00BB5A4B" w:rsidRPr="00BB5A4B">
              <w:rPr>
                <w:b/>
                <w:bCs/>
              </w:rPr>
              <w:t>5*</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5275B20E" w14:textId="4D641D43" w:rsidR="00BB5A4B" w:rsidRPr="00BB5A4B" w:rsidRDefault="005207E0" w:rsidP="00A86AA4">
            <w:pPr>
              <w:pStyle w:val="Paragraph"/>
              <w:jc w:val="center"/>
            </w:pPr>
            <w:r>
              <w:rPr>
                <w:b/>
                <w:bCs/>
              </w:rPr>
              <w:t xml:space="preserve">Day </w:t>
            </w:r>
            <w:r w:rsidR="00BB5A4B" w:rsidRPr="00BB5A4B">
              <w:rPr>
                <w:b/>
                <w:bCs/>
              </w:rPr>
              <w:t>6*</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14:paraId="083CB62E" w14:textId="3A5B49F5" w:rsidR="00BB5A4B" w:rsidRPr="00BB5A4B" w:rsidRDefault="00C54EE3" w:rsidP="00A86AA4">
            <w:pPr>
              <w:pStyle w:val="Paragraph"/>
              <w:jc w:val="center"/>
            </w:pPr>
            <w:r>
              <w:rPr>
                <w:b/>
                <w:bCs/>
              </w:rPr>
              <w:t xml:space="preserve">Day </w:t>
            </w:r>
            <w:r w:rsidR="00BB5A4B" w:rsidRPr="00BB5A4B">
              <w:rPr>
                <w:b/>
                <w:bCs/>
              </w:rPr>
              <w:t>7*</w:t>
            </w:r>
          </w:p>
        </w:tc>
      </w:tr>
      <w:tr w:rsidR="00BB5A4B" w:rsidRPr="00BB5A4B" w14:paraId="73DC6A23" w14:textId="77777777" w:rsidTr="004F0C4F">
        <w:trPr>
          <w:trHeight w:val="516"/>
        </w:trPr>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DCB211B" w14:textId="09E7FDD3" w:rsidR="00BB5A4B" w:rsidRPr="00BB5A4B" w:rsidRDefault="00BB5A4B" w:rsidP="005207E0">
            <w:pPr>
              <w:pStyle w:val="Paragraph"/>
              <w:jc w:val="center"/>
            </w:pPr>
            <w:r w:rsidRPr="00BB5A4B">
              <w:rPr>
                <w:b/>
                <w:bCs/>
              </w:rPr>
              <w:t>Morning</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24C20890" w14:textId="04B9DDD6" w:rsidR="00BB5A4B" w:rsidRPr="004F0C4F" w:rsidRDefault="00BB5A4B" w:rsidP="00A86AA4">
            <w:pPr>
              <w:pStyle w:val="Paragraph"/>
              <w:jc w:val="center"/>
            </w:pPr>
            <w:r w:rsidRPr="004F0C4F">
              <w:t>2 x 200 mg</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42CF4A9D" w14:textId="697FFD6F" w:rsidR="00BB5A4B" w:rsidRPr="004F0C4F" w:rsidRDefault="00BB5A4B" w:rsidP="00A86AA4">
            <w:pPr>
              <w:pStyle w:val="Paragraph"/>
              <w:jc w:val="center"/>
            </w:pPr>
            <w:r w:rsidRPr="004F0C4F">
              <w:t>2 x 200 mg</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14:paraId="256E3BC2" w14:textId="6E2A68FB" w:rsidR="00BB5A4B" w:rsidRPr="004F0C4F" w:rsidRDefault="00BB5A4B" w:rsidP="00A86AA4">
            <w:pPr>
              <w:pStyle w:val="Paragraph"/>
              <w:jc w:val="center"/>
            </w:pPr>
            <w:r w:rsidRPr="004F0C4F">
              <w:t>2 x 200 mg</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10F74956" w14:textId="6C0A6755" w:rsidR="00BB5A4B" w:rsidRPr="004F0C4F" w:rsidRDefault="00BB5A4B" w:rsidP="00A86AA4">
            <w:pPr>
              <w:pStyle w:val="Paragraph"/>
              <w:jc w:val="center"/>
            </w:pPr>
            <w:r w:rsidRPr="004F0C4F">
              <w:t>2 x 200 mg</w:t>
            </w:r>
          </w:p>
        </w:tc>
        <w:tc>
          <w:tcPr>
            <w:tcW w:w="1186" w:type="dxa"/>
            <w:tcBorders>
              <w:top w:val="single" w:sz="6" w:space="0" w:color="auto"/>
              <w:left w:val="single" w:sz="6" w:space="0" w:color="auto"/>
              <w:bottom w:val="single" w:sz="6" w:space="0" w:color="auto"/>
              <w:right w:val="single" w:sz="6" w:space="0" w:color="auto"/>
              <w:tl2br w:val="single" w:sz="4" w:space="0" w:color="auto"/>
            </w:tcBorders>
            <w:shd w:val="clear" w:color="auto" w:fill="auto"/>
            <w:hideMark/>
          </w:tcPr>
          <w:p w14:paraId="79C52322" w14:textId="662B1559" w:rsidR="00BB5A4B" w:rsidRPr="00BB5A4B" w:rsidRDefault="00BB5A4B" w:rsidP="00A86AA4">
            <w:pPr>
              <w:pStyle w:val="Paragraph"/>
              <w:jc w:val="center"/>
            </w:pPr>
          </w:p>
        </w:tc>
        <w:tc>
          <w:tcPr>
            <w:tcW w:w="1186" w:type="dxa"/>
            <w:tcBorders>
              <w:top w:val="single" w:sz="6" w:space="0" w:color="auto"/>
              <w:left w:val="single" w:sz="6" w:space="0" w:color="auto"/>
              <w:bottom w:val="single" w:sz="6" w:space="0" w:color="auto"/>
              <w:right w:val="single" w:sz="6" w:space="0" w:color="auto"/>
              <w:tl2br w:val="single" w:sz="4" w:space="0" w:color="auto"/>
            </w:tcBorders>
            <w:shd w:val="clear" w:color="auto" w:fill="auto"/>
            <w:hideMark/>
          </w:tcPr>
          <w:p w14:paraId="1AE1C6B7" w14:textId="1DDEDFB6" w:rsidR="00BB5A4B" w:rsidRPr="00BB5A4B" w:rsidRDefault="00BB5A4B" w:rsidP="00A86AA4">
            <w:pPr>
              <w:pStyle w:val="Paragraph"/>
              <w:jc w:val="center"/>
            </w:pPr>
          </w:p>
        </w:tc>
        <w:tc>
          <w:tcPr>
            <w:tcW w:w="1187" w:type="dxa"/>
            <w:tcBorders>
              <w:top w:val="single" w:sz="6" w:space="0" w:color="auto"/>
              <w:left w:val="single" w:sz="6" w:space="0" w:color="auto"/>
              <w:bottom w:val="single" w:sz="6" w:space="0" w:color="auto"/>
              <w:right w:val="single" w:sz="6" w:space="0" w:color="auto"/>
              <w:tl2br w:val="single" w:sz="4" w:space="0" w:color="auto"/>
            </w:tcBorders>
            <w:shd w:val="clear" w:color="auto" w:fill="auto"/>
            <w:hideMark/>
          </w:tcPr>
          <w:p w14:paraId="62911B97" w14:textId="0A38FD92" w:rsidR="00BB5A4B" w:rsidRPr="00BB5A4B" w:rsidRDefault="00BB5A4B" w:rsidP="00A86AA4">
            <w:pPr>
              <w:pStyle w:val="Paragraph"/>
              <w:jc w:val="center"/>
            </w:pPr>
          </w:p>
        </w:tc>
      </w:tr>
      <w:tr w:rsidR="00BB5A4B" w:rsidRPr="00BB5A4B" w14:paraId="21370D41" w14:textId="77777777" w:rsidTr="004F0C4F">
        <w:trPr>
          <w:trHeight w:val="516"/>
        </w:trPr>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9E0AB56" w14:textId="24012CD2" w:rsidR="00BB5A4B" w:rsidRPr="00BB5A4B" w:rsidRDefault="00BB5A4B" w:rsidP="005207E0">
            <w:pPr>
              <w:pStyle w:val="Paragraph"/>
              <w:jc w:val="center"/>
            </w:pPr>
            <w:r w:rsidRPr="00BB5A4B">
              <w:rPr>
                <w:b/>
                <w:bCs/>
              </w:rPr>
              <w:t>Evening</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B19EE5D" w14:textId="47648336" w:rsidR="00BB5A4B" w:rsidRPr="004F0C4F" w:rsidRDefault="00BB5A4B" w:rsidP="00A86AA4">
            <w:pPr>
              <w:pStyle w:val="Paragraph"/>
              <w:jc w:val="center"/>
            </w:pPr>
            <w:r w:rsidRPr="004F0C4F">
              <w:t>2 x 200 mg</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5CDA43BE" w14:textId="760A78CB" w:rsidR="00BB5A4B" w:rsidRPr="004F0C4F" w:rsidRDefault="00BB5A4B" w:rsidP="00A86AA4">
            <w:pPr>
              <w:pStyle w:val="Paragraph"/>
              <w:jc w:val="center"/>
            </w:pPr>
            <w:r w:rsidRPr="004F0C4F">
              <w:t>2 x 200 mg</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14:paraId="3C65C7D6" w14:textId="0AC8FD35" w:rsidR="00BB5A4B" w:rsidRPr="004F0C4F" w:rsidRDefault="00BB5A4B" w:rsidP="00A86AA4">
            <w:pPr>
              <w:pStyle w:val="Paragraph"/>
              <w:jc w:val="center"/>
            </w:pPr>
            <w:r w:rsidRPr="004F0C4F">
              <w:t>2 x 200 mg</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27B0213A" w14:textId="5BA69EA9" w:rsidR="00BB5A4B" w:rsidRPr="004F0C4F" w:rsidRDefault="00BB5A4B" w:rsidP="00A86AA4">
            <w:pPr>
              <w:pStyle w:val="Paragraph"/>
              <w:jc w:val="center"/>
            </w:pPr>
            <w:r w:rsidRPr="004F0C4F">
              <w:t>2 x 200 mg</w:t>
            </w:r>
          </w:p>
        </w:tc>
        <w:tc>
          <w:tcPr>
            <w:tcW w:w="1186" w:type="dxa"/>
            <w:tcBorders>
              <w:top w:val="single" w:sz="6" w:space="0" w:color="auto"/>
              <w:left w:val="single" w:sz="6" w:space="0" w:color="auto"/>
              <w:bottom w:val="single" w:sz="6" w:space="0" w:color="auto"/>
              <w:right w:val="single" w:sz="6" w:space="0" w:color="auto"/>
              <w:tl2br w:val="single" w:sz="4" w:space="0" w:color="auto"/>
            </w:tcBorders>
            <w:shd w:val="clear" w:color="auto" w:fill="auto"/>
            <w:hideMark/>
          </w:tcPr>
          <w:p w14:paraId="2AF788A9" w14:textId="2221B361" w:rsidR="00BB5A4B" w:rsidRPr="00BB5A4B" w:rsidRDefault="00BB5A4B" w:rsidP="00A86AA4">
            <w:pPr>
              <w:pStyle w:val="Paragraph"/>
              <w:jc w:val="center"/>
            </w:pPr>
          </w:p>
        </w:tc>
        <w:tc>
          <w:tcPr>
            <w:tcW w:w="1186" w:type="dxa"/>
            <w:tcBorders>
              <w:top w:val="single" w:sz="6" w:space="0" w:color="auto"/>
              <w:left w:val="single" w:sz="6" w:space="0" w:color="auto"/>
              <w:bottom w:val="single" w:sz="6" w:space="0" w:color="auto"/>
              <w:right w:val="single" w:sz="6" w:space="0" w:color="auto"/>
              <w:tl2br w:val="single" w:sz="4" w:space="0" w:color="auto"/>
            </w:tcBorders>
            <w:shd w:val="clear" w:color="auto" w:fill="auto"/>
            <w:hideMark/>
          </w:tcPr>
          <w:p w14:paraId="75428605" w14:textId="01EB5EFE" w:rsidR="00BB5A4B" w:rsidRPr="00BB5A4B" w:rsidRDefault="00BB5A4B" w:rsidP="00A86AA4">
            <w:pPr>
              <w:pStyle w:val="Paragraph"/>
              <w:jc w:val="center"/>
            </w:pPr>
          </w:p>
        </w:tc>
        <w:tc>
          <w:tcPr>
            <w:tcW w:w="1187" w:type="dxa"/>
            <w:tcBorders>
              <w:top w:val="single" w:sz="6" w:space="0" w:color="auto"/>
              <w:left w:val="single" w:sz="6" w:space="0" w:color="auto"/>
              <w:bottom w:val="single" w:sz="6" w:space="0" w:color="auto"/>
              <w:right w:val="single" w:sz="6" w:space="0" w:color="auto"/>
              <w:tl2br w:val="single" w:sz="4" w:space="0" w:color="auto"/>
            </w:tcBorders>
            <w:shd w:val="clear" w:color="auto" w:fill="auto"/>
            <w:hideMark/>
          </w:tcPr>
          <w:p w14:paraId="141C6ABA" w14:textId="3DA7E614" w:rsidR="00BB5A4B" w:rsidRPr="00BB5A4B" w:rsidRDefault="00BB5A4B" w:rsidP="00A86AA4">
            <w:pPr>
              <w:pStyle w:val="Paragraph"/>
              <w:jc w:val="center"/>
            </w:pPr>
          </w:p>
        </w:tc>
      </w:tr>
    </w:tbl>
    <w:p w14:paraId="4FBEF610" w14:textId="49431428" w:rsidR="008B471B" w:rsidRDefault="00C84559" w:rsidP="00C84559">
      <w:pPr>
        <w:pStyle w:val="Paragraph"/>
      </w:pPr>
      <w:r>
        <w:t>*No dosi</w:t>
      </w:r>
      <w:r w:rsidR="00E72B64">
        <w:t>ng on day 5, 6 and 7.</w:t>
      </w:r>
    </w:p>
    <w:p w14:paraId="65057491" w14:textId="6F994AC9" w:rsidR="00E72B64" w:rsidRPr="00E60D94" w:rsidRDefault="00E72B64" w:rsidP="006C4A63">
      <w:pPr>
        <w:pStyle w:val="Heading4NoTOC"/>
      </w:pPr>
      <w:r w:rsidRPr="00E60D94">
        <w:t xml:space="preserve">Duration of </w:t>
      </w:r>
      <w:r w:rsidR="00975E92" w:rsidRPr="00E60D94">
        <w:t>treatment</w:t>
      </w:r>
    </w:p>
    <w:p w14:paraId="3BADAF43" w14:textId="1D190C9C" w:rsidR="0049018D" w:rsidRDefault="008B471B" w:rsidP="00105C5E">
      <w:pPr>
        <w:pStyle w:val="Paragraph"/>
      </w:pPr>
      <w:r>
        <w:t xml:space="preserve">Treatment with </w:t>
      </w:r>
      <w:proofErr w:type="spellStart"/>
      <w:r>
        <w:t>capivasertib</w:t>
      </w:r>
      <w:proofErr w:type="spellEnd"/>
      <w:r>
        <w:t xml:space="preserve"> should continue until disease progression or unacceptable toxicity occurs.</w:t>
      </w:r>
    </w:p>
    <w:p w14:paraId="5C734953" w14:textId="31C5A4BA" w:rsidR="0080776A" w:rsidRDefault="0080776A" w:rsidP="006C4A63">
      <w:pPr>
        <w:pStyle w:val="Heading4NoTOC"/>
      </w:pPr>
      <w:r w:rsidRPr="0080776A">
        <w:t>Dose adjustments</w:t>
      </w:r>
    </w:p>
    <w:p w14:paraId="064D4DF0" w14:textId="6896B710" w:rsidR="00FA68DA" w:rsidRPr="000125E2" w:rsidRDefault="00FA68DA" w:rsidP="001E236C">
      <w:pPr>
        <w:pStyle w:val="Heading4Unnumbered"/>
      </w:pPr>
      <w:r w:rsidRPr="000125E2">
        <w:t>For</w:t>
      </w:r>
      <w:r w:rsidR="000125E2" w:rsidRPr="000125E2">
        <w:t xml:space="preserve"> </w:t>
      </w:r>
      <w:r w:rsidRPr="000125E2">
        <w:t>A</w:t>
      </w:r>
      <w:r w:rsidR="000125E2" w:rsidRPr="000125E2">
        <w:t>dverse Reactions</w:t>
      </w:r>
      <w:fldSimple w:instr=" DOCVARIABLE vault_nd_197297b0-9790-4d4e-b719-4a70e2d9b9d2 \* MERGEFORMAT ">
        <w:r w:rsidR="00BD4838">
          <w:t xml:space="preserve"> </w:t>
        </w:r>
      </w:fldSimple>
    </w:p>
    <w:p w14:paraId="24F96A45" w14:textId="050694DC" w:rsidR="006875AB" w:rsidRDefault="0080776A" w:rsidP="0080776A">
      <w:pPr>
        <w:pStyle w:val="Paragraph"/>
      </w:pPr>
      <w:r w:rsidRPr="0080776A">
        <w:t xml:space="preserve">Treatment with </w:t>
      </w:r>
      <w:r w:rsidR="000C60F4">
        <w:t>TRUQAP</w:t>
      </w:r>
      <w:r w:rsidR="000C60F4" w:rsidRPr="0080776A">
        <w:t xml:space="preserve"> </w:t>
      </w:r>
      <w:r w:rsidRPr="0080776A">
        <w:t xml:space="preserve">may be interrupted to manage adverse reactions and dose reduction can be considered. Dose reductions for </w:t>
      </w:r>
      <w:proofErr w:type="spellStart"/>
      <w:r w:rsidRPr="0080776A">
        <w:t>capivasertib</w:t>
      </w:r>
      <w:proofErr w:type="spellEnd"/>
      <w:r w:rsidRPr="0080776A">
        <w:t xml:space="preserve"> should be carried out as described in </w:t>
      </w:r>
      <w:r w:rsidR="00C15075">
        <w:fldChar w:fldCharType="begin"/>
      </w:r>
      <w:r w:rsidR="00C15075">
        <w:instrText xml:space="preserve"> REF _Ref130833918 \h </w:instrText>
      </w:r>
      <w:r w:rsidR="00C15075">
        <w:fldChar w:fldCharType="separate"/>
      </w:r>
      <w:r w:rsidR="00C15075">
        <w:t xml:space="preserve">Table </w:t>
      </w:r>
      <w:r w:rsidR="00C15075">
        <w:rPr>
          <w:noProof/>
        </w:rPr>
        <w:t>2</w:t>
      </w:r>
      <w:r w:rsidR="00C15075">
        <w:fldChar w:fldCharType="end"/>
      </w:r>
      <w:r w:rsidRPr="0080776A">
        <w:t xml:space="preserve">. The dose of </w:t>
      </w:r>
      <w:proofErr w:type="spellStart"/>
      <w:r w:rsidRPr="0080776A">
        <w:t>capivasertib</w:t>
      </w:r>
      <w:proofErr w:type="spellEnd"/>
      <w:r w:rsidRPr="0080776A">
        <w:t xml:space="preserve"> can be reduced up to two times. Dose modification guidance for specific adverse reactions is presented in Tables 3</w:t>
      </w:r>
      <w:r w:rsidRPr="0080776A">
        <w:noBreakHyphen/>
        <w:t>5. </w:t>
      </w:r>
    </w:p>
    <w:p w14:paraId="63813FD1" w14:textId="2C1ADD8D" w:rsidR="0080776A" w:rsidRPr="0080776A" w:rsidRDefault="00C15075" w:rsidP="00C15075">
      <w:pPr>
        <w:pStyle w:val="Caption"/>
      </w:pPr>
      <w:bookmarkStart w:id="6" w:name="_Ref130833918"/>
      <w:r>
        <w:t xml:space="preserve">Table </w:t>
      </w:r>
      <w:r>
        <w:fldChar w:fldCharType="begin"/>
      </w:r>
      <w:r>
        <w:instrText xml:space="preserve"> SEQ Table \* ARABIC </w:instrText>
      </w:r>
      <w:r>
        <w:fldChar w:fldCharType="separate"/>
      </w:r>
      <w:r w:rsidR="007B1CF0">
        <w:rPr>
          <w:noProof/>
        </w:rPr>
        <w:t>2</w:t>
      </w:r>
      <w:r>
        <w:fldChar w:fldCharType="end"/>
      </w:r>
      <w:bookmarkEnd w:id="6"/>
      <w:r>
        <w:tab/>
      </w:r>
      <w:r w:rsidR="00067247">
        <w:t>TRUQAP</w:t>
      </w:r>
      <w:r w:rsidR="00067247" w:rsidRPr="004253E2">
        <w:t xml:space="preserve"> </w:t>
      </w:r>
      <w:r w:rsidRPr="004253E2">
        <w:t>Dose reduction guidelines for adverse reactions</w:t>
      </w:r>
      <w:fldSimple w:instr=" DOCVARIABLE vault_nd_95a33478-bb1c-410a-8aeb-a0569c5ec6f9 \* MERGEFORMAT ">
        <w:r w:rsidR="00BD4838">
          <w:t xml:space="preserve"> </w:t>
        </w:r>
      </w:fldSimple>
    </w:p>
    <w:tbl>
      <w:tblPr>
        <w:tblW w:w="9513"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5"/>
        <w:gridCol w:w="3635"/>
        <w:gridCol w:w="3453"/>
      </w:tblGrid>
      <w:tr w:rsidR="004253E2" w:rsidRPr="004253E2" w14:paraId="0C82FD00" w14:textId="77777777" w:rsidTr="006875AB">
        <w:trPr>
          <w:trHeight w:val="300"/>
        </w:trPr>
        <w:tc>
          <w:tcPr>
            <w:tcW w:w="2425" w:type="dxa"/>
            <w:tcBorders>
              <w:top w:val="single" w:sz="6" w:space="0" w:color="auto"/>
              <w:left w:val="single" w:sz="6" w:space="0" w:color="auto"/>
              <w:bottom w:val="single" w:sz="6" w:space="0" w:color="auto"/>
              <w:right w:val="single" w:sz="6" w:space="0" w:color="auto"/>
            </w:tcBorders>
            <w:shd w:val="clear" w:color="auto" w:fill="auto"/>
            <w:hideMark/>
          </w:tcPr>
          <w:p w14:paraId="22B2E53F" w14:textId="1174C26F" w:rsidR="004253E2" w:rsidRPr="004253E2" w:rsidRDefault="00067247" w:rsidP="00EB7D8F">
            <w:pPr>
              <w:pStyle w:val="Paragraph"/>
              <w:jc w:val="center"/>
              <w:rPr>
                <w:b/>
                <w:bCs/>
              </w:rPr>
            </w:pPr>
            <w:r>
              <w:rPr>
                <w:b/>
                <w:bCs/>
              </w:rPr>
              <w:t>TRUQAP</w:t>
            </w:r>
          </w:p>
        </w:tc>
        <w:tc>
          <w:tcPr>
            <w:tcW w:w="3635" w:type="dxa"/>
            <w:tcBorders>
              <w:top w:val="single" w:sz="6" w:space="0" w:color="auto"/>
              <w:left w:val="single" w:sz="6" w:space="0" w:color="auto"/>
              <w:bottom w:val="single" w:sz="6" w:space="0" w:color="auto"/>
              <w:right w:val="single" w:sz="6" w:space="0" w:color="auto"/>
            </w:tcBorders>
            <w:shd w:val="clear" w:color="auto" w:fill="auto"/>
            <w:hideMark/>
          </w:tcPr>
          <w:p w14:paraId="441167CB" w14:textId="21F2ACFF" w:rsidR="004253E2" w:rsidRPr="004253E2" w:rsidRDefault="004253E2" w:rsidP="00EB7D8F">
            <w:pPr>
              <w:pStyle w:val="Paragraph"/>
              <w:jc w:val="center"/>
              <w:rPr>
                <w:b/>
                <w:bCs/>
              </w:rPr>
            </w:pPr>
            <w:r w:rsidRPr="004253E2">
              <w:rPr>
                <w:b/>
                <w:bCs/>
              </w:rPr>
              <w:t>Dose and Schedule</w:t>
            </w:r>
          </w:p>
        </w:tc>
        <w:tc>
          <w:tcPr>
            <w:tcW w:w="3453" w:type="dxa"/>
            <w:tcBorders>
              <w:top w:val="single" w:sz="6" w:space="0" w:color="auto"/>
              <w:left w:val="single" w:sz="6" w:space="0" w:color="auto"/>
              <w:bottom w:val="single" w:sz="6" w:space="0" w:color="auto"/>
              <w:right w:val="single" w:sz="6" w:space="0" w:color="auto"/>
            </w:tcBorders>
            <w:shd w:val="clear" w:color="auto" w:fill="auto"/>
            <w:hideMark/>
          </w:tcPr>
          <w:p w14:paraId="6AC7C2A4" w14:textId="75E366A2" w:rsidR="004253E2" w:rsidRPr="004253E2" w:rsidRDefault="004253E2" w:rsidP="00EB7D8F">
            <w:pPr>
              <w:pStyle w:val="Paragraph"/>
              <w:jc w:val="center"/>
              <w:rPr>
                <w:b/>
                <w:bCs/>
              </w:rPr>
            </w:pPr>
            <w:r w:rsidRPr="004253E2">
              <w:rPr>
                <w:b/>
                <w:bCs/>
              </w:rPr>
              <w:t>Number and Strength of Tablets</w:t>
            </w:r>
          </w:p>
        </w:tc>
      </w:tr>
      <w:tr w:rsidR="004253E2" w:rsidRPr="004253E2" w14:paraId="256DE487" w14:textId="77777777" w:rsidTr="006875AB">
        <w:trPr>
          <w:trHeight w:val="300"/>
        </w:trPr>
        <w:tc>
          <w:tcPr>
            <w:tcW w:w="2425" w:type="dxa"/>
            <w:tcBorders>
              <w:top w:val="single" w:sz="6" w:space="0" w:color="auto"/>
              <w:left w:val="single" w:sz="6" w:space="0" w:color="auto"/>
              <w:bottom w:val="single" w:sz="6" w:space="0" w:color="auto"/>
              <w:right w:val="single" w:sz="6" w:space="0" w:color="auto"/>
            </w:tcBorders>
            <w:shd w:val="clear" w:color="auto" w:fill="auto"/>
            <w:hideMark/>
          </w:tcPr>
          <w:p w14:paraId="1830A060" w14:textId="2FE5574E" w:rsidR="004253E2" w:rsidRPr="004253E2" w:rsidRDefault="004253E2" w:rsidP="00EB7D8F">
            <w:pPr>
              <w:pStyle w:val="Paragraph"/>
              <w:jc w:val="center"/>
            </w:pPr>
            <w:r w:rsidRPr="004253E2">
              <w:t>Starting dose</w:t>
            </w:r>
          </w:p>
        </w:tc>
        <w:tc>
          <w:tcPr>
            <w:tcW w:w="3635" w:type="dxa"/>
            <w:tcBorders>
              <w:top w:val="single" w:sz="6" w:space="0" w:color="auto"/>
              <w:left w:val="single" w:sz="6" w:space="0" w:color="auto"/>
              <w:bottom w:val="single" w:sz="6" w:space="0" w:color="auto"/>
              <w:right w:val="single" w:sz="6" w:space="0" w:color="auto"/>
            </w:tcBorders>
            <w:shd w:val="clear" w:color="auto" w:fill="auto"/>
            <w:hideMark/>
          </w:tcPr>
          <w:p w14:paraId="1C853F45" w14:textId="0C5307F5" w:rsidR="004253E2" w:rsidRPr="004253E2" w:rsidRDefault="004253E2" w:rsidP="00EB7D8F">
            <w:pPr>
              <w:pStyle w:val="Paragraph"/>
              <w:jc w:val="center"/>
            </w:pPr>
            <w:r w:rsidRPr="004253E2">
              <w:t>400 mg twice daily for 4 days followed by 3 days off treatment</w:t>
            </w:r>
          </w:p>
        </w:tc>
        <w:tc>
          <w:tcPr>
            <w:tcW w:w="3453" w:type="dxa"/>
            <w:tcBorders>
              <w:top w:val="single" w:sz="6" w:space="0" w:color="auto"/>
              <w:left w:val="single" w:sz="6" w:space="0" w:color="auto"/>
              <w:bottom w:val="single" w:sz="6" w:space="0" w:color="auto"/>
              <w:right w:val="single" w:sz="6" w:space="0" w:color="auto"/>
            </w:tcBorders>
            <w:shd w:val="clear" w:color="auto" w:fill="auto"/>
            <w:hideMark/>
          </w:tcPr>
          <w:p w14:paraId="3ED8FCFA" w14:textId="6864F374" w:rsidR="004253E2" w:rsidRPr="004253E2" w:rsidRDefault="004253E2" w:rsidP="00EB7D8F">
            <w:pPr>
              <w:pStyle w:val="Paragraph"/>
              <w:jc w:val="center"/>
            </w:pPr>
            <w:r w:rsidRPr="004253E2">
              <w:t>Two 200 mg tablets</w:t>
            </w:r>
          </w:p>
        </w:tc>
      </w:tr>
      <w:tr w:rsidR="004253E2" w:rsidRPr="004253E2" w14:paraId="5C65C97D" w14:textId="77777777" w:rsidTr="006875AB">
        <w:trPr>
          <w:trHeight w:val="300"/>
        </w:trPr>
        <w:tc>
          <w:tcPr>
            <w:tcW w:w="2425" w:type="dxa"/>
            <w:tcBorders>
              <w:top w:val="single" w:sz="6" w:space="0" w:color="auto"/>
              <w:left w:val="single" w:sz="6" w:space="0" w:color="auto"/>
              <w:bottom w:val="single" w:sz="6" w:space="0" w:color="auto"/>
              <w:right w:val="single" w:sz="6" w:space="0" w:color="auto"/>
            </w:tcBorders>
            <w:shd w:val="clear" w:color="auto" w:fill="auto"/>
            <w:hideMark/>
          </w:tcPr>
          <w:p w14:paraId="03E4E37E" w14:textId="03DCA4DA" w:rsidR="004253E2" w:rsidRPr="004253E2" w:rsidRDefault="004253E2" w:rsidP="00EB7D8F">
            <w:pPr>
              <w:pStyle w:val="Paragraph"/>
              <w:jc w:val="center"/>
            </w:pPr>
            <w:r w:rsidRPr="004253E2">
              <w:t>First dose reduction</w:t>
            </w:r>
          </w:p>
        </w:tc>
        <w:tc>
          <w:tcPr>
            <w:tcW w:w="3635" w:type="dxa"/>
            <w:tcBorders>
              <w:top w:val="single" w:sz="6" w:space="0" w:color="auto"/>
              <w:left w:val="single" w:sz="6" w:space="0" w:color="auto"/>
              <w:bottom w:val="single" w:sz="6" w:space="0" w:color="auto"/>
              <w:right w:val="single" w:sz="6" w:space="0" w:color="auto"/>
            </w:tcBorders>
            <w:shd w:val="clear" w:color="auto" w:fill="auto"/>
            <w:hideMark/>
          </w:tcPr>
          <w:p w14:paraId="7EF80115" w14:textId="42ACEE66" w:rsidR="004253E2" w:rsidRPr="004253E2" w:rsidRDefault="004253E2" w:rsidP="00EB7D8F">
            <w:pPr>
              <w:pStyle w:val="Paragraph"/>
              <w:jc w:val="center"/>
            </w:pPr>
            <w:r w:rsidRPr="004253E2">
              <w:t>320 mg twice daily for 4 days followed by 3 days off treatment</w:t>
            </w:r>
          </w:p>
        </w:tc>
        <w:tc>
          <w:tcPr>
            <w:tcW w:w="3453" w:type="dxa"/>
            <w:tcBorders>
              <w:top w:val="single" w:sz="6" w:space="0" w:color="auto"/>
              <w:left w:val="single" w:sz="6" w:space="0" w:color="auto"/>
              <w:bottom w:val="single" w:sz="6" w:space="0" w:color="auto"/>
              <w:right w:val="single" w:sz="6" w:space="0" w:color="auto"/>
            </w:tcBorders>
            <w:shd w:val="clear" w:color="auto" w:fill="auto"/>
            <w:hideMark/>
          </w:tcPr>
          <w:p w14:paraId="0B4E7832" w14:textId="7F42A986" w:rsidR="004253E2" w:rsidRPr="004253E2" w:rsidRDefault="004253E2" w:rsidP="00EB7D8F">
            <w:pPr>
              <w:pStyle w:val="Paragraph"/>
              <w:jc w:val="center"/>
            </w:pPr>
            <w:r w:rsidRPr="004253E2">
              <w:t>Two 160 mg tablets</w:t>
            </w:r>
          </w:p>
        </w:tc>
      </w:tr>
      <w:tr w:rsidR="004253E2" w:rsidRPr="004253E2" w14:paraId="5CCD3AD9" w14:textId="77777777" w:rsidTr="006875AB">
        <w:trPr>
          <w:trHeight w:val="300"/>
        </w:trPr>
        <w:tc>
          <w:tcPr>
            <w:tcW w:w="2425" w:type="dxa"/>
            <w:tcBorders>
              <w:top w:val="single" w:sz="6" w:space="0" w:color="auto"/>
              <w:left w:val="single" w:sz="6" w:space="0" w:color="auto"/>
              <w:bottom w:val="single" w:sz="6" w:space="0" w:color="auto"/>
              <w:right w:val="single" w:sz="6" w:space="0" w:color="auto"/>
            </w:tcBorders>
            <w:shd w:val="clear" w:color="auto" w:fill="auto"/>
            <w:hideMark/>
          </w:tcPr>
          <w:p w14:paraId="47EFAA82" w14:textId="3B6E7E27" w:rsidR="004253E2" w:rsidRPr="004253E2" w:rsidRDefault="004253E2" w:rsidP="00EB7D8F">
            <w:pPr>
              <w:pStyle w:val="Paragraph"/>
              <w:jc w:val="center"/>
            </w:pPr>
            <w:r w:rsidRPr="004253E2">
              <w:t>Second dose reduction</w:t>
            </w:r>
          </w:p>
        </w:tc>
        <w:tc>
          <w:tcPr>
            <w:tcW w:w="3635" w:type="dxa"/>
            <w:tcBorders>
              <w:top w:val="single" w:sz="6" w:space="0" w:color="auto"/>
              <w:left w:val="single" w:sz="6" w:space="0" w:color="auto"/>
              <w:bottom w:val="single" w:sz="6" w:space="0" w:color="auto"/>
              <w:right w:val="single" w:sz="6" w:space="0" w:color="auto"/>
            </w:tcBorders>
            <w:shd w:val="clear" w:color="auto" w:fill="auto"/>
            <w:hideMark/>
          </w:tcPr>
          <w:p w14:paraId="506D1EDC" w14:textId="18EA7D68" w:rsidR="004253E2" w:rsidRPr="004253E2" w:rsidRDefault="004253E2" w:rsidP="00EB7D8F">
            <w:pPr>
              <w:pStyle w:val="Paragraph"/>
              <w:jc w:val="center"/>
            </w:pPr>
            <w:r w:rsidRPr="004253E2">
              <w:t>200 mg twice daily for 4 days followed by 3 days off treatment</w:t>
            </w:r>
          </w:p>
        </w:tc>
        <w:tc>
          <w:tcPr>
            <w:tcW w:w="3453" w:type="dxa"/>
            <w:tcBorders>
              <w:top w:val="single" w:sz="6" w:space="0" w:color="auto"/>
              <w:left w:val="single" w:sz="6" w:space="0" w:color="auto"/>
              <w:bottom w:val="single" w:sz="6" w:space="0" w:color="auto"/>
              <w:right w:val="single" w:sz="6" w:space="0" w:color="auto"/>
            </w:tcBorders>
            <w:shd w:val="clear" w:color="auto" w:fill="auto"/>
            <w:hideMark/>
          </w:tcPr>
          <w:p w14:paraId="0545AB67" w14:textId="76D9AD15" w:rsidR="004253E2" w:rsidRPr="004253E2" w:rsidRDefault="004253E2" w:rsidP="00EB7D8F">
            <w:pPr>
              <w:pStyle w:val="Paragraph"/>
              <w:jc w:val="center"/>
            </w:pPr>
            <w:r w:rsidRPr="004253E2">
              <w:t>One 200 mg tablet</w:t>
            </w:r>
          </w:p>
        </w:tc>
      </w:tr>
    </w:tbl>
    <w:p w14:paraId="0807CDD8" w14:textId="7771D84F" w:rsidR="00CE42A9" w:rsidRDefault="00CE42A9" w:rsidP="00E121A7">
      <w:pPr>
        <w:pStyle w:val="Paragraph"/>
        <w:spacing w:after="0"/>
      </w:pPr>
    </w:p>
    <w:p w14:paraId="1264736E" w14:textId="77777777" w:rsidR="00E121A7" w:rsidRPr="005C1470" w:rsidRDefault="00E121A7" w:rsidP="00E121A7">
      <w:pPr>
        <w:pStyle w:val="Paragraph"/>
        <w:spacing w:after="0"/>
        <w:rPr>
          <w:b/>
          <w:bCs/>
        </w:rPr>
      </w:pPr>
      <w:r w:rsidRPr="005C1470">
        <w:rPr>
          <w:b/>
          <w:bCs/>
        </w:rPr>
        <w:t>Hyperglycaemia </w:t>
      </w:r>
    </w:p>
    <w:p w14:paraId="32ACF90F" w14:textId="229469D8" w:rsidR="00E66299" w:rsidRDefault="00871D9C" w:rsidP="00E121A7">
      <w:pPr>
        <w:pStyle w:val="Paragraph"/>
      </w:pPr>
      <w:r w:rsidRPr="00BC7237">
        <w:t>The optimal clinical management of hyperglycaemia has not been established. The following recommendations are based on limited clinical trial experience from the CAPItello-291 trial.</w:t>
      </w:r>
      <w:r w:rsidR="00A52334">
        <w:t xml:space="preserve"> </w:t>
      </w:r>
      <w:r w:rsidR="000B5548" w:rsidRPr="007F3FB2">
        <w:t xml:space="preserve"> </w:t>
      </w:r>
      <w:r w:rsidR="007F3FB2" w:rsidRPr="00110CF3">
        <w:t>Consultation with an endocrinologist should be considered and therapeutic management as per local guidelines.</w:t>
      </w:r>
      <w:r w:rsidR="007F3FB2">
        <w:t xml:space="preserve"> A</w:t>
      </w:r>
      <w:r w:rsidR="007F3FB2" w:rsidRPr="007F3FB2">
        <w:t xml:space="preserve"> </w:t>
      </w:r>
      <w:r w:rsidR="000B5548" w:rsidRPr="007F3FB2">
        <w:t>potential for hypoglycaemia with antidiabetic medication administration on non-</w:t>
      </w:r>
      <w:r w:rsidR="007F3FB2">
        <w:t>TRUQAP</w:t>
      </w:r>
      <w:r w:rsidR="007F3FB2" w:rsidRPr="007F3FB2">
        <w:t xml:space="preserve"> </w:t>
      </w:r>
      <w:r w:rsidR="000B5548" w:rsidRPr="007F3FB2">
        <w:t>dosing days should be taken in account.</w:t>
      </w:r>
      <w:r w:rsidR="007F3FB2" w:rsidRPr="007F3FB2">
        <w:t xml:space="preserve"> In patients with risk factors for hyperglycaemia, </w:t>
      </w:r>
      <w:r w:rsidR="007F3FB2" w:rsidRPr="007F3FB2">
        <w:lastRenderedPageBreak/>
        <w:t xml:space="preserve">consider monitoring fasting glucose more frequently as clinically indicated (see </w:t>
      </w:r>
      <w:hyperlink w:anchor="_Special_warnings_and" w:history="1">
        <w:r w:rsidR="007F3FB2" w:rsidRPr="00E53D9B">
          <w:rPr>
            <w:rStyle w:val="Hyperlink"/>
            <w:color w:val="auto"/>
          </w:rPr>
          <w:t>section 4.4 Special warnings and precautions for use</w:t>
        </w:r>
      </w:hyperlink>
      <w:r w:rsidR="007F3FB2" w:rsidRPr="007F3FB2">
        <w:t>).</w:t>
      </w:r>
    </w:p>
    <w:p w14:paraId="75749223" w14:textId="2C167618" w:rsidR="00D54DD1" w:rsidRPr="00D54DD1" w:rsidRDefault="00C15075" w:rsidP="00C15075">
      <w:pPr>
        <w:pStyle w:val="Caption"/>
      </w:pPr>
      <w:bookmarkStart w:id="7" w:name="_Ref130834088"/>
      <w:r>
        <w:t xml:space="preserve">Table </w:t>
      </w:r>
      <w:r>
        <w:fldChar w:fldCharType="begin"/>
      </w:r>
      <w:r>
        <w:instrText xml:space="preserve"> SEQ Table \* ARABIC </w:instrText>
      </w:r>
      <w:r>
        <w:fldChar w:fldCharType="separate"/>
      </w:r>
      <w:r w:rsidR="007B1CF0">
        <w:rPr>
          <w:noProof/>
        </w:rPr>
        <w:t>3</w:t>
      </w:r>
      <w:r>
        <w:fldChar w:fldCharType="end"/>
      </w:r>
      <w:bookmarkEnd w:id="7"/>
      <w:r>
        <w:t xml:space="preserve"> </w:t>
      </w:r>
      <w:r>
        <w:tab/>
      </w:r>
      <w:r w:rsidRPr="00D54DD1">
        <w:t xml:space="preserve">Recommended dose modification for </w:t>
      </w:r>
      <w:r w:rsidR="001F0F2E">
        <w:t>TRUQAP</w:t>
      </w:r>
      <w:r w:rsidR="001F0F2E" w:rsidRPr="00D54DD1">
        <w:t xml:space="preserve"> </w:t>
      </w:r>
      <w:r w:rsidRPr="00D54DD1">
        <w:t>for Hyperglycaemia</w:t>
      </w:r>
      <w:fldSimple w:instr=" DOCVARIABLE vault_nd_4fd9fd7a-c0a3-4d60-8c0c-20e7b9e48f2d \* MERGEFORMAT ">
        <w:r w:rsidR="00BD4838">
          <w:t xml:space="preserve"> </w:t>
        </w:r>
      </w:fldSimple>
    </w:p>
    <w:tbl>
      <w:tblPr>
        <w:tblpPr w:leftFromText="180" w:rightFromText="180" w:vertAnchor="text" w:tblpY="238"/>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4961"/>
      </w:tblGrid>
      <w:tr w:rsidR="00BF44EC" w:rsidRPr="00BF44EC" w14:paraId="17B0BA68" w14:textId="77777777" w:rsidTr="000D4CAF">
        <w:trPr>
          <w:tblHeader/>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3FD6AF03" w14:textId="55996D8A" w:rsidR="00BF44EC" w:rsidRPr="00BF44EC" w:rsidRDefault="00BF44EC" w:rsidP="00BF44EC">
            <w:pPr>
              <w:keepNext/>
              <w:spacing w:after="0" w:line="240" w:lineRule="auto"/>
              <w:jc w:val="center"/>
              <w:textAlignment w:val="baseline"/>
              <w:rPr>
                <w:b/>
                <w:bCs/>
                <w:sz w:val="22"/>
                <w:szCs w:val="22"/>
              </w:rPr>
            </w:pPr>
            <w:r w:rsidRPr="00BF44EC">
              <w:rPr>
                <w:sz w:val="22"/>
                <w:szCs w:val="22"/>
              </w:rPr>
              <w:t> </w:t>
            </w:r>
            <w:r w:rsidRPr="00BF44EC">
              <w:rPr>
                <w:b/>
                <w:bCs/>
                <w:sz w:val="22"/>
                <w:szCs w:val="22"/>
              </w:rPr>
              <w:t xml:space="preserve">CTCAE </w:t>
            </w:r>
            <w:proofErr w:type="spellStart"/>
            <w:r w:rsidRPr="00BF44EC">
              <w:rPr>
                <w:b/>
                <w:bCs/>
                <w:sz w:val="22"/>
                <w:szCs w:val="22"/>
              </w:rPr>
              <w:t>Grade</w:t>
            </w:r>
            <w:r w:rsidRPr="00BF44EC">
              <w:rPr>
                <w:b/>
                <w:bCs/>
                <w:sz w:val="22"/>
                <w:szCs w:val="22"/>
                <w:vertAlign w:val="superscript"/>
              </w:rPr>
              <w:t>a</w:t>
            </w:r>
            <w:proofErr w:type="spellEnd"/>
            <w:r w:rsidRPr="00BF44EC">
              <w:rPr>
                <w:b/>
                <w:bCs/>
                <w:sz w:val="22"/>
                <w:szCs w:val="22"/>
              </w:rPr>
              <w:t xml:space="preserve"> and Fasting Glucose </w:t>
            </w:r>
            <w:r w:rsidRPr="00BF44EC">
              <w:rPr>
                <w:b/>
                <w:bCs/>
                <w:color w:val="000000"/>
                <w:sz w:val="22"/>
                <w:szCs w:val="22"/>
                <w:shd w:val="clear" w:color="auto" w:fill="FFFFFF"/>
              </w:rPr>
              <w:t>(FG)</w:t>
            </w:r>
            <w:r w:rsidRPr="00BF44EC">
              <w:rPr>
                <w:b/>
                <w:bCs/>
                <w:color w:val="000000"/>
                <w:sz w:val="22"/>
                <w:szCs w:val="22"/>
                <w:shd w:val="clear" w:color="auto" w:fill="FFFFFF"/>
                <w:vertAlign w:val="superscript"/>
              </w:rPr>
              <w:t>b</w:t>
            </w:r>
            <w:r w:rsidRPr="00BF44EC">
              <w:rPr>
                <w:b/>
                <w:bCs/>
                <w:color w:val="000000"/>
                <w:sz w:val="22"/>
                <w:szCs w:val="22"/>
                <w:shd w:val="clear" w:color="auto" w:fill="FFFFFF"/>
              </w:rPr>
              <w:t xml:space="preserve"> </w:t>
            </w:r>
            <w:r w:rsidRPr="00BF44EC">
              <w:rPr>
                <w:b/>
                <w:bCs/>
                <w:sz w:val="22"/>
                <w:szCs w:val="22"/>
              </w:rPr>
              <w:t xml:space="preserve">values prior to </w:t>
            </w:r>
            <w:r w:rsidR="00067247">
              <w:rPr>
                <w:b/>
                <w:bCs/>
                <w:sz w:val="22"/>
                <w:szCs w:val="22"/>
              </w:rPr>
              <w:t>TRUQAP</w:t>
            </w:r>
            <w:r w:rsidR="00067247" w:rsidRPr="00BF44EC">
              <w:rPr>
                <w:b/>
                <w:bCs/>
                <w:sz w:val="22"/>
                <w:szCs w:val="22"/>
              </w:rPr>
              <w:t xml:space="preserve"> </w:t>
            </w:r>
            <w:r w:rsidRPr="00BF44EC">
              <w:rPr>
                <w:b/>
                <w:bCs/>
                <w:sz w:val="22"/>
                <w:szCs w:val="22"/>
              </w:rPr>
              <w:t>dose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2A04DD76" w14:textId="08A5B848" w:rsidR="00BF44EC" w:rsidRPr="00BF44EC" w:rsidRDefault="00BF44EC" w:rsidP="00BF44EC">
            <w:pPr>
              <w:keepNext/>
              <w:spacing w:after="0" w:line="240" w:lineRule="auto"/>
              <w:jc w:val="center"/>
              <w:textAlignment w:val="baseline"/>
              <w:rPr>
                <w:b/>
                <w:bCs/>
                <w:sz w:val="22"/>
                <w:szCs w:val="22"/>
              </w:rPr>
            </w:pPr>
            <w:proofErr w:type="spellStart"/>
            <w:r w:rsidRPr="00BF44EC">
              <w:rPr>
                <w:b/>
                <w:bCs/>
                <w:sz w:val="22"/>
                <w:szCs w:val="22"/>
              </w:rPr>
              <w:t>Recommendation</w:t>
            </w:r>
            <w:r w:rsidR="000D4CAF">
              <w:rPr>
                <w:b/>
                <w:bCs/>
                <w:sz w:val="22"/>
                <w:szCs w:val="22"/>
              </w:rPr>
              <w:t>s</w:t>
            </w:r>
            <w:r w:rsidRPr="00BF44EC">
              <w:rPr>
                <w:b/>
                <w:bCs/>
                <w:sz w:val="22"/>
                <w:szCs w:val="22"/>
                <w:vertAlign w:val="superscript"/>
              </w:rPr>
              <w:t>c</w:t>
            </w:r>
            <w:proofErr w:type="spellEnd"/>
          </w:p>
        </w:tc>
      </w:tr>
      <w:tr w:rsidR="00BF44EC" w:rsidRPr="00BF44EC" w14:paraId="59593B96" w14:textId="77777777" w:rsidTr="000D4CAF">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71EBE6A5" w14:textId="77777777" w:rsidR="00BF44EC" w:rsidRPr="00BF44EC" w:rsidRDefault="00BF44EC" w:rsidP="00BF44EC">
            <w:pPr>
              <w:spacing w:after="0" w:line="240" w:lineRule="auto"/>
              <w:jc w:val="center"/>
              <w:textAlignment w:val="baseline"/>
              <w:rPr>
                <w:sz w:val="22"/>
                <w:szCs w:val="22"/>
              </w:rPr>
            </w:pPr>
            <w:r w:rsidRPr="00BF44EC">
              <w:rPr>
                <w:b/>
                <w:bCs/>
                <w:sz w:val="22"/>
                <w:szCs w:val="22"/>
              </w:rPr>
              <w:t>Grade 1</w:t>
            </w:r>
            <w:r w:rsidRPr="00BF44EC">
              <w:rPr>
                <w:sz w:val="22"/>
                <w:szCs w:val="22"/>
              </w:rPr>
              <w:t> </w:t>
            </w:r>
          </w:p>
          <w:p w14:paraId="42F04D3A" w14:textId="6805B95D" w:rsidR="00BF44EC" w:rsidRPr="00BF44EC" w:rsidRDefault="005435BE" w:rsidP="00527463">
            <w:pPr>
              <w:spacing w:after="0" w:line="240" w:lineRule="auto"/>
              <w:jc w:val="center"/>
              <w:textAlignment w:val="baseline"/>
              <w:rPr>
                <w:sz w:val="22"/>
                <w:szCs w:val="22"/>
              </w:rPr>
            </w:pPr>
            <w:r w:rsidRPr="00BF44EC">
              <w:rPr>
                <w:sz w:val="22"/>
                <w:szCs w:val="22"/>
              </w:rPr>
              <w:t>&gt; ULN</w:t>
            </w:r>
            <w:r w:rsidRPr="00BF44EC">
              <w:rPr>
                <w:sz w:val="22"/>
                <w:szCs w:val="22"/>
              </w:rPr>
              <w:noBreakHyphen/>
              <w:t>8.9 mmol/</w:t>
            </w:r>
            <w:proofErr w:type="gramStart"/>
            <w:r w:rsidRPr="00BF44EC">
              <w:rPr>
                <w:sz w:val="22"/>
                <w:szCs w:val="22"/>
              </w:rPr>
              <w:t>L </w:t>
            </w:r>
            <w:r>
              <w:rPr>
                <w:sz w:val="22"/>
                <w:szCs w:val="22"/>
              </w:rPr>
              <w:t xml:space="preserve"> or</w:t>
            </w:r>
            <w:proofErr w:type="gramEnd"/>
            <w:r w:rsidRPr="00BF44EC">
              <w:rPr>
                <w:sz w:val="22"/>
                <w:szCs w:val="22"/>
              </w:rPr>
              <w:t xml:space="preserve"> </w:t>
            </w:r>
            <w:r w:rsidR="00BF44EC" w:rsidRPr="00BF44EC">
              <w:rPr>
                <w:sz w:val="22"/>
                <w:szCs w:val="22"/>
              </w:rPr>
              <w:t>&gt; ULN</w:t>
            </w:r>
            <w:r w:rsidR="00BF44EC" w:rsidRPr="00BF44EC">
              <w:rPr>
                <w:sz w:val="22"/>
                <w:szCs w:val="22"/>
              </w:rPr>
              <w:noBreakHyphen/>
              <w:t xml:space="preserve">160 mg/dL </w:t>
            </w:r>
            <w:r w:rsidR="001A55AD">
              <w:rPr>
                <w:sz w:val="22"/>
                <w:szCs w:val="22"/>
              </w:rPr>
              <w:t>or Hb</w:t>
            </w:r>
            <w:r w:rsidR="00FA15AA">
              <w:rPr>
                <w:sz w:val="22"/>
                <w:szCs w:val="22"/>
              </w:rPr>
              <w:t>A</w:t>
            </w:r>
            <w:r w:rsidR="001A55AD">
              <w:rPr>
                <w:sz w:val="22"/>
                <w:szCs w:val="22"/>
              </w:rPr>
              <w:t>1C &gt; 7%</w:t>
            </w:r>
            <w:r w:rsidR="00BF44EC" w:rsidRPr="00BF44EC">
              <w:rPr>
                <w:sz w:val="22"/>
                <w:szCs w:val="22"/>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17CF7275" w14:textId="57153CA5" w:rsidR="00BF44EC" w:rsidRPr="00310D6A" w:rsidRDefault="00BF44EC" w:rsidP="00994852">
            <w:pPr>
              <w:pStyle w:val="ListParagraph"/>
              <w:numPr>
                <w:ilvl w:val="0"/>
                <w:numId w:val="16"/>
              </w:numPr>
              <w:spacing w:after="0" w:line="240" w:lineRule="auto"/>
              <w:ind w:left="417"/>
              <w:textAlignment w:val="baseline"/>
              <w:rPr>
                <w:sz w:val="22"/>
                <w:szCs w:val="22"/>
              </w:rPr>
            </w:pPr>
            <w:r w:rsidRPr="00310D6A">
              <w:rPr>
                <w:sz w:val="22"/>
                <w:szCs w:val="22"/>
              </w:rPr>
              <w:t xml:space="preserve">No </w:t>
            </w:r>
            <w:r w:rsidR="00067247">
              <w:rPr>
                <w:sz w:val="22"/>
                <w:szCs w:val="22"/>
              </w:rPr>
              <w:t>TRUQAP</w:t>
            </w:r>
            <w:r w:rsidR="00067247" w:rsidRPr="00310D6A">
              <w:rPr>
                <w:sz w:val="22"/>
                <w:szCs w:val="22"/>
              </w:rPr>
              <w:t xml:space="preserve"> </w:t>
            </w:r>
            <w:r w:rsidRPr="00310D6A">
              <w:rPr>
                <w:sz w:val="22"/>
                <w:szCs w:val="22"/>
              </w:rPr>
              <w:t>dose adjustment required. </w:t>
            </w:r>
          </w:p>
          <w:p w14:paraId="0C66A875" w14:textId="77777777" w:rsidR="00BF44EC" w:rsidRPr="00310D6A" w:rsidRDefault="00BF44EC" w:rsidP="00994852">
            <w:pPr>
              <w:pStyle w:val="ListParagraph"/>
              <w:numPr>
                <w:ilvl w:val="0"/>
                <w:numId w:val="16"/>
              </w:numPr>
              <w:spacing w:after="0" w:line="240" w:lineRule="auto"/>
              <w:ind w:left="417"/>
              <w:textAlignment w:val="baseline"/>
              <w:rPr>
                <w:sz w:val="22"/>
                <w:szCs w:val="22"/>
              </w:rPr>
            </w:pPr>
            <w:r w:rsidRPr="00310D6A">
              <w:rPr>
                <w:color w:val="000000"/>
                <w:sz w:val="22"/>
                <w:szCs w:val="22"/>
              </w:rPr>
              <w:t>Consider initiation or intensification of oral anti-diabetic treatment. </w:t>
            </w:r>
          </w:p>
        </w:tc>
      </w:tr>
      <w:tr w:rsidR="00BF44EC" w:rsidRPr="00BF44EC" w14:paraId="13E18E9C" w14:textId="77777777" w:rsidTr="000D4CAF">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4491E832" w14:textId="23F382DC" w:rsidR="00BF44EC" w:rsidRPr="00BF44EC" w:rsidRDefault="00BF44EC" w:rsidP="00763063">
            <w:pPr>
              <w:spacing w:after="0" w:line="240" w:lineRule="auto"/>
              <w:jc w:val="center"/>
              <w:textAlignment w:val="baseline"/>
              <w:rPr>
                <w:sz w:val="22"/>
                <w:szCs w:val="22"/>
              </w:rPr>
            </w:pPr>
            <w:r w:rsidRPr="00BF44EC">
              <w:rPr>
                <w:b/>
                <w:bCs/>
                <w:sz w:val="22"/>
                <w:szCs w:val="22"/>
              </w:rPr>
              <w:t>Grade 2</w:t>
            </w:r>
            <w:r w:rsidRPr="00BF44EC">
              <w:rPr>
                <w:sz w:val="22"/>
                <w:szCs w:val="22"/>
              </w:rPr>
              <w:br/>
            </w:r>
            <w:r w:rsidR="005435BE" w:rsidRPr="00BF44EC">
              <w:rPr>
                <w:sz w:val="22"/>
                <w:szCs w:val="22"/>
              </w:rPr>
              <w:t>&gt; 8.9</w:t>
            </w:r>
            <w:r w:rsidR="005435BE" w:rsidRPr="00BF44EC">
              <w:rPr>
                <w:color w:val="000000"/>
                <w:sz w:val="22"/>
                <w:szCs w:val="22"/>
              </w:rPr>
              <w:noBreakHyphen/>
            </w:r>
            <w:r w:rsidR="005435BE" w:rsidRPr="00BF44EC">
              <w:rPr>
                <w:sz w:val="22"/>
                <w:szCs w:val="22"/>
              </w:rPr>
              <w:t xml:space="preserve">13.9 mmol/L </w:t>
            </w:r>
            <w:r w:rsidR="005435BE">
              <w:rPr>
                <w:sz w:val="22"/>
                <w:szCs w:val="22"/>
              </w:rPr>
              <w:t>or</w:t>
            </w:r>
            <w:r w:rsidR="00C86461">
              <w:rPr>
                <w:sz w:val="22"/>
                <w:szCs w:val="22"/>
              </w:rPr>
              <w:t xml:space="preserve"> </w:t>
            </w:r>
            <w:r w:rsidRPr="00BF44EC">
              <w:rPr>
                <w:sz w:val="22"/>
                <w:szCs w:val="22"/>
              </w:rPr>
              <w:t>&gt; 160</w:t>
            </w:r>
            <w:r w:rsidRPr="00BF44EC">
              <w:rPr>
                <w:sz w:val="22"/>
                <w:szCs w:val="22"/>
              </w:rPr>
              <w:noBreakHyphen/>
              <w:t>250 mg/dL</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2C8590CB" w14:textId="69FE43CC" w:rsidR="00BF44EC" w:rsidRPr="00C41837" w:rsidRDefault="00B362B8" w:rsidP="007D3B31">
            <w:pPr>
              <w:pStyle w:val="ListParagraph"/>
              <w:numPr>
                <w:ilvl w:val="0"/>
                <w:numId w:val="17"/>
              </w:numPr>
              <w:spacing w:after="0" w:line="240" w:lineRule="auto"/>
              <w:ind w:left="417"/>
              <w:textAlignment w:val="baseline"/>
              <w:rPr>
                <w:sz w:val="22"/>
                <w:szCs w:val="22"/>
              </w:rPr>
            </w:pPr>
            <w:r w:rsidRPr="00C41837">
              <w:rPr>
                <w:sz w:val="22"/>
                <w:szCs w:val="22"/>
              </w:rPr>
              <w:t>Withhold TRUQAP until FG decrease ≤ 8.9 mmol/L (or ≤ 160 mg/dL)</w:t>
            </w:r>
            <w:r w:rsidR="00C41837" w:rsidRPr="00C41837">
              <w:rPr>
                <w:sz w:val="22"/>
                <w:szCs w:val="22"/>
              </w:rPr>
              <w:t>.</w:t>
            </w:r>
          </w:p>
          <w:p w14:paraId="1B10924A" w14:textId="5A7C843B" w:rsidR="00BF44EC" w:rsidRPr="00310D6A" w:rsidRDefault="00BF44EC" w:rsidP="00994852">
            <w:pPr>
              <w:pStyle w:val="ListParagraph"/>
              <w:numPr>
                <w:ilvl w:val="0"/>
                <w:numId w:val="17"/>
              </w:numPr>
              <w:spacing w:after="0" w:line="240" w:lineRule="auto"/>
              <w:ind w:left="417"/>
              <w:textAlignment w:val="baseline"/>
              <w:rPr>
                <w:color w:val="000000"/>
                <w:sz w:val="22"/>
                <w:szCs w:val="22"/>
              </w:rPr>
            </w:pPr>
            <w:r w:rsidRPr="00310D6A">
              <w:rPr>
                <w:color w:val="000000"/>
                <w:sz w:val="22"/>
                <w:szCs w:val="22"/>
              </w:rPr>
              <w:t xml:space="preserve">If FG does not decrease </w:t>
            </w:r>
            <w:r w:rsidRPr="00310D6A">
              <w:rPr>
                <w:sz w:val="22"/>
                <w:szCs w:val="22"/>
              </w:rPr>
              <w:t>to</w:t>
            </w:r>
            <w:r w:rsidR="00C41837">
              <w:rPr>
                <w:sz w:val="22"/>
                <w:szCs w:val="22"/>
              </w:rPr>
              <w:t xml:space="preserve"> </w:t>
            </w:r>
            <w:r w:rsidR="00B362B8" w:rsidRPr="00310D6A">
              <w:rPr>
                <w:sz w:val="22"/>
                <w:szCs w:val="22"/>
              </w:rPr>
              <w:t>≤ 8.9 mmol/</w:t>
            </w:r>
            <w:r w:rsidR="00B362B8" w:rsidRPr="00310D6A">
              <w:rPr>
                <w:color w:val="000000"/>
                <w:sz w:val="22"/>
                <w:szCs w:val="22"/>
              </w:rPr>
              <w:t>L</w:t>
            </w:r>
            <w:r w:rsidRPr="00310D6A">
              <w:rPr>
                <w:sz w:val="22"/>
                <w:szCs w:val="22"/>
              </w:rPr>
              <w:t xml:space="preserve"> </w:t>
            </w:r>
            <w:r w:rsidR="0045403E">
              <w:rPr>
                <w:sz w:val="22"/>
                <w:szCs w:val="22"/>
              </w:rPr>
              <w:t xml:space="preserve">(or </w:t>
            </w:r>
            <w:r w:rsidRPr="00310D6A">
              <w:rPr>
                <w:sz w:val="22"/>
                <w:szCs w:val="22"/>
              </w:rPr>
              <w:t>≤ 160 mg/d</w:t>
            </w:r>
            <w:r w:rsidR="00846686" w:rsidRPr="00310D6A">
              <w:rPr>
                <w:sz w:val="22"/>
                <w:szCs w:val="22"/>
              </w:rPr>
              <w:t>L</w:t>
            </w:r>
            <w:r w:rsidRPr="00310D6A">
              <w:rPr>
                <w:color w:val="000000"/>
                <w:sz w:val="22"/>
                <w:szCs w:val="22"/>
              </w:rPr>
              <w:t xml:space="preserve">) with treatment, </w:t>
            </w:r>
            <w:r w:rsidR="00304107">
              <w:rPr>
                <w:color w:val="000000"/>
                <w:sz w:val="22"/>
                <w:szCs w:val="22"/>
              </w:rPr>
              <w:t>withhold</w:t>
            </w:r>
            <w:r w:rsidR="00304107" w:rsidRPr="00310D6A">
              <w:rPr>
                <w:color w:val="000000"/>
                <w:sz w:val="22"/>
                <w:szCs w:val="22"/>
              </w:rPr>
              <w:t xml:space="preserve"> </w:t>
            </w:r>
            <w:r w:rsidR="00067247">
              <w:rPr>
                <w:color w:val="000000"/>
                <w:sz w:val="22"/>
                <w:szCs w:val="22"/>
              </w:rPr>
              <w:t>TRU</w:t>
            </w:r>
            <w:r w:rsidR="001F0F2E">
              <w:rPr>
                <w:color w:val="000000"/>
                <w:sz w:val="22"/>
                <w:szCs w:val="22"/>
              </w:rPr>
              <w:t>Q</w:t>
            </w:r>
            <w:r w:rsidR="00067247">
              <w:rPr>
                <w:color w:val="000000"/>
                <w:sz w:val="22"/>
                <w:szCs w:val="22"/>
              </w:rPr>
              <w:t>AP</w:t>
            </w:r>
            <w:r w:rsidR="00067247" w:rsidRPr="00310D6A">
              <w:rPr>
                <w:color w:val="000000"/>
                <w:sz w:val="22"/>
                <w:szCs w:val="22"/>
              </w:rPr>
              <w:t xml:space="preserve"> </w:t>
            </w:r>
            <w:r w:rsidRPr="00310D6A">
              <w:rPr>
                <w:color w:val="000000"/>
                <w:sz w:val="22"/>
                <w:szCs w:val="22"/>
              </w:rPr>
              <w:t xml:space="preserve">for up to 28 days until FG level decrease to </w:t>
            </w:r>
            <w:r w:rsidR="00A567A5" w:rsidRPr="00310D6A">
              <w:rPr>
                <w:color w:val="000000"/>
                <w:sz w:val="22"/>
                <w:szCs w:val="22"/>
              </w:rPr>
              <w:t>≤ 8.9 mmol/L</w:t>
            </w:r>
            <w:r w:rsidR="00A567A5" w:rsidRPr="00310D6A" w:rsidDel="00A567A5">
              <w:rPr>
                <w:color w:val="000000"/>
                <w:sz w:val="22"/>
                <w:szCs w:val="22"/>
              </w:rPr>
              <w:t xml:space="preserve"> </w:t>
            </w:r>
            <w:r w:rsidR="0045403E">
              <w:rPr>
                <w:color w:val="000000"/>
                <w:sz w:val="22"/>
                <w:szCs w:val="22"/>
              </w:rPr>
              <w:t xml:space="preserve">(or </w:t>
            </w:r>
            <w:r w:rsidRPr="00310D6A">
              <w:rPr>
                <w:color w:val="000000"/>
                <w:sz w:val="22"/>
                <w:szCs w:val="22"/>
              </w:rPr>
              <w:t>≤ 160 mg/dL).  </w:t>
            </w:r>
          </w:p>
          <w:p w14:paraId="65C8F2DA" w14:textId="75E9AFAF" w:rsidR="00BF44EC" w:rsidRPr="00310D6A" w:rsidRDefault="00BF44EC" w:rsidP="00994852">
            <w:pPr>
              <w:pStyle w:val="ListParagraph"/>
              <w:numPr>
                <w:ilvl w:val="0"/>
                <w:numId w:val="17"/>
              </w:numPr>
              <w:spacing w:after="0" w:line="240" w:lineRule="auto"/>
              <w:ind w:left="417"/>
              <w:textAlignment w:val="baseline"/>
              <w:rPr>
                <w:color w:val="000000"/>
                <w:sz w:val="22"/>
                <w:szCs w:val="22"/>
              </w:rPr>
            </w:pPr>
            <w:r w:rsidRPr="00310D6A">
              <w:rPr>
                <w:color w:val="000000"/>
                <w:sz w:val="22"/>
                <w:szCs w:val="22"/>
              </w:rPr>
              <w:t xml:space="preserve">If improvement to </w:t>
            </w:r>
            <w:r w:rsidR="00A567A5" w:rsidRPr="00310D6A">
              <w:rPr>
                <w:color w:val="000000"/>
                <w:sz w:val="22"/>
                <w:szCs w:val="22"/>
              </w:rPr>
              <w:t>≤ 8.9 mmol/L</w:t>
            </w:r>
            <w:r w:rsidR="00A567A5" w:rsidRPr="00310D6A" w:rsidDel="00A567A5">
              <w:rPr>
                <w:color w:val="000000"/>
                <w:sz w:val="22"/>
                <w:szCs w:val="22"/>
              </w:rPr>
              <w:t xml:space="preserve"> </w:t>
            </w:r>
            <w:r w:rsidR="0045403E">
              <w:rPr>
                <w:color w:val="000000"/>
                <w:sz w:val="22"/>
                <w:szCs w:val="22"/>
              </w:rPr>
              <w:t xml:space="preserve">(or </w:t>
            </w:r>
            <w:r w:rsidRPr="00310D6A">
              <w:rPr>
                <w:color w:val="000000"/>
                <w:sz w:val="22"/>
                <w:szCs w:val="22"/>
              </w:rPr>
              <w:t xml:space="preserve">≤ 160 mg/dL) is reached within 28 days, restart </w:t>
            </w:r>
            <w:r w:rsidR="00067247">
              <w:rPr>
                <w:color w:val="000000"/>
                <w:sz w:val="22"/>
                <w:szCs w:val="22"/>
              </w:rPr>
              <w:t>TRUQAP</w:t>
            </w:r>
            <w:r w:rsidR="00067247" w:rsidRPr="00310D6A">
              <w:rPr>
                <w:color w:val="000000"/>
                <w:sz w:val="22"/>
                <w:szCs w:val="22"/>
              </w:rPr>
              <w:t xml:space="preserve"> </w:t>
            </w:r>
            <w:r w:rsidRPr="00310D6A">
              <w:rPr>
                <w:color w:val="000000"/>
                <w:sz w:val="22"/>
                <w:szCs w:val="22"/>
              </w:rPr>
              <w:t xml:space="preserve">at the same dose level and maintain initiated or intensified anti-diabetic treatment. </w:t>
            </w:r>
          </w:p>
          <w:p w14:paraId="69198A75" w14:textId="2105CE21" w:rsidR="00BF44EC" w:rsidRPr="00310D6A" w:rsidRDefault="00BF44EC" w:rsidP="00994852">
            <w:pPr>
              <w:pStyle w:val="ListParagraph"/>
              <w:numPr>
                <w:ilvl w:val="0"/>
                <w:numId w:val="17"/>
              </w:numPr>
              <w:spacing w:after="0" w:line="240" w:lineRule="auto"/>
              <w:ind w:left="417"/>
              <w:textAlignment w:val="baseline"/>
              <w:rPr>
                <w:color w:val="000000"/>
                <w:sz w:val="22"/>
                <w:szCs w:val="22"/>
              </w:rPr>
            </w:pPr>
            <w:r w:rsidRPr="00310D6A">
              <w:rPr>
                <w:color w:val="000000"/>
                <w:sz w:val="22"/>
                <w:szCs w:val="22"/>
              </w:rPr>
              <w:t xml:space="preserve">If improvement to </w:t>
            </w:r>
            <w:r w:rsidR="00A567A5" w:rsidRPr="00310D6A">
              <w:rPr>
                <w:color w:val="000000"/>
                <w:sz w:val="22"/>
                <w:szCs w:val="22"/>
              </w:rPr>
              <w:t xml:space="preserve">≤ 8.9 mmol/L </w:t>
            </w:r>
            <w:r w:rsidR="0045403E">
              <w:rPr>
                <w:color w:val="000000"/>
                <w:sz w:val="22"/>
                <w:szCs w:val="22"/>
              </w:rPr>
              <w:t xml:space="preserve">(or </w:t>
            </w:r>
            <w:r w:rsidRPr="00310D6A">
              <w:rPr>
                <w:color w:val="000000"/>
                <w:sz w:val="22"/>
                <w:szCs w:val="22"/>
              </w:rPr>
              <w:t>≤ 160 mg/dL) is reached after 28 days restart at one lower dose level and maintain initiated or intensified anti-diabetic treatment.</w:t>
            </w:r>
          </w:p>
        </w:tc>
      </w:tr>
      <w:tr w:rsidR="00BF44EC" w:rsidRPr="00BF44EC" w14:paraId="1215742F" w14:textId="77777777" w:rsidTr="000D4CAF">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69F118FC" w14:textId="6AC87729" w:rsidR="00BF44EC" w:rsidRPr="00BF44EC" w:rsidRDefault="00BF44EC" w:rsidP="00BF44EC">
            <w:pPr>
              <w:spacing w:after="0" w:line="240" w:lineRule="auto"/>
              <w:jc w:val="center"/>
              <w:textAlignment w:val="baseline"/>
              <w:rPr>
                <w:sz w:val="22"/>
                <w:szCs w:val="22"/>
              </w:rPr>
            </w:pPr>
            <w:r w:rsidRPr="00BF44EC">
              <w:rPr>
                <w:b/>
                <w:bCs/>
                <w:sz w:val="22"/>
                <w:szCs w:val="22"/>
              </w:rPr>
              <w:t>Grade 3</w:t>
            </w:r>
            <w:r w:rsidRPr="00BF44EC">
              <w:rPr>
                <w:sz w:val="22"/>
                <w:szCs w:val="22"/>
              </w:rPr>
              <w:t xml:space="preserve">  </w:t>
            </w:r>
            <w:r w:rsidRPr="00BF44EC">
              <w:rPr>
                <w:sz w:val="22"/>
                <w:szCs w:val="22"/>
              </w:rPr>
              <w:br/>
            </w:r>
            <w:r w:rsidR="0045403E" w:rsidRPr="00BF44EC">
              <w:rPr>
                <w:sz w:val="22"/>
                <w:szCs w:val="22"/>
              </w:rPr>
              <w:t>&gt; 13.9</w:t>
            </w:r>
            <w:r w:rsidR="0045403E" w:rsidRPr="00BF44EC">
              <w:rPr>
                <w:sz w:val="22"/>
                <w:szCs w:val="22"/>
              </w:rPr>
              <w:noBreakHyphen/>
              <w:t xml:space="preserve">27.8 mmol/L </w:t>
            </w:r>
            <w:r w:rsidR="0045403E">
              <w:rPr>
                <w:sz w:val="22"/>
                <w:szCs w:val="22"/>
              </w:rPr>
              <w:t xml:space="preserve">or </w:t>
            </w:r>
            <w:r w:rsidRPr="00BF44EC">
              <w:rPr>
                <w:sz w:val="22"/>
                <w:szCs w:val="22"/>
              </w:rPr>
              <w:t>&gt; 250</w:t>
            </w:r>
            <w:r w:rsidRPr="00BF44EC">
              <w:rPr>
                <w:sz w:val="22"/>
                <w:szCs w:val="22"/>
              </w:rPr>
              <w:noBreakHyphen/>
              <w:t>500 mg/dL </w:t>
            </w:r>
          </w:p>
          <w:p w14:paraId="61587D19" w14:textId="77777777" w:rsidR="00BF44EC" w:rsidRPr="00BF44EC" w:rsidRDefault="00BF44EC" w:rsidP="00BF44EC">
            <w:pPr>
              <w:spacing w:after="0" w:line="240" w:lineRule="auto"/>
              <w:textAlignment w:val="baseline"/>
              <w:rPr>
                <w:sz w:val="22"/>
                <w:szCs w:val="22"/>
              </w:rPr>
            </w:pP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1AC40419" w14:textId="11355056" w:rsidR="00BF44EC" w:rsidRPr="00F65E7F" w:rsidRDefault="00BF44EC" w:rsidP="00994852">
            <w:pPr>
              <w:pStyle w:val="ListParagraph"/>
              <w:numPr>
                <w:ilvl w:val="0"/>
                <w:numId w:val="18"/>
              </w:numPr>
              <w:spacing w:after="0" w:line="240" w:lineRule="auto"/>
              <w:ind w:left="417"/>
              <w:textAlignment w:val="baseline"/>
              <w:rPr>
                <w:sz w:val="22"/>
                <w:szCs w:val="20"/>
              </w:rPr>
            </w:pPr>
            <w:r w:rsidRPr="00F65E7F">
              <w:rPr>
                <w:sz w:val="22"/>
                <w:szCs w:val="20"/>
              </w:rPr>
              <w:t xml:space="preserve">Withhold </w:t>
            </w:r>
            <w:r w:rsidR="00067247">
              <w:rPr>
                <w:sz w:val="22"/>
                <w:szCs w:val="20"/>
              </w:rPr>
              <w:t>TRUQAP</w:t>
            </w:r>
            <w:r w:rsidR="00067247" w:rsidRPr="00F65E7F">
              <w:rPr>
                <w:sz w:val="22"/>
                <w:szCs w:val="20"/>
              </w:rPr>
              <w:t xml:space="preserve"> </w:t>
            </w:r>
            <w:r w:rsidRPr="00F65E7F">
              <w:rPr>
                <w:sz w:val="22"/>
                <w:szCs w:val="20"/>
              </w:rPr>
              <w:t>and consult a</w:t>
            </w:r>
            <w:r w:rsidR="0045403E">
              <w:rPr>
                <w:sz w:val="22"/>
                <w:szCs w:val="20"/>
              </w:rPr>
              <w:t>n</w:t>
            </w:r>
            <w:r w:rsidRPr="00F65E7F">
              <w:rPr>
                <w:sz w:val="22"/>
                <w:szCs w:val="20"/>
              </w:rPr>
              <w:t xml:space="preserve"> </w:t>
            </w:r>
            <w:r w:rsidR="0045403E">
              <w:rPr>
                <w:sz w:val="22"/>
                <w:szCs w:val="20"/>
              </w:rPr>
              <w:t>endocrin</w:t>
            </w:r>
            <w:r w:rsidR="0045403E" w:rsidRPr="00F65E7F">
              <w:rPr>
                <w:sz w:val="22"/>
                <w:szCs w:val="20"/>
              </w:rPr>
              <w:t>ologist</w:t>
            </w:r>
            <w:r w:rsidRPr="00F65E7F">
              <w:rPr>
                <w:sz w:val="22"/>
                <w:szCs w:val="20"/>
              </w:rPr>
              <w:t>.</w:t>
            </w:r>
          </w:p>
          <w:p w14:paraId="18334A01" w14:textId="77777777" w:rsidR="00BF44EC" w:rsidRPr="00F65E7F" w:rsidRDefault="00BF44EC" w:rsidP="00994852">
            <w:pPr>
              <w:pStyle w:val="ListParagraph"/>
              <w:numPr>
                <w:ilvl w:val="0"/>
                <w:numId w:val="18"/>
              </w:numPr>
              <w:spacing w:after="0" w:line="240" w:lineRule="auto"/>
              <w:ind w:left="417"/>
              <w:textAlignment w:val="baseline"/>
              <w:rPr>
                <w:sz w:val="22"/>
                <w:szCs w:val="22"/>
              </w:rPr>
            </w:pPr>
            <w:r w:rsidRPr="00F65E7F">
              <w:rPr>
                <w:sz w:val="22"/>
                <w:szCs w:val="22"/>
              </w:rPr>
              <w:t xml:space="preserve">Initiate or intensify oral anti-diabetic treatment. Consider additional anti-diabetic medicinal products such as insulin, as clinically indicated. </w:t>
            </w:r>
          </w:p>
          <w:p w14:paraId="02AABB3E" w14:textId="77777777" w:rsidR="00BF44EC" w:rsidRPr="00F65E7F" w:rsidRDefault="00BF44EC" w:rsidP="00994852">
            <w:pPr>
              <w:pStyle w:val="ListParagraph"/>
              <w:numPr>
                <w:ilvl w:val="0"/>
                <w:numId w:val="18"/>
              </w:numPr>
              <w:spacing w:after="0" w:line="240" w:lineRule="auto"/>
              <w:ind w:left="417"/>
              <w:textAlignment w:val="baseline"/>
              <w:rPr>
                <w:sz w:val="22"/>
                <w:szCs w:val="22"/>
              </w:rPr>
            </w:pPr>
            <w:r w:rsidRPr="00F65E7F">
              <w:rPr>
                <w:sz w:val="22"/>
                <w:szCs w:val="22"/>
              </w:rPr>
              <w:t>Consider intravenous hydration and provide appropriate clinical management as per local guidelines.</w:t>
            </w:r>
          </w:p>
          <w:p w14:paraId="6ADDF9CF" w14:textId="4FEFE94B" w:rsidR="00BF44EC" w:rsidRPr="00F65E7F" w:rsidRDefault="00BF44EC" w:rsidP="00994852">
            <w:pPr>
              <w:pStyle w:val="ListParagraph"/>
              <w:numPr>
                <w:ilvl w:val="0"/>
                <w:numId w:val="18"/>
              </w:numPr>
              <w:spacing w:after="0" w:line="240" w:lineRule="auto"/>
              <w:ind w:left="417"/>
              <w:textAlignment w:val="baseline"/>
              <w:rPr>
                <w:sz w:val="22"/>
                <w:szCs w:val="22"/>
              </w:rPr>
            </w:pPr>
            <w:r w:rsidRPr="00F65E7F">
              <w:rPr>
                <w:sz w:val="22"/>
                <w:szCs w:val="22"/>
              </w:rPr>
              <w:t xml:space="preserve">If FG decreases to </w:t>
            </w:r>
            <w:r w:rsidR="00A567A5" w:rsidRPr="00F65E7F">
              <w:rPr>
                <w:sz w:val="22"/>
                <w:szCs w:val="22"/>
              </w:rPr>
              <w:t>≤ 8.9 mmol/L</w:t>
            </w:r>
            <w:r w:rsidR="00C86461">
              <w:rPr>
                <w:sz w:val="22"/>
                <w:szCs w:val="22"/>
              </w:rPr>
              <w:t xml:space="preserve"> </w:t>
            </w:r>
            <w:r w:rsidR="0045403E">
              <w:rPr>
                <w:sz w:val="22"/>
                <w:szCs w:val="22"/>
              </w:rPr>
              <w:t>(or</w:t>
            </w:r>
            <w:r w:rsidR="00A567A5" w:rsidRPr="00F65E7F">
              <w:rPr>
                <w:sz w:val="22"/>
                <w:szCs w:val="22"/>
              </w:rPr>
              <w:t xml:space="preserve"> </w:t>
            </w:r>
            <w:r w:rsidRPr="00F65E7F">
              <w:rPr>
                <w:sz w:val="22"/>
                <w:szCs w:val="22"/>
              </w:rPr>
              <w:t xml:space="preserve">≤ 160 mg/dL) within 28 days restart </w:t>
            </w:r>
            <w:r w:rsidR="00002CA7">
              <w:rPr>
                <w:sz w:val="22"/>
                <w:szCs w:val="22"/>
              </w:rPr>
              <w:t>TRUQAP</w:t>
            </w:r>
            <w:r w:rsidR="00002CA7" w:rsidRPr="00F65E7F">
              <w:rPr>
                <w:sz w:val="22"/>
                <w:szCs w:val="22"/>
              </w:rPr>
              <w:t xml:space="preserve"> </w:t>
            </w:r>
            <w:r w:rsidRPr="00F65E7F">
              <w:rPr>
                <w:sz w:val="22"/>
                <w:szCs w:val="22"/>
              </w:rPr>
              <w:t>at one lower dose level and maintain initiated or intensified anti-diabetic treatment.</w:t>
            </w:r>
          </w:p>
          <w:p w14:paraId="60C5748F" w14:textId="0866509D" w:rsidR="00BF44EC" w:rsidRPr="00F65E7F" w:rsidRDefault="00BF44EC" w:rsidP="00994852">
            <w:pPr>
              <w:pStyle w:val="ListParagraph"/>
              <w:numPr>
                <w:ilvl w:val="0"/>
                <w:numId w:val="18"/>
              </w:numPr>
              <w:spacing w:after="0" w:line="240" w:lineRule="auto"/>
              <w:ind w:left="417"/>
              <w:textAlignment w:val="baseline"/>
              <w:rPr>
                <w:sz w:val="22"/>
                <w:szCs w:val="22"/>
              </w:rPr>
            </w:pPr>
            <w:r w:rsidRPr="00F65E7F">
              <w:rPr>
                <w:sz w:val="22"/>
                <w:szCs w:val="22"/>
              </w:rPr>
              <w:t xml:space="preserve">If FG does not decrease to </w:t>
            </w:r>
            <w:r w:rsidR="00CA6660" w:rsidRPr="00F65E7F">
              <w:rPr>
                <w:sz w:val="22"/>
                <w:szCs w:val="22"/>
              </w:rPr>
              <w:t xml:space="preserve">≤ 8.9 mmol/L </w:t>
            </w:r>
            <w:r w:rsidR="00CA6660">
              <w:rPr>
                <w:sz w:val="22"/>
                <w:szCs w:val="22"/>
              </w:rPr>
              <w:t xml:space="preserve">(or </w:t>
            </w:r>
            <w:r w:rsidRPr="00F65E7F">
              <w:rPr>
                <w:sz w:val="22"/>
                <w:szCs w:val="22"/>
              </w:rPr>
              <w:t xml:space="preserve">≤ 160 mg/dL) within 28 days following appropriate treatment permanently discontinue </w:t>
            </w:r>
            <w:r w:rsidR="00002CA7">
              <w:rPr>
                <w:sz w:val="22"/>
                <w:szCs w:val="22"/>
              </w:rPr>
              <w:t>TRUQAP</w:t>
            </w:r>
            <w:r w:rsidRPr="00F65E7F">
              <w:rPr>
                <w:sz w:val="22"/>
                <w:szCs w:val="22"/>
              </w:rPr>
              <w:t>.</w:t>
            </w:r>
          </w:p>
        </w:tc>
      </w:tr>
      <w:tr w:rsidR="00BF44EC" w:rsidRPr="00BF44EC" w14:paraId="29242F87" w14:textId="77777777" w:rsidTr="000D4CAF">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5C16E792" w14:textId="07B3E0CD" w:rsidR="00BF44EC" w:rsidRPr="00BF44EC" w:rsidRDefault="00BF44EC" w:rsidP="00BF44EC">
            <w:pPr>
              <w:spacing w:after="0" w:line="240" w:lineRule="auto"/>
              <w:jc w:val="center"/>
              <w:textAlignment w:val="baseline"/>
              <w:rPr>
                <w:sz w:val="22"/>
                <w:szCs w:val="22"/>
              </w:rPr>
            </w:pPr>
            <w:r w:rsidRPr="00BF44EC">
              <w:rPr>
                <w:b/>
                <w:bCs/>
                <w:sz w:val="22"/>
                <w:szCs w:val="22"/>
              </w:rPr>
              <w:t>Grade 4</w:t>
            </w:r>
            <w:r w:rsidRPr="00BF44EC">
              <w:rPr>
                <w:sz w:val="22"/>
                <w:szCs w:val="22"/>
              </w:rPr>
              <w:t xml:space="preserve">  </w:t>
            </w:r>
            <w:r w:rsidRPr="00BF44EC">
              <w:rPr>
                <w:sz w:val="22"/>
                <w:szCs w:val="22"/>
              </w:rPr>
              <w:br/>
            </w:r>
            <w:r w:rsidR="00CA6660" w:rsidRPr="00BF44EC">
              <w:rPr>
                <w:sz w:val="22"/>
                <w:szCs w:val="22"/>
              </w:rPr>
              <w:t xml:space="preserve">&gt; 27.8 mmol/L </w:t>
            </w:r>
            <w:r w:rsidR="00CA6660">
              <w:rPr>
                <w:sz w:val="22"/>
                <w:szCs w:val="22"/>
              </w:rPr>
              <w:t xml:space="preserve">or </w:t>
            </w:r>
            <w:r w:rsidRPr="00BF44EC">
              <w:rPr>
                <w:sz w:val="22"/>
                <w:szCs w:val="22"/>
              </w:rPr>
              <w:t>&gt; 500 mg/dL  </w:t>
            </w:r>
          </w:p>
          <w:p w14:paraId="75BEA43A" w14:textId="77777777" w:rsidR="00BF44EC" w:rsidRPr="00BF44EC" w:rsidRDefault="00BF44EC" w:rsidP="00BF44EC">
            <w:pPr>
              <w:spacing w:after="0" w:line="240" w:lineRule="auto"/>
              <w:jc w:val="center"/>
              <w:textAlignment w:val="baseline"/>
              <w:rPr>
                <w:sz w:val="22"/>
                <w:szCs w:val="22"/>
              </w:rPr>
            </w:pPr>
            <w:r w:rsidRPr="00BF44EC">
              <w:rPr>
                <w:sz w:val="22"/>
                <w:szCs w:val="22"/>
              </w:rPr>
              <w:t> </w:t>
            </w:r>
          </w:p>
          <w:p w14:paraId="2DAF3D42" w14:textId="77777777" w:rsidR="00BF44EC" w:rsidRPr="00BF44EC" w:rsidRDefault="00BF44EC" w:rsidP="00BF44EC">
            <w:pPr>
              <w:spacing w:after="0" w:line="240" w:lineRule="auto"/>
              <w:textAlignment w:val="baseline"/>
              <w:rPr>
                <w:sz w:val="22"/>
                <w:szCs w:val="22"/>
              </w:rPr>
            </w:pP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36CDCDF1" w14:textId="681CB797" w:rsidR="00BF44EC" w:rsidRPr="003E4AD7" w:rsidRDefault="00BF44EC" w:rsidP="00994852">
            <w:pPr>
              <w:pStyle w:val="ListParagraph"/>
              <w:numPr>
                <w:ilvl w:val="0"/>
                <w:numId w:val="19"/>
              </w:numPr>
              <w:spacing w:after="0" w:line="240" w:lineRule="auto"/>
              <w:ind w:left="417"/>
              <w:textAlignment w:val="baseline"/>
              <w:rPr>
                <w:color w:val="000000"/>
                <w:sz w:val="22"/>
                <w:szCs w:val="22"/>
              </w:rPr>
            </w:pPr>
            <w:r w:rsidRPr="003E4AD7">
              <w:rPr>
                <w:color w:val="000000"/>
                <w:sz w:val="22"/>
                <w:szCs w:val="22"/>
              </w:rPr>
              <w:t xml:space="preserve">Withhold </w:t>
            </w:r>
            <w:r w:rsidR="00002CA7">
              <w:rPr>
                <w:color w:val="000000"/>
                <w:sz w:val="22"/>
                <w:szCs w:val="22"/>
              </w:rPr>
              <w:t>TRUQAP</w:t>
            </w:r>
            <w:r w:rsidR="00002CA7" w:rsidRPr="003E4AD7">
              <w:rPr>
                <w:color w:val="000000"/>
                <w:sz w:val="22"/>
                <w:szCs w:val="22"/>
              </w:rPr>
              <w:t xml:space="preserve"> </w:t>
            </w:r>
            <w:r w:rsidRPr="003E4AD7">
              <w:rPr>
                <w:color w:val="000000"/>
                <w:sz w:val="22"/>
                <w:szCs w:val="22"/>
              </w:rPr>
              <w:t>and consult with a</w:t>
            </w:r>
            <w:r w:rsidR="00CA6660">
              <w:rPr>
                <w:color w:val="000000"/>
                <w:sz w:val="22"/>
                <w:szCs w:val="22"/>
              </w:rPr>
              <w:t>n</w:t>
            </w:r>
            <w:r w:rsidRPr="003E4AD7">
              <w:rPr>
                <w:color w:val="000000"/>
                <w:sz w:val="22"/>
                <w:szCs w:val="22"/>
              </w:rPr>
              <w:t xml:space="preserve"> </w:t>
            </w:r>
            <w:r w:rsidR="00CA6660">
              <w:rPr>
                <w:color w:val="000000"/>
                <w:sz w:val="22"/>
                <w:szCs w:val="22"/>
              </w:rPr>
              <w:t>endocrino</w:t>
            </w:r>
            <w:r w:rsidR="00CA6660" w:rsidRPr="003E4AD7">
              <w:rPr>
                <w:color w:val="000000"/>
                <w:sz w:val="22"/>
                <w:szCs w:val="22"/>
              </w:rPr>
              <w:t>logist</w:t>
            </w:r>
            <w:r w:rsidR="00B82124">
              <w:rPr>
                <w:color w:val="000000"/>
                <w:sz w:val="22"/>
                <w:szCs w:val="22"/>
              </w:rPr>
              <w:t>.</w:t>
            </w:r>
          </w:p>
          <w:p w14:paraId="2884C046" w14:textId="77777777" w:rsidR="00BF44EC" w:rsidRPr="003E4AD7" w:rsidRDefault="00BF44EC" w:rsidP="00994852">
            <w:pPr>
              <w:pStyle w:val="ListParagraph"/>
              <w:numPr>
                <w:ilvl w:val="0"/>
                <w:numId w:val="19"/>
              </w:numPr>
              <w:spacing w:after="0" w:line="240" w:lineRule="auto"/>
              <w:ind w:left="417"/>
              <w:textAlignment w:val="baseline"/>
              <w:rPr>
                <w:color w:val="000000"/>
                <w:sz w:val="22"/>
                <w:szCs w:val="22"/>
              </w:rPr>
            </w:pPr>
            <w:r w:rsidRPr="003E4AD7">
              <w:rPr>
                <w:color w:val="000000"/>
                <w:sz w:val="22"/>
                <w:szCs w:val="22"/>
              </w:rPr>
              <w:t>Initiate or intensify appropriate anti-diabetic treatment.</w:t>
            </w:r>
          </w:p>
          <w:p w14:paraId="07D1025E" w14:textId="77777777" w:rsidR="00BF44EC" w:rsidRPr="003E4AD7" w:rsidRDefault="00BF44EC" w:rsidP="00994852">
            <w:pPr>
              <w:pStyle w:val="ListParagraph"/>
              <w:numPr>
                <w:ilvl w:val="0"/>
                <w:numId w:val="19"/>
              </w:numPr>
              <w:spacing w:after="0" w:line="240" w:lineRule="auto"/>
              <w:ind w:left="417"/>
              <w:textAlignment w:val="baseline"/>
              <w:rPr>
                <w:color w:val="000000"/>
                <w:sz w:val="22"/>
                <w:szCs w:val="22"/>
              </w:rPr>
            </w:pPr>
            <w:r w:rsidRPr="003E4AD7">
              <w:rPr>
                <w:color w:val="000000"/>
                <w:sz w:val="22"/>
                <w:szCs w:val="22"/>
              </w:rPr>
              <w:t>Consider insulin, (dosing and duration as clinically indicated), intravenous hydration and provide appropriate clinical management as per local guidelines.</w:t>
            </w:r>
          </w:p>
          <w:p w14:paraId="785487D1" w14:textId="57A6B123" w:rsidR="00BF44EC" w:rsidRPr="003E4AD7" w:rsidRDefault="00BF44EC" w:rsidP="00994852">
            <w:pPr>
              <w:pStyle w:val="ListParagraph"/>
              <w:numPr>
                <w:ilvl w:val="0"/>
                <w:numId w:val="19"/>
              </w:numPr>
              <w:spacing w:after="0" w:line="240" w:lineRule="auto"/>
              <w:ind w:left="417"/>
              <w:textAlignment w:val="baseline"/>
              <w:rPr>
                <w:color w:val="000000"/>
                <w:sz w:val="22"/>
                <w:szCs w:val="22"/>
              </w:rPr>
            </w:pPr>
            <w:r w:rsidRPr="003E4AD7">
              <w:rPr>
                <w:color w:val="000000"/>
                <w:sz w:val="22"/>
                <w:szCs w:val="22"/>
              </w:rPr>
              <w:t xml:space="preserve">If FG decreases to </w:t>
            </w:r>
            <w:r w:rsidR="00A567A5" w:rsidRPr="003E4AD7">
              <w:rPr>
                <w:color w:val="000000"/>
                <w:sz w:val="22"/>
                <w:szCs w:val="22"/>
              </w:rPr>
              <w:t>≤ 27.8 mmol/L</w:t>
            </w:r>
            <w:r w:rsidR="00A567A5" w:rsidRPr="003E4AD7" w:rsidDel="00A567A5">
              <w:rPr>
                <w:color w:val="000000"/>
                <w:sz w:val="22"/>
                <w:szCs w:val="22"/>
              </w:rPr>
              <w:t xml:space="preserve"> </w:t>
            </w:r>
            <w:r w:rsidR="00CA6660">
              <w:rPr>
                <w:color w:val="000000"/>
                <w:sz w:val="22"/>
                <w:szCs w:val="22"/>
              </w:rPr>
              <w:t>(</w:t>
            </w:r>
            <w:r w:rsidR="00C86461">
              <w:rPr>
                <w:color w:val="000000"/>
                <w:sz w:val="22"/>
                <w:szCs w:val="22"/>
              </w:rPr>
              <w:t>or</w:t>
            </w:r>
            <w:r w:rsidR="00CA6660">
              <w:rPr>
                <w:color w:val="000000"/>
                <w:sz w:val="22"/>
                <w:szCs w:val="22"/>
              </w:rPr>
              <w:t xml:space="preserve"> </w:t>
            </w:r>
            <w:r w:rsidRPr="003E4AD7">
              <w:rPr>
                <w:color w:val="000000"/>
                <w:sz w:val="22"/>
                <w:szCs w:val="22"/>
              </w:rPr>
              <w:t>≤ 500 mg/d</w:t>
            </w:r>
            <w:r w:rsidR="00846686" w:rsidRPr="003E4AD7">
              <w:rPr>
                <w:color w:val="000000"/>
                <w:sz w:val="22"/>
                <w:szCs w:val="22"/>
              </w:rPr>
              <w:t>L</w:t>
            </w:r>
            <w:r w:rsidRPr="003E4AD7">
              <w:rPr>
                <w:color w:val="000000"/>
                <w:sz w:val="22"/>
                <w:szCs w:val="22"/>
              </w:rPr>
              <w:t>) within 24 hours, then follow the guidance in the table for the relevant grade.</w:t>
            </w:r>
          </w:p>
          <w:p w14:paraId="5DEB5B8E" w14:textId="5AD8573D" w:rsidR="00BF44EC" w:rsidRPr="003E4AD7" w:rsidRDefault="00BF44EC" w:rsidP="00994852">
            <w:pPr>
              <w:pStyle w:val="ListParagraph"/>
              <w:numPr>
                <w:ilvl w:val="0"/>
                <w:numId w:val="19"/>
              </w:numPr>
              <w:spacing w:after="0" w:line="240" w:lineRule="auto"/>
              <w:ind w:left="417"/>
              <w:textAlignment w:val="baseline"/>
              <w:rPr>
                <w:sz w:val="22"/>
                <w:szCs w:val="22"/>
              </w:rPr>
            </w:pPr>
            <w:r w:rsidRPr="003E4AD7">
              <w:rPr>
                <w:color w:val="000000"/>
                <w:sz w:val="22"/>
                <w:szCs w:val="22"/>
              </w:rPr>
              <w:lastRenderedPageBreak/>
              <w:t xml:space="preserve">If FG is confirmed at </w:t>
            </w:r>
            <w:r w:rsidR="00A567A5" w:rsidRPr="003E4AD7">
              <w:rPr>
                <w:color w:val="000000"/>
                <w:sz w:val="22"/>
                <w:szCs w:val="22"/>
              </w:rPr>
              <w:t>≥ 27.8 mmol/L</w:t>
            </w:r>
            <w:r w:rsidR="00A567A5">
              <w:rPr>
                <w:color w:val="000000"/>
                <w:sz w:val="22"/>
                <w:szCs w:val="22"/>
              </w:rPr>
              <w:t xml:space="preserve"> </w:t>
            </w:r>
            <w:r w:rsidR="00CA6660">
              <w:rPr>
                <w:color w:val="000000"/>
                <w:sz w:val="22"/>
                <w:szCs w:val="22"/>
              </w:rPr>
              <w:t>(</w:t>
            </w:r>
            <w:r w:rsidR="00C86461">
              <w:rPr>
                <w:color w:val="000000"/>
                <w:sz w:val="22"/>
                <w:szCs w:val="22"/>
              </w:rPr>
              <w:t>or</w:t>
            </w:r>
            <w:r w:rsidR="00CA6660">
              <w:rPr>
                <w:color w:val="000000"/>
                <w:sz w:val="22"/>
                <w:szCs w:val="22"/>
              </w:rPr>
              <w:t xml:space="preserve"> </w:t>
            </w:r>
            <w:r w:rsidRPr="003E4AD7">
              <w:rPr>
                <w:color w:val="000000"/>
                <w:sz w:val="22"/>
                <w:szCs w:val="22"/>
              </w:rPr>
              <w:t>&gt; 500 mg/d</w:t>
            </w:r>
            <w:r w:rsidR="00846686" w:rsidRPr="003E4AD7">
              <w:rPr>
                <w:color w:val="000000"/>
                <w:sz w:val="22"/>
                <w:szCs w:val="22"/>
              </w:rPr>
              <w:t>L</w:t>
            </w:r>
            <w:r w:rsidRPr="003E4AD7">
              <w:rPr>
                <w:color w:val="000000"/>
                <w:sz w:val="22"/>
                <w:szCs w:val="22"/>
              </w:rPr>
              <w:t xml:space="preserve">) after 24 hours, permanently discontinue </w:t>
            </w:r>
            <w:r w:rsidR="00002CA7">
              <w:rPr>
                <w:color w:val="000000"/>
                <w:sz w:val="22"/>
                <w:szCs w:val="22"/>
              </w:rPr>
              <w:t>TRUQAP</w:t>
            </w:r>
            <w:r w:rsidR="00002CA7" w:rsidRPr="003E4AD7">
              <w:rPr>
                <w:color w:val="000000"/>
                <w:sz w:val="22"/>
                <w:szCs w:val="22"/>
              </w:rPr>
              <w:t xml:space="preserve"> </w:t>
            </w:r>
            <w:r w:rsidRPr="003E4AD7">
              <w:rPr>
                <w:color w:val="000000"/>
                <w:sz w:val="22"/>
                <w:szCs w:val="22"/>
              </w:rPr>
              <w:t>treatment.</w:t>
            </w:r>
          </w:p>
        </w:tc>
      </w:tr>
    </w:tbl>
    <w:p w14:paraId="30AB434A" w14:textId="71054AAE" w:rsidR="00CE42A9" w:rsidRPr="00685E76" w:rsidRDefault="002B1293" w:rsidP="00915350">
      <w:pPr>
        <w:pStyle w:val="TableFootnoteInfo"/>
        <w:rPr>
          <w:sz w:val="20"/>
          <w:szCs w:val="20"/>
        </w:rPr>
      </w:pPr>
      <w:r w:rsidRPr="00685E76">
        <w:rPr>
          <w:sz w:val="20"/>
          <w:szCs w:val="20"/>
          <w:vertAlign w:val="superscript"/>
        </w:rPr>
        <w:lastRenderedPageBreak/>
        <w:t>a</w:t>
      </w:r>
      <w:r w:rsidR="009F3D6C" w:rsidRPr="00685E76">
        <w:rPr>
          <w:sz w:val="20"/>
          <w:szCs w:val="20"/>
        </w:rPr>
        <w:t xml:space="preserve"> </w:t>
      </w:r>
      <w:r w:rsidR="00D9186B" w:rsidRPr="00685E76">
        <w:rPr>
          <w:sz w:val="20"/>
          <w:szCs w:val="20"/>
          <w:lang w:val="en-US"/>
        </w:rPr>
        <w:t>Grading according to NCI CTCAE Version 4.03</w:t>
      </w:r>
    </w:p>
    <w:p w14:paraId="2248966E" w14:textId="200C33B4" w:rsidR="009F3D6C" w:rsidRPr="00685E76" w:rsidRDefault="002B1293" w:rsidP="00915350">
      <w:pPr>
        <w:pStyle w:val="TableFootnoteInfo"/>
        <w:rPr>
          <w:sz w:val="20"/>
          <w:szCs w:val="20"/>
        </w:rPr>
      </w:pPr>
      <w:r w:rsidRPr="00685E76">
        <w:rPr>
          <w:sz w:val="20"/>
          <w:szCs w:val="20"/>
          <w:vertAlign w:val="superscript"/>
        </w:rPr>
        <w:t>b</w:t>
      </w:r>
      <w:r w:rsidR="009F3D6C" w:rsidRPr="00685E76">
        <w:rPr>
          <w:sz w:val="20"/>
          <w:szCs w:val="20"/>
        </w:rPr>
        <w:t xml:space="preserve"> </w:t>
      </w:r>
      <w:r w:rsidR="00FC17A0" w:rsidRPr="00685E76">
        <w:rPr>
          <w:sz w:val="20"/>
          <w:szCs w:val="20"/>
        </w:rPr>
        <w:t>Considerations should be also given to increases in HbA1C</w:t>
      </w:r>
    </w:p>
    <w:p w14:paraId="38BA0CAE" w14:textId="1C4D55DE" w:rsidR="009F3D6C" w:rsidRPr="00685E76" w:rsidRDefault="002B1293" w:rsidP="00915350">
      <w:pPr>
        <w:pStyle w:val="TableFootnoteInfo"/>
        <w:rPr>
          <w:sz w:val="20"/>
          <w:szCs w:val="20"/>
        </w:rPr>
      </w:pPr>
      <w:r w:rsidRPr="00685E76">
        <w:rPr>
          <w:sz w:val="20"/>
          <w:szCs w:val="20"/>
          <w:vertAlign w:val="superscript"/>
        </w:rPr>
        <w:t>c</w:t>
      </w:r>
      <w:r w:rsidR="009F3D6C" w:rsidRPr="00685E76">
        <w:rPr>
          <w:sz w:val="20"/>
          <w:szCs w:val="20"/>
          <w:vertAlign w:val="superscript"/>
        </w:rPr>
        <w:t xml:space="preserve"> </w:t>
      </w:r>
      <w:r w:rsidRPr="00685E76">
        <w:rPr>
          <w:sz w:val="20"/>
          <w:szCs w:val="20"/>
        </w:rPr>
        <w:t xml:space="preserve">See </w:t>
      </w:r>
      <w:r w:rsidR="006877D5">
        <w:rPr>
          <w:sz w:val="20"/>
          <w:szCs w:val="20"/>
        </w:rPr>
        <w:t>S</w:t>
      </w:r>
      <w:r w:rsidRPr="00685E76">
        <w:rPr>
          <w:sz w:val="20"/>
          <w:szCs w:val="20"/>
        </w:rPr>
        <w:t xml:space="preserve">ection 4.4 </w:t>
      </w:r>
      <w:bookmarkStart w:id="8" w:name="_Hlk130390265"/>
      <w:r w:rsidRPr="00685E76">
        <w:rPr>
          <w:sz w:val="20"/>
          <w:szCs w:val="20"/>
        </w:rPr>
        <w:t xml:space="preserve">Special warnings and precautions </w:t>
      </w:r>
      <w:bookmarkEnd w:id="8"/>
      <w:r w:rsidRPr="00685E76">
        <w:rPr>
          <w:sz w:val="20"/>
          <w:szCs w:val="20"/>
        </w:rPr>
        <w:t>for further recommendations on monitoring of glycaemia and other metabolic parameters</w:t>
      </w:r>
    </w:p>
    <w:p w14:paraId="3D63BAE6" w14:textId="2B178BF5" w:rsidR="004A2824" w:rsidRPr="005C1470" w:rsidRDefault="004A2824" w:rsidP="00713BD5">
      <w:pPr>
        <w:pStyle w:val="Paragraph"/>
        <w:spacing w:before="240" w:after="0"/>
        <w:rPr>
          <w:b/>
          <w:bCs/>
        </w:rPr>
      </w:pPr>
      <w:r w:rsidRPr="005C1470">
        <w:rPr>
          <w:b/>
          <w:bCs/>
        </w:rPr>
        <w:t>Diarrhoea</w:t>
      </w:r>
    </w:p>
    <w:p w14:paraId="4160ED14" w14:textId="1AFCEA87" w:rsidR="004A2824" w:rsidRPr="004A2824" w:rsidRDefault="00713BD5" w:rsidP="00713BD5">
      <w:pPr>
        <w:pStyle w:val="Paragraph"/>
      </w:pPr>
      <w:r w:rsidRPr="004A2824">
        <w:t xml:space="preserve">Consider secondary prophylaxis in patients with recurrent diarrhoea (see </w:t>
      </w:r>
      <w:hyperlink w:anchor="_Special_warnings_and" w:history="1">
        <w:r w:rsidR="006877D5" w:rsidRPr="00170DA0">
          <w:rPr>
            <w:rStyle w:val="Hyperlink"/>
            <w:color w:val="auto"/>
          </w:rPr>
          <w:t>S</w:t>
        </w:r>
        <w:r w:rsidRPr="00170DA0">
          <w:rPr>
            <w:rStyle w:val="Hyperlink"/>
            <w:color w:val="auto"/>
          </w:rPr>
          <w:t>ection 4.4</w:t>
        </w:r>
        <w:r w:rsidR="006877D5" w:rsidRPr="00170DA0">
          <w:rPr>
            <w:rStyle w:val="Hyperlink"/>
            <w:color w:val="auto"/>
          </w:rPr>
          <w:t xml:space="preserve"> </w:t>
        </w:r>
        <w:r w:rsidR="00624CB3" w:rsidRPr="00170DA0">
          <w:rPr>
            <w:rStyle w:val="Hyperlink"/>
            <w:color w:val="auto"/>
          </w:rPr>
          <w:t>Special warnings and precautions</w:t>
        </w:r>
      </w:hyperlink>
      <w:r w:rsidRPr="004A2824">
        <w:t>)</w:t>
      </w:r>
      <w:r>
        <w:t>.</w:t>
      </w:r>
    </w:p>
    <w:p w14:paraId="3605D8E8" w14:textId="72FA924A" w:rsidR="004A2824" w:rsidRPr="004A2824" w:rsidRDefault="00C15075" w:rsidP="00C15075">
      <w:pPr>
        <w:pStyle w:val="Caption"/>
      </w:pPr>
      <w:bookmarkStart w:id="9" w:name="_Ref130834104"/>
      <w:r>
        <w:t xml:space="preserve">Table </w:t>
      </w:r>
      <w:r>
        <w:fldChar w:fldCharType="begin"/>
      </w:r>
      <w:r>
        <w:instrText xml:space="preserve"> SEQ Table \* ARABIC </w:instrText>
      </w:r>
      <w:r>
        <w:fldChar w:fldCharType="separate"/>
      </w:r>
      <w:r w:rsidR="007B1CF0">
        <w:rPr>
          <w:noProof/>
        </w:rPr>
        <w:t>4</w:t>
      </w:r>
      <w:r>
        <w:fldChar w:fldCharType="end"/>
      </w:r>
      <w:bookmarkEnd w:id="9"/>
      <w:r>
        <w:tab/>
      </w:r>
      <w:r w:rsidRPr="00A3799B">
        <w:t xml:space="preserve">Recommended dose modification for </w:t>
      </w:r>
      <w:r w:rsidR="000C267D">
        <w:t>TRUQAP</w:t>
      </w:r>
      <w:r w:rsidR="000C267D" w:rsidRPr="00A3799B">
        <w:t xml:space="preserve"> </w:t>
      </w:r>
      <w:r w:rsidRPr="00A3799B">
        <w:t>for Diarrhoea</w:t>
      </w:r>
    </w:p>
    <w:tbl>
      <w:tblPr>
        <w:tblW w:w="9086"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3"/>
        <w:gridCol w:w="4543"/>
      </w:tblGrid>
      <w:tr w:rsidR="00B369D4" w:rsidRPr="00B369D4" w14:paraId="446DF646" w14:textId="77777777" w:rsidTr="0060613D">
        <w:trPr>
          <w:tblHeader/>
        </w:trPr>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34B28465" w14:textId="77777777" w:rsidR="00B369D4" w:rsidRPr="00B369D4" w:rsidRDefault="00B369D4" w:rsidP="00B369D4">
            <w:pPr>
              <w:keepNext/>
              <w:spacing w:after="0" w:line="240" w:lineRule="auto"/>
              <w:jc w:val="center"/>
              <w:textAlignment w:val="baseline"/>
              <w:rPr>
                <w:b/>
                <w:bCs/>
                <w:sz w:val="22"/>
                <w:szCs w:val="22"/>
              </w:rPr>
            </w:pPr>
            <w:r w:rsidRPr="00B369D4">
              <w:rPr>
                <w:b/>
                <w:bCs/>
                <w:sz w:val="22"/>
                <w:szCs w:val="22"/>
              </w:rPr>
              <w:t xml:space="preserve">CTCAE </w:t>
            </w:r>
            <w:proofErr w:type="spellStart"/>
            <w:r w:rsidRPr="00B369D4">
              <w:rPr>
                <w:b/>
                <w:bCs/>
                <w:sz w:val="22"/>
                <w:szCs w:val="22"/>
              </w:rPr>
              <w:t>Grade</w:t>
            </w:r>
            <w:r w:rsidRPr="00B369D4">
              <w:rPr>
                <w:b/>
                <w:bCs/>
                <w:sz w:val="22"/>
                <w:szCs w:val="22"/>
                <w:vertAlign w:val="superscript"/>
              </w:rPr>
              <w:t>a</w:t>
            </w:r>
            <w:proofErr w:type="spellEnd"/>
            <w:r w:rsidRPr="00B369D4">
              <w:rPr>
                <w:b/>
                <w:bCs/>
                <w:sz w:val="22"/>
                <w:szCs w:val="22"/>
              </w:rPr>
              <w:t> </w:t>
            </w:r>
          </w:p>
        </w:tc>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3F8DF7F3" w14:textId="589B5674" w:rsidR="00B369D4" w:rsidRPr="00B369D4" w:rsidRDefault="00B369D4" w:rsidP="00B369D4">
            <w:pPr>
              <w:keepNext/>
              <w:spacing w:after="0" w:line="240" w:lineRule="auto"/>
              <w:jc w:val="center"/>
              <w:textAlignment w:val="baseline"/>
              <w:rPr>
                <w:b/>
                <w:bCs/>
                <w:sz w:val="22"/>
                <w:szCs w:val="22"/>
              </w:rPr>
            </w:pPr>
            <w:r w:rsidRPr="00B369D4">
              <w:rPr>
                <w:b/>
                <w:bCs/>
                <w:sz w:val="22"/>
                <w:szCs w:val="22"/>
              </w:rPr>
              <w:t>Recommendation</w:t>
            </w:r>
            <w:r w:rsidR="000D4CAF">
              <w:rPr>
                <w:b/>
                <w:bCs/>
                <w:sz w:val="22"/>
                <w:szCs w:val="22"/>
              </w:rPr>
              <w:t>s</w:t>
            </w:r>
            <w:r w:rsidRPr="00B369D4">
              <w:rPr>
                <w:b/>
                <w:bCs/>
                <w:sz w:val="22"/>
                <w:szCs w:val="22"/>
              </w:rPr>
              <w:t> </w:t>
            </w:r>
          </w:p>
        </w:tc>
      </w:tr>
      <w:tr w:rsidR="00B369D4" w:rsidRPr="00B369D4" w14:paraId="746362A5" w14:textId="77777777" w:rsidTr="0060613D">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498DC2D5" w14:textId="77777777" w:rsidR="00B369D4" w:rsidRPr="00B369D4" w:rsidRDefault="00B369D4" w:rsidP="00B369D4">
            <w:pPr>
              <w:keepNext/>
              <w:spacing w:after="0" w:line="240" w:lineRule="auto"/>
              <w:jc w:val="center"/>
              <w:textAlignment w:val="baseline"/>
              <w:rPr>
                <w:sz w:val="22"/>
                <w:szCs w:val="22"/>
              </w:rPr>
            </w:pPr>
            <w:r w:rsidRPr="00B369D4">
              <w:rPr>
                <w:b/>
                <w:bCs/>
                <w:sz w:val="22"/>
                <w:szCs w:val="22"/>
              </w:rPr>
              <w:t>Grade 1</w:t>
            </w:r>
          </w:p>
        </w:tc>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5E783254" w14:textId="6AE443DB" w:rsidR="00B369D4" w:rsidRPr="00B369D4" w:rsidRDefault="00B369D4" w:rsidP="00994852">
            <w:pPr>
              <w:pStyle w:val="ListParagraph"/>
              <w:keepNext/>
              <w:numPr>
                <w:ilvl w:val="0"/>
                <w:numId w:val="20"/>
              </w:numPr>
              <w:spacing w:after="0" w:line="240" w:lineRule="auto"/>
              <w:ind w:left="433"/>
              <w:textAlignment w:val="baseline"/>
              <w:rPr>
                <w:sz w:val="22"/>
                <w:szCs w:val="22"/>
              </w:rPr>
            </w:pPr>
            <w:r w:rsidRPr="00B369D4">
              <w:rPr>
                <w:sz w:val="22"/>
                <w:szCs w:val="22"/>
              </w:rPr>
              <w:t xml:space="preserve">No </w:t>
            </w:r>
            <w:r w:rsidR="000C267D">
              <w:rPr>
                <w:sz w:val="22"/>
                <w:szCs w:val="22"/>
              </w:rPr>
              <w:t>TRUQAP</w:t>
            </w:r>
            <w:r w:rsidR="000C267D" w:rsidRPr="00B369D4">
              <w:rPr>
                <w:sz w:val="22"/>
                <w:szCs w:val="22"/>
              </w:rPr>
              <w:t xml:space="preserve"> </w:t>
            </w:r>
            <w:r w:rsidRPr="00B369D4">
              <w:rPr>
                <w:sz w:val="22"/>
                <w:szCs w:val="22"/>
              </w:rPr>
              <w:t>dose adjustment required.  </w:t>
            </w:r>
          </w:p>
          <w:p w14:paraId="442FAF42" w14:textId="77777777" w:rsidR="00B369D4" w:rsidRPr="00B369D4" w:rsidRDefault="00B369D4" w:rsidP="00994852">
            <w:pPr>
              <w:pStyle w:val="ListParagraph"/>
              <w:keepNext/>
              <w:numPr>
                <w:ilvl w:val="0"/>
                <w:numId w:val="20"/>
              </w:numPr>
              <w:spacing w:after="0" w:line="240" w:lineRule="auto"/>
              <w:ind w:left="433"/>
              <w:textAlignment w:val="baseline"/>
              <w:rPr>
                <w:sz w:val="22"/>
                <w:szCs w:val="22"/>
              </w:rPr>
            </w:pPr>
            <w:r w:rsidRPr="00B369D4">
              <w:rPr>
                <w:color w:val="000000"/>
                <w:sz w:val="22"/>
                <w:szCs w:val="22"/>
              </w:rPr>
              <w:t>Initiate appropriate anti-diarrhoeal therapy, maximise supportive care and monitor as clinically indicated</w:t>
            </w:r>
            <w:r w:rsidRPr="00B369D4">
              <w:rPr>
                <w:sz w:val="22"/>
                <w:szCs w:val="22"/>
              </w:rPr>
              <w:t>. </w:t>
            </w:r>
          </w:p>
        </w:tc>
      </w:tr>
      <w:tr w:rsidR="00B369D4" w:rsidRPr="00B369D4" w14:paraId="0D9C3534" w14:textId="77777777" w:rsidTr="0060613D">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23CC54D2" w14:textId="77777777" w:rsidR="00B369D4" w:rsidRPr="00B369D4" w:rsidRDefault="00B369D4" w:rsidP="00B369D4">
            <w:pPr>
              <w:spacing w:after="0" w:line="240" w:lineRule="auto"/>
              <w:jc w:val="center"/>
              <w:textAlignment w:val="baseline"/>
              <w:rPr>
                <w:sz w:val="22"/>
                <w:szCs w:val="22"/>
              </w:rPr>
            </w:pPr>
            <w:r w:rsidRPr="00B369D4">
              <w:rPr>
                <w:b/>
                <w:bCs/>
                <w:sz w:val="22"/>
                <w:szCs w:val="22"/>
              </w:rPr>
              <w:t>Grade 2</w:t>
            </w:r>
          </w:p>
        </w:tc>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70DEBFF2" w14:textId="77777777" w:rsidR="00B369D4" w:rsidRPr="00B369D4" w:rsidRDefault="00B369D4" w:rsidP="00994852">
            <w:pPr>
              <w:pStyle w:val="ListParagraph"/>
              <w:numPr>
                <w:ilvl w:val="0"/>
                <w:numId w:val="21"/>
              </w:numPr>
              <w:spacing w:after="0" w:line="240" w:lineRule="auto"/>
              <w:ind w:left="433"/>
              <w:textAlignment w:val="baseline"/>
              <w:rPr>
                <w:color w:val="000000"/>
                <w:sz w:val="22"/>
                <w:szCs w:val="22"/>
              </w:rPr>
            </w:pPr>
            <w:r w:rsidRPr="00B369D4">
              <w:rPr>
                <w:color w:val="000000"/>
                <w:sz w:val="22"/>
                <w:szCs w:val="22"/>
              </w:rPr>
              <w:t>Initiate or intensify appropriate anti-diarrhoeal treatment and monitor as clinically indicated. </w:t>
            </w:r>
          </w:p>
          <w:p w14:paraId="5F159A4C" w14:textId="1431168E" w:rsidR="00B369D4" w:rsidRPr="00B369D4" w:rsidRDefault="00304107" w:rsidP="00994852">
            <w:pPr>
              <w:pStyle w:val="ListParagraph"/>
              <w:numPr>
                <w:ilvl w:val="0"/>
                <w:numId w:val="21"/>
              </w:numPr>
              <w:spacing w:after="0" w:line="240" w:lineRule="auto"/>
              <w:ind w:left="433"/>
              <w:textAlignment w:val="baseline"/>
              <w:rPr>
                <w:sz w:val="22"/>
                <w:szCs w:val="22"/>
              </w:rPr>
            </w:pPr>
            <w:r>
              <w:rPr>
                <w:sz w:val="22"/>
                <w:szCs w:val="22"/>
              </w:rPr>
              <w:t>Withhold</w:t>
            </w:r>
            <w:r w:rsidRPr="00B369D4">
              <w:rPr>
                <w:sz w:val="22"/>
                <w:szCs w:val="22"/>
              </w:rPr>
              <w:t xml:space="preserve"> </w:t>
            </w:r>
            <w:r w:rsidR="000C267D">
              <w:rPr>
                <w:sz w:val="22"/>
                <w:szCs w:val="22"/>
              </w:rPr>
              <w:t>TRUQAP</w:t>
            </w:r>
            <w:r w:rsidR="000C267D" w:rsidRPr="00B369D4">
              <w:rPr>
                <w:sz w:val="22"/>
                <w:szCs w:val="22"/>
              </w:rPr>
              <w:t xml:space="preserve"> </w:t>
            </w:r>
            <w:r w:rsidR="00B369D4" w:rsidRPr="00B369D4">
              <w:rPr>
                <w:sz w:val="22"/>
                <w:szCs w:val="22"/>
              </w:rPr>
              <w:t xml:space="preserve">dose for up to 28 days until recovery to ≤ Grade 1 and resume </w:t>
            </w:r>
            <w:r w:rsidR="000C267D">
              <w:rPr>
                <w:sz w:val="22"/>
                <w:szCs w:val="22"/>
              </w:rPr>
              <w:t>TRUQAP</w:t>
            </w:r>
            <w:r w:rsidR="000C267D" w:rsidRPr="00B369D4">
              <w:rPr>
                <w:sz w:val="22"/>
                <w:szCs w:val="22"/>
              </w:rPr>
              <w:t xml:space="preserve"> </w:t>
            </w:r>
            <w:r w:rsidR="00B369D4" w:rsidRPr="00B369D4">
              <w:rPr>
                <w:sz w:val="22"/>
                <w:szCs w:val="22"/>
              </w:rPr>
              <w:t>dosing at same dose</w:t>
            </w:r>
            <w:r w:rsidR="00B369D4" w:rsidRPr="00B369D4">
              <w:rPr>
                <w:color w:val="000000"/>
                <w:sz w:val="22"/>
                <w:szCs w:val="22"/>
              </w:rPr>
              <w:t xml:space="preserve"> or one reduced dose level as clinically indicated. </w:t>
            </w:r>
          </w:p>
          <w:p w14:paraId="5ACD35F7" w14:textId="5C94E334" w:rsidR="00B369D4" w:rsidRPr="00B369D4" w:rsidRDefault="00B369D4" w:rsidP="00994852">
            <w:pPr>
              <w:pStyle w:val="ListParagraph"/>
              <w:numPr>
                <w:ilvl w:val="0"/>
                <w:numId w:val="21"/>
              </w:numPr>
              <w:spacing w:after="0" w:line="240" w:lineRule="auto"/>
              <w:ind w:left="433"/>
              <w:textAlignment w:val="baseline"/>
              <w:rPr>
                <w:sz w:val="22"/>
                <w:szCs w:val="22"/>
              </w:rPr>
            </w:pPr>
            <w:r w:rsidRPr="00B369D4">
              <w:rPr>
                <w:color w:val="000000"/>
                <w:sz w:val="22"/>
                <w:szCs w:val="22"/>
              </w:rPr>
              <w:t xml:space="preserve">If Grade 2 diarrhoea is persistent or recurring, maintain appropriate medical therapy and restart </w:t>
            </w:r>
            <w:r w:rsidR="000C267D">
              <w:rPr>
                <w:color w:val="000000"/>
                <w:sz w:val="22"/>
                <w:szCs w:val="22"/>
              </w:rPr>
              <w:t>TRUQAP</w:t>
            </w:r>
            <w:r w:rsidR="000C267D" w:rsidRPr="00B369D4">
              <w:rPr>
                <w:color w:val="000000"/>
                <w:sz w:val="22"/>
                <w:szCs w:val="22"/>
              </w:rPr>
              <w:t xml:space="preserve"> </w:t>
            </w:r>
            <w:r w:rsidRPr="00B369D4">
              <w:rPr>
                <w:color w:val="000000"/>
                <w:sz w:val="22"/>
                <w:szCs w:val="22"/>
              </w:rPr>
              <w:t>at the next lower dose level, as clinically indicated.</w:t>
            </w:r>
          </w:p>
        </w:tc>
      </w:tr>
      <w:tr w:rsidR="00B369D4" w:rsidRPr="00B369D4" w14:paraId="453D5EA7" w14:textId="77777777" w:rsidTr="0060613D">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3CB1B1A8" w14:textId="77777777" w:rsidR="00B369D4" w:rsidRPr="00B369D4" w:rsidRDefault="00B369D4" w:rsidP="00B369D4">
            <w:pPr>
              <w:spacing w:after="0" w:line="240" w:lineRule="auto"/>
              <w:jc w:val="center"/>
              <w:textAlignment w:val="baseline"/>
              <w:rPr>
                <w:sz w:val="22"/>
                <w:szCs w:val="22"/>
              </w:rPr>
            </w:pPr>
            <w:r w:rsidRPr="00B369D4">
              <w:rPr>
                <w:b/>
                <w:bCs/>
                <w:sz w:val="22"/>
                <w:szCs w:val="22"/>
              </w:rPr>
              <w:t>Grade 3</w:t>
            </w:r>
          </w:p>
        </w:tc>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07F9427E" w14:textId="16D4BD87" w:rsidR="00B369D4" w:rsidRPr="00B369D4" w:rsidRDefault="00304107" w:rsidP="00994852">
            <w:pPr>
              <w:pStyle w:val="ListParagraph"/>
              <w:numPr>
                <w:ilvl w:val="0"/>
                <w:numId w:val="22"/>
              </w:numPr>
              <w:spacing w:after="0" w:line="240" w:lineRule="auto"/>
              <w:ind w:left="433"/>
              <w:textAlignment w:val="baseline"/>
              <w:rPr>
                <w:sz w:val="22"/>
                <w:szCs w:val="22"/>
              </w:rPr>
            </w:pPr>
            <w:r>
              <w:rPr>
                <w:sz w:val="22"/>
                <w:szCs w:val="22"/>
              </w:rPr>
              <w:t>Withhold</w:t>
            </w:r>
            <w:r w:rsidRPr="00B369D4">
              <w:rPr>
                <w:sz w:val="22"/>
                <w:szCs w:val="22"/>
              </w:rPr>
              <w:t xml:space="preserve"> </w:t>
            </w:r>
            <w:r w:rsidR="000C267D">
              <w:rPr>
                <w:sz w:val="22"/>
                <w:szCs w:val="22"/>
              </w:rPr>
              <w:t>TRUQAP</w:t>
            </w:r>
          </w:p>
          <w:p w14:paraId="007881B1" w14:textId="77777777" w:rsidR="00B369D4" w:rsidRPr="00B369D4" w:rsidRDefault="00B369D4" w:rsidP="00994852">
            <w:pPr>
              <w:pStyle w:val="ListParagraph"/>
              <w:numPr>
                <w:ilvl w:val="0"/>
                <w:numId w:val="22"/>
              </w:numPr>
              <w:spacing w:after="0" w:line="240" w:lineRule="auto"/>
              <w:ind w:left="433"/>
              <w:textAlignment w:val="baseline"/>
              <w:rPr>
                <w:sz w:val="22"/>
                <w:szCs w:val="22"/>
              </w:rPr>
            </w:pPr>
            <w:r w:rsidRPr="00B369D4">
              <w:rPr>
                <w:sz w:val="22"/>
                <w:szCs w:val="22"/>
              </w:rPr>
              <w:t>Initiate or intensify appropriate anti-diarrhoeal treatment and monitor as clinically indicated. </w:t>
            </w:r>
          </w:p>
          <w:p w14:paraId="2A141355" w14:textId="172BA34D" w:rsidR="00B369D4" w:rsidRPr="00B369D4" w:rsidRDefault="00B369D4" w:rsidP="00994852">
            <w:pPr>
              <w:pStyle w:val="ListParagraph"/>
              <w:numPr>
                <w:ilvl w:val="0"/>
                <w:numId w:val="22"/>
              </w:numPr>
              <w:spacing w:after="0" w:line="240" w:lineRule="auto"/>
              <w:ind w:left="433"/>
              <w:textAlignment w:val="baseline"/>
              <w:rPr>
                <w:sz w:val="22"/>
                <w:szCs w:val="22"/>
              </w:rPr>
            </w:pPr>
            <w:r w:rsidRPr="00B369D4">
              <w:rPr>
                <w:sz w:val="22"/>
                <w:szCs w:val="22"/>
              </w:rPr>
              <w:t xml:space="preserve">If the symptoms improve to ≤ Grade 1 in 28 days resume </w:t>
            </w:r>
            <w:r w:rsidR="000C267D">
              <w:rPr>
                <w:sz w:val="22"/>
                <w:szCs w:val="22"/>
              </w:rPr>
              <w:t>TRUQAP</w:t>
            </w:r>
            <w:r w:rsidR="000C267D" w:rsidRPr="00B369D4">
              <w:rPr>
                <w:sz w:val="22"/>
                <w:szCs w:val="22"/>
              </w:rPr>
              <w:t xml:space="preserve"> </w:t>
            </w:r>
            <w:r w:rsidRPr="00B369D4">
              <w:rPr>
                <w:sz w:val="22"/>
                <w:szCs w:val="22"/>
              </w:rPr>
              <w:t>at one lower dose level. </w:t>
            </w:r>
          </w:p>
          <w:p w14:paraId="5F3667EA" w14:textId="32504743" w:rsidR="00B369D4" w:rsidRPr="00B369D4" w:rsidRDefault="00B369D4" w:rsidP="00994852">
            <w:pPr>
              <w:pStyle w:val="ListParagraph"/>
              <w:numPr>
                <w:ilvl w:val="0"/>
                <w:numId w:val="22"/>
              </w:numPr>
              <w:spacing w:after="0" w:line="240" w:lineRule="auto"/>
              <w:ind w:left="433"/>
              <w:textAlignment w:val="baseline"/>
              <w:rPr>
                <w:sz w:val="22"/>
                <w:szCs w:val="22"/>
              </w:rPr>
            </w:pPr>
            <w:r w:rsidRPr="00B369D4">
              <w:rPr>
                <w:sz w:val="22"/>
                <w:szCs w:val="22"/>
              </w:rPr>
              <w:t xml:space="preserve">If the symptom does not improve to ≤ Grade 1 in 28 days permanently discontinue </w:t>
            </w:r>
            <w:r w:rsidR="000C267D">
              <w:rPr>
                <w:sz w:val="22"/>
                <w:szCs w:val="22"/>
              </w:rPr>
              <w:t>TRUQAP</w:t>
            </w:r>
            <w:r w:rsidR="000C267D" w:rsidRPr="00B369D4">
              <w:rPr>
                <w:sz w:val="22"/>
                <w:szCs w:val="22"/>
              </w:rPr>
              <w:t> </w:t>
            </w:r>
          </w:p>
        </w:tc>
      </w:tr>
      <w:tr w:rsidR="00B369D4" w:rsidRPr="00B369D4" w14:paraId="210AB5D2" w14:textId="77777777" w:rsidTr="0060613D">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5E64F858" w14:textId="77777777" w:rsidR="00B369D4" w:rsidRPr="00B369D4" w:rsidRDefault="00B369D4" w:rsidP="00B369D4">
            <w:pPr>
              <w:spacing w:after="0" w:line="240" w:lineRule="auto"/>
              <w:jc w:val="center"/>
              <w:textAlignment w:val="baseline"/>
              <w:rPr>
                <w:sz w:val="22"/>
                <w:szCs w:val="22"/>
              </w:rPr>
            </w:pPr>
            <w:r w:rsidRPr="00B369D4">
              <w:rPr>
                <w:b/>
                <w:bCs/>
                <w:color w:val="000000"/>
                <w:sz w:val="22"/>
                <w:szCs w:val="22"/>
              </w:rPr>
              <w:t>Grade 4</w:t>
            </w:r>
          </w:p>
        </w:tc>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03F6759D" w14:textId="25AB866C" w:rsidR="00B369D4" w:rsidRPr="00B369D4" w:rsidRDefault="00B369D4" w:rsidP="003F61F0">
            <w:pPr>
              <w:pStyle w:val="ListParagraph"/>
              <w:numPr>
                <w:ilvl w:val="0"/>
                <w:numId w:val="23"/>
              </w:numPr>
              <w:spacing w:after="0" w:line="240" w:lineRule="auto"/>
              <w:ind w:left="433"/>
              <w:textAlignment w:val="baseline"/>
              <w:rPr>
                <w:sz w:val="22"/>
                <w:szCs w:val="22"/>
              </w:rPr>
            </w:pPr>
            <w:r w:rsidRPr="00B369D4">
              <w:rPr>
                <w:color w:val="000000"/>
                <w:sz w:val="22"/>
                <w:szCs w:val="22"/>
              </w:rPr>
              <w:t xml:space="preserve">Permanently discontinue </w:t>
            </w:r>
            <w:r w:rsidR="000C267D">
              <w:rPr>
                <w:color w:val="000000"/>
                <w:sz w:val="22"/>
                <w:szCs w:val="22"/>
              </w:rPr>
              <w:t>TRUQAP</w:t>
            </w:r>
            <w:r w:rsidRPr="00B369D4">
              <w:rPr>
                <w:color w:val="000000"/>
                <w:sz w:val="22"/>
                <w:szCs w:val="22"/>
              </w:rPr>
              <w:t>.</w:t>
            </w:r>
          </w:p>
        </w:tc>
      </w:tr>
    </w:tbl>
    <w:p w14:paraId="2404BA68" w14:textId="10A9380F" w:rsidR="00CE42A9" w:rsidRPr="00685E76" w:rsidRDefault="00FE4955" w:rsidP="00B369D4">
      <w:pPr>
        <w:pStyle w:val="TableFootnoteInfo"/>
        <w:rPr>
          <w:sz w:val="20"/>
          <w:szCs w:val="20"/>
        </w:rPr>
      </w:pPr>
      <w:bookmarkStart w:id="10" w:name="_Hlk129865634"/>
      <w:r w:rsidRPr="00685E76">
        <w:rPr>
          <w:sz w:val="20"/>
          <w:szCs w:val="20"/>
          <w:vertAlign w:val="superscript"/>
        </w:rPr>
        <w:t>a </w:t>
      </w:r>
      <w:r w:rsidRPr="00685E76">
        <w:rPr>
          <w:sz w:val="20"/>
          <w:szCs w:val="20"/>
        </w:rPr>
        <w:t>Grade according to the NCI CTCAE Version 5.0</w:t>
      </w:r>
    </w:p>
    <w:bookmarkEnd w:id="10"/>
    <w:p w14:paraId="53A95CA9" w14:textId="77777777" w:rsidR="00CC7A74" w:rsidRPr="00005B05" w:rsidRDefault="00CC7A74" w:rsidP="00CC7A74">
      <w:pPr>
        <w:pStyle w:val="Paragraph"/>
        <w:spacing w:before="240" w:after="0"/>
        <w:rPr>
          <w:b/>
          <w:bCs/>
        </w:rPr>
      </w:pPr>
      <w:r w:rsidRPr="00005B05">
        <w:rPr>
          <w:b/>
          <w:bCs/>
        </w:rPr>
        <w:t>Rash and other Skin drug reactions</w:t>
      </w:r>
    </w:p>
    <w:p w14:paraId="23549E2E" w14:textId="77777777" w:rsidR="00CC7A74" w:rsidRPr="00CC7A74" w:rsidRDefault="00CC7A74" w:rsidP="00005B05">
      <w:pPr>
        <w:pStyle w:val="Paragraph"/>
      </w:pPr>
      <w:r w:rsidRPr="00CC7A74">
        <w:t>Consider consultation with a dermatologist for all grades of skin drug reactions regardless of the severity. In patients with persistent rash and/or previous occurrence of grade 3 rash, consider secondary prophylaxis by continuing oral antihistamines and/or topical steroids.</w:t>
      </w:r>
    </w:p>
    <w:p w14:paraId="7843889D" w14:textId="4105C42E" w:rsidR="00626D7D" w:rsidRPr="00380AF0" w:rsidRDefault="00C15075" w:rsidP="00C15075">
      <w:pPr>
        <w:pStyle w:val="Caption"/>
      </w:pPr>
      <w:bookmarkStart w:id="11" w:name="_Ref130834115"/>
      <w:r>
        <w:lastRenderedPageBreak/>
        <w:t xml:space="preserve">Table </w:t>
      </w:r>
      <w:r>
        <w:fldChar w:fldCharType="begin"/>
      </w:r>
      <w:r>
        <w:instrText xml:space="preserve"> SEQ Table \* ARABIC </w:instrText>
      </w:r>
      <w:r>
        <w:fldChar w:fldCharType="separate"/>
      </w:r>
      <w:r w:rsidR="007B1CF0">
        <w:rPr>
          <w:noProof/>
        </w:rPr>
        <w:t>5</w:t>
      </w:r>
      <w:r>
        <w:fldChar w:fldCharType="end"/>
      </w:r>
      <w:bookmarkEnd w:id="11"/>
      <w:r>
        <w:tab/>
      </w:r>
      <w:r w:rsidRPr="00380AF0">
        <w:t xml:space="preserve">Recommended dose modification for </w:t>
      </w:r>
      <w:r w:rsidR="000C267D">
        <w:t>TRUQAP</w:t>
      </w:r>
      <w:r w:rsidR="000C267D" w:rsidRPr="00380AF0">
        <w:t xml:space="preserve"> </w:t>
      </w:r>
      <w:r w:rsidRPr="00380AF0">
        <w:t>for Rash and other Skin Drug Reactions</w:t>
      </w:r>
      <w:fldSimple w:instr=" DOCVARIABLE vault_nd_c187d562-5eaa-4583-a6fc-6f1e9eb03219 \* MERGEFORMAT ">
        <w:r w:rsidR="00BD4838">
          <w:t xml:space="preserve"> </w:t>
        </w:r>
      </w:fldSimple>
    </w:p>
    <w:tbl>
      <w:tblPr>
        <w:tblW w:w="9086"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3"/>
        <w:gridCol w:w="4543"/>
      </w:tblGrid>
      <w:tr w:rsidR="00825DB5" w:rsidRPr="00825DB5" w14:paraId="230D1288" w14:textId="77777777" w:rsidTr="0060613D">
        <w:trPr>
          <w:tblHeader/>
        </w:trPr>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7A70F357" w14:textId="77777777" w:rsidR="00825DB5" w:rsidRPr="00825DB5" w:rsidRDefault="00825DB5" w:rsidP="00825DB5">
            <w:pPr>
              <w:keepNext/>
              <w:spacing w:after="0" w:line="240" w:lineRule="auto"/>
              <w:jc w:val="center"/>
              <w:textAlignment w:val="baseline"/>
              <w:rPr>
                <w:b/>
                <w:bCs/>
                <w:sz w:val="22"/>
                <w:szCs w:val="22"/>
                <w:vertAlign w:val="superscript"/>
              </w:rPr>
            </w:pPr>
            <w:r w:rsidRPr="00825DB5">
              <w:rPr>
                <w:b/>
                <w:bCs/>
                <w:color w:val="000000"/>
                <w:sz w:val="22"/>
                <w:szCs w:val="22"/>
              </w:rPr>
              <w:t xml:space="preserve">CTCAE </w:t>
            </w:r>
            <w:proofErr w:type="spellStart"/>
            <w:r w:rsidRPr="00825DB5">
              <w:rPr>
                <w:b/>
                <w:bCs/>
                <w:color w:val="000000"/>
                <w:sz w:val="22"/>
                <w:szCs w:val="22"/>
              </w:rPr>
              <w:t>Grade</w:t>
            </w:r>
            <w:r w:rsidRPr="00825DB5">
              <w:rPr>
                <w:b/>
                <w:bCs/>
                <w:color w:val="000000"/>
                <w:sz w:val="22"/>
                <w:szCs w:val="22"/>
                <w:vertAlign w:val="superscript"/>
              </w:rPr>
              <w:t>a</w:t>
            </w:r>
            <w:proofErr w:type="spellEnd"/>
          </w:p>
        </w:tc>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5A344A23" w14:textId="77777777" w:rsidR="00825DB5" w:rsidRPr="00825DB5" w:rsidRDefault="00825DB5" w:rsidP="00825DB5">
            <w:pPr>
              <w:keepNext/>
              <w:spacing w:after="0" w:line="240" w:lineRule="auto"/>
              <w:jc w:val="center"/>
              <w:textAlignment w:val="baseline"/>
              <w:rPr>
                <w:b/>
                <w:bCs/>
                <w:sz w:val="22"/>
                <w:szCs w:val="22"/>
              </w:rPr>
            </w:pPr>
            <w:r w:rsidRPr="00825DB5">
              <w:rPr>
                <w:b/>
                <w:bCs/>
                <w:sz w:val="22"/>
                <w:szCs w:val="22"/>
              </w:rPr>
              <w:t>Recommendation </w:t>
            </w:r>
          </w:p>
        </w:tc>
      </w:tr>
      <w:tr w:rsidR="00825DB5" w:rsidRPr="00825DB5" w14:paraId="32B7D49A" w14:textId="77777777" w:rsidTr="00430D8E">
        <w:trPr>
          <w:trHeight w:val="1122"/>
        </w:trPr>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478CC1E0" w14:textId="77777777" w:rsidR="00825DB5" w:rsidRPr="00825DB5" w:rsidRDefault="00825DB5" w:rsidP="00825DB5">
            <w:pPr>
              <w:spacing w:after="0" w:line="240" w:lineRule="auto"/>
              <w:jc w:val="center"/>
              <w:textAlignment w:val="baseline"/>
              <w:rPr>
                <w:sz w:val="22"/>
                <w:szCs w:val="22"/>
              </w:rPr>
            </w:pPr>
            <w:r w:rsidRPr="00825DB5">
              <w:rPr>
                <w:b/>
                <w:bCs/>
                <w:sz w:val="22"/>
                <w:szCs w:val="22"/>
              </w:rPr>
              <w:t>Grade 1</w:t>
            </w:r>
          </w:p>
        </w:tc>
        <w:tc>
          <w:tcPr>
            <w:tcW w:w="4543" w:type="dxa"/>
            <w:tcBorders>
              <w:top w:val="single" w:sz="6" w:space="0" w:color="auto"/>
              <w:left w:val="single" w:sz="6" w:space="0" w:color="auto"/>
              <w:bottom w:val="single" w:sz="4" w:space="0" w:color="auto"/>
              <w:right w:val="single" w:sz="6" w:space="0" w:color="auto"/>
            </w:tcBorders>
            <w:shd w:val="clear" w:color="auto" w:fill="auto"/>
            <w:hideMark/>
          </w:tcPr>
          <w:p w14:paraId="7DF67960" w14:textId="5034010B" w:rsidR="00825DB5" w:rsidRPr="00430D8E" w:rsidRDefault="00825DB5" w:rsidP="00994852">
            <w:pPr>
              <w:pStyle w:val="ListParagraph"/>
              <w:numPr>
                <w:ilvl w:val="0"/>
                <w:numId w:val="23"/>
              </w:numPr>
              <w:spacing w:after="0" w:line="240" w:lineRule="auto"/>
              <w:ind w:left="433"/>
              <w:textAlignment w:val="baseline"/>
              <w:rPr>
                <w:sz w:val="22"/>
                <w:szCs w:val="22"/>
              </w:rPr>
            </w:pPr>
            <w:r w:rsidRPr="00430D8E">
              <w:rPr>
                <w:color w:val="000000"/>
                <w:sz w:val="22"/>
                <w:szCs w:val="22"/>
              </w:rPr>
              <w:t xml:space="preserve">No </w:t>
            </w:r>
            <w:r w:rsidR="000C267D">
              <w:rPr>
                <w:color w:val="000000"/>
                <w:sz w:val="22"/>
                <w:szCs w:val="22"/>
              </w:rPr>
              <w:t>TRUQAP</w:t>
            </w:r>
            <w:r w:rsidR="000C267D" w:rsidRPr="00430D8E">
              <w:rPr>
                <w:color w:val="000000"/>
                <w:sz w:val="22"/>
                <w:szCs w:val="22"/>
              </w:rPr>
              <w:t xml:space="preserve"> </w:t>
            </w:r>
            <w:r w:rsidRPr="00430D8E">
              <w:rPr>
                <w:color w:val="000000"/>
                <w:sz w:val="22"/>
                <w:szCs w:val="22"/>
              </w:rPr>
              <w:t>dose adjustment required.</w:t>
            </w:r>
          </w:p>
          <w:p w14:paraId="288934B5" w14:textId="77777777" w:rsidR="00825DB5" w:rsidRPr="00430D8E" w:rsidRDefault="00825DB5" w:rsidP="00994852">
            <w:pPr>
              <w:pStyle w:val="ListParagraph"/>
              <w:numPr>
                <w:ilvl w:val="0"/>
                <w:numId w:val="23"/>
              </w:numPr>
              <w:spacing w:after="0" w:line="240" w:lineRule="auto"/>
              <w:ind w:left="433"/>
              <w:textAlignment w:val="baseline"/>
              <w:rPr>
                <w:sz w:val="22"/>
                <w:szCs w:val="22"/>
              </w:rPr>
            </w:pPr>
            <w:r w:rsidRPr="00430D8E">
              <w:rPr>
                <w:color w:val="000000"/>
                <w:sz w:val="22"/>
                <w:szCs w:val="22"/>
              </w:rPr>
              <w:t>Initiate emollients and consider adding oral non -sedating antihistamine treatment as clinically indicated to manage symptoms. </w:t>
            </w:r>
          </w:p>
        </w:tc>
      </w:tr>
      <w:tr w:rsidR="00825DB5" w:rsidRPr="00825DB5" w14:paraId="737F3088" w14:textId="77777777" w:rsidTr="00430D8E">
        <w:trPr>
          <w:trHeight w:val="1832"/>
        </w:trPr>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5163F169" w14:textId="77777777" w:rsidR="00825DB5" w:rsidRPr="00825DB5" w:rsidRDefault="00825DB5" w:rsidP="00825DB5">
            <w:pPr>
              <w:spacing w:after="0" w:line="240" w:lineRule="auto"/>
              <w:jc w:val="center"/>
              <w:textAlignment w:val="baseline"/>
              <w:rPr>
                <w:color w:val="000000"/>
                <w:sz w:val="22"/>
                <w:szCs w:val="22"/>
              </w:rPr>
            </w:pPr>
            <w:r w:rsidRPr="00825DB5">
              <w:rPr>
                <w:b/>
                <w:bCs/>
                <w:color w:val="000000"/>
                <w:sz w:val="22"/>
                <w:szCs w:val="22"/>
              </w:rPr>
              <w:t>Grade 2</w:t>
            </w:r>
          </w:p>
        </w:tc>
        <w:tc>
          <w:tcPr>
            <w:tcW w:w="4543"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02311E58" w14:textId="77777777" w:rsidR="00825DB5" w:rsidRPr="00430D8E" w:rsidRDefault="00825DB5" w:rsidP="00994852">
            <w:pPr>
              <w:pStyle w:val="ListParagraph"/>
              <w:numPr>
                <w:ilvl w:val="0"/>
                <w:numId w:val="23"/>
              </w:numPr>
              <w:spacing w:after="0" w:line="240" w:lineRule="auto"/>
              <w:ind w:left="433"/>
              <w:textAlignment w:val="baseline"/>
              <w:rPr>
                <w:color w:val="000000"/>
                <w:sz w:val="22"/>
                <w:szCs w:val="22"/>
              </w:rPr>
            </w:pPr>
            <w:r w:rsidRPr="00430D8E">
              <w:rPr>
                <w:color w:val="000000"/>
                <w:sz w:val="22"/>
                <w:szCs w:val="22"/>
                <w:lang w:val="en-US"/>
              </w:rPr>
              <w:t>Initiate or intensify topical steroid treatment and consider non-sedating oral antihistamines.</w:t>
            </w:r>
            <w:r w:rsidRPr="00430D8E">
              <w:rPr>
                <w:color w:val="000000"/>
                <w:sz w:val="22"/>
                <w:szCs w:val="22"/>
              </w:rPr>
              <w:t> </w:t>
            </w:r>
          </w:p>
          <w:p w14:paraId="26336B84" w14:textId="34A8CB9F" w:rsidR="00825DB5" w:rsidRPr="00430D8E" w:rsidRDefault="00825DB5" w:rsidP="00994852">
            <w:pPr>
              <w:pStyle w:val="ListParagraph"/>
              <w:numPr>
                <w:ilvl w:val="0"/>
                <w:numId w:val="23"/>
              </w:numPr>
              <w:spacing w:after="0" w:line="240" w:lineRule="auto"/>
              <w:ind w:left="433"/>
              <w:textAlignment w:val="baseline"/>
              <w:rPr>
                <w:color w:val="000000"/>
                <w:sz w:val="22"/>
                <w:szCs w:val="22"/>
              </w:rPr>
            </w:pPr>
            <w:r w:rsidRPr="00430D8E">
              <w:rPr>
                <w:color w:val="000000"/>
                <w:sz w:val="22"/>
                <w:szCs w:val="22"/>
                <w:lang w:val="en-US"/>
              </w:rPr>
              <w:t xml:space="preserve">If no improvement with treatment, </w:t>
            </w:r>
            <w:r w:rsidR="00304107">
              <w:rPr>
                <w:color w:val="000000"/>
                <w:sz w:val="22"/>
                <w:szCs w:val="22"/>
                <w:lang w:val="en-US"/>
              </w:rPr>
              <w:t>withhold</w:t>
            </w:r>
            <w:r w:rsidR="00304107" w:rsidRPr="00430D8E">
              <w:rPr>
                <w:color w:val="000000"/>
                <w:sz w:val="22"/>
                <w:szCs w:val="22"/>
                <w:lang w:val="en-US"/>
              </w:rPr>
              <w:t xml:space="preserve"> </w:t>
            </w:r>
            <w:r w:rsidR="000C267D">
              <w:rPr>
                <w:color w:val="000000"/>
                <w:sz w:val="22"/>
                <w:szCs w:val="22"/>
                <w:lang w:val="en-US"/>
              </w:rPr>
              <w:t>TRUQAP</w:t>
            </w:r>
            <w:r w:rsidRPr="00430D8E">
              <w:rPr>
                <w:color w:val="000000"/>
                <w:sz w:val="22"/>
                <w:szCs w:val="22"/>
                <w:lang w:val="en-US"/>
              </w:rPr>
              <w:t>.</w:t>
            </w:r>
            <w:r w:rsidRPr="00430D8E">
              <w:rPr>
                <w:color w:val="000000"/>
                <w:sz w:val="22"/>
                <w:szCs w:val="22"/>
              </w:rPr>
              <w:t> </w:t>
            </w:r>
          </w:p>
          <w:p w14:paraId="158391DB" w14:textId="77777777" w:rsidR="00825DB5" w:rsidRPr="00430D8E" w:rsidRDefault="00825DB5" w:rsidP="00994852">
            <w:pPr>
              <w:pStyle w:val="ListParagraph"/>
              <w:numPr>
                <w:ilvl w:val="0"/>
                <w:numId w:val="23"/>
              </w:numPr>
              <w:tabs>
                <w:tab w:val="left" w:pos="567"/>
              </w:tabs>
              <w:spacing w:after="0" w:line="240" w:lineRule="auto"/>
              <w:ind w:left="433"/>
              <w:textAlignment w:val="baseline"/>
              <w:rPr>
                <w:sz w:val="22"/>
                <w:szCs w:val="22"/>
              </w:rPr>
            </w:pPr>
            <w:r w:rsidRPr="00430D8E">
              <w:rPr>
                <w:color w:val="000000"/>
                <w:sz w:val="22"/>
                <w:szCs w:val="22"/>
              </w:rPr>
              <w:t>Resume at the same dose level once the rash becomes clinically tolerable. </w:t>
            </w:r>
          </w:p>
        </w:tc>
      </w:tr>
      <w:tr w:rsidR="00825DB5" w:rsidRPr="00825DB5" w14:paraId="0B1A3B91" w14:textId="77777777" w:rsidTr="0060613D">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7175D786" w14:textId="77777777" w:rsidR="00825DB5" w:rsidRPr="00825DB5" w:rsidRDefault="00825DB5" w:rsidP="00825DB5">
            <w:pPr>
              <w:spacing w:after="0" w:line="240" w:lineRule="auto"/>
              <w:jc w:val="center"/>
              <w:textAlignment w:val="baseline"/>
              <w:rPr>
                <w:sz w:val="22"/>
                <w:szCs w:val="22"/>
              </w:rPr>
            </w:pPr>
            <w:r w:rsidRPr="00825DB5">
              <w:rPr>
                <w:b/>
                <w:bCs/>
                <w:sz w:val="22"/>
                <w:szCs w:val="22"/>
              </w:rPr>
              <w:t>Grade 3</w:t>
            </w:r>
          </w:p>
        </w:tc>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50DA3547" w14:textId="4B0DB16E" w:rsidR="00825DB5" w:rsidRPr="00430D8E" w:rsidRDefault="00304107" w:rsidP="00994852">
            <w:pPr>
              <w:pStyle w:val="ListParagraph"/>
              <w:numPr>
                <w:ilvl w:val="0"/>
                <w:numId w:val="23"/>
              </w:numPr>
              <w:spacing w:after="0" w:line="240" w:lineRule="auto"/>
              <w:ind w:left="433"/>
              <w:textAlignment w:val="baseline"/>
              <w:rPr>
                <w:color w:val="000000"/>
                <w:sz w:val="22"/>
                <w:szCs w:val="20"/>
              </w:rPr>
            </w:pPr>
            <w:r>
              <w:rPr>
                <w:color w:val="000000"/>
                <w:sz w:val="22"/>
                <w:szCs w:val="20"/>
              </w:rPr>
              <w:t>Withhold</w:t>
            </w:r>
            <w:r w:rsidRPr="00430D8E">
              <w:rPr>
                <w:color w:val="000000"/>
                <w:sz w:val="22"/>
                <w:szCs w:val="20"/>
              </w:rPr>
              <w:t xml:space="preserve"> </w:t>
            </w:r>
            <w:r w:rsidR="000C267D">
              <w:rPr>
                <w:color w:val="000000"/>
                <w:sz w:val="22"/>
                <w:szCs w:val="20"/>
              </w:rPr>
              <w:t>TRUQAP</w:t>
            </w:r>
            <w:r w:rsidR="00825DB5" w:rsidRPr="00430D8E">
              <w:rPr>
                <w:color w:val="000000"/>
                <w:sz w:val="22"/>
                <w:szCs w:val="20"/>
              </w:rPr>
              <w:t>.</w:t>
            </w:r>
          </w:p>
          <w:p w14:paraId="5E3AB989" w14:textId="77777777" w:rsidR="00825DB5" w:rsidRPr="00430D8E" w:rsidRDefault="00825DB5" w:rsidP="00994852">
            <w:pPr>
              <w:pStyle w:val="ListParagraph"/>
              <w:numPr>
                <w:ilvl w:val="0"/>
                <w:numId w:val="23"/>
              </w:numPr>
              <w:spacing w:after="0" w:line="240" w:lineRule="auto"/>
              <w:ind w:left="433"/>
              <w:textAlignment w:val="baseline"/>
              <w:rPr>
                <w:color w:val="000000"/>
                <w:sz w:val="22"/>
                <w:szCs w:val="22"/>
              </w:rPr>
            </w:pPr>
            <w:r w:rsidRPr="00430D8E">
              <w:rPr>
                <w:color w:val="000000"/>
                <w:sz w:val="22"/>
                <w:szCs w:val="22"/>
              </w:rPr>
              <w:t>Initiate appropriate dermatological treatment with topical steroid of moderate/ higher strength,</w:t>
            </w:r>
            <w:r w:rsidRPr="00430D8E">
              <w:rPr>
                <w:strike/>
                <w:color w:val="000000"/>
                <w:sz w:val="22"/>
                <w:szCs w:val="22"/>
              </w:rPr>
              <w:t xml:space="preserve"> </w:t>
            </w:r>
            <w:r w:rsidRPr="00430D8E">
              <w:rPr>
                <w:color w:val="000000"/>
                <w:sz w:val="22"/>
                <w:szCs w:val="22"/>
              </w:rPr>
              <w:t>non-sedating oral antihistamines and /or systemic steroids.</w:t>
            </w:r>
          </w:p>
          <w:p w14:paraId="4ADBB381" w14:textId="206E8D18" w:rsidR="00825DB5" w:rsidRPr="00430D8E" w:rsidRDefault="00825DB5" w:rsidP="00994852">
            <w:pPr>
              <w:pStyle w:val="ListParagraph"/>
              <w:numPr>
                <w:ilvl w:val="0"/>
                <w:numId w:val="23"/>
              </w:numPr>
              <w:spacing w:after="0" w:line="240" w:lineRule="auto"/>
              <w:ind w:left="433"/>
              <w:textAlignment w:val="baseline"/>
              <w:rPr>
                <w:color w:val="000000"/>
                <w:sz w:val="22"/>
                <w:szCs w:val="22"/>
              </w:rPr>
            </w:pPr>
            <w:r w:rsidRPr="00430D8E">
              <w:rPr>
                <w:sz w:val="22"/>
                <w:szCs w:val="22"/>
              </w:rPr>
              <w:t xml:space="preserve">If symptoms improve within 28 days to ≤ Grade 1, </w:t>
            </w:r>
            <w:r w:rsidRPr="00430D8E">
              <w:rPr>
                <w:color w:val="000000"/>
                <w:sz w:val="22"/>
                <w:szCs w:val="22"/>
              </w:rPr>
              <w:t xml:space="preserve">restart </w:t>
            </w:r>
            <w:r w:rsidR="000C267D">
              <w:rPr>
                <w:color w:val="000000"/>
                <w:sz w:val="22"/>
                <w:szCs w:val="22"/>
              </w:rPr>
              <w:t>TRUQAP</w:t>
            </w:r>
            <w:r w:rsidR="000C267D" w:rsidRPr="00430D8E">
              <w:rPr>
                <w:color w:val="000000"/>
                <w:sz w:val="22"/>
                <w:szCs w:val="22"/>
              </w:rPr>
              <w:t xml:space="preserve"> </w:t>
            </w:r>
            <w:r w:rsidRPr="00430D8E">
              <w:rPr>
                <w:color w:val="000000"/>
                <w:sz w:val="22"/>
                <w:szCs w:val="22"/>
              </w:rPr>
              <w:t>on one lower level.</w:t>
            </w:r>
          </w:p>
          <w:p w14:paraId="4383E9DD" w14:textId="621D6974" w:rsidR="00825DB5" w:rsidRPr="00430D8E" w:rsidRDefault="00825DB5" w:rsidP="00994852">
            <w:pPr>
              <w:pStyle w:val="ListParagraph"/>
              <w:numPr>
                <w:ilvl w:val="0"/>
                <w:numId w:val="23"/>
              </w:numPr>
              <w:spacing w:after="0" w:line="240" w:lineRule="auto"/>
              <w:ind w:left="433"/>
              <w:textAlignment w:val="baseline"/>
              <w:rPr>
                <w:sz w:val="22"/>
                <w:szCs w:val="22"/>
              </w:rPr>
            </w:pPr>
            <w:r w:rsidRPr="00430D8E">
              <w:rPr>
                <w:sz w:val="22"/>
                <w:szCs w:val="22"/>
              </w:rPr>
              <w:t xml:space="preserve">If the symptoms do not improve to </w:t>
            </w:r>
            <w:r w:rsidRPr="00430D8E">
              <w:rPr>
                <w:color w:val="000000"/>
                <w:sz w:val="22"/>
                <w:szCs w:val="22"/>
              </w:rPr>
              <w:t xml:space="preserve">≤ Grade 1 in </w:t>
            </w:r>
            <w:r w:rsidRPr="00430D8E">
              <w:rPr>
                <w:sz w:val="22"/>
                <w:szCs w:val="22"/>
              </w:rPr>
              <w:t xml:space="preserve">28 days discontinue </w:t>
            </w:r>
            <w:r w:rsidR="000C267D">
              <w:rPr>
                <w:sz w:val="22"/>
                <w:szCs w:val="22"/>
              </w:rPr>
              <w:t>TRUQAP</w:t>
            </w:r>
            <w:r w:rsidR="000C267D" w:rsidRPr="00430D8E">
              <w:rPr>
                <w:sz w:val="22"/>
                <w:szCs w:val="22"/>
              </w:rPr>
              <w:t> </w:t>
            </w:r>
          </w:p>
          <w:p w14:paraId="36AFA358" w14:textId="084D5EA8" w:rsidR="00825DB5" w:rsidRPr="00430D8E" w:rsidRDefault="00825DB5" w:rsidP="00994852">
            <w:pPr>
              <w:pStyle w:val="ListParagraph"/>
              <w:numPr>
                <w:ilvl w:val="0"/>
                <w:numId w:val="23"/>
              </w:numPr>
              <w:spacing w:after="0" w:line="240" w:lineRule="auto"/>
              <w:ind w:left="433"/>
              <w:textAlignment w:val="baseline"/>
              <w:rPr>
                <w:sz w:val="22"/>
                <w:szCs w:val="22"/>
              </w:rPr>
            </w:pPr>
            <w:r w:rsidRPr="00430D8E">
              <w:rPr>
                <w:color w:val="000000"/>
                <w:sz w:val="22"/>
                <w:szCs w:val="22"/>
              </w:rPr>
              <w:t xml:space="preserve">In patients with reoccurrence of intolerable ≥ Grade 3 rash, consider permanent discontinuation of </w:t>
            </w:r>
            <w:r w:rsidR="000C267D">
              <w:rPr>
                <w:color w:val="000000"/>
                <w:sz w:val="22"/>
                <w:szCs w:val="22"/>
              </w:rPr>
              <w:t>TRUQAP</w:t>
            </w:r>
            <w:r w:rsidRPr="00430D8E">
              <w:rPr>
                <w:color w:val="000000"/>
                <w:sz w:val="22"/>
                <w:szCs w:val="22"/>
              </w:rPr>
              <w:t>. </w:t>
            </w:r>
          </w:p>
        </w:tc>
      </w:tr>
      <w:tr w:rsidR="00825DB5" w:rsidRPr="00825DB5" w14:paraId="48114973" w14:textId="77777777" w:rsidTr="0060613D">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086BDFED" w14:textId="77777777" w:rsidR="00825DB5" w:rsidRPr="00825DB5" w:rsidRDefault="00825DB5" w:rsidP="00825DB5">
            <w:pPr>
              <w:spacing w:after="0" w:line="240" w:lineRule="auto"/>
              <w:jc w:val="center"/>
              <w:textAlignment w:val="baseline"/>
              <w:rPr>
                <w:sz w:val="22"/>
                <w:szCs w:val="22"/>
              </w:rPr>
            </w:pPr>
            <w:r w:rsidRPr="00825DB5">
              <w:rPr>
                <w:b/>
                <w:bCs/>
                <w:sz w:val="22"/>
                <w:szCs w:val="22"/>
              </w:rPr>
              <w:t>Grade 4</w:t>
            </w:r>
          </w:p>
        </w:tc>
        <w:tc>
          <w:tcPr>
            <w:tcW w:w="4543" w:type="dxa"/>
            <w:tcBorders>
              <w:top w:val="single" w:sz="6" w:space="0" w:color="auto"/>
              <w:left w:val="single" w:sz="6" w:space="0" w:color="auto"/>
              <w:bottom w:val="single" w:sz="6" w:space="0" w:color="auto"/>
              <w:right w:val="single" w:sz="6" w:space="0" w:color="auto"/>
            </w:tcBorders>
            <w:shd w:val="clear" w:color="auto" w:fill="auto"/>
            <w:hideMark/>
          </w:tcPr>
          <w:p w14:paraId="2D7A4E0E" w14:textId="2BDC6C84" w:rsidR="00825DB5" w:rsidRPr="00430D8E" w:rsidRDefault="00825DB5" w:rsidP="00994852">
            <w:pPr>
              <w:pStyle w:val="ListParagraph"/>
              <w:numPr>
                <w:ilvl w:val="0"/>
                <w:numId w:val="23"/>
              </w:numPr>
              <w:spacing w:after="0" w:line="240" w:lineRule="auto"/>
              <w:ind w:left="433"/>
              <w:textAlignment w:val="baseline"/>
              <w:rPr>
                <w:sz w:val="22"/>
                <w:szCs w:val="22"/>
              </w:rPr>
            </w:pPr>
            <w:r w:rsidRPr="00430D8E">
              <w:rPr>
                <w:sz w:val="22"/>
                <w:szCs w:val="22"/>
              </w:rPr>
              <w:t xml:space="preserve">Permanently discontinue </w:t>
            </w:r>
            <w:r w:rsidR="000C267D">
              <w:rPr>
                <w:sz w:val="22"/>
                <w:szCs w:val="22"/>
              </w:rPr>
              <w:t>TRUQAP</w:t>
            </w:r>
            <w:r w:rsidR="000C267D" w:rsidRPr="00430D8E">
              <w:rPr>
                <w:sz w:val="22"/>
                <w:szCs w:val="22"/>
              </w:rPr>
              <w:t> </w:t>
            </w:r>
          </w:p>
        </w:tc>
      </w:tr>
    </w:tbl>
    <w:p w14:paraId="2675A741" w14:textId="2ED25270" w:rsidR="00B369D4" w:rsidRPr="00685E76" w:rsidRDefault="00136EE1" w:rsidP="00136EE1">
      <w:pPr>
        <w:pStyle w:val="TableFootnoteInfo"/>
        <w:rPr>
          <w:sz w:val="20"/>
          <w:szCs w:val="20"/>
        </w:rPr>
      </w:pPr>
      <w:r w:rsidRPr="00685E76">
        <w:rPr>
          <w:sz w:val="20"/>
          <w:szCs w:val="20"/>
          <w:vertAlign w:val="superscript"/>
        </w:rPr>
        <w:t>a</w:t>
      </w:r>
      <w:r w:rsidRPr="00685E76">
        <w:rPr>
          <w:sz w:val="20"/>
          <w:szCs w:val="20"/>
        </w:rPr>
        <w:t xml:space="preserve"> Grade according to the NCI CTCAE Version 5.0</w:t>
      </w:r>
    </w:p>
    <w:p w14:paraId="69A84D7F" w14:textId="77777777" w:rsidR="00544EC9" w:rsidRPr="00046F65" w:rsidRDefault="00544EC9" w:rsidP="00544EC9">
      <w:pPr>
        <w:pStyle w:val="Paragraph"/>
        <w:spacing w:before="240"/>
        <w:rPr>
          <w:b/>
          <w:bCs/>
        </w:rPr>
      </w:pPr>
      <w:r w:rsidRPr="00046F65">
        <w:rPr>
          <w:b/>
          <w:bCs/>
        </w:rPr>
        <w:t>Other toxicities</w:t>
      </w:r>
    </w:p>
    <w:p w14:paraId="78B1F4F9" w14:textId="025BEBA5" w:rsidR="00544EC9" w:rsidRPr="00544EC9" w:rsidRDefault="00C15075" w:rsidP="00C15075">
      <w:pPr>
        <w:pStyle w:val="Caption"/>
      </w:pPr>
      <w:r>
        <w:t xml:space="preserve">Table </w:t>
      </w:r>
      <w:r>
        <w:fldChar w:fldCharType="begin"/>
      </w:r>
      <w:r>
        <w:instrText xml:space="preserve"> SEQ Table \* ARABIC </w:instrText>
      </w:r>
      <w:r>
        <w:fldChar w:fldCharType="separate"/>
      </w:r>
      <w:r w:rsidR="007B1CF0">
        <w:rPr>
          <w:noProof/>
        </w:rPr>
        <w:t>6</w:t>
      </w:r>
      <w:r>
        <w:fldChar w:fldCharType="end"/>
      </w:r>
      <w:r>
        <w:tab/>
      </w:r>
      <w:r w:rsidRPr="00544EC9">
        <w:t>Dose modification and management for other toxicities (excluding hyperglycaemia, diarrhoea and, skin drug reactions)</w:t>
      </w:r>
      <w:fldSimple w:instr=" DOCVARIABLE vault_nd_88179c8e-84bf-4d6a-a1ae-e26f9634d4c2 \* MERGEFORMAT ">
        <w:r w:rsidR="00BD4838">
          <w:t xml:space="preserve"> </w:t>
        </w:r>
      </w:fldSimple>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5"/>
        <w:gridCol w:w="4245"/>
      </w:tblGrid>
      <w:tr w:rsidR="00544EC9" w:rsidRPr="00544EC9" w14:paraId="513B68B6" w14:textId="77777777" w:rsidTr="0060613D">
        <w:tc>
          <w:tcPr>
            <w:tcW w:w="4695" w:type="dxa"/>
            <w:tcBorders>
              <w:top w:val="single" w:sz="6" w:space="0" w:color="auto"/>
              <w:left w:val="single" w:sz="6" w:space="0" w:color="auto"/>
              <w:bottom w:val="single" w:sz="6" w:space="0" w:color="auto"/>
              <w:right w:val="single" w:sz="6" w:space="0" w:color="auto"/>
            </w:tcBorders>
            <w:shd w:val="clear" w:color="auto" w:fill="auto"/>
            <w:hideMark/>
          </w:tcPr>
          <w:p w14:paraId="5E0FED9D" w14:textId="77777777" w:rsidR="00544EC9" w:rsidRPr="00544EC9" w:rsidRDefault="00544EC9" w:rsidP="00544EC9">
            <w:pPr>
              <w:pStyle w:val="Paragraph"/>
              <w:spacing w:before="240"/>
              <w:jc w:val="center"/>
              <w:rPr>
                <w:b/>
                <w:bCs/>
              </w:rPr>
            </w:pPr>
            <w:r w:rsidRPr="00544EC9">
              <w:rPr>
                <w:b/>
                <w:bCs/>
              </w:rPr>
              <w:t xml:space="preserve">CTCAE </w:t>
            </w:r>
            <w:proofErr w:type="spellStart"/>
            <w:r w:rsidRPr="00544EC9">
              <w:rPr>
                <w:b/>
                <w:bCs/>
              </w:rPr>
              <w:t>Grade</w:t>
            </w:r>
            <w:r w:rsidRPr="00544EC9">
              <w:rPr>
                <w:b/>
                <w:bCs/>
                <w:vertAlign w:val="superscript"/>
              </w:rPr>
              <w:t>a</w:t>
            </w:r>
            <w:proofErr w:type="spellEnd"/>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41B954D" w14:textId="77777777" w:rsidR="00544EC9" w:rsidRPr="00544EC9" w:rsidRDefault="00544EC9" w:rsidP="00544EC9">
            <w:pPr>
              <w:pStyle w:val="Paragraph"/>
              <w:spacing w:before="240"/>
              <w:jc w:val="center"/>
              <w:rPr>
                <w:b/>
                <w:bCs/>
              </w:rPr>
            </w:pPr>
            <w:r w:rsidRPr="00544EC9">
              <w:rPr>
                <w:b/>
                <w:bCs/>
              </w:rPr>
              <w:t>Recommendation</w:t>
            </w:r>
          </w:p>
        </w:tc>
      </w:tr>
      <w:tr w:rsidR="00544EC9" w:rsidRPr="00544EC9" w14:paraId="4EBFD7C6" w14:textId="77777777" w:rsidTr="00544EC9">
        <w:trPr>
          <w:trHeight w:val="841"/>
        </w:trPr>
        <w:tc>
          <w:tcPr>
            <w:tcW w:w="4695" w:type="dxa"/>
            <w:tcBorders>
              <w:top w:val="single" w:sz="6" w:space="0" w:color="auto"/>
              <w:left w:val="single" w:sz="6" w:space="0" w:color="auto"/>
              <w:bottom w:val="single" w:sz="6" w:space="0" w:color="auto"/>
              <w:right w:val="single" w:sz="6" w:space="0" w:color="auto"/>
            </w:tcBorders>
            <w:shd w:val="clear" w:color="auto" w:fill="auto"/>
            <w:hideMark/>
          </w:tcPr>
          <w:p w14:paraId="6F2D01BB" w14:textId="459DB5B1" w:rsidR="00544EC9" w:rsidRPr="00544EC9" w:rsidRDefault="00544EC9" w:rsidP="00544EC9">
            <w:pPr>
              <w:pStyle w:val="Paragraph"/>
              <w:spacing w:before="240"/>
              <w:jc w:val="center"/>
              <w:rPr>
                <w:b/>
                <w:bCs/>
              </w:rPr>
            </w:pPr>
            <w:r w:rsidRPr="00544EC9">
              <w:rPr>
                <w:b/>
                <w:bCs/>
              </w:rPr>
              <w:t>Grade 1</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CA84730" w14:textId="58864819" w:rsidR="00544EC9" w:rsidRPr="00544EC9" w:rsidRDefault="00544EC9" w:rsidP="00994852">
            <w:pPr>
              <w:pStyle w:val="Paragraph"/>
              <w:numPr>
                <w:ilvl w:val="0"/>
                <w:numId w:val="23"/>
              </w:numPr>
              <w:spacing w:after="0"/>
              <w:ind w:left="394"/>
            </w:pPr>
            <w:r w:rsidRPr="00544EC9">
              <w:t xml:space="preserve">No </w:t>
            </w:r>
            <w:r w:rsidR="000C267D">
              <w:t>TRUQAP</w:t>
            </w:r>
            <w:r w:rsidR="000C267D" w:rsidRPr="00544EC9">
              <w:t xml:space="preserve"> </w:t>
            </w:r>
            <w:r w:rsidRPr="00544EC9">
              <w:t>dose adjustment required, initiate appropriate medical therapy and monitor as clinically indicated </w:t>
            </w:r>
          </w:p>
        </w:tc>
      </w:tr>
      <w:tr w:rsidR="00544EC9" w:rsidRPr="00544EC9" w14:paraId="71CF270A" w14:textId="77777777" w:rsidTr="00544EC9">
        <w:trPr>
          <w:trHeight w:val="556"/>
        </w:trPr>
        <w:tc>
          <w:tcPr>
            <w:tcW w:w="4695" w:type="dxa"/>
            <w:tcBorders>
              <w:top w:val="single" w:sz="6" w:space="0" w:color="auto"/>
              <w:left w:val="single" w:sz="6" w:space="0" w:color="auto"/>
              <w:bottom w:val="single" w:sz="6" w:space="0" w:color="auto"/>
              <w:right w:val="single" w:sz="6" w:space="0" w:color="auto"/>
            </w:tcBorders>
            <w:shd w:val="clear" w:color="auto" w:fill="auto"/>
            <w:hideMark/>
          </w:tcPr>
          <w:p w14:paraId="30C5B0E1" w14:textId="4E50227D" w:rsidR="00544EC9" w:rsidRPr="00544EC9" w:rsidRDefault="00544EC9" w:rsidP="00544EC9">
            <w:pPr>
              <w:pStyle w:val="Paragraph"/>
              <w:spacing w:after="0"/>
              <w:jc w:val="center"/>
              <w:rPr>
                <w:b/>
                <w:bCs/>
              </w:rPr>
            </w:pPr>
            <w:r w:rsidRPr="00544EC9">
              <w:rPr>
                <w:b/>
                <w:bCs/>
                <w:lang w:val="en-US"/>
              </w:rPr>
              <w:t>Grade 2</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B1F7B6F" w14:textId="7E44A861" w:rsidR="00544EC9" w:rsidRPr="00544EC9" w:rsidRDefault="00304107" w:rsidP="00994852">
            <w:pPr>
              <w:pStyle w:val="Paragraph"/>
              <w:numPr>
                <w:ilvl w:val="0"/>
                <w:numId w:val="23"/>
              </w:numPr>
              <w:spacing w:after="0"/>
              <w:ind w:left="394"/>
            </w:pPr>
            <w:r>
              <w:t>Withhold</w:t>
            </w:r>
            <w:r w:rsidRPr="00544EC9">
              <w:t xml:space="preserve"> </w:t>
            </w:r>
            <w:r w:rsidR="000C267D">
              <w:t>TRUQAP</w:t>
            </w:r>
            <w:r w:rsidR="000C267D" w:rsidRPr="00544EC9">
              <w:t xml:space="preserve"> </w:t>
            </w:r>
            <w:r w:rsidR="00544EC9" w:rsidRPr="00544EC9">
              <w:t>until symptoms improve to ≤ Grade 1</w:t>
            </w:r>
          </w:p>
        </w:tc>
      </w:tr>
      <w:tr w:rsidR="00544EC9" w:rsidRPr="00544EC9" w14:paraId="3F2D8824" w14:textId="77777777" w:rsidTr="0060613D">
        <w:tc>
          <w:tcPr>
            <w:tcW w:w="4695" w:type="dxa"/>
            <w:tcBorders>
              <w:top w:val="single" w:sz="6" w:space="0" w:color="auto"/>
              <w:left w:val="single" w:sz="6" w:space="0" w:color="auto"/>
              <w:bottom w:val="single" w:sz="6" w:space="0" w:color="auto"/>
              <w:right w:val="single" w:sz="6" w:space="0" w:color="auto"/>
            </w:tcBorders>
            <w:shd w:val="clear" w:color="auto" w:fill="auto"/>
            <w:hideMark/>
          </w:tcPr>
          <w:p w14:paraId="3319A30B" w14:textId="7347F16B" w:rsidR="00544EC9" w:rsidRPr="00544EC9" w:rsidRDefault="00544EC9" w:rsidP="00544EC9">
            <w:pPr>
              <w:pStyle w:val="Paragraph"/>
              <w:spacing w:before="240"/>
              <w:jc w:val="center"/>
            </w:pPr>
            <w:r w:rsidRPr="00544EC9">
              <w:rPr>
                <w:b/>
                <w:bCs/>
                <w:lang w:val="en-US"/>
              </w:rPr>
              <w:t>Grade 3</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990B2F0" w14:textId="12B5A16F" w:rsidR="00544EC9" w:rsidRPr="00544EC9" w:rsidRDefault="00304107" w:rsidP="00994852">
            <w:pPr>
              <w:pStyle w:val="Paragraph"/>
              <w:numPr>
                <w:ilvl w:val="0"/>
                <w:numId w:val="23"/>
              </w:numPr>
              <w:spacing w:after="0"/>
              <w:ind w:left="394"/>
            </w:pPr>
            <w:r>
              <w:t>Withhold</w:t>
            </w:r>
            <w:r w:rsidRPr="00544EC9">
              <w:t xml:space="preserve"> </w:t>
            </w:r>
            <w:r w:rsidR="000C267D">
              <w:t>TRUQAP</w:t>
            </w:r>
            <w:r w:rsidR="000C267D" w:rsidRPr="00544EC9">
              <w:t xml:space="preserve"> </w:t>
            </w:r>
            <w:r w:rsidR="00544EC9" w:rsidRPr="00544EC9">
              <w:t xml:space="preserve">until symptoms improve to ≤ Grade 1. If symptoms improve, restart </w:t>
            </w:r>
            <w:r w:rsidR="000C267D">
              <w:t>TRUQAP</w:t>
            </w:r>
            <w:r w:rsidR="000C267D" w:rsidRPr="00544EC9">
              <w:t xml:space="preserve"> </w:t>
            </w:r>
            <w:r w:rsidR="00544EC9" w:rsidRPr="00544EC9">
              <w:t>at same dose or one lower dose level as clinically appropriate.</w:t>
            </w:r>
          </w:p>
        </w:tc>
      </w:tr>
      <w:tr w:rsidR="00544EC9" w:rsidRPr="00544EC9" w14:paraId="72AAC200" w14:textId="77777777" w:rsidTr="0060613D">
        <w:tc>
          <w:tcPr>
            <w:tcW w:w="4695" w:type="dxa"/>
            <w:tcBorders>
              <w:top w:val="single" w:sz="6" w:space="0" w:color="auto"/>
              <w:left w:val="single" w:sz="6" w:space="0" w:color="auto"/>
              <w:bottom w:val="single" w:sz="6" w:space="0" w:color="auto"/>
              <w:right w:val="single" w:sz="6" w:space="0" w:color="auto"/>
            </w:tcBorders>
            <w:shd w:val="clear" w:color="auto" w:fill="auto"/>
          </w:tcPr>
          <w:p w14:paraId="50CC96BB" w14:textId="77777777" w:rsidR="00544EC9" w:rsidRPr="00544EC9" w:rsidRDefault="00544EC9" w:rsidP="00544EC9">
            <w:pPr>
              <w:pStyle w:val="Paragraph"/>
              <w:spacing w:after="0"/>
              <w:jc w:val="center"/>
            </w:pPr>
            <w:r w:rsidRPr="00544EC9">
              <w:rPr>
                <w:b/>
                <w:bCs/>
                <w:lang w:val="en-US"/>
              </w:rPr>
              <w:t>Grade 4</w:t>
            </w:r>
          </w:p>
        </w:tc>
        <w:tc>
          <w:tcPr>
            <w:tcW w:w="4245" w:type="dxa"/>
            <w:tcBorders>
              <w:top w:val="single" w:sz="6" w:space="0" w:color="auto"/>
              <w:left w:val="single" w:sz="6" w:space="0" w:color="auto"/>
              <w:bottom w:val="single" w:sz="6" w:space="0" w:color="auto"/>
              <w:right w:val="single" w:sz="6" w:space="0" w:color="auto"/>
            </w:tcBorders>
            <w:shd w:val="clear" w:color="auto" w:fill="auto"/>
          </w:tcPr>
          <w:p w14:paraId="53BF72FA" w14:textId="233042CE" w:rsidR="00544EC9" w:rsidRPr="00544EC9" w:rsidRDefault="00544EC9" w:rsidP="00994852">
            <w:pPr>
              <w:pStyle w:val="Paragraph"/>
              <w:numPr>
                <w:ilvl w:val="0"/>
                <w:numId w:val="23"/>
              </w:numPr>
              <w:spacing w:after="0"/>
              <w:ind w:left="394"/>
            </w:pPr>
            <w:r w:rsidRPr="00544EC9">
              <w:t xml:space="preserve">Permanently discontinue </w:t>
            </w:r>
            <w:r w:rsidR="000C267D">
              <w:t>TRUQAP</w:t>
            </w:r>
            <w:r w:rsidR="000C267D" w:rsidRPr="00544EC9">
              <w:t> </w:t>
            </w:r>
          </w:p>
        </w:tc>
      </w:tr>
    </w:tbl>
    <w:p w14:paraId="1BE16A65" w14:textId="6A271F37" w:rsidR="00544EC9" w:rsidRDefault="00544EC9" w:rsidP="00ED3BD2">
      <w:pPr>
        <w:pStyle w:val="TableFootnoteInfo"/>
        <w:rPr>
          <w:sz w:val="20"/>
          <w:szCs w:val="20"/>
        </w:rPr>
      </w:pPr>
      <w:r w:rsidRPr="00685E76">
        <w:rPr>
          <w:sz w:val="20"/>
          <w:szCs w:val="20"/>
          <w:vertAlign w:val="superscript"/>
        </w:rPr>
        <w:t xml:space="preserve">a </w:t>
      </w:r>
      <w:r w:rsidRPr="00685E76">
        <w:rPr>
          <w:sz w:val="20"/>
          <w:szCs w:val="20"/>
        </w:rPr>
        <w:t>Grading according to CTCAE Version 5.0 </w:t>
      </w:r>
    </w:p>
    <w:p w14:paraId="79E57A96" w14:textId="77777777" w:rsidR="00707428" w:rsidRPr="00685E76" w:rsidRDefault="00707428" w:rsidP="00ED3BD2">
      <w:pPr>
        <w:pStyle w:val="TableFootnoteInfo"/>
        <w:rPr>
          <w:sz w:val="20"/>
          <w:szCs w:val="20"/>
        </w:rPr>
      </w:pPr>
    </w:p>
    <w:p w14:paraId="7DD89CC5" w14:textId="2FFE6D06" w:rsidR="00544EC9" w:rsidRPr="00544EC9" w:rsidRDefault="00544EC9" w:rsidP="00707428">
      <w:pPr>
        <w:pStyle w:val="Heading4Unnumbered"/>
        <w:spacing w:after="0"/>
      </w:pPr>
      <w:r w:rsidRPr="00544EC9">
        <w:t>Co-administration with strong CYP3A4 inhibitors</w:t>
      </w:r>
      <w:fldSimple w:instr=" DOCVARIABLE vault_nd_c509445e-d901-4480-abbf-817a8898a3e8 \* MERGEFORMAT ">
        <w:r w:rsidR="00BD4838">
          <w:t xml:space="preserve"> </w:t>
        </w:r>
      </w:fldSimple>
    </w:p>
    <w:p w14:paraId="27976861" w14:textId="2B17352F" w:rsidR="00C85696" w:rsidRDefault="00865CF4" w:rsidP="00707428">
      <w:pPr>
        <w:pStyle w:val="Paragraph"/>
      </w:pPr>
      <w:r w:rsidRPr="00865CF4">
        <w:t>Avoid concomitant use with a strong CYP3A</w:t>
      </w:r>
      <w:r w:rsidR="001F75B0">
        <w:t>4</w:t>
      </w:r>
      <w:r w:rsidRPr="00865CF4">
        <w:t xml:space="preserve"> inhibitor. If concomitant use cannot be avoided, reduce the dose of TRUQAP and monitor patients for adverse reactions</w:t>
      </w:r>
      <w:r>
        <w:t>.</w:t>
      </w:r>
      <w:r w:rsidRPr="00865CF4">
        <w:t xml:space="preserve"> </w:t>
      </w:r>
      <w:r w:rsidR="00544EC9" w:rsidRPr="00544EC9">
        <w:t xml:space="preserve">The dose of </w:t>
      </w:r>
      <w:r w:rsidR="000C267D">
        <w:t>TRUQAP</w:t>
      </w:r>
      <w:r w:rsidR="000C267D" w:rsidRPr="00544EC9">
        <w:t xml:space="preserve"> </w:t>
      </w:r>
      <w:r w:rsidR="00544EC9" w:rsidRPr="00544EC9">
        <w:t>should be reduced to 320 mg twice daily (equivalent to a total daily dose of 640 mg) when co</w:t>
      </w:r>
      <w:r w:rsidR="00544EC9" w:rsidRPr="00544EC9">
        <w:noBreakHyphen/>
        <w:t xml:space="preserve">administered with strong CYP3A4 inhibitors (see </w:t>
      </w:r>
      <w:hyperlink w:anchor="_Interactions_with_other" w:history="1">
        <w:r w:rsidR="00624CB3" w:rsidRPr="00170DA0">
          <w:rPr>
            <w:rStyle w:val="Hyperlink"/>
            <w:color w:val="auto"/>
          </w:rPr>
          <w:t>S</w:t>
        </w:r>
        <w:r w:rsidR="00544EC9" w:rsidRPr="00170DA0">
          <w:rPr>
            <w:rStyle w:val="Hyperlink"/>
            <w:color w:val="auto"/>
          </w:rPr>
          <w:t>ection 4.5</w:t>
        </w:r>
        <w:r w:rsidR="00624CB3" w:rsidRPr="00170DA0">
          <w:rPr>
            <w:rStyle w:val="Hyperlink"/>
            <w:color w:val="auto"/>
          </w:rPr>
          <w:t xml:space="preserve"> Interactions with other medicines</w:t>
        </w:r>
      </w:hyperlink>
      <w:r w:rsidR="00544EC9" w:rsidRPr="00544EC9">
        <w:t>).</w:t>
      </w:r>
    </w:p>
    <w:p w14:paraId="768C28C0" w14:textId="75E69A76" w:rsidR="00ED27EC" w:rsidRDefault="00ED27EC" w:rsidP="009C1B9C">
      <w:pPr>
        <w:pStyle w:val="Heading3Unnumbered"/>
      </w:pPr>
      <w:r>
        <w:t xml:space="preserve">Special </w:t>
      </w:r>
      <w:r w:rsidRPr="001F3BCA">
        <w:t>patient</w:t>
      </w:r>
      <w:r>
        <w:t xml:space="preserve"> populations</w:t>
      </w:r>
      <w:fldSimple w:instr=" DOCVARIABLE vault_nd_9257f80a-b742-4f47-add7-86fd2339bc4e \* MERGEFORMAT ">
        <w:r w:rsidR="00BD4838">
          <w:t xml:space="preserve"> </w:t>
        </w:r>
      </w:fldSimple>
    </w:p>
    <w:p w14:paraId="7A0453F1" w14:textId="4ED49DEC" w:rsidR="00ED27EC" w:rsidRDefault="00ED27EC" w:rsidP="00ED27EC">
      <w:pPr>
        <w:pStyle w:val="Heading4Unnumbered"/>
      </w:pPr>
      <w:r>
        <w:t>Renal impairment</w:t>
      </w:r>
      <w:fldSimple w:instr=" DOCVARIABLE vault_nd_3a5027b7-954d-4b42-a6aa-d770d0aabe36 \* MERGEFORMAT ">
        <w:r w:rsidR="00BD4838">
          <w:t xml:space="preserve"> </w:t>
        </w:r>
      </w:fldSimple>
    </w:p>
    <w:p w14:paraId="1315510B" w14:textId="7A6625A4" w:rsidR="00ED27EC" w:rsidRDefault="001B55B6" w:rsidP="00C85696">
      <w:pPr>
        <w:pStyle w:val="Paragraph"/>
      </w:pPr>
      <w:r w:rsidRPr="001B55B6">
        <w:t xml:space="preserve">No dose adjustment is required for patients with mild or moderate renal impairment. </w:t>
      </w:r>
      <w:r w:rsidR="000C267D">
        <w:t>TRUQAP</w:t>
      </w:r>
      <w:r w:rsidR="000C267D" w:rsidRPr="001B55B6">
        <w:t xml:space="preserve"> </w:t>
      </w:r>
      <w:r w:rsidRPr="001B55B6">
        <w:t xml:space="preserve">is not recommended for patients with severe renal impairment, as safety and pharmacokinetics have not been studied in these patients (see </w:t>
      </w:r>
      <w:r w:rsidR="00624CB3">
        <w:t>S</w:t>
      </w:r>
      <w:r w:rsidRPr="001B55B6">
        <w:t>ection 5.2</w:t>
      </w:r>
      <w:r w:rsidR="00624CB3">
        <w:t xml:space="preserve"> </w:t>
      </w:r>
      <w:bookmarkStart w:id="12" w:name="_Hlk130390428"/>
      <w:r w:rsidR="00624CB3">
        <w:t>Pharmacokinetic properties</w:t>
      </w:r>
      <w:bookmarkEnd w:id="12"/>
      <w:r w:rsidRPr="001B55B6">
        <w:t>).</w:t>
      </w:r>
    </w:p>
    <w:p w14:paraId="33D2DCA7" w14:textId="46A72B82" w:rsidR="00ED27EC" w:rsidRDefault="00ED27EC" w:rsidP="00ED27EC">
      <w:pPr>
        <w:pStyle w:val="Heading4Unnumbered"/>
      </w:pPr>
      <w:r>
        <w:t>Hepatic impairmen</w:t>
      </w:r>
      <w:r w:rsidR="00791DB5">
        <w:t>t</w:t>
      </w:r>
      <w:fldSimple w:instr=" DOCVARIABLE vault_nd_535e374a-3921-4a03-8aea-387fdae0a6f0 \* MERGEFORMAT ">
        <w:r w:rsidR="00BD4838">
          <w:t xml:space="preserve"> </w:t>
        </w:r>
      </w:fldSimple>
    </w:p>
    <w:p w14:paraId="3B67BB59" w14:textId="62391A16" w:rsidR="00ED27EC" w:rsidRDefault="00FF41F7" w:rsidP="00C85696">
      <w:pPr>
        <w:pStyle w:val="Paragraph"/>
      </w:pPr>
      <w:r w:rsidRPr="00FF41F7">
        <w:t xml:space="preserve">No dose adjustment is required for patients with mild hepatic impairment. Limited data are available for patients with moderate hepatic impairment; </w:t>
      </w:r>
      <w:r w:rsidR="000C267D">
        <w:t>TRUQAP</w:t>
      </w:r>
      <w:r w:rsidR="000C267D" w:rsidRPr="00FF41F7">
        <w:t xml:space="preserve"> </w:t>
      </w:r>
      <w:r w:rsidRPr="00FF41F7">
        <w:t xml:space="preserve">should be administered to patients with moderate hepatic impairment only if the benefit outweighs the risk and these patients should be monitored closely for signs of toxicity. </w:t>
      </w:r>
      <w:r w:rsidR="000C267D">
        <w:t>TRUQAP</w:t>
      </w:r>
      <w:r w:rsidR="000C267D" w:rsidRPr="00FF41F7">
        <w:t xml:space="preserve"> </w:t>
      </w:r>
      <w:r w:rsidRPr="00FF41F7">
        <w:t>is not recommended for patients with severe hepatic impairment, as safety and pharmacokinetics have not been studied in these patients (see</w:t>
      </w:r>
      <w:r w:rsidRPr="00170DA0">
        <w:t xml:space="preserve"> </w:t>
      </w:r>
      <w:hyperlink w:anchor="_Pharmacokinetic_properties" w:history="1">
        <w:r w:rsidR="00624CB3" w:rsidRPr="00170DA0">
          <w:rPr>
            <w:rStyle w:val="Hyperlink"/>
            <w:color w:val="auto"/>
          </w:rPr>
          <w:t>S</w:t>
        </w:r>
        <w:r w:rsidRPr="00170DA0">
          <w:rPr>
            <w:rStyle w:val="Hyperlink"/>
            <w:color w:val="auto"/>
          </w:rPr>
          <w:t>ection 5.2</w:t>
        </w:r>
        <w:r w:rsidR="00624CB3" w:rsidRPr="00170DA0">
          <w:rPr>
            <w:rStyle w:val="Hyperlink"/>
            <w:color w:val="auto"/>
          </w:rPr>
          <w:t xml:space="preserve"> Pharmacokinetic properties</w:t>
        </w:r>
      </w:hyperlink>
      <w:r w:rsidRPr="00FF41F7">
        <w:t>).</w:t>
      </w:r>
    </w:p>
    <w:p w14:paraId="158B2684" w14:textId="314A89B2" w:rsidR="00ED27EC" w:rsidRDefault="00ED27EC" w:rsidP="00ED27EC">
      <w:pPr>
        <w:pStyle w:val="Heading4Unnumbered"/>
      </w:pPr>
      <w:r>
        <w:t>Use in the elderly</w:t>
      </w:r>
      <w:fldSimple w:instr=" DOCVARIABLE vault_nd_1c9e82ac-47af-4fac-a2f4-0ff98332daff \* MERGEFORMAT ">
        <w:r w:rsidR="00BD4838">
          <w:t xml:space="preserve"> </w:t>
        </w:r>
      </w:fldSimple>
    </w:p>
    <w:p w14:paraId="16515FFC" w14:textId="0D85D792" w:rsidR="00ED27EC" w:rsidRDefault="00791DB5" w:rsidP="00C85696">
      <w:pPr>
        <w:pStyle w:val="Paragraph"/>
      </w:pPr>
      <w:r w:rsidRPr="00791DB5">
        <w:t xml:space="preserve">No dose adjustment is required for elderly patients (see </w:t>
      </w:r>
      <w:hyperlink w:anchor="_Pharmacokinetic_properties" w:history="1">
        <w:r w:rsidR="00624CB3" w:rsidRPr="00170DA0">
          <w:rPr>
            <w:rStyle w:val="Hyperlink"/>
            <w:color w:val="auto"/>
          </w:rPr>
          <w:t>S</w:t>
        </w:r>
        <w:r w:rsidRPr="00170DA0">
          <w:rPr>
            <w:rStyle w:val="Hyperlink"/>
            <w:color w:val="auto"/>
          </w:rPr>
          <w:t>ection 5.2</w:t>
        </w:r>
        <w:r w:rsidR="00624CB3" w:rsidRPr="00170DA0">
          <w:rPr>
            <w:rStyle w:val="Hyperlink"/>
            <w:color w:val="auto"/>
          </w:rPr>
          <w:t xml:space="preserve"> Pharmacokinetic properties</w:t>
        </w:r>
      </w:hyperlink>
      <w:r w:rsidRPr="00791DB5">
        <w:t>). There are limited data in patients aged ≥ 75 years</w:t>
      </w:r>
      <w:r>
        <w:t>.</w:t>
      </w:r>
    </w:p>
    <w:p w14:paraId="4ADC0BB5" w14:textId="53391A45" w:rsidR="00ED27EC" w:rsidRDefault="001B114A" w:rsidP="00ED27EC">
      <w:pPr>
        <w:pStyle w:val="Heading4Unnumbered"/>
      </w:pPr>
      <w:r w:rsidRPr="001B114A">
        <w:t>Paediatric use</w:t>
      </w:r>
      <w:fldSimple w:instr=" DOCVARIABLE vault_nd_a09cb151-300f-4c55-928a-b524a3a1193f \* MERGEFORMAT ">
        <w:r w:rsidR="00BD4838">
          <w:t xml:space="preserve"> </w:t>
        </w:r>
      </w:fldSimple>
    </w:p>
    <w:p w14:paraId="0D3B7DEB" w14:textId="7F94915C" w:rsidR="00917CDE" w:rsidRPr="00917CDE" w:rsidRDefault="000C267D" w:rsidP="00917CDE">
      <w:pPr>
        <w:pStyle w:val="Paragraph"/>
      </w:pPr>
      <w:r>
        <w:t>TRUQAP</w:t>
      </w:r>
      <w:r w:rsidRPr="00893617">
        <w:t xml:space="preserve"> </w:t>
      </w:r>
      <w:r w:rsidR="00893617" w:rsidRPr="00893617">
        <w:t xml:space="preserve">is not indicated for use in paediatric patients, as safety and efficacy of </w:t>
      </w:r>
      <w:r>
        <w:t>TRUQAP</w:t>
      </w:r>
      <w:r w:rsidRPr="00893617">
        <w:t xml:space="preserve"> </w:t>
      </w:r>
      <w:r w:rsidR="00893617" w:rsidRPr="00893617">
        <w:t>in children and adolescents have not been established.</w:t>
      </w:r>
    </w:p>
    <w:p w14:paraId="5585E7C8" w14:textId="267666AB" w:rsidR="00ED27EC" w:rsidRDefault="00ED27EC" w:rsidP="00ED27EC">
      <w:pPr>
        <w:pStyle w:val="Heading3Unnumbered"/>
      </w:pPr>
      <w:r>
        <w:t>Method of administration</w:t>
      </w:r>
      <w:fldSimple w:instr=" DOCVARIABLE vault_nd_0ab2eb83-b622-4406-82d9-e446a93f2c6d \* MERGEFORMAT ">
        <w:r w:rsidR="00BD4838">
          <w:t xml:space="preserve"> </w:t>
        </w:r>
      </w:fldSimple>
    </w:p>
    <w:p w14:paraId="0D19BDA6" w14:textId="72637788" w:rsidR="00ED27EC" w:rsidRPr="00C85696" w:rsidRDefault="000C267D" w:rsidP="005D7C6B">
      <w:pPr>
        <w:pStyle w:val="Paragraph"/>
        <w:spacing w:before="240"/>
      </w:pPr>
      <w:r>
        <w:t>TRUQAP</w:t>
      </w:r>
      <w:r w:rsidRPr="00116C86">
        <w:t xml:space="preserve"> </w:t>
      </w:r>
      <w:r w:rsidR="00116C86" w:rsidRPr="00116C86">
        <w:t xml:space="preserve">tablets should be swallowed whole with water and not chewed, crushed dissolved, or divided. No tablets should be ingested if it is </w:t>
      </w:r>
      <w:bookmarkStart w:id="13" w:name="_Hlk125964350"/>
      <w:r w:rsidR="00116C86" w:rsidRPr="00116C86">
        <w:t>broken, cracked, or otherwise not intact</w:t>
      </w:r>
      <w:bookmarkEnd w:id="13"/>
      <w:r w:rsidR="00116C86" w:rsidRPr="00116C86">
        <w:t>.</w:t>
      </w:r>
    </w:p>
    <w:p w14:paraId="2F8D428D" w14:textId="35B745CB" w:rsidR="001A3992" w:rsidRPr="003A4225" w:rsidRDefault="001A3992" w:rsidP="00994852">
      <w:pPr>
        <w:pStyle w:val="Heading2"/>
      </w:pPr>
      <w:r w:rsidRPr="003A4225">
        <w:t>Contraindications</w:t>
      </w:r>
      <w:fldSimple w:instr=" DOCVARIABLE VAULT_ND_ef4d2088-dbc9-42c1-b066-c77365959b01 \* MERGEFORMAT ">
        <w:r w:rsidR="00BD4838" w:rsidRPr="003A4225">
          <w:t xml:space="preserve"> </w:t>
        </w:r>
      </w:fldSimple>
    </w:p>
    <w:p w14:paraId="7A7239F4" w14:textId="20DA644B" w:rsidR="00C85696" w:rsidRPr="00C85696" w:rsidRDefault="00F5025B" w:rsidP="00C85696">
      <w:pPr>
        <w:pStyle w:val="Paragraph"/>
      </w:pPr>
      <w:r w:rsidRPr="00F5025B">
        <w:t>Prior severe hypersensitivity</w:t>
      </w:r>
      <w:r w:rsidR="00711F48" w:rsidRPr="00711F48">
        <w:t xml:space="preserve"> to the active substance or to any of the excipients listed in </w:t>
      </w:r>
      <w:hyperlink w:anchor="_List_of_excipients" w:history="1">
        <w:r w:rsidR="006877D5" w:rsidRPr="00170DA0">
          <w:rPr>
            <w:rStyle w:val="Hyperlink"/>
            <w:color w:val="auto"/>
          </w:rPr>
          <w:t>S</w:t>
        </w:r>
        <w:r w:rsidR="00711F48" w:rsidRPr="00170DA0">
          <w:rPr>
            <w:rStyle w:val="Hyperlink"/>
            <w:color w:val="auto"/>
          </w:rPr>
          <w:t>ection 6.1</w:t>
        </w:r>
        <w:r w:rsidR="006877D5" w:rsidRPr="00170DA0">
          <w:rPr>
            <w:rStyle w:val="Hyperlink"/>
            <w:color w:val="auto"/>
          </w:rPr>
          <w:t xml:space="preserve"> List of excipients</w:t>
        </w:r>
      </w:hyperlink>
      <w:r w:rsidR="00711F48" w:rsidRPr="00711F48">
        <w:t>.</w:t>
      </w:r>
    </w:p>
    <w:p w14:paraId="0B2643AD" w14:textId="66A393BE" w:rsidR="001A3992" w:rsidRPr="003A4225" w:rsidRDefault="00E74A56" w:rsidP="00994852">
      <w:pPr>
        <w:pStyle w:val="Heading2"/>
      </w:pPr>
      <w:bookmarkStart w:id="14" w:name="_Special_warnings_and"/>
      <w:bookmarkEnd w:id="14"/>
      <w:r w:rsidRPr="003A4225">
        <w:t>Special warnings and p</w:t>
      </w:r>
      <w:r w:rsidR="001A3992" w:rsidRPr="003A4225">
        <w:t xml:space="preserve">recautions </w:t>
      </w:r>
      <w:r w:rsidRPr="003A4225">
        <w:t>for use</w:t>
      </w:r>
      <w:fldSimple w:instr=" DOCVARIABLE VAULT_ND_852ffe6f-afa6-40de-8de3-4e9c3d6a399d \* MERGEFORMAT ">
        <w:r w:rsidR="00BD4838" w:rsidRPr="003A4225">
          <w:t xml:space="preserve"> </w:t>
        </w:r>
      </w:fldSimple>
    </w:p>
    <w:p w14:paraId="65113883" w14:textId="0E3B084E" w:rsidR="001A3992" w:rsidRDefault="00F3418D" w:rsidP="00D347D7">
      <w:pPr>
        <w:pStyle w:val="Heading3Unnumbered"/>
      </w:pPr>
      <w:bookmarkStart w:id="15" w:name="_Hlk129866219"/>
      <w:r w:rsidRPr="00F3418D">
        <w:t>Hyperglycaemia</w:t>
      </w:r>
      <w:fldSimple w:instr=" DOCVARIABLE vault_nd_ea8a8fa4-0de5-4436-8299-fe6e0f189fe5 \* MERGEFORMAT ">
        <w:r w:rsidR="00BD4838">
          <w:t xml:space="preserve"> </w:t>
        </w:r>
      </w:fldSimple>
    </w:p>
    <w:bookmarkEnd w:id="15"/>
    <w:p w14:paraId="0AC9E36C" w14:textId="0A4038A6" w:rsidR="0030235C" w:rsidRPr="0030235C" w:rsidRDefault="00865CF4" w:rsidP="0030235C">
      <w:pPr>
        <w:pStyle w:val="Paragraph"/>
      </w:pPr>
      <w:r w:rsidRPr="00865CF4">
        <w:t xml:space="preserve">Severe hyperglycaemia </w:t>
      </w:r>
      <w:r w:rsidR="00B75B80">
        <w:t>has occurred in 8 (2</w:t>
      </w:r>
      <w:r w:rsidR="00344728">
        <w:t>.</w:t>
      </w:r>
      <w:r w:rsidR="00B75B80">
        <w:t>3%) patients treated with TRUQAP.  D</w:t>
      </w:r>
      <w:r w:rsidRPr="00865CF4">
        <w:t xml:space="preserve">iabetic ketoacidosis </w:t>
      </w:r>
      <w:r w:rsidR="00B75B80">
        <w:t>was reported in one patient</w:t>
      </w:r>
      <w:r w:rsidR="001A08D6">
        <w:t xml:space="preserve"> treated with TRUQAP</w:t>
      </w:r>
      <w:r w:rsidR="00B75B80">
        <w:t xml:space="preserve"> in CAPItello-291</w:t>
      </w:r>
      <w:r w:rsidRPr="00865CF4">
        <w:t>.</w:t>
      </w:r>
      <w:r>
        <w:t xml:space="preserve"> </w:t>
      </w:r>
      <w:r w:rsidR="0030235C" w:rsidRPr="0030235C">
        <w:t xml:space="preserve">Before initiating treatment with </w:t>
      </w:r>
      <w:r w:rsidR="003F16DD">
        <w:t>TRUQAP</w:t>
      </w:r>
      <w:r w:rsidR="0030235C" w:rsidRPr="0030235C">
        <w:t xml:space="preserve">, inform patients about </w:t>
      </w:r>
      <w:r w:rsidR="003F16DD">
        <w:t>TRUQAP</w:t>
      </w:r>
      <w:r w:rsidR="003F16DD" w:rsidRPr="0030235C">
        <w:t xml:space="preserve">’s </w:t>
      </w:r>
      <w:r w:rsidR="0030235C" w:rsidRPr="0030235C">
        <w:t xml:space="preserve">potential to cause hyperglycaemia and to immediately contact their healthcare professional if hyperglycaemia symptoms (e.g., excessive thirst, urinating more often than usual or greater amount of urine than usual, increased appetite with weight loss) occur. Patients should be tested for fasting blood glucose (FG) levels and HbA1C prior to treatment with </w:t>
      </w:r>
      <w:proofErr w:type="spellStart"/>
      <w:r w:rsidR="0030235C" w:rsidRPr="0030235C">
        <w:t>capivasertib</w:t>
      </w:r>
      <w:proofErr w:type="spellEnd"/>
      <w:r w:rsidR="0030235C" w:rsidRPr="0030235C">
        <w:t xml:space="preserve"> and at regular intervals during treatment. FG testing should be performed prior to the regular dose of </w:t>
      </w:r>
      <w:r w:rsidR="003F16DD">
        <w:t>TRUQAP</w:t>
      </w:r>
      <w:r w:rsidR="0030235C" w:rsidRPr="0030235C">
        <w:t xml:space="preserve">. It is recommended to test FG at least every two </w:t>
      </w:r>
      <w:r w:rsidR="0030235C" w:rsidRPr="0030235C">
        <w:lastRenderedPageBreak/>
        <w:t>weeks during the first month of treatment and at least once a month starting from the second month, and HbA1C every three months. More frequent FG testing is required in patients with medical history of diabetes mellitus, in patients without prior history of diabetes mellitus and showing FG of &gt; ULN 160 mg/d</w:t>
      </w:r>
      <w:r w:rsidR="004D3158">
        <w:t>L</w:t>
      </w:r>
      <w:r w:rsidR="0030235C" w:rsidRPr="0030235C">
        <w:t xml:space="preserve"> (&gt; ULN 8.9 mmol/L) during treatment or in those with intercurrent infections or other conditions which may require intensified glycaemia management to prevent worsening of impaired glucose metabolism and potential complications, namely diabetic ketoacidosis. Monitoring of HbA1C, ketones (preferably in blood) and other metabolic parameters (as indicated), in addition to FG, is recommended in these patients. Based on the severity of hyperglycaemia, </w:t>
      </w:r>
      <w:r w:rsidR="003F16DD">
        <w:t>TRUQAP</w:t>
      </w:r>
      <w:r w:rsidR="003F16DD" w:rsidRPr="0030235C">
        <w:t xml:space="preserve"> </w:t>
      </w:r>
      <w:r w:rsidR="0030235C" w:rsidRPr="0030235C">
        <w:t>dosing may be interrupted, reduced, or permanently discontinued (</w:t>
      </w:r>
      <w:r w:rsidR="0030235C" w:rsidRPr="00170DA0">
        <w:t xml:space="preserve">see </w:t>
      </w:r>
      <w:hyperlink w:anchor="_Dose_and_method" w:history="1">
        <w:r w:rsidR="002114CC" w:rsidRPr="00170DA0">
          <w:rPr>
            <w:rStyle w:val="Hyperlink"/>
            <w:color w:val="auto"/>
          </w:rPr>
          <w:t>S</w:t>
        </w:r>
        <w:r w:rsidR="0030235C" w:rsidRPr="00170DA0">
          <w:rPr>
            <w:rStyle w:val="Hyperlink"/>
            <w:color w:val="auto"/>
          </w:rPr>
          <w:t xml:space="preserve">ection 4.2 </w:t>
        </w:r>
        <w:r w:rsidR="002114CC" w:rsidRPr="00170DA0">
          <w:rPr>
            <w:rStyle w:val="Hyperlink"/>
            <w:color w:val="auto"/>
          </w:rPr>
          <w:t>Dose and method of administration</w:t>
        </w:r>
      </w:hyperlink>
      <w:r w:rsidR="002114CC">
        <w:t xml:space="preserve">, </w:t>
      </w:r>
      <w:r w:rsidR="00C15075">
        <w:fldChar w:fldCharType="begin"/>
      </w:r>
      <w:r w:rsidR="00C15075">
        <w:instrText xml:space="preserve"> REF _Ref130834088 \h </w:instrText>
      </w:r>
      <w:r w:rsidR="00C15075">
        <w:fldChar w:fldCharType="separate"/>
      </w:r>
      <w:r w:rsidR="00C15075">
        <w:t xml:space="preserve">Table </w:t>
      </w:r>
      <w:r w:rsidR="00C15075">
        <w:rPr>
          <w:noProof/>
        </w:rPr>
        <w:t>3</w:t>
      </w:r>
      <w:r w:rsidR="00C15075">
        <w:fldChar w:fldCharType="end"/>
      </w:r>
      <w:r w:rsidR="0030235C" w:rsidRPr="0030235C">
        <w:t>).</w:t>
      </w:r>
    </w:p>
    <w:p w14:paraId="6B8AC239" w14:textId="2751E20F" w:rsidR="00EC60F8" w:rsidRDefault="0030235C" w:rsidP="0030235C">
      <w:pPr>
        <w:pStyle w:val="Paragraph"/>
      </w:pPr>
      <w:r w:rsidRPr="0030235C">
        <w:t xml:space="preserve">The safety of </w:t>
      </w:r>
      <w:r w:rsidR="003F16DD">
        <w:t>TRUQAP</w:t>
      </w:r>
      <w:r w:rsidR="003F16DD" w:rsidRPr="0030235C">
        <w:t xml:space="preserve"> </w:t>
      </w:r>
      <w:r w:rsidRPr="0030235C">
        <w:t>in patients with Type 1 and Type 2 diabetes requiring insulin has not been studied as these patients were excluded from study. Patients with history of diabetes mellitus may require intensified diabetic treatment and should be closely monitored.</w:t>
      </w:r>
    </w:p>
    <w:p w14:paraId="7A91DFEC" w14:textId="355361E6" w:rsidR="00293F0D" w:rsidRPr="00293F0D" w:rsidRDefault="002639A2" w:rsidP="007D2B85">
      <w:pPr>
        <w:pStyle w:val="Heading3Unnumbered"/>
      </w:pPr>
      <w:r w:rsidRPr="002639A2">
        <w:t>Diarrhoea</w:t>
      </w:r>
      <w:fldSimple w:instr=" DOCVARIABLE vault_nd_50faedf3-f8a9-44f6-a67b-e8e7cfff3035 \* MERGEFORMAT ">
        <w:r w:rsidR="00BD4838">
          <w:t xml:space="preserve"> </w:t>
        </w:r>
      </w:fldSimple>
    </w:p>
    <w:p w14:paraId="24DCFA93" w14:textId="63B2FC6A" w:rsidR="00737626" w:rsidRDefault="00737626" w:rsidP="00EC60F8">
      <w:pPr>
        <w:pStyle w:val="Paragraph"/>
      </w:pPr>
      <w:r w:rsidRPr="00737626">
        <w:t>Severe diarrhoea associated with dehydration was observed in patients treated with TRUQAP</w:t>
      </w:r>
      <w:r>
        <w:t>.</w:t>
      </w:r>
      <w:r w:rsidR="001B56DA">
        <w:t xml:space="preserve"> Acute kidney injury was reported in association with dehydration</w:t>
      </w:r>
      <w:r w:rsidR="00511249">
        <w:t>.</w:t>
      </w:r>
    </w:p>
    <w:p w14:paraId="6F5E8C85" w14:textId="1483B324" w:rsidR="007D2B85" w:rsidRDefault="002840C8" w:rsidP="00EC60F8">
      <w:pPr>
        <w:pStyle w:val="Paragraph"/>
      </w:pPr>
      <w:r w:rsidRPr="002840C8">
        <w:t xml:space="preserve">Diarrhoea has been frequently reported in patients treated with </w:t>
      </w:r>
      <w:r w:rsidR="003F16DD">
        <w:t>TRUQAP</w:t>
      </w:r>
      <w:r w:rsidR="003F16DD" w:rsidRPr="002840C8">
        <w:t xml:space="preserve"> </w:t>
      </w:r>
      <w:r w:rsidRPr="002840C8">
        <w:t>(</w:t>
      </w:r>
      <w:r w:rsidRPr="00170DA0">
        <w:t xml:space="preserve">see </w:t>
      </w:r>
      <w:hyperlink w:anchor="_Adverse_effects_(Undesirable" w:history="1">
        <w:r w:rsidR="002114CC" w:rsidRPr="00170DA0">
          <w:rPr>
            <w:rStyle w:val="Hyperlink"/>
            <w:color w:val="auto"/>
          </w:rPr>
          <w:t>S</w:t>
        </w:r>
        <w:r w:rsidRPr="00170DA0">
          <w:rPr>
            <w:rStyle w:val="Hyperlink"/>
            <w:color w:val="auto"/>
          </w:rPr>
          <w:t>ection 4.8</w:t>
        </w:r>
        <w:r w:rsidR="002114CC" w:rsidRPr="00170DA0">
          <w:rPr>
            <w:rStyle w:val="Hyperlink"/>
            <w:color w:val="auto"/>
          </w:rPr>
          <w:t xml:space="preserve"> Adverse effects</w:t>
        </w:r>
        <w:r w:rsidRPr="00170DA0">
          <w:rPr>
            <w:rStyle w:val="Hyperlink"/>
            <w:color w:val="auto"/>
          </w:rPr>
          <w:t>)</w:t>
        </w:r>
      </w:hyperlink>
      <w:r w:rsidRPr="002840C8">
        <w:t>.</w:t>
      </w:r>
    </w:p>
    <w:p w14:paraId="435FE20F" w14:textId="00E95784" w:rsidR="00293F0D" w:rsidRDefault="002840C8" w:rsidP="00EC60F8">
      <w:pPr>
        <w:pStyle w:val="Paragraph"/>
      </w:pPr>
      <w:r w:rsidRPr="002840C8">
        <w:t xml:space="preserve">Based on the severity of diarrhoea, </w:t>
      </w:r>
      <w:r w:rsidR="003F16DD">
        <w:t>TRUQAP</w:t>
      </w:r>
      <w:r w:rsidR="003F16DD" w:rsidRPr="002840C8">
        <w:t xml:space="preserve"> </w:t>
      </w:r>
      <w:r w:rsidRPr="002840C8">
        <w:t xml:space="preserve">dosing may be interrupted, reduced or permanently discontinued (see </w:t>
      </w:r>
      <w:hyperlink w:anchor="_Dose_and_method" w:history="1">
        <w:r w:rsidR="002114CC" w:rsidRPr="004E12EF">
          <w:rPr>
            <w:rStyle w:val="Hyperlink"/>
            <w:color w:val="auto"/>
          </w:rPr>
          <w:t>S</w:t>
        </w:r>
        <w:r w:rsidRPr="004E12EF">
          <w:rPr>
            <w:rStyle w:val="Hyperlink"/>
            <w:color w:val="auto"/>
          </w:rPr>
          <w:t>ection 4.2</w:t>
        </w:r>
        <w:r w:rsidR="002114CC" w:rsidRPr="004E12EF">
          <w:rPr>
            <w:rStyle w:val="Hyperlink"/>
            <w:color w:val="auto"/>
          </w:rPr>
          <w:t xml:space="preserve"> Dose and method of administration</w:t>
        </w:r>
      </w:hyperlink>
      <w:r w:rsidRPr="002840C8">
        <w:t xml:space="preserve">, </w:t>
      </w:r>
      <w:r w:rsidR="00C15075">
        <w:fldChar w:fldCharType="begin"/>
      </w:r>
      <w:r w:rsidR="00C15075">
        <w:instrText xml:space="preserve"> REF _Ref130834104 \h </w:instrText>
      </w:r>
      <w:r w:rsidR="00C15075">
        <w:fldChar w:fldCharType="separate"/>
      </w:r>
      <w:r w:rsidR="00C15075">
        <w:t xml:space="preserve">Table </w:t>
      </w:r>
      <w:r w:rsidR="00C15075">
        <w:rPr>
          <w:noProof/>
        </w:rPr>
        <w:t>4</w:t>
      </w:r>
      <w:r w:rsidR="00C15075">
        <w:fldChar w:fldCharType="end"/>
      </w:r>
      <w:r w:rsidRPr="002840C8">
        <w:t>). Advi</w:t>
      </w:r>
      <w:r w:rsidR="001A08D6">
        <w:t>s</w:t>
      </w:r>
      <w:r w:rsidRPr="002840C8">
        <w:t>e patients to start anti</w:t>
      </w:r>
      <w:r w:rsidRPr="002840C8">
        <w:noBreakHyphen/>
        <w:t xml:space="preserve">diarrhoeal treatment at the first sign of diarrhoea, increase oral fluids if diarrhoea symptoms occur while taking </w:t>
      </w:r>
      <w:r w:rsidR="003F16DD">
        <w:t>TRUQAP</w:t>
      </w:r>
      <w:r w:rsidRPr="002840C8">
        <w:t xml:space="preserve">. Maintenance of </w:t>
      </w:r>
      <w:proofErr w:type="spellStart"/>
      <w:r w:rsidRPr="002840C8">
        <w:t>normovolemia</w:t>
      </w:r>
      <w:proofErr w:type="spellEnd"/>
      <w:r w:rsidRPr="002840C8">
        <w:t xml:space="preserve"> and electrolyte balance is required in patients with diarrhoea to avoid complications related to hypovolemia and low electrolyte levels</w:t>
      </w:r>
      <w:r>
        <w:t>.</w:t>
      </w:r>
    </w:p>
    <w:p w14:paraId="6516C9B1" w14:textId="79BE1A46" w:rsidR="00293F0D" w:rsidRPr="00293F0D" w:rsidRDefault="00F11C07" w:rsidP="007D2B85">
      <w:pPr>
        <w:pStyle w:val="Heading3Unnumbered"/>
      </w:pPr>
      <w:r w:rsidRPr="00B64A67">
        <w:t xml:space="preserve">Rash and other </w:t>
      </w:r>
      <w:r w:rsidR="00B64A67" w:rsidRPr="00B64A67">
        <w:t>skin reactions</w:t>
      </w:r>
      <w:fldSimple w:instr=" DOCVARIABLE vault_nd_d015e5bb-baa7-4aaf-a92d-665baf394788 \* MERGEFORMAT ">
        <w:r w:rsidR="00BD4838" w:rsidRPr="00B64A67">
          <w:t xml:space="preserve"> </w:t>
        </w:r>
      </w:fldSimple>
    </w:p>
    <w:p w14:paraId="16D0D008" w14:textId="54D10886" w:rsidR="000C4152" w:rsidRDefault="00AE0656" w:rsidP="00EC60F8">
      <w:pPr>
        <w:pStyle w:val="Paragraph"/>
      </w:pPr>
      <w:r w:rsidRPr="00AE0656">
        <w:t>Skin reactions, including erythema multiforme and dermatitis exfoliative generalised</w:t>
      </w:r>
      <w:r w:rsidR="00733402">
        <w:t>,</w:t>
      </w:r>
      <w:r w:rsidRPr="00AE0656">
        <w:t xml:space="preserve"> were reported in patients receiving </w:t>
      </w:r>
      <w:r w:rsidR="003F16DD">
        <w:t>TRUQAP</w:t>
      </w:r>
      <w:r w:rsidRPr="00AE0656">
        <w:t xml:space="preserve">. </w:t>
      </w:r>
      <w:r w:rsidR="000F786A">
        <w:t xml:space="preserve">Drug reaction with eosinophilia and systemic symptoms (DRESS) was reported in one patient </w:t>
      </w:r>
      <w:r w:rsidR="001A08D6">
        <w:t xml:space="preserve">treated with TRUQAP </w:t>
      </w:r>
      <w:r w:rsidR="000F786A">
        <w:t>in CAPItello-291.</w:t>
      </w:r>
      <w:r w:rsidR="001A08D6">
        <w:t xml:space="preserve"> </w:t>
      </w:r>
      <w:r w:rsidR="001A08D6" w:rsidRPr="001A08D6">
        <w:t>Palmar-plantar erythrodysesthesia was reported in 3 patients treated with TRUQAP in CAPItello-291</w:t>
      </w:r>
      <w:r w:rsidR="001A08D6">
        <w:t>.</w:t>
      </w:r>
    </w:p>
    <w:p w14:paraId="2AFFACA4" w14:textId="0E1355D7" w:rsidR="00293F0D" w:rsidRDefault="00AE0656" w:rsidP="00EC60F8">
      <w:pPr>
        <w:pStyle w:val="Paragraph"/>
        <w:rPr>
          <w:lang w:val="en-US"/>
        </w:rPr>
      </w:pPr>
      <w:r w:rsidRPr="00AE0656">
        <w:t>Patients should be monitored for signs and symptoms of rash or dermatitis and based on severity of skin drug reactions the dosing may be interrupted, reduced, or permanently discontinued (</w:t>
      </w:r>
      <w:hyperlink w:anchor="_Dose_and_method" w:history="1">
        <w:r w:rsidR="002114CC" w:rsidRPr="004E12EF">
          <w:rPr>
            <w:rStyle w:val="Hyperlink"/>
            <w:color w:val="auto"/>
          </w:rPr>
          <w:t>S</w:t>
        </w:r>
        <w:r w:rsidRPr="004E12EF">
          <w:rPr>
            <w:rStyle w:val="Hyperlink"/>
            <w:color w:val="auto"/>
          </w:rPr>
          <w:t>ection 4.2</w:t>
        </w:r>
        <w:r w:rsidR="002114CC" w:rsidRPr="004E12EF">
          <w:rPr>
            <w:rStyle w:val="Hyperlink"/>
            <w:color w:val="auto"/>
          </w:rPr>
          <w:t xml:space="preserve"> Dose and method of administration</w:t>
        </w:r>
      </w:hyperlink>
      <w:r w:rsidR="002114CC" w:rsidRPr="004E12EF">
        <w:t>,</w:t>
      </w:r>
      <w:r w:rsidRPr="004E12EF">
        <w:t xml:space="preserve"> </w:t>
      </w:r>
      <w:r w:rsidR="00C15075">
        <w:fldChar w:fldCharType="begin"/>
      </w:r>
      <w:r w:rsidR="00C15075">
        <w:instrText xml:space="preserve"> REF _Ref130834115 \h </w:instrText>
      </w:r>
      <w:r w:rsidR="00C15075">
        <w:fldChar w:fldCharType="separate"/>
      </w:r>
      <w:r w:rsidR="00C15075">
        <w:t xml:space="preserve">Table </w:t>
      </w:r>
      <w:r w:rsidR="00C15075">
        <w:rPr>
          <w:noProof/>
        </w:rPr>
        <w:t>5</w:t>
      </w:r>
      <w:r w:rsidR="00C15075">
        <w:fldChar w:fldCharType="end"/>
      </w:r>
      <w:r w:rsidRPr="00AE0656">
        <w:t xml:space="preserve">). </w:t>
      </w:r>
      <w:r w:rsidRPr="00AE0656">
        <w:rPr>
          <w:lang w:val="en-US"/>
        </w:rPr>
        <w:t>Early consultation with a dermatologist is recommended to ensure greater diagnostic accuracy and appropriate management.</w:t>
      </w:r>
    </w:p>
    <w:p w14:paraId="0CBFFB2A" w14:textId="6878F09D" w:rsidR="00110CF3" w:rsidRDefault="00110CF3" w:rsidP="00110CF3">
      <w:pPr>
        <w:pStyle w:val="Heading3Unnumbered"/>
      </w:pPr>
      <w:bookmarkStart w:id="16" w:name="_Hlk152842816"/>
      <w:r w:rsidRPr="00110CF3">
        <w:t>Patients excluded from the study</w:t>
      </w:r>
      <w:fldSimple w:instr=" DOCVARIABLE vault_nd_7bed13ba-c80c-4457-a946-b3b3c890eeeb \* MERGEFORMAT ">
        <w:r w:rsidR="00BD4838">
          <w:t xml:space="preserve"> </w:t>
        </w:r>
      </w:fldSimple>
    </w:p>
    <w:p w14:paraId="7B0E37F9" w14:textId="31064542" w:rsidR="00110CF3" w:rsidRDefault="00110CF3" w:rsidP="00EC60F8">
      <w:pPr>
        <w:pStyle w:val="Paragraph"/>
      </w:pPr>
      <w:r w:rsidRPr="00110CF3">
        <w:t xml:space="preserve">The patients with history of clinically significant cardiac disease including </w:t>
      </w:r>
      <w:proofErr w:type="spellStart"/>
      <w:r w:rsidRPr="00110CF3">
        <w:t>QTcF</w:t>
      </w:r>
      <w:proofErr w:type="spellEnd"/>
      <w:r w:rsidRPr="00110CF3">
        <w:t xml:space="preserve"> &gt; 470 msec, any factors that increased the risk of QTc prolongation or risk of arrhythmic events or risk of cardiac function impairment were excluded from </w:t>
      </w:r>
      <w:proofErr w:type="spellStart"/>
      <w:r w:rsidRPr="00110CF3">
        <w:t>CAPItello</w:t>
      </w:r>
      <w:proofErr w:type="spellEnd"/>
      <w:r w:rsidRPr="00110CF3">
        <w:t xml:space="preserve"> 291. This should be considered if TRUQAP is prescribed in these patients</w:t>
      </w:r>
      <w:bookmarkEnd w:id="16"/>
      <w:r w:rsidR="009B37B6">
        <w:t>.</w:t>
      </w:r>
    </w:p>
    <w:p w14:paraId="42C1DE16" w14:textId="32E43608" w:rsidR="001A3992" w:rsidRDefault="001A3992" w:rsidP="00D347D7">
      <w:pPr>
        <w:pStyle w:val="Heading3Unnumbered"/>
      </w:pPr>
      <w:r w:rsidRPr="00377337">
        <w:t>Use in the elderly</w:t>
      </w:r>
      <w:fldSimple w:instr=" DOCVARIABLE vault_nd_43244324-94c9-4b32-b482-62c27656f4ce \* MERGEFORMAT ">
        <w:r w:rsidR="00BD4838">
          <w:t xml:space="preserve"> </w:t>
        </w:r>
      </w:fldSimple>
    </w:p>
    <w:p w14:paraId="0477271B" w14:textId="561D4932" w:rsidR="00EC60F8" w:rsidRPr="00EC60F8" w:rsidRDefault="00297C2C" w:rsidP="004F6D0B">
      <w:pPr>
        <w:pStyle w:val="Paragraph"/>
      </w:pPr>
      <w:r w:rsidRPr="00297C2C">
        <w:t>No dose adjustment is required for elderly patients (</w:t>
      </w:r>
      <w:r w:rsidRPr="004E12EF">
        <w:t xml:space="preserve">see </w:t>
      </w:r>
      <w:hyperlink w:anchor="_Pharmacokinetic_properties" w:history="1">
        <w:r w:rsidR="00624CB3" w:rsidRPr="004E12EF">
          <w:rPr>
            <w:rStyle w:val="Hyperlink"/>
            <w:color w:val="auto"/>
          </w:rPr>
          <w:t>S</w:t>
        </w:r>
        <w:r w:rsidRPr="004E12EF">
          <w:rPr>
            <w:rStyle w:val="Hyperlink"/>
            <w:color w:val="auto"/>
          </w:rPr>
          <w:t>ection 5.2</w:t>
        </w:r>
        <w:r w:rsidR="00624CB3" w:rsidRPr="004E12EF">
          <w:rPr>
            <w:rStyle w:val="Hyperlink"/>
            <w:color w:val="auto"/>
          </w:rPr>
          <w:t xml:space="preserve"> Pharmacokinetic properties</w:t>
        </w:r>
      </w:hyperlink>
      <w:r w:rsidRPr="00297C2C">
        <w:t>). There are limited data in patients aged ≥ 75 years</w:t>
      </w:r>
      <w:r w:rsidR="00F724B1">
        <w:t xml:space="preserve">. </w:t>
      </w:r>
    </w:p>
    <w:p w14:paraId="6A23DA66" w14:textId="61202128" w:rsidR="001A3992" w:rsidRDefault="001A3992" w:rsidP="00D347D7">
      <w:pPr>
        <w:pStyle w:val="Heading3Unnumbered"/>
      </w:pPr>
      <w:r w:rsidRPr="00377337">
        <w:lastRenderedPageBreak/>
        <w:t>Paediatric use</w:t>
      </w:r>
      <w:fldSimple w:instr=" DOCVARIABLE vault_nd_53185fb4-f07d-4d5a-b65b-68fee6357002 \* MERGEFORMAT ">
        <w:r w:rsidR="00BD4838">
          <w:t xml:space="preserve"> </w:t>
        </w:r>
      </w:fldSimple>
    </w:p>
    <w:p w14:paraId="1726B45F" w14:textId="559CD2EF" w:rsidR="00EC60F8" w:rsidRPr="00EC60F8" w:rsidRDefault="00DB16F7" w:rsidP="00EC60F8">
      <w:pPr>
        <w:pStyle w:val="Paragraph"/>
      </w:pPr>
      <w:r w:rsidRPr="00DB16F7">
        <w:t xml:space="preserve">The safety and efficacy of </w:t>
      </w:r>
      <w:r w:rsidR="003F16DD">
        <w:t>TRUQAP</w:t>
      </w:r>
      <w:r w:rsidR="003F16DD" w:rsidRPr="00DB16F7">
        <w:t xml:space="preserve"> </w:t>
      </w:r>
      <w:r w:rsidRPr="00DB16F7">
        <w:t>in children aged 0-18 years of age has not been established.</w:t>
      </w:r>
    </w:p>
    <w:p w14:paraId="42E26C1D" w14:textId="0346F313" w:rsidR="001A3992" w:rsidRDefault="001A3992" w:rsidP="00D347D7">
      <w:pPr>
        <w:pStyle w:val="Heading3Unnumbered"/>
      </w:pPr>
      <w:r w:rsidRPr="00377337">
        <w:t>Effects on laboratory tests</w:t>
      </w:r>
      <w:fldSimple w:instr=" DOCVARIABLE vault_nd_ac3a13e2-f950-4613-a491-190fd0384602 \* MERGEFORMAT ">
        <w:r w:rsidR="00BD4838">
          <w:t xml:space="preserve"> </w:t>
        </w:r>
      </w:fldSimple>
    </w:p>
    <w:p w14:paraId="40DE7850" w14:textId="4F375604" w:rsidR="00EC60F8" w:rsidRPr="00EC60F8" w:rsidRDefault="00701811" w:rsidP="00EC60F8">
      <w:pPr>
        <w:pStyle w:val="Paragraph"/>
      </w:pPr>
      <w:r w:rsidRPr="00701811">
        <w:t>See Section 4.4 Special warnings and Precautions for use and Section 4.8 Adverse effects.</w:t>
      </w:r>
    </w:p>
    <w:p w14:paraId="31BA68D5" w14:textId="0E4F0393" w:rsidR="001A3992" w:rsidRPr="003A4225" w:rsidRDefault="001A3992" w:rsidP="00994852">
      <w:pPr>
        <w:pStyle w:val="Heading2"/>
      </w:pPr>
      <w:bookmarkStart w:id="17" w:name="_Interactions_with_other"/>
      <w:bookmarkStart w:id="18" w:name="_Ref505770425"/>
      <w:bookmarkEnd w:id="17"/>
      <w:r w:rsidRPr="003A4225">
        <w:t>Interactions with other medicines and other forms of interactions</w:t>
      </w:r>
      <w:bookmarkEnd w:id="18"/>
      <w:r w:rsidR="00BD4838" w:rsidRPr="003A4225">
        <w:fldChar w:fldCharType="begin"/>
      </w:r>
      <w:r w:rsidR="00BD4838" w:rsidRPr="003A4225">
        <w:instrText xml:space="preserve"> DOCVARIABLE VAULT_ND_ad48c4c3-8a8e-4f8f-8934-bdda98a3aa1c \* MERGEFORMAT </w:instrText>
      </w:r>
      <w:r w:rsidR="00BD4838" w:rsidRPr="003A4225">
        <w:fldChar w:fldCharType="separate"/>
      </w:r>
      <w:r w:rsidR="00BD4838" w:rsidRPr="003A4225">
        <w:t xml:space="preserve"> </w:t>
      </w:r>
      <w:r w:rsidR="00BD4838" w:rsidRPr="003A4225">
        <w:fldChar w:fldCharType="end"/>
      </w:r>
    </w:p>
    <w:p w14:paraId="7DD3DEA3" w14:textId="363025BA" w:rsidR="00485B00" w:rsidRPr="00514C09" w:rsidRDefault="00485B00" w:rsidP="00485B00">
      <w:pPr>
        <w:pStyle w:val="Heading4Unnumbered"/>
      </w:pPr>
      <w:r w:rsidRPr="00514C09">
        <w:t xml:space="preserve">Effects of </w:t>
      </w:r>
      <w:r>
        <w:t>o</w:t>
      </w:r>
      <w:r w:rsidRPr="00514C09">
        <w:t xml:space="preserve">ther </w:t>
      </w:r>
      <w:r>
        <w:t>m</w:t>
      </w:r>
      <w:r w:rsidRPr="00514C09">
        <w:t xml:space="preserve">edicinal </w:t>
      </w:r>
      <w:r>
        <w:t>p</w:t>
      </w:r>
      <w:r w:rsidRPr="00514C09">
        <w:t xml:space="preserve">roducts on </w:t>
      </w:r>
      <w:proofErr w:type="spellStart"/>
      <w:r>
        <w:t>c</w:t>
      </w:r>
      <w:r w:rsidRPr="00514C09">
        <w:t>apivasertib</w:t>
      </w:r>
      <w:proofErr w:type="spellEnd"/>
      <w:r w:rsidR="00BD4838">
        <w:fldChar w:fldCharType="begin"/>
      </w:r>
      <w:r w:rsidR="00BD4838">
        <w:instrText xml:space="preserve"> DOCVARIABLE vault_nd_16ee53f1-45d6-4f5d-b82c-4cf3d3840d4c \* MERGEFORMAT </w:instrText>
      </w:r>
      <w:r w:rsidR="00BD4838">
        <w:fldChar w:fldCharType="separate"/>
      </w:r>
      <w:r w:rsidR="00BD4838">
        <w:t xml:space="preserve"> </w:t>
      </w:r>
      <w:r w:rsidR="00BD4838">
        <w:fldChar w:fldCharType="end"/>
      </w:r>
    </w:p>
    <w:p w14:paraId="44111C09" w14:textId="515956AC" w:rsidR="00485B00" w:rsidRPr="00514C09" w:rsidRDefault="00485B00" w:rsidP="00485B00">
      <w:pPr>
        <w:pStyle w:val="Paragraph"/>
      </w:pPr>
      <w:r w:rsidRPr="00514C09">
        <w:rPr>
          <w:i/>
          <w:iCs/>
        </w:rPr>
        <w:t>In vitro</w:t>
      </w:r>
      <w:r w:rsidRPr="00514C09">
        <w:t xml:space="preserve"> studies have demonstrated that </w:t>
      </w:r>
      <w:proofErr w:type="spellStart"/>
      <w:r w:rsidRPr="00514C09">
        <w:t>capivasertib</w:t>
      </w:r>
      <w:proofErr w:type="spellEnd"/>
      <w:r w:rsidRPr="00514C09">
        <w:t xml:space="preserve"> is primarily metabolised by CYP3A4 and UGT2B7 enzymes.</w:t>
      </w:r>
      <w:r w:rsidRPr="00485B00">
        <w:t xml:space="preserve"> </w:t>
      </w:r>
      <w:bookmarkStart w:id="19" w:name="_Hlk152842954"/>
      <w:proofErr w:type="spellStart"/>
      <w:r w:rsidRPr="00485B00">
        <w:t>Capivasertib</w:t>
      </w:r>
      <w:proofErr w:type="spellEnd"/>
      <w:r w:rsidRPr="00485B00">
        <w:t xml:space="preserve"> is a substrate for P-glycoprotein (P-</w:t>
      </w:r>
      <w:proofErr w:type="spellStart"/>
      <w:r w:rsidRPr="00485B00">
        <w:t>gp</w:t>
      </w:r>
      <w:proofErr w:type="spellEnd"/>
      <w:r w:rsidRPr="00485B00">
        <w:t>) and OCT2</w:t>
      </w:r>
      <w:r>
        <w:t xml:space="preserve">. </w:t>
      </w:r>
      <w:bookmarkEnd w:id="19"/>
    </w:p>
    <w:p w14:paraId="5F6D52D2" w14:textId="77777777" w:rsidR="00485B00" w:rsidRPr="00514C09" w:rsidRDefault="00485B00" w:rsidP="00485B00">
      <w:pPr>
        <w:pStyle w:val="Paragraph"/>
      </w:pPr>
      <w:r w:rsidRPr="00514C09">
        <w:t xml:space="preserve">In a study in healthy subjects, co-administration of multiple 200 mg doses of the strong CYP3A4 inhibitor itraconazole with a single 80 mg </w:t>
      </w:r>
      <w:proofErr w:type="spellStart"/>
      <w:r w:rsidRPr="00514C09">
        <w:t>capivasertib</w:t>
      </w:r>
      <w:proofErr w:type="spellEnd"/>
      <w:r w:rsidRPr="00514C09">
        <w:t xml:space="preserve"> dose increased </w:t>
      </w:r>
      <w:proofErr w:type="spellStart"/>
      <w:r w:rsidRPr="00514C09">
        <w:t>capivasertib</w:t>
      </w:r>
      <w:proofErr w:type="spellEnd"/>
      <w:r w:rsidRPr="00514C09">
        <w:t xml:space="preserve"> AUC and </w:t>
      </w:r>
      <w:proofErr w:type="spellStart"/>
      <w:r w:rsidRPr="00514C09">
        <w:t>C</w:t>
      </w:r>
      <w:r w:rsidRPr="00514C09">
        <w:rPr>
          <w:vertAlign w:val="subscript"/>
        </w:rPr>
        <w:t>max</w:t>
      </w:r>
      <w:proofErr w:type="spellEnd"/>
      <w:r w:rsidRPr="00514C09">
        <w:t xml:space="preserve"> by 95% and 70%, respectively, relative to a single 80 mg </w:t>
      </w:r>
      <w:proofErr w:type="spellStart"/>
      <w:r w:rsidRPr="00514C09">
        <w:t>capivasertib</w:t>
      </w:r>
      <w:proofErr w:type="spellEnd"/>
      <w:r w:rsidRPr="00514C09">
        <w:t xml:space="preserve"> dose given alone. At the therapeutic dose regimen, the predicted increase in </w:t>
      </w:r>
      <w:proofErr w:type="spellStart"/>
      <w:r w:rsidRPr="00514C09">
        <w:t>capivasertib</w:t>
      </w:r>
      <w:proofErr w:type="spellEnd"/>
      <w:r w:rsidRPr="00514C09">
        <w:t xml:space="preserve"> AUC and </w:t>
      </w:r>
      <w:proofErr w:type="spellStart"/>
      <w:r w:rsidRPr="00514C09">
        <w:t>C</w:t>
      </w:r>
      <w:r w:rsidRPr="00514C09">
        <w:rPr>
          <w:vertAlign w:val="subscript"/>
        </w:rPr>
        <w:t>max</w:t>
      </w:r>
      <w:proofErr w:type="spellEnd"/>
      <w:r w:rsidRPr="00514C09">
        <w:t xml:space="preserve"> by itraconazole is between 52% and 56%, and between 30% and 35%, respectively, over a dosing cycle.</w:t>
      </w:r>
    </w:p>
    <w:p w14:paraId="000F1C0F" w14:textId="77777777" w:rsidR="00485B00" w:rsidRPr="00514C09" w:rsidRDefault="00485B00" w:rsidP="00485B00">
      <w:pPr>
        <w:pStyle w:val="Paragraph"/>
      </w:pPr>
      <w:r w:rsidRPr="00514C09">
        <w:t xml:space="preserve">In a study in patients with prostate cancer, the strong CYP3A4 inducer enzalutamide decreased the </w:t>
      </w:r>
      <w:proofErr w:type="spellStart"/>
      <w:r w:rsidRPr="00514C09">
        <w:t>capivasertib</w:t>
      </w:r>
      <w:proofErr w:type="spellEnd"/>
      <w:r w:rsidRPr="00514C09">
        <w:t xml:space="preserve"> AUC by approximately 40% to 50% and rifampicin is predicted to decrease </w:t>
      </w:r>
      <w:proofErr w:type="spellStart"/>
      <w:r w:rsidRPr="00514C09">
        <w:t>capivasertib</w:t>
      </w:r>
      <w:proofErr w:type="spellEnd"/>
      <w:r w:rsidRPr="00514C09">
        <w:t xml:space="preserve"> AUC by approximately 70%.</w:t>
      </w:r>
    </w:p>
    <w:p w14:paraId="5EB40FCA" w14:textId="77777777" w:rsidR="00485B00" w:rsidRPr="00514C09" w:rsidRDefault="00485B00" w:rsidP="00485B00">
      <w:pPr>
        <w:pStyle w:val="Paragraph"/>
      </w:pPr>
      <w:r w:rsidRPr="00514C09">
        <w:t>Co</w:t>
      </w:r>
      <w:r w:rsidRPr="00514C09">
        <w:noBreakHyphen/>
        <w:t xml:space="preserve">administration of a single dose of </w:t>
      </w:r>
      <w:proofErr w:type="spellStart"/>
      <w:r w:rsidRPr="00514C09">
        <w:t>capivasertib</w:t>
      </w:r>
      <w:proofErr w:type="spellEnd"/>
      <w:r w:rsidRPr="00514C09">
        <w:t xml:space="preserve"> 400 mg after repeated dosing of acid-reducing agent rabeprazole 20 mg twice daily for 3 days in healthy subjects did not result in clinically relevant changes of the </w:t>
      </w:r>
      <w:proofErr w:type="spellStart"/>
      <w:r w:rsidRPr="00514C09">
        <w:t>capivasertib</w:t>
      </w:r>
      <w:proofErr w:type="spellEnd"/>
      <w:r w:rsidRPr="00514C09">
        <w:t xml:space="preserve"> exposure. The </w:t>
      </w:r>
      <w:proofErr w:type="spellStart"/>
      <w:r w:rsidRPr="00514C09">
        <w:t>capivasertib</w:t>
      </w:r>
      <w:proofErr w:type="spellEnd"/>
      <w:r w:rsidRPr="00514C09">
        <w:t xml:space="preserve"> AUC and </w:t>
      </w:r>
      <w:proofErr w:type="spellStart"/>
      <w:r w:rsidRPr="00514C09">
        <w:t>C</w:t>
      </w:r>
      <w:r w:rsidRPr="00514C09">
        <w:rPr>
          <w:vertAlign w:val="subscript"/>
        </w:rPr>
        <w:t>max</w:t>
      </w:r>
      <w:proofErr w:type="spellEnd"/>
      <w:r w:rsidRPr="00514C09">
        <w:t xml:space="preserve"> decreased by 6% and 27% respectively when administered with and without rabeprazole. In addition, a population pharmacokinetic analysis showed no significant impact of co</w:t>
      </w:r>
      <w:r w:rsidRPr="00514C09">
        <w:noBreakHyphen/>
        <w:t xml:space="preserve">administration of acid reducing agents on the pharmacokinetics of </w:t>
      </w:r>
      <w:proofErr w:type="spellStart"/>
      <w:r w:rsidRPr="00514C09">
        <w:t>capivasertib</w:t>
      </w:r>
      <w:proofErr w:type="spellEnd"/>
      <w:r w:rsidRPr="00514C09">
        <w:t xml:space="preserve"> in patients. </w:t>
      </w:r>
      <w:proofErr w:type="spellStart"/>
      <w:r w:rsidRPr="00514C09">
        <w:t>Capivasertib</w:t>
      </w:r>
      <w:proofErr w:type="spellEnd"/>
      <w:r w:rsidRPr="00514C09">
        <w:t xml:space="preserve"> can be taken with acid reducing agents.</w:t>
      </w:r>
    </w:p>
    <w:p w14:paraId="59FD1917" w14:textId="5AB67461" w:rsidR="00485B00" w:rsidRDefault="00485B00" w:rsidP="00485B00">
      <w:pPr>
        <w:pStyle w:val="Paragraph"/>
      </w:pPr>
      <w:r w:rsidRPr="00514C09">
        <w:t xml:space="preserve">Based on physiologically based pharmacokinetic models, the predicted increase in </w:t>
      </w:r>
      <w:proofErr w:type="spellStart"/>
      <w:r w:rsidRPr="00514C09">
        <w:t>capivasertib</w:t>
      </w:r>
      <w:proofErr w:type="spellEnd"/>
      <w:r w:rsidRPr="00514C09">
        <w:t xml:space="preserve"> AUC by the moderate inhibitors verapamil and erythromycin is approximately 40%, with less impact on </w:t>
      </w:r>
      <w:proofErr w:type="spellStart"/>
      <w:r w:rsidRPr="00514C09">
        <w:t>C</w:t>
      </w:r>
      <w:r w:rsidRPr="00514C09">
        <w:rPr>
          <w:vertAlign w:val="subscript"/>
        </w:rPr>
        <w:t>max</w:t>
      </w:r>
      <w:proofErr w:type="spellEnd"/>
      <w:r w:rsidRPr="00514C09">
        <w:t>. Co</w:t>
      </w:r>
      <w:r w:rsidRPr="00514C09">
        <w:noBreakHyphen/>
        <w:t xml:space="preserve">administration with the UGT2B7 inhibitor probenecid is predicted to cause an increase in </w:t>
      </w:r>
      <w:proofErr w:type="spellStart"/>
      <w:r w:rsidRPr="00514C09">
        <w:t>capivasertib</w:t>
      </w:r>
      <w:proofErr w:type="spellEnd"/>
      <w:r w:rsidRPr="00514C09">
        <w:t xml:space="preserve"> AUC of 23 to 37% over a dosing cycle</w:t>
      </w:r>
      <w:r w:rsidR="00600B36">
        <w:t>.</w:t>
      </w:r>
    </w:p>
    <w:p w14:paraId="0BDE6D0B" w14:textId="69EC19CF" w:rsidR="00005BC4" w:rsidRPr="00005BC4" w:rsidRDefault="00241339" w:rsidP="00005BC4">
      <w:pPr>
        <w:pStyle w:val="Heading3Unnumbered"/>
      </w:pPr>
      <w:r>
        <w:t xml:space="preserve">Effect of Other Drugs on </w:t>
      </w:r>
      <w:r w:rsidR="003F16DD">
        <w:t>TRUQAP</w:t>
      </w:r>
      <w:fldSimple w:instr=" DOCVARIABLE vault_nd_22071a17-ce53-4c51-809b-e4d36999bde2 \* MERGEFORMAT ">
        <w:r w:rsidR="00BD4838">
          <w:t xml:space="preserve"> </w:t>
        </w:r>
      </w:fldSimple>
    </w:p>
    <w:p w14:paraId="700D1970" w14:textId="21E807D6" w:rsidR="00E45826" w:rsidRDefault="00C15075" w:rsidP="00C15075">
      <w:pPr>
        <w:pStyle w:val="Caption"/>
      </w:pPr>
      <w:r>
        <w:t xml:space="preserve">Table </w:t>
      </w:r>
      <w:r>
        <w:fldChar w:fldCharType="begin"/>
      </w:r>
      <w:r>
        <w:instrText xml:space="preserve"> SEQ Table \* ARABIC </w:instrText>
      </w:r>
      <w:r>
        <w:fldChar w:fldCharType="separate"/>
      </w:r>
      <w:r w:rsidR="007B1CF0">
        <w:rPr>
          <w:noProof/>
        </w:rPr>
        <w:t>7</w:t>
      </w:r>
      <w:r>
        <w:fldChar w:fldCharType="end"/>
      </w:r>
      <w:r>
        <w:tab/>
      </w:r>
      <w:r w:rsidRPr="00241339">
        <w:t xml:space="preserve">Drug interactions with </w:t>
      </w:r>
      <w:r w:rsidR="003F16DD">
        <w:t>TRUQAP</w:t>
      </w:r>
      <w:r w:rsidR="003F16DD" w:rsidRPr="00241339">
        <w:t xml:space="preserve"> </w:t>
      </w:r>
      <w:r w:rsidRPr="00241339">
        <w:t xml:space="preserve">that affect </w:t>
      </w:r>
      <w:proofErr w:type="spellStart"/>
      <w:r w:rsidRPr="00241339">
        <w:t>capivasertib</w:t>
      </w:r>
      <w:proofErr w:type="spellEnd"/>
      <w:r w:rsidR="00BD4838">
        <w:fldChar w:fldCharType="begin"/>
      </w:r>
      <w:r w:rsidR="00BD4838">
        <w:instrText xml:space="preserve"> DOCVARIABLE vault_nd_1c77ed73-9308-4b1b-b6e9-123668f7f29c \* MERGEFORMAT </w:instrText>
      </w:r>
      <w:r w:rsidR="00BD4838">
        <w:fldChar w:fldCharType="separate"/>
      </w:r>
      <w:r w:rsidR="00BD4838">
        <w:t xml:space="preserve"> </w:t>
      </w:r>
      <w:r w:rsidR="00BD4838">
        <w:fldChar w:fldCharType="end"/>
      </w:r>
    </w:p>
    <w:tbl>
      <w:tblPr>
        <w:tblStyle w:val="TableGrid10"/>
        <w:tblW w:w="9090" w:type="dxa"/>
        <w:tblLayout w:type="fixed"/>
        <w:tblLook w:val="04A0" w:firstRow="1" w:lastRow="0" w:firstColumn="1" w:lastColumn="0" w:noHBand="0" w:noVBand="1"/>
      </w:tblPr>
      <w:tblGrid>
        <w:gridCol w:w="3255"/>
        <w:gridCol w:w="5835"/>
      </w:tblGrid>
      <w:tr w:rsidR="00241339" w:rsidRPr="00241339" w14:paraId="7C81BA2C" w14:textId="77777777" w:rsidTr="00241339">
        <w:tc>
          <w:tcPr>
            <w:tcW w:w="909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691A55C" w14:textId="77777777" w:rsidR="00241339" w:rsidRPr="00241339" w:rsidRDefault="00241339" w:rsidP="00241339">
            <w:pPr>
              <w:spacing w:after="0" w:line="276" w:lineRule="auto"/>
              <w:rPr>
                <w:sz w:val="22"/>
              </w:rPr>
            </w:pPr>
            <w:r w:rsidRPr="00241339">
              <w:rPr>
                <w:b/>
                <w:sz w:val="22"/>
              </w:rPr>
              <w:t xml:space="preserve">Strong </w:t>
            </w:r>
            <w:r w:rsidRPr="00241339">
              <w:rPr>
                <w:b/>
                <w:bCs/>
                <w:sz w:val="22"/>
              </w:rPr>
              <w:t>CYP3A4</w:t>
            </w:r>
            <w:r w:rsidRPr="00241339">
              <w:rPr>
                <w:b/>
                <w:color w:val="000000"/>
                <w:sz w:val="22"/>
              </w:rPr>
              <w:t xml:space="preserve"> </w:t>
            </w:r>
            <w:proofErr w:type="spellStart"/>
            <w:r w:rsidRPr="00241339">
              <w:rPr>
                <w:b/>
                <w:color w:val="000000"/>
                <w:sz w:val="22"/>
              </w:rPr>
              <w:t>inhibitors</w:t>
            </w:r>
            <w:r w:rsidRPr="00241339">
              <w:rPr>
                <w:b/>
                <w:color w:val="000000"/>
                <w:sz w:val="22"/>
                <w:vertAlign w:val="superscript"/>
              </w:rPr>
              <w:t>a</w:t>
            </w:r>
            <w:proofErr w:type="spellEnd"/>
          </w:p>
        </w:tc>
      </w:tr>
      <w:tr w:rsidR="00241339" w:rsidRPr="00241339" w14:paraId="5C98FF82" w14:textId="77777777" w:rsidTr="00700F22">
        <w:tc>
          <w:tcPr>
            <w:tcW w:w="3255" w:type="dxa"/>
            <w:tcBorders>
              <w:top w:val="single" w:sz="8" w:space="0" w:color="auto"/>
              <w:left w:val="single" w:sz="8" w:space="0" w:color="auto"/>
              <w:bottom w:val="single" w:sz="8" w:space="0" w:color="auto"/>
              <w:right w:val="single" w:sz="8" w:space="0" w:color="auto"/>
            </w:tcBorders>
          </w:tcPr>
          <w:p w14:paraId="17D01E93" w14:textId="77777777" w:rsidR="00241339" w:rsidRPr="00241339" w:rsidRDefault="00241339" w:rsidP="00241339">
            <w:pPr>
              <w:spacing w:line="276" w:lineRule="auto"/>
              <w:rPr>
                <w:sz w:val="22"/>
              </w:rPr>
            </w:pPr>
            <w:r w:rsidRPr="00241339">
              <w:rPr>
                <w:sz w:val="22"/>
                <w:szCs w:val="22"/>
              </w:rPr>
              <w:t>Clinical impact</w:t>
            </w:r>
          </w:p>
        </w:tc>
        <w:tc>
          <w:tcPr>
            <w:tcW w:w="5835" w:type="dxa"/>
            <w:tcBorders>
              <w:top w:val="nil"/>
              <w:left w:val="single" w:sz="8" w:space="0" w:color="auto"/>
              <w:bottom w:val="single" w:sz="8" w:space="0" w:color="auto"/>
              <w:right w:val="single" w:sz="8" w:space="0" w:color="auto"/>
            </w:tcBorders>
          </w:tcPr>
          <w:p w14:paraId="2631B928" w14:textId="08056544" w:rsidR="00241339" w:rsidRPr="004E12EF" w:rsidRDefault="00241339" w:rsidP="00241339">
            <w:pPr>
              <w:spacing w:after="0" w:line="276" w:lineRule="auto"/>
              <w:rPr>
                <w:sz w:val="22"/>
              </w:rPr>
            </w:pPr>
            <w:r w:rsidRPr="004E12EF">
              <w:rPr>
                <w:sz w:val="22"/>
                <w:szCs w:val="22"/>
              </w:rPr>
              <w:t>Concomitant use with a strong CYP3A4</w:t>
            </w:r>
            <w:r w:rsidRPr="004E12EF">
              <w:rPr>
                <w:b/>
                <w:bCs/>
                <w:sz w:val="22"/>
                <w:szCs w:val="22"/>
              </w:rPr>
              <w:t xml:space="preserve"> </w:t>
            </w:r>
            <w:r w:rsidRPr="004E12EF">
              <w:rPr>
                <w:sz w:val="22"/>
                <w:szCs w:val="22"/>
              </w:rPr>
              <w:t xml:space="preserve">inhibitor increases </w:t>
            </w:r>
            <w:proofErr w:type="spellStart"/>
            <w:r w:rsidRPr="004E12EF">
              <w:rPr>
                <w:sz w:val="22"/>
                <w:szCs w:val="22"/>
              </w:rPr>
              <w:t>capivasertib</w:t>
            </w:r>
            <w:proofErr w:type="spellEnd"/>
            <w:r w:rsidRPr="004E12EF">
              <w:rPr>
                <w:sz w:val="22"/>
                <w:szCs w:val="22"/>
              </w:rPr>
              <w:t xml:space="preserve"> concentration, which may increase the risk of </w:t>
            </w:r>
            <w:r w:rsidR="003F16DD">
              <w:rPr>
                <w:sz w:val="22"/>
                <w:szCs w:val="22"/>
              </w:rPr>
              <w:t>TRUQAP</w:t>
            </w:r>
            <w:r w:rsidR="003F16DD" w:rsidRPr="004E12EF">
              <w:rPr>
                <w:sz w:val="22"/>
                <w:szCs w:val="22"/>
              </w:rPr>
              <w:t xml:space="preserve"> </w:t>
            </w:r>
            <w:r w:rsidRPr="004E12EF">
              <w:rPr>
                <w:sz w:val="22"/>
                <w:szCs w:val="22"/>
              </w:rPr>
              <w:t xml:space="preserve">toxicities (see </w:t>
            </w:r>
            <w:hyperlink w:anchor="_Pharmacokinetic_properties" w:history="1">
              <w:r w:rsidR="00624CB3" w:rsidRPr="004E12EF">
                <w:rPr>
                  <w:rStyle w:val="Hyperlink"/>
                  <w:color w:val="auto"/>
                  <w:sz w:val="22"/>
                  <w:szCs w:val="22"/>
                </w:rPr>
                <w:t>S</w:t>
              </w:r>
              <w:r w:rsidRPr="004E12EF">
                <w:rPr>
                  <w:rStyle w:val="Hyperlink"/>
                  <w:color w:val="auto"/>
                  <w:sz w:val="22"/>
                  <w:szCs w:val="22"/>
                </w:rPr>
                <w:t>ection 5.2</w:t>
              </w:r>
              <w:r w:rsidR="00624CB3" w:rsidRPr="004E12EF">
                <w:rPr>
                  <w:rStyle w:val="Hyperlink"/>
                  <w:color w:val="auto"/>
                  <w:sz w:val="22"/>
                  <w:szCs w:val="22"/>
                </w:rPr>
                <w:t xml:space="preserve"> Pharmacokinetic properties</w:t>
              </w:r>
            </w:hyperlink>
            <w:r w:rsidRPr="004E12EF">
              <w:rPr>
                <w:sz w:val="22"/>
                <w:szCs w:val="22"/>
              </w:rPr>
              <w:t>).</w:t>
            </w:r>
          </w:p>
        </w:tc>
      </w:tr>
      <w:tr w:rsidR="00241339" w:rsidRPr="00241339" w14:paraId="4EC3C0F1" w14:textId="77777777" w:rsidTr="00700F22">
        <w:tc>
          <w:tcPr>
            <w:tcW w:w="3255" w:type="dxa"/>
            <w:tcBorders>
              <w:top w:val="single" w:sz="8" w:space="0" w:color="auto"/>
              <w:left w:val="single" w:sz="8" w:space="0" w:color="auto"/>
              <w:bottom w:val="single" w:sz="8" w:space="0" w:color="auto"/>
              <w:right w:val="single" w:sz="8" w:space="0" w:color="auto"/>
            </w:tcBorders>
          </w:tcPr>
          <w:p w14:paraId="748EFF1B" w14:textId="77777777" w:rsidR="00241339" w:rsidRPr="00241339" w:rsidRDefault="00241339" w:rsidP="00241339">
            <w:pPr>
              <w:spacing w:after="0" w:line="276" w:lineRule="auto"/>
              <w:rPr>
                <w:sz w:val="22"/>
              </w:rPr>
            </w:pPr>
            <w:r w:rsidRPr="00241339">
              <w:rPr>
                <w:sz w:val="22"/>
                <w:szCs w:val="22"/>
              </w:rPr>
              <w:t>Prevention or management</w:t>
            </w:r>
          </w:p>
        </w:tc>
        <w:tc>
          <w:tcPr>
            <w:tcW w:w="5835" w:type="dxa"/>
            <w:tcBorders>
              <w:top w:val="single" w:sz="8" w:space="0" w:color="auto"/>
              <w:left w:val="single" w:sz="8" w:space="0" w:color="auto"/>
              <w:bottom w:val="single" w:sz="8" w:space="0" w:color="auto"/>
              <w:right w:val="single" w:sz="8" w:space="0" w:color="auto"/>
            </w:tcBorders>
          </w:tcPr>
          <w:p w14:paraId="2CDDA9B1" w14:textId="2CC41151" w:rsidR="00241339" w:rsidRPr="004E12EF" w:rsidRDefault="000C4152" w:rsidP="00241339">
            <w:pPr>
              <w:spacing w:after="0" w:line="276" w:lineRule="auto"/>
              <w:rPr>
                <w:sz w:val="22"/>
              </w:rPr>
            </w:pPr>
            <w:r w:rsidRPr="000C4152">
              <w:rPr>
                <w:sz w:val="22"/>
              </w:rPr>
              <w:t>Avoid concomitant use with a strong CYP3A</w:t>
            </w:r>
            <w:r w:rsidR="00711083">
              <w:rPr>
                <w:sz w:val="22"/>
              </w:rPr>
              <w:t>4</w:t>
            </w:r>
            <w:r w:rsidRPr="000C4152">
              <w:rPr>
                <w:sz w:val="22"/>
              </w:rPr>
              <w:t xml:space="preserve"> inhibitor. If concomitant use cannot be avoided, reduce the dose of TRUQAP and monitor patients for adverse reactions</w:t>
            </w:r>
            <w:r>
              <w:rPr>
                <w:sz w:val="22"/>
              </w:rPr>
              <w:t xml:space="preserve">. </w:t>
            </w:r>
            <w:r w:rsidR="003F16DD">
              <w:rPr>
                <w:sz w:val="22"/>
              </w:rPr>
              <w:t>TRUQAP</w:t>
            </w:r>
            <w:r w:rsidR="003F16DD" w:rsidRPr="004E12EF">
              <w:rPr>
                <w:sz w:val="22"/>
              </w:rPr>
              <w:t xml:space="preserve"> </w:t>
            </w:r>
            <w:r w:rsidR="00241339" w:rsidRPr="004E12EF">
              <w:rPr>
                <w:sz w:val="22"/>
                <w:szCs w:val="22"/>
              </w:rPr>
              <w:t xml:space="preserve">(see </w:t>
            </w:r>
            <w:hyperlink w:anchor="_Dose_and_method" w:history="1">
              <w:r w:rsidR="002114CC" w:rsidRPr="004E12EF">
                <w:rPr>
                  <w:rStyle w:val="Hyperlink"/>
                  <w:color w:val="auto"/>
                  <w:sz w:val="22"/>
                  <w:szCs w:val="22"/>
                </w:rPr>
                <w:t>S</w:t>
              </w:r>
              <w:r w:rsidR="00241339" w:rsidRPr="004E12EF">
                <w:rPr>
                  <w:rStyle w:val="Hyperlink"/>
                  <w:color w:val="auto"/>
                  <w:sz w:val="22"/>
                  <w:szCs w:val="22"/>
                </w:rPr>
                <w:t>ection 4.2</w:t>
              </w:r>
              <w:r w:rsidR="002114CC" w:rsidRPr="004E12EF">
                <w:rPr>
                  <w:rStyle w:val="Hyperlink"/>
                  <w:color w:val="auto"/>
                  <w:sz w:val="22"/>
                  <w:szCs w:val="22"/>
                </w:rPr>
                <w:t xml:space="preserve"> Dose and method of administration</w:t>
              </w:r>
            </w:hyperlink>
            <w:r w:rsidR="00241339" w:rsidRPr="004E12EF">
              <w:rPr>
                <w:sz w:val="22"/>
                <w:szCs w:val="22"/>
              </w:rPr>
              <w:t>).</w:t>
            </w:r>
          </w:p>
        </w:tc>
      </w:tr>
      <w:tr w:rsidR="00241339" w:rsidRPr="00241339" w14:paraId="55CAA06C" w14:textId="77777777" w:rsidTr="00700F22">
        <w:tc>
          <w:tcPr>
            <w:tcW w:w="3255" w:type="dxa"/>
            <w:tcBorders>
              <w:top w:val="single" w:sz="8" w:space="0" w:color="auto"/>
              <w:left w:val="single" w:sz="8" w:space="0" w:color="auto"/>
              <w:bottom w:val="single" w:sz="8" w:space="0" w:color="auto"/>
              <w:right w:val="single" w:sz="8" w:space="0" w:color="auto"/>
            </w:tcBorders>
          </w:tcPr>
          <w:p w14:paraId="46CDCEFE" w14:textId="77777777" w:rsidR="00241339" w:rsidRPr="00241339" w:rsidRDefault="00241339" w:rsidP="00241339">
            <w:pPr>
              <w:spacing w:line="276" w:lineRule="auto"/>
              <w:rPr>
                <w:sz w:val="22"/>
              </w:rPr>
            </w:pPr>
            <w:proofErr w:type="spellStart"/>
            <w:r w:rsidRPr="00241339">
              <w:rPr>
                <w:sz w:val="22"/>
                <w:szCs w:val="22"/>
              </w:rPr>
              <w:lastRenderedPageBreak/>
              <w:t>Examples</w:t>
            </w:r>
            <w:r w:rsidRPr="00241339">
              <w:rPr>
                <w:sz w:val="22"/>
                <w:szCs w:val="22"/>
                <w:vertAlign w:val="superscript"/>
              </w:rPr>
              <w:t>b</w:t>
            </w:r>
            <w:proofErr w:type="spellEnd"/>
          </w:p>
        </w:tc>
        <w:tc>
          <w:tcPr>
            <w:tcW w:w="5835" w:type="dxa"/>
            <w:tcBorders>
              <w:top w:val="single" w:sz="8" w:space="0" w:color="auto"/>
              <w:left w:val="single" w:sz="8" w:space="0" w:color="auto"/>
              <w:bottom w:val="single" w:sz="8" w:space="0" w:color="auto"/>
              <w:right w:val="single" w:sz="8" w:space="0" w:color="auto"/>
            </w:tcBorders>
          </w:tcPr>
          <w:p w14:paraId="608AC043" w14:textId="3C8C6DA0" w:rsidR="00241339" w:rsidRPr="00241339" w:rsidRDefault="00241339" w:rsidP="00241339">
            <w:pPr>
              <w:spacing w:line="276" w:lineRule="auto"/>
              <w:rPr>
                <w:sz w:val="22"/>
              </w:rPr>
            </w:pPr>
            <w:r w:rsidRPr="00241339">
              <w:rPr>
                <w:sz w:val="22"/>
              </w:rPr>
              <w:t xml:space="preserve">Boceprevir, </w:t>
            </w:r>
            <w:proofErr w:type="spellStart"/>
            <w:r w:rsidRPr="00241339">
              <w:rPr>
                <w:sz w:val="22"/>
              </w:rPr>
              <w:t>ceritinib</w:t>
            </w:r>
            <w:proofErr w:type="spellEnd"/>
            <w:r w:rsidRPr="00241339">
              <w:rPr>
                <w:sz w:val="22"/>
              </w:rPr>
              <w:t xml:space="preserve">, clarithromycin, cobicistat, conivaptan, </w:t>
            </w:r>
            <w:proofErr w:type="spellStart"/>
            <w:r w:rsidRPr="00241339">
              <w:rPr>
                <w:sz w:val="22"/>
              </w:rPr>
              <w:t>ensitrelvir</w:t>
            </w:r>
            <w:proofErr w:type="spellEnd"/>
            <w:r w:rsidRPr="00241339">
              <w:rPr>
                <w:sz w:val="22"/>
              </w:rPr>
              <w:t xml:space="preserve">, </w:t>
            </w:r>
            <w:proofErr w:type="spellStart"/>
            <w:r w:rsidRPr="00241339">
              <w:rPr>
                <w:sz w:val="22"/>
              </w:rPr>
              <w:t>idelalisib</w:t>
            </w:r>
            <w:proofErr w:type="spellEnd"/>
            <w:r w:rsidRPr="00241339">
              <w:rPr>
                <w:sz w:val="22"/>
              </w:rPr>
              <w:t xml:space="preserve">, indinavir, itraconazole, </w:t>
            </w:r>
            <w:proofErr w:type="spellStart"/>
            <w:r w:rsidRPr="00241339">
              <w:rPr>
                <w:sz w:val="22"/>
              </w:rPr>
              <w:t>josamycin</w:t>
            </w:r>
            <w:proofErr w:type="spellEnd"/>
            <w:r w:rsidRPr="00241339">
              <w:rPr>
                <w:sz w:val="22"/>
              </w:rPr>
              <w:t xml:space="preserve">, ketoconazole, lonafarnib, mibefradil, mifepristone, nefazodone, nelfinavir, posaconazole, </w:t>
            </w:r>
            <w:proofErr w:type="spellStart"/>
            <w:r w:rsidRPr="00241339">
              <w:rPr>
                <w:sz w:val="22"/>
              </w:rPr>
              <w:t>ribociclib</w:t>
            </w:r>
            <w:proofErr w:type="spellEnd"/>
            <w:r w:rsidRPr="00241339">
              <w:rPr>
                <w:sz w:val="22"/>
              </w:rPr>
              <w:t xml:space="preserve">, ritonavir, saquinavir, telaprevir, telithromycin, </w:t>
            </w:r>
            <w:proofErr w:type="spellStart"/>
            <w:r w:rsidRPr="00241339">
              <w:rPr>
                <w:sz w:val="22"/>
              </w:rPr>
              <w:t>troleandomycin</w:t>
            </w:r>
            <w:proofErr w:type="spellEnd"/>
            <w:r w:rsidRPr="00241339">
              <w:rPr>
                <w:sz w:val="22"/>
              </w:rPr>
              <w:t>, tucatinib, voriconazole.</w:t>
            </w:r>
          </w:p>
          <w:p w14:paraId="45FEA9F3" w14:textId="77777777" w:rsidR="00241339" w:rsidRPr="00241339" w:rsidRDefault="00241339" w:rsidP="00241339">
            <w:pPr>
              <w:spacing w:after="0" w:line="276" w:lineRule="auto"/>
              <w:rPr>
                <w:sz w:val="22"/>
              </w:rPr>
            </w:pPr>
            <w:r w:rsidRPr="00241339">
              <w:rPr>
                <w:sz w:val="22"/>
              </w:rPr>
              <w:t>Intake of high doses of grapefruit should be avoided.</w:t>
            </w:r>
          </w:p>
        </w:tc>
      </w:tr>
      <w:tr w:rsidR="00D9629A" w:rsidRPr="00241339" w14:paraId="7B6091E4" w14:textId="77777777" w:rsidTr="00D9629A">
        <w:trPr>
          <w:trHeight w:val="290"/>
        </w:trPr>
        <w:tc>
          <w:tcPr>
            <w:tcW w:w="9090" w:type="dxa"/>
            <w:gridSpan w:val="2"/>
            <w:tcBorders>
              <w:top w:val="single" w:sz="8" w:space="0" w:color="auto"/>
              <w:left w:val="single" w:sz="8" w:space="0" w:color="auto"/>
              <w:bottom w:val="single" w:sz="8" w:space="0" w:color="auto"/>
              <w:right w:val="single" w:sz="8" w:space="0" w:color="auto"/>
            </w:tcBorders>
          </w:tcPr>
          <w:p w14:paraId="636A2D81" w14:textId="6413C5A4" w:rsidR="00D9629A" w:rsidRPr="00D9629A" w:rsidRDefault="00D9629A" w:rsidP="00241339">
            <w:pPr>
              <w:rPr>
                <w:b/>
                <w:bCs/>
                <w:sz w:val="22"/>
              </w:rPr>
            </w:pPr>
            <w:r w:rsidRPr="00D9629A">
              <w:rPr>
                <w:b/>
                <w:bCs/>
                <w:sz w:val="22"/>
              </w:rPr>
              <w:t>Moderate CYP3A4 inhibitors</w:t>
            </w:r>
          </w:p>
        </w:tc>
      </w:tr>
      <w:tr w:rsidR="00D9629A" w:rsidRPr="00241339" w14:paraId="0E366DB5" w14:textId="77777777" w:rsidTr="00700F22">
        <w:tc>
          <w:tcPr>
            <w:tcW w:w="3255" w:type="dxa"/>
            <w:tcBorders>
              <w:top w:val="single" w:sz="8" w:space="0" w:color="auto"/>
              <w:left w:val="single" w:sz="8" w:space="0" w:color="auto"/>
              <w:bottom w:val="single" w:sz="8" w:space="0" w:color="auto"/>
              <w:right w:val="single" w:sz="8" w:space="0" w:color="auto"/>
            </w:tcBorders>
          </w:tcPr>
          <w:p w14:paraId="22AAB940" w14:textId="48E28969" w:rsidR="00D9629A" w:rsidRPr="00241339" w:rsidRDefault="00D9629A" w:rsidP="00241339">
            <w:pPr>
              <w:rPr>
                <w:sz w:val="22"/>
                <w:szCs w:val="22"/>
              </w:rPr>
            </w:pPr>
            <w:r>
              <w:rPr>
                <w:sz w:val="22"/>
                <w:szCs w:val="22"/>
              </w:rPr>
              <w:t>Clinical impact</w:t>
            </w:r>
          </w:p>
        </w:tc>
        <w:tc>
          <w:tcPr>
            <w:tcW w:w="5835" w:type="dxa"/>
            <w:tcBorders>
              <w:top w:val="single" w:sz="8" w:space="0" w:color="auto"/>
              <w:left w:val="single" w:sz="8" w:space="0" w:color="auto"/>
              <w:bottom w:val="single" w:sz="8" w:space="0" w:color="auto"/>
              <w:right w:val="single" w:sz="8" w:space="0" w:color="auto"/>
            </w:tcBorders>
          </w:tcPr>
          <w:p w14:paraId="0A91960F" w14:textId="389798C6" w:rsidR="00D9629A" w:rsidRPr="00241339" w:rsidRDefault="00D9629A" w:rsidP="00241339">
            <w:pPr>
              <w:rPr>
                <w:sz w:val="22"/>
              </w:rPr>
            </w:pPr>
            <w:r>
              <w:rPr>
                <w:sz w:val="22"/>
              </w:rPr>
              <w:t xml:space="preserve">Concomitant use with a moderate CYP3A4 inhibitor is predicted to </w:t>
            </w:r>
            <w:r w:rsidR="00890CF3">
              <w:rPr>
                <w:sz w:val="22"/>
              </w:rPr>
              <w:t>increase</w:t>
            </w:r>
            <w:r>
              <w:rPr>
                <w:sz w:val="22"/>
              </w:rPr>
              <w:t xml:space="preserve"> </w:t>
            </w:r>
            <w:proofErr w:type="spellStart"/>
            <w:r>
              <w:rPr>
                <w:sz w:val="22"/>
              </w:rPr>
              <w:t>capivasertib</w:t>
            </w:r>
            <w:proofErr w:type="spellEnd"/>
            <w:r>
              <w:rPr>
                <w:sz w:val="22"/>
              </w:rPr>
              <w:t xml:space="preserve"> concentration, which may increase the risk </w:t>
            </w:r>
            <w:r w:rsidR="00890CF3">
              <w:rPr>
                <w:sz w:val="22"/>
              </w:rPr>
              <w:t>of TR</w:t>
            </w:r>
            <w:r w:rsidR="00C86461">
              <w:rPr>
                <w:sz w:val="22"/>
              </w:rPr>
              <w:t>U</w:t>
            </w:r>
            <w:r w:rsidR="00890CF3">
              <w:rPr>
                <w:sz w:val="22"/>
              </w:rPr>
              <w:t>QAP toxicities (See section 5.2 Pharmacokinetic properties)</w:t>
            </w:r>
          </w:p>
        </w:tc>
      </w:tr>
      <w:tr w:rsidR="00D9629A" w:rsidRPr="00241339" w14:paraId="46FC1F83" w14:textId="77777777" w:rsidTr="00700F22">
        <w:tc>
          <w:tcPr>
            <w:tcW w:w="3255" w:type="dxa"/>
            <w:tcBorders>
              <w:top w:val="single" w:sz="8" w:space="0" w:color="auto"/>
              <w:left w:val="single" w:sz="8" w:space="0" w:color="auto"/>
              <w:bottom w:val="single" w:sz="8" w:space="0" w:color="auto"/>
              <w:right w:val="single" w:sz="8" w:space="0" w:color="auto"/>
            </w:tcBorders>
          </w:tcPr>
          <w:p w14:paraId="591B6B54" w14:textId="17A8F39C" w:rsidR="00D9629A" w:rsidRPr="00241339" w:rsidRDefault="00D9629A" w:rsidP="00241339">
            <w:pPr>
              <w:rPr>
                <w:sz w:val="22"/>
                <w:szCs w:val="22"/>
              </w:rPr>
            </w:pPr>
            <w:r>
              <w:rPr>
                <w:sz w:val="22"/>
                <w:szCs w:val="22"/>
              </w:rPr>
              <w:t>Prevention or management</w:t>
            </w:r>
          </w:p>
        </w:tc>
        <w:tc>
          <w:tcPr>
            <w:tcW w:w="5835" w:type="dxa"/>
            <w:tcBorders>
              <w:top w:val="single" w:sz="8" w:space="0" w:color="auto"/>
              <w:left w:val="single" w:sz="8" w:space="0" w:color="auto"/>
              <w:bottom w:val="single" w:sz="8" w:space="0" w:color="auto"/>
              <w:right w:val="single" w:sz="8" w:space="0" w:color="auto"/>
            </w:tcBorders>
          </w:tcPr>
          <w:p w14:paraId="0BF166A9" w14:textId="10261BDD" w:rsidR="00D9629A" w:rsidRPr="00241339" w:rsidRDefault="00D9629A" w:rsidP="00241339">
            <w:pPr>
              <w:rPr>
                <w:sz w:val="22"/>
              </w:rPr>
            </w:pPr>
            <w:r w:rsidRPr="00D9629A">
              <w:rPr>
                <w:sz w:val="22"/>
              </w:rPr>
              <w:t>When concomitantly used with moderate CYP3A</w:t>
            </w:r>
            <w:r w:rsidR="001E47E6">
              <w:rPr>
                <w:sz w:val="22"/>
              </w:rPr>
              <w:t>4</w:t>
            </w:r>
            <w:r w:rsidRPr="00D9629A">
              <w:rPr>
                <w:sz w:val="22"/>
              </w:rPr>
              <w:t xml:space="preserve"> inhibitor, reduce the dose of TRUQAP and monitor patients for adverse reactions (see Section 4.2 Dose and method of administration).</w:t>
            </w:r>
          </w:p>
        </w:tc>
      </w:tr>
      <w:tr w:rsidR="00241339" w:rsidRPr="00241339" w14:paraId="1C48801D" w14:textId="77777777" w:rsidTr="00241339">
        <w:tc>
          <w:tcPr>
            <w:tcW w:w="909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59794492" w14:textId="77777777" w:rsidR="00241339" w:rsidRPr="00241339" w:rsidRDefault="00241339" w:rsidP="00241339">
            <w:pPr>
              <w:spacing w:after="0" w:line="276" w:lineRule="auto"/>
              <w:rPr>
                <w:sz w:val="22"/>
              </w:rPr>
            </w:pPr>
            <w:r w:rsidRPr="00241339">
              <w:rPr>
                <w:b/>
                <w:bCs/>
                <w:color w:val="000000"/>
                <w:sz w:val="22"/>
                <w:szCs w:val="22"/>
              </w:rPr>
              <w:t xml:space="preserve">Strong CYP3A4 </w:t>
            </w:r>
            <w:proofErr w:type="spellStart"/>
            <w:r w:rsidRPr="00241339">
              <w:rPr>
                <w:b/>
                <w:bCs/>
                <w:color w:val="000000"/>
                <w:sz w:val="22"/>
                <w:szCs w:val="22"/>
              </w:rPr>
              <w:t>inducers</w:t>
            </w:r>
            <w:r w:rsidRPr="00241339">
              <w:rPr>
                <w:b/>
                <w:bCs/>
                <w:color w:val="000000"/>
                <w:sz w:val="22"/>
                <w:szCs w:val="22"/>
                <w:vertAlign w:val="superscript"/>
              </w:rPr>
              <w:t>c</w:t>
            </w:r>
            <w:proofErr w:type="spellEnd"/>
          </w:p>
        </w:tc>
      </w:tr>
      <w:tr w:rsidR="00241339" w:rsidRPr="00241339" w14:paraId="603A3CA1" w14:textId="77777777" w:rsidTr="00700F22">
        <w:tc>
          <w:tcPr>
            <w:tcW w:w="3255" w:type="dxa"/>
            <w:tcBorders>
              <w:top w:val="single" w:sz="8" w:space="0" w:color="auto"/>
              <w:left w:val="single" w:sz="8" w:space="0" w:color="auto"/>
              <w:bottom w:val="single" w:sz="8" w:space="0" w:color="auto"/>
              <w:right w:val="single" w:sz="8" w:space="0" w:color="auto"/>
            </w:tcBorders>
          </w:tcPr>
          <w:p w14:paraId="2467A1AB" w14:textId="77777777" w:rsidR="00241339" w:rsidRPr="00241339" w:rsidRDefault="00241339" w:rsidP="00241339">
            <w:pPr>
              <w:spacing w:line="276" w:lineRule="auto"/>
              <w:rPr>
                <w:sz w:val="22"/>
              </w:rPr>
            </w:pPr>
            <w:r w:rsidRPr="00241339">
              <w:rPr>
                <w:sz w:val="22"/>
                <w:szCs w:val="22"/>
              </w:rPr>
              <w:t>Clinical impact</w:t>
            </w:r>
          </w:p>
        </w:tc>
        <w:tc>
          <w:tcPr>
            <w:tcW w:w="5835" w:type="dxa"/>
            <w:tcBorders>
              <w:top w:val="nil"/>
              <w:left w:val="single" w:sz="8" w:space="0" w:color="auto"/>
              <w:bottom w:val="single" w:sz="8" w:space="0" w:color="auto"/>
              <w:right w:val="single" w:sz="8" w:space="0" w:color="auto"/>
            </w:tcBorders>
          </w:tcPr>
          <w:p w14:paraId="36B1DB63" w14:textId="684C4B89" w:rsidR="00241339" w:rsidRPr="004E12EF" w:rsidRDefault="00241339" w:rsidP="00241339">
            <w:pPr>
              <w:spacing w:after="0" w:line="276" w:lineRule="auto"/>
              <w:rPr>
                <w:sz w:val="22"/>
                <w:szCs w:val="22"/>
              </w:rPr>
            </w:pPr>
            <w:r w:rsidRPr="004E12EF">
              <w:rPr>
                <w:sz w:val="22"/>
                <w:szCs w:val="22"/>
              </w:rPr>
              <w:t>Concomitant use with a strong CYP3A4</w:t>
            </w:r>
            <w:r w:rsidRPr="004E12EF">
              <w:rPr>
                <w:b/>
                <w:bCs/>
                <w:sz w:val="22"/>
                <w:szCs w:val="22"/>
              </w:rPr>
              <w:t xml:space="preserve"> </w:t>
            </w:r>
            <w:r w:rsidRPr="004E12EF">
              <w:rPr>
                <w:sz w:val="22"/>
                <w:szCs w:val="22"/>
              </w:rPr>
              <w:t xml:space="preserve">inducer decreases </w:t>
            </w:r>
            <w:proofErr w:type="spellStart"/>
            <w:r w:rsidRPr="004E12EF">
              <w:rPr>
                <w:sz w:val="22"/>
                <w:szCs w:val="22"/>
              </w:rPr>
              <w:t>capivasertib</w:t>
            </w:r>
            <w:proofErr w:type="spellEnd"/>
            <w:r w:rsidRPr="004E12EF">
              <w:rPr>
                <w:sz w:val="22"/>
                <w:szCs w:val="22"/>
              </w:rPr>
              <w:t xml:space="preserve"> concentration which may reduce the efficacy of </w:t>
            </w:r>
            <w:r w:rsidR="003F16DD">
              <w:rPr>
                <w:sz w:val="22"/>
                <w:szCs w:val="22"/>
              </w:rPr>
              <w:t>TRUQAP</w:t>
            </w:r>
            <w:r w:rsidR="003F16DD" w:rsidRPr="004E12EF">
              <w:rPr>
                <w:sz w:val="22"/>
                <w:szCs w:val="22"/>
              </w:rPr>
              <w:t xml:space="preserve"> </w:t>
            </w:r>
            <w:r w:rsidRPr="004E12EF">
              <w:rPr>
                <w:sz w:val="22"/>
                <w:szCs w:val="22"/>
              </w:rPr>
              <w:t xml:space="preserve">(see </w:t>
            </w:r>
            <w:hyperlink w:anchor="_Pharmacokinetic_properties" w:history="1">
              <w:r w:rsidR="00624CB3" w:rsidRPr="004E12EF">
                <w:rPr>
                  <w:rStyle w:val="Hyperlink"/>
                  <w:color w:val="auto"/>
                  <w:sz w:val="22"/>
                  <w:szCs w:val="22"/>
                </w:rPr>
                <w:t>S</w:t>
              </w:r>
              <w:r w:rsidRPr="004E12EF">
                <w:rPr>
                  <w:rStyle w:val="Hyperlink"/>
                  <w:color w:val="auto"/>
                  <w:sz w:val="22"/>
                  <w:szCs w:val="22"/>
                </w:rPr>
                <w:t>ection 5.2</w:t>
              </w:r>
              <w:r w:rsidR="00624CB3" w:rsidRPr="004E12EF">
                <w:rPr>
                  <w:rStyle w:val="Hyperlink"/>
                  <w:color w:val="auto"/>
                  <w:sz w:val="22"/>
                  <w:szCs w:val="22"/>
                </w:rPr>
                <w:t xml:space="preserve"> Pharmacokinetic properties</w:t>
              </w:r>
            </w:hyperlink>
            <w:r w:rsidRPr="004E12EF">
              <w:rPr>
                <w:sz w:val="22"/>
                <w:szCs w:val="22"/>
              </w:rPr>
              <w:t xml:space="preserve">). </w:t>
            </w:r>
          </w:p>
        </w:tc>
      </w:tr>
      <w:tr w:rsidR="00241339" w:rsidRPr="00241339" w14:paraId="44864FBE" w14:textId="77777777" w:rsidTr="00700F22">
        <w:tc>
          <w:tcPr>
            <w:tcW w:w="3255" w:type="dxa"/>
            <w:tcBorders>
              <w:top w:val="single" w:sz="8" w:space="0" w:color="auto"/>
              <w:left w:val="single" w:sz="8" w:space="0" w:color="auto"/>
              <w:bottom w:val="single" w:sz="8" w:space="0" w:color="auto"/>
              <w:right w:val="single" w:sz="8" w:space="0" w:color="auto"/>
            </w:tcBorders>
          </w:tcPr>
          <w:p w14:paraId="3534DA42" w14:textId="77777777" w:rsidR="00241339" w:rsidRPr="00241339" w:rsidRDefault="00241339" w:rsidP="00241339">
            <w:pPr>
              <w:spacing w:line="276" w:lineRule="auto"/>
              <w:rPr>
                <w:sz w:val="22"/>
              </w:rPr>
            </w:pPr>
            <w:r w:rsidRPr="00241339">
              <w:rPr>
                <w:sz w:val="22"/>
                <w:szCs w:val="22"/>
              </w:rPr>
              <w:t>Prevention or management</w:t>
            </w:r>
          </w:p>
        </w:tc>
        <w:tc>
          <w:tcPr>
            <w:tcW w:w="5835" w:type="dxa"/>
            <w:tcBorders>
              <w:top w:val="single" w:sz="8" w:space="0" w:color="auto"/>
              <w:left w:val="single" w:sz="8" w:space="0" w:color="auto"/>
              <w:bottom w:val="single" w:sz="8" w:space="0" w:color="auto"/>
              <w:right w:val="single" w:sz="8" w:space="0" w:color="auto"/>
            </w:tcBorders>
          </w:tcPr>
          <w:p w14:paraId="47A5F3C9" w14:textId="77777777" w:rsidR="00241339" w:rsidRPr="004E12EF" w:rsidRDefault="00241339" w:rsidP="00241339">
            <w:pPr>
              <w:spacing w:after="0" w:line="276" w:lineRule="auto"/>
              <w:rPr>
                <w:sz w:val="22"/>
              </w:rPr>
            </w:pPr>
            <w:r w:rsidRPr="004E12EF">
              <w:rPr>
                <w:sz w:val="22"/>
                <w:szCs w:val="22"/>
              </w:rPr>
              <w:t>Concomitant use of strong CYP3A4</w:t>
            </w:r>
            <w:r w:rsidRPr="004E12EF">
              <w:rPr>
                <w:b/>
                <w:bCs/>
                <w:sz w:val="22"/>
                <w:szCs w:val="22"/>
              </w:rPr>
              <w:t xml:space="preserve"> </w:t>
            </w:r>
            <w:r w:rsidRPr="004E12EF">
              <w:rPr>
                <w:sz w:val="22"/>
                <w:szCs w:val="22"/>
              </w:rPr>
              <w:t>inducers is not recommended.</w:t>
            </w:r>
          </w:p>
        </w:tc>
      </w:tr>
      <w:tr w:rsidR="00241339" w:rsidRPr="00241339" w14:paraId="3C36C5F5" w14:textId="77777777" w:rsidTr="00700F22">
        <w:tc>
          <w:tcPr>
            <w:tcW w:w="3255" w:type="dxa"/>
            <w:tcBorders>
              <w:top w:val="single" w:sz="8" w:space="0" w:color="auto"/>
              <w:left w:val="single" w:sz="8" w:space="0" w:color="auto"/>
              <w:bottom w:val="single" w:sz="8" w:space="0" w:color="auto"/>
              <w:right w:val="single" w:sz="8" w:space="0" w:color="auto"/>
            </w:tcBorders>
          </w:tcPr>
          <w:p w14:paraId="6FAE112D" w14:textId="77777777" w:rsidR="00241339" w:rsidRPr="00241339" w:rsidRDefault="00241339" w:rsidP="00241339">
            <w:pPr>
              <w:spacing w:after="0" w:line="276" w:lineRule="auto"/>
              <w:rPr>
                <w:sz w:val="22"/>
              </w:rPr>
            </w:pPr>
            <w:proofErr w:type="spellStart"/>
            <w:r w:rsidRPr="00241339">
              <w:rPr>
                <w:sz w:val="22"/>
                <w:szCs w:val="22"/>
              </w:rPr>
              <w:t>Examples</w:t>
            </w:r>
            <w:r w:rsidRPr="00241339">
              <w:rPr>
                <w:sz w:val="22"/>
                <w:szCs w:val="22"/>
                <w:vertAlign w:val="superscript"/>
              </w:rPr>
              <w:t>b</w:t>
            </w:r>
            <w:proofErr w:type="spellEnd"/>
          </w:p>
        </w:tc>
        <w:tc>
          <w:tcPr>
            <w:tcW w:w="5835" w:type="dxa"/>
            <w:tcBorders>
              <w:top w:val="single" w:sz="8" w:space="0" w:color="auto"/>
              <w:left w:val="single" w:sz="8" w:space="0" w:color="auto"/>
              <w:bottom w:val="single" w:sz="8" w:space="0" w:color="auto"/>
              <w:right w:val="single" w:sz="8" w:space="0" w:color="auto"/>
            </w:tcBorders>
          </w:tcPr>
          <w:p w14:paraId="0CFD7035" w14:textId="77777777" w:rsidR="00241339" w:rsidRDefault="00241339" w:rsidP="00241339">
            <w:pPr>
              <w:spacing w:after="0" w:line="276" w:lineRule="auto"/>
              <w:rPr>
                <w:sz w:val="22"/>
                <w:szCs w:val="22"/>
              </w:rPr>
            </w:pPr>
            <w:r w:rsidRPr="00241339">
              <w:rPr>
                <w:sz w:val="22"/>
                <w:szCs w:val="22"/>
              </w:rPr>
              <w:t>Carbamazepine, phenytoin, rifampicin, St. John’s wort.</w:t>
            </w:r>
          </w:p>
          <w:p w14:paraId="03D5CD6F" w14:textId="77777777" w:rsidR="00C86461" w:rsidRPr="00241339" w:rsidRDefault="00C86461" w:rsidP="00241339">
            <w:pPr>
              <w:spacing w:after="0" w:line="276" w:lineRule="auto"/>
              <w:rPr>
                <w:sz w:val="22"/>
                <w:szCs w:val="22"/>
              </w:rPr>
            </w:pPr>
          </w:p>
        </w:tc>
      </w:tr>
      <w:tr w:rsidR="00241339" w:rsidRPr="00241339" w14:paraId="5E9975AD" w14:textId="77777777" w:rsidTr="00BD2F21">
        <w:tc>
          <w:tcPr>
            <w:tcW w:w="909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B0875BC" w14:textId="1058E075" w:rsidR="00241339" w:rsidRPr="00241339" w:rsidRDefault="00241339" w:rsidP="00241339">
            <w:pPr>
              <w:spacing w:after="0" w:line="276" w:lineRule="auto"/>
              <w:rPr>
                <w:b/>
                <w:bCs/>
                <w:color w:val="000000"/>
                <w:sz w:val="22"/>
                <w:szCs w:val="22"/>
              </w:rPr>
            </w:pPr>
            <w:r w:rsidRPr="00241339">
              <w:rPr>
                <w:b/>
                <w:bCs/>
                <w:color w:val="000000"/>
                <w:sz w:val="22"/>
                <w:szCs w:val="22"/>
              </w:rPr>
              <w:t xml:space="preserve">Moderate CYP3A4 </w:t>
            </w:r>
            <w:proofErr w:type="spellStart"/>
            <w:r w:rsidRPr="00241339">
              <w:rPr>
                <w:b/>
                <w:bCs/>
                <w:color w:val="000000"/>
                <w:sz w:val="22"/>
                <w:szCs w:val="22"/>
              </w:rPr>
              <w:t>inducers</w:t>
            </w:r>
            <w:r w:rsidRPr="00241339">
              <w:rPr>
                <w:b/>
                <w:bCs/>
                <w:color w:val="000000"/>
                <w:sz w:val="22"/>
                <w:szCs w:val="22"/>
                <w:vertAlign w:val="superscript"/>
              </w:rPr>
              <w:t>d</w:t>
            </w:r>
            <w:proofErr w:type="spellEnd"/>
          </w:p>
        </w:tc>
      </w:tr>
      <w:tr w:rsidR="00241339" w:rsidRPr="00241339" w14:paraId="2624380B" w14:textId="77777777" w:rsidTr="00700F22">
        <w:tc>
          <w:tcPr>
            <w:tcW w:w="3255" w:type="dxa"/>
            <w:tcBorders>
              <w:top w:val="single" w:sz="8" w:space="0" w:color="auto"/>
              <w:left w:val="single" w:sz="8" w:space="0" w:color="auto"/>
              <w:bottom w:val="single" w:sz="8" w:space="0" w:color="auto"/>
              <w:right w:val="single" w:sz="8" w:space="0" w:color="auto"/>
            </w:tcBorders>
          </w:tcPr>
          <w:p w14:paraId="40445985" w14:textId="77777777" w:rsidR="00241339" w:rsidRPr="00241339" w:rsidRDefault="00241339" w:rsidP="00241339">
            <w:pPr>
              <w:spacing w:line="276" w:lineRule="auto"/>
              <w:rPr>
                <w:sz w:val="22"/>
                <w:szCs w:val="22"/>
              </w:rPr>
            </w:pPr>
            <w:r w:rsidRPr="00241339">
              <w:rPr>
                <w:sz w:val="22"/>
                <w:szCs w:val="22"/>
              </w:rPr>
              <w:t>Clinical Impact</w:t>
            </w:r>
          </w:p>
        </w:tc>
        <w:tc>
          <w:tcPr>
            <w:tcW w:w="5835" w:type="dxa"/>
            <w:tcBorders>
              <w:top w:val="single" w:sz="8" w:space="0" w:color="auto"/>
              <w:left w:val="single" w:sz="8" w:space="0" w:color="auto"/>
              <w:bottom w:val="single" w:sz="8" w:space="0" w:color="auto"/>
              <w:right w:val="single" w:sz="8" w:space="0" w:color="auto"/>
            </w:tcBorders>
          </w:tcPr>
          <w:p w14:paraId="192B1DD5" w14:textId="5FABC70B" w:rsidR="00241339" w:rsidRPr="00241339" w:rsidRDefault="00241339" w:rsidP="00241339">
            <w:pPr>
              <w:spacing w:after="0" w:line="276" w:lineRule="auto"/>
              <w:rPr>
                <w:sz w:val="22"/>
                <w:szCs w:val="22"/>
              </w:rPr>
            </w:pPr>
            <w:r w:rsidRPr="00241339">
              <w:rPr>
                <w:sz w:val="22"/>
                <w:szCs w:val="22"/>
              </w:rPr>
              <w:t xml:space="preserve">There is a potential for decreased </w:t>
            </w:r>
            <w:proofErr w:type="spellStart"/>
            <w:r w:rsidRPr="00241339">
              <w:rPr>
                <w:sz w:val="22"/>
                <w:szCs w:val="22"/>
              </w:rPr>
              <w:t>capivasertib</w:t>
            </w:r>
            <w:proofErr w:type="spellEnd"/>
            <w:r w:rsidRPr="00241339">
              <w:rPr>
                <w:sz w:val="22"/>
                <w:szCs w:val="22"/>
              </w:rPr>
              <w:t xml:space="preserve"> concentration when </w:t>
            </w:r>
            <w:r w:rsidR="003F16DD">
              <w:rPr>
                <w:sz w:val="22"/>
                <w:szCs w:val="22"/>
              </w:rPr>
              <w:t>TRUQAP</w:t>
            </w:r>
            <w:r w:rsidR="003F16DD" w:rsidRPr="00241339">
              <w:rPr>
                <w:sz w:val="22"/>
                <w:szCs w:val="22"/>
              </w:rPr>
              <w:t xml:space="preserve"> </w:t>
            </w:r>
            <w:r w:rsidRPr="00241339">
              <w:rPr>
                <w:sz w:val="22"/>
                <w:szCs w:val="22"/>
              </w:rPr>
              <w:t xml:space="preserve">is concomitantly used with moderate CYP3A4 inducers. This may reduce the efficacy of </w:t>
            </w:r>
            <w:r w:rsidR="003F16DD">
              <w:rPr>
                <w:sz w:val="22"/>
                <w:szCs w:val="22"/>
              </w:rPr>
              <w:t>TRUQAP</w:t>
            </w:r>
            <w:r w:rsidRPr="00241339">
              <w:rPr>
                <w:sz w:val="22"/>
                <w:szCs w:val="22"/>
              </w:rPr>
              <w:t>.</w:t>
            </w:r>
          </w:p>
        </w:tc>
      </w:tr>
      <w:tr w:rsidR="00241339" w:rsidRPr="00241339" w14:paraId="39E9C6AD" w14:textId="77777777" w:rsidTr="00700F22">
        <w:tc>
          <w:tcPr>
            <w:tcW w:w="3255" w:type="dxa"/>
            <w:tcBorders>
              <w:top w:val="single" w:sz="8" w:space="0" w:color="auto"/>
              <w:left w:val="single" w:sz="8" w:space="0" w:color="auto"/>
              <w:bottom w:val="single" w:sz="8" w:space="0" w:color="auto"/>
              <w:right w:val="single" w:sz="8" w:space="0" w:color="auto"/>
            </w:tcBorders>
          </w:tcPr>
          <w:p w14:paraId="5686B24C" w14:textId="77777777" w:rsidR="00241339" w:rsidRPr="00241339" w:rsidRDefault="00241339" w:rsidP="00241339">
            <w:pPr>
              <w:spacing w:line="276" w:lineRule="auto"/>
              <w:rPr>
                <w:sz w:val="22"/>
                <w:szCs w:val="22"/>
              </w:rPr>
            </w:pPr>
            <w:r w:rsidRPr="00241339">
              <w:rPr>
                <w:sz w:val="22"/>
                <w:szCs w:val="22"/>
              </w:rPr>
              <w:t>Prevention or management</w:t>
            </w:r>
          </w:p>
        </w:tc>
        <w:tc>
          <w:tcPr>
            <w:tcW w:w="5835" w:type="dxa"/>
            <w:tcBorders>
              <w:top w:val="single" w:sz="8" w:space="0" w:color="auto"/>
              <w:left w:val="single" w:sz="8" w:space="0" w:color="auto"/>
              <w:bottom w:val="single" w:sz="8" w:space="0" w:color="auto"/>
              <w:right w:val="single" w:sz="8" w:space="0" w:color="auto"/>
            </w:tcBorders>
          </w:tcPr>
          <w:p w14:paraId="0872DF36" w14:textId="4027F8C9" w:rsidR="00241339" w:rsidRPr="00241339" w:rsidRDefault="00241339" w:rsidP="00241339">
            <w:pPr>
              <w:spacing w:after="0" w:line="276" w:lineRule="auto"/>
              <w:rPr>
                <w:sz w:val="22"/>
              </w:rPr>
            </w:pPr>
            <w:r w:rsidRPr="00241339">
              <w:rPr>
                <w:sz w:val="22"/>
              </w:rPr>
              <w:t>Moderate CYP3A4</w:t>
            </w:r>
            <w:r w:rsidRPr="00241339">
              <w:rPr>
                <w:b/>
                <w:sz w:val="22"/>
              </w:rPr>
              <w:t xml:space="preserve"> </w:t>
            </w:r>
            <w:r w:rsidRPr="00241339">
              <w:rPr>
                <w:sz w:val="22"/>
              </w:rPr>
              <w:t xml:space="preserve">inducers should be used with caution with </w:t>
            </w:r>
            <w:r w:rsidR="003F16DD">
              <w:rPr>
                <w:sz w:val="22"/>
              </w:rPr>
              <w:t>TRUQAP</w:t>
            </w:r>
            <w:r w:rsidRPr="00241339">
              <w:rPr>
                <w:sz w:val="22"/>
              </w:rPr>
              <w:t xml:space="preserve">. </w:t>
            </w:r>
          </w:p>
        </w:tc>
      </w:tr>
      <w:tr w:rsidR="00241339" w:rsidRPr="00241339" w14:paraId="5AED987D" w14:textId="77777777" w:rsidTr="00700F22">
        <w:tc>
          <w:tcPr>
            <w:tcW w:w="3255" w:type="dxa"/>
            <w:tcBorders>
              <w:top w:val="single" w:sz="8" w:space="0" w:color="auto"/>
              <w:left w:val="single" w:sz="8" w:space="0" w:color="auto"/>
              <w:bottom w:val="single" w:sz="8" w:space="0" w:color="auto"/>
              <w:right w:val="single" w:sz="8" w:space="0" w:color="auto"/>
            </w:tcBorders>
          </w:tcPr>
          <w:p w14:paraId="5877AD31" w14:textId="77777777" w:rsidR="00241339" w:rsidRPr="00241339" w:rsidRDefault="00241339" w:rsidP="00241339">
            <w:pPr>
              <w:spacing w:line="276" w:lineRule="auto"/>
              <w:rPr>
                <w:sz w:val="22"/>
                <w:szCs w:val="22"/>
              </w:rPr>
            </w:pPr>
            <w:proofErr w:type="spellStart"/>
            <w:r w:rsidRPr="00241339">
              <w:rPr>
                <w:sz w:val="22"/>
                <w:szCs w:val="22"/>
              </w:rPr>
              <w:t>Examples</w:t>
            </w:r>
            <w:r w:rsidRPr="00241339">
              <w:rPr>
                <w:sz w:val="22"/>
                <w:szCs w:val="22"/>
                <w:vertAlign w:val="superscript"/>
              </w:rPr>
              <w:t>b</w:t>
            </w:r>
            <w:proofErr w:type="spellEnd"/>
          </w:p>
        </w:tc>
        <w:tc>
          <w:tcPr>
            <w:tcW w:w="5835" w:type="dxa"/>
            <w:tcBorders>
              <w:top w:val="single" w:sz="8" w:space="0" w:color="auto"/>
              <w:left w:val="single" w:sz="8" w:space="0" w:color="auto"/>
              <w:bottom w:val="single" w:sz="8" w:space="0" w:color="auto"/>
              <w:right w:val="single" w:sz="8" w:space="0" w:color="auto"/>
            </w:tcBorders>
          </w:tcPr>
          <w:p w14:paraId="78EDEEC3" w14:textId="11805929" w:rsidR="00241339" w:rsidRPr="00241339" w:rsidRDefault="00241339" w:rsidP="00241339">
            <w:pPr>
              <w:spacing w:after="0" w:line="276" w:lineRule="auto"/>
              <w:rPr>
                <w:sz w:val="22"/>
                <w:szCs w:val="22"/>
              </w:rPr>
            </w:pPr>
            <w:proofErr w:type="spellStart"/>
            <w:r w:rsidRPr="00241339">
              <w:rPr>
                <w:sz w:val="22"/>
                <w:szCs w:val="22"/>
              </w:rPr>
              <w:t>Bosentan</w:t>
            </w:r>
            <w:proofErr w:type="spellEnd"/>
            <w:r w:rsidRPr="00241339">
              <w:rPr>
                <w:sz w:val="22"/>
                <w:szCs w:val="22"/>
              </w:rPr>
              <w:t xml:space="preserve">, </w:t>
            </w:r>
            <w:proofErr w:type="spellStart"/>
            <w:r w:rsidRPr="00241339">
              <w:rPr>
                <w:sz w:val="22"/>
                <w:szCs w:val="22"/>
              </w:rPr>
              <w:t>cenobamate</w:t>
            </w:r>
            <w:proofErr w:type="spellEnd"/>
            <w:r w:rsidRPr="00241339">
              <w:rPr>
                <w:sz w:val="22"/>
                <w:szCs w:val="22"/>
              </w:rPr>
              <w:t xml:space="preserve">, dabrafenib, </w:t>
            </w:r>
            <w:proofErr w:type="spellStart"/>
            <w:r w:rsidRPr="00241339">
              <w:rPr>
                <w:sz w:val="22"/>
                <w:szCs w:val="22"/>
              </w:rPr>
              <w:t>elagolix</w:t>
            </w:r>
            <w:proofErr w:type="spellEnd"/>
            <w:r w:rsidRPr="00241339">
              <w:rPr>
                <w:sz w:val="22"/>
                <w:szCs w:val="22"/>
              </w:rPr>
              <w:t xml:space="preserve">, etravirine, </w:t>
            </w:r>
            <w:proofErr w:type="spellStart"/>
            <w:r w:rsidRPr="00241339">
              <w:rPr>
                <w:sz w:val="22"/>
                <w:szCs w:val="22"/>
              </w:rPr>
              <w:t>lersivirine</w:t>
            </w:r>
            <w:proofErr w:type="spellEnd"/>
            <w:r w:rsidRPr="00241339">
              <w:rPr>
                <w:sz w:val="22"/>
                <w:szCs w:val="22"/>
              </w:rPr>
              <w:t xml:space="preserve">, </w:t>
            </w:r>
            <w:proofErr w:type="spellStart"/>
            <w:r w:rsidRPr="00241339">
              <w:rPr>
                <w:sz w:val="22"/>
                <w:szCs w:val="22"/>
              </w:rPr>
              <w:t>lesinurad</w:t>
            </w:r>
            <w:proofErr w:type="spellEnd"/>
            <w:r w:rsidRPr="00241339">
              <w:rPr>
                <w:sz w:val="22"/>
                <w:szCs w:val="22"/>
              </w:rPr>
              <w:t xml:space="preserve">, lopinavir, </w:t>
            </w:r>
            <w:proofErr w:type="spellStart"/>
            <w:r w:rsidRPr="00241339">
              <w:rPr>
                <w:sz w:val="22"/>
                <w:szCs w:val="22"/>
              </w:rPr>
              <w:t>lorlatinib</w:t>
            </w:r>
            <w:proofErr w:type="spellEnd"/>
            <w:r w:rsidRPr="00241339">
              <w:rPr>
                <w:sz w:val="22"/>
                <w:szCs w:val="22"/>
              </w:rPr>
              <w:t xml:space="preserve">, metamizole, </w:t>
            </w:r>
            <w:proofErr w:type="spellStart"/>
            <w:r w:rsidRPr="00241339">
              <w:rPr>
                <w:sz w:val="22"/>
                <w:szCs w:val="22"/>
              </w:rPr>
              <w:t>mitapivat</w:t>
            </w:r>
            <w:proofErr w:type="spellEnd"/>
            <w:r w:rsidRPr="00241339">
              <w:rPr>
                <w:sz w:val="22"/>
                <w:szCs w:val="22"/>
              </w:rPr>
              <w:t xml:space="preserve">, modafinil, nafcillin, </w:t>
            </w:r>
            <w:proofErr w:type="spellStart"/>
            <w:r w:rsidRPr="00241339">
              <w:rPr>
                <w:sz w:val="22"/>
                <w:szCs w:val="22"/>
              </w:rPr>
              <w:t>pexidartinib</w:t>
            </w:r>
            <w:proofErr w:type="spellEnd"/>
            <w:r w:rsidRPr="00241339">
              <w:rPr>
                <w:sz w:val="22"/>
                <w:szCs w:val="22"/>
              </w:rPr>
              <w:t xml:space="preserve">, phenobarbital, rifabutin, </w:t>
            </w:r>
            <w:proofErr w:type="spellStart"/>
            <w:r w:rsidRPr="00241339">
              <w:rPr>
                <w:sz w:val="22"/>
                <w:szCs w:val="22"/>
              </w:rPr>
              <w:t>semagacestat</w:t>
            </w:r>
            <w:proofErr w:type="spellEnd"/>
            <w:r w:rsidRPr="00241339">
              <w:rPr>
                <w:sz w:val="22"/>
                <w:szCs w:val="22"/>
              </w:rPr>
              <w:t xml:space="preserve">, </w:t>
            </w:r>
            <w:proofErr w:type="spellStart"/>
            <w:r w:rsidRPr="00241339">
              <w:rPr>
                <w:sz w:val="22"/>
                <w:szCs w:val="22"/>
              </w:rPr>
              <w:t>sotorasib</w:t>
            </w:r>
            <w:proofErr w:type="spellEnd"/>
            <w:r w:rsidRPr="00241339">
              <w:rPr>
                <w:sz w:val="22"/>
                <w:szCs w:val="22"/>
              </w:rPr>
              <w:t xml:space="preserve">, </w:t>
            </w:r>
            <w:proofErr w:type="spellStart"/>
            <w:r w:rsidRPr="00241339">
              <w:rPr>
                <w:sz w:val="22"/>
                <w:szCs w:val="22"/>
              </w:rPr>
              <w:t>talviraline</w:t>
            </w:r>
            <w:proofErr w:type="spellEnd"/>
            <w:r w:rsidRPr="00241339">
              <w:rPr>
                <w:sz w:val="22"/>
                <w:szCs w:val="22"/>
              </w:rPr>
              <w:t xml:space="preserve">, </w:t>
            </w:r>
            <w:proofErr w:type="spellStart"/>
            <w:r w:rsidRPr="00241339">
              <w:rPr>
                <w:sz w:val="22"/>
                <w:szCs w:val="22"/>
              </w:rPr>
              <w:t>telotristat</w:t>
            </w:r>
            <w:proofErr w:type="spellEnd"/>
            <w:r w:rsidRPr="00241339">
              <w:rPr>
                <w:sz w:val="22"/>
                <w:szCs w:val="22"/>
              </w:rPr>
              <w:t xml:space="preserve"> ethyl,</w:t>
            </w:r>
            <w:r>
              <w:rPr>
                <w:sz w:val="22"/>
                <w:szCs w:val="22"/>
              </w:rPr>
              <w:t xml:space="preserve"> </w:t>
            </w:r>
            <w:r w:rsidRPr="00241339">
              <w:rPr>
                <w:sz w:val="22"/>
                <w:szCs w:val="22"/>
              </w:rPr>
              <w:t>thioridazine.</w:t>
            </w:r>
          </w:p>
        </w:tc>
      </w:tr>
    </w:tbl>
    <w:p w14:paraId="58DB7F08" w14:textId="77777777" w:rsidR="000731C0" w:rsidRPr="00B36136" w:rsidRDefault="000731C0" w:rsidP="000731C0">
      <w:pPr>
        <w:pStyle w:val="TableFootnoteInfo"/>
        <w:rPr>
          <w:sz w:val="20"/>
          <w:szCs w:val="20"/>
        </w:rPr>
      </w:pPr>
      <w:proofErr w:type="gramStart"/>
      <w:r w:rsidRPr="00B36136">
        <w:rPr>
          <w:sz w:val="20"/>
          <w:szCs w:val="20"/>
          <w:vertAlign w:val="superscript"/>
        </w:rPr>
        <w:t>a</w:t>
      </w:r>
      <w:r w:rsidRPr="00B36136">
        <w:rPr>
          <w:sz w:val="20"/>
          <w:szCs w:val="20"/>
        </w:rPr>
        <w:t xml:space="preserve"> Strong inhibitors</w:t>
      </w:r>
      <w:proofErr w:type="gramEnd"/>
      <w:r w:rsidRPr="00B36136">
        <w:rPr>
          <w:sz w:val="20"/>
          <w:szCs w:val="20"/>
        </w:rPr>
        <w:t xml:space="preserve"> increase the AUC of sensitive substrates for CYP3A4 (e.g. midazolam) ≥ 5-fold.</w:t>
      </w:r>
    </w:p>
    <w:p w14:paraId="2EDB6D7E" w14:textId="77777777" w:rsidR="000731C0" w:rsidRPr="00B36136" w:rsidRDefault="000731C0" w:rsidP="000731C0">
      <w:pPr>
        <w:pStyle w:val="TableFootnoteInfo"/>
        <w:rPr>
          <w:sz w:val="20"/>
          <w:szCs w:val="20"/>
        </w:rPr>
      </w:pPr>
      <w:r w:rsidRPr="00B36136">
        <w:rPr>
          <w:sz w:val="20"/>
          <w:szCs w:val="20"/>
          <w:vertAlign w:val="superscript"/>
        </w:rPr>
        <w:t xml:space="preserve">b </w:t>
      </w:r>
      <w:r w:rsidRPr="00B36136">
        <w:rPr>
          <w:sz w:val="20"/>
          <w:szCs w:val="20"/>
        </w:rPr>
        <w:t>These examples are a guide and not considered a comprehensive list of all possible drugs that may fit this category. The healthcare provider should consult appropriate references for comprehensive information.</w:t>
      </w:r>
    </w:p>
    <w:p w14:paraId="13A922D2" w14:textId="77777777" w:rsidR="000731C0" w:rsidRPr="00B36136" w:rsidRDefault="000731C0" w:rsidP="000731C0">
      <w:pPr>
        <w:pStyle w:val="TableFootnoteInfo"/>
        <w:rPr>
          <w:sz w:val="20"/>
          <w:szCs w:val="20"/>
        </w:rPr>
      </w:pPr>
      <w:r w:rsidRPr="00B36136">
        <w:rPr>
          <w:sz w:val="20"/>
          <w:szCs w:val="20"/>
          <w:vertAlign w:val="superscript"/>
        </w:rPr>
        <w:t>c</w:t>
      </w:r>
      <w:r w:rsidRPr="00B36136">
        <w:rPr>
          <w:sz w:val="20"/>
          <w:szCs w:val="20"/>
        </w:rPr>
        <w:t xml:space="preserve"> Strong inducers decrease the AUC of sensitive substrates for CYP3A4 (e.g., midazolam) by ≥ 80%.</w:t>
      </w:r>
    </w:p>
    <w:p w14:paraId="13AED32F" w14:textId="2ECE1C0B" w:rsidR="00241339" w:rsidRPr="00B36136" w:rsidRDefault="000731C0" w:rsidP="000731C0">
      <w:pPr>
        <w:pStyle w:val="TableFootnoteInfo"/>
        <w:rPr>
          <w:sz w:val="20"/>
          <w:szCs w:val="20"/>
        </w:rPr>
      </w:pPr>
      <w:r w:rsidRPr="00B36136">
        <w:rPr>
          <w:sz w:val="20"/>
          <w:szCs w:val="20"/>
          <w:vertAlign w:val="superscript"/>
        </w:rPr>
        <w:t>d</w:t>
      </w:r>
      <w:r w:rsidRPr="00B36136">
        <w:rPr>
          <w:sz w:val="20"/>
          <w:szCs w:val="20"/>
        </w:rPr>
        <w:t xml:space="preserve"> Moderate inducers decrease the AUC of sensitive substrates for CYP3A4 (e.g., midazolam) by ≥ 50% to &lt; 80%.</w:t>
      </w:r>
    </w:p>
    <w:p w14:paraId="408C8A9C" w14:textId="02049817" w:rsidR="00257BF0" w:rsidRDefault="00257BF0">
      <w:pPr>
        <w:spacing w:after="200"/>
        <w:rPr>
          <w:sz w:val="18"/>
          <w:szCs w:val="48"/>
        </w:rPr>
      </w:pPr>
    </w:p>
    <w:p w14:paraId="7D56FDB9" w14:textId="5B44BAD8" w:rsidR="00485B00" w:rsidRPr="00514C09" w:rsidRDefault="00485B00" w:rsidP="00485B00">
      <w:pPr>
        <w:pStyle w:val="Heading4Unnumbered"/>
      </w:pPr>
      <w:r w:rsidRPr="00514C09">
        <w:lastRenderedPageBreak/>
        <w:t xml:space="preserve">Effects of </w:t>
      </w:r>
      <w:proofErr w:type="spellStart"/>
      <w:r>
        <w:t>c</w:t>
      </w:r>
      <w:r w:rsidRPr="00514C09">
        <w:t>apivasertib</w:t>
      </w:r>
      <w:proofErr w:type="spellEnd"/>
      <w:r w:rsidRPr="00514C09">
        <w:t xml:space="preserve"> on </w:t>
      </w:r>
      <w:r>
        <w:t>o</w:t>
      </w:r>
      <w:r w:rsidRPr="00514C09">
        <w:t xml:space="preserve">ther </w:t>
      </w:r>
      <w:r>
        <w:t>m</w:t>
      </w:r>
      <w:r w:rsidRPr="00514C09">
        <w:t xml:space="preserve">edicinal </w:t>
      </w:r>
      <w:r>
        <w:t>p</w:t>
      </w:r>
      <w:r w:rsidRPr="00514C09">
        <w:t>roducts</w:t>
      </w:r>
      <w:fldSimple w:instr=" DOCVARIABLE vault_nd_3f43e1a4-0d73-4932-abec-602c1e2a64d5 \* MERGEFORMAT ">
        <w:r w:rsidR="00BD4838">
          <w:t xml:space="preserve"> </w:t>
        </w:r>
      </w:fldSimple>
    </w:p>
    <w:p w14:paraId="0D50A15D" w14:textId="77777777" w:rsidR="00485B00" w:rsidRPr="00514C09" w:rsidRDefault="00485B00" w:rsidP="00485B00">
      <w:pPr>
        <w:pStyle w:val="Paragraph"/>
      </w:pPr>
      <w:r w:rsidRPr="00514C09">
        <w:t>Co</w:t>
      </w:r>
      <w:r w:rsidRPr="00514C09">
        <w:noBreakHyphen/>
        <w:t xml:space="preserve">administration of </w:t>
      </w:r>
      <w:r>
        <w:t>TRUQAP</w:t>
      </w:r>
      <w:r w:rsidRPr="00514C09">
        <w:t xml:space="preserve"> at the recommended dose with midazolam (CYP3A substrate), increased the AUC of midazolam by 15% on the 3rd off-dosing day and by 77% on the 4th on-dosing day of </w:t>
      </w:r>
      <w:proofErr w:type="spellStart"/>
      <w:r w:rsidRPr="00514C09">
        <w:t>capivasertib</w:t>
      </w:r>
      <w:proofErr w:type="spellEnd"/>
      <w:r w:rsidRPr="00514C09">
        <w:t xml:space="preserve"> which shows that </w:t>
      </w:r>
      <w:proofErr w:type="spellStart"/>
      <w:r w:rsidRPr="00514C09">
        <w:t>capivasertib</w:t>
      </w:r>
      <w:proofErr w:type="spellEnd"/>
      <w:r w:rsidRPr="00514C09">
        <w:t xml:space="preserve"> is a weak CYP3A inhibitor. </w:t>
      </w:r>
    </w:p>
    <w:p w14:paraId="694B29B3" w14:textId="22E9F6FB" w:rsidR="00485B00" w:rsidRPr="00514C09" w:rsidRDefault="00485B00" w:rsidP="00485B00">
      <w:pPr>
        <w:pStyle w:val="Paragraph"/>
      </w:pPr>
      <w:proofErr w:type="spellStart"/>
      <w:r w:rsidRPr="00514C09">
        <w:t>Capivasertib</w:t>
      </w:r>
      <w:proofErr w:type="spellEnd"/>
      <w:r w:rsidRPr="00514C09">
        <w:t xml:space="preserve"> inhibited CYP2C9, CYP2D6, CYP3A4 and UGT1A1 metaboli</w:t>
      </w:r>
      <w:r>
        <w:t>s</w:t>
      </w:r>
      <w:r w:rsidRPr="00514C09">
        <w:t xml:space="preserve">ing enzymes and BCRP, OATP1B1, OATP1B3, OAT3, OCT2, MATE1 and MATE2K drug transporters in </w:t>
      </w:r>
      <w:r w:rsidRPr="00514C09">
        <w:rPr>
          <w:i/>
          <w:iCs/>
        </w:rPr>
        <w:t>in vitro</w:t>
      </w:r>
      <w:r w:rsidRPr="00514C09">
        <w:t xml:space="preserve"> studies. </w:t>
      </w:r>
      <w:bookmarkStart w:id="20" w:name="_Hlk152843073"/>
      <w:proofErr w:type="spellStart"/>
      <w:r w:rsidR="00820DAA" w:rsidRPr="00820DAA">
        <w:t>Capivasertib</w:t>
      </w:r>
      <w:proofErr w:type="spellEnd"/>
      <w:r w:rsidR="00820DAA" w:rsidRPr="00820DAA">
        <w:t xml:space="preserve"> induced CYP3A4 </w:t>
      </w:r>
      <w:r w:rsidR="00820DAA" w:rsidRPr="00820DAA">
        <w:rPr>
          <w:i/>
          <w:iCs/>
        </w:rPr>
        <w:t>in vitro</w:t>
      </w:r>
      <w:r w:rsidR="00820DAA" w:rsidRPr="00820DAA">
        <w:t xml:space="preserve"> in human hepatocytes</w:t>
      </w:r>
      <w:r w:rsidR="00820DAA">
        <w:t>.</w:t>
      </w:r>
      <w:bookmarkEnd w:id="20"/>
    </w:p>
    <w:p w14:paraId="4E67B586" w14:textId="6791E7A3" w:rsidR="00485B00" w:rsidRDefault="00485B00" w:rsidP="00485B00">
      <w:pPr>
        <w:pStyle w:val="Paragraph"/>
      </w:pPr>
      <w:r w:rsidRPr="00514C09">
        <w:t xml:space="preserve">Based on </w:t>
      </w:r>
      <w:r w:rsidRPr="00514C09">
        <w:rPr>
          <w:i/>
          <w:iCs/>
        </w:rPr>
        <w:t>in vitro</w:t>
      </w:r>
      <w:r w:rsidRPr="00514C09">
        <w:t xml:space="preserve"> data and physiologically based modelling, </w:t>
      </w:r>
      <w:proofErr w:type="spellStart"/>
      <w:r w:rsidRPr="00514C09">
        <w:t>capivasertib</w:t>
      </w:r>
      <w:proofErr w:type="spellEnd"/>
      <w:r w:rsidRPr="00514C09">
        <w:t xml:space="preserve"> was predicted to have no effect on the AUC of CYP2C9, CYP2D6 or UGT1A1 substrates, atorvastatin or rosuvastatin. </w:t>
      </w:r>
    </w:p>
    <w:p w14:paraId="522E3C88" w14:textId="6FD27D69" w:rsidR="000731C0" w:rsidRDefault="000731C0" w:rsidP="000731C0">
      <w:pPr>
        <w:pStyle w:val="Heading3Unnumbered"/>
      </w:pPr>
      <w:r w:rsidRPr="000731C0">
        <w:t xml:space="preserve">Effect of </w:t>
      </w:r>
      <w:r w:rsidR="003F16DD">
        <w:t>TRUQAP</w:t>
      </w:r>
      <w:r w:rsidR="003F16DD" w:rsidRPr="000731C0">
        <w:t xml:space="preserve"> </w:t>
      </w:r>
      <w:r w:rsidRPr="000731C0">
        <w:t>on Other Drugs</w:t>
      </w:r>
      <w:fldSimple w:instr=" DOCVARIABLE vault_nd_e69dcaab-f7ff-4afb-8c00-a90f49bbdacb \* MERGEFORMAT ">
        <w:r w:rsidR="00BD4838">
          <w:t xml:space="preserve"> </w:t>
        </w:r>
      </w:fldSimple>
    </w:p>
    <w:p w14:paraId="530F6996" w14:textId="0AF448C8" w:rsidR="000731C0" w:rsidRDefault="007B1CF0" w:rsidP="007B1CF0">
      <w:pPr>
        <w:pStyle w:val="Caption"/>
      </w:pPr>
      <w:r>
        <w:t xml:space="preserve">Table </w:t>
      </w:r>
      <w:r>
        <w:fldChar w:fldCharType="begin"/>
      </w:r>
      <w:r>
        <w:instrText xml:space="preserve"> SEQ Table \* ARABIC </w:instrText>
      </w:r>
      <w:r>
        <w:fldChar w:fldCharType="separate"/>
      </w:r>
      <w:r>
        <w:rPr>
          <w:noProof/>
        </w:rPr>
        <w:t>8</w:t>
      </w:r>
      <w:r>
        <w:fldChar w:fldCharType="end"/>
      </w:r>
      <w:r w:rsidR="000731C0" w:rsidRPr="000731C0">
        <w:t xml:space="preserve"> </w:t>
      </w:r>
      <w:r w:rsidR="000731C0">
        <w:tab/>
      </w:r>
      <w:r w:rsidR="000731C0" w:rsidRPr="000731C0">
        <w:t xml:space="preserve">Drug interactions with </w:t>
      </w:r>
      <w:r w:rsidR="003F16DD">
        <w:t>TRUQAP</w:t>
      </w:r>
      <w:r w:rsidR="003F16DD" w:rsidRPr="000731C0">
        <w:t xml:space="preserve"> </w:t>
      </w:r>
      <w:r w:rsidR="000731C0" w:rsidRPr="000731C0">
        <w:t>that may affect other drugs</w:t>
      </w:r>
      <w:fldSimple w:instr=" DOCVARIABLE vault_nd_2e73a525-7a4e-48d3-ac6a-fda4537c21f8 \* MERGEFORMAT ">
        <w:r w:rsidR="00BD4838">
          <w:t xml:space="preserve"> </w:t>
        </w:r>
      </w:fldSimple>
    </w:p>
    <w:tbl>
      <w:tblPr>
        <w:tblStyle w:val="TableGrid20"/>
        <w:tblW w:w="9090" w:type="dxa"/>
        <w:tblLayout w:type="fixed"/>
        <w:tblLook w:val="04A0" w:firstRow="1" w:lastRow="0" w:firstColumn="1" w:lastColumn="0" w:noHBand="0" w:noVBand="1"/>
      </w:tblPr>
      <w:tblGrid>
        <w:gridCol w:w="3255"/>
        <w:gridCol w:w="5835"/>
      </w:tblGrid>
      <w:tr w:rsidR="00707DAD" w:rsidRPr="00707DAD" w14:paraId="3E648491" w14:textId="77777777" w:rsidTr="00707DAD">
        <w:tc>
          <w:tcPr>
            <w:tcW w:w="909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58B1F72E" w14:textId="77777777" w:rsidR="00707DAD" w:rsidRPr="00707DAD" w:rsidRDefault="00707DAD" w:rsidP="00707DAD">
            <w:pPr>
              <w:spacing w:after="0" w:line="276" w:lineRule="auto"/>
              <w:rPr>
                <w:sz w:val="22"/>
              </w:rPr>
            </w:pPr>
            <w:r w:rsidRPr="00707DAD">
              <w:rPr>
                <w:b/>
                <w:bCs/>
                <w:sz w:val="22"/>
                <w:szCs w:val="22"/>
              </w:rPr>
              <w:t>S</w:t>
            </w:r>
            <w:r w:rsidRPr="00707DAD">
              <w:rPr>
                <w:b/>
                <w:bCs/>
                <w:color w:val="000000"/>
                <w:sz w:val="22"/>
                <w:szCs w:val="22"/>
              </w:rPr>
              <w:t>ubstrates of CYP3A</w:t>
            </w:r>
          </w:p>
        </w:tc>
      </w:tr>
      <w:tr w:rsidR="00707DAD" w:rsidRPr="00707DAD" w14:paraId="3D22D129" w14:textId="77777777" w:rsidTr="00700F22">
        <w:tc>
          <w:tcPr>
            <w:tcW w:w="3255" w:type="dxa"/>
            <w:tcBorders>
              <w:top w:val="single" w:sz="8" w:space="0" w:color="auto"/>
              <w:left w:val="single" w:sz="8" w:space="0" w:color="auto"/>
              <w:bottom w:val="single" w:sz="8" w:space="0" w:color="auto"/>
              <w:right w:val="single" w:sz="8" w:space="0" w:color="auto"/>
            </w:tcBorders>
          </w:tcPr>
          <w:p w14:paraId="313E74E3" w14:textId="77777777" w:rsidR="00707DAD" w:rsidRPr="00707DAD" w:rsidRDefault="00707DAD" w:rsidP="00707DAD">
            <w:pPr>
              <w:spacing w:after="0" w:line="276" w:lineRule="auto"/>
              <w:rPr>
                <w:sz w:val="22"/>
              </w:rPr>
            </w:pPr>
            <w:r w:rsidRPr="00707DAD">
              <w:rPr>
                <w:i/>
                <w:iCs/>
                <w:sz w:val="22"/>
                <w:szCs w:val="22"/>
              </w:rPr>
              <w:t>Clinical impact</w:t>
            </w:r>
          </w:p>
        </w:tc>
        <w:tc>
          <w:tcPr>
            <w:tcW w:w="5835" w:type="dxa"/>
            <w:tcBorders>
              <w:top w:val="nil"/>
              <w:left w:val="single" w:sz="8" w:space="0" w:color="auto"/>
              <w:bottom w:val="single" w:sz="8" w:space="0" w:color="auto"/>
              <w:right w:val="single" w:sz="8" w:space="0" w:color="auto"/>
            </w:tcBorders>
          </w:tcPr>
          <w:p w14:paraId="4416E382" w14:textId="59C4FDA7" w:rsidR="00707DAD" w:rsidRPr="00707DAD" w:rsidRDefault="00707DAD" w:rsidP="00707DAD">
            <w:pPr>
              <w:spacing w:after="0" w:line="276" w:lineRule="auto"/>
              <w:rPr>
                <w:sz w:val="22"/>
              </w:rPr>
            </w:pPr>
            <w:r w:rsidRPr="00707DAD">
              <w:rPr>
                <w:sz w:val="22"/>
              </w:rPr>
              <w:t xml:space="preserve">Concentration of drugs that are primarily eliminated via CYP3A metabolism may be increased by concomitant use with </w:t>
            </w:r>
            <w:r w:rsidR="003F16DD">
              <w:rPr>
                <w:sz w:val="22"/>
              </w:rPr>
              <w:t>TRUQAP</w:t>
            </w:r>
            <w:r w:rsidRPr="00707DAD">
              <w:rPr>
                <w:sz w:val="22"/>
              </w:rPr>
              <w:t>. This may result in increased toxicity of these drugs, depending on their therapeutic window.</w:t>
            </w:r>
          </w:p>
        </w:tc>
      </w:tr>
      <w:tr w:rsidR="00707DAD" w:rsidRPr="00707DAD" w14:paraId="1590CDCC" w14:textId="77777777" w:rsidTr="00700F22">
        <w:tc>
          <w:tcPr>
            <w:tcW w:w="3255" w:type="dxa"/>
            <w:tcBorders>
              <w:top w:val="single" w:sz="8" w:space="0" w:color="auto"/>
              <w:left w:val="single" w:sz="8" w:space="0" w:color="auto"/>
              <w:bottom w:val="single" w:sz="8" w:space="0" w:color="auto"/>
              <w:right w:val="single" w:sz="8" w:space="0" w:color="auto"/>
            </w:tcBorders>
          </w:tcPr>
          <w:p w14:paraId="7BBEF10D" w14:textId="77777777" w:rsidR="00707DAD" w:rsidRPr="00707DAD" w:rsidRDefault="00707DAD" w:rsidP="00707DAD">
            <w:pPr>
              <w:spacing w:after="0" w:line="276" w:lineRule="auto"/>
              <w:rPr>
                <w:sz w:val="22"/>
              </w:rPr>
            </w:pPr>
            <w:r w:rsidRPr="00707DAD">
              <w:rPr>
                <w:i/>
                <w:iCs/>
                <w:sz w:val="22"/>
                <w:szCs w:val="22"/>
              </w:rPr>
              <w:t>Prevention or management</w:t>
            </w:r>
          </w:p>
        </w:tc>
        <w:tc>
          <w:tcPr>
            <w:tcW w:w="5835" w:type="dxa"/>
            <w:tcBorders>
              <w:top w:val="single" w:sz="8" w:space="0" w:color="auto"/>
              <w:left w:val="single" w:sz="8" w:space="0" w:color="auto"/>
              <w:bottom w:val="single" w:sz="8" w:space="0" w:color="auto"/>
              <w:right w:val="single" w:sz="8" w:space="0" w:color="auto"/>
            </w:tcBorders>
          </w:tcPr>
          <w:p w14:paraId="673273C9" w14:textId="77777777" w:rsidR="00707DAD" w:rsidRPr="00707DAD" w:rsidRDefault="00707DAD" w:rsidP="00707DAD">
            <w:pPr>
              <w:spacing w:after="0" w:line="276" w:lineRule="auto"/>
              <w:rPr>
                <w:sz w:val="22"/>
              </w:rPr>
            </w:pPr>
            <w:r w:rsidRPr="00707DAD">
              <w:rPr>
                <w:sz w:val="22"/>
              </w:rPr>
              <w:t>Dose adjustment may be required for drugs that are primarily eliminated via CYP3A metabolism and have a narrow therapeutic window. Refer to specific guidance in the prescribing information for these drugs.</w:t>
            </w:r>
          </w:p>
        </w:tc>
      </w:tr>
      <w:tr w:rsidR="00707DAD" w:rsidRPr="00707DAD" w14:paraId="5311CFCF" w14:textId="77777777" w:rsidTr="00700F22">
        <w:tc>
          <w:tcPr>
            <w:tcW w:w="3255" w:type="dxa"/>
            <w:tcBorders>
              <w:top w:val="single" w:sz="8" w:space="0" w:color="auto"/>
              <w:left w:val="single" w:sz="8" w:space="0" w:color="auto"/>
              <w:bottom w:val="single" w:sz="8" w:space="0" w:color="auto"/>
              <w:right w:val="single" w:sz="8" w:space="0" w:color="auto"/>
            </w:tcBorders>
          </w:tcPr>
          <w:p w14:paraId="6F33D489" w14:textId="77777777" w:rsidR="00707DAD" w:rsidRPr="00707DAD" w:rsidRDefault="00707DAD" w:rsidP="00707DAD">
            <w:pPr>
              <w:spacing w:after="0" w:line="276" w:lineRule="auto"/>
              <w:rPr>
                <w:sz w:val="22"/>
              </w:rPr>
            </w:pPr>
            <w:proofErr w:type="spellStart"/>
            <w:r w:rsidRPr="00707DAD">
              <w:rPr>
                <w:i/>
                <w:iCs/>
                <w:sz w:val="22"/>
                <w:szCs w:val="22"/>
              </w:rPr>
              <w:t>Examples</w:t>
            </w:r>
            <w:r w:rsidRPr="00707DAD">
              <w:rPr>
                <w:i/>
                <w:iCs/>
                <w:sz w:val="22"/>
                <w:szCs w:val="22"/>
                <w:vertAlign w:val="superscript"/>
              </w:rPr>
              <w:t>a</w:t>
            </w:r>
            <w:proofErr w:type="spellEnd"/>
          </w:p>
        </w:tc>
        <w:tc>
          <w:tcPr>
            <w:tcW w:w="5835" w:type="dxa"/>
            <w:tcBorders>
              <w:top w:val="single" w:sz="8" w:space="0" w:color="auto"/>
              <w:left w:val="single" w:sz="8" w:space="0" w:color="auto"/>
              <w:bottom w:val="single" w:sz="8" w:space="0" w:color="auto"/>
              <w:right w:val="single" w:sz="8" w:space="0" w:color="auto"/>
            </w:tcBorders>
          </w:tcPr>
          <w:p w14:paraId="2FAB20B0" w14:textId="6592B8B6" w:rsidR="00707DAD" w:rsidRPr="00707DAD" w:rsidRDefault="00707DAD" w:rsidP="00707DAD">
            <w:pPr>
              <w:spacing w:after="0" w:line="276" w:lineRule="auto"/>
              <w:rPr>
                <w:sz w:val="22"/>
              </w:rPr>
            </w:pPr>
            <w:r w:rsidRPr="00707DAD">
              <w:rPr>
                <w:sz w:val="22"/>
              </w:rPr>
              <w:t>Carbamazepine, c</w:t>
            </w:r>
            <w:r w:rsidR="00707428">
              <w:rPr>
                <w:sz w:val="22"/>
              </w:rPr>
              <w:t>i</w:t>
            </w:r>
            <w:r w:rsidRPr="00707DAD">
              <w:rPr>
                <w:sz w:val="22"/>
              </w:rPr>
              <w:t>closporin, fentanyl, pimozide, simvastatin, tacrolimus.</w:t>
            </w:r>
          </w:p>
        </w:tc>
      </w:tr>
      <w:tr w:rsidR="00707DAD" w:rsidRPr="00707DAD" w14:paraId="508471A9" w14:textId="77777777" w:rsidTr="00707DAD">
        <w:tc>
          <w:tcPr>
            <w:tcW w:w="909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D5E2A2A" w14:textId="77777777" w:rsidR="00707DAD" w:rsidRPr="00707DAD" w:rsidRDefault="00707DAD" w:rsidP="00707DAD">
            <w:pPr>
              <w:spacing w:after="0" w:line="276" w:lineRule="auto"/>
              <w:rPr>
                <w:sz w:val="22"/>
              </w:rPr>
            </w:pPr>
            <w:r w:rsidRPr="00707DAD">
              <w:rPr>
                <w:b/>
                <w:bCs/>
                <w:color w:val="000000"/>
                <w:sz w:val="22"/>
                <w:szCs w:val="22"/>
              </w:rPr>
              <w:t xml:space="preserve">Interactions with hepatic transporters (OATP1B1, OATP1B3)  </w:t>
            </w:r>
          </w:p>
        </w:tc>
      </w:tr>
      <w:tr w:rsidR="00707DAD" w:rsidRPr="00707DAD" w14:paraId="4FF1F3AE" w14:textId="77777777" w:rsidTr="00700F22">
        <w:tc>
          <w:tcPr>
            <w:tcW w:w="3255" w:type="dxa"/>
            <w:tcBorders>
              <w:top w:val="single" w:sz="8" w:space="0" w:color="auto"/>
              <w:left w:val="single" w:sz="8" w:space="0" w:color="auto"/>
              <w:bottom w:val="single" w:sz="8" w:space="0" w:color="auto"/>
              <w:right w:val="single" w:sz="8" w:space="0" w:color="auto"/>
            </w:tcBorders>
          </w:tcPr>
          <w:p w14:paraId="04094986" w14:textId="77777777" w:rsidR="00707DAD" w:rsidRPr="00707DAD" w:rsidRDefault="00707DAD" w:rsidP="00707DAD">
            <w:pPr>
              <w:spacing w:after="0" w:line="276" w:lineRule="auto"/>
              <w:rPr>
                <w:sz w:val="22"/>
              </w:rPr>
            </w:pPr>
            <w:r w:rsidRPr="00707DAD">
              <w:rPr>
                <w:i/>
                <w:iCs/>
                <w:sz w:val="22"/>
                <w:szCs w:val="22"/>
              </w:rPr>
              <w:t>Clinical impact</w:t>
            </w:r>
          </w:p>
        </w:tc>
        <w:tc>
          <w:tcPr>
            <w:tcW w:w="5835" w:type="dxa"/>
            <w:tcBorders>
              <w:top w:val="nil"/>
              <w:left w:val="single" w:sz="8" w:space="0" w:color="auto"/>
              <w:bottom w:val="single" w:sz="8" w:space="0" w:color="auto"/>
              <w:right w:val="single" w:sz="8" w:space="0" w:color="auto"/>
            </w:tcBorders>
          </w:tcPr>
          <w:p w14:paraId="73564715" w14:textId="6D1041D7" w:rsidR="00707DAD" w:rsidRPr="004E12EF" w:rsidRDefault="00707DAD" w:rsidP="00707DAD">
            <w:pPr>
              <w:spacing w:after="0" w:line="276" w:lineRule="auto"/>
              <w:rPr>
                <w:sz w:val="22"/>
              </w:rPr>
            </w:pPr>
            <w:r w:rsidRPr="004E12EF">
              <w:rPr>
                <w:sz w:val="22"/>
              </w:rPr>
              <w:t xml:space="preserve">The concentration of drugs that are sensitive to inhibition of OATP1B1 and/or OATP1B3 if they are metabolised by CYP3A4, may increase by concomitant use with </w:t>
            </w:r>
            <w:r w:rsidR="003F16DD">
              <w:rPr>
                <w:sz w:val="22"/>
              </w:rPr>
              <w:t>TRUQAP</w:t>
            </w:r>
            <w:r w:rsidR="003F16DD" w:rsidRPr="004E12EF">
              <w:rPr>
                <w:sz w:val="22"/>
              </w:rPr>
              <w:t xml:space="preserve"> </w:t>
            </w:r>
            <w:r w:rsidRPr="004E12EF">
              <w:rPr>
                <w:sz w:val="22"/>
              </w:rPr>
              <w:t xml:space="preserve">(see </w:t>
            </w:r>
            <w:hyperlink w:anchor="_Pharmacokinetic_properties" w:history="1">
              <w:r w:rsidR="00624CB3" w:rsidRPr="004E12EF">
                <w:rPr>
                  <w:rStyle w:val="Hyperlink"/>
                  <w:color w:val="auto"/>
                  <w:sz w:val="22"/>
                </w:rPr>
                <w:t>S</w:t>
              </w:r>
              <w:r w:rsidRPr="004E12EF">
                <w:rPr>
                  <w:rStyle w:val="Hyperlink"/>
                  <w:color w:val="auto"/>
                  <w:sz w:val="22"/>
                </w:rPr>
                <w:t>ection 5.2</w:t>
              </w:r>
              <w:r w:rsidR="00624CB3" w:rsidRPr="004E12EF">
                <w:rPr>
                  <w:rStyle w:val="Hyperlink"/>
                  <w:color w:val="auto"/>
                </w:rPr>
                <w:t xml:space="preserve"> </w:t>
              </w:r>
              <w:r w:rsidR="00624CB3" w:rsidRPr="004E12EF">
                <w:rPr>
                  <w:rStyle w:val="Hyperlink"/>
                  <w:color w:val="auto"/>
                  <w:sz w:val="22"/>
                </w:rPr>
                <w:t>Pharmacokinetic properties</w:t>
              </w:r>
            </w:hyperlink>
            <w:r w:rsidRPr="004E12EF">
              <w:rPr>
                <w:sz w:val="22"/>
              </w:rPr>
              <w:t xml:space="preserve">). This may result in increased toxicity. </w:t>
            </w:r>
          </w:p>
        </w:tc>
      </w:tr>
      <w:tr w:rsidR="00707DAD" w:rsidRPr="00707DAD" w14:paraId="5136A95B" w14:textId="77777777" w:rsidTr="00700F22">
        <w:tc>
          <w:tcPr>
            <w:tcW w:w="3255" w:type="dxa"/>
            <w:tcBorders>
              <w:top w:val="single" w:sz="8" w:space="0" w:color="auto"/>
              <w:left w:val="single" w:sz="8" w:space="0" w:color="auto"/>
              <w:bottom w:val="single" w:sz="8" w:space="0" w:color="auto"/>
              <w:right w:val="single" w:sz="8" w:space="0" w:color="auto"/>
            </w:tcBorders>
          </w:tcPr>
          <w:p w14:paraId="101E2837" w14:textId="77777777" w:rsidR="00707DAD" w:rsidRPr="00707DAD" w:rsidRDefault="00707DAD" w:rsidP="00707DAD">
            <w:pPr>
              <w:spacing w:after="0" w:line="276" w:lineRule="auto"/>
              <w:rPr>
                <w:sz w:val="22"/>
              </w:rPr>
            </w:pPr>
            <w:r w:rsidRPr="00707DAD">
              <w:rPr>
                <w:i/>
                <w:iCs/>
                <w:sz w:val="22"/>
                <w:szCs w:val="22"/>
              </w:rPr>
              <w:t>Prevention or management</w:t>
            </w:r>
          </w:p>
        </w:tc>
        <w:tc>
          <w:tcPr>
            <w:tcW w:w="5835" w:type="dxa"/>
            <w:tcBorders>
              <w:top w:val="single" w:sz="8" w:space="0" w:color="auto"/>
              <w:left w:val="single" w:sz="8" w:space="0" w:color="auto"/>
              <w:bottom w:val="single" w:sz="8" w:space="0" w:color="auto"/>
              <w:right w:val="single" w:sz="8" w:space="0" w:color="auto"/>
            </w:tcBorders>
          </w:tcPr>
          <w:p w14:paraId="6FF97CD3" w14:textId="77777777" w:rsidR="00707DAD" w:rsidRPr="00707DAD" w:rsidRDefault="00707DAD" w:rsidP="00707DAD">
            <w:pPr>
              <w:spacing w:after="0" w:line="276" w:lineRule="auto"/>
              <w:rPr>
                <w:sz w:val="22"/>
              </w:rPr>
            </w:pPr>
            <w:r w:rsidRPr="00707DAD">
              <w:rPr>
                <w:sz w:val="22"/>
              </w:rPr>
              <w:t>Depending on their therapeutic window, dose adjustment may be required for drugs that are sensitive to inhibition of OATP1B1 and/or OATP1B3, if they are metabolised by CYP3A4. Refer to specific guidance in the prescribing information for these drugs.</w:t>
            </w:r>
          </w:p>
        </w:tc>
      </w:tr>
      <w:tr w:rsidR="00707DAD" w:rsidRPr="00707DAD" w14:paraId="648ACFB6" w14:textId="77777777" w:rsidTr="00700F22">
        <w:tc>
          <w:tcPr>
            <w:tcW w:w="3255" w:type="dxa"/>
            <w:tcBorders>
              <w:top w:val="single" w:sz="8" w:space="0" w:color="auto"/>
              <w:left w:val="single" w:sz="8" w:space="0" w:color="auto"/>
              <w:bottom w:val="single" w:sz="8" w:space="0" w:color="auto"/>
              <w:right w:val="single" w:sz="8" w:space="0" w:color="auto"/>
            </w:tcBorders>
          </w:tcPr>
          <w:p w14:paraId="390BE7E5" w14:textId="77777777" w:rsidR="00707DAD" w:rsidRPr="00707DAD" w:rsidRDefault="00707DAD" w:rsidP="00707DAD">
            <w:pPr>
              <w:spacing w:after="0" w:line="276" w:lineRule="auto"/>
              <w:rPr>
                <w:sz w:val="22"/>
              </w:rPr>
            </w:pPr>
            <w:proofErr w:type="spellStart"/>
            <w:r w:rsidRPr="00707DAD">
              <w:rPr>
                <w:i/>
                <w:iCs/>
                <w:sz w:val="22"/>
                <w:szCs w:val="22"/>
              </w:rPr>
              <w:t>Examples</w:t>
            </w:r>
            <w:r w:rsidRPr="00707DAD">
              <w:rPr>
                <w:i/>
                <w:iCs/>
                <w:sz w:val="22"/>
                <w:szCs w:val="22"/>
                <w:vertAlign w:val="superscript"/>
              </w:rPr>
              <w:t>a</w:t>
            </w:r>
            <w:proofErr w:type="spellEnd"/>
          </w:p>
        </w:tc>
        <w:tc>
          <w:tcPr>
            <w:tcW w:w="5835" w:type="dxa"/>
            <w:tcBorders>
              <w:top w:val="single" w:sz="8" w:space="0" w:color="auto"/>
              <w:left w:val="single" w:sz="8" w:space="0" w:color="auto"/>
              <w:bottom w:val="single" w:sz="8" w:space="0" w:color="auto"/>
              <w:right w:val="single" w:sz="8" w:space="0" w:color="auto"/>
            </w:tcBorders>
          </w:tcPr>
          <w:p w14:paraId="18CBFBE2" w14:textId="77777777" w:rsidR="00707DAD" w:rsidRPr="00707DAD" w:rsidRDefault="00707DAD" w:rsidP="00707DAD">
            <w:pPr>
              <w:keepNext/>
              <w:spacing w:before="40" w:after="0" w:line="276" w:lineRule="auto"/>
              <w:jc w:val="both"/>
              <w:rPr>
                <w:bCs/>
                <w:strike/>
                <w:kern w:val="32"/>
              </w:rPr>
            </w:pPr>
            <w:r w:rsidRPr="00707DAD">
              <w:rPr>
                <w:sz w:val="22"/>
              </w:rPr>
              <w:t>Simvastatin</w:t>
            </w:r>
          </w:p>
        </w:tc>
      </w:tr>
      <w:tr w:rsidR="00707DAD" w:rsidRPr="00707DAD" w14:paraId="4CEE92FE" w14:textId="77777777" w:rsidTr="00707DAD">
        <w:tc>
          <w:tcPr>
            <w:tcW w:w="909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3C4F6550" w14:textId="77777777" w:rsidR="00707DAD" w:rsidRPr="00707DAD" w:rsidRDefault="00707DAD" w:rsidP="00707DAD">
            <w:pPr>
              <w:spacing w:after="0" w:line="276" w:lineRule="auto"/>
              <w:rPr>
                <w:sz w:val="22"/>
              </w:rPr>
            </w:pPr>
            <w:r w:rsidRPr="00707DAD">
              <w:rPr>
                <w:b/>
                <w:bCs/>
                <w:color w:val="000000"/>
                <w:sz w:val="22"/>
                <w:szCs w:val="22"/>
              </w:rPr>
              <w:t xml:space="preserve">Interactions with renal transporters (MATE1, MATE2K, OCT2)  </w:t>
            </w:r>
          </w:p>
        </w:tc>
      </w:tr>
      <w:tr w:rsidR="00707DAD" w:rsidRPr="00707DAD" w14:paraId="551E95C5" w14:textId="77777777" w:rsidTr="00700F22">
        <w:tc>
          <w:tcPr>
            <w:tcW w:w="3255" w:type="dxa"/>
            <w:tcBorders>
              <w:top w:val="single" w:sz="8" w:space="0" w:color="auto"/>
              <w:left w:val="single" w:sz="8" w:space="0" w:color="auto"/>
              <w:bottom w:val="single" w:sz="8" w:space="0" w:color="auto"/>
              <w:right w:val="single" w:sz="8" w:space="0" w:color="auto"/>
            </w:tcBorders>
          </w:tcPr>
          <w:p w14:paraId="7789E772" w14:textId="77777777" w:rsidR="00707DAD" w:rsidRPr="00707DAD" w:rsidRDefault="00707DAD" w:rsidP="00707DAD">
            <w:pPr>
              <w:spacing w:after="0" w:line="276" w:lineRule="auto"/>
              <w:rPr>
                <w:sz w:val="22"/>
              </w:rPr>
            </w:pPr>
            <w:r w:rsidRPr="00707DAD">
              <w:rPr>
                <w:i/>
                <w:iCs/>
                <w:sz w:val="22"/>
                <w:szCs w:val="22"/>
              </w:rPr>
              <w:t>Clinical impact</w:t>
            </w:r>
          </w:p>
        </w:tc>
        <w:tc>
          <w:tcPr>
            <w:tcW w:w="5835" w:type="dxa"/>
            <w:tcBorders>
              <w:top w:val="nil"/>
              <w:left w:val="single" w:sz="8" w:space="0" w:color="auto"/>
              <w:bottom w:val="single" w:sz="8" w:space="0" w:color="auto"/>
              <w:right w:val="single" w:sz="8" w:space="0" w:color="auto"/>
            </w:tcBorders>
          </w:tcPr>
          <w:p w14:paraId="00810411" w14:textId="71B73EFA" w:rsidR="00707DAD" w:rsidRPr="00707DAD" w:rsidRDefault="00707DAD" w:rsidP="00707DAD">
            <w:pPr>
              <w:spacing w:after="0" w:line="276" w:lineRule="auto"/>
              <w:rPr>
                <w:sz w:val="22"/>
              </w:rPr>
            </w:pPr>
            <w:r w:rsidRPr="00707DAD">
              <w:rPr>
                <w:sz w:val="22"/>
              </w:rPr>
              <w:t xml:space="preserve">The concentration of drugs that are sensitive to inhibition of MATE1, MATE2K and/or OCT2 may increase by concomitant use with </w:t>
            </w:r>
            <w:r w:rsidR="003F16DD">
              <w:rPr>
                <w:sz w:val="22"/>
              </w:rPr>
              <w:t>TRUQAP</w:t>
            </w:r>
            <w:r w:rsidR="003F16DD" w:rsidRPr="00707DAD">
              <w:rPr>
                <w:sz w:val="22"/>
              </w:rPr>
              <w:t xml:space="preserve"> </w:t>
            </w:r>
            <w:r w:rsidRPr="00707DAD">
              <w:rPr>
                <w:sz w:val="22"/>
              </w:rPr>
              <w:t xml:space="preserve">(see </w:t>
            </w:r>
            <w:r w:rsidR="00624CB3">
              <w:rPr>
                <w:sz w:val="22"/>
              </w:rPr>
              <w:t>S</w:t>
            </w:r>
            <w:r w:rsidRPr="00707DAD">
              <w:rPr>
                <w:sz w:val="22"/>
              </w:rPr>
              <w:t>ection 5.2</w:t>
            </w:r>
            <w:r w:rsidR="00624CB3">
              <w:rPr>
                <w:sz w:val="22"/>
              </w:rPr>
              <w:t xml:space="preserve"> </w:t>
            </w:r>
            <w:r w:rsidR="00624CB3" w:rsidRPr="00624CB3">
              <w:rPr>
                <w:sz w:val="22"/>
              </w:rPr>
              <w:t>Pharmacokinetic properties</w:t>
            </w:r>
            <w:r w:rsidRPr="00707DAD">
              <w:rPr>
                <w:sz w:val="22"/>
              </w:rPr>
              <w:t>). This may result in increased toxicity.</w:t>
            </w:r>
          </w:p>
          <w:p w14:paraId="7085B932" w14:textId="42B4E789" w:rsidR="00707DAD" w:rsidRPr="00707DAD" w:rsidRDefault="00707DAD" w:rsidP="00707DAD">
            <w:pPr>
              <w:spacing w:after="0" w:line="276" w:lineRule="auto"/>
              <w:rPr>
                <w:sz w:val="22"/>
              </w:rPr>
            </w:pPr>
            <w:r w:rsidRPr="00707DAD">
              <w:rPr>
                <w:sz w:val="22"/>
              </w:rPr>
              <w:t xml:space="preserve">Transient serum creatinine increases may be observed during treatment with </w:t>
            </w:r>
            <w:r w:rsidR="003F16DD">
              <w:rPr>
                <w:sz w:val="22"/>
              </w:rPr>
              <w:t>TRUQAP</w:t>
            </w:r>
            <w:r w:rsidR="003F16DD" w:rsidRPr="00707DAD">
              <w:rPr>
                <w:sz w:val="22"/>
              </w:rPr>
              <w:t xml:space="preserve"> </w:t>
            </w:r>
            <w:r w:rsidRPr="00707DAD">
              <w:rPr>
                <w:sz w:val="22"/>
              </w:rPr>
              <w:t xml:space="preserve">due to inhibition of OCT2, MATE1 and MATE2K by </w:t>
            </w:r>
            <w:proofErr w:type="spellStart"/>
            <w:r w:rsidRPr="00707DAD">
              <w:rPr>
                <w:sz w:val="22"/>
              </w:rPr>
              <w:t>capivasertib</w:t>
            </w:r>
            <w:proofErr w:type="spellEnd"/>
            <w:r w:rsidRPr="00707DAD">
              <w:rPr>
                <w:sz w:val="22"/>
              </w:rPr>
              <w:t>.</w:t>
            </w:r>
          </w:p>
        </w:tc>
      </w:tr>
      <w:tr w:rsidR="00707DAD" w:rsidRPr="00707DAD" w14:paraId="79FE1F81" w14:textId="77777777" w:rsidTr="00700F22">
        <w:tc>
          <w:tcPr>
            <w:tcW w:w="3255" w:type="dxa"/>
            <w:tcBorders>
              <w:top w:val="single" w:sz="8" w:space="0" w:color="auto"/>
              <w:left w:val="single" w:sz="8" w:space="0" w:color="auto"/>
              <w:bottom w:val="single" w:sz="8" w:space="0" w:color="auto"/>
              <w:right w:val="single" w:sz="8" w:space="0" w:color="auto"/>
            </w:tcBorders>
          </w:tcPr>
          <w:p w14:paraId="11648D72" w14:textId="77777777" w:rsidR="00707DAD" w:rsidRPr="00707DAD" w:rsidRDefault="00707DAD" w:rsidP="00707DAD">
            <w:pPr>
              <w:spacing w:after="0" w:line="276" w:lineRule="auto"/>
              <w:rPr>
                <w:sz w:val="22"/>
              </w:rPr>
            </w:pPr>
            <w:r w:rsidRPr="00707DAD">
              <w:rPr>
                <w:i/>
                <w:iCs/>
                <w:sz w:val="22"/>
                <w:szCs w:val="22"/>
              </w:rPr>
              <w:lastRenderedPageBreak/>
              <w:t>Prevention or management</w:t>
            </w:r>
          </w:p>
        </w:tc>
        <w:tc>
          <w:tcPr>
            <w:tcW w:w="5835" w:type="dxa"/>
            <w:tcBorders>
              <w:top w:val="single" w:sz="8" w:space="0" w:color="auto"/>
              <w:left w:val="single" w:sz="8" w:space="0" w:color="auto"/>
              <w:bottom w:val="single" w:sz="8" w:space="0" w:color="auto"/>
              <w:right w:val="single" w:sz="8" w:space="0" w:color="auto"/>
            </w:tcBorders>
          </w:tcPr>
          <w:p w14:paraId="599310F3" w14:textId="77777777" w:rsidR="00707DAD" w:rsidRPr="00707DAD" w:rsidRDefault="00707DAD" w:rsidP="00707DAD">
            <w:pPr>
              <w:spacing w:after="0" w:line="276" w:lineRule="auto"/>
              <w:rPr>
                <w:sz w:val="22"/>
              </w:rPr>
            </w:pPr>
            <w:r w:rsidRPr="00707DAD">
              <w:rPr>
                <w:sz w:val="22"/>
              </w:rPr>
              <w:t xml:space="preserve">Depending on their therapeutic window, dose adjustment may be needed for drugs that are sensitive to inhibition of </w:t>
            </w:r>
            <w:r w:rsidRPr="00707DAD">
              <w:rPr>
                <w:color w:val="000000"/>
                <w:sz w:val="22"/>
                <w:szCs w:val="22"/>
              </w:rPr>
              <w:t>MATE1, MATE2K, OCT2</w:t>
            </w:r>
            <w:r w:rsidRPr="00707DAD">
              <w:rPr>
                <w:sz w:val="22"/>
              </w:rPr>
              <w:t>. Refer to specific guidance in the prescribing information for these drugs.</w:t>
            </w:r>
          </w:p>
        </w:tc>
      </w:tr>
      <w:tr w:rsidR="00707DAD" w:rsidRPr="00707DAD" w14:paraId="29EA6EC0" w14:textId="77777777" w:rsidTr="00700F22">
        <w:trPr>
          <w:trHeight w:val="300"/>
        </w:trPr>
        <w:tc>
          <w:tcPr>
            <w:tcW w:w="3255" w:type="dxa"/>
            <w:tcBorders>
              <w:top w:val="single" w:sz="8" w:space="0" w:color="auto"/>
              <w:left w:val="single" w:sz="8" w:space="0" w:color="auto"/>
              <w:bottom w:val="single" w:sz="8" w:space="0" w:color="auto"/>
              <w:right w:val="single" w:sz="8" w:space="0" w:color="auto"/>
            </w:tcBorders>
          </w:tcPr>
          <w:p w14:paraId="250B80EA" w14:textId="77777777" w:rsidR="00707DAD" w:rsidRPr="00707DAD" w:rsidRDefault="00707DAD" w:rsidP="00707DAD">
            <w:pPr>
              <w:spacing w:after="0" w:line="276" w:lineRule="auto"/>
              <w:rPr>
                <w:sz w:val="22"/>
              </w:rPr>
            </w:pPr>
            <w:proofErr w:type="spellStart"/>
            <w:r w:rsidRPr="00707DAD">
              <w:rPr>
                <w:i/>
                <w:iCs/>
                <w:sz w:val="22"/>
              </w:rPr>
              <w:t>Examples</w:t>
            </w:r>
            <w:r w:rsidRPr="00707DAD">
              <w:rPr>
                <w:i/>
                <w:iCs/>
                <w:sz w:val="22"/>
                <w:vertAlign w:val="superscript"/>
              </w:rPr>
              <w:t>a</w:t>
            </w:r>
            <w:proofErr w:type="spellEnd"/>
          </w:p>
        </w:tc>
        <w:tc>
          <w:tcPr>
            <w:tcW w:w="5835" w:type="dxa"/>
            <w:tcBorders>
              <w:top w:val="single" w:sz="8" w:space="0" w:color="auto"/>
              <w:left w:val="single" w:sz="8" w:space="0" w:color="auto"/>
              <w:bottom w:val="single" w:sz="8" w:space="0" w:color="auto"/>
              <w:right w:val="single" w:sz="8" w:space="0" w:color="auto"/>
            </w:tcBorders>
          </w:tcPr>
          <w:p w14:paraId="455D5DF6" w14:textId="77777777" w:rsidR="00707DAD" w:rsidRPr="00707DAD" w:rsidRDefault="00707DAD" w:rsidP="00707DAD">
            <w:pPr>
              <w:spacing w:after="0" w:line="276" w:lineRule="auto"/>
              <w:rPr>
                <w:sz w:val="22"/>
              </w:rPr>
            </w:pPr>
            <w:proofErr w:type="spellStart"/>
            <w:r w:rsidRPr="00707DAD">
              <w:rPr>
                <w:sz w:val="22"/>
              </w:rPr>
              <w:t>Dofetilide</w:t>
            </w:r>
            <w:proofErr w:type="spellEnd"/>
            <w:r w:rsidRPr="00707DAD">
              <w:rPr>
                <w:sz w:val="22"/>
              </w:rPr>
              <w:t>, procainamide.</w:t>
            </w:r>
          </w:p>
        </w:tc>
      </w:tr>
    </w:tbl>
    <w:p w14:paraId="2B19A988" w14:textId="0AE4307D" w:rsidR="000731C0" w:rsidRDefault="00707DAD" w:rsidP="00707DAD">
      <w:pPr>
        <w:pStyle w:val="TableFootnoteInfo"/>
      </w:pPr>
      <w:proofErr w:type="spellStart"/>
      <w:r w:rsidRPr="00B36136">
        <w:rPr>
          <w:sz w:val="20"/>
          <w:szCs w:val="20"/>
          <w:vertAlign w:val="superscript"/>
        </w:rPr>
        <w:t>a</w:t>
      </w:r>
      <w:proofErr w:type="spellEnd"/>
      <w:r w:rsidRPr="00B36136">
        <w:rPr>
          <w:sz w:val="20"/>
          <w:szCs w:val="20"/>
          <w:vertAlign w:val="superscript"/>
        </w:rPr>
        <w:t xml:space="preserve"> </w:t>
      </w:r>
      <w:r w:rsidRPr="00B36136">
        <w:rPr>
          <w:sz w:val="20"/>
          <w:szCs w:val="20"/>
        </w:rPr>
        <w:t>These examples are a guide and not considered a comprehensive list of all possible drugs that may fit this category. The healthcare provider should consult appropriate references for comprehensive information</w:t>
      </w:r>
      <w:r w:rsidRPr="00707DAD">
        <w:t>.</w:t>
      </w:r>
    </w:p>
    <w:p w14:paraId="6F24F057" w14:textId="77777777" w:rsidR="00707DAD" w:rsidRPr="000731C0" w:rsidRDefault="00707DAD" w:rsidP="00707DAD">
      <w:pPr>
        <w:pStyle w:val="TableFootnoteInfo"/>
      </w:pPr>
    </w:p>
    <w:p w14:paraId="4195C04B" w14:textId="11CB279B" w:rsidR="001A3992" w:rsidRPr="003A4225" w:rsidRDefault="001A3992" w:rsidP="00994852">
      <w:pPr>
        <w:pStyle w:val="Heading2"/>
      </w:pPr>
      <w:r w:rsidRPr="003A4225">
        <w:t>Fer</w:t>
      </w:r>
      <w:r w:rsidR="00EC60F8" w:rsidRPr="003A4225">
        <w:t>tility, pregnancy and lactation</w:t>
      </w:r>
    </w:p>
    <w:p w14:paraId="53C7B614" w14:textId="44EF3138" w:rsidR="001A3992" w:rsidRDefault="001A3992" w:rsidP="0026491B">
      <w:pPr>
        <w:pStyle w:val="Heading3Unnumbered"/>
      </w:pPr>
      <w:r w:rsidRPr="00377337">
        <w:t>Effects on fertility</w:t>
      </w:r>
      <w:fldSimple w:instr=" DOCVARIABLE vault_nd_a9cc3c47-fa63-4fc7-8163-c6a03057600b \* MERGEFORMAT ">
        <w:r w:rsidR="00BD4838">
          <w:t xml:space="preserve"> </w:t>
        </w:r>
      </w:fldSimple>
    </w:p>
    <w:p w14:paraId="2FA0F0F6" w14:textId="07DC16CB" w:rsidR="00446EDD" w:rsidRPr="00446EDD" w:rsidRDefault="00930A94" w:rsidP="00446EDD">
      <w:pPr>
        <w:pStyle w:val="Paragraph"/>
      </w:pPr>
      <w:r w:rsidRPr="00930A94">
        <w:t xml:space="preserve">There are no clinical data on fertility. In </w:t>
      </w:r>
      <w:bookmarkStart w:id="21" w:name="_Hlk152843118"/>
      <w:r w:rsidR="0082484B" w:rsidRPr="0082484B">
        <w:t>repeat-dose toxicity</w:t>
      </w:r>
      <w:bookmarkEnd w:id="21"/>
      <w:r w:rsidRPr="00930A94">
        <w:t xml:space="preserve"> studies, </w:t>
      </w:r>
      <w:proofErr w:type="spellStart"/>
      <w:r w:rsidRPr="00930A94">
        <w:t>capivasertib</w:t>
      </w:r>
      <w:proofErr w:type="spellEnd"/>
      <w:r w:rsidRPr="00930A94">
        <w:t xml:space="preserve"> resulted in tubular degeneration in </w:t>
      </w:r>
      <w:bookmarkStart w:id="22" w:name="_Hlk152843139"/>
      <w:r w:rsidR="0082484B">
        <w:t>t</w:t>
      </w:r>
      <w:r w:rsidR="0082484B" w:rsidRPr="0082484B">
        <w:t>he testes and cellular debris and decreased spermatocytes in the epididymides</w:t>
      </w:r>
      <w:bookmarkEnd w:id="22"/>
      <w:r w:rsidRPr="00930A94">
        <w:t xml:space="preserve"> in mice, rats and dogs </w:t>
      </w:r>
      <w:bookmarkStart w:id="23" w:name="_Hlk152843250"/>
      <w:r w:rsidR="0082484B" w:rsidRPr="0082484B">
        <w:t xml:space="preserve">at oral doses of 150, 100 and 15 mg/kg/day, respectively (exposure </w:t>
      </w:r>
      <w:proofErr w:type="gramStart"/>
      <w:r w:rsidR="0082484B" w:rsidRPr="0082484B">
        <w:t>similar to</w:t>
      </w:r>
      <w:proofErr w:type="gramEnd"/>
      <w:r w:rsidR="0082484B" w:rsidRPr="0082484B">
        <w:t xml:space="preserve"> the clinical exposure in humans based on AUC).</w:t>
      </w:r>
      <w:r w:rsidR="0082484B">
        <w:t xml:space="preserve"> </w:t>
      </w:r>
      <w:bookmarkEnd w:id="23"/>
      <w:proofErr w:type="spellStart"/>
      <w:r w:rsidR="0082484B">
        <w:t>Capivasertib</w:t>
      </w:r>
      <w:proofErr w:type="spellEnd"/>
      <w:r w:rsidR="0082484B">
        <w:t xml:space="preserve"> </w:t>
      </w:r>
      <w:r w:rsidRPr="00930A94">
        <w:t>had no effects on fertility in male rats</w:t>
      </w:r>
      <w:r w:rsidR="0082484B" w:rsidRPr="0082484B">
        <w:t xml:space="preserve"> </w:t>
      </w:r>
      <w:bookmarkStart w:id="24" w:name="_Hlk152843299"/>
      <w:r w:rsidR="0082484B" w:rsidRPr="0082484B">
        <w:t>at doses up to 100 mg/</w:t>
      </w:r>
      <w:r w:rsidR="000820DD">
        <w:t>kg</w:t>
      </w:r>
      <w:r w:rsidR="0082484B" w:rsidRPr="0082484B">
        <w:t>/day for 10 weeks</w:t>
      </w:r>
      <w:bookmarkEnd w:id="24"/>
      <w:r w:rsidRPr="00930A94">
        <w:t xml:space="preserve">.  The effect on female fertility in </w:t>
      </w:r>
      <w:r w:rsidR="0082484B">
        <w:t>animals</w:t>
      </w:r>
      <w:r w:rsidR="0082484B" w:rsidRPr="00930A94">
        <w:t xml:space="preserve"> </w:t>
      </w:r>
      <w:r w:rsidRPr="00930A94">
        <w:t>has not been studied</w:t>
      </w:r>
      <w:r w:rsidR="00983EFD">
        <w:t>.</w:t>
      </w:r>
    </w:p>
    <w:p w14:paraId="4C48E316" w14:textId="5DEE424E" w:rsidR="001A3992" w:rsidRDefault="00446EDD" w:rsidP="0026491B">
      <w:pPr>
        <w:pStyle w:val="Heading3Unnumbered"/>
      </w:pPr>
      <w:r>
        <w:t xml:space="preserve">Use in pregnancy </w:t>
      </w:r>
      <w:r w:rsidR="00E45826">
        <w:t xml:space="preserve">– Category </w:t>
      </w:r>
      <w:r w:rsidR="001B0335">
        <w:t>D</w:t>
      </w:r>
      <w:fldSimple w:instr=" DOCVARIABLE vault_nd_e79edd2f-f489-41fd-9de4-4a651af9349c \* MERGEFORMAT ">
        <w:r w:rsidR="00BD4838">
          <w:t xml:space="preserve"> </w:t>
        </w:r>
      </w:fldSimple>
    </w:p>
    <w:p w14:paraId="48A4B0F3" w14:textId="62E30993" w:rsidR="00B837B1" w:rsidRPr="00446EDD" w:rsidRDefault="00FA3451" w:rsidP="00446EDD">
      <w:pPr>
        <w:pStyle w:val="Paragraph"/>
      </w:pPr>
      <w:r w:rsidRPr="00FA3451">
        <w:t xml:space="preserve">There are no data from the use of </w:t>
      </w:r>
      <w:r w:rsidR="003F16DD">
        <w:t>TRUQAP</w:t>
      </w:r>
      <w:r w:rsidR="003F16DD" w:rsidRPr="00FA3451">
        <w:t xml:space="preserve"> </w:t>
      </w:r>
      <w:r w:rsidRPr="00FA3451">
        <w:t xml:space="preserve">in pregnant women. Studies in animals have shown reproductive toxicity. </w:t>
      </w:r>
      <w:r w:rsidR="00B837B1" w:rsidRPr="00B837B1">
        <w:t xml:space="preserve">In a rat embryo </w:t>
      </w:r>
      <w:proofErr w:type="spellStart"/>
      <w:r w:rsidR="00B837B1" w:rsidRPr="00B837B1">
        <w:t>fetal</w:t>
      </w:r>
      <w:proofErr w:type="spellEnd"/>
      <w:r w:rsidR="00B837B1" w:rsidRPr="00B837B1">
        <w:t xml:space="preserve"> study, </w:t>
      </w:r>
      <w:proofErr w:type="spellStart"/>
      <w:r w:rsidR="00B837B1" w:rsidRPr="00B837B1">
        <w:t>capivasertib</w:t>
      </w:r>
      <w:proofErr w:type="spellEnd"/>
      <w:r w:rsidR="00B837B1" w:rsidRPr="00B837B1">
        <w:t xml:space="preserve"> caused an increase in post implantation loss, an increase in early embryonic deaths, together with reduced gravid uterine and </w:t>
      </w:r>
      <w:proofErr w:type="spellStart"/>
      <w:r w:rsidR="00B837B1" w:rsidRPr="00B837B1">
        <w:t>fetal</w:t>
      </w:r>
      <w:proofErr w:type="spellEnd"/>
      <w:r w:rsidR="00B837B1" w:rsidRPr="00B837B1">
        <w:t xml:space="preserve"> weights, and minor </w:t>
      </w:r>
      <w:proofErr w:type="spellStart"/>
      <w:r w:rsidR="00B837B1" w:rsidRPr="00B837B1">
        <w:t>fetal</w:t>
      </w:r>
      <w:proofErr w:type="spellEnd"/>
      <w:r w:rsidR="00B837B1" w:rsidRPr="00B837B1">
        <w:t xml:space="preserve"> visceral variations</w:t>
      </w:r>
      <w:r w:rsidR="0082484B" w:rsidRPr="0082484B">
        <w:t xml:space="preserve"> </w:t>
      </w:r>
      <w:bookmarkStart w:id="25" w:name="_Hlk152843329"/>
      <w:r w:rsidR="0082484B" w:rsidRPr="0082484B">
        <w:t>(left sided umbilical artery)</w:t>
      </w:r>
      <w:bookmarkEnd w:id="25"/>
      <w:r w:rsidR="00B837B1" w:rsidRPr="00B837B1">
        <w:t xml:space="preserve">. These effects were seen at a dose level of 150 mg/kg/day which caused maternal toxicity, and where plasma concentrations were approximately 0.8 times the exposure in humans at the recommended dose of 400 mg twice daily (based on total AUC). When </w:t>
      </w:r>
      <w:proofErr w:type="spellStart"/>
      <w:r w:rsidR="00B837B1" w:rsidRPr="00B837B1">
        <w:t>capivasertib</w:t>
      </w:r>
      <w:proofErr w:type="spellEnd"/>
      <w:r w:rsidR="00B837B1" w:rsidRPr="00B837B1">
        <w:t xml:space="preserve"> was administered to pregnant rats at 150 mg/kg/day throughout gestation and through early lactation, there was a reduction in litter and pup weights</w:t>
      </w:r>
      <w:r w:rsidR="007F61AC">
        <w:t>.</w:t>
      </w:r>
      <w:r w:rsidR="007F61AC" w:rsidRPr="007F61AC">
        <w:t xml:space="preserve"> </w:t>
      </w:r>
      <w:bookmarkStart w:id="26" w:name="_Hlk152843358"/>
      <w:r w:rsidR="0082484B" w:rsidRPr="0082484B">
        <w:t xml:space="preserve">PI3K/AKT/mTOR signalling plays important roles in </w:t>
      </w:r>
      <w:proofErr w:type="spellStart"/>
      <w:r w:rsidR="0082484B" w:rsidRPr="0082484B">
        <w:t>embryofetal</w:t>
      </w:r>
      <w:proofErr w:type="spellEnd"/>
      <w:r w:rsidR="0082484B" w:rsidRPr="0082484B">
        <w:t xml:space="preserve"> development. A range of growth defects were seen in Akt knockout mice.</w:t>
      </w:r>
      <w:bookmarkEnd w:id="26"/>
      <w:r w:rsidR="0082484B">
        <w:t xml:space="preserve"> </w:t>
      </w:r>
      <w:r w:rsidR="007F61AC" w:rsidRPr="00FA3451">
        <w:t xml:space="preserve">Therefore, </w:t>
      </w:r>
      <w:r w:rsidR="003F16DD">
        <w:t>TRUQAP</w:t>
      </w:r>
      <w:r w:rsidR="003F16DD" w:rsidRPr="00FA3451">
        <w:t xml:space="preserve"> </w:t>
      </w:r>
      <w:r w:rsidR="007F61AC" w:rsidRPr="00FA3451">
        <w:t>is not recommended during pregnancy and in women of childbearing potential not using contraception.</w:t>
      </w:r>
    </w:p>
    <w:p w14:paraId="4A0B1240" w14:textId="5F4C3C71" w:rsidR="002407E0" w:rsidRDefault="002407E0" w:rsidP="002407E0">
      <w:pPr>
        <w:pStyle w:val="Heading3Unnumbered"/>
      </w:pPr>
      <w:r w:rsidRPr="00F05221">
        <w:t>Contraception in males and females</w:t>
      </w:r>
      <w:fldSimple w:instr=" DOCVARIABLE vault_nd_fdbafa4a-741c-4382-b455-7fe9f22c1083 \* MERGEFORMAT ">
        <w:r w:rsidR="00BD4838">
          <w:t xml:space="preserve"> </w:t>
        </w:r>
      </w:fldSimple>
    </w:p>
    <w:p w14:paraId="25C7FB77" w14:textId="5EC3DE16" w:rsidR="002407E0" w:rsidRPr="00FA3451" w:rsidRDefault="002407E0" w:rsidP="002407E0">
      <w:pPr>
        <w:pStyle w:val="Paragraph"/>
      </w:pPr>
      <w:r w:rsidRPr="00FA3451">
        <w:t xml:space="preserve">Women of childbearing potential should be advised to avoid becoming pregnant while receiving </w:t>
      </w:r>
      <w:r>
        <w:t>TRUQAP</w:t>
      </w:r>
      <w:r w:rsidRPr="00FA3451">
        <w:t xml:space="preserve">. A pregnancy test should be performed </w:t>
      </w:r>
      <w:r w:rsidR="00460086">
        <w:t>for</w:t>
      </w:r>
      <w:r w:rsidR="00460086" w:rsidRPr="00FA3451">
        <w:t xml:space="preserve"> </w:t>
      </w:r>
      <w:r w:rsidRPr="00FA3451">
        <w:t>women of childbearing potential prior to initiating treatment, and verified as negative prior to initiating treatment, and re-testing considered throughout treatment.</w:t>
      </w:r>
    </w:p>
    <w:p w14:paraId="0406D262" w14:textId="77777777" w:rsidR="002407E0" w:rsidRDefault="002407E0" w:rsidP="002407E0">
      <w:pPr>
        <w:pStyle w:val="Paragraph"/>
      </w:pPr>
      <w:r w:rsidRPr="00FA3451">
        <w:t xml:space="preserve">Patients should be advised to use effective contraception during treatment with </w:t>
      </w:r>
      <w:r>
        <w:t>TRUQAP</w:t>
      </w:r>
      <w:r w:rsidRPr="00FA3451">
        <w:t xml:space="preserve"> and for the following periods after completion of treatment with </w:t>
      </w:r>
      <w:r>
        <w:t>TRUQAP</w:t>
      </w:r>
      <w:r w:rsidRPr="00FA3451">
        <w:t>: at least 4 weeks for females and 16 weeks for males.</w:t>
      </w:r>
    </w:p>
    <w:p w14:paraId="42CB8A24" w14:textId="77777777" w:rsidR="002407E0" w:rsidRDefault="002407E0" w:rsidP="002407E0">
      <w:pPr>
        <w:pStyle w:val="Paragraph"/>
      </w:pPr>
      <w:r w:rsidRPr="00913D17">
        <w:t xml:space="preserve">Please refer to </w:t>
      </w:r>
      <w:r>
        <w:t>S</w:t>
      </w:r>
      <w:r w:rsidRPr="00913D17">
        <w:t xml:space="preserve">ection 4.6 </w:t>
      </w:r>
      <w:r>
        <w:t xml:space="preserve">Fertility, Pregnancy and Lactation </w:t>
      </w:r>
      <w:r w:rsidRPr="00913D17">
        <w:t xml:space="preserve">of the </w:t>
      </w:r>
      <w:r>
        <w:t>approved Product Inform</w:t>
      </w:r>
      <w:r w:rsidRPr="00913D17">
        <w:t xml:space="preserve">ation for </w:t>
      </w:r>
      <w:proofErr w:type="spellStart"/>
      <w:r>
        <w:t>fulvestrant</w:t>
      </w:r>
      <w:proofErr w:type="spellEnd"/>
      <w:r>
        <w:t>.</w:t>
      </w:r>
    </w:p>
    <w:p w14:paraId="662E7680" w14:textId="171F3926" w:rsidR="001A3992" w:rsidRDefault="00446EDD" w:rsidP="002407E0">
      <w:pPr>
        <w:pStyle w:val="Heading3Unnumbered"/>
      </w:pPr>
      <w:r>
        <w:t>Use in lactation</w:t>
      </w:r>
      <w:fldSimple w:instr=" DOCVARIABLE vault_nd_a359cf7b-8efe-4e4a-9ac8-d4ec42d163bc \* MERGEFORMAT ">
        <w:r w:rsidR="00BD4838">
          <w:t xml:space="preserve"> </w:t>
        </w:r>
      </w:fldSimple>
    </w:p>
    <w:p w14:paraId="1F84EC7C" w14:textId="139F0BF1" w:rsidR="00446EDD" w:rsidRDefault="00FA3451" w:rsidP="00446EDD">
      <w:pPr>
        <w:pStyle w:val="Paragraph"/>
      </w:pPr>
      <w:r w:rsidRPr="00FA3451">
        <w:t xml:space="preserve">It is not known whether </w:t>
      </w:r>
      <w:proofErr w:type="spellStart"/>
      <w:r w:rsidRPr="00FA3451">
        <w:t>capivasertib</w:t>
      </w:r>
      <w:proofErr w:type="spellEnd"/>
      <w:r w:rsidRPr="00FA3451">
        <w:t xml:space="preserve"> or its metabolites are excreted in human milk. Exposure to </w:t>
      </w:r>
      <w:proofErr w:type="spellStart"/>
      <w:r w:rsidRPr="00FA3451">
        <w:t>capivasertib</w:t>
      </w:r>
      <w:proofErr w:type="spellEnd"/>
      <w:r w:rsidRPr="00FA3451">
        <w:t xml:space="preserve"> was confirmed in suckling rat pups which may indicate the excretion of </w:t>
      </w:r>
      <w:proofErr w:type="spellStart"/>
      <w:r w:rsidRPr="00FA3451">
        <w:t>capivasertib</w:t>
      </w:r>
      <w:proofErr w:type="spellEnd"/>
      <w:r w:rsidRPr="00FA3451">
        <w:t xml:space="preserve"> in </w:t>
      </w:r>
      <w:r w:rsidRPr="00FA3451">
        <w:lastRenderedPageBreak/>
        <w:t xml:space="preserve">milk. A risk to the suckling child cannot be excluded. Breast-feeding should be discontinued during treatment with </w:t>
      </w:r>
      <w:r w:rsidR="003F16DD">
        <w:t>TRUQAP</w:t>
      </w:r>
      <w:r w:rsidRPr="00FA3451">
        <w:t>.</w:t>
      </w:r>
    </w:p>
    <w:p w14:paraId="49711EAC" w14:textId="642FFE53" w:rsidR="001A3992" w:rsidRPr="003A4225" w:rsidRDefault="001A3992" w:rsidP="00994852">
      <w:pPr>
        <w:pStyle w:val="Heading2"/>
      </w:pPr>
      <w:r w:rsidRPr="003A4225">
        <w:t>Effects on ability to drive and use machines</w:t>
      </w:r>
      <w:fldSimple w:instr=" DOCVARIABLE VAULT_ND_9a3fe5ab-1855-4bd9-a017-51512684404d \* MERGEFORMAT ">
        <w:r w:rsidR="00BD4838" w:rsidRPr="003A4225">
          <w:t xml:space="preserve"> </w:t>
        </w:r>
      </w:fldSimple>
    </w:p>
    <w:p w14:paraId="7B7085DF" w14:textId="62CCF37F" w:rsidR="00446EDD" w:rsidRPr="00446EDD" w:rsidRDefault="00460086" w:rsidP="00446EDD">
      <w:pPr>
        <w:pStyle w:val="Paragraph"/>
      </w:pPr>
      <w:r>
        <w:t>D</w:t>
      </w:r>
      <w:r w:rsidRPr="00A018EE">
        <w:t xml:space="preserve">uring </w:t>
      </w:r>
      <w:r w:rsidR="00A018EE" w:rsidRPr="00A018EE">
        <w:t xml:space="preserve">treatment with </w:t>
      </w:r>
      <w:proofErr w:type="spellStart"/>
      <w:r w:rsidR="00A018EE" w:rsidRPr="00A018EE">
        <w:t>capivasertib</w:t>
      </w:r>
      <w:proofErr w:type="spellEnd"/>
      <w:r w:rsidR="00A018EE" w:rsidRPr="00A018EE">
        <w:t>, fatigue has been reported and those patients who experience this symptom should be advised to observe caution when driving or operating machinery.</w:t>
      </w:r>
    </w:p>
    <w:p w14:paraId="26CCC369" w14:textId="0D611755" w:rsidR="001A3992" w:rsidRPr="003A4225" w:rsidRDefault="001A3992" w:rsidP="00994852">
      <w:pPr>
        <w:pStyle w:val="Heading2"/>
      </w:pPr>
      <w:bookmarkStart w:id="27" w:name="_Adverse_effects_(Undesirable"/>
      <w:bookmarkEnd w:id="27"/>
      <w:r w:rsidRPr="003A4225">
        <w:t>Adverse effects (Undesirable effects)</w:t>
      </w:r>
      <w:fldSimple w:instr=" DOCVARIABLE VAULT_ND_5bb17df7-b1c2-446e-bc7b-39ddfb34617d \* MERGEFORMAT ">
        <w:r w:rsidR="00BD4838" w:rsidRPr="003A4225">
          <w:t xml:space="preserve"> </w:t>
        </w:r>
      </w:fldSimple>
    </w:p>
    <w:p w14:paraId="1EE1C420" w14:textId="4A34F495" w:rsidR="00F6400D" w:rsidRPr="00F6400D" w:rsidRDefault="00F6400D" w:rsidP="008A7B3C">
      <w:pPr>
        <w:pStyle w:val="Heading4NoTOC"/>
      </w:pPr>
      <w:r w:rsidRPr="00F6400D">
        <w:t>Overall summary of the safety profile</w:t>
      </w:r>
    </w:p>
    <w:p w14:paraId="2DEABDC1" w14:textId="78A1F584" w:rsidR="00460086" w:rsidRPr="00C86461" w:rsidRDefault="00460086" w:rsidP="00F6400D">
      <w:pPr>
        <w:pStyle w:val="Paragraph"/>
      </w:pPr>
      <w:r w:rsidRPr="00C86461">
        <w:rPr>
          <w:shd w:val="clear" w:color="auto" w:fill="FFFFFF"/>
        </w:rPr>
        <w:t xml:space="preserve">Severe hyperglycaemia, diarrhoea, and skin reactions have occurred in patients taking </w:t>
      </w:r>
      <w:proofErr w:type="spellStart"/>
      <w:r w:rsidRPr="00C86461">
        <w:rPr>
          <w:shd w:val="clear" w:color="auto" w:fill="FFFFFF"/>
        </w:rPr>
        <w:t>capivasertib</w:t>
      </w:r>
      <w:proofErr w:type="spellEnd"/>
      <w:r w:rsidRPr="00C86461">
        <w:rPr>
          <w:shd w:val="clear" w:color="auto" w:fill="FFFFFF"/>
        </w:rPr>
        <w:t xml:space="preserve"> (see Section 4.4 Special </w:t>
      </w:r>
      <w:r w:rsidR="00461B37" w:rsidRPr="00C86461">
        <w:rPr>
          <w:shd w:val="clear" w:color="auto" w:fill="FFFFFF"/>
        </w:rPr>
        <w:t>w</w:t>
      </w:r>
      <w:r w:rsidRPr="00C86461">
        <w:rPr>
          <w:shd w:val="clear" w:color="auto" w:fill="FFFFFF"/>
        </w:rPr>
        <w:t xml:space="preserve">arnings and </w:t>
      </w:r>
      <w:r w:rsidR="00461B37" w:rsidRPr="00C86461">
        <w:rPr>
          <w:shd w:val="clear" w:color="auto" w:fill="FFFFFF"/>
        </w:rPr>
        <w:t>p</w:t>
      </w:r>
      <w:r w:rsidRPr="00C86461">
        <w:rPr>
          <w:shd w:val="clear" w:color="auto" w:fill="FFFFFF"/>
        </w:rPr>
        <w:t xml:space="preserve">recautions for </w:t>
      </w:r>
      <w:r w:rsidR="00461B37" w:rsidRPr="00C86461">
        <w:rPr>
          <w:shd w:val="clear" w:color="auto" w:fill="FFFFFF"/>
        </w:rPr>
        <w:t>u</w:t>
      </w:r>
      <w:r w:rsidRPr="00C86461">
        <w:rPr>
          <w:shd w:val="clear" w:color="auto" w:fill="FFFFFF"/>
        </w:rPr>
        <w:t>se).</w:t>
      </w:r>
    </w:p>
    <w:p w14:paraId="562DB07A" w14:textId="48BA0013" w:rsidR="00F6400D" w:rsidRPr="00F6400D" w:rsidRDefault="00F6400D" w:rsidP="00F6400D">
      <w:pPr>
        <w:pStyle w:val="Paragraph"/>
        <w:rPr>
          <w:vertAlign w:val="superscript"/>
        </w:rPr>
      </w:pPr>
      <w:r w:rsidRPr="00F6400D">
        <w:t xml:space="preserve">The safety profile of </w:t>
      </w:r>
      <w:r w:rsidR="00D04452">
        <w:t>TRUQAP</w:t>
      </w:r>
      <w:r w:rsidR="00D04452" w:rsidRPr="00F6400D">
        <w:t xml:space="preserve"> </w:t>
      </w:r>
      <w:r w:rsidRPr="00F6400D">
        <w:t xml:space="preserve">is based on data from 355 patients who received </w:t>
      </w:r>
      <w:r w:rsidR="00D04452">
        <w:t>TRUQAP</w:t>
      </w:r>
      <w:r w:rsidR="00D04452" w:rsidRPr="00F6400D">
        <w:t xml:space="preserve"> </w:t>
      </w:r>
      <w:r w:rsidRPr="00F6400D">
        <w:t xml:space="preserve">plus </w:t>
      </w:r>
      <w:proofErr w:type="spellStart"/>
      <w:r w:rsidRPr="00F6400D">
        <w:t>fulvestrant</w:t>
      </w:r>
      <w:proofErr w:type="spellEnd"/>
      <w:r w:rsidRPr="00F6400D">
        <w:t xml:space="preserve"> in CAPItello-291.</w:t>
      </w:r>
    </w:p>
    <w:p w14:paraId="07E6CE6C" w14:textId="32E40235" w:rsidR="001D3AF3" w:rsidRDefault="00F6400D" w:rsidP="00F6400D">
      <w:pPr>
        <w:pStyle w:val="Paragraph"/>
      </w:pPr>
      <w:r w:rsidRPr="00F6400D">
        <w:t>The most common adverse reactions (reported at a frequency of ≥ 20%), were diarrhoea (72.4%), rash (40.3%), nausea (34.6%), fatigue (20.8%) and vomiting (20.6%). The most common grade 3 or 4 adverse reactions (reported at frequency ≥ 2%) were rash (12.4%), diarrhoea (9.3%), hyperglycaemia (2.3%), anaemia (2.0%), and stomatitis (2.0%</w:t>
      </w:r>
      <w:r>
        <w:t>)</w:t>
      </w:r>
      <w:r w:rsidR="00F26124">
        <w:t>.</w:t>
      </w:r>
    </w:p>
    <w:p w14:paraId="3C89C72C" w14:textId="7C86BF8A" w:rsidR="001C394C" w:rsidRDefault="0027634D" w:rsidP="001C394C">
      <w:pPr>
        <w:pStyle w:val="Paragraph"/>
      </w:pPr>
      <w:r w:rsidRPr="0027634D">
        <w:t xml:space="preserve">Serious adverse reactions (SARs) were seen in 23 (6.5%) patients receiving </w:t>
      </w:r>
      <w:r w:rsidR="00D04452">
        <w:t>TRUQAP</w:t>
      </w:r>
      <w:r w:rsidR="00D04452" w:rsidRPr="0027634D">
        <w:t xml:space="preserve"> </w:t>
      </w:r>
      <w:r w:rsidRPr="0027634D">
        <w:t xml:space="preserve">plus </w:t>
      </w:r>
      <w:proofErr w:type="spellStart"/>
      <w:r w:rsidRPr="0027634D">
        <w:t>fulvestrant</w:t>
      </w:r>
      <w:proofErr w:type="spellEnd"/>
      <w:r w:rsidRPr="0027634D">
        <w:t xml:space="preserve">. Serious adverse reactions reported in ≥ 1% of patients receiving </w:t>
      </w:r>
      <w:r w:rsidR="00D04452">
        <w:t>TRUQAP</w:t>
      </w:r>
      <w:r w:rsidR="00D04452" w:rsidRPr="0027634D">
        <w:t xml:space="preserve"> </w:t>
      </w:r>
      <w:r w:rsidRPr="0027634D">
        <w:t xml:space="preserve">plus </w:t>
      </w:r>
      <w:proofErr w:type="spellStart"/>
      <w:r w:rsidRPr="0027634D">
        <w:t>fulvestrant</w:t>
      </w:r>
      <w:proofErr w:type="spellEnd"/>
      <w:r w:rsidRPr="0027634D">
        <w:t xml:space="preserve"> included rash 8 (2.3%), diarrhoea 6 (1.7%), and vomiting 4 (1.1%)</w:t>
      </w:r>
      <w:r>
        <w:t>.</w:t>
      </w:r>
    </w:p>
    <w:p w14:paraId="698A0BCF" w14:textId="2D6A6F15" w:rsidR="00B94F37" w:rsidRDefault="00B94F37" w:rsidP="001C394C">
      <w:pPr>
        <w:pStyle w:val="Paragraph"/>
      </w:pPr>
      <w:r w:rsidRPr="00B94F37">
        <w:t>Dose reductions due to adverse reactions were reported in 62 (17.5%) patients. The most common adverse reactions (reported at frequency ≥ </w:t>
      </w:r>
      <w:r w:rsidR="0013023B">
        <w:t>1</w:t>
      </w:r>
      <w:r w:rsidRPr="00B94F37">
        <w:t xml:space="preserve">%) leading to dose reduction of </w:t>
      </w:r>
      <w:r w:rsidR="00D04452">
        <w:t>TRUQAP</w:t>
      </w:r>
      <w:r w:rsidR="00D04452" w:rsidRPr="00B94F37">
        <w:t xml:space="preserve"> </w:t>
      </w:r>
      <w:r w:rsidRPr="00B94F37">
        <w:t>were diarrhoea (7.9%) and rash (4.5%).</w:t>
      </w:r>
    </w:p>
    <w:p w14:paraId="14526AB8" w14:textId="36264E17" w:rsidR="00B94F37" w:rsidRDefault="00B92AA1" w:rsidP="001C394C">
      <w:pPr>
        <w:pStyle w:val="Paragraph"/>
      </w:pPr>
      <w:r w:rsidRPr="00B92AA1">
        <w:t>Treatment discontinuation due to adverse reactions occurred in 33 (9.3%) patients. The most common adverse reactions (reported at frequency ≥ </w:t>
      </w:r>
      <w:r w:rsidR="0013023B">
        <w:t>1</w:t>
      </w:r>
      <w:r w:rsidRPr="00B92AA1">
        <w:t>%) leading to treatment discontinuation were rash (4.5%), diarrhoea (2.0%), and vomiting (2.0%).</w:t>
      </w:r>
    </w:p>
    <w:p w14:paraId="041B84A4" w14:textId="1215EDC3" w:rsidR="00520ED7" w:rsidRDefault="00520ED7" w:rsidP="001C394C">
      <w:pPr>
        <w:pStyle w:val="Paragraph"/>
      </w:pPr>
      <w:r w:rsidRPr="00520ED7">
        <w:t xml:space="preserve">Fatal adverse events regardless of causal association with TRUQAP occurred in 4 (1.1%) of patients who received TRUQAP with </w:t>
      </w:r>
      <w:proofErr w:type="spellStart"/>
      <w:r w:rsidRPr="00520ED7">
        <w:t>fulvestrant</w:t>
      </w:r>
      <w:proofErr w:type="spellEnd"/>
      <w:r w:rsidRPr="00520ED7">
        <w:t>, including 1 (0.3%) pneumonia aspiration, 1 (0.3%) sepsis, 1 (0.3%) cerebral haemorrhage and 1 (0.3%) acute myocardial infarction.</w:t>
      </w:r>
    </w:p>
    <w:p w14:paraId="236BEE3F" w14:textId="77777777" w:rsidR="00A07DBF" w:rsidRPr="00A07DBF" w:rsidRDefault="00A07DBF" w:rsidP="00A07DBF">
      <w:pPr>
        <w:pStyle w:val="Heading4NoTOC"/>
      </w:pPr>
      <w:r w:rsidRPr="00A07DBF">
        <w:t>Adverse Drug Reactions</w:t>
      </w:r>
    </w:p>
    <w:p w14:paraId="41BCF2EC" w14:textId="2FB4380F" w:rsidR="001C394C" w:rsidRDefault="00A07DBF" w:rsidP="001C394C">
      <w:pPr>
        <w:pStyle w:val="Paragraph"/>
      </w:pPr>
      <w:r w:rsidRPr="00A07DBF">
        <w:t>Adverse drug reactions (ADRs) are organised by MedDRA System Organ Class (SOC). Within each SOC, preferred terms are arranged by decreasing frequency and then by decreasing seriousness. Frequencies of occurrence of adverse reactions are defined as: very common (≥1/10); common (≥1/100 to &lt;1/10); uncommon (≥1/1,000 to &lt;1/100); rare (≥1/10,000 to &lt;1/1000); very rare (&lt;1/10,000) and not known (cannot be estimated from available data).</w:t>
      </w:r>
    </w:p>
    <w:p w14:paraId="08C01C08" w14:textId="40A55BD2" w:rsidR="001C394C" w:rsidRDefault="007B1CF0" w:rsidP="001C394C">
      <w:pPr>
        <w:pStyle w:val="TableTitle"/>
      </w:pPr>
      <w:r>
        <w:lastRenderedPageBreak/>
        <w:t xml:space="preserve">Table </w:t>
      </w:r>
      <w:r>
        <w:fldChar w:fldCharType="begin"/>
      </w:r>
      <w:r>
        <w:instrText xml:space="preserve"> SEQ Table \* ARABIC </w:instrText>
      </w:r>
      <w:r>
        <w:fldChar w:fldCharType="separate"/>
      </w:r>
      <w:r>
        <w:rPr>
          <w:noProof/>
        </w:rPr>
        <w:t>9</w:t>
      </w:r>
      <w:r>
        <w:fldChar w:fldCharType="end"/>
      </w:r>
      <w:r w:rsidR="001C394C">
        <w:tab/>
      </w:r>
      <w:r w:rsidR="001C394C" w:rsidRPr="001C394C">
        <w:t>Ad</w:t>
      </w:r>
      <w:r w:rsidR="001C394C">
        <w:t xml:space="preserve">verse </w:t>
      </w:r>
      <w:r w:rsidR="00E53CA8">
        <w:t xml:space="preserve">drug </w:t>
      </w:r>
      <w:r w:rsidR="001C394C">
        <w:t>reactions</w:t>
      </w:r>
      <w:r w:rsidR="001B04D3">
        <w:t xml:space="preserve"> </w:t>
      </w:r>
      <w:r w:rsidR="001B04D3" w:rsidRPr="001B04D3">
        <w:t xml:space="preserve">in Patients who Received TRUQAP with </w:t>
      </w:r>
      <w:proofErr w:type="spellStart"/>
      <w:r w:rsidR="001B04D3" w:rsidRPr="001B04D3">
        <w:t>Fulvestrant</w:t>
      </w:r>
      <w:proofErr w:type="spellEnd"/>
      <w:r w:rsidR="001B04D3" w:rsidRPr="001B04D3">
        <w:t xml:space="preserve"> </w:t>
      </w:r>
      <w:r w:rsidR="001B04D3">
        <w:t xml:space="preserve"> </w:t>
      </w:r>
      <w:r w:rsidR="0001153E">
        <w:t xml:space="preserve">in </w:t>
      </w:r>
      <w:r w:rsidR="001B04D3">
        <w:t>CAPItello-291</w:t>
      </w:r>
      <w:fldSimple w:instr=" DOCVARIABLE vault_nd_38ab8e66-bae6-45db-8a6e-565e76dbc902 \* MERGEFORMAT ">
        <w:r w:rsidR="00BD4838">
          <w:t xml:space="preserve"> </w:t>
        </w:r>
      </w:fldSimple>
    </w:p>
    <w:tbl>
      <w:tblPr>
        <w:tblW w:w="493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dverse Drug Reactions reported in Clinical Trials"/>
      </w:tblPr>
      <w:tblGrid>
        <w:gridCol w:w="1701"/>
        <w:gridCol w:w="1702"/>
        <w:gridCol w:w="1561"/>
        <w:gridCol w:w="1559"/>
        <w:gridCol w:w="1559"/>
        <w:gridCol w:w="1415"/>
      </w:tblGrid>
      <w:tr w:rsidR="001C6F14" w:rsidRPr="00D80C35" w14:paraId="1915E506" w14:textId="1DF58B31" w:rsidTr="001B04D3">
        <w:trPr>
          <w:cantSplit/>
          <w:trHeight w:val="215"/>
          <w:tblHeader/>
        </w:trPr>
        <w:tc>
          <w:tcPr>
            <w:tcW w:w="1791" w:type="pct"/>
            <w:gridSpan w:val="2"/>
            <w:shd w:val="clear" w:color="auto" w:fill="auto"/>
          </w:tcPr>
          <w:p w14:paraId="18EF754C" w14:textId="77777777" w:rsidR="001C6F14" w:rsidRPr="00D80C35" w:rsidRDefault="001C6F14" w:rsidP="00D80C35">
            <w:pPr>
              <w:spacing w:before="40" w:after="40" w:line="240" w:lineRule="auto"/>
              <w:jc w:val="center"/>
              <w:rPr>
                <w:b/>
                <w:sz w:val="20"/>
                <w:szCs w:val="48"/>
              </w:rPr>
            </w:pPr>
          </w:p>
        </w:tc>
        <w:tc>
          <w:tcPr>
            <w:tcW w:w="1642" w:type="pct"/>
            <w:gridSpan w:val="2"/>
            <w:shd w:val="clear" w:color="auto" w:fill="auto"/>
            <w:vAlign w:val="center"/>
          </w:tcPr>
          <w:p w14:paraId="7DA9E3FF" w14:textId="7F535E14" w:rsidR="001C6F14" w:rsidRPr="001C6F14" w:rsidRDefault="001C6F14" w:rsidP="001C6F14">
            <w:pPr>
              <w:spacing w:before="40" w:after="40" w:line="240" w:lineRule="auto"/>
              <w:jc w:val="center"/>
              <w:rPr>
                <w:b/>
                <w:sz w:val="20"/>
                <w:szCs w:val="48"/>
              </w:rPr>
            </w:pPr>
            <w:r w:rsidRPr="001C6F14">
              <w:rPr>
                <w:b/>
                <w:sz w:val="20"/>
                <w:szCs w:val="48"/>
              </w:rPr>
              <w:t xml:space="preserve">TRUQAP with </w:t>
            </w:r>
            <w:proofErr w:type="spellStart"/>
            <w:r w:rsidRPr="001C6F14">
              <w:rPr>
                <w:b/>
                <w:sz w:val="20"/>
                <w:szCs w:val="48"/>
              </w:rPr>
              <w:t>Fulvestrant</w:t>
            </w:r>
            <w:proofErr w:type="spellEnd"/>
            <w:r w:rsidRPr="001C6F14">
              <w:rPr>
                <w:b/>
                <w:sz w:val="20"/>
                <w:szCs w:val="48"/>
              </w:rPr>
              <w:t xml:space="preserve"> </w:t>
            </w:r>
          </w:p>
          <w:p w14:paraId="2E8756B3" w14:textId="799CAA8A" w:rsidR="001C6F14" w:rsidRPr="00D80C35" w:rsidRDefault="001C6F14" w:rsidP="001C6F14">
            <w:pPr>
              <w:spacing w:before="40" w:after="40" w:line="240" w:lineRule="auto"/>
              <w:jc w:val="center"/>
              <w:rPr>
                <w:b/>
                <w:sz w:val="20"/>
                <w:szCs w:val="48"/>
              </w:rPr>
            </w:pPr>
            <w:r w:rsidRPr="001C6F14">
              <w:rPr>
                <w:b/>
                <w:sz w:val="20"/>
                <w:szCs w:val="48"/>
              </w:rPr>
              <w:t>N=355</w:t>
            </w:r>
          </w:p>
        </w:tc>
        <w:tc>
          <w:tcPr>
            <w:tcW w:w="1567" w:type="pct"/>
            <w:gridSpan w:val="2"/>
          </w:tcPr>
          <w:p w14:paraId="65B83FB9" w14:textId="67F6B439" w:rsidR="001C6F14" w:rsidRPr="001C6F14" w:rsidRDefault="001C6F14" w:rsidP="001C6F14">
            <w:pPr>
              <w:spacing w:before="40" w:after="40" w:line="240" w:lineRule="auto"/>
              <w:jc w:val="center"/>
              <w:rPr>
                <w:b/>
                <w:sz w:val="20"/>
                <w:szCs w:val="48"/>
              </w:rPr>
            </w:pPr>
            <w:r w:rsidRPr="001C6F14">
              <w:rPr>
                <w:b/>
                <w:sz w:val="20"/>
                <w:szCs w:val="48"/>
              </w:rPr>
              <w:t xml:space="preserve">Placebo with </w:t>
            </w:r>
            <w:proofErr w:type="spellStart"/>
            <w:r w:rsidRPr="001C6F14">
              <w:rPr>
                <w:b/>
                <w:sz w:val="20"/>
                <w:szCs w:val="48"/>
              </w:rPr>
              <w:t>Fulvestrant</w:t>
            </w:r>
            <w:proofErr w:type="spellEnd"/>
            <w:r w:rsidRPr="001C6F14">
              <w:rPr>
                <w:b/>
                <w:sz w:val="20"/>
                <w:szCs w:val="48"/>
              </w:rPr>
              <w:t xml:space="preserve"> </w:t>
            </w:r>
          </w:p>
          <w:p w14:paraId="6FE99BA8" w14:textId="68717BF7" w:rsidR="001C6F14" w:rsidRPr="00D80C35" w:rsidRDefault="001C6F14" w:rsidP="001C6F14">
            <w:pPr>
              <w:spacing w:before="40" w:after="40" w:line="240" w:lineRule="auto"/>
              <w:jc w:val="center"/>
              <w:rPr>
                <w:b/>
                <w:sz w:val="20"/>
                <w:szCs w:val="48"/>
              </w:rPr>
            </w:pPr>
            <w:r w:rsidRPr="001C6F14">
              <w:rPr>
                <w:b/>
                <w:sz w:val="20"/>
                <w:szCs w:val="48"/>
              </w:rPr>
              <w:t>N=350</w:t>
            </w:r>
          </w:p>
        </w:tc>
      </w:tr>
      <w:tr w:rsidR="001B04D3" w:rsidRPr="00D80C35" w14:paraId="07D20FFB" w14:textId="70057975" w:rsidTr="001B04D3">
        <w:trPr>
          <w:cantSplit/>
          <w:trHeight w:val="215"/>
          <w:tblHeader/>
        </w:trPr>
        <w:tc>
          <w:tcPr>
            <w:tcW w:w="895" w:type="pct"/>
            <w:shd w:val="clear" w:color="auto" w:fill="auto"/>
            <w:vAlign w:val="center"/>
          </w:tcPr>
          <w:p w14:paraId="52EF55FF" w14:textId="6746A510" w:rsidR="001C6F14" w:rsidRPr="00D80C35" w:rsidRDefault="001C6F14" w:rsidP="001C6F14">
            <w:pPr>
              <w:spacing w:before="40" w:after="40" w:line="240" w:lineRule="auto"/>
              <w:jc w:val="center"/>
              <w:rPr>
                <w:b/>
                <w:sz w:val="20"/>
                <w:szCs w:val="48"/>
              </w:rPr>
            </w:pPr>
            <w:r w:rsidRPr="00D80C35">
              <w:rPr>
                <w:b/>
                <w:sz w:val="20"/>
                <w:szCs w:val="48"/>
              </w:rPr>
              <w:t>MedDRA SOC</w:t>
            </w:r>
          </w:p>
        </w:tc>
        <w:tc>
          <w:tcPr>
            <w:tcW w:w="896" w:type="pct"/>
            <w:shd w:val="clear" w:color="auto" w:fill="auto"/>
            <w:vAlign w:val="center"/>
          </w:tcPr>
          <w:p w14:paraId="42C2FC31" w14:textId="77777777" w:rsidR="001C6F14" w:rsidRPr="00D80C35" w:rsidRDefault="001C6F14" w:rsidP="001C6F14">
            <w:pPr>
              <w:spacing w:before="40" w:after="40" w:line="240" w:lineRule="auto"/>
              <w:jc w:val="center"/>
              <w:rPr>
                <w:b/>
                <w:sz w:val="20"/>
                <w:szCs w:val="48"/>
              </w:rPr>
            </w:pPr>
            <w:r w:rsidRPr="00D80C35">
              <w:rPr>
                <w:b/>
                <w:sz w:val="20"/>
                <w:szCs w:val="48"/>
              </w:rPr>
              <w:t>MedDRA Term</w:t>
            </w:r>
          </w:p>
        </w:tc>
        <w:tc>
          <w:tcPr>
            <w:tcW w:w="822" w:type="pct"/>
            <w:shd w:val="clear" w:color="auto" w:fill="auto"/>
            <w:vAlign w:val="center"/>
          </w:tcPr>
          <w:p w14:paraId="4D51B480" w14:textId="77777777" w:rsidR="001C6F14" w:rsidRPr="00D80C35" w:rsidRDefault="001C6F14" w:rsidP="001C6F14">
            <w:pPr>
              <w:spacing w:before="40" w:after="40" w:line="240" w:lineRule="auto"/>
              <w:jc w:val="center"/>
              <w:rPr>
                <w:b/>
                <w:sz w:val="20"/>
                <w:szCs w:val="48"/>
              </w:rPr>
            </w:pPr>
            <w:r w:rsidRPr="00D80C35">
              <w:rPr>
                <w:b/>
                <w:sz w:val="20"/>
                <w:szCs w:val="48"/>
              </w:rPr>
              <w:t>Any Grade (%)</w:t>
            </w:r>
          </w:p>
        </w:tc>
        <w:tc>
          <w:tcPr>
            <w:tcW w:w="821" w:type="pct"/>
            <w:shd w:val="clear" w:color="auto" w:fill="auto"/>
            <w:vAlign w:val="center"/>
          </w:tcPr>
          <w:p w14:paraId="52865E07" w14:textId="77777777" w:rsidR="001C6F14" w:rsidRPr="00D80C35" w:rsidRDefault="001C6F14" w:rsidP="001C6F14">
            <w:pPr>
              <w:spacing w:before="40" w:after="40" w:line="240" w:lineRule="auto"/>
              <w:jc w:val="center"/>
              <w:rPr>
                <w:b/>
                <w:sz w:val="20"/>
                <w:szCs w:val="48"/>
              </w:rPr>
            </w:pPr>
            <w:r w:rsidRPr="00D80C35">
              <w:rPr>
                <w:b/>
                <w:sz w:val="20"/>
                <w:szCs w:val="48"/>
              </w:rPr>
              <w:t>Grade 3 or 4 (%)</w:t>
            </w:r>
          </w:p>
        </w:tc>
        <w:tc>
          <w:tcPr>
            <w:tcW w:w="821" w:type="pct"/>
            <w:shd w:val="clear" w:color="auto" w:fill="auto"/>
            <w:vAlign w:val="center"/>
          </w:tcPr>
          <w:p w14:paraId="54F652AF" w14:textId="28DA669C" w:rsidR="001C6F14" w:rsidRPr="00D80C35" w:rsidRDefault="001C6F14" w:rsidP="001C6F14">
            <w:pPr>
              <w:spacing w:before="40" w:after="40" w:line="240" w:lineRule="auto"/>
              <w:jc w:val="center"/>
              <w:rPr>
                <w:b/>
                <w:sz w:val="20"/>
                <w:szCs w:val="48"/>
              </w:rPr>
            </w:pPr>
            <w:r w:rsidRPr="00D80C35">
              <w:rPr>
                <w:b/>
                <w:sz w:val="20"/>
                <w:szCs w:val="48"/>
              </w:rPr>
              <w:t>Any Grade (%)</w:t>
            </w:r>
          </w:p>
        </w:tc>
        <w:tc>
          <w:tcPr>
            <w:tcW w:w="746" w:type="pct"/>
          </w:tcPr>
          <w:p w14:paraId="1D118068" w14:textId="2EAA2246" w:rsidR="001C6F14" w:rsidRPr="00D80C35" w:rsidRDefault="001C6F14" w:rsidP="001C6F14">
            <w:pPr>
              <w:spacing w:before="40" w:after="40" w:line="240" w:lineRule="auto"/>
              <w:jc w:val="center"/>
              <w:rPr>
                <w:b/>
                <w:sz w:val="20"/>
                <w:szCs w:val="48"/>
              </w:rPr>
            </w:pPr>
            <w:r w:rsidRPr="001C6F14">
              <w:rPr>
                <w:b/>
                <w:sz w:val="20"/>
                <w:szCs w:val="48"/>
              </w:rPr>
              <w:t>Grade 3 or 4 (%)</w:t>
            </w:r>
          </w:p>
        </w:tc>
      </w:tr>
      <w:tr w:rsidR="001B04D3" w:rsidRPr="00D80C35" w14:paraId="3433FC3C" w14:textId="4377D5D8" w:rsidTr="001B04D3">
        <w:trPr>
          <w:cantSplit/>
          <w:trHeight w:val="135"/>
        </w:trPr>
        <w:tc>
          <w:tcPr>
            <w:tcW w:w="895" w:type="pct"/>
            <w:shd w:val="clear" w:color="auto" w:fill="auto"/>
          </w:tcPr>
          <w:p w14:paraId="20BBD711" w14:textId="77777777" w:rsidR="004958F9" w:rsidRPr="00D80C35" w:rsidRDefault="004958F9" w:rsidP="004958F9">
            <w:pPr>
              <w:spacing w:before="40" w:after="40"/>
              <w:jc w:val="center"/>
              <w:rPr>
                <w:b/>
                <w:kern w:val="32"/>
                <w:sz w:val="20"/>
                <w:szCs w:val="22"/>
              </w:rPr>
            </w:pPr>
            <w:r w:rsidRPr="00D80C35">
              <w:rPr>
                <w:b/>
                <w:kern w:val="32"/>
                <w:sz w:val="20"/>
                <w:szCs w:val="22"/>
              </w:rPr>
              <w:t>Infections and infestations</w:t>
            </w:r>
          </w:p>
        </w:tc>
        <w:tc>
          <w:tcPr>
            <w:tcW w:w="896" w:type="pct"/>
            <w:shd w:val="clear" w:color="auto" w:fill="auto"/>
          </w:tcPr>
          <w:p w14:paraId="61367A92" w14:textId="77777777" w:rsidR="004958F9" w:rsidRPr="00D80C35" w:rsidRDefault="004958F9" w:rsidP="004958F9">
            <w:pPr>
              <w:spacing w:before="40" w:after="40"/>
              <w:jc w:val="center"/>
              <w:rPr>
                <w:bCs/>
                <w:kern w:val="32"/>
                <w:sz w:val="20"/>
                <w:szCs w:val="22"/>
              </w:rPr>
            </w:pPr>
            <w:r w:rsidRPr="00D80C35">
              <w:rPr>
                <w:bCs/>
                <w:kern w:val="32"/>
                <w:sz w:val="20"/>
                <w:szCs w:val="22"/>
              </w:rPr>
              <w:t>Urinary Tract Infection</w:t>
            </w:r>
            <w:r w:rsidRPr="00D80C35">
              <w:rPr>
                <w:bCs/>
                <w:kern w:val="32"/>
                <w:sz w:val="20"/>
                <w:szCs w:val="22"/>
                <w:vertAlign w:val="superscript"/>
              </w:rPr>
              <w:t>1</w:t>
            </w:r>
          </w:p>
        </w:tc>
        <w:tc>
          <w:tcPr>
            <w:tcW w:w="822" w:type="pct"/>
            <w:shd w:val="clear" w:color="auto" w:fill="auto"/>
            <w:vAlign w:val="center"/>
          </w:tcPr>
          <w:p w14:paraId="31343A6B" w14:textId="77777777" w:rsidR="004958F9" w:rsidRPr="00D80C35" w:rsidRDefault="004958F9" w:rsidP="004958F9">
            <w:pPr>
              <w:spacing w:before="40" w:after="40"/>
              <w:jc w:val="center"/>
              <w:rPr>
                <w:bCs/>
                <w:kern w:val="32"/>
                <w:sz w:val="20"/>
                <w:szCs w:val="22"/>
              </w:rPr>
            </w:pPr>
            <w:r w:rsidRPr="00D80C35">
              <w:rPr>
                <w:bCs/>
                <w:kern w:val="32"/>
                <w:sz w:val="20"/>
                <w:szCs w:val="22"/>
              </w:rPr>
              <w:t>48 (13.5)</w:t>
            </w:r>
          </w:p>
        </w:tc>
        <w:tc>
          <w:tcPr>
            <w:tcW w:w="821" w:type="pct"/>
            <w:shd w:val="clear" w:color="auto" w:fill="auto"/>
            <w:vAlign w:val="center"/>
          </w:tcPr>
          <w:p w14:paraId="3BB1EF3E" w14:textId="77777777" w:rsidR="004958F9" w:rsidRPr="00D80C35" w:rsidRDefault="004958F9" w:rsidP="004958F9">
            <w:pPr>
              <w:spacing w:before="40" w:after="40"/>
              <w:jc w:val="center"/>
              <w:rPr>
                <w:bCs/>
                <w:kern w:val="32"/>
                <w:sz w:val="20"/>
                <w:szCs w:val="22"/>
              </w:rPr>
            </w:pPr>
            <w:r w:rsidRPr="00D80C35">
              <w:rPr>
                <w:bCs/>
                <w:kern w:val="32"/>
                <w:sz w:val="20"/>
                <w:szCs w:val="22"/>
              </w:rPr>
              <w:t>6 (1.7)</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0707AF88" w14:textId="4079AD34" w:rsidR="004958F9" w:rsidRPr="002E7526" w:rsidRDefault="004958F9" w:rsidP="004958F9">
            <w:pPr>
              <w:spacing w:before="40" w:after="40"/>
              <w:jc w:val="center"/>
              <w:rPr>
                <w:bCs/>
                <w:kern w:val="32"/>
                <w:sz w:val="20"/>
                <w:szCs w:val="22"/>
              </w:rPr>
            </w:pPr>
            <w:r w:rsidRPr="002E7526">
              <w:rPr>
                <w:rStyle w:val="normaltextrun"/>
                <w:sz w:val="20"/>
                <w:szCs w:val="20"/>
              </w:rPr>
              <w:t>24 (6.9%)</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6753A4EB" w14:textId="60688786"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r>
      <w:tr w:rsidR="001B04D3" w:rsidRPr="00D80C35" w14:paraId="5D778A5E" w14:textId="0EEAC954" w:rsidTr="000E6B0A">
        <w:trPr>
          <w:cantSplit/>
          <w:trHeight w:val="135"/>
        </w:trPr>
        <w:tc>
          <w:tcPr>
            <w:tcW w:w="895" w:type="pct"/>
            <w:shd w:val="clear" w:color="auto" w:fill="auto"/>
          </w:tcPr>
          <w:p w14:paraId="4960540D" w14:textId="77777777" w:rsidR="004958F9" w:rsidRPr="00D80C35" w:rsidRDefault="004958F9" w:rsidP="004958F9">
            <w:pPr>
              <w:spacing w:before="40" w:after="40"/>
              <w:jc w:val="center"/>
              <w:rPr>
                <w:b/>
                <w:kern w:val="32"/>
                <w:sz w:val="20"/>
                <w:szCs w:val="22"/>
              </w:rPr>
            </w:pPr>
            <w:r w:rsidRPr="00D80C35">
              <w:rPr>
                <w:b/>
                <w:kern w:val="32"/>
                <w:sz w:val="20"/>
                <w:szCs w:val="22"/>
              </w:rPr>
              <w:t>Blood and lymphatic system disorders</w:t>
            </w:r>
          </w:p>
        </w:tc>
        <w:tc>
          <w:tcPr>
            <w:tcW w:w="896" w:type="pct"/>
            <w:shd w:val="clear" w:color="auto" w:fill="auto"/>
            <w:vAlign w:val="center"/>
          </w:tcPr>
          <w:p w14:paraId="0F8550CA" w14:textId="77777777" w:rsidR="004958F9" w:rsidRPr="00D80C35" w:rsidRDefault="004958F9" w:rsidP="004958F9">
            <w:pPr>
              <w:spacing w:before="40" w:after="40"/>
              <w:jc w:val="center"/>
              <w:rPr>
                <w:bCs/>
                <w:kern w:val="32"/>
                <w:sz w:val="20"/>
                <w:szCs w:val="22"/>
              </w:rPr>
            </w:pPr>
            <w:r w:rsidRPr="00D80C35">
              <w:rPr>
                <w:bCs/>
                <w:kern w:val="32"/>
                <w:sz w:val="20"/>
                <w:szCs w:val="22"/>
              </w:rPr>
              <w:t>Anaemia</w:t>
            </w:r>
          </w:p>
        </w:tc>
        <w:tc>
          <w:tcPr>
            <w:tcW w:w="822" w:type="pct"/>
            <w:shd w:val="clear" w:color="auto" w:fill="auto"/>
            <w:vAlign w:val="center"/>
          </w:tcPr>
          <w:p w14:paraId="283E5B9C" w14:textId="77777777" w:rsidR="004958F9" w:rsidRPr="00D80C35" w:rsidRDefault="004958F9" w:rsidP="004958F9">
            <w:pPr>
              <w:spacing w:before="40" w:after="40"/>
              <w:jc w:val="center"/>
              <w:rPr>
                <w:bCs/>
                <w:kern w:val="32"/>
                <w:sz w:val="20"/>
                <w:szCs w:val="22"/>
              </w:rPr>
            </w:pPr>
            <w:r w:rsidRPr="00D80C35">
              <w:rPr>
                <w:bCs/>
                <w:kern w:val="32"/>
                <w:sz w:val="20"/>
                <w:szCs w:val="22"/>
              </w:rPr>
              <w:t>37 (10.4)</w:t>
            </w:r>
          </w:p>
        </w:tc>
        <w:tc>
          <w:tcPr>
            <w:tcW w:w="821" w:type="pct"/>
            <w:shd w:val="clear" w:color="auto" w:fill="auto"/>
            <w:vAlign w:val="center"/>
          </w:tcPr>
          <w:p w14:paraId="7B4D3F05" w14:textId="77777777" w:rsidR="004958F9" w:rsidRPr="00D80C35" w:rsidRDefault="004958F9" w:rsidP="004958F9">
            <w:pPr>
              <w:spacing w:before="40" w:after="40"/>
              <w:jc w:val="center"/>
              <w:rPr>
                <w:bCs/>
                <w:kern w:val="32"/>
                <w:sz w:val="20"/>
                <w:szCs w:val="22"/>
              </w:rPr>
            </w:pPr>
            <w:r w:rsidRPr="00D80C35">
              <w:rPr>
                <w:bCs/>
                <w:kern w:val="32"/>
                <w:sz w:val="20"/>
                <w:szCs w:val="22"/>
              </w:rPr>
              <w:t>7 (2.0)</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21CAF640" w14:textId="16F66EF9" w:rsidR="004958F9" w:rsidRPr="002E7526" w:rsidRDefault="004958F9" w:rsidP="004958F9">
            <w:pPr>
              <w:spacing w:before="40" w:after="40"/>
              <w:jc w:val="center"/>
              <w:rPr>
                <w:bCs/>
                <w:kern w:val="32"/>
                <w:sz w:val="20"/>
                <w:szCs w:val="22"/>
              </w:rPr>
            </w:pPr>
            <w:r w:rsidRPr="002E7526">
              <w:rPr>
                <w:rStyle w:val="normaltextrun"/>
                <w:sz w:val="20"/>
                <w:szCs w:val="20"/>
              </w:rPr>
              <w:t>17 (4.9%)</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603A5BF4" w14:textId="2524164B" w:rsidR="004958F9" w:rsidRPr="002E7526" w:rsidRDefault="004958F9" w:rsidP="004958F9">
            <w:pPr>
              <w:spacing w:before="40" w:after="40"/>
              <w:jc w:val="center"/>
              <w:rPr>
                <w:bCs/>
                <w:kern w:val="32"/>
                <w:sz w:val="20"/>
                <w:szCs w:val="22"/>
              </w:rPr>
            </w:pPr>
            <w:r w:rsidRPr="002E7526">
              <w:rPr>
                <w:rStyle w:val="normaltextrun"/>
                <w:sz w:val="20"/>
                <w:szCs w:val="20"/>
              </w:rPr>
              <w:t>4 (1.1)</w:t>
            </w:r>
            <w:r w:rsidRPr="002E7526">
              <w:rPr>
                <w:rStyle w:val="eop"/>
                <w:sz w:val="20"/>
                <w:szCs w:val="20"/>
              </w:rPr>
              <w:t> </w:t>
            </w:r>
          </w:p>
        </w:tc>
      </w:tr>
      <w:tr w:rsidR="001B04D3" w:rsidRPr="00D80C35" w14:paraId="11B096CF" w14:textId="39E68193" w:rsidTr="000E6B0A">
        <w:trPr>
          <w:cantSplit/>
          <w:trHeight w:val="85"/>
        </w:trPr>
        <w:tc>
          <w:tcPr>
            <w:tcW w:w="895" w:type="pct"/>
            <w:shd w:val="clear" w:color="auto" w:fill="auto"/>
          </w:tcPr>
          <w:p w14:paraId="4E041330" w14:textId="77777777" w:rsidR="004958F9" w:rsidRPr="00D80C35" w:rsidRDefault="004958F9" w:rsidP="004958F9">
            <w:pPr>
              <w:spacing w:before="40" w:after="40"/>
              <w:jc w:val="center"/>
              <w:rPr>
                <w:b/>
                <w:kern w:val="32"/>
                <w:sz w:val="20"/>
                <w:szCs w:val="22"/>
              </w:rPr>
            </w:pPr>
            <w:r w:rsidRPr="00D80C35">
              <w:rPr>
                <w:b/>
                <w:kern w:val="32"/>
                <w:sz w:val="20"/>
                <w:szCs w:val="22"/>
              </w:rPr>
              <w:t>Immune system disorders</w:t>
            </w:r>
          </w:p>
        </w:tc>
        <w:tc>
          <w:tcPr>
            <w:tcW w:w="896" w:type="pct"/>
            <w:shd w:val="clear" w:color="auto" w:fill="auto"/>
            <w:vAlign w:val="center"/>
          </w:tcPr>
          <w:p w14:paraId="0D60E684" w14:textId="77777777" w:rsidR="004958F9" w:rsidRPr="00D80C35" w:rsidRDefault="004958F9" w:rsidP="004958F9">
            <w:pPr>
              <w:spacing w:before="40" w:after="40"/>
              <w:jc w:val="center"/>
              <w:rPr>
                <w:bCs/>
                <w:kern w:val="32"/>
                <w:sz w:val="20"/>
                <w:szCs w:val="22"/>
              </w:rPr>
            </w:pPr>
            <w:r w:rsidRPr="00D80C35">
              <w:rPr>
                <w:bCs/>
                <w:kern w:val="32"/>
                <w:sz w:val="20"/>
                <w:szCs w:val="22"/>
              </w:rPr>
              <w:t>Hypersensitivity</w:t>
            </w:r>
            <w:r w:rsidRPr="00D80C35">
              <w:rPr>
                <w:bCs/>
                <w:kern w:val="32"/>
                <w:sz w:val="20"/>
                <w:szCs w:val="22"/>
                <w:vertAlign w:val="superscript"/>
              </w:rPr>
              <w:t>2</w:t>
            </w:r>
          </w:p>
        </w:tc>
        <w:tc>
          <w:tcPr>
            <w:tcW w:w="822" w:type="pct"/>
            <w:shd w:val="clear" w:color="auto" w:fill="auto"/>
            <w:vAlign w:val="center"/>
          </w:tcPr>
          <w:p w14:paraId="6E9B40C9" w14:textId="77777777" w:rsidR="004958F9" w:rsidRPr="00D80C35" w:rsidRDefault="004958F9" w:rsidP="004958F9">
            <w:pPr>
              <w:spacing w:before="40" w:after="40"/>
              <w:jc w:val="center"/>
              <w:rPr>
                <w:bCs/>
                <w:kern w:val="32"/>
                <w:sz w:val="20"/>
                <w:szCs w:val="22"/>
              </w:rPr>
            </w:pPr>
            <w:r w:rsidRPr="00D80C35">
              <w:rPr>
                <w:bCs/>
                <w:kern w:val="32"/>
                <w:sz w:val="20"/>
                <w:szCs w:val="22"/>
              </w:rPr>
              <w:t>3 (0.8)</w:t>
            </w:r>
          </w:p>
        </w:tc>
        <w:tc>
          <w:tcPr>
            <w:tcW w:w="821" w:type="pct"/>
            <w:shd w:val="clear" w:color="auto" w:fill="auto"/>
            <w:vAlign w:val="center"/>
          </w:tcPr>
          <w:p w14:paraId="55113F27" w14:textId="77777777" w:rsidR="004958F9" w:rsidRPr="00D80C35" w:rsidRDefault="004958F9" w:rsidP="004958F9">
            <w:pPr>
              <w:spacing w:before="40" w:after="40"/>
              <w:jc w:val="center"/>
              <w:rPr>
                <w:bCs/>
                <w:kern w:val="32"/>
                <w:sz w:val="20"/>
                <w:szCs w:val="22"/>
              </w:rPr>
            </w:pPr>
            <w:r w:rsidRPr="00D80C35">
              <w:rPr>
                <w:bCs/>
                <w:kern w:val="32"/>
                <w:sz w:val="20"/>
                <w:szCs w:val="22"/>
              </w:rPr>
              <w:t>0</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2C870A1D" w14:textId="070BFA16"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5B05A763" w14:textId="74780353"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r>
      <w:tr w:rsidR="001B04D3" w:rsidRPr="00D80C35" w14:paraId="27E03ACD" w14:textId="02F369A5" w:rsidTr="000E6B0A">
        <w:trPr>
          <w:cantSplit/>
          <w:trHeight w:val="85"/>
        </w:trPr>
        <w:tc>
          <w:tcPr>
            <w:tcW w:w="895" w:type="pct"/>
            <w:vMerge w:val="restart"/>
            <w:shd w:val="clear" w:color="auto" w:fill="auto"/>
          </w:tcPr>
          <w:p w14:paraId="3E963C4C" w14:textId="77777777" w:rsidR="004958F9" w:rsidRPr="00D80C35" w:rsidRDefault="004958F9" w:rsidP="004958F9">
            <w:pPr>
              <w:spacing w:before="40" w:after="40"/>
              <w:jc w:val="center"/>
              <w:rPr>
                <w:b/>
                <w:kern w:val="32"/>
                <w:sz w:val="20"/>
                <w:szCs w:val="22"/>
              </w:rPr>
            </w:pPr>
            <w:r w:rsidRPr="00D80C35">
              <w:rPr>
                <w:b/>
                <w:kern w:val="32"/>
                <w:sz w:val="20"/>
                <w:szCs w:val="22"/>
              </w:rPr>
              <w:t>Metabolism and nutrition disorders</w:t>
            </w:r>
          </w:p>
          <w:p w14:paraId="2493F2D2" w14:textId="77777777" w:rsidR="004958F9" w:rsidRPr="00D80C35" w:rsidRDefault="004958F9" w:rsidP="004958F9">
            <w:pPr>
              <w:spacing w:before="40" w:after="40"/>
              <w:jc w:val="center"/>
              <w:rPr>
                <w:b/>
                <w:kern w:val="32"/>
                <w:sz w:val="20"/>
                <w:szCs w:val="22"/>
              </w:rPr>
            </w:pPr>
          </w:p>
        </w:tc>
        <w:tc>
          <w:tcPr>
            <w:tcW w:w="896" w:type="pct"/>
            <w:shd w:val="clear" w:color="auto" w:fill="auto"/>
            <w:vAlign w:val="center"/>
          </w:tcPr>
          <w:p w14:paraId="5AD73981" w14:textId="77777777" w:rsidR="004958F9" w:rsidRPr="00D80C35" w:rsidRDefault="004958F9" w:rsidP="004958F9">
            <w:pPr>
              <w:spacing w:before="40" w:after="40"/>
              <w:jc w:val="center"/>
              <w:rPr>
                <w:bCs/>
                <w:kern w:val="32"/>
                <w:sz w:val="20"/>
                <w:szCs w:val="22"/>
              </w:rPr>
            </w:pPr>
            <w:r w:rsidRPr="00D80C35">
              <w:rPr>
                <w:bCs/>
                <w:kern w:val="32"/>
                <w:sz w:val="20"/>
                <w:szCs w:val="22"/>
              </w:rPr>
              <w:t>Hyperglycaemia</w:t>
            </w:r>
            <w:r w:rsidRPr="00D80C35">
              <w:rPr>
                <w:bCs/>
                <w:kern w:val="32"/>
                <w:sz w:val="20"/>
                <w:szCs w:val="22"/>
                <w:vertAlign w:val="superscript"/>
              </w:rPr>
              <w:t>3</w:t>
            </w:r>
          </w:p>
        </w:tc>
        <w:tc>
          <w:tcPr>
            <w:tcW w:w="822" w:type="pct"/>
            <w:shd w:val="clear" w:color="auto" w:fill="auto"/>
            <w:vAlign w:val="center"/>
          </w:tcPr>
          <w:p w14:paraId="7E35A59B" w14:textId="77777777" w:rsidR="004958F9" w:rsidRPr="00D80C35" w:rsidRDefault="004958F9" w:rsidP="004958F9">
            <w:pPr>
              <w:spacing w:before="40" w:after="40"/>
              <w:jc w:val="center"/>
              <w:rPr>
                <w:bCs/>
                <w:kern w:val="32"/>
                <w:sz w:val="20"/>
                <w:szCs w:val="22"/>
              </w:rPr>
            </w:pPr>
            <w:r w:rsidRPr="00D80C35">
              <w:rPr>
                <w:bCs/>
                <w:kern w:val="32"/>
                <w:sz w:val="20"/>
                <w:szCs w:val="22"/>
              </w:rPr>
              <w:t>60 (16.9)</w:t>
            </w:r>
          </w:p>
        </w:tc>
        <w:tc>
          <w:tcPr>
            <w:tcW w:w="821" w:type="pct"/>
            <w:shd w:val="clear" w:color="auto" w:fill="auto"/>
            <w:vAlign w:val="center"/>
          </w:tcPr>
          <w:p w14:paraId="6B1F3925" w14:textId="77777777" w:rsidR="004958F9" w:rsidRPr="00D80C35" w:rsidRDefault="004958F9" w:rsidP="004958F9">
            <w:pPr>
              <w:spacing w:before="40" w:after="40"/>
              <w:jc w:val="center"/>
              <w:rPr>
                <w:bCs/>
                <w:kern w:val="32"/>
                <w:sz w:val="20"/>
                <w:szCs w:val="22"/>
              </w:rPr>
            </w:pPr>
            <w:r w:rsidRPr="00D80C35">
              <w:rPr>
                <w:bCs/>
                <w:kern w:val="32"/>
                <w:sz w:val="20"/>
                <w:szCs w:val="22"/>
              </w:rPr>
              <w:t>8 (2.3)</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18D995F6" w14:textId="6632F812" w:rsidR="004958F9" w:rsidRPr="002E7526" w:rsidRDefault="004958F9" w:rsidP="004958F9">
            <w:pPr>
              <w:spacing w:before="40" w:after="40"/>
              <w:jc w:val="center"/>
              <w:rPr>
                <w:bCs/>
                <w:kern w:val="32"/>
                <w:sz w:val="20"/>
                <w:szCs w:val="22"/>
              </w:rPr>
            </w:pPr>
            <w:r w:rsidRPr="002E7526">
              <w:rPr>
                <w:rStyle w:val="normaltextrun"/>
                <w:sz w:val="20"/>
                <w:szCs w:val="20"/>
              </w:rPr>
              <w:t>14 (4.0 %)</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4F2888E7" w14:textId="345F68E2" w:rsidR="004958F9" w:rsidRPr="002E7526" w:rsidRDefault="004958F9" w:rsidP="004958F9">
            <w:pPr>
              <w:spacing w:before="40" w:after="40"/>
              <w:jc w:val="center"/>
              <w:rPr>
                <w:bCs/>
                <w:kern w:val="32"/>
                <w:sz w:val="20"/>
                <w:szCs w:val="22"/>
              </w:rPr>
            </w:pPr>
            <w:r w:rsidRPr="002E7526">
              <w:rPr>
                <w:rStyle w:val="normaltextrun"/>
                <w:sz w:val="20"/>
                <w:szCs w:val="20"/>
              </w:rPr>
              <w:t>1 (0.3)</w:t>
            </w:r>
            <w:r w:rsidRPr="002E7526">
              <w:rPr>
                <w:rStyle w:val="eop"/>
                <w:sz w:val="20"/>
                <w:szCs w:val="20"/>
              </w:rPr>
              <w:t> </w:t>
            </w:r>
          </w:p>
        </w:tc>
      </w:tr>
      <w:tr w:rsidR="001B04D3" w:rsidRPr="00D80C35" w14:paraId="2F167618" w14:textId="6118D4F8" w:rsidTr="000E6B0A">
        <w:trPr>
          <w:cantSplit/>
          <w:trHeight w:val="85"/>
        </w:trPr>
        <w:tc>
          <w:tcPr>
            <w:tcW w:w="895" w:type="pct"/>
            <w:vMerge/>
            <w:shd w:val="clear" w:color="auto" w:fill="auto"/>
          </w:tcPr>
          <w:p w14:paraId="603C95C6" w14:textId="77777777" w:rsidR="004958F9" w:rsidRPr="00D80C35" w:rsidRDefault="004958F9" w:rsidP="004958F9">
            <w:pPr>
              <w:spacing w:before="40" w:after="40"/>
              <w:jc w:val="center"/>
              <w:rPr>
                <w:b/>
                <w:kern w:val="32"/>
                <w:sz w:val="20"/>
                <w:szCs w:val="22"/>
              </w:rPr>
            </w:pPr>
          </w:p>
        </w:tc>
        <w:tc>
          <w:tcPr>
            <w:tcW w:w="896" w:type="pct"/>
            <w:shd w:val="clear" w:color="auto" w:fill="auto"/>
            <w:vAlign w:val="center"/>
          </w:tcPr>
          <w:p w14:paraId="411460E6" w14:textId="7BBBE325" w:rsidR="004958F9" w:rsidRPr="00D80C35" w:rsidRDefault="004958F9" w:rsidP="001416C1">
            <w:pPr>
              <w:spacing w:before="40" w:after="40"/>
              <w:jc w:val="center"/>
              <w:rPr>
                <w:kern w:val="32"/>
                <w:sz w:val="20"/>
              </w:rPr>
            </w:pPr>
            <w:r w:rsidRPr="00D80C35">
              <w:rPr>
                <w:kern w:val="32"/>
                <w:sz w:val="20"/>
              </w:rPr>
              <w:t>Decreased appetite</w:t>
            </w:r>
          </w:p>
        </w:tc>
        <w:tc>
          <w:tcPr>
            <w:tcW w:w="822" w:type="pct"/>
            <w:shd w:val="clear" w:color="auto" w:fill="auto"/>
            <w:vAlign w:val="center"/>
          </w:tcPr>
          <w:p w14:paraId="440F6E6D" w14:textId="77777777" w:rsidR="004958F9" w:rsidRPr="00D80C35" w:rsidRDefault="004958F9" w:rsidP="004958F9">
            <w:pPr>
              <w:spacing w:before="40" w:after="40"/>
              <w:jc w:val="center"/>
              <w:rPr>
                <w:bCs/>
                <w:kern w:val="32"/>
                <w:sz w:val="20"/>
                <w:szCs w:val="22"/>
              </w:rPr>
            </w:pPr>
            <w:r w:rsidRPr="00D80C35">
              <w:rPr>
                <w:bCs/>
                <w:kern w:val="32"/>
                <w:sz w:val="20"/>
                <w:szCs w:val="22"/>
              </w:rPr>
              <w:t>59 (16.6)</w:t>
            </w:r>
          </w:p>
        </w:tc>
        <w:tc>
          <w:tcPr>
            <w:tcW w:w="821" w:type="pct"/>
            <w:shd w:val="clear" w:color="auto" w:fill="auto"/>
            <w:vAlign w:val="center"/>
          </w:tcPr>
          <w:p w14:paraId="1F0C1F38" w14:textId="77777777" w:rsidR="004958F9" w:rsidRPr="00D80C35" w:rsidRDefault="004958F9" w:rsidP="004958F9">
            <w:pPr>
              <w:spacing w:before="40" w:after="40"/>
              <w:jc w:val="center"/>
              <w:rPr>
                <w:bCs/>
                <w:kern w:val="32"/>
                <w:sz w:val="20"/>
                <w:szCs w:val="22"/>
              </w:rPr>
            </w:pPr>
            <w:r w:rsidRPr="00D80C35">
              <w:rPr>
                <w:bCs/>
                <w:kern w:val="32"/>
                <w:sz w:val="20"/>
                <w:szCs w:val="22"/>
              </w:rPr>
              <w:t>1 (0.3)</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2C2B51B0" w14:textId="4C63B89C" w:rsidR="004958F9" w:rsidRPr="002E7526" w:rsidRDefault="004958F9" w:rsidP="004958F9">
            <w:pPr>
              <w:spacing w:before="40" w:after="40"/>
              <w:jc w:val="center"/>
              <w:rPr>
                <w:bCs/>
                <w:kern w:val="32"/>
                <w:sz w:val="20"/>
                <w:szCs w:val="22"/>
              </w:rPr>
            </w:pPr>
            <w:r w:rsidRPr="002E7526">
              <w:rPr>
                <w:rStyle w:val="normaltextrun"/>
                <w:sz w:val="20"/>
                <w:szCs w:val="20"/>
              </w:rPr>
              <w:t>22 (6.3)</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10AF10C7" w14:textId="4B4769D6" w:rsidR="004958F9" w:rsidRPr="002E7526" w:rsidRDefault="004958F9" w:rsidP="004958F9">
            <w:pPr>
              <w:spacing w:before="40" w:after="40"/>
              <w:jc w:val="center"/>
              <w:rPr>
                <w:bCs/>
                <w:kern w:val="32"/>
                <w:sz w:val="20"/>
                <w:szCs w:val="22"/>
              </w:rPr>
            </w:pPr>
            <w:r w:rsidRPr="002E7526">
              <w:rPr>
                <w:rStyle w:val="normaltextrun"/>
                <w:sz w:val="20"/>
                <w:szCs w:val="20"/>
              </w:rPr>
              <w:t>2 (0.6)</w:t>
            </w:r>
            <w:r w:rsidRPr="002E7526">
              <w:rPr>
                <w:rStyle w:val="eop"/>
                <w:sz w:val="20"/>
                <w:szCs w:val="20"/>
              </w:rPr>
              <w:t> </w:t>
            </w:r>
          </w:p>
        </w:tc>
      </w:tr>
      <w:tr w:rsidR="001B04D3" w:rsidRPr="00D80C35" w14:paraId="7767BF1F" w14:textId="27235E3D" w:rsidTr="000E6B0A">
        <w:trPr>
          <w:cantSplit/>
          <w:trHeight w:val="85"/>
        </w:trPr>
        <w:tc>
          <w:tcPr>
            <w:tcW w:w="895" w:type="pct"/>
            <w:shd w:val="clear" w:color="auto" w:fill="auto"/>
          </w:tcPr>
          <w:p w14:paraId="0BBD4CE4" w14:textId="77777777" w:rsidR="004958F9" w:rsidRPr="00D80C35" w:rsidRDefault="004958F9" w:rsidP="004958F9">
            <w:pPr>
              <w:spacing w:before="40" w:after="40"/>
              <w:jc w:val="center"/>
              <w:rPr>
                <w:b/>
                <w:kern w:val="32"/>
                <w:sz w:val="20"/>
                <w:szCs w:val="22"/>
              </w:rPr>
            </w:pPr>
            <w:r w:rsidRPr="00D80C35">
              <w:rPr>
                <w:b/>
                <w:kern w:val="32"/>
                <w:sz w:val="20"/>
                <w:szCs w:val="22"/>
              </w:rPr>
              <w:t>Nervous system disorders</w:t>
            </w:r>
          </w:p>
        </w:tc>
        <w:tc>
          <w:tcPr>
            <w:tcW w:w="896" w:type="pct"/>
            <w:shd w:val="clear" w:color="auto" w:fill="auto"/>
            <w:vAlign w:val="center"/>
          </w:tcPr>
          <w:p w14:paraId="783B75F4" w14:textId="77777777" w:rsidR="004958F9" w:rsidRPr="00D80C35" w:rsidRDefault="004958F9" w:rsidP="004958F9">
            <w:pPr>
              <w:spacing w:before="40" w:after="40"/>
              <w:jc w:val="center"/>
              <w:rPr>
                <w:bCs/>
                <w:kern w:val="32"/>
                <w:sz w:val="20"/>
                <w:szCs w:val="22"/>
              </w:rPr>
            </w:pPr>
            <w:r w:rsidRPr="00D80C35">
              <w:rPr>
                <w:bCs/>
                <w:kern w:val="32"/>
                <w:sz w:val="20"/>
                <w:szCs w:val="22"/>
              </w:rPr>
              <w:t>Dysgeusia</w:t>
            </w:r>
          </w:p>
        </w:tc>
        <w:tc>
          <w:tcPr>
            <w:tcW w:w="822" w:type="pct"/>
            <w:shd w:val="clear" w:color="auto" w:fill="auto"/>
            <w:vAlign w:val="center"/>
          </w:tcPr>
          <w:p w14:paraId="70112C74" w14:textId="77777777" w:rsidR="004958F9" w:rsidRPr="00D80C35" w:rsidRDefault="004958F9" w:rsidP="004958F9">
            <w:pPr>
              <w:spacing w:before="40" w:after="40"/>
              <w:jc w:val="center"/>
              <w:rPr>
                <w:bCs/>
                <w:kern w:val="32"/>
                <w:sz w:val="20"/>
                <w:szCs w:val="22"/>
              </w:rPr>
            </w:pPr>
            <w:r w:rsidRPr="00D80C35">
              <w:rPr>
                <w:bCs/>
                <w:kern w:val="32"/>
                <w:sz w:val="20"/>
                <w:szCs w:val="22"/>
              </w:rPr>
              <w:t>21 (5.9)</w:t>
            </w:r>
          </w:p>
        </w:tc>
        <w:tc>
          <w:tcPr>
            <w:tcW w:w="821" w:type="pct"/>
            <w:shd w:val="clear" w:color="auto" w:fill="auto"/>
            <w:vAlign w:val="center"/>
          </w:tcPr>
          <w:p w14:paraId="5DE3635D" w14:textId="77777777" w:rsidR="004958F9" w:rsidRPr="00D80C35" w:rsidRDefault="004958F9" w:rsidP="004958F9">
            <w:pPr>
              <w:spacing w:before="40" w:after="40"/>
              <w:jc w:val="center"/>
              <w:rPr>
                <w:bCs/>
                <w:kern w:val="32"/>
                <w:sz w:val="20"/>
                <w:szCs w:val="22"/>
              </w:rPr>
            </w:pPr>
            <w:r w:rsidRPr="00D80C35">
              <w:rPr>
                <w:bCs/>
                <w:kern w:val="32"/>
                <w:sz w:val="20"/>
                <w:szCs w:val="22"/>
              </w:rPr>
              <w:t>0</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621A78B0" w14:textId="28AE0BFE" w:rsidR="004958F9" w:rsidRPr="002E7526" w:rsidRDefault="004958F9" w:rsidP="004958F9">
            <w:pPr>
              <w:spacing w:before="40" w:after="40"/>
              <w:jc w:val="center"/>
              <w:rPr>
                <w:bCs/>
                <w:kern w:val="32"/>
                <w:sz w:val="20"/>
                <w:szCs w:val="22"/>
              </w:rPr>
            </w:pPr>
            <w:r w:rsidRPr="002E7526">
              <w:rPr>
                <w:rStyle w:val="normaltextrun"/>
                <w:sz w:val="20"/>
                <w:szCs w:val="20"/>
              </w:rPr>
              <w:t>4 (1.1)</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12E309A1" w14:textId="0DB41861"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r>
      <w:tr w:rsidR="001B04D3" w:rsidRPr="00D80C35" w14:paraId="4D775DE2" w14:textId="2AF51332" w:rsidTr="001B04D3">
        <w:trPr>
          <w:cantSplit/>
          <w:trHeight w:val="85"/>
        </w:trPr>
        <w:tc>
          <w:tcPr>
            <w:tcW w:w="895" w:type="pct"/>
            <w:vMerge w:val="restart"/>
            <w:shd w:val="clear" w:color="auto" w:fill="auto"/>
          </w:tcPr>
          <w:p w14:paraId="621C0E62" w14:textId="77777777" w:rsidR="004958F9" w:rsidRPr="00D80C35" w:rsidRDefault="004958F9" w:rsidP="004958F9">
            <w:pPr>
              <w:spacing w:before="40" w:after="40"/>
              <w:jc w:val="center"/>
              <w:rPr>
                <w:b/>
                <w:kern w:val="32"/>
                <w:sz w:val="20"/>
                <w:szCs w:val="22"/>
              </w:rPr>
            </w:pPr>
            <w:r w:rsidRPr="00D80C35">
              <w:rPr>
                <w:b/>
                <w:kern w:val="32"/>
                <w:sz w:val="20"/>
                <w:szCs w:val="22"/>
              </w:rPr>
              <w:t>Gastrointestinal disorders</w:t>
            </w:r>
          </w:p>
        </w:tc>
        <w:tc>
          <w:tcPr>
            <w:tcW w:w="896" w:type="pct"/>
            <w:shd w:val="clear" w:color="auto" w:fill="auto"/>
          </w:tcPr>
          <w:p w14:paraId="3BA07A69" w14:textId="1EDDA242" w:rsidR="004958F9" w:rsidRPr="00D80C35" w:rsidRDefault="004958F9" w:rsidP="001416C1">
            <w:pPr>
              <w:spacing w:before="40" w:after="40"/>
              <w:jc w:val="center"/>
              <w:rPr>
                <w:bCs/>
                <w:kern w:val="32"/>
                <w:sz w:val="20"/>
                <w:szCs w:val="22"/>
              </w:rPr>
            </w:pPr>
            <w:r w:rsidRPr="00D80C35">
              <w:rPr>
                <w:bCs/>
                <w:kern w:val="32"/>
                <w:sz w:val="20"/>
                <w:szCs w:val="22"/>
              </w:rPr>
              <w:t>Diarrhoea</w:t>
            </w:r>
            <w:r w:rsidRPr="00D80C35">
              <w:rPr>
                <w:bCs/>
                <w:kern w:val="32"/>
                <w:sz w:val="20"/>
                <w:szCs w:val="22"/>
                <w:vertAlign w:val="superscript"/>
              </w:rPr>
              <w:t>4</w:t>
            </w:r>
          </w:p>
        </w:tc>
        <w:tc>
          <w:tcPr>
            <w:tcW w:w="822" w:type="pct"/>
            <w:shd w:val="clear" w:color="auto" w:fill="auto"/>
            <w:vAlign w:val="center"/>
          </w:tcPr>
          <w:p w14:paraId="053A2F69" w14:textId="77777777" w:rsidR="004958F9" w:rsidRPr="00D80C35" w:rsidRDefault="004958F9" w:rsidP="004958F9">
            <w:pPr>
              <w:spacing w:before="40" w:after="40"/>
              <w:jc w:val="center"/>
              <w:rPr>
                <w:bCs/>
                <w:kern w:val="32"/>
                <w:sz w:val="20"/>
                <w:szCs w:val="22"/>
              </w:rPr>
            </w:pPr>
            <w:r w:rsidRPr="00D80C35">
              <w:rPr>
                <w:bCs/>
                <w:kern w:val="32"/>
                <w:sz w:val="20"/>
                <w:szCs w:val="22"/>
              </w:rPr>
              <w:t>257 (72.4)</w:t>
            </w:r>
          </w:p>
        </w:tc>
        <w:tc>
          <w:tcPr>
            <w:tcW w:w="821" w:type="pct"/>
            <w:shd w:val="clear" w:color="auto" w:fill="auto"/>
            <w:vAlign w:val="center"/>
          </w:tcPr>
          <w:p w14:paraId="24398385" w14:textId="77777777" w:rsidR="004958F9" w:rsidRPr="00D80C35" w:rsidRDefault="004958F9" w:rsidP="004958F9">
            <w:pPr>
              <w:spacing w:before="40" w:after="40"/>
              <w:jc w:val="center"/>
              <w:rPr>
                <w:bCs/>
                <w:kern w:val="32"/>
                <w:sz w:val="20"/>
                <w:szCs w:val="22"/>
              </w:rPr>
            </w:pPr>
            <w:r w:rsidRPr="00D80C35">
              <w:rPr>
                <w:bCs/>
                <w:kern w:val="32"/>
                <w:sz w:val="20"/>
                <w:szCs w:val="22"/>
              </w:rPr>
              <w:t>33 (9.3)</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678DAAF1" w14:textId="380EE884" w:rsidR="004958F9" w:rsidRPr="002E7526" w:rsidRDefault="004958F9" w:rsidP="004958F9">
            <w:pPr>
              <w:spacing w:before="40" w:after="40"/>
              <w:jc w:val="center"/>
              <w:rPr>
                <w:bCs/>
                <w:kern w:val="32"/>
                <w:sz w:val="20"/>
                <w:szCs w:val="22"/>
              </w:rPr>
            </w:pPr>
            <w:r w:rsidRPr="002E7526">
              <w:rPr>
                <w:rStyle w:val="normaltextrun"/>
                <w:sz w:val="20"/>
                <w:szCs w:val="20"/>
              </w:rPr>
              <w:t>70 (20)</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16EE375D" w14:textId="5117E85A" w:rsidR="004958F9" w:rsidRPr="002E7526" w:rsidRDefault="004958F9" w:rsidP="004958F9">
            <w:pPr>
              <w:spacing w:before="40" w:after="40"/>
              <w:jc w:val="center"/>
              <w:rPr>
                <w:bCs/>
                <w:kern w:val="32"/>
                <w:sz w:val="20"/>
                <w:szCs w:val="22"/>
              </w:rPr>
            </w:pPr>
            <w:r w:rsidRPr="002E7526">
              <w:rPr>
                <w:rStyle w:val="normaltextrun"/>
                <w:sz w:val="20"/>
                <w:szCs w:val="20"/>
              </w:rPr>
              <w:t>1 (0.3)</w:t>
            </w:r>
            <w:r w:rsidRPr="002E7526">
              <w:rPr>
                <w:rStyle w:val="eop"/>
                <w:sz w:val="20"/>
                <w:szCs w:val="20"/>
              </w:rPr>
              <w:t> </w:t>
            </w:r>
          </w:p>
        </w:tc>
      </w:tr>
      <w:tr w:rsidR="001B04D3" w:rsidRPr="00D80C35" w14:paraId="0B0DD7FF" w14:textId="4BCEA83A" w:rsidTr="001B04D3">
        <w:trPr>
          <w:cantSplit/>
          <w:trHeight w:val="85"/>
        </w:trPr>
        <w:tc>
          <w:tcPr>
            <w:tcW w:w="895" w:type="pct"/>
            <w:vMerge/>
          </w:tcPr>
          <w:p w14:paraId="77597566" w14:textId="77777777" w:rsidR="004958F9" w:rsidRPr="00D80C35" w:rsidRDefault="004958F9" w:rsidP="004958F9">
            <w:pPr>
              <w:spacing w:before="40" w:after="40"/>
              <w:jc w:val="center"/>
              <w:rPr>
                <w:b/>
                <w:kern w:val="32"/>
                <w:sz w:val="20"/>
                <w:szCs w:val="22"/>
              </w:rPr>
            </w:pPr>
          </w:p>
        </w:tc>
        <w:tc>
          <w:tcPr>
            <w:tcW w:w="896" w:type="pct"/>
            <w:shd w:val="clear" w:color="auto" w:fill="auto"/>
          </w:tcPr>
          <w:p w14:paraId="31C003F0" w14:textId="6AA786B4" w:rsidR="004958F9" w:rsidRPr="00D80C35" w:rsidRDefault="004958F9" w:rsidP="001416C1">
            <w:pPr>
              <w:spacing w:before="40" w:after="40"/>
              <w:jc w:val="center"/>
              <w:rPr>
                <w:bCs/>
                <w:kern w:val="32"/>
                <w:sz w:val="20"/>
                <w:szCs w:val="22"/>
              </w:rPr>
            </w:pPr>
            <w:r w:rsidRPr="00D80C35">
              <w:rPr>
                <w:bCs/>
                <w:kern w:val="32"/>
                <w:sz w:val="20"/>
                <w:szCs w:val="22"/>
              </w:rPr>
              <w:t>Nausea</w:t>
            </w:r>
          </w:p>
        </w:tc>
        <w:tc>
          <w:tcPr>
            <w:tcW w:w="822" w:type="pct"/>
            <w:shd w:val="clear" w:color="auto" w:fill="auto"/>
            <w:vAlign w:val="center"/>
          </w:tcPr>
          <w:p w14:paraId="4525FBA0" w14:textId="77777777" w:rsidR="004958F9" w:rsidRPr="00D80C35" w:rsidRDefault="004958F9" w:rsidP="004958F9">
            <w:pPr>
              <w:spacing w:before="40" w:after="40"/>
              <w:jc w:val="center"/>
              <w:rPr>
                <w:bCs/>
                <w:kern w:val="32"/>
                <w:sz w:val="20"/>
                <w:szCs w:val="22"/>
              </w:rPr>
            </w:pPr>
            <w:r w:rsidRPr="00D80C35">
              <w:rPr>
                <w:bCs/>
                <w:kern w:val="32"/>
                <w:sz w:val="20"/>
                <w:szCs w:val="22"/>
              </w:rPr>
              <w:t>123 (34.6)</w:t>
            </w:r>
          </w:p>
        </w:tc>
        <w:tc>
          <w:tcPr>
            <w:tcW w:w="821" w:type="pct"/>
            <w:shd w:val="clear" w:color="auto" w:fill="auto"/>
            <w:vAlign w:val="center"/>
          </w:tcPr>
          <w:p w14:paraId="5D331086" w14:textId="77777777" w:rsidR="004958F9" w:rsidRPr="00D80C35" w:rsidRDefault="004958F9" w:rsidP="004958F9">
            <w:pPr>
              <w:spacing w:before="40" w:after="40"/>
              <w:jc w:val="center"/>
              <w:rPr>
                <w:bCs/>
                <w:kern w:val="32"/>
                <w:sz w:val="20"/>
                <w:szCs w:val="22"/>
              </w:rPr>
            </w:pPr>
            <w:r w:rsidRPr="00D80C35">
              <w:rPr>
                <w:bCs/>
                <w:kern w:val="32"/>
                <w:sz w:val="20"/>
                <w:szCs w:val="22"/>
              </w:rPr>
              <w:t>3 (0.8)</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7DA1E819" w14:textId="2EFAD03E" w:rsidR="004958F9" w:rsidRPr="002E7526" w:rsidRDefault="004958F9" w:rsidP="004958F9">
            <w:pPr>
              <w:spacing w:before="40" w:after="40"/>
              <w:jc w:val="center"/>
              <w:rPr>
                <w:bCs/>
                <w:kern w:val="32"/>
                <w:sz w:val="20"/>
                <w:szCs w:val="22"/>
              </w:rPr>
            </w:pPr>
            <w:r w:rsidRPr="002E7526">
              <w:rPr>
                <w:rStyle w:val="normaltextrun"/>
                <w:sz w:val="20"/>
                <w:szCs w:val="20"/>
              </w:rPr>
              <w:t>54 (15.4)</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521890D0" w14:textId="1D39977E" w:rsidR="004958F9" w:rsidRPr="002E7526" w:rsidRDefault="004958F9" w:rsidP="004958F9">
            <w:pPr>
              <w:spacing w:before="40" w:after="40"/>
              <w:jc w:val="center"/>
              <w:rPr>
                <w:bCs/>
                <w:kern w:val="32"/>
                <w:sz w:val="20"/>
                <w:szCs w:val="22"/>
              </w:rPr>
            </w:pPr>
            <w:r w:rsidRPr="002E7526">
              <w:rPr>
                <w:rStyle w:val="normaltextrun"/>
                <w:sz w:val="20"/>
                <w:szCs w:val="20"/>
              </w:rPr>
              <w:t>2 (0.6)</w:t>
            </w:r>
            <w:r w:rsidRPr="002E7526">
              <w:rPr>
                <w:rStyle w:val="eop"/>
                <w:sz w:val="20"/>
                <w:szCs w:val="20"/>
              </w:rPr>
              <w:t> </w:t>
            </w:r>
          </w:p>
        </w:tc>
      </w:tr>
      <w:tr w:rsidR="001B04D3" w:rsidRPr="00D80C35" w14:paraId="2E73ED10" w14:textId="137849F1" w:rsidTr="001B04D3">
        <w:trPr>
          <w:cantSplit/>
          <w:trHeight w:val="85"/>
        </w:trPr>
        <w:tc>
          <w:tcPr>
            <w:tcW w:w="895" w:type="pct"/>
            <w:vMerge/>
          </w:tcPr>
          <w:p w14:paraId="2D241A05" w14:textId="77777777" w:rsidR="004958F9" w:rsidRPr="00D80C35" w:rsidRDefault="004958F9" w:rsidP="004958F9">
            <w:pPr>
              <w:spacing w:before="40" w:after="40"/>
              <w:jc w:val="center"/>
              <w:rPr>
                <w:b/>
                <w:kern w:val="32"/>
                <w:sz w:val="20"/>
                <w:szCs w:val="22"/>
              </w:rPr>
            </w:pPr>
          </w:p>
        </w:tc>
        <w:tc>
          <w:tcPr>
            <w:tcW w:w="896" w:type="pct"/>
            <w:shd w:val="clear" w:color="auto" w:fill="auto"/>
          </w:tcPr>
          <w:p w14:paraId="6F436123" w14:textId="22268C5D" w:rsidR="004958F9" w:rsidRPr="00D80C35" w:rsidRDefault="004958F9" w:rsidP="001416C1">
            <w:pPr>
              <w:spacing w:before="40" w:after="40"/>
              <w:jc w:val="center"/>
              <w:rPr>
                <w:bCs/>
                <w:kern w:val="32"/>
                <w:sz w:val="20"/>
                <w:szCs w:val="22"/>
              </w:rPr>
            </w:pPr>
            <w:r w:rsidRPr="00D80C35">
              <w:rPr>
                <w:bCs/>
                <w:kern w:val="32"/>
                <w:sz w:val="20"/>
                <w:szCs w:val="22"/>
              </w:rPr>
              <w:t>Vomiting</w:t>
            </w:r>
          </w:p>
        </w:tc>
        <w:tc>
          <w:tcPr>
            <w:tcW w:w="822" w:type="pct"/>
            <w:shd w:val="clear" w:color="auto" w:fill="auto"/>
            <w:vAlign w:val="center"/>
          </w:tcPr>
          <w:p w14:paraId="1C35DE67" w14:textId="77777777" w:rsidR="004958F9" w:rsidRPr="00D80C35" w:rsidRDefault="004958F9" w:rsidP="004958F9">
            <w:pPr>
              <w:spacing w:before="40" w:after="40"/>
              <w:jc w:val="center"/>
              <w:rPr>
                <w:bCs/>
                <w:kern w:val="32"/>
                <w:sz w:val="20"/>
                <w:szCs w:val="22"/>
              </w:rPr>
            </w:pPr>
            <w:r w:rsidRPr="00D80C35">
              <w:rPr>
                <w:bCs/>
                <w:kern w:val="32"/>
                <w:sz w:val="20"/>
                <w:szCs w:val="22"/>
              </w:rPr>
              <w:t>73 (20.6)</w:t>
            </w:r>
          </w:p>
        </w:tc>
        <w:tc>
          <w:tcPr>
            <w:tcW w:w="821" w:type="pct"/>
            <w:shd w:val="clear" w:color="auto" w:fill="auto"/>
            <w:vAlign w:val="center"/>
          </w:tcPr>
          <w:p w14:paraId="59A1C79E" w14:textId="77777777" w:rsidR="004958F9" w:rsidRPr="00D80C35" w:rsidRDefault="004958F9" w:rsidP="004958F9">
            <w:pPr>
              <w:spacing w:before="40" w:after="40"/>
              <w:jc w:val="center"/>
              <w:rPr>
                <w:bCs/>
                <w:kern w:val="32"/>
                <w:sz w:val="20"/>
                <w:szCs w:val="22"/>
              </w:rPr>
            </w:pPr>
            <w:r w:rsidRPr="00D80C35">
              <w:rPr>
                <w:bCs/>
                <w:kern w:val="32"/>
                <w:sz w:val="20"/>
                <w:szCs w:val="22"/>
              </w:rPr>
              <w:t>6 (1.7)</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2EE324CE" w14:textId="6713AE84" w:rsidR="004958F9" w:rsidRPr="002E7526" w:rsidRDefault="004958F9" w:rsidP="004958F9">
            <w:pPr>
              <w:spacing w:before="40" w:after="40"/>
              <w:jc w:val="center"/>
              <w:rPr>
                <w:bCs/>
                <w:kern w:val="32"/>
                <w:sz w:val="20"/>
                <w:szCs w:val="22"/>
              </w:rPr>
            </w:pPr>
            <w:r w:rsidRPr="002E7526">
              <w:rPr>
                <w:rStyle w:val="normaltextrun"/>
                <w:sz w:val="20"/>
                <w:szCs w:val="20"/>
              </w:rPr>
              <w:t>17 (4.9)</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08B955E1" w14:textId="45758B99" w:rsidR="004958F9" w:rsidRPr="002E7526" w:rsidRDefault="004958F9" w:rsidP="004958F9">
            <w:pPr>
              <w:spacing w:before="40" w:after="40"/>
              <w:jc w:val="center"/>
              <w:rPr>
                <w:bCs/>
                <w:kern w:val="32"/>
                <w:sz w:val="20"/>
                <w:szCs w:val="22"/>
              </w:rPr>
            </w:pPr>
            <w:r w:rsidRPr="002E7526">
              <w:rPr>
                <w:rStyle w:val="normaltextrun"/>
                <w:sz w:val="20"/>
                <w:szCs w:val="20"/>
              </w:rPr>
              <w:t>2 (0.6)</w:t>
            </w:r>
            <w:r w:rsidRPr="002E7526">
              <w:rPr>
                <w:rStyle w:val="eop"/>
                <w:sz w:val="20"/>
                <w:szCs w:val="20"/>
              </w:rPr>
              <w:t> </w:t>
            </w:r>
          </w:p>
        </w:tc>
      </w:tr>
      <w:tr w:rsidR="001B04D3" w:rsidRPr="00D80C35" w14:paraId="31037BC6" w14:textId="49205C79" w:rsidTr="001B04D3">
        <w:trPr>
          <w:cantSplit/>
          <w:trHeight w:val="85"/>
        </w:trPr>
        <w:tc>
          <w:tcPr>
            <w:tcW w:w="895" w:type="pct"/>
            <w:vMerge/>
          </w:tcPr>
          <w:p w14:paraId="305A5189" w14:textId="77777777" w:rsidR="004958F9" w:rsidRPr="00D80C35" w:rsidRDefault="004958F9" w:rsidP="004958F9">
            <w:pPr>
              <w:spacing w:before="40" w:after="40"/>
              <w:jc w:val="center"/>
              <w:rPr>
                <w:b/>
                <w:kern w:val="32"/>
                <w:sz w:val="20"/>
                <w:szCs w:val="22"/>
              </w:rPr>
            </w:pPr>
          </w:p>
        </w:tc>
        <w:tc>
          <w:tcPr>
            <w:tcW w:w="896" w:type="pct"/>
            <w:shd w:val="clear" w:color="auto" w:fill="auto"/>
          </w:tcPr>
          <w:p w14:paraId="7BAF2761" w14:textId="656AA0C2" w:rsidR="004958F9" w:rsidRPr="00D80C35" w:rsidRDefault="004958F9" w:rsidP="001416C1">
            <w:pPr>
              <w:spacing w:before="40" w:after="40"/>
              <w:jc w:val="center"/>
              <w:rPr>
                <w:bCs/>
                <w:kern w:val="32"/>
                <w:sz w:val="20"/>
                <w:szCs w:val="22"/>
              </w:rPr>
            </w:pPr>
            <w:r w:rsidRPr="00D80C35">
              <w:rPr>
                <w:bCs/>
                <w:kern w:val="32"/>
                <w:sz w:val="20"/>
                <w:szCs w:val="22"/>
              </w:rPr>
              <w:t>Stomatitis</w:t>
            </w:r>
            <w:r w:rsidRPr="00D80C35">
              <w:rPr>
                <w:bCs/>
                <w:kern w:val="32"/>
                <w:sz w:val="20"/>
                <w:szCs w:val="22"/>
                <w:vertAlign w:val="superscript"/>
              </w:rPr>
              <w:t>5</w:t>
            </w:r>
          </w:p>
        </w:tc>
        <w:tc>
          <w:tcPr>
            <w:tcW w:w="822" w:type="pct"/>
            <w:shd w:val="clear" w:color="auto" w:fill="auto"/>
            <w:vAlign w:val="center"/>
          </w:tcPr>
          <w:p w14:paraId="0E71F410" w14:textId="77777777" w:rsidR="004958F9" w:rsidRPr="00D80C35" w:rsidRDefault="004958F9" w:rsidP="004958F9">
            <w:pPr>
              <w:spacing w:before="40" w:after="40"/>
              <w:jc w:val="center"/>
              <w:rPr>
                <w:bCs/>
                <w:kern w:val="32"/>
                <w:sz w:val="20"/>
                <w:szCs w:val="22"/>
              </w:rPr>
            </w:pPr>
            <w:r w:rsidRPr="00D80C35">
              <w:rPr>
                <w:bCs/>
                <w:kern w:val="32"/>
                <w:sz w:val="20"/>
                <w:szCs w:val="22"/>
              </w:rPr>
              <w:t>61 (17.2)</w:t>
            </w:r>
          </w:p>
        </w:tc>
        <w:tc>
          <w:tcPr>
            <w:tcW w:w="821" w:type="pct"/>
            <w:shd w:val="clear" w:color="auto" w:fill="auto"/>
            <w:vAlign w:val="center"/>
          </w:tcPr>
          <w:p w14:paraId="44ACB75E" w14:textId="77777777" w:rsidR="004958F9" w:rsidRPr="00D80C35" w:rsidRDefault="004958F9" w:rsidP="004958F9">
            <w:pPr>
              <w:spacing w:before="40" w:after="40"/>
              <w:jc w:val="center"/>
              <w:rPr>
                <w:bCs/>
                <w:kern w:val="32"/>
                <w:sz w:val="20"/>
                <w:szCs w:val="22"/>
              </w:rPr>
            </w:pPr>
            <w:r w:rsidRPr="00D80C35">
              <w:rPr>
                <w:bCs/>
                <w:kern w:val="32"/>
                <w:sz w:val="20"/>
                <w:szCs w:val="22"/>
              </w:rPr>
              <w:t>7 (2.0)</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53A8CD03" w14:textId="791AEF8B" w:rsidR="004958F9" w:rsidRPr="002E7526" w:rsidRDefault="004958F9" w:rsidP="004958F9">
            <w:pPr>
              <w:spacing w:before="40" w:after="40"/>
              <w:jc w:val="center"/>
              <w:rPr>
                <w:bCs/>
                <w:kern w:val="32"/>
                <w:sz w:val="20"/>
                <w:szCs w:val="22"/>
              </w:rPr>
            </w:pPr>
            <w:r w:rsidRPr="002E7526">
              <w:rPr>
                <w:rStyle w:val="normaltextrun"/>
                <w:sz w:val="20"/>
                <w:szCs w:val="20"/>
              </w:rPr>
              <w:t>19 (5.4)</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79886F96" w14:textId="497949B8"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r>
      <w:tr w:rsidR="001B04D3" w:rsidRPr="00D80C35" w14:paraId="22FB7DC2" w14:textId="022DC156" w:rsidTr="001B04D3">
        <w:trPr>
          <w:cantSplit/>
          <w:trHeight w:val="85"/>
        </w:trPr>
        <w:tc>
          <w:tcPr>
            <w:tcW w:w="895" w:type="pct"/>
            <w:vMerge/>
          </w:tcPr>
          <w:p w14:paraId="6DB0209C" w14:textId="77777777" w:rsidR="004958F9" w:rsidRPr="00D80C35" w:rsidRDefault="004958F9" w:rsidP="004958F9">
            <w:pPr>
              <w:spacing w:before="40" w:after="40"/>
              <w:jc w:val="center"/>
              <w:rPr>
                <w:b/>
                <w:kern w:val="32"/>
                <w:sz w:val="20"/>
                <w:szCs w:val="22"/>
              </w:rPr>
            </w:pPr>
          </w:p>
        </w:tc>
        <w:tc>
          <w:tcPr>
            <w:tcW w:w="896" w:type="pct"/>
            <w:shd w:val="clear" w:color="auto" w:fill="auto"/>
          </w:tcPr>
          <w:p w14:paraId="18DFFE08" w14:textId="77777777" w:rsidR="004958F9" w:rsidRPr="00D80C35" w:rsidRDefault="004958F9" w:rsidP="004958F9">
            <w:pPr>
              <w:spacing w:before="40" w:after="40"/>
              <w:jc w:val="center"/>
              <w:rPr>
                <w:bCs/>
                <w:kern w:val="32"/>
                <w:sz w:val="20"/>
                <w:szCs w:val="22"/>
              </w:rPr>
            </w:pPr>
            <w:r w:rsidRPr="00D80C35">
              <w:rPr>
                <w:bCs/>
                <w:kern w:val="32"/>
                <w:sz w:val="20"/>
                <w:szCs w:val="22"/>
              </w:rPr>
              <w:t>Dyspepsia</w:t>
            </w:r>
          </w:p>
        </w:tc>
        <w:tc>
          <w:tcPr>
            <w:tcW w:w="822" w:type="pct"/>
            <w:shd w:val="clear" w:color="auto" w:fill="auto"/>
            <w:vAlign w:val="center"/>
          </w:tcPr>
          <w:p w14:paraId="6709C4C6" w14:textId="77777777" w:rsidR="004958F9" w:rsidRPr="00D80C35" w:rsidRDefault="004958F9" w:rsidP="004958F9">
            <w:pPr>
              <w:spacing w:before="40" w:after="40"/>
              <w:jc w:val="center"/>
              <w:rPr>
                <w:bCs/>
                <w:kern w:val="32"/>
                <w:sz w:val="20"/>
                <w:szCs w:val="22"/>
              </w:rPr>
            </w:pPr>
            <w:r w:rsidRPr="00D80C35">
              <w:rPr>
                <w:bCs/>
                <w:kern w:val="32"/>
                <w:sz w:val="20"/>
                <w:szCs w:val="22"/>
              </w:rPr>
              <w:t>18 (5.1)</w:t>
            </w:r>
          </w:p>
        </w:tc>
        <w:tc>
          <w:tcPr>
            <w:tcW w:w="821" w:type="pct"/>
            <w:shd w:val="clear" w:color="auto" w:fill="auto"/>
            <w:vAlign w:val="center"/>
          </w:tcPr>
          <w:p w14:paraId="7CCEC228" w14:textId="77777777" w:rsidR="004958F9" w:rsidRPr="00D80C35" w:rsidRDefault="004958F9" w:rsidP="004958F9">
            <w:pPr>
              <w:spacing w:before="40" w:after="40"/>
              <w:jc w:val="center"/>
              <w:rPr>
                <w:bCs/>
                <w:kern w:val="32"/>
                <w:sz w:val="20"/>
                <w:szCs w:val="22"/>
              </w:rPr>
            </w:pPr>
            <w:r w:rsidRPr="00D80C35">
              <w:rPr>
                <w:bCs/>
                <w:kern w:val="32"/>
                <w:sz w:val="20"/>
                <w:szCs w:val="22"/>
              </w:rPr>
              <w:t>0</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2C3195FC" w14:textId="19648F6D" w:rsidR="004958F9" w:rsidRPr="002E7526" w:rsidRDefault="004958F9" w:rsidP="004958F9">
            <w:pPr>
              <w:spacing w:before="40" w:after="40"/>
              <w:jc w:val="center"/>
              <w:rPr>
                <w:bCs/>
                <w:kern w:val="32"/>
                <w:sz w:val="20"/>
                <w:szCs w:val="22"/>
              </w:rPr>
            </w:pPr>
            <w:r w:rsidRPr="002E7526">
              <w:rPr>
                <w:rStyle w:val="normaltextrun"/>
                <w:sz w:val="20"/>
                <w:szCs w:val="20"/>
              </w:rPr>
              <w:t>7 (2.0)</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305EACD3" w14:textId="4D0DE937"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r>
      <w:tr w:rsidR="001B04D3" w:rsidRPr="00D80C35" w14:paraId="396162C4" w14:textId="3B18F76B" w:rsidTr="001B04D3">
        <w:trPr>
          <w:cantSplit/>
          <w:trHeight w:val="85"/>
        </w:trPr>
        <w:tc>
          <w:tcPr>
            <w:tcW w:w="895" w:type="pct"/>
            <w:vMerge w:val="restart"/>
            <w:shd w:val="clear" w:color="auto" w:fill="auto"/>
          </w:tcPr>
          <w:p w14:paraId="25142D75" w14:textId="77777777" w:rsidR="004958F9" w:rsidRPr="00D80C35" w:rsidRDefault="004958F9" w:rsidP="004958F9">
            <w:pPr>
              <w:spacing w:before="40" w:after="40"/>
              <w:jc w:val="center"/>
              <w:rPr>
                <w:b/>
                <w:kern w:val="32"/>
                <w:sz w:val="20"/>
                <w:szCs w:val="22"/>
              </w:rPr>
            </w:pPr>
            <w:r w:rsidRPr="00D80C35">
              <w:rPr>
                <w:b/>
                <w:kern w:val="32"/>
                <w:sz w:val="20"/>
                <w:szCs w:val="22"/>
              </w:rPr>
              <w:t>Skin and subcutaneous tissue disorders</w:t>
            </w:r>
          </w:p>
        </w:tc>
        <w:tc>
          <w:tcPr>
            <w:tcW w:w="896" w:type="pct"/>
            <w:shd w:val="clear" w:color="auto" w:fill="auto"/>
          </w:tcPr>
          <w:p w14:paraId="12209AE7" w14:textId="77777777" w:rsidR="004958F9" w:rsidRPr="00D80C35" w:rsidRDefault="004958F9" w:rsidP="004958F9">
            <w:pPr>
              <w:spacing w:before="40" w:after="40"/>
              <w:jc w:val="center"/>
              <w:rPr>
                <w:bCs/>
                <w:kern w:val="32"/>
                <w:sz w:val="20"/>
                <w:szCs w:val="22"/>
              </w:rPr>
            </w:pPr>
            <w:r w:rsidRPr="00D80C35">
              <w:rPr>
                <w:bCs/>
                <w:kern w:val="32"/>
                <w:sz w:val="20"/>
                <w:szCs w:val="22"/>
              </w:rPr>
              <w:t>Rash</w:t>
            </w:r>
            <w:r w:rsidRPr="00D80C35">
              <w:rPr>
                <w:bCs/>
                <w:kern w:val="32"/>
                <w:sz w:val="20"/>
                <w:szCs w:val="22"/>
                <w:vertAlign w:val="superscript"/>
              </w:rPr>
              <w:t>6</w:t>
            </w:r>
          </w:p>
        </w:tc>
        <w:tc>
          <w:tcPr>
            <w:tcW w:w="822" w:type="pct"/>
            <w:shd w:val="clear" w:color="auto" w:fill="auto"/>
            <w:vAlign w:val="center"/>
          </w:tcPr>
          <w:p w14:paraId="35668250" w14:textId="308BE746" w:rsidR="004958F9" w:rsidRPr="00D80C35" w:rsidRDefault="004958F9" w:rsidP="004958F9">
            <w:pPr>
              <w:spacing w:before="40" w:after="40"/>
              <w:jc w:val="center"/>
              <w:rPr>
                <w:bCs/>
                <w:kern w:val="32"/>
                <w:sz w:val="20"/>
                <w:szCs w:val="22"/>
              </w:rPr>
            </w:pPr>
            <w:bookmarkStart w:id="28" w:name="_Hlk126576628"/>
            <w:r w:rsidRPr="00D80C35">
              <w:rPr>
                <w:bCs/>
                <w:kern w:val="32"/>
                <w:sz w:val="20"/>
                <w:szCs w:val="22"/>
              </w:rPr>
              <w:t>143 (40.3)</w:t>
            </w:r>
            <w:bookmarkEnd w:id="28"/>
          </w:p>
        </w:tc>
        <w:tc>
          <w:tcPr>
            <w:tcW w:w="821" w:type="pct"/>
            <w:shd w:val="clear" w:color="auto" w:fill="auto"/>
            <w:vAlign w:val="center"/>
          </w:tcPr>
          <w:p w14:paraId="38A1FC86" w14:textId="77777777" w:rsidR="004958F9" w:rsidRPr="00D80C35" w:rsidRDefault="004958F9" w:rsidP="004958F9">
            <w:pPr>
              <w:spacing w:before="40" w:after="40"/>
              <w:jc w:val="center"/>
              <w:rPr>
                <w:bCs/>
                <w:kern w:val="32"/>
                <w:sz w:val="20"/>
                <w:szCs w:val="22"/>
              </w:rPr>
            </w:pPr>
            <w:r w:rsidRPr="00D80C35">
              <w:rPr>
                <w:bCs/>
                <w:kern w:val="32"/>
                <w:sz w:val="20"/>
                <w:szCs w:val="22"/>
              </w:rPr>
              <w:t>44 (12.4)</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775A1D8A" w14:textId="41DEF9AD" w:rsidR="004958F9" w:rsidRPr="002E7526" w:rsidRDefault="004958F9" w:rsidP="004958F9">
            <w:pPr>
              <w:spacing w:before="40" w:after="40"/>
              <w:jc w:val="center"/>
              <w:rPr>
                <w:bCs/>
                <w:kern w:val="32"/>
                <w:sz w:val="20"/>
                <w:szCs w:val="22"/>
              </w:rPr>
            </w:pPr>
            <w:r w:rsidRPr="002E7526">
              <w:rPr>
                <w:rStyle w:val="normaltextrun"/>
                <w:sz w:val="20"/>
                <w:szCs w:val="20"/>
              </w:rPr>
              <w:t>29 (8.3)</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47D88968" w14:textId="29B8C6DD" w:rsidR="004958F9" w:rsidRPr="002E7526" w:rsidRDefault="004958F9" w:rsidP="004958F9">
            <w:pPr>
              <w:spacing w:before="40" w:after="40"/>
              <w:jc w:val="center"/>
              <w:rPr>
                <w:bCs/>
                <w:kern w:val="32"/>
                <w:sz w:val="20"/>
                <w:szCs w:val="22"/>
              </w:rPr>
            </w:pPr>
            <w:r w:rsidRPr="002E7526">
              <w:rPr>
                <w:rStyle w:val="normaltextrun"/>
                <w:sz w:val="20"/>
                <w:szCs w:val="20"/>
              </w:rPr>
              <w:t>1 (0.3)</w:t>
            </w:r>
            <w:r w:rsidRPr="002E7526">
              <w:rPr>
                <w:rStyle w:val="eop"/>
                <w:sz w:val="20"/>
                <w:szCs w:val="20"/>
              </w:rPr>
              <w:t> </w:t>
            </w:r>
          </w:p>
        </w:tc>
      </w:tr>
      <w:tr w:rsidR="001B04D3" w:rsidRPr="00D80C35" w14:paraId="344B1E46" w14:textId="591C23D6" w:rsidTr="001B04D3">
        <w:trPr>
          <w:cantSplit/>
          <w:trHeight w:val="85"/>
        </w:trPr>
        <w:tc>
          <w:tcPr>
            <w:tcW w:w="895" w:type="pct"/>
            <w:vMerge/>
          </w:tcPr>
          <w:p w14:paraId="6816DAFC" w14:textId="77777777" w:rsidR="004958F9" w:rsidRPr="00D80C35" w:rsidRDefault="004958F9" w:rsidP="004958F9">
            <w:pPr>
              <w:spacing w:before="40" w:after="40"/>
              <w:jc w:val="center"/>
              <w:rPr>
                <w:b/>
                <w:kern w:val="32"/>
                <w:sz w:val="20"/>
                <w:szCs w:val="22"/>
              </w:rPr>
            </w:pPr>
          </w:p>
        </w:tc>
        <w:tc>
          <w:tcPr>
            <w:tcW w:w="896" w:type="pct"/>
            <w:shd w:val="clear" w:color="auto" w:fill="auto"/>
          </w:tcPr>
          <w:p w14:paraId="4FDBD0F5" w14:textId="77777777" w:rsidR="004958F9" w:rsidRPr="00D80C35" w:rsidRDefault="004958F9" w:rsidP="004958F9">
            <w:pPr>
              <w:spacing w:before="40" w:after="40"/>
              <w:jc w:val="center"/>
              <w:rPr>
                <w:bCs/>
                <w:kern w:val="32"/>
                <w:sz w:val="20"/>
                <w:szCs w:val="22"/>
              </w:rPr>
            </w:pPr>
            <w:proofErr w:type="spellStart"/>
            <w:r w:rsidRPr="00D80C35">
              <w:rPr>
                <w:bCs/>
                <w:kern w:val="32"/>
                <w:sz w:val="20"/>
                <w:szCs w:val="22"/>
              </w:rPr>
              <w:t>Pruritis</w:t>
            </w:r>
            <w:proofErr w:type="spellEnd"/>
          </w:p>
        </w:tc>
        <w:tc>
          <w:tcPr>
            <w:tcW w:w="822" w:type="pct"/>
            <w:shd w:val="clear" w:color="auto" w:fill="auto"/>
            <w:vAlign w:val="center"/>
          </w:tcPr>
          <w:p w14:paraId="072A2850" w14:textId="77777777" w:rsidR="004958F9" w:rsidRPr="00D80C35" w:rsidRDefault="004958F9" w:rsidP="004958F9">
            <w:pPr>
              <w:spacing w:before="40" w:after="40"/>
              <w:jc w:val="center"/>
              <w:rPr>
                <w:bCs/>
                <w:kern w:val="32"/>
                <w:sz w:val="20"/>
                <w:szCs w:val="22"/>
              </w:rPr>
            </w:pPr>
            <w:r w:rsidRPr="00D80C35">
              <w:rPr>
                <w:bCs/>
                <w:kern w:val="32"/>
                <w:sz w:val="20"/>
                <w:szCs w:val="22"/>
              </w:rPr>
              <w:t>44 (12.4)</w:t>
            </w:r>
          </w:p>
        </w:tc>
        <w:tc>
          <w:tcPr>
            <w:tcW w:w="821" w:type="pct"/>
            <w:shd w:val="clear" w:color="auto" w:fill="auto"/>
            <w:vAlign w:val="center"/>
          </w:tcPr>
          <w:p w14:paraId="775934CA" w14:textId="77777777" w:rsidR="004958F9" w:rsidRPr="00D80C35" w:rsidRDefault="004958F9" w:rsidP="004958F9">
            <w:pPr>
              <w:spacing w:before="40" w:after="40"/>
              <w:jc w:val="center"/>
              <w:rPr>
                <w:bCs/>
                <w:kern w:val="32"/>
                <w:sz w:val="20"/>
                <w:szCs w:val="22"/>
              </w:rPr>
            </w:pPr>
            <w:r w:rsidRPr="00D80C35">
              <w:rPr>
                <w:bCs/>
                <w:kern w:val="32"/>
                <w:sz w:val="20"/>
                <w:szCs w:val="22"/>
              </w:rPr>
              <w:t>2 (0.6)</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577BC2BE" w14:textId="221D3AB7" w:rsidR="004958F9" w:rsidRPr="002E7526" w:rsidRDefault="004958F9" w:rsidP="004958F9">
            <w:pPr>
              <w:spacing w:before="40" w:after="40"/>
              <w:jc w:val="center"/>
              <w:rPr>
                <w:bCs/>
                <w:kern w:val="32"/>
                <w:sz w:val="20"/>
                <w:szCs w:val="22"/>
              </w:rPr>
            </w:pPr>
            <w:r w:rsidRPr="002E7526">
              <w:rPr>
                <w:rStyle w:val="normaltextrun"/>
                <w:sz w:val="20"/>
                <w:szCs w:val="20"/>
              </w:rPr>
              <w:t>23 (6.6)</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2797A668" w14:textId="30B1C4A2"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r>
      <w:tr w:rsidR="001B04D3" w:rsidRPr="00D80C35" w14:paraId="62A4A092" w14:textId="7FD79934" w:rsidTr="001B04D3">
        <w:trPr>
          <w:cantSplit/>
          <w:trHeight w:val="85"/>
        </w:trPr>
        <w:tc>
          <w:tcPr>
            <w:tcW w:w="895" w:type="pct"/>
            <w:vMerge/>
          </w:tcPr>
          <w:p w14:paraId="40D524B1" w14:textId="77777777" w:rsidR="004958F9" w:rsidRPr="00D80C35" w:rsidRDefault="004958F9" w:rsidP="004958F9">
            <w:pPr>
              <w:spacing w:before="40" w:after="40"/>
              <w:jc w:val="center"/>
              <w:rPr>
                <w:b/>
                <w:kern w:val="32"/>
                <w:sz w:val="20"/>
                <w:szCs w:val="22"/>
              </w:rPr>
            </w:pPr>
          </w:p>
        </w:tc>
        <w:tc>
          <w:tcPr>
            <w:tcW w:w="896" w:type="pct"/>
            <w:shd w:val="clear" w:color="auto" w:fill="auto"/>
          </w:tcPr>
          <w:p w14:paraId="4BED7C28" w14:textId="77777777" w:rsidR="004958F9" w:rsidRPr="00D80C35" w:rsidRDefault="004958F9" w:rsidP="004958F9">
            <w:pPr>
              <w:spacing w:before="40" w:after="40"/>
              <w:jc w:val="center"/>
              <w:rPr>
                <w:bCs/>
                <w:kern w:val="32"/>
                <w:sz w:val="20"/>
                <w:szCs w:val="22"/>
              </w:rPr>
            </w:pPr>
            <w:r w:rsidRPr="00D80C35">
              <w:rPr>
                <w:bCs/>
                <w:kern w:val="32"/>
                <w:sz w:val="20"/>
                <w:szCs w:val="22"/>
              </w:rPr>
              <w:t>Dry skin</w:t>
            </w:r>
          </w:p>
        </w:tc>
        <w:tc>
          <w:tcPr>
            <w:tcW w:w="822" w:type="pct"/>
            <w:shd w:val="clear" w:color="auto" w:fill="auto"/>
            <w:vAlign w:val="center"/>
          </w:tcPr>
          <w:p w14:paraId="344D9371" w14:textId="77777777" w:rsidR="004958F9" w:rsidRPr="00D80C35" w:rsidRDefault="004958F9" w:rsidP="004958F9">
            <w:pPr>
              <w:spacing w:before="40" w:after="40"/>
              <w:jc w:val="center"/>
              <w:rPr>
                <w:bCs/>
                <w:kern w:val="32"/>
                <w:sz w:val="20"/>
                <w:szCs w:val="22"/>
              </w:rPr>
            </w:pPr>
            <w:r w:rsidRPr="00D80C35">
              <w:rPr>
                <w:bCs/>
                <w:kern w:val="32"/>
                <w:sz w:val="20"/>
                <w:szCs w:val="22"/>
              </w:rPr>
              <w:t>25 (7.0)</w:t>
            </w:r>
          </w:p>
        </w:tc>
        <w:tc>
          <w:tcPr>
            <w:tcW w:w="821" w:type="pct"/>
            <w:shd w:val="clear" w:color="auto" w:fill="auto"/>
            <w:vAlign w:val="center"/>
          </w:tcPr>
          <w:p w14:paraId="1F1E2600" w14:textId="77777777" w:rsidR="004958F9" w:rsidRPr="00D80C35" w:rsidRDefault="004958F9" w:rsidP="004958F9">
            <w:pPr>
              <w:spacing w:before="40" w:after="40"/>
              <w:jc w:val="center"/>
              <w:rPr>
                <w:bCs/>
                <w:kern w:val="32"/>
                <w:sz w:val="20"/>
                <w:szCs w:val="22"/>
              </w:rPr>
            </w:pPr>
            <w:r w:rsidRPr="00D80C35">
              <w:rPr>
                <w:bCs/>
                <w:kern w:val="32"/>
                <w:sz w:val="20"/>
                <w:szCs w:val="22"/>
              </w:rPr>
              <w:t>0</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696898F2" w14:textId="5662424A" w:rsidR="004958F9" w:rsidRPr="002E7526" w:rsidRDefault="004958F9" w:rsidP="004958F9">
            <w:pPr>
              <w:spacing w:before="40" w:after="40"/>
              <w:jc w:val="center"/>
              <w:rPr>
                <w:bCs/>
                <w:kern w:val="32"/>
                <w:sz w:val="20"/>
                <w:szCs w:val="22"/>
              </w:rPr>
            </w:pPr>
            <w:r w:rsidRPr="002E7526">
              <w:rPr>
                <w:rStyle w:val="normaltextrun"/>
                <w:sz w:val="20"/>
                <w:szCs w:val="20"/>
              </w:rPr>
              <w:t>15 (4.3)</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0D1D4D4A" w14:textId="2ED1451B" w:rsidR="004958F9" w:rsidRPr="002E7526" w:rsidRDefault="004958F9" w:rsidP="004958F9">
            <w:pPr>
              <w:spacing w:before="40" w:after="40"/>
              <w:jc w:val="center"/>
              <w:rPr>
                <w:bCs/>
                <w:kern w:val="32"/>
                <w:sz w:val="20"/>
                <w:szCs w:val="22"/>
              </w:rPr>
            </w:pPr>
            <w:r w:rsidRPr="002E7526">
              <w:rPr>
                <w:rStyle w:val="normaltextrun"/>
                <w:sz w:val="20"/>
                <w:szCs w:val="20"/>
              </w:rPr>
              <w:t>1 (0.3)</w:t>
            </w:r>
            <w:r w:rsidRPr="002E7526">
              <w:rPr>
                <w:rStyle w:val="eop"/>
                <w:sz w:val="20"/>
                <w:szCs w:val="20"/>
              </w:rPr>
              <w:t> </w:t>
            </w:r>
          </w:p>
        </w:tc>
      </w:tr>
      <w:tr w:rsidR="001B04D3" w:rsidRPr="00D80C35" w14:paraId="6862B74C" w14:textId="382ACADA" w:rsidTr="001B04D3">
        <w:trPr>
          <w:cantSplit/>
          <w:trHeight w:val="85"/>
        </w:trPr>
        <w:tc>
          <w:tcPr>
            <w:tcW w:w="895" w:type="pct"/>
            <w:vMerge/>
          </w:tcPr>
          <w:p w14:paraId="60B0E152" w14:textId="77777777" w:rsidR="004958F9" w:rsidRPr="00D80C35" w:rsidRDefault="004958F9" w:rsidP="004958F9">
            <w:pPr>
              <w:spacing w:before="40" w:after="40"/>
              <w:jc w:val="center"/>
              <w:rPr>
                <w:b/>
                <w:kern w:val="32"/>
                <w:sz w:val="20"/>
                <w:szCs w:val="22"/>
              </w:rPr>
            </w:pPr>
          </w:p>
        </w:tc>
        <w:tc>
          <w:tcPr>
            <w:tcW w:w="896" w:type="pct"/>
            <w:shd w:val="clear" w:color="auto" w:fill="auto"/>
          </w:tcPr>
          <w:p w14:paraId="7CC0F049" w14:textId="77777777" w:rsidR="004958F9" w:rsidRPr="00D80C35" w:rsidRDefault="004958F9" w:rsidP="004958F9">
            <w:pPr>
              <w:spacing w:before="40" w:after="40"/>
              <w:jc w:val="center"/>
              <w:rPr>
                <w:bCs/>
                <w:kern w:val="32"/>
                <w:sz w:val="20"/>
                <w:szCs w:val="22"/>
              </w:rPr>
            </w:pPr>
            <w:r w:rsidRPr="00D80C35">
              <w:rPr>
                <w:bCs/>
                <w:kern w:val="32"/>
                <w:sz w:val="20"/>
                <w:szCs w:val="22"/>
              </w:rPr>
              <w:t>Erythema multiforme</w:t>
            </w:r>
          </w:p>
        </w:tc>
        <w:tc>
          <w:tcPr>
            <w:tcW w:w="822" w:type="pct"/>
            <w:shd w:val="clear" w:color="auto" w:fill="auto"/>
            <w:vAlign w:val="center"/>
          </w:tcPr>
          <w:p w14:paraId="73B73B81" w14:textId="77777777" w:rsidR="004958F9" w:rsidRPr="00D80C35" w:rsidRDefault="004958F9" w:rsidP="004958F9">
            <w:pPr>
              <w:spacing w:before="40" w:after="40"/>
              <w:jc w:val="center"/>
              <w:rPr>
                <w:bCs/>
                <w:kern w:val="32"/>
                <w:sz w:val="20"/>
                <w:szCs w:val="22"/>
              </w:rPr>
            </w:pPr>
            <w:r w:rsidRPr="00D80C35">
              <w:rPr>
                <w:bCs/>
                <w:kern w:val="32"/>
                <w:sz w:val="20"/>
                <w:szCs w:val="22"/>
              </w:rPr>
              <w:t>6 (1.7)</w:t>
            </w:r>
          </w:p>
        </w:tc>
        <w:tc>
          <w:tcPr>
            <w:tcW w:w="821" w:type="pct"/>
            <w:shd w:val="clear" w:color="auto" w:fill="auto"/>
            <w:vAlign w:val="center"/>
          </w:tcPr>
          <w:p w14:paraId="5772C0FE" w14:textId="77777777" w:rsidR="004958F9" w:rsidRPr="00D80C35" w:rsidRDefault="004958F9" w:rsidP="004958F9">
            <w:pPr>
              <w:spacing w:before="40" w:after="40"/>
              <w:jc w:val="center"/>
              <w:rPr>
                <w:bCs/>
                <w:kern w:val="32"/>
                <w:sz w:val="20"/>
                <w:szCs w:val="22"/>
              </w:rPr>
            </w:pPr>
            <w:r w:rsidRPr="00D80C35">
              <w:rPr>
                <w:bCs/>
                <w:kern w:val="32"/>
                <w:sz w:val="20"/>
                <w:szCs w:val="22"/>
              </w:rPr>
              <w:t>3 (0.8)</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2AC8F1BA" w14:textId="1295F97C"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5CB4E529" w14:textId="2D54F6E0"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r>
      <w:tr w:rsidR="001B04D3" w:rsidRPr="00D80C35" w14:paraId="23025044" w14:textId="22C8392D" w:rsidTr="001B04D3">
        <w:trPr>
          <w:cantSplit/>
          <w:trHeight w:val="85"/>
        </w:trPr>
        <w:tc>
          <w:tcPr>
            <w:tcW w:w="895" w:type="pct"/>
            <w:vMerge/>
          </w:tcPr>
          <w:p w14:paraId="2E1ED572" w14:textId="77777777" w:rsidR="004958F9" w:rsidRPr="00D80C35" w:rsidRDefault="004958F9" w:rsidP="004958F9">
            <w:pPr>
              <w:spacing w:before="40" w:after="40"/>
              <w:jc w:val="center"/>
              <w:rPr>
                <w:b/>
                <w:kern w:val="32"/>
                <w:sz w:val="20"/>
                <w:szCs w:val="22"/>
              </w:rPr>
            </w:pPr>
          </w:p>
        </w:tc>
        <w:tc>
          <w:tcPr>
            <w:tcW w:w="896" w:type="pct"/>
            <w:shd w:val="clear" w:color="auto" w:fill="auto"/>
          </w:tcPr>
          <w:p w14:paraId="6FEF5366" w14:textId="77777777" w:rsidR="004958F9" w:rsidRPr="00D80C35" w:rsidRDefault="004958F9" w:rsidP="004958F9">
            <w:pPr>
              <w:spacing w:before="40" w:after="40"/>
              <w:jc w:val="center"/>
              <w:rPr>
                <w:bCs/>
                <w:kern w:val="32"/>
                <w:sz w:val="20"/>
                <w:szCs w:val="22"/>
              </w:rPr>
            </w:pPr>
            <w:r w:rsidRPr="00D80C35">
              <w:rPr>
                <w:bCs/>
                <w:kern w:val="32"/>
                <w:sz w:val="20"/>
                <w:szCs w:val="22"/>
              </w:rPr>
              <w:t>Drug Eruption</w:t>
            </w:r>
          </w:p>
        </w:tc>
        <w:tc>
          <w:tcPr>
            <w:tcW w:w="822" w:type="pct"/>
            <w:shd w:val="clear" w:color="auto" w:fill="auto"/>
            <w:vAlign w:val="center"/>
          </w:tcPr>
          <w:p w14:paraId="2406EC52" w14:textId="77777777" w:rsidR="004958F9" w:rsidRPr="00D80C35" w:rsidRDefault="004958F9" w:rsidP="004958F9">
            <w:pPr>
              <w:spacing w:before="40" w:after="40"/>
              <w:jc w:val="center"/>
              <w:rPr>
                <w:bCs/>
                <w:kern w:val="32"/>
                <w:sz w:val="20"/>
                <w:szCs w:val="22"/>
              </w:rPr>
            </w:pPr>
            <w:r w:rsidRPr="00D80C35">
              <w:rPr>
                <w:bCs/>
                <w:kern w:val="32"/>
                <w:sz w:val="20"/>
                <w:szCs w:val="22"/>
              </w:rPr>
              <w:t>4 (1.1)</w:t>
            </w:r>
          </w:p>
        </w:tc>
        <w:tc>
          <w:tcPr>
            <w:tcW w:w="821" w:type="pct"/>
            <w:shd w:val="clear" w:color="auto" w:fill="auto"/>
            <w:vAlign w:val="center"/>
          </w:tcPr>
          <w:p w14:paraId="38A4BD63" w14:textId="77777777" w:rsidR="004958F9" w:rsidRPr="00D80C35" w:rsidRDefault="004958F9" w:rsidP="004958F9">
            <w:pPr>
              <w:spacing w:before="40" w:after="40"/>
              <w:jc w:val="center"/>
              <w:rPr>
                <w:bCs/>
                <w:kern w:val="32"/>
                <w:sz w:val="20"/>
                <w:szCs w:val="22"/>
              </w:rPr>
            </w:pPr>
            <w:r w:rsidRPr="00D80C35">
              <w:rPr>
                <w:bCs/>
                <w:kern w:val="32"/>
                <w:sz w:val="20"/>
                <w:szCs w:val="22"/>
              </w:rPr>
              <w:t>4 (1.1)</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401F34B8" w14:textId="1E90D367"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764640AC" w14:textId="2F8FAF97"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r>
      <w:tr w:rsidR="001B04D3" w:rsidRPr="00D80C35" w14:paraId="7AFD82C0" w14:textId="002BF1B6" w:rsidTr="001B04D3">
        <w:trPr>
          <w:cantSplit/>
          <w:trHeight w:val="85"/>
        </w:trPr>
        <w:tc>
          <w:tcPr>
            <w:tcW w:w="895" w:type="pct"/>
            <w:vMerge/>
          </w:tcPr>
          <w:p w14:paraId="2ACDF741" w14:textId="77777777" w:rsidR="004958F9" w:rsidRPr="00D80C35" w:rsidRDefault="004958F9" w:rsidP="004958F9">
            <w:pPr>
              <w:spacing w:before="40" w:after="40"/>
              <w:jc w:val="center"/>
              <w:rPr>
                <w:b/>
                <w:kern w:val="32"/>
                <w:sz w:val="20"/>
                <w:szCs w:val="22"/>
              </w:rPr>
            </w:pPr>
          </w:p>
        </w:tc>
        <w:tc>
          <w:tcPr>
            <w:tcW w:w="896" w:type="pct"/>
            <w:shd w:val="clear" w:color="auto" w:fill="auto"/>
          </w:tcPr>
          <w:p w14:paraId="3A933515" w14:textId="77777777" w:rsidR="004958F9" w:rsidRPr="00D80C35" w:rsidRDefault="004958F9" w:rsidP="004958F9">
            <w:pPr>
              <w:spacing w:before="40" w:after="40"/>
              <w:jc w:val="center"/>
              <w:rPr>
                <w:bCs/>
                <w:kern w:val="32"/>
                <w:sz w:val="20"/>
                <w:szCs w:val="22"/>
              </w:rPr>
            </w:pPr>
            <w:r w:rsidRPr="00D80C35">
              <w:rPr>
                <w:bCs/>
                <w:kern w:val="32"/>
                <w:sz w:val="20"/>
                <w:szCs w:val="22"/>
              </w:rPr>
              <w:t>Dermatitis</w:t>
            </w:r>
          </w:p>
        </w:tc>
        <w:tc>
          <w:tcPr>
            <w:tcW w:w="822" w:type="pct"/>
            <w:shd w:val="clear" w:color="auto" w:fill="auto"/>
            <w:vAlign w:val="center"/>
          </w:tcPr>
          <w:p w14:paraId="0419C8D1" w14:textId="77777777" w:rsidR="004958F9" w:rsidRPr="00D80C35" w:rsidRDefault="004958F9" w:rsidP="004958F9">
            <w:pPr>
              <w:spacing w:before="40" w:after="40"/>
              <w:jc w:val="center"/>
              <w:rPr>
                <w:bCs/>
                <w:kern w:val="32"/>
                <w:sz w:val="20"/>
                <w:szCs w:val="22"/>
              </w:rPr>
            </w:pPr>
            <w:r w:rsidRPr="00D80C35">
              <w:rPr>
                <w:bCs/>
                <w:kern w:val="32"/>
                <w:sz w:val="20"/>
                <w:szCs w:val="22"/>
              </w:rPr>
              <w:t>3 (0.8)</w:t>
            </w:r>
          </w:p>
        </w:tc>
        <w:tc>
          <w:tcPr>
            <w:tcW w:w="821" w:type="pct"/>
            <w:shd w:val="clear" w:color="auto" w:fill="auto"/>
            <w:vAlign w:val="center"/>
          </w:tcPr>
          <w:p w14:paraId="6C39A861" w14:textId="77777777" w:rsidR="004958F9" w:rsidRPr="00D80C35" w:rsidRDefault="004958F9" w:rsidP="004958F9">
            <w:pPr>
              <w:spacing w:before="40" w:after="40"/>
              <w:jc w:val="center"/>
              <w:rPr>
                <w:bCs/>
                <w:kern w:val="32"/>
                <w:sz w:val="20"/>
                <w:szCs w:val="22"/>
              </w:rPr>
            </w:pPr>
            <w:r w:rsidRPr="00D80C35">
              <w:rPr>
                <w:bCs/>
                <w:kern w:val="32"/>
                <w:sz w:val="20"/>
                <w:szCs w:val="22"/>
              </w:rPr>
              <w:t>0</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283D8A2D" w14:textId="350AE997" w:rsidR="004958F9" w:rsidRPr="002E7526" w:rsidRDefault="004958F9" w:rsidP="004958F9">
            <w:pPr>
              <w:spacing w:before="40" w:after="40"/>
              <w:jc w:val="center"/>
              <w:rPr>
                <w:bCs/>
                <w:kern w:val="32"/>
                <w:sz w:val="20"/>
                <w:szCs w:val="22"/>
              </w:rPr>
            </w:pPr>
            <w:r w:rsidRPr="002E7526">
              <w:rPr>
                <w:rStyle w:val="normaltextrun"/>
                <w:sz w:val="20"/>
                <w:szCs w:val="20"/>
              </w:rPr>
              <w:t>1 (0.3)</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30E483E6" w14:textId="365000E2"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r>
      <w:tr w:rsidR="001B04D3" w:rsidRPr="00D80C35" w14:paraId="639B0848" w14:textId="49A4CB8C" w:rsidTr="001B04D3">
        <w:trPr>
          <w:cantSplit/>
          <w:trHeight w:val="85"/>
        </w:trPr>
        <w:tc>
          <w:tcPr>
            <w:tcW w:w="895" w:type="pct"/>
            <w:vMerge/>
          </w:tcPr>
          <w:p w14:paraId="6A8E0725" w14:textId="77777777" w:rsidR="004958F9" w:rsidRPr="00D80C35" w:rsidRDefault="004958F9" w:rsidP="004958F9">
            <w:pPr>
              <w:spacing w:before="40" w:after="40"/>
              <w:jc w:val="center"/>
              <w:rPr>
                <w:b/>
                <w:kern w:val="32"/>
                <w:sz w:val="20"/>
                <w:szCs w:val="22"/>
              </w:rPr>
            </w:pPr>
          </w:p>
        </w:tc>
        <w:tc>
          <w:tcPr>
            <w:tcW w:w="896" w:type="pct"/>
            <w:shd w:val="clear" w:color="auto" w:fill="auto"/>
          </w:tcPr>
          <w:p w14:paraId="65B4F8F8" w14:textId="77777777" w:rsidR="004958F9" w:rsidRPr="00D80C35" w:rsidRDefault="004958F9" w:rsidP="004958F9">
            <w:pPr>
              <w:spacing w:before="40" w:after="40"/>
              <w:jc w:val="center"/>
              <w:rPr>
                <w:bCs/>
                <w:kern w:val="32"/>
                <w:sz w:val="20"/>
                <w:szCs w:val="22"/>
              </w:rPr>
            </w:pPr>
            <w:r w:rsidRPr="00D80C35">
              <w:rPr>
                <w:bCs/>
                <w:kern w:val="32"/>
                <w:sz w:val="20"/>
                <w:szCs w:val="22"/>
              </w:rPr>
              <w:t>Dermatitis exfoliative generalised</w:t>
            </w:r>
          </w:p>
        </w:tc>
        <w:tc>
          <w:tcPr>
            <w:tcW w:w="822" w:type="pct"/>
            <w:shd w:val="clear" w:color="auto" w:fill="auto"/>
            <w:vAlign w:val="center"/>
          </w:tcPr>
          <w:p w14:paraId="6BEA58B8" w14:textId="77777777" w:rsidR="004958F9" w:rsidRPr="00D80C35" w:rsidRDefault="004958F9" w:rsidP="004958F9">
            <w:pPr>
              <w:spacing w:before="40" w:after="40"/>
              <w:jc w:val="center"/>
              <w:rPr>
                <w:bCs/>
                <w:kern w:val="32"/>
                <w:sz w:val="20"/>
                <w:szCs w:val="22"/>
              </w:rPr>
            </w:pPr>
            <w:r w:rsidRPr="00D80C35">
              <w:rPr>
                <w:bCs/>
                <w:kern w:val="32"/>
                <w:sz w:val="20"/>
                <w:szCs w:val="22"/>
              </w:rPr>
              <w:t>2 (0.6)</w:t>
            </w:r>
          </w:p>
        </w:tc>
        <w:tc>
          <w:tcPr>
            <w:tcW w:w="821" w:type="pct"/>
            <w:shd w:val="clear" w:color="auto" w:fill="auto"/>
            <w:vAlign w:val="center"/>
          </w:tcPr>
          <w:p w14:paraId="185A8488" w14:textId="77777777" w:rsidR="004958F9" w:rsidRPr="00D80C35" w:rsidRDefault="004958F9" w:rsidP="004958F9">
            <w:pPr>
              <w:spacing w:before="40" w:after="40"/>
              <w:jc w:val="center"/>
              <w:rPr>
                <w:bCs/>
                <w:kern w:val="32"/>
                <w:sz w:val="20"/>
                <w:szCs w:val="22"/>
              </w:rPr>
            </w:pPr>
            <w:r w:rsidRPr="00D80C35">
              <w:rPr>
                <w:bCs/>
                <w:kern w:val="32"/>
                <w:sz w:val="20"/>
                <w:szCs w:val="22"/>
              </w:rPr>
              <w:t>2 (0.6)</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55DBE1C8" w14:textId="7EB01128"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52219C8A" w14:textId="363EAD74"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r>
      <w:tr w:rsidR="001B04D3" w:rsidRPr="00D80C35" w14:paraId="39F28515" w14:textId="6E7F3C70" w:rsidTr="001B04D3">
        <w:trPr>
          <w:cantSplit/>
          <w:trHeight w:val="85"/>
        </w:trPr>
        <w:tc>
          <w:tcPr>
            <w:tcW w:w="895" w:type="pct"/>
            <w:vMerge/>
          </w:tcPr>
          <w:p w14:paraId="4D9998CF" w14:textId="77777777" w:rsidR="004958F9" w:rsidRPr="00D80C35" w:rsidRDefault="004958F9" w:rsidP="004958F9">
            <w:pPr>
              <w:spacing w:before="40" w:after="40"/>
              <w:jc w:val="center"/>
              <w:rPr>
                <w:b/>
                <w:kern w:val="32"/>
                <w:sz w:val="20"/>
                <w:szCs w:val="22"/>
              </w:rPr>
            </w:pPr>
          </w:p>
        </w:tc>
        <w:tc>
          <w:tcPr>
            <w:tcW w:w="896" w:type="pct"/>
            <w:shd w:val="clear" w:color="auto" w:fill="auto"/>
          </w:tcPr>
          <w:p w14:paraId="18881132" w14:textId="77777777" w:rsidR="004958F9" w:rsidRPr="00D80C35" w:rsidRDefault="004958F9" w:rsidP="004958F9">
            <w:pPr>
              <w:spacing w:before="40" w:after="40"/>
              <w:jc w:val="center"/>
              <w:rPr>
                <w:bCs/>
                <w:kern w:val="32"/>
                <w:sz w:val="20"/>
                <w:szCs w:val="22"/>
              </w:rPr>
            </w:pPr>
            <w:r w:rsidRPr="00D80C35">
              <w:rPr>
                <w:bCs/>
                <w:kern w:val="32"/>
                <w:sz w:val="20"/>
                <w:szCs w:val="22"/>
              </w:rPr>
              <w:t>Toxic Skin Eruption</w:t>
            </w:r>
          </w:p>
        </w:tc>
        <w:tc>
          <w:tcPr>
            <w:tcW w:w="822" w:type="pct"/>
            <w:shd w:val="clear" w:color="auto" w:fill="auto"/>
            <w:vAlign w:val="center"/>
          </w:tcPr>
          <w:p w14:paraId="5AB2C241" w14:textId="77777777" w:rsidR="004958F9" w:rsidRPr="00D80C35" w:rsidRDefault="004958F9" w:rsidP="004958F9">
            <w:pPr>
              <w:spacing w:before="40" w:after="40"/>
              <w:jc w:val="center"/>
              <w:rPr>
                <w:bCs/>
                <w:kern w:val="32"/>
                <w:sz w:val="20"/>
                <w:szCs w:val="22"/>
              </w:rPr>
            </w:pPr>
            <w:r w:rsidRPr="00D80C35">
              <w:rPr>
                <w:bCs/>
                <w:kern w:val="32"/>
                <w:sz w:val="20"/>
                <w:szCs w:val="22"/>
              </w:rPr>
              <w:t>1 (0.3)</w:t>
            </w:r>
          </w:p>
        </w:tc>
        <w:tc>
          <w:tcPr>
            <w:tcW w:w="821" w:type="pct"/>
            <w:shd w:val="clear" w:color="auto" w:fill="auto"/>
            <w:vAlign w:val="center"/>
          </w:tcPr>
          <w:p w14:paraId="16D30EFC" w14:textId="77777777" w:rsidR="004958F9" w:rsidRPr="00D80C35" w:rsidRDefault="004958F9" w:rsidP="004958F9">
            <w:pPr>
              <w:spacing w:before="40" w:after="40"/>
              <w:jc w:val="center"/>
              <w:rPr>
                <w:bCs/>
                <w:kern w:val="32"/>
                <w:sz w:val="20"/>
                <w:szCs w:val="22"/>
              </w:rPr>
            </w:pPr>
            <w:r w:rsidRPr="00D80C35">
              <w:rPr>
                <w:bCs/>
                <w:kern w:val="32"/>
                <w:sz w:val="20"/>
                <w:szCs w:val="22"/>
              </w:rPr>
              <w:t>0</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7591AAAA" w14:textId="438F1A6D"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223E7A84" w14:textId="1D90FC55"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r>
      <w:tr w:rsidR="001B04D3" w:rsidRPr="00D80C35" w14:paraId="7C9E1D75" w14:textId="51EEEE19" w:rsidTr="001B04D3">
        <w:trPr>
          <w:cantSplit/>
          <w:trHeight w:val="85"/>
        </w:trPr>
        <w:tc>
          <w:tcPr>
            <w:tcW w:w="895" w:type="pct"/>
            <w:vMerge w:val="restart"/>
            <w:shd w:val="clear" w:color="auto" w:fill="auto"/>
          </w:tcPr>
          <w:p w14:paraId="27E83E90" w14:textId="77777777" w:rsidR="004958F9" w:rsidRPr="00D80C35" w:rsidRDefault="004958F9" w:rsidP="004958F9">
            <w:pPr>
              <w:spacing w:before="40" w:after="40"/>
              <w:jc w:val="center"/>
              <w:rPr>
                <w:b/>
                <w:kern w:val="32"/>
                <w:sz w:val="20"/>
                <w:szCs w:val="22"/>
              </w:rPr>
            </w:pPr>
            <w:r w:rsidRPr="00D80C35">
              <w:rPr>
                <w:b/>
                <w:kern w:val="32"/>
                <w:sz w:val="20"/>
                <w:szCs w:val="22"/>
              </w:rPr>
              <w:t>General disorders and administration site conditions</w:t>
            </w:r>
          </w:p>
        </w:tc>
        <w:tc>
          <w:tcPr>
            <w:tcW w:w="896" w:type="pct"/>
            <w:shd w:val="clear" w:color="auto" w:fill="auto"/>
          </w:tcPr>
          <w:p w14:paraId="13B4DC2D" w14:textId="77777777" w:rsidR="004958F9" w:rsidRPr="00D80C35" w:rsidRDefault="004958F9" w:rsidP="004958F9">
            <w:pPr>
              <w:spacing w:before="40" w:after="40"/>
              <w:jc w:val="center"/>
              <w:rPr>
                <w:bCs/>
                <w:kern w:val="32"/>
                <w:sz w:val="20"/>
                <w:szCs w:val="22"/>
              </w:rPr>
            </w:pPr>
            <w:r w:rsidRPr="00D80C35">
              <w:rPr>
                <w:bCs/>
                <w:kern w:val="32"/>
                <w:sz w:val="20"/>
                <w:szCs w:val="22"/>
              </w:rPr>
              <w:t>Fatigue</w:t>
            </w:r>
          </w:p>
        </w:tc>
        <w:tc>
          <w:tcPr>
            <w:tcW w:w="822" w:type="pct"/>
            <w:shd w:val="clear" w:color="auto" w:fill="auto"/>
            <w:vAlign w:val="center"/>
          </w:tcPr>
          <w:p w14:paraId="7B3DAD7B" w14:textId="77777777" w:rsidR="004958F9" w:rsidRPr="00D80C35" w:rsidRDefault="004958F9" w:rsidP="004958F9">
            <w:pPr>
              <w:spacing w:before="40" w:after="40"/>
              <w:jc w:val="center"/>
              <w:rPr>
                <w:bCs/>
                <w:kern w:val="32"/>
                <w:sz w:val="20"/>
                <w:szCs w:val="22"/>
              </w:rPr>
            </w:pPr>
            <w:r w:rsidRPr="00D80C35">
              <w:rPr>
                <w:bCs/>
                <w:kern w:val="32"/>
                <w:sz w:val="20"/>
                <w:szCs w:val="22"/>
              </w:rPr>
              <w:t>74 (20.8)</w:t>
            </w:r>
          </w:p>
        </w:tc>
        <w:tc>
          <w:tcPr>
            <w:tcW w:w="821" w:type="pct"/>
            <w:shd w:val="clear" w:color="auto" w:fill="auto"/>
            <w:vAlign w:val="center"/>
          </w:tcPr>
          <w:p w14:paraId="0835377B" w14:textId="77777777" w:rsidR="004958F9" w:rsidRPr="00D80C35" w:rsidRDefault="004958F9" w:rsidP="004958F9">
            <w:pPr>
              <w:spacing w:before="40" w:after="40"/>
              <w:jc w:val="center"/>
              <w:rPr>
                <w:bCs/>
                <w:kern w:val="32"/>
                <w:sz w:val="20"/>
                <w:szCs w:val="22"/>
              </w:rPr>
            </w:pPr>
            <w:r w:rsidRPr="00D80C35">
              <w:rPr>
                <w:bCs/>
                <w:kern w:val="32"/>
                <w:sz w:val="20"/>
                <w:szCs w:val="22"/>
              </w:rPr>
              <w:t>2 (0.6)</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5BE5B66D" w14:textId="63F59AD7" w:rsidR="004958F9" w:rsidRPr="002E7526" w:rsidRDefault="004958F9" w:rsidP="004958F9">
            <w:pPr>
              <w:spacing w:before="40" w:after="40"/>
              <w:jc w:val="center"/>
              <w:rPr>
                <w:bCs/>
                <w:kern w:val="32"/>
                <w:sz w:val="20"/>
                <w:szCs w:val="22"/>
              </w:rPr>
            </w:pPr>
            <w:r w:rsidRPr="002E7526">
              <w:rPr>
                <w:rStyle w:val="normaltextrun"/>
                <w:sz w:val="20"/>
                <w:szCs w:val="20"/>
              </w:rPr>
              <w:t>45 (12.9)</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56310E3F" w14:textId="5E2CFD67" w:rsidR="004958F9" w:rsidRPr="002E7526" w:rsidRDefault="004958F9" w:rsidP="004958F9">
            <w:pPr>
              <w:spacing w:before="40" w:after="40"/>
              <w:jc w:val="center"/>
              <w:rPr>
                <w:bCs/>
                <w:kern w:val="32"/>
                <w:sz w:val="20"/>
                <w:szCs w:val="22"/>
              </w:rPr>
            </w:pPr>
            <w:r w:rsidRPr="002E7526">
              <w:rPr>
                <w:rStyle w:val="normaltextrun"/>
                <w:sz w:val="20"/>
                <w:szCs w:val="20"/>
              </w:rPr>
              <w:t>2 (0.6)</w:t>
            </w:r>
            <w:r w:rsidRPr="002E7526">
              <w:rPr>
                <w:rStyle w:val="eop"/>
                <w:sz w:val="20"/>
                <w:szCs w:val="20"/>
              </w:rPr>
              <w:t> </w:t>
            </w:r>
          </w:p>
        </w:tc>
      </w:tr>
      <w:tr w:rsidR="001B04D3" w:rsidRPr="00D80C35" w14:paraId="40737246" w14:textId="32FC6692" w:rsidTr="001B04D3">
        <w:trPr>
          <w:cantSplit/>
          <w:trHeight w:val="85"/>
        </w:trPr>
        <w:tc>
          <w:tcPr>
            <w:tcW w:w="895" w:type="pct"/>
            <w:vMerge/>
          </w:tcPr>
          <w:p w14:paraId="58DCFF0C" w14:textId="77777777" w:rsidR="004958F9" w:rsidRPr="00D80C35" w:rsidRDefault="004958F9" w:rsidP="004958F9">
            <w:pPr>
              <w:spacing w:before="40" w:after="40"/>
              <w:jc w:val="center"/>
              <w:rPr>
                <w:b/>
                <w:kern w:val="32"/>
                <w:sz w:val="20"/>
                <w:szCs w:val="22"/>
              </w:rPr>
            </w:pPr>
          </w:p>
        </w:tc>
        <w:tc>
          <w:tcPr>
            <w:tcW w:w="896" w:type="pct"/>
            <w:shd w:val="clear" w:color="auto" w:fill="auto"/>
          </w:tcPr>
          <w:p w14:paraId="31315EC7" w14:textId="77777777" w:rsidR="004958F9" w:rsidRPr="00D80C35" w:rsidRDefault="004958F9" w:rsidP="004958F9">
            <w:pPr>
              <w:spacing w:before="40" w:after="40"/>
              <w:jc w:val="center"/>
              <w:rPr>
                <w:bCs/>
                <w:kern w:val="32"/>
                <w:sz w:val="20"/>
                <w:szCs w:val="22"/>
              </w:rPr>
            </w:pPr>
            <w:r w:rsidRPr="00D80C35">
              <w:rPr>
                <w:bCs/>
                <w:kern w:val="32"/>
                <w:sz w:val="20"/>
                <w:szCs w:val="22"/>
              </w:rPr>
              <w:t>Mucosal inflammation</w:t>
            </w:r>
          </w:p>
        </w:tc>
        <w:tc>
          <w:tcPr>
            <w:tcW w:w="822" w:type="pct"/>
            <w:shd w:val="clear" w:color="auto" w:fill="auto"/>
            <w:vAlign w:val="center"/>
          </w:tcPr>
          <w:p w14:paraId="3C36BBFE" w14:textId="77777777" w:rsidR="004958F9" w:rsidRPr="00D80C35" w:rsidRDefault="004958F9" w:rsidP="004958F9">
            <w:pPr>
              <w:spacing w:before="40" w:after="40"/>
              <w:jc w:val="center"/>
              <w:rPr>
                <w:bCs/>
                <w:kern w:val="32"/>
                <w:sz w:val="20"/>
                <w:szCs w:val="22"/>
              </w:rPr>
            </w:pPr>
            <w:r w:rsidRPr="00D80C35">
              <w:rPr>
                <w:bCs/>
                <w:kern w:val="32"/>
                <w:sz w:val="20"/>
                <w:szCs w:val="22"/>
              </w:rPr>
              <w:t>11 (3.1)</w:t>
            </w:r>
          </w:p>
        </w:tc>
        <w:tc>
          <w:tcPr>
            <w:tcW w:w="821" w:type="pct"/>
            <w:shd w:val="clear" w:color="auto" w:fill="auto"/>
            <w:vAlign w:val="center"/>
          </w:tcPr>
          <w:p w14:paraId="1AD6E09C" w14:textId="77777777" w:rsidR="004958F9" w:rsidRPr="00D80C35" w:rsidRDefault="004958F9" w:rsidP="004958F9">
            <w:pPr>
              <w:spacing w:before="40" w:after="40"/>
              <w:jc w:val="center"/>
              <w:rPr>
                <w:bCs/>
                <w:kern w:val="32"/>
                <w:sz w:val="20"/>
                <w:szCs w:val="22"/>
              </w:rPr>
            </w:pPr>
            <w:r w:rsidRPr="00D80C35">
              <w:rPr>
                <w:bCs/>
                <w:kern w:val="32"/>
                <w:sz w:val="20"/>
                <w:szCs w:val="22"/>
              </w:rPr>
              <w:t>1 (0.3)</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5487FB0C" w14:textId="604222BD" w:rsidR="004958F9" w:rsidRPr="002E7526" w:rsidRDefault="004958F9" w:rsidP="004958F9">
            <w:pPr>
              <w:spacing w:before="40" w:after="40"/>
              <w:jc w:val="center"/>
              <w:rPr>
                <w:bCs/>
                <w:kern w:val="32"/>
                <w:sz w:val="20"/>
                <w:szCs w:val="22"/>
              </w:rPr>
            </w:pPr>
            <w:r w:rsidRPr="002E7526">
              <w:rPr>
                <w:rStyle w:val="normaltextrun"/>
                <w:sz w:val="20"/>
                <w:szCs w:val="20"/>
              </w:rPr>
              <w:t>1 (0.3)</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17F7C728" w14:textId="7F023EEB"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r>
      <w:tr w:rsidR="001B04D3" w:rsidRPr="00D80C35" w14:paraId="75455F39" w14:textId="17A01463" w:rsidTr="001B04D3">
        <w:trPr>
          <w:cantSplit/>
          <w:trHeight w:val="85"/>
        </w:trPr>
        <w:tc>
          <w:tcPr>
            <w:tcW w:w="895" w:type="pct"/>
            <w:vMerge w:val="restart"/>
            <w:shd w:val="clear" w:color="auto" w:fill="auto"/>
          </w:tcPr>
          <w:p w14:paraId="27F3CAB6" w14:textId="77777777" w:rsidR="004958F9" w:rsidRPr="00D80C35" w:rsidRDefault="004958F9" w:rsidP="004958F9">
            <w:pPr>
              <w:spacing w:before="40" w:after="40"/>
              <w:jc w:val="center"/>
              <w:rPr>
                <w:b/>
                <w:kern w:val="32"/>
                <w:sz w:val="20"/>
                <w:szCs w:val="22"/>
              </w:rPr>
            </w:pPr>
            <w:r w:rsidRPr="00D80C35">
              <w:rPr>
                <w:b/>
                <w:kern w:val="32"/>
                <w:sz w:val="20"/>
                <w:szCs w:val="22"/>
              </w:rPr>
              <w:t>Investigations</w:t>
            </w:r>
          </w:p>
        </w:tc>
        <w:tc>
          <w:tcPr>
            <w:tcW w:w="896" w:type="pct"/>
            <w:shd w:val="clear" w:color="auto" w:fill="auto"/>
          </w:tcPr>
          <w:p w14:paraId="7C0A5B45" w14:textId="3B9899B1" w:rsidR="004958F9" w:rsidRPr="00D80C35" w:rsidRDefault="004958F9" w:rsidP="00946D50">
            <w:pPr>
              <w:spacing w:before="40" w:after="40"/>
              <w:jc w:val="center"/>
              <w:rPr>
                <w:bCs/>
                <w:kern w:val="32"/>
                <w:sz w:val="20"/>
                <w:szCs w:val="22"/>
              </w:rPr>
            </w:pPr>
            <w:r w:rsidRPr="00D80C35">
              <w:rPr>
                <w:bCs/>
                <w:kern w:val="32"/>
                <w:sz w:val="20"/>
                <w:szCs w:val="22"/>
              </w:rPr>
              <w:t>Blood creatinine increased</w:t>
            </w:r>
          </w:p>
        </w:tc>
        <w:tc>
          <w:tcPr>
            <w:tcW w:w="822" w:type="pct"/>
            <w:shd w:val="clear" w:color="auto" w:fill="auto"/>
            <w:vAlign w:val="center"/>
          </w:tcPr>
          <w:p w14:paraId="5761DBAC" w14:textId="77777777" w:rsidR="004958F9" w:rsidRPr="00D80C35" w:rsidRDefault="004958F9" w:rsidP="004958F9">
            <w:pPr>
              <w:spacing w:before="40" w:after="40"/>
              <w:jc w:val="center"/>
              <w:rPr>
                <w:bCs/>
                <w:kern w:val="32"/>
                <w:sz w:val="20"/>
                <w:szCs w:val="22"/>
              </w:rPr>
            </w:pPr>
            <w:r w:rsidRPr="00D80C35">
              <w:rPr>
                <w:bCs/>
                <w:kern w:val="32"/>
                <w:sz w:val="20"/>
                <w:szCs w:val="22"/>
              </w:rPr>
              <w:t>16 (4.5)</w:t>
            </w:r>
          </w:p>
        </w:tc>
        <w:tc>
          <w:tcPr>
            <w:tcW w:w="821" w:type="pct"/>
            <w:shd w:val="clear" w:color="auto" w:fill="auto"/>
            <w:vAlign w:val="center"/>
          </w:tcPr>
          <w:p w14:paraId="60353BD6" w14:textId="77777777" w:rsidR="004958F9" w:rsidRPr="00D80C35" w:rsidRDefault="004958F9" w:rsidP="004958F9">
            <w:pPr>
              <w:spacing w:before="40" w:after="40"/>
              <w:jc w:val="center"/>
              <w:rPr>
                <w:bCs/>
                <w:kern w:val="32"/>
                <w:sz w:val="20"/>
                <w:szCs w:val="22"/>
              </w:rPr>
            </w:pPr>
            <w:r w:rsidRPr="00D80C35">
              <w:rPr>
                <w:bCs/>
                <w:kern w:val="32"/>
                <w:sz w:val="20"/>
                <w:szCs w:val="22"/>
              </w:rPr>
              <w:t>1 (0.3)</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22ED24E9" w14:textId="141367DA" w:rsidR="004958F9" w:rsidRPr="002E7526" w:rsidRDefault="004958F9" w:rsidP="004958F9">
            <w:pPr>
              <w:spacing w:before="40" w:after="40"/>
              <w:jc w:val="center"/>
              <w:rPr>
                <w:bCs/>
                <w:kern w:val="32"/>
                <w:sz w:val="20"/>
                <w:szCs w:val="22"/>
              </w:rPr>
            </w:pPr>
            <w:r w:rsidRPr="002E7526">
              <w:rPr>
                <w:rStyle w:val="normaltextrun"/>
                <w:sz w:val="20"/>
                <w:szCs w:val="20"/>
              </w:rPr>
              <w:t>2 (0.6)</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733ADF0C" w14:textId="4783C973"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r>
      <w:tr w:rsidR="001B04D3" w:rsidRPr="00D80C35" w14:paraId="2D7F46C2" w14:textId="348BBB55" w:rsidTr="001B04D3">
        <w:trPr>
          <w:cantSplit/>
          <w:trHeight w:val="85"/>
        </w:trPr>
        <w:tc>
          <w:tcPr>
            <w:tcW w:w="895" w:type="pct"/>
            <w:vMerge/>
          </w:tcPr>
          <w:p w14:paraId="01630FC9" w14:textId="77777777" w:rsidR="004958F9" w:rsidRPr="00D80C35" w:rsidRDefault="004958F9" w:rsidP="004958F9">
            <w:pPr>
              <w:spacing w:before="40" w:after="40"/>
              <w:jc w:val="center"/>
              <w:rPr>
                <w:bCs/>
                <w:kern w:val="32"/>
                <w:sz w:val="20"/>
                <w:szCs w:val="22"/>
              </w:rPr>
            </w:pPr>
          </w:p>
        </w:tc>
        <w:tc>
          <w:tcPr>
            <w:tcW w:w="896" w:type="pct"/>
            <w:shd w:val="clear" w:color="auto" w:fill="auto"/>
          </w:tcPr>
          <w:p w14:paraId="4096D515" w14:textId="7A09DDA9" w:rsidR="004958F9" w:rsidRPr="00D80C35" w:rsidRDefault="004958F9" w:rsidP="00946D50">
            <w:pPr>
              <w:spacing w:before="40" w:after="40"/>
              <w:jc w:val="center"/>
              <w:rPr>
                <w:bCs/>
                <w:kern w:val="32"/>
                <w:sz w:val="20"/>
                <w:szCs w:val="22"/>
              </w:rPr>
            </w:pPr>
            <w:r w:rsidRPr="00D80C35">
              <w:rPr>
                <w:bCs/>
                <w:kern w:val="32"/>
                <w:sz w:val="20"/>
                <w:szCs w:val="22"/>
              </w:rPr>
              <w:t>Glycosylated haemoglobin increased</w:t>
            </w:r>
          </w:p>
        </w:tc>
        <w:tc>
          <w:tcPr>
            <w:tcW w:w="822" w:type="pct"/>
            <w:shd w:val="clear" w:color="auto" w:fill="auto"/>
            <w:vAlign w:val="center"/>
          </w:tcPr>
          <w:p w14:paraId="4DD83D5C" w14:textId="77777777" w:rsidR="004958F9" w:rsidRPr="00D80C35" w:rsidRDefault="004958F9" w:rsidP="004958F9">
            <w:pPr>
              <w:spacing w:before="40" w:after="40"/>
              <w:jc w:val="center"/>
              <w:rPr>
                <w:bCs/>
                <w:kern w:val="32"/>
                <w:sz w:val="20"/>
                <w:szCs w:val="22"/>
              </w:rPr>
            </w:pPr>
            <w:r w:rsidRPr="00D80C35">
              <w:rPr>
                <w:bCs/>
                <w:kern w:val="32"/>
                <w:sz w:val="20"/>
                <w:szCs w:val="22"/>
              </w:rPr>
              <w:t>5 (1.4)</w:t>
            </w:r>
          </w:p>
        </w:tc>
        <w:tc>
          <w:tcPr>
            <w:tcW w:w="821" w:type="pct"/>
            <w:shd w:val="clear" w:color="auto" w:fill="auto"/>
            <w:vAlign w:val="center"/>
          </w:tcPr>
          <w:p w14:paraId="7BB6C3B7" w14:textId="77777777" w:rsidR="004958F9" w:rsidRPr="00D80C35" w:rsidRDefault="004958F9" w:rsidP="004958F9">
            <w:pPr>
              <w:spacing w:before="40" w:after="40"/>
              <w:jc w:val="center"/>
              <w:rPr>
                <w:bCs/>
                <w:kern w:val="32"/>
                <w:sz w:val="20"/>
                <w:szCs w:val="22"/>
              </w:rPr>
            </w:pPr>
            <w:r w:rsidRPr="00D80C35">
              <w:rPr>
                <w:bCs/>
                <w:kern w:val="32"/>
                <w:sz w:val="20"/>
                <w:szCs w:val="22"/>
              </w:rPr>
              <w:t>0</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6ABF081A" w14:textId="23473611" w:rsidR="004958F9" w:rsidRPr="002E7526" w:rsidRDefault="004958F9" w:rsidP="004958F9">
            <w:pPr>
              <w:pStyle w:val="paragraph0"/>
              <w:spacing w:before="0" w:beforeAutospacing="0" w:after="0" w:afterAutospacing="0"/>
              <w:jc w:val="center"/>
              <w:textAlignment w:val="baseline"/>
              <w:divId w:val="1263875855"/>
              <w:rPr>
                <w:bCs/>
                <w:kern w:val="32"/>
                <w:sz w:val="20"/>
                <w:szCs w:val="22"/>
              </w:rPr>
            </w:pPr>
            <w:r w:rsidRPr="002E7526">
              <w:rPr>
                <w:rStyle w:val="normaltextrun"/>
                <w:sz w:val="20"/>
                <w:szCs w:val="20"/>
              </w:rPr>
              <w:t>0</w:t>
            </w:r>
            <w:r w:rsidRPr="002E7526">
              <w:rPr>
                <w:rStyle w:val="eop"/>
                <w:sz w:val="20"/>
                <w:szCs w:val="20"/>
              </w:rPr>
              <w:t> </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14:paraId="6F9E7BFA" w14:textId="1212EE16" w:rsidR="004958F9" w:rsidRPr="002E7526" w:rsidRDefault="004958F9" w:rsidP="004958F9">
            <w:pPr>
              <w:spacing w:before="40" w:after="40"/>
              <w:jc w:val="center"/>
              <w:rPr>
                <w:bCs/>
                <w:kern w:val="32"/>
                <w:sz w:val="20"/>
                <w:szCs w:val="22"/>
              </w:rPr>
            </w:pPr>
            <w:r w:rsidRPr="002E7526">
              <w:rPr>
                <w:rStyle w:val="normaltextrun"/>
                <w:sz w:val="20"/>
                <w:szCs w:val="20"/>
              </w:rPr>
              <w:t>0</w:t>
            </w:r>
            <w:r w:rsidRPr="002E7526">
              <w:rPr>
                <w:rStyle w:val="eop"/>
                <w:sz w:val="20"/>
                <w:szCs w:val="20"/>
              </w:rPr>
              <w:t> </w:t>
            </w:r>
          </w:p>
        </w:tc>
      </w:tr>
    </w:tbl>
    <w:p w14:paraId="52C84ED5" w14:textId="77777777" w:rsidR="006928FC" w:rsidRPr="00B36136" w:rsidRDefault="006928FC" w:rsidP="006928FC">
      <w:pPr>
        <w:pStyle w:val="TableFootnoteLetter"/>
        <w:numPr>
          <w:ilvl w:val="0"/>
          <w:numId w:val="0"/>
        </w:numPr>
        <w:ind w:left="425" w:hanging="425"/>
        <w:rPr>
          <w:sz w:val="20"/>
        </w:rPr>
      </w:pPr>
      <w:r w:rsidRPr="00B36136">
        <w:rPr>
          <w:sz w:val="20"/>
          <w:vertAlign w:val="superscript"/>
        </w:rPr>
        <w:t>1</w:t>
      </w:r>
      <w:r w:rsidRPr="00B36136">
        <w:rPr>
          <w:sz w:val="20"/>
        </w:rPr>
        <w:t xml:space="preserve"> Urinary Tract Infection includes urinary tract infection and cystitis.</w:t>
      </w:r>
    </w:p>
    <w:p w14:paraId="69851A3E" w14:textId="77777777" w:rsidR="006928FC" w:rsidRPr="00B36136" w:rsidRDefault="006928FC" w:rsidP="006928FC">
      <w:pPr>
        <w:pStyle w:val="TableFootnoteLetter"/>
        <w:numPr>
          <w:ilvl w:val="0"/>
          <w:numId w:val="0"/>
        </w:numPr>
        <w:ind w:left="425" w:hanging="425"/>
        <w:rPr>
          <w:sz w:val="20"/>
        </w:rPr>
      </w:pPr>
      <w:r w:rsidRPr="00B36136">
        <w:rPr>
          <w:sz w:val="20"/>
          <w:vertAlign w:val="superscript"/>
        </w:rPr>
        <w:t>2</w:t>
      </w:r>
      <w:r w:rsidRPr="00B36136">
        <w:rPr>
          <w:sz w:val="20"/>
        </w:rPr>
        <w:t xml:space="preserve"> Hypersensitivity includes hypersensitivity and drug hypersensitivity.</w:t>
      </w:r>
    </w:p>
    <w:p w14:paraId="324CA6B3" w14:textId="77777777" w:rsidR="006928FC" w:rsidRPr="00B36136" w:rsidRDefault="006928FC" w:rsidP="006928FC">
      <w:pPr>
        <w:pStyle w:val="TableFootnoteLetter"/>
        <w:numPr>
          <w:ilvl w:val="0"/>
          <w:numId w:val="0"/>
        </w:numPr>
        <w:ind w:left="425" w:hanging="425"/>
        <w:rPr>
          <w:sz w:val="20"/>
        </w:rPr>
      </w:pPr>
      <w:r w:rsidRPr="00B36136">
        <w:rPr>
          <w:sz w:val="20"/>
          <w:vertAlign w:val="superscript"/>
        </w:rPr>
        <w:t>3</w:t>
      </w:r>
      <w:r w:rsidRPr="00B36136">
        <w:rPr>
          <w:sz w:val="20"/>
        </w:rPr>
        <w:t xml:space="preserve"> Hyperglycaemia includes hyperglycaemia and blood glucose increased.</w:t>
      </w:r>
    </w:p>
    <w:p w14:paraId="41A3E344" w14:textId="77777777" w:rsidR="006928FC" w:rsidRPr="00B36136" w:rsidRDefault="006928FC" w:rsidP="006928FC">
      <w:pPr>
        <w:pStyle w:val="TableFootnoteLetter"/>
        <w:numPr>
          <w:ilvl w:val="0"/>
          <w:numId w:val="0"/>
        </w:numPr>
        <w:ind w:left="425" w:hanging="425"/>
        <w:rPr>
          <w:sz w:val="20"/>
        </w:rPr>
      </w:pPr>
      <w:r w:rsidRPr="00B36136">
        <w:rPr>
          <w:sz w:val="20"/>
          <w:vertAlign w:val="superscript"/>
        </w:rPr>
        <w:t>4</w:t>
      </w:r>
      <w:r w:rsidRPr="00B36136">
        <w:rPr>
          <w:sz w:val="20"/>
        </w:rPr>
        <w:t xml:space="preserve"> Diarrhoea includes diarrhoea and frequent bowel movements.</w:t>
      </w:r>
    </w:p>
    <w:p w14:paraId="4752710F" w14:textId="77777777" w:rsidR="006928FC" w:rsidRPr="00B36136" w:rsidRDefault="006928FC" w:rsidP="006928FC">
      <w:pPr>
        <w:pStyle w:val="TableFootnoteLetter"/>
        <w:numPr>
          <w:ilvl w:val="0"/>
          <w:numId w:val="0"/>
        </w:numPr>
        <w:ind w:left="425" w:hanging="425"/>
        <w:rPr>
          <w:sz w:val="20"/>
        </w:rPr>
      </w:pPr>
      <w:r w:rsidRPr="00B36136">
        <w:rPr>
          <w:sz w:val="20"/>
          <w:vertAlign w:val="superscript"/>
        </w:rPr>
        <w:t>5</w:t>
      </w:r>
      <w:r w:rsidRPr="00B36136">
        <w:rPr>
          <w:sz w:val="20"/>
        </w:rPr>
        <w:t xml:space="preserve"> Stomatitis includes stomatitis, aphthous ulcer and mouth ulceration.</w:t>
      </w:r>
    </w:p>
    <w:p w14:paraId="6984DD7A" w14:textId="6DE3823D" w:rsidR="00D87298" w:rsidRDefault="006928FC" w:rsidP="006928FC">
      <w:pPr>
        <w:pStyle w:val="TableFootnoteLetter"/>
        <w:numPr>
          <w:ilvl w:val="0"/>
          <w:numId w:val="0"/>
        </w:numPr>
        <w:ind w:left="425" w:hanging="425"/>
      </w:pPr>
      <w:r w:rsidRPr="00B36136">
        <w:rPr>
          <w:sz w:val="20"/>
          <w:vertAlign w:val="superscript"/>
        </w:rPr>
        <w:t>6</w:t>
      </w:r>
      <w:r w:rsidRPr="00B36136">
        <w:rPr>
          <w:sz w:val="20"/>
        </w:rPr>
        <w:t xml:space="preserve"> Rash includes erythema, rash, rash erythematous, rash macular, rash maculo-papular, rash </w:t>
      </w:r>
      <w:proofErr w:type="spellStart"/>
      <w:r w:rsidRPr="00B36136">
        <w:rPr>
          <w:sz w:val="20"/>
        </w:rPr>
        <w:t>papular</w:t>
      </w:r>
      <w:proofErr w:type="spellEnd"/>
      <w:r w:rsidRPr="00B36136">
        <w:rPr>
          <w:sz w:val="20"/>
        </w:rPr>
        <w:t>, and rash pruritic</w:t>
      </w:r>
      <w:r>
        <w:t xml:space="preserve">. </w:t>
      </w:r>
    </w:p>
    <w:p w14:paraId="010E43F2" w14:textId="77777777" w:rsidR="007B53B3" w:rsidRDefault="007B53B3" w:rsidP="007B53B3">
      <w:pPr>
        <w:pStyle w:val="TableFootnoteLetter"/>
        <w:numPr>
          <w:ilvl w:val="0"/>
          <w:numId w:val="0"/>
        </w:numPr>
      </w:pPr>
    </w:p>
    <w:p w14:paraId="5E030169" w14:textId="77777777" w:rsidR="00407B39" w:rsidRPr="00407B39" w:rsidRDefault="00407B39" w:rsidP="00407B39">
      <w:pPr>
        <w:pStyle w:val="Heading4NoTOC"/>
      </w:pPr>
      <w:r w:rsidRPr="00407B39">
        <w:t>Description of selected adverse reaction</w:t>
      </w:r>
    </w:p>
    <w:p w14:paraId="4AE3C01A" w14:textId="47401658" w:rsidR="007B53B3" w:rsidRPr="007B53B3" w:rsidRDefault="007B53B3" w:rsidP="007B53B3">
      <w:pPr>
        <w:pStyle w:val="Heading4Unnumbered"/>
      </w:pPr>
      <w:r w:rsidRPr="007B53B3">
        <w:t>Hyperglycaemia</w:t>
      </w:r>
      <w:fldSimple w:instr=" DOCVARIABLE vault_nd_0b5a4c33-ff7b-4b8f-9a3a-f71b353a90f8 \* MERGEFORMAT ">
        <w:r w:rsidR="00BD4838">
          <w:t xml:space="preserve"> </w:t>
        </w:r>
      </w:fldSimple>
    </w:p>
    <w:p w14:paraId="0E02F97C" w14:textId="330F7BF7" w:rsidR="001D3AF3" w:rsidRDefault="007B53B3" w:rsidP="007B53B3">
      <w:pPr>
        <w:pStyle w:val="Paragraph"/>
      </w:pPr>
      <w:r w:rsidRPr="00B54383">
        <w:t xml:space="preserve">Hyperglycaemia of any grade occurred in 60 (16.9%) patients and grade 3 or 4 occurred in 8 (2.3%) patients receiving </w:t>
      </w:r>
      <w:r w:rsidR="00D04452">
        <w:t>TRUQAP</w:t>
      </w:r>
      <w:r w:rsidRPr="00B54383">
        <w:t>. In the study, dose reduction was required in 2 (0.6%) patients and 1 (0.3%) patient discontinued treatment due to hyperglycaemia. In the 60 patients with hyperglycaemia, 28 (46.7%) patients were treated using anti-hyperglycaemic medication including insulin in 10 (16.7%) patients</w:t>
      </w:r>
      <w:r w:rsidR="004712A5">
        <w:t xml:space="preserve">, </w:t>
      </w:r>
      <w:r w:rsidR="004712A5" w:rsidRPr="004712A5">
        <w:t>metformin in 18 (30%) patients and 10 (16.7%) patients were on other anti-hyperglycaemic medication</w:t>
      </w:r>
      <w:r w:rsidRPr="00B54383">
        <w:t>.</w:t>
      </w:r>
      <w:r w:rsidR="000201EE">
        <w:t xml:space="preserve"> </w:t>
      </w:r>
      <w:r w:rsidR="000201EE" w:rsidRPr="00C86461">
        <w:t>Some patients may have received more than one anti-hyperglycaemic medication.</w:t>
      </w:r>
    </w:p>
    <w:p w14:paraId="33BEE788" w14:textId="039CB9D4" w:rsidR="004712A5" w:rsidRPr="00B54383" w:rsidRDefault="004712A5" w:rsidP="007B53B3">
      <w:pPr>
        <w:pStyle w:val="Paragraph"/>
      </w:pPr>
      <w:r w:rsidRPr="004712A5">
        <w:t>Of the 60 patients with hyperglycaemia, in 37 (61.6%) patients hyperglycaemia improved or resolved at treatment discontinuation or last follow up.</w:t>
      </w:r>
    </w:p>
    <w:p w14:paraId="2EF10746" w14:textId="683E4D3F" w:rsidR="009A7F95" w:rsidRPr="009A7F95" w:rsidRDefault="009A7F95" w:rsidP="009A7F95">
      <w:pPr>
        <w:keepNext/>
        <w:keepLines/>
        <w:tabs>
          <w:tab w:val="left" w:pos="1134"/>
        </w:tabs>
        <w:spacing w:before="60" w:after="60" w:line="240" w:lineRule="auto"/>
        <w:outlineLvl w:val="6"/>
        <w:rPr>
          <w:b/>
          <w:bCs/>
          <w:i/>
          <w:szCs w:val="22"/>
        </w:rPr>
      </w:pPr>
      <w:r w:rsidRPr="009A7F95">
        <w:rPr>
          <w:b/>
          <w:bCs/>
          <w:i/>
          <w:szCs w:val="22"/>
        </w:rPr>
        <w:t>Diarrhoea</w:t>
      </w:r>
      <w:r w:rsidR="00BD4838">
        <w:rPr>
          <w:b/>
          <w:bCs/>
          <w:i/>
          <w:szCs w:val="22"/>
        </w:rPr>
        <w:fldChar w:fldCharType="begin"/>
      </w:r>
      <w:r w:rsidR="00BD4838">
        <w:rPr>
          <w:b/>
          <w:bCs/>
          <w:i/>
          <w:szCs w:val="22"/>
        </w:rPr>
        <w:instrText xml:space="preserve"> DOCVARIABLE vault_nd_e07c0ac5-02aa-45ad-a252-8ff47385064e \* MERGEFORMAT </w:instrText>
      </w:r>
      <w:r w:rsidR="00BD4838">
        <w:rPr>
          <w:b/>
          <w:bCs/>
          <w:i/>
          <w:szCs w:val="22"/>
        </w:rPr>
        <w:fldChar w:fldCharType="separate"/>
      </w:r>
      <w:r w:rsidR="00BD4838">
        <w:rPr>
          <w:b/>
          <w:bCs/>
          <w:i/>
          <w:szCs w:val="22"/>
        </w:rPr>
        <w:t xml:space="preserve"> </w:t>
      </w:r>
      <w:r w:rsidR="00BD4838">
        <w:rPr>
          <w:b/>
          <w:bCs/>
          <w:i/>
          <w:szCs w:val="22"/>
        </w:rPr>
        <w:fldChar w:fldCharType="end"/>
      </w:r>
    </w:p>
    <w:p w14:paraId="2074EDC3" w14:textId="24C671F1" w:rsidR="00BA489D" w:rsidRPr="00B54383" w:rsidRDefault="009A7F95" w:rsidP="009A7F95">
      <w:pPr>
        <w:pStyle w:val="Paragraph"/>
      </w:pPr>
      <w:r w:rsidRPr="00B54383">
        <w:t xml:space="preserve">Diarrhoea occurred in 257 (72.4%) patients receiving </w:t>
      </w:r>
      <w:r w:rsidR="00D04452">
        <w:t>TRUQAP</w:t>
      </w:r>
      <w:r w:rsidRPr="00B54383">
        <w:t xml:space="preserve">. Grade 3 and/or 4 diarrhoea occurred in 33 (9.3%) patients. Dose reduction was required in 28 (7.9%) patients and 7 (2.0%) patients discontinued </w:t>
      </w:r>
      <w:r w:rsidR="00D04452">
        <w:t>TRUQAP</w:t>
      </w:r>
      <w:r w:rsidR="00D04452" w:rsidRPr="00B54383">
        <w:t xml:space="preserve"> </w:t>
      </w:r>
      <w:r w:rsidRPr="00B54383">
        <w:t>due to diarrhoea. In the 257 patients with diarrhoea, anti-diarrheal medication was required in 59% (151/257) of patients to manage diarrhoea symptoms.</w:t>
      </w:r>
    </w:p>
    <w:p w14:paraId="59426A26" w14:textId="737A5CEC" w:rsidR="00D6517B" w:rsidRPr="00D6517B" w:rsidRDefault="00D6517B" w:rsidP="00D6517B">
      <w:pPr>
        <w:keepNext/>
        <w:keepLines/>
        <w:tabs>
          <w:tab w:val="left" w:pos="1134"/>
        </w:tabs>
        <w:spacing w:before="60" w:after="60" w:line="240" w:lineRule="auto"/>
        <w:outlineLvl w:val="6"/>
        <w:rPr>
          <w:b/>
          <w:bCs/>
          <w:i/>
          <w:szCs w:val="22"/>
        </w:rPr>
      </w:pPr>
      <w:r w:rsidRPr="00D6517B">
        <w:rPr>
          <w:b/>
          <w:bCs/>
          <w:i/>
          <w:szCs w:val="22"/>
        </w:rPr>
        <w:t>Rash</w:t>
      </w:r>
      <w:r w:rsidR="00BD4838">
        <w:rPr>
          <w:b/>
          <w:bCs/>
          <w:i/>
          <w:szCs w:val="22"/>
        </w:rPr>
        <w:fldChar w:fldCharType="begin"/>
      </w:r>
      <w:r w:rsidR="00BD4838">
        <w:rPr>
          <w:b/>
          <w:bCs/>
          <w:i/>
          <w:szCs w:val="22"/>
        </w:rPr>
        <w:instrText xml:space="preserve"> DOCVARIABLE vault_nd_a7b1c94c-8ccf-4741-9c5c-74a16ae174d2 \* MERGEFORMAT </w:instrText>
      </w:r>
      <w:r w:rsidR="00BD4838">
        <w:rPr>
          <w:b/>
          <w:bCs/>
          <w:i/>
          <w:szCs w:val="22"/>
        </w:rPr>
        <w:fldChar w:fldCharType="separate"/>
      </w:r>
      <w:r w:rsidR="00BD4838">
        <w:rPr>
          <w:b/>
          <w:bCs/>
          <w:i/>
          <w:szCs w:val="22"/>
        </w:rPr>
        <w:t xml:space="preserve"> </w:t>
      </w:r>
      <w:r w:rsidR="00BD4838">
        <w:rPr>
          <w:b/>
          <w:bCs/>
          <w:i/>
          <w:szCs w:val="22"/>
        </w:rPr>
        <w:fldChar w:fldCharType="end"/>
      </w:r>
    </w:p>
    <w:p w14:paraId="041D2BD9" w14:textId="2D3454D5" w:rsidR="00850B5E" w:rsidRPr="00B54383" w:rsidRDefault="00D6517B" w:rsidP="00D6517B">
      <w:pPr>
        <w:pStyle w:val="Paragraph"/>
      </w:pPr>
      <w:r w:rsidRPr="00B54383">
        <w:rPr>
          <w:color w:val="000000"/>
        </w:rPr>
        <w:t>Rash (including</w:t>
      </w:r>
      <w:r w:rsidRPr="00B54383">
        <w:t xml:space="preserve"> </w:t>
      </w:r>
      <w:r w:rsidRPr="00B54383">
        <w:rPr>
          <w:color w:val="000000"/>
        </w:rPr>
        <w:t xml:space="preserve">erythema, rash, rash erythematous, rash macular, rash maculo-papular, rash </w:t>
      </w:r>
      <w:proofErr w:type="spellStart"/>
      <w:r w:rsidRPr="00B54383">
        <w:rPr>
          <w:color w:val="000000"/>
        </w:rPr>
        <w:t>papular</w:t>
      </w:r>
      <w:proofErr w:type="spellEnd"/>
      <w:r w:rsidRPr="00B54383">
        <w:rPr>
          <w:color w:val="000000"/>
        </w:rPr>
        <w:t xml:space="preserve">, and rash pruritic) was reported in 143 (40.3%) patients. Grade 3 and/or 4 occurred in 44 (12.4%) of patients who received </w:t>
      </w:r>
      <w:proofErr w:type="spellStart"/>
      <w:r w:rsidRPr="00B54383">
        <w:rPr>
          <w:color w:val="000000"/>
        </w:rPr>
        <w:t>capivasertib</w:t>
      </w:r>
      <w:proofErr w:type="spellEnd"/>
      <w:r w:rsidRPr="00B54383">
        <w:rPr>
          <w:color w:val="000000"/>
        </w:rPr>
        <w:t>.</w:t>
      </w:r>
      <w:r w:rsidR="002C6C0C" w:rsidRPr="00B54383">
        <w:rPr>
          <w:color w:val="000000"/>
        </w:rPr>
        <w:t xml:space="preserve"> </w:t>
      </w:r>
      <w:r w:rsidR="002C6C0C" w:rsidRPr="00B54383">
        <w:t xml:space="preserve">Dose reduction was required in 16 (4.5%) patients and 16 (4.5%) patients discontinued </w:t>
      </w:r>
      <w:r w:rsidR="00D04452">
        <w:t>TRUQAP</w:t>
      </w:r>
      <w:r w:rsidR="00D04452" w:rsidRPr="00B54383">
        <w:t xml:space="preserve"> </w:t>
      </w:r>
      <w:r w:rsidR="002C6C0C" w:rsidRPr="00B54383">
        <w:t>due to rash.</w:t>
      </w:r>
    </w:p>
    <w:p w14:paraId="2329CE02" w14:textId="41F82D2D" w:rsidR="00DF3302" w:rsidRPr="00DF3302" w:rsidRDefault="00DF3302" w:rsidP="00DF3302">
      <w:pPr>
        <w:pStyle w:val="Heading3Unnumbered"/>
      </w:pPr>
      <w:r w:rsidRPr="00DF3302">
        <w:t xml:space="preserve">Reporting suspected adverse </w:t>
      </w:r>
      <w:r w:rsidR="002803FC">
        <w:t>effects</w:t>
      </w:r>
      <w:fldSimple w:instr=" DOCVARIABLE vault_nd_66c4235f-ffa4-4d0c-9074-d9fcd24cdee4 \* MERGEFORMAT ">
        <w:r w:rsidR="00BD4838">
          <w:t xml:space="preserve"> </w:t>
        </w:r>
      </w:fldSimple>
    </w:p>
    <w:p w14:paraId="75158BD3" w14:textId="77777777" w:rsidR="001D3AF3" w:rsidRPr="00446EDD" w:rsidRDefault="00DF3302" w:rsidP="00446EDD">
      <w:pPr>
        <w:pStyle w:val="Paragraph"/>
      </w:pPr>
      <w:r w:rsidRPr="00DF3302">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F06F31" w:rsidRPr="00F06F31">
        <w:t>www.tga.gov.au/reporting-problems</w:t>
      </w:r>
      <w:r w:rsidRPr="00DF3302">
        <w:t>.</w:t>
      </w:r>
    </w:p>
    <w:p w14:paraId="56A20846" w14:textId="7F0A3A80" w:rsidR="001A3992" w:rsidRPr="003A4225" w:rsidRDefault="001A3992" w:rsidP="00994852">
      <w:pPr>
        <w:pStyle w:val="Heading2"/>
      </w:pPr>
      <w:r w:rsidRPr="003A4225">
        <w:lastRenderedPageBreak/>
        <w:t>Overdose</w:t>
      </w:r>
      <w:fldSimple w:instr=" DOCVARIABLE VAULT_ND_3d18854e-f255-4bde-ad49-9f21d27f653c \* MERGEFORMAT ">
        <w:r w:rsidR="00BD4838" w:rsidRPr="003A4225">
          <w:t xml:space="preserve"> </w:t>
        </w:r>
      </w:fldSimple>
    </w:p>
    <w:p w14:paraId="281F58CF" w14:textId="5E4474C9" w:rsidR="00543A4E" w:rsidRDefault="00543A4E" w:rsidP="00D87298">
      <w:pPr>
        <w:pStyle w:val="Paragraph"/>
      </w:pPr>
      <w:r w:rsidRPr="00543A4E">
        <w:t xml:space="preserve">There is currently no specific treatment in the event of an overdose with </w:t>
      </w:r>
      <w:r w:rsidR="00D04452">
        <w:t>TRUQAP</w:t>
      </w:r>
      <w:r w:rsidR="00D04452" w:rsidRPr="00543A4E">
        <w:t xml:space="preserve"> </w:t>
      </w:r>
      <w:r w:rsidRPr="00543A4E">
        <w:t>and possible symptoms of overdose are not established. Physicians should follow general supportive measures and patients should be treated symptomatically.</w:t>
      </w:r>
    </w:p>
    <w:p w14:paraId="7BE07A4D" w14:textId="203EE68C" w:rsidR="00D87298" w:rsidRPr="00D87298" w:rsidRDefault="00D87298" w:rsidP="00D87298">
      <w:pPr>
        <w:pStyle w:val="Paragraph"/>
      </w:pPr>
      <w:r>
        <w:t>For information on the management of overdose, contact the Poison Information Centre on 131126 (Australia).</w:t>
      </w:r>
    </w:p>
    <w:p w14:paraId="6DC0CD7D" w14:textId="34AF6E7F" w:rsidR="001A3992" w:rsidRPr="003A4225" w:rsidRDefault="001A3992" w:rsidP="00994852">
      <w:pPr>
        <w:pStyle w:val="Heading1"/>
        <w:keepNext w:val="0"/>
      </w:pPr>
      <w:r w:rsidRPr="003A4225">
        <w:t>Pharmacological properties</w:t>
      </w:r>
      <w:fldSimple w:instr=" DOCVARIABLE VAULT_ND_a25bfde8-df48-4058-aec7-0dfdabfedce6 \* MERGEFORMAT ">
        <w:r w:rsidR="00BD4838" w:rsidRPr="003A4225">
          <w:t xml:space="preserve"> </w:t>
        </w:r>
      </w:fldSimple>
    </w:p>
    <w:p w14:paraId="18981572" w14:textId="5E2EE651" w:rsidR="001A3992" w:rsidRPr="003A4225" w:rsidRDefault="007403BD" w:rsidP="00994852">
      <w:pPr>
        <w:pStyle w:val="Heading2"/>
      </w:pPr>
      <w:bookmarkStart w:id="29" w:name="_Pharmacodynamic_properties"/>
      <w:bookmarkEnd w:id="29"/>
      <w:r w:rsidRPr="003A4225">
        <w:t>Pharmacodynamic properties</w:t>
      </w:r>
      <w:fldSimple w:instr=" DOCVARIABLE VAULT_ND_c0be931d-803f-4271-b06b-b33cc868b20d \* MERGEFORMAT ">
        <w:r w:rsidR="00BD4838" w:rsidRPr="003A4225">
          <w:t xml:space="preserve"> </w:t>
        </w:r>
      </w:fldSimple>
    </w:p>
    <w:p w14:paraId="5AC685DB" w14:textId="35BC92ED" w:rsidR="007731FA" w:rsidRPr="007731FA" w:rsidRDefault="001A3992" w:rsidP="00450AB4">
      <w:pPr>
        <w:pStyle w:val="Heading3Unnumbered"/>
      </w:pPr>
      <w:r w:rsidRPr="00377337">
        <w:t>Mechanism of action</w:t>
      </w:r>
      <w:fldSimple w:instr=" DOCVARIABLE vault_nd_e9563ef3-7727-4a04-a532-6ebde922cca1 \* MERGEFORMAT ">
        <w:r w:rsidR="00BD4838">
          <w:t xml:space="preserve"> </w:t>
        </w:r>
      </w:fldSimple>
    </w:p>
    <w:p w14:paraId="53610403" w14:textId="450E97AA" w:rsidR="007731FA" w:rsidRPr="007731FA" w:rsidRDefault="007731FA" w:rsidP="007731FA">
      <w:pPr>
        <w:pStyle w:val="Paragraph"/>
      </w:pPr>
      <w:proofErr w:type="spellStart"/>
      <w:r w:rsidRPr="007731FA">
        <w:t>Capivasertib</w:t>
      </w:r>
      <w:proofErr w:type="spellEnd"/>
      <w:r w:rsidRPr="007731FA">
        <w:t xml:space="preserve"> is </w:t>
      </w:r>
      <w:r w:rsidR="0055152F">
        <w:t xml:space="preserve">an </w:t>
      </w:r>
      <w:r w:rsidRPr="007731FA">
        <w:t xml:space="preserve">inhibitor of the kinase activity of all 3 isoforms of serine/threonine kinase AKT (AKT1, AKT2 and AKT3). AKT is a pivotal node in the phosphatidylinositol 3-kinase (PI3K) signalling cascade regulating multiple cellular processes including cellular survival, proliferation, cell cycle, metabolism, gene transcription and cell migration. AKT activation in tumours is a result of upstream activation from other signalling pathways, mutations of AKT, loss of Phosphatase and </w:t>
      </w:r>
      <w:proofErr w:type="spellStart"/>
      <w:r w:rsidRPr="007731FA">
        <w:t>Tensin</w:t>
      </w:r>
      <w:proofErr w:type="spellEnd"/>
      <w:r w:rsidRPr="007731FA">
        <w:t xml:space="preserve"> Homolog (PTEN) function and mutations in the catalytic subunit of PI3K (PIK3CA).</w:t>
      </w:r>
    </w:p>
    <w:p w14:paraId="79E36DD9" w14:textId="245C960C" w:rsidR="007731FA" w:rsidRPr="007731FA" w:rsidRDefault="007731FA" w:rsidP="007731FA">
      <w:pPr>
        <w:pStyle w:val="Paragraph"/>
      </w:pPr>
      <w:proofErr w:type="spellStart"/>
      <w:r w:rsidRPr="007731FA">
        <w:t>Capivasertib</w:t>
      </w:r>
      <w:proofErr w:type="spellEnd"/>
      <w:r w:rsidRPr="007731FA">
        <w:t xml:space="preserve"> inhibits the phosphorylation of AKT substrates such as glycogen synthase kinase 3-β (GSK3β) and proline-rich AKT substrate of 40 kilodaltons (PRAS40). </w:t>
      </w:r>
      <w:proofErr w:type="spellStart"/>
      <w:r w:rsidRPr="007731FA">
        <w:t>Capivasertib</w:t>
      </w:r>
      <w:proofErr w:type="spellEnd"/>
      <w:r w:rsidRPr="007731FA">
        <w:t xml:space="preserve"> reduces growth of a range of cell lines derived from solid tumours and haematological disease. Multiple breast cancer cell lines were sensitive to </w:t>
      </w:r>
      <w:proofErr w:type="spellStart"/>
      <w:r w:rsidRPr="007731FA">
        <w:t>capivasertib</w:t>
      </w:r>
      <w:proofErr w:type="spellEnd"/>
      <w:r w:rsidRPr="007731FA">
        <w:t xml:space="preserve"> monotherapy. Within cell lines showing greater sensitivity to </w:t>
      </w:r>
      <w:proofErr w:type="spellStart"/>
      <w:r w:rsidRPr="007731FA">
        <w:t>capivasertib</w:t>
      </w:r>
      <w:proofErr w:type="spellEnd"/>
      <w:r w:rsidRPr="007731FA">
        <w:t xml:space="preserve"> there was an enrichment of PIK3CA or AKT1 mutations, or loss of PTEN. Some cell lines lacking such mutations were also sensitive to </w:t>
      </w:r>
      <w:proofErr w:type="spellStart"/>
      <w:r w:rsidRPr="007731FA">
        <w:t>capivasertib</w:t>
      </w:r>
      <w:proofErr w:type="spellEnd"/>
      <w:r w:rsidRPr="007731FA">
        <w:t>.</w:t>
      </w:r>
    </w:p>
    <w:p w14:paraId="28AD0479" w14:textId="77777777" w:rsidR="007731FA" w:rsidRPr="007731FA" w:rsidRDefault="007731FA" w:rsidP="007731FA">
      <w:pPr>
        <w:pStyle w:val="Paragraph"/>
      </w:pPr>
      <w:r w:rsidRPr="007731FA">
        <w:rPr>
          <w:i/>
          <w:iCs/>
        </w:rPr>
        <w:t xml:space="preserve">In vivo, </w:t>
      </w:r>
      <w:r w:rsidRPr="007731FA">
        <w:t>monotherapy</w:t>
      </w:r>
      <w:r w:rsidRPr="007731FA">
        <w:rPr>
          <w:i/>
          <w:iCs/>
        </w:rPr>
        <w:t xml:space="preserve">, </w:t>
      </w:r>
      <w:proofErr w:type="spellStart"/>
      <w:r w:rsidRPr="007731FA">
        <w:t>capivasertib</w:t>
      </w:r>
      <w:proofErr w:type="spellEnd"/>
      <w:r w:rsidRPr="007731FA">
        <w:t xml:space="preserve"> inhibits growth of human cancer xenograft models representative of different tumour types. including ER</w:t>
      </w:r>
      <w:r w:rsidRPr="007731FA">
        <w:rPr>
          <w:vertAlign w:val="superscript"/>
        </w:rPr>
        <w:t>+</w:t>
      </w:r>
      <w:r w:rsidRPr="007731FA">
        <w:t xml:space="preserve"> and triple negative breast cancer models with </w:t>
      </w:r>
      <w:r w:rsidRPr="007731FA">
        <w:rPr>
          <w:i/>
          <w:iCs/>
        </w:rPr>
        <w:t>PIK3CA</w:t>
      </w:r>
      <w:r w:rsidRPr="007731FA">
        <w:t xml:space="preserve">, </w:t>
      </w:r>
      <w:r w:rsidRPr="007731FA">
        <w:rPr>
          <w:i/>
          <w:iCs/>
        </w:rPr>
        <w:t>AKT1</w:t>
      </w:r>
      <w:r w:rsidRPr="007731FA">
        <w:t xml:space="preserve"> mutations, </w:t>
      </w:r>
      <w:r w:rsidRPr="007731FA">
        <w:rPr>
          <w:i/>
          <w:iCs/>
        </w:rPr>
        <w:t>PTEN</w:t>
      </w:r>
      <w:r w:rsidRPr="007731FA">
        <w:t xml:space="preserve"> loss and HER2 amplification, mutant xenograft models and triple negative breast cancer xenograft models. Combined treatment with </w:t>
      </w:r>
      <w:proofErr w:type="spellStart"/>
      <w:r w:rsidRPr="007731FA">
        <w:t>capivasertib</w:t>
      </w:r>
      <w:proofErr w:type="spellEnd"/>
      <w:r w:rsidRPr="007731FA">
        <w:t xml:space="preserve"> and </w:t>
      </w:r>
      <w:proofErr w:type="spellStart"/>
      <w:r w:rsidRPr="007731FA">
        <w:t>fulvestrant</w:t>
      </w:r>
      <w:proofErr w:type="spellEnd"/>
      <w:r w:rsidRPr="007731FA">
        <w:t xml:space="preserve"> demonstrated a greater anti-tumour response in a range of human breast cancer PDX models representative of different breast cancer subsets. This included models without detectable mutations or alterations in </w:t>
      </w:r>
      <w:r w:rsidRPr="007731FA">
        <w:rPr>
          <w:i/>
          <w:iCs/>
        </w:rPr>
        <w:t>PIK3CA</w:t>
      </w:r>
      <w:r w:rsidRPr="007731FA">
        <w:t xml:space="preserve">, </w:t>
      </w:r>
      <w:r w:rsidRPr="007731FA">
        <w:rPr>
          <w:i/>
          <w:iCs/>
        </w:rPr>
        <w:t>PTEN</w:t>
      </w:r>
      <w:r w:rsidRPr="007731FA">
        <w:t xml:space="preserve"> or </w:t>
      </w:r>
      <w:r w:rsidRPr="007731FA">
        <w:rPr>
          <w:i/>
          <w:iCs/>
        </w:rPr>
        <w:t>AKT</w:t>
      </w:r>
      <w:r w:rsidRPr="007731FA">
        <w:t xml:space="preserve">, as well as models with mutations or alterations in </w:t>
      </w:r>
      <w:r w:rsidRPr="007731FA">
        <w:rPr>
          <w:i/>
          <w:iCs/>
        </w:rPr>
        <w:t>PIK3CA</w:t>
      </w:r>
      <w:r w:rsidRPr="007731FA">
        <w:t xml:space="preserve">, </w:t>
      </w:r>
      <w:r w:rsidRPr="007731FA">
        <w:rPr>
          <w:i/>
          <w:iCs/>
        </w:rPr>
        <w:t>PTEN</w:t>
      </w:r>
      <w:r w:rsidRPr="007731FA">
        <w:t xml:space="preserve"> or </w:t>
      </w:r>
      <w:r w:rsidRPr="007731FA">
        <w:rPr>
          <w:i/>
          <w:iCs/>
        </w:rPr>
        <w:t>AKT</w:t>
      </w:r>
      <w:r w:rsidRPr="007731FA">
        <w:t>.</w:t>
      </w:r>
    </w:p>
    <w:p w14:paraId="31EE8B29" w14:textId="333F7988" w:rsidR="007731FA" w:rsidRPr="007731FA" w:rsidRDefault="007731FA" w:rsidP="00F4584E">
      <w:pPr>
        <w:pStyle w:val="Heading4Unnumbered"/>
        <w:rPr>
          <w:lang w:val="en-US"/>
        </w:rPr>
      </w:pPr>
      <w:r w:rsidRPr="007731FA">
        <w:t>Cardiac Electrophysiology</w:t>
      </w:r>
      <w:r w:rsidRPr="007731FA">
        <w:rPr>
          <w:lang w:val="en-US"/>
        </w:rPr>
        <w:t> </w:t>
      </w:r>
      <w:r w:rsidR="00BD4838">
        <w:rPr>
          <w:lang w:val="en-US"/>
        </w:rPr>
        <w:fldChar w:fldCharType="begin"/>
      </w:r>
      <w:r w:rsidR="00BD4838">
        <w:rPr>
          <w:lang w:val="en-US"/>
        </w:rPr>
        <w:instrText xml:space="preserve"> DOCVARIABLE vault_nd_1ef210dd-0615-4bf5-95a7-9027f87e935d \* MERGEFORMAT </w:instrText>
      </w:r>
      <w:r w:rsidR="00BD4838">
        <w:rPr>
          <w:lang w:val="en-US"/>
        </w:rPr>
        <w:fldChar w:fldCharType="separate"/>
      </w:r>
      <w:r w:rsidR="00BD4838">
        <w:rPr>
          <w:lang w:val="en-US"/>
        </w:rPr>
        <w:t xml:space="preserve"> </w:t>
      </w:r>
      <w:r w:rsidR="00BD4838">
        <w:rPr>
          <w:lang w:val="en-US"/>
        </w:rPr>
        <w:fldChar w:fldCharType="end"/>
      </w:r>
    </w:p>
    <w:p w14:paraId="49D0C493" w14:textId="6425E24A" w:rsidR="007403BD" w:rsidRPr="007403BD" w:rsidRDefault="007731FA" w:rsidP="000E6525">
      <w:pPr>
        <w:pStyle w:val="Paragraph"/>
      </w:pPr>
      <w:r w:rsidRPr="007731FA">
        <w:t xml:space="preserve">Based on an exposure-response </w:t>
      </w:r>
      <w:r w:rsidR="000E6525">
        <w:t xml:space="preserve">modelling </w:t>
      </w:r>
      <w:r w:rsidRPr="007731FA">
        <w:t xml:space="preserve">analysis of data from 180 patients with advanced solid malignancies who received </w:t>
      </w:r>
      <w:proofErr w:type="spellStart"/>
      <w:r w:rsidRPr="007731FA">
        <w:t>capivasertib</w:t>
      </w:r>
      <w:proofErr w:type="spellEnd"/>
      <w:r w:rsidRPr="007731FA">
        <w:t xml:space="preserve"> doses from 80 to 800 mg</w:t>
      </w:r>
      <w:r w:rsidR="000E6525">
        <w:t xml:space="preserve"> a linear relationship</w:t>
      </w:r>
      <w:r w:rsidR="00920DB5">
        <w:t xml:space="preserve"> </w:t>
      </w:r>
      <w:r w:rsidR="000E6525">
        <w:t xml:space="preserve">between </w:t>
      </w:r>
      <w:proofErr w:type="spellStart"/>
      <w:r w:rsidR="000E6525">
        <w:t>capivasertib</w:t>
      </w:r>
      <w:proofErr w:type="spellEnd"/>
      <w:r w:rsidR="000E6525">
        <w:t xml:space="preserve"> concentration and increases in the </w:t>
      </w:r>
      <w:proofErr w:type="spellStart"/>
      <w:r w:rsidR="000E6525">
        <w:t>QTcF</w:t>
      </w:r>
      <w:proofErr w:type="spellEnd"/>
      <w:r w:rsidR="000E6525">
        <w:t xml:space="preserve"> interval was projected</w:t>
      </w:r>
      <w:r w:rsidR="00F443BB">
        <w:t>. T</w:t>
      </w:r>
      <w:r w:rsidR="00F443BB" w:rsidRPr="007731FA">
        <w:t xml:space="preserve">he </w:t>
      </w:r>
      <w:r w:rsidRPr="007731FA">
        <w:t xml:space="preserve">estimated </w:t>
      </w:r>
      <w:proofErr w:type="spellStart"/>
      <w:r w:rsidRPr="007731FA">
        <w:t>QTcF</w:t>
      </w:r>
      <w:proofErr w:type="spellEnd"/>
      <w:r w:rsidRPr="007731FA">
        <w:t xml:space="preserve"> prolongation was 3.87 </w:t>
      </w:r>
      <w:proofErr w:type="spellStart"/>
      <w:r w:rsidRPr="007731FA">
        <w:t>ms</w:t>
      </w:r>
      <w:proofErr w:type="spellEnd"/>
      <w:r w:rsidRPr="007731FA">
        <w:t xml:space="preserve"> at the steady state </w:t>
      </w:r>
      <w:proofErr w:type="spellStart"/>
      <w:r w:rsidRPr="007731FA">
        <w:t>C</w:t>
      </w:r>
      <w:r w:rsidRPr="007731FA">
        <w:rPr>
          <w:vertAlign w:val="subscript"/>
        </w:rPr>
        <w:t>max</w:t>
      </w:r>
      <w:proofErr w:type="spellEnd"/>
      <w:r w:rsidRPr="007731FA">
        <w:t xml:space="preserve"> following 400 mg twice daily</w:t>
      </w:r>
      <w:r w:rsidR="000E6525">
        <w:t xml:space="preserve"> and the exposure that is predicted to cause a </w:t>
      </w:r>
      <w:proofErr w:type="spellStart"/>
      <w:r w:rsidR="000E6525">
        <w:t>QTcF</w:t>
      </w:r>
      <w:proofErr w:type="spellEnd"/>
      <w:r w:rsidR="000E6525">
        <w:t xml:space="preserve"> prolongation of 20 </w:t>
      </w:r>
      <w:proofErr w:type="spellStart"/>
      <w:r w:rsidR="000E6525">
        <w:t>ms</w:t>
      </w:r>
      <w:proofErr w:type="spellEnd"/>
      <w:r w:rsidR="000E6525">
        <w:t xml:space="preserve"> is approximately 4-</w:t>
      </w:r>
      <w:r w:rsidR="00920DB5">
        <w:t xml:space="preserve"> </w:t>
      </w:r>
      <w:r w:rsidR="000E6525">
        <w:t xml:space="preserve">to 5-fold higher than the therapeutic </w:t>
      </w:r>
      <w:proofErr w:type="spellStart"/>
      <w:r w:rsidR="000E6525">
        <w:t>C</w:t>
      </w:r>
      <w:r w:rsidR="000E6525" w:rsidRPr="000E6525">
        <w:rPr>
          <w:vertAlign w:val="subscript"/>
        </w:rPr>
        <w:t>max</w:t>
      </w:r>
      <w:proofErr w:type="spellEnd"/>
      <w:r w:rsidRPr="007731FA">
        <w:t xml:space="preserve">. No clinically relevant effect of </w:t>
      </w:r>
      <w:proofErr w:type="spellStart"/>
      <w:r w:rsidRPr="007731FA">
        <w:t>capivasertib</w:t>
      </w:r>
      <w:proofErr w:type="spellEnd"/>
      <w:r w:rsidRPr="007731FA">
        <w:t xml:space="preserve"> on QT prolongation associated with pro-arrhythmic effect was observed at the recommended dose of 400 mg twice daily</w:t>
      </w:r>
      <w:r w:rsidR="000E6525">
        <w:t xml:space="preserve"> </w:t>
      </w:r>
      <w:r w:rsidR="00F443BB">
        <w:t xml:space="preserve">in </w:t>
      </w:r>
      <w:r w:rsidR="000E6525">
        <w:t>the pivotal study</w:t>
      </w:r>
      <w:r w:rsidRPr="007731FA">
        <w:t>.</w:t>
      </w:r>
      <w:r w:rsidR="008C484B">
        <w:t xml:space="preserve"> </w:t>
      </w:r>
      <w:r w:rsidR="008C484B" w:rsidRPr="008C484B">
        <w:t xml:space="preserve">Patients with </w:t>
      </w:r>
      <w:proofErr w:type="spellStart"/>
      <w:r w:rsidR="008C484B" w:rsidRPr="008C484B">
        <w:t>QTcF</w:t>
      </w:r>
      <w:proofErr w:type="spellEnd"/>
      <w:r w:rsidR="008C484B" w:rsidRPr="008C484B">
        <w:t xml:space="preserve"> &gt;470 were not included in CAPItello-291.</w:t>
      </w:r>
    </w:p>
    <w:p w14:paraId="691214A4" w14:textId="46F0A84D" w:rsidR="001A3992" w:rsidRDefault="001A3992" w:rsidP="0026491B">
      <w:pPr>
        <w:pStyle w:val="Heading3Unnumbered"/>
      </w:pPr>
      <w:r w:rsidRPr="00377337">
        <w:t>Clinical trials</w:t>
      </w:r>
      <w:fldSimple w:instr=" DOCVARIABLE vault_nd_9a75ee73-9959-4650-9213-f1ff204e22b7 \* MERGEFORMAT ">
        <w:r w:rsidR="00BD4838">
          <w:t xml:space="preserve"> </w:t>
        </w:r>
      </w:fldSimple>
    </w:p>
    <w:p w14:paraId="1B06F190" w14:textId="18B95223" w:rsidR="00EE7C30" w:rsidRDefault="004B2039" w:rsidP="007403BD">
      <w:pPr>
        <w:pStyle w:val="Paragraph"/>
      </w:pPr>
      <w:r w:rsidRPr="004B2039">
        <w:t>CAPItello-291 was a randomi</w:t>
      </w:r>
      <w:r w:rsidR="002114CC">
        <w:t>s</w:t>
      </w:r>
      <w:r w:rsidRPr="004B2039">
        <w:t xml:space="preserve">ed, double-blind, placebo-controlled study designed to demonstrate the efficacy and safety of </w:t>
      </w:r>
      <w:r w:rsidR="00D04452">
        <w:t>TRUQAP</w:t>
      </w:r>
      <w:r w:rsidR="00D04452" w:rsidRPr="004B2039">
        <w:t xml:space="preserve"> </w:t>
      </w:r>
      <w:r w:rsidRPr="004B2039">
        <w:t xml:space="preserve">in combination with </w:t>
      </w:r>
      <w:proofErr w:type="spellStart"/>
      <w:r w:rsidRPr="004B2039">
        <w:t>fulvestrant</w:t>
      </w:r>
      <w:proofErr w:type="spellEnd"/>
      <w:r w:rsidRPr="004B2039">
        <w:t xml:space="preserve"> in adult females, pre- or post-</w:t>
      </w:r>
      <w:r w:rsidRPr="004B2039">
        <w:lastRenderedPageBreak/>
        <w:t>menopausal, and adult males with locally advanced (inoperable) or metastatic HR positive and HER2 negative breast cancer following recurrence or progression on or after aromatase inhibitor (AI) based treatment.</w:t>
      </w:r>
      <w:r w:rsidR="00F7098E">
        <w:t xml:space="preserve"> </w:t>
      </w:r>
      <w:r w:rsidR="00F7098E" w:rsidRPr="00F7098E">
        <w:t xml:space="preserve">The trial enrolled 708 adult patients with locally advanced (inoperable) or metastatic HR-positive, HER2-negative breast cancer </w:t>
      </w:r>
      <w:r w:rsidR="00520ED7">
        <w:t xml:space="preserve">irrespective of </w:t>
      </w:r>
      <w:r w:rsidR="00F7098E" w:rsidRPr="00520ED7">
        <w:rPr>
          <w:i/>
          <w:iCs/>
        </w:rPr>
        <w:t>PIK3CA/AKT1/PTEN</w:t>
      </w:r>
      <w:r w:rsidR="00F7098E" w:rsidRPr="00F7098E">
        <w:t>-alteration</w:t>
      </w:r>
      <w:r w:rsidR="00520ED7">
        <w:t xml:space="preserve"> </w:t>
      </w:r>
      <w:r w:rsidR="00F7098E" w:rsidRPr="00F7098E">
        <w:t>s</w:t>
      </w:r>
      <w:r w:rsidR="00520ED7">
        <w:t>tatus</w:t>
      </w:r>
      <w:r w:rsidR="00F7098E" w:rsidRPr="00F7098E">
        <w:t>.</w:t>
      </w:r>
    </w:p>
    <w:p w14:paraId="351704AE" w14:textId="77777777" w:rsidR="004F480B" w:rsidRPr="004F480B" w:rsidRDefault="004F480B" w:rsidP="004F480B">
      <w:pPr>
        <w:pStyle w:val="Paragraph"/>
      </w:pPr>
      <w:r w:rsidRPr="004F480B">
        <w:rPr>
          <w:i/>
          <w:iCs/>
        </w:rPr>
        <w:t>PIK3CA/AKT1/PTEN</w:t>
      </w:r>
      <w:r w:rsidRPr="004F480B">
        <w:t xml:space="preserve"> alteration status was identified centrally and retrospectively by Next Generation Sequencing (NGS) using the </w:t>
      </w:r>
      <w:proofErr w:type="spellStart"/>
      <w:r w:rsidRPr="004F480B">
        <w:t>FoundationOne</w:t>
      </w:r>
      <w:proofErr w:type="spellEnd"/>
      <w:r w:rsidRPr="004F480B">
        <w:rPr>
          <w:vertAlign w:val="superscript"/>
        </w:rPr>
        <w:t>®</w:t>
      </w:r>
      <w:r w:rsidRPr="004F480B">
        <w:t xml:space="preserve"> </w:t>
      </w:r>
      <w:proofErr w:type="spellStart"/>
      <w:r w:rsidRPr="004F480B">
        <w:t>CDx</w:t>
      </w:r>
      <w:proofErr w:type="spellEnd"/>
      <w:r w:rsidRPr="004F480B">
        <w:t xml:space="preserve"> assay, excluding in China where a Burning Rock </w:t>
      </w:r>
      <w:proofErr w:type="spellStart"/>
      <w:r w:rsidRPr="004F480B">
        <w:t>Oncoscreen</w:t>
      </w:r>
      <w:proofErr w:type="spellEnd"/>
      <w:r w:rsidRPr="004F480B">
        <w:t xml:space="preserve"> Plus assay was used, and classified in accordance with the principles published in the American College of Medical Genetics and Genomics (ACMG) standards and guidelines for the interpretation of sequence variants.</w:t>
      </w:r>
    </w:p>
    <w:p w14:paraId="4F1B4D6B" w14:textId="60D6081A" w:rsidR="004F480B" w:rsidRPr="004F480B" w:rsidRDefault="004F480B" w:rsidP="004F480B">
      <w:pPr>
        <w:pStyle w:val="Paragraph"/>
      </w:pPr>
      <w:r w:rsidRPr="004F480B">
        <w:t xml:space="preserve">Patients with qualifying alterations in </w:t>
      </w:r>
      <w:r w:rsidRPr="004F480B">
        <w:rPr>
          <w:i/>
          <w:iCs/>
        </w:rPr>
        <w:t>PIK3CA/AKT1/PTEN</w:t>
      </w:r>
      <w:r w:rsidRPr="004F480B">
        <w:t xml:space="preserve"> genes were included in the analyses for the overall population and the </w:t>
      </w:r>
      <w:r w:rsidRPr="004F480B">
        <w:rPr>
          <w:i/>
          <w:iCs/>
        </w:rPr>
        <w:t>PIK3CA/AKT1/PTEN</w:t>
      </w:r>
      <w:r w:rsidRPr="004F480B">
        <w:t xml:space="preserve"> altered subgroup. 289 (40.8%) patients, 155 (43.7%) in </w:t>
      </w:r>
      <w:proofErr w:type="spellStart"/>
      <w:r w:rsidRPr="004F480B">
        <w:t>capivasertib</w:t>
      </w:r>
      <w:proofErr w:type="spellEnd"/>
      <w:r w:rsidRPr="004F480B">
        <w:t xml:space="preserve"> arm and 134 (38.0%) in the placebo arm met these criteria. </w:t>
      </w:r>
    </w:p>
    <w:p w14:paraId="6575E347" w14:textId="451D55C7" w:rsidR="004F480B" w:rsidRPr="004F480B" w:rsidRDefault="004F480B" w:rsidP="004F480B">
      <w:pPr>
        <w:pStyle w:val="Paragraph"/>
      </w:pPr>
      <w:r w:rsidRPr="004F480B">
        <w:t xml:space="preserve">A total of 313 patients (44.2%) had tumours that did not harbour qualifying mutations in the </w:t>
      </w:r>
      <w:r w:rsidRPr="004F480B">
        <w:rPr>
          <w:i/>
          <w:iCs/>
        </w:rPr>
        <w:t>PIK3CA/AKT1/PTEN</w:t>
      </w:r>
      <w:r w:rsidRPr="004F480B">
        <w:t xml:space="preserve"> genes</w:t>
      </w:r>
      <w:r>
        <w:t xml:space="preserve">. </w:t>
      </w:r>
      <w:r w:rsidRPr="004F480B">
        <w:t xml:space="preserve">142 </w:t>
      </w:r>
      <w:r>
        <w:t>(</w:t>
      </w:r>
      <w:r w:rsidRPr="004F480B">
        <w:t>40.0%</w:t>
      </w:r>
      <w:r>
        <w:t>)</w:t>
      </w:r>
      <w:r w:rsidRPr="004F480B">
        <w:t xml:space="preserve"> of patients included in the </w:t>
      </w:r>
      <w:proofErr w:type="spellStart"/>
      <w:r w:rsidRPr="004F480B">
        <w:t>capivasertib</w:t>
      </w:r>
      <w:proofErr w:type="spellEnd"/>
      <w:r w:rsidRPr="004F480B">
        <w:t xml:space="preserve"> treatment arm and </w:t>
      </w:r>
      <w:r>
        <w:t>171 (</w:t>
      </w:r>
      <w:r w:rsidRPr="004F480B">
        <w:t>48.4%</w:t>
      </w:r>
      <w:r>
        <w:t>)</w:t>
      </w:r>
      <w:r w:rsidRPr="004F480B">
        <w:t xml:space="preserve"> in the placebo arm met these criteria. </w:t>
      </w:r>
    </w:p>
    <w:p w14:paraId="01EE1431" w14:textId="384B864E" w:rsidR="00520ED7" w:rsidRDefault="004F480B" w:rsidP="004F480B">
      <w:pPr>
        <w:pStyle w:val="Paragraph"/>
      </w:pPr>
      <w:r w:rsidRPr="004F480B">
        <w:t xml:space="preserve">Of the 106 patients (15% of total study participants) with unknown </w:t>
      </w:r>
      <w:r w:rsidRPr="004F480B">
        <w:rPr>
          <w:i/>
          <w:iCs/>
        </w:rPr>
        <w:t>PIK3CA/AKT1/PTEN</w:t>
      </w:r>
      <w:r w:rsidRPr="004F480B">
        <w:t xml:space="preserve"> alteration status, 14 (13%) were unknown due to no sample availability, 73 (69%) because of preanalytical failure, and 19 (18%) because of post analytical failure</w:t>
      </w:r>
      <w:r>
        <w:t>.</w:t>
      </w:r>
    </w:p>
    <w:p w14:paraId="3689DEF1" w14:textId="77777777" w:rsidR="006E16B8" w:rsidRPr="006E16B8" w:rsidRDefault="006E16B8" w:rsidP="000F0A7C">
      <w:pPr>
        <w:pStyle w:val="Paragraph"/>
        <w:spacing w:after="0"/>
      </w:pPr>
      <w:bookmarkStart w:id="30" w:name="_Hlk152843504"/>
      <w:r w:rsidRPr="006E16B8">
        <w:t>Patients were to have received treatment with an AI-containing regimen (single agent or in combination) and have:</w:t>
      </w:r>
    </w:p>
    <w:p w14:paraId="623A96A5" w14:textId="77777777" w:rsidR="006E16B8" w:rsidRPr="006E16B8" w:rsidRDefault="006E16B8" w:rsidP="006E16B8">
      <w:pPr>
        <w:pStyle w:val="Paragraph"/>
        <w:numPr>
          <w:ilvl w:val="0"/>
          <w:numId w:val="24"/>
        </w:numPr>
        <w:spacing w:after="0"/>
      </w:pPr>
      <w:r w:rsidRPr="006E16B8">
        <w:t xml:space="preserve">Radiological evidence of breast cancer recurrence or progression while on, or within 12 months of the end of (neo)adjuvant treatment with an AI, </w:t>
      </w:r>
      <w:r w:rsidRPr="006E16B8">
        <w:rPr>
          <w:u w:val="single"/>
        </w:rPr>
        <w:t>or</w:t>
      </w:r>
    </w:p>
    <w:p w14:paraId="7C67351B" w14:textId="3B69837B" w:rsidR="006E16B8" w:rsidRDefault="006E16B8" w:rsidP="00FF0BAE">
      <w:pPr>
        <w:pStyle w:val="Paragraph"/>
        <w:numPr>
          <w:ilvl w:val="0"/>
          <w:numId w:val="24"/>
        </w:numPr>
      </w:pPr>
      <w:r w:rsidRPr="006E16B8">
        <w:t>Radiological evidence of progression while on prior AI administered as a treatment line for locally advanced or metastatic breast cancer (this did not need to be the most recent therapy)</w:t>
      </w:r>
      <w:bookmarkEnd w:id="30"/>
      <w:r w:rsidR="00A55E50">
        <w:t>.</w:t>
      </w:r>
    </w:p>
    <w:p w14:paraId="47CC83D8" w14:textId="77777777" w:rsidR="00225D19" w:rsidRDefault="002D2330" w:rsidP="007403BD">
      <w:pPr>
        <w:pStyle w:val="Paragraph"/>
      </w:pPr>
      <w:r w:rsidRPr="002D2330">
        <w:t xml:space="preserve">Patients were excluded if they had more than 2 lines of endocrine therapy for locally advanced (inoperable) or metastatic disease, more than 1 line of chemotherapy for locally advanced (inoperable) or metastatic disease, prior treatment with AKT, PI3K, mTOR inhibitors, </w:t>
      </w:r>
      <w:proofErr w:type="spellStart"/>
      <w:r w:rsidRPr="002D2330">
        <w:t>fulvestrant</w:t>
      </w:r>
      <w:proofErr w:type="spellEnd"/>
      <w:r w:rsidRPr="002D2330">
        <w:t xml:space="preserve"> and/or other SERDs, clinically significant abnormalities of glucose metabolism (defined as patients with diabetes mellitus Type 1 or Type 2 requiring insulin treatment, and/or HbA1c≥8.0% (63.9 mmol/mol)), history of clinically significant cardiac disease, and symptomatic visceral disease or any disease burden that makes the patient ineligible for endocrine therapy</w:t>
      </w:r>
      <w:r>
        <w:t xml:space="preserve">. </w:t>
      </w:r>
    </w:p>
    <w:p w14:paraId="4B422E4F" w14:textId="39B938D0" w:rsidR="00225D19" w:rsidRDefault="00225D19" w:rsidP="007403BD">
      <w:pPr>
        <w:pStyle w:val="Paragraph"/>
      </w:pPr>
      <w:r w:rsidRPr="00225D19">
        <w:t>A total of 708 patients were randomi</w:t>
      </w:r>
      <w:r w:rsidR="002114CC">
        <w:t>s</w:t>
      </w:r>
      <w:r w:rsidRPr="00225D19">
        <w:t xml:space="preserve">ed 1:1 to receive either 400 mg of </w:t>
      </w:r>
      <w:r w:rsidR="00D04452">
        <w:t>TRUQAP</w:t>
      </w:r>
      <w:r w:rsidR="00D04452" w:rsidRPr="00225D19">
        <w:t xml:space="preserve"> </w:t>
      </w:r>
      <w:r w:rsidRPr="00225D19">
        <w:t>(N=355) or placebo (N=353) given twice daily for 4 days followed by 3 days off treatment each week of 28</w:t>
      </w:r>
      <w:r w:rsidRPr="00225D19">
        <w:noBreakHyphen/>
        <w:t xml:space="preserve">day treatment cycle. </w:t>
      </w:r>
      <w:proofErr w:type="spellStart"/>
      <w:r w:rsidRPr="00225D19">
        <w:t>Fulvestrant</w:t>
      </w:r>
      <w:proofErr w:type="spellEnd"/>
      <w:r w:rsidRPr="00225D19">
        <w:t xml:space="preserve"> 500 mg was administered on cycle 1 days 1 and 15 and then at day 1 of a 28</w:t>
      </w:r>
      <w:r w:rsidRPr="00225D19">
        <w:noBreakHyphen/>
        <w:t>day cycle.  Peri/pre-menopausal women were treated with an LHRH agonist.</w:t>
      </w:r>
      <w:r w:rsidR="00640DFB" w:rsidRPr="00640DFB">
        <w:rPr>
          <w:sz w:val="22"/>
        </w:rPr>
        <w:t xml:space="preserve"> </w:t>
      </w:r>
      <w:r w:rsidR="00640DFB" w:rsidRPr="00640DFB">
        <w:t>Randomi</w:t>
      </w:r>
      <w:r w:rsidR="002114CC">
        <w:t>s</w:t>
      </w:r>
      <w:r w:rsidR="00640DFB" w:rsidRPr="00640DFB">
        <w:t>ation was stratified by presence of liver metastases, prior treatment with CDK4/6 inhibitors and geographical region (region 1: US, Canada, Western Europe, Australia and Israel vs region 2: Latin America, Eastern Europe and Russia vs Region 3: Asia).</w:t>
      </w:r>
      <w:r w:rsidR="00640DFB">
        <w:t xml:space="preserve"> </w:t>
      </w:r>
      <w:r w:rsidR="007D4128" w:rsidRPr="007D4128">
        <w:t>Treatment was administered until disease progression, death, withdrawal of consent, or unacceptable toxicity.</w:t>
      </w:r>
      <w:r w:rsidR="007D4128">
        <w:t xml:space="preserve"> </w:t>
      </w:r>
      <w:r w:rsidR="007D4128" w:rsidRPr="007D4128">
        <w:t>A tumour sample was collected prior to randomi</w:t>
      </w:r>
      <w:r w:rsidR="002114CC">
        <w:t>s</w:t>
      </w:r>
      <w:r w:rsidR="007D4128" w:rsidRPr="007D4128">
        <w:t xml:space="preserve">ation to determine </w:t>
      </w:r>
      <w:r w:rsidR="007D4128" w:rsidRPr="007D4128">
        <w:rPr>
          <w:i/>
          <w:iCs/>
        </w:rPr>
        <w:t>PIK3CA/AKT1/PTEN</w:t>
      </w:r>
      <w:r w:rsidR="007D4128" w:rsidRPr="007D4128">
        <w:t xml:space="preserve"> alteration status retrospectively by central testing.</w:t>
      </w:r>
    </w:p>
    <w:p w14:paraId="62F1A49F" w14:textId="2D1608CB" w:rsidR="00225D19" w:rsidRDefault="007D4128" w:rsidP="007403BD">
      <w:pPr>
        <w:pStyle w:val="Paragraph"/>
      </w:pPr>
      <w:r w:rsidRPr="007D4128">
        <w:lastRenderedPageBreak/>
        <w:t>Demographic and baseline characteristics were well balanced between arms. Of the 708 patients, the median age was 58 years (range 26 to 90); female (99%); White (57.5%), Asian (26.7%), Black (1.1%); Eastern Cooperative Oncology Group (ECOG) performance status 0 (65.7%), 1 (34.2%), 21.8% were pre/peri menopausal. All patients received prior endocrine-based therapy (100% AI based treatment and 44.1% received tamoxifen). Prior treatment with CDK4/6 inhibitor was reported in 70.1% of patients. Chemotherapy for locally advanced (inoperable) or metastatic disease was reported in 18.2% of patients. Patient demographics for those in the PIK3CA/AKT1/PTEN-altered subgroup were generally representative of the overall study population.</w:t>
      </w:r>
    </w:p>
    <w:p w14:paraId="415C257E" w14:textId="5531A8B4" w:rsidR="007D4128" w:rsidRDefault="007D4128" w:rsidP="007403BD">
      <w:pPr>
        <w:pStyle w:val="Paragraph"/>
      </w:pPr>
      <w:r w:rsidRPr="007D4128">
        <w:t xml:space="preserve">The dual primary endpoints were investigator assessed progression free survival (PFS) in the overall population and PFS in the PIK3CA/AKT1/PTEN-altered subgroup per Response Evaluation Criteria in Solid </w:t>
      </w:r>
      <w:proofErr w:type="spellStart"/>
      <w:r w:rsidRPr="007D4128">
        <w:t>Tumors</w:t>
      </w:r>
      <w:proofErr w:type="spellEnd"/>
      <w:r w:rsidRPr="007D4128">
        <w:t xml:space="preserve"> (RECIST) v1.1. The key secondary endpoints of overall survival (OS) and objective response rate (ORR) will be formally analysed at future data cut offs.</w:t>
      </w:r>
      <w:r>
        <w:t xml:space="preserve"> </w:t>
      </w:r>
    </w:p>
    <w:p w14:paraId="20116975" w14:textId="65AEF689" w:rsidR="007D4128" w:rsidRDefault="007D4128" w:rsidP="007403BD">
      <w:pPr>
        <w:pStyle w:val="Paragraph"/>
      </w:pPr>
      <w:r w:rsidRPr="007D4128">
        <w:t>At the time of primary analysis, the median duration of follow-up for PFS in the overall population was 13 months (range: 0 to 25 months) in censored patients</w:t>
      </w:r>
      <w:r>
        <w:t xml:space="preserve">. </w:t>
      </w:r>
    </w:p>
    <w:p w14:paraId="752A0BC6" w14:textId="2376E032" w:rsidR="00807EEF" w:rsidRDefault="007D4128" w:rsidP="007403BD">
      <w:pPr>
        <w:pStyle w:val="Paragraph"/>
        <w:rPr>
          <w:lang w:val="en-US"/>
        </w:rPr>
      </w:pPr>
      <w:r w:rsidRPr="007D4128">
        <w:t xml:space="preserve">The study demonstrated statistically significant and clinically meaningful improvement in PFS for patients receiving </w:t>
      </w:r>
      <w:r w:rsidR="00D04452">
        <w:t>TRUQAP</w:t>
      </w:r>
      <w:r w:rsidR="00D04452" w:rsidRPr="007D4128">
        <w:t xml:space="preserve"> </w:t>
      </w:r>
      <w:r w:rsidRPr="007D4128">
        <w:t xml:space="preserve">plus </w:t>
      </w:r>
      <w:proofErr w:type="spellStart"/>
      <w:r w:rsidRPr="007D4128">
        <w:t>fulvestrant</w:t>
      </w:r>
      <w:proofErr w:type="spellEnd"/>
      <w:r w:rsidRPr="007D4128">
        <w:t xml:space="preserve"> compared to patients receiving placebo plus </w:t>
      </w:r>
      <w:proofErr w:type="spellStart"/>
      <w:r w:rsidRPr="007D4128">
        <w:t>fulvestrant</w:t>
      </w:r>
      <w:proofErr w:type="spellEnd"/>
      <w:r w:rsidRPr="007D4128">
        <w:t xml:space="preserve">, in both the overall population and the PIK3CA/AKT1/PTEN-altered subgroup. </w:t>
      </w:r>
      <w:bookmarkStart w:id="31" w:name="_Hlk152843617"/>
      <w:r w:rsidR="00F7098E">
        <w:t xml:space="preserve">An exploratory analysis of PFS in the 313 (44%) patients in </w:t>
      </w:r>
      <w:r w:rsidR="00807EEF" w:rsidRPr="00807EEF">
        <w:t>the Known Non-altered Population (no PIK3CA/AKT1/PTEN altered tumour)</w:t>
      </w:r>
      <w:r w:rsidR="00F7098E">
        <w:t xml:space="preserve"> showed a </w:t>
      </w:r>
      <w:r w:rsidR="00807EEF" w:rsidRPr="00807EEF">
        <w:t xml:space="preserve">HR (95% CI) </w:t>
      </w:r>
      <w:r w:rsidR="00F7098E">
        <w:t xml:space="preserve">of </w:t>
      </w:r>
      <w:r w:rsidR="00807EEF" w:rsidRPr="00807EEF">
        <w:t xml:space="preserve">0.79 (0.61 to 1.02). The median PFS </w:t>
      </w:r>
      <w:r w:rsidR="00942479" w:rsidRPr="00942479">
        <w:rPr>
          <w:lang w:val="en-AU"/>
        </w:rPr>
        <w:t xml:space="preserve">(95% CI) </w:t>
      </w:r>
      <w:r w:rsidR="00807EEF" w:rsidRPr="00807EEF">
        <w:t>was 5.3 months</w:t>
      </w:r>
      <w:r w:rsidR="00942479">
        <w:t xml:space="preserve"> (3.6 to 7.3)</w:t>
      </w:r>
      <w:r w:rsidR="00807EEF" w:rsidRPr="00807EEF">
        <w:t xml:space="preserve"> in the </w:t>
      </w:r>
      <w:proofErr w:type="spellStart"/>
      <w:r w:rsidR="00807EEF" w:rsidRPr="00807EEF">
        <w:t>capivasertib</w:t>
      </w:r>
      <w:proofErr w:type="spellEnd"/>
      <w:r w:rsidR="00807EEF" w:rsidRPr="00807EEF">
        <w:t xml:space="preserve"> group compared with 3.7</w:t>
      </w:r>
      <w:r w:rsidR="00942479">
        <w:t xml:space="preserve"> </w:t>
      </w:r>
      <w:r w:rsidR="00807EEF" w:rsidRPr="00807EEF">
        <w:t xml:space="preserve">months </w:t>
      </w:r>
      <w:r w:rsidR="00942479">
        <w:t xml:space="preserve">(3.5 to 5.1) </w:t>
      </w:r>
      <w:r w:rsidR="00807EEF" w:rsidRPr="00807EEF">
        <w:t>in the placebo</w:t>
      </w:r>
      <w:r w:rsidR="00C13CB0">
        <w:t xml:space="preserve"> group</w:t>
      </w:r>
      <w:r w:rsidR="00807EEF" w:rsidRPr="00807EEF">
        <w:t>.</w:t>
      </w:r>
      <w:r w:rsidR="00807EEF">
        <w:t xml:space="preserve">  </w:t>
      </w:r>
      <w:r w:rsidR="003F6FF2">
        <w:t>A</w:t>
      </w:r>
      <w:r w:rsidR="00C13CB0">
        <w:t xml:space="preserve">n exploratory analysis of PFS in the 106 (15%) patients in </w:t>
      </w:r>
      <w:r w:rsidR="00807EEF" w:rsidRPr="00807EEF">
        <w:t>the No Result Population</w:t>
      </w:r>
      <w:r w:rsidR="00C13CB0">
        <w:t xml:space="preserve"> showed</w:t>
      </w:r>
      <w:r w:rsidR="00807EEF" w:rsidRPr="00807EEF">
        <w:t xml:space="preserve"> a HR (95% CI) </w:t>
      </w:r>
      <w:r w:rsidR="00C13CB0">
        <w:t xml:space="preserve">of </w:t>
      </w:r>
      <w:r w:rsidR="00807EEF" w:rsidRPr="00807EEF">
        <w:t xml:space="preserve">0.52 (0.32 to 0.83). The median PFS </w:t>
      </w:r>
      <w:r w:rsidR="00942479">
        <w:t xml:space="preserve">(95% CI) </w:t>
      </w:r>
      <w:r w:rsidR="00807EEF" w:rsidRPr="00807EEF">
        <w:t xml:space="preserve">was 10.0 months </w:t>
      </w:r>
      <w:r w:rsidR="00942479">
        <w:t xml:space="preserve">(7.3 to 11.1) </w:t>
      </w:r>
      <w:r w:rsidR="00807EEF" w:rsidRPr="00807EEF">
        <w:t xml:space="preserve">in the </w:t>
      </w:r>
      <w:proofErr w:type="spellStart"/>
      <w:r w:rsidR="00807EEF" w:rsidRPr="00807EEF">
        <w:t>capivasertib</w:t>
      </w:r>
      <w:proofErr w:type="spellEnd"/>
      <w:r w:rsidR="00807EEF" w:rsidRPr="00807EEF">
        <w:t xml:space="preserve"> group compared with 1.9 months </w:t>
      </w:r>
      <w:r w:rsidR="00942479">
        <w:t xml:space="preserve">(1.8 to 7.3) </w:t>
      </w:r>
      <w:r w:rsidR="00807EEF" w:rsidRPr="00807EEF">
        <w:t>in the placebo</w:t>
      </w:r>
      <w:bookmarkEnd w:id="31"/>
      <w:r w:rsidR="00C13CB0">
        <w:t xml:space="preserve"> group</w:t>
      </w:r>
      <w:r w:rsidR="00807EEF" w:rsidRPr="00807EEF">
        <w:t>.</w:t>
      </w:r>
      <w:r w:rsidR="00807EEF">
        <w:t xml:space="preserve"> </w:t>
      </w:r>
      <w:r w:rsidRPr="007D4128">
        <w:rPr>
          <w:lang w:val="en-US"/>
        </w:rPr>
        <w:t>PFS results by investigator assessment were supported by consistent results from a blinded independent review committee (BIRC) assessment.</w:t>
      </w:r>
      <w:r>
        <w:rPr>
          <w:lang w:val="en-US"/>
        </w:rPr>
        <w:t xml:space="preserve"> </w:t>
      </w:r>
      <w:r w:rsidR="00942479" w:rsidRPr="00942479">
        <w:rPr>
          <w:lang w:val="en-US"/>
        </w:rPr>
        <w:t>Scans were repeated every 8 weeks (±7</w:t>
      </w:r>
      <w:r w:rsidR="00942479">
        <w:rPr>
          <w:lang w:val="en-US"/>
        </w:rPr>
        <w:t> </w:t>
      </w:r>
      <w:r w:rsidR="00942479" w:rsidRPr="00942479">
        <w:rPr>
          <w:lang w:val="en-US"/>
        </w:rPr>
        <w:t>days) for the first 18 months and every 12 weeks (±7 days) thereafter, after start of treatment until objective radiological disease progression as defined by RECIST v1.1</w:t>
      </w:r>
      <w:r w:rsidR="00942479">
        <w:rPr>
          <w:lang w:val="en-US"/>
        </w:rPr>
        <w:t>.</w:t>
      </w:r>
    </w:p>
    <w:p w14:paraId="0434DB30" w14:textId="3461F86C" w:rsidR="007D4128" w:rsidRDefault="00394FF7" w:rsidP="007403BD">
      <w:pPr>
        <w:pStyle w:val="Paragraph"/>
      </w:pPr>
      <w:r w:rsidRPr="00394FF7">
        <w:t xml:space="preserve">A preliminary assessment of OS in the overall population (28% maturity) and altered population (30% maturity) at the time of the primary PFS analysis does not suggest a detrimental effect on survival of treatment with </w:t>
      </w:r>
      <w:proofErr w:type="spellStart"/>
      <w:r w:rsidRPr="00394FF7">
        <w:t>capivasertib</w:t>
      </w:r>
      <w:proofErr w:type="spellEnd"/>
      <w:r w:rsidRPr="00394FF7">
        <w:t xml:space="preserve"> plus </w:t>
      </w:r>
      <w:proofErr w:type="spellStart"/>
      <w:r w:rsidRPr="00394FF7">
        <w:t>fulvestrant</w:t>
      </w:r>
      <w:proofErr w:type="spellEnd"/>
      <w:r w:rsidRPr="00394FF7">
        <w:t xml:space="preserve"> compared with placebo plus </w:t>
      </w:r>
      <w:proofErr w:type="spellStart"/>
      <w:r w:rsidRPr="00394FF7">
        <w:t>fulvestrant</w:t>
      </w:r>
      <w:proofErr w:type="spellEnd"/>
      <w:r w:rsidRPr="00394FF7">
        <w:t>.</w:t>
      </w:r>
      <w:r>
        <w:t xml:space="preserve"> </w:t>
      </w:r>
      <w:r w:rsidRPr="00394FF7">
        <w:t xml:space="preserve">The investigator-assessed ORR in patients receiving </w:t>
      </w:r>
      <w:r w:rsidR="00D04452">
        <w:t>TRUQAP</w:t>
      </w:r>
      <w:r w:rsidR="00D04452" w:rsidRPr="00394FF7">
        <w:t xml:space="preserve"> </w:t>
      </w:r>
      <w:r w:rsidRPr="00394FF7">
        <w:t xml:space="preserve">plus </w:t>
      </w:r>
      <w:proofErr w:type="spellStart"/>
      <w:r w:rsidRPr="00394FF7">
        <w:t>fulvestrant</w:t>
      </w:r>
      <w:proofErr w:type="spellEnd"/>
      <w:r w:rsidRPr="00394FF7">
        <w:t xml:space="preserve"> and placebo plus </w:t>
      </w:r>
      <w:proofErr w:type="spellStart"/>
      <w:r w:rsidRPr="00394FF7">
        <w:t>fulvestrant</w:t>
      </w:r>
      <w:proofErr w:type="spellEnd"/>
      <w:r w:rsidRPr="00394FF7">
        <w:t xml:space="preserve"> was 22.9% and 12.2%, respectively, in the overall population and 28.8% and 9.7%, respectively, in the altered subgroup.</w:t>
      </w:r>
      <w:r w:rsidR="00807EEF">
        <w:t xml:space="preserve"> </w:t>
      </w:r>
      <w:bookmarkStart w:id="32" w:name="_Hlk152843672"/>
      <w:r w:rsidR="00807EEF" w:rsidRPr="00807EEF">
        <w:t xml:space="preserve">The investigator-assessed ORR in patients receiving </w:t>
      </w:r>
      <w:proofErr w:type="spellStart"/>
      <w:r w:rsidR="00807EEF" w:rsidRPr="00807EEF">
        <w:t>capivasertib</w:t>
      </w:r>
      <w:proofErr w:type="spellEnd"/>
      <w:r w:rsidR="00807EEF" w:rsidRPr="00807EEF">
        <w:t xml:space="preserve"> plus </w:t>
      </w:r>
      <w:proofErr w:type="spellStart"/>
      <w:r w:rsidR="00807EEF" w:rsidRPr="00807EEF">
        <w:t>fulvestrant</w:t>
      </w:r>
      <w:proofErr w:type="spellEnd"/>
      <w:r w:rsidR="00807EEF" w:rsidRPr="00807EEF">
        <w:t xml:space="preserve"> and placebo plus </w:t>
      </w:r>
      <w:proofErr w:type="spellStart"/>
      <w:r w:rsidR="00807EEF" w:rsidRPr="00807EEF">
        <w:t>fulvestrant</w:t>
      </w:r>
      <w:proofErr w:type="spellEnd"/>
      <w:r w:rsidR="00807EEF" w:rsidRPr="00807EEF">
        <w:t xml:space="preserve"> was 17.1% and 14.5%, respectively, in the Known Non-altered Population and 22.4% and 11.4%, respectively, in the unknown subgroup</w:t>
      </w:r>
      <w:bookmarkEnd w:id="32"/>
      <w:r w:rsidR="00807EEF" w:rsidRPr="00807EEF">
        <w:t>.</w:t>
      </w:r>
    </w:p>
    <w:p w14:paraId="241C262F" w14:textId="0C6EC801" w:rsidR="007B1CF0" w:rsidRDefault="00394FF7" w:rsidP="007B1CF0">
      <w:pPr>
        <w:pStyle w:val="Paragraph"/>
      </w:pPr>
      <w:r w:rsidRPr="00394FF7">
        <w:t xml:space="preserve">Efficacy results for overall population and PIK3CA/AKT1/PTEN-altered subgroup are presented in </w:t>
      </w:r>
      <w:r w:rsidR="007B1CF0">
        <w:fldChar w:fldCharType="begin"/>
      </w:r>
      <w:r w:rsidR="007B1CF0">
        <w:instrText xml:space="preserve"> REF _Ref130834499 \h </w:instrText>
      </w:r>
      <w:r w:rsidR="007B1CF0">
        <w:fldChar w:fldCharType="separate"/>
      </w:r>
      <w:r w:rsidR="007B1CF0" w:rsidRPr="00394FF7">
        <w:t>Table</w:t>
      </w:r>
      <w:r w:rsidR="007B1CF0">
        <w:t xml:space="preserve"> </w:t>
      </w:r>
      <w:r w:rsidR="007B1CF0">
        <w:rPr>
          <w:noProof/>
        </w:rPr>
        <w:t>10</w:t>
      </w:r>
      <w:r w:rsidR="007B1CF0">
        <w:fldChar w:fldCharType="end"/>
      </w:r>
      <w:r w:rsidRPr="00EA4381">
        <w:t xml:space="preserve"> and </w:t>
      </w:r>
      <w:r w:rsidR="00994D91">
        <w:fldChar w:fldCharType="begin"/>
      </w:r>
      <w:r w:rsidR="00994D91">
        <w:instrText xml:space="preserve"> REF _Ref130834660 \h </w:instrText>
      </w:r>
      <w:r w:rsidR="00994D91">
        <w:fldChar w:fldCharType="separate"/>
      </w:r>
      <w:r w:rsidR="00994D91">
        <w:t xml:space="preserve">Figure </w:t>
      </w:r>
      <w:r w:rsidR="00994D91">
        <w:rPr>
          <w:noProof/>
        </w:rPr>
        <w:t>1</w:t>
      </w:r>
      <w:r w:rsidR="00994D91">
        <w:fldChar w:fldCharType="end"/>
      </w:r>
      <w:r w:rsidRPr="00EA4381">
        <w:t xml:space="preserve"> and </w:t>
      </w:r>
      <w:r w:rsidR="00994D91">
        <w:fldChar w:fldCharType="begin"/>
      </w:r>
      <w:r w:rsidR="00994D91">
        <w:instrText xml:space="preserve"> REF _Ref130834670 \h </w:instrText>
      </w:r>
      <w:r w:rsidR="00994D91">
        <w:fldChar w:fldCharType="separate"/>
      </w:r>
      <w:r w:rsidR="00994D91">
        <w:t xml:space="preserve">Figure </w:t>
      </w:r>
      <w:r w:rsidR="00994D91">
        <w:rPr>
          <w:noProof/>
        </w:rPr>
        <w:t>2</w:t>
      </w:r>
      <w:r w:rsidR="00994D91">
        <w:fldChar w:fldCharType="end"/>
      </w:r>
      <w:r w:rsidRPr="00EA4381">
        <w:t>.</w:t>
      </w:r>
    </w:p>
    <w:p w14:paraId="3134F8B8" w14:textId="11689160" w:rsidR="007D4128" w:rsidRDefault="00394FF7" w:rsidP="00394FF7">
      <w:pPr>
        <w:pStyle w:val="TableTitle"/>
      </w:pPr>
      <w:bookmarkStart w:id="33" w:name="_Ref130834499"/>
      <w:r w:rsidRPr="00394FF7">
        <w:lastRenderedPageBreak/>
        <w:t>Table</w:t>
      </w:r>
      <w:r w:rsidR="007B1CF0">
        <w:t xml:space="preserve"> </w:t>
      </w:r>
      <w:r w:rsidR="007B1CF0">
        <w:fldChar w:fldCharType="begin"/>
      </w:r>
      <w:r w:rsidR="007B1CF0">
        <w:instrText xml:space="preserve"> SEQ Table \* ARABIC </w:instrText>
      </w:r>
      <w:r w:rsidR="007B1CF0">
        <w:fldChar w:fldCharType="separate"/>
      </w:r>
      <w:r w:rsidR="007B1CF0">
        <w:rPr>
          <w:noProof/>
        </w:rPr>
        <w:t>10</w:t>
      </w:r>
      <w:r w:rsidR="007B1CF0">
        <w:fldChar w:fldCharType="end"/>
      </w:r>
      <w:bookmarkEnd w:id="33"/>
      <w:r w:rsidR="007B1CF0">
        <w:tab/>
      </w:r>
      <w:r w:rsidRPr="00394FF7">
        <w:t>Progression-free Survival, by Investigator Assessment</w:t>
      </w:r>
      <w:fldSimple w:instr=" DOCVARIABLE vault_nd_af9d56b5-997d-4f7e-9b31-39f2615d3a35 \* MERGEFORMAT ">
        <w:r w:rsidR="003A4225">
          <w:t xml:space="preserve"> </w:t>
        </w:r>
      </w:fldSimple>
    </w:p>
    <w:tbl>
      <w:tblPr>
        <w:tblStyle w:val="TableGrid30"/>
        <w:tblW w:w="9348" w:type="dxa"/>
        <w:tblBorders>
          <w:top w:val="single" w:sz="0" w:space="0" w:color="auto"/>
          <w:left w:val="single" w:sz="0" w:space="0" w:color="auto"/>
          <w:bottom w:val="single" w:sz="0" w:space="0" w:color="auto"/>
          <w:right w:val="single" w:sz="0" w:space="0" w:color="auto"/>
        </w:tblBorders>
        <w:tblLayout w:type="fixed"/>
        <w:tblLook w:val="06A0" w:firstRow="1" w:lastRow="0" w:firstColumn="1" w:lastColumn="0" w:noHBand="1" w:noVBand="1"/>
      </w:tblPr>
      <w:tblGrid>
        <w:gridCol w:w="985"/>
        <w:gridCol w:w="992"/>
        <w:gridCol w:w="992"/>
        <w:gridCol w:w="1134"/>
        <w:gridCol w:w="992"/>
        <w:gridCol w:w="1134"/>
        <w:gridCol w:w="993"/>
        <w:gridCol w:w="1134"/>
        <w:gridCol w:w="992"/>
      </w:tblGrid>
      <w:tr w:rsidR="00713CF0" w:rsidRPr="00394FF7" w14:paraId="2B8E5C98" w14:textId="77777777" w:rsidTr="00991428">
        <w:trPr>
          <w:trHeight w:val="849"/>
          <w:tblHeader/>
        </w:trPr>
        <w:tc>
          <w:tcPr>
            <w:tcW w:w="985" w:type="dxa"/>
            <w:tcBorders>
              <w:top w:val="single" w:sz="6" w:space="0" w:color="000000"/>
              <w:left w:val="single" w:sz="6" w:space="0" w:color="000000"/>
              <w:bottom w:val="single" w:sz="6" w:space="0" w:color="000000"/>
              <w:right w:val="single" w:sz="6" w:space="0" w:color="000000"/>
            </w:tcBorders>
          </w:tcPr>
          <w:p w14:paraId="053CAE49" w14:textId="2AD89480" w:rsidR="00713CF0" w:rsidRPr="0043294D" w:rsidRDefault="00713CF0" w:rsidP="00D9325C">
            <w:pPr>
              <w:spacing w:line="276" w:lineRule="auto"/>
              <w:jc w:val="center"/>
              <w:rPr>
                <w:b/>
                <w:bCs/>
                <w:sz w:val="20"/>
                <w:szCs w:val="20"/>
              </w:rPr>
            </w:pPr>
          </w:p>
        </w:tc>
        <w:tc>
          <w:tcPr>
            <w:tcW w:w="1984" w:type="dxa"/>
            <w:gridSpan w:val="2"/>
            <w:tcBorders>
              <w:top w:val="single" w:sz="6" w:space="0" w:color="000000"/>
              <w:left w:val="single" w:sz="6" w:space="0" w:color="000000"/>
              <w:bottom w:val="single" w:sz="6" w:space="0" w:color="000000"/>
              <w:right w:val="single" w:sz="6" w:space="0" w:color="000000"/>
            </w:tcBorders>
          </w:tcPr>
          <w:p w14:paraId="03F6E6D0" w14:textId="77777777" w:rsidR="00713CF0" w:rsidRPr="0043294D" w:rsidRDefault="00713CF0" w:rsidP="00D9325C">
            <w:pPr>
              <w:spacing w:line="276" w:lineRule="auto"/>
              <w:jc w:val="center"/>
              <w:rPr>
                <w:b/>
                <w:bCs/>
                <w:color w:val="222222"/>
                <w:sz w:val="20"/>
                <w:szCs w:val="20"/>
              </w:rPr>
            </w:pPr>
            <w:r w:rsidRPr="0043294D">
              <w:rPr>
                <w:b/>
                <w:bCs/>
                <w:color w:val="222222"/>
                <w:sz w:val="20"/>
                <w:szCs w:val="20"/>
              </w:rPr>
              <w:t>Overall population</w:t>
            </w:r>
          </w:p>
          <w:p w14:paraId="32016732" w14:textId="77777777" w:rsidR="00713CF0" w:rsidRPr="0043294D" w:rsidRDefault="00713CF0" w:rsidP="00713CF0">
            <w:pPr>
              <w:spacing w:after="0" w:line="276" w:lineRule="auto"/>
              <w:jc w:val="center"/>
              <w:rPr>
                <w:b/>
                <w:bCs/>
                <w:color w:val="222222"/>
                <w:sz w:val="20"/>
                <w:szCs w:val="20"/>
              </w:rPr>
            </w:pPr>
            <w:r w:rsidRPr="0043294D">
              <w:rPr>
                <w:b/>
                <w:bCs/>
                <w:color w:val="222222"/>
                <w:sz w:val="20"/>
                <w:szCs w:val="20"/>
              </w:rPr>
              <w:t>N = 708</w:t>
            </w:r>
          </w:p>
        </w:tc>
        <w:tc>
          <w:tcPr>
            <w:tcW w:w="2126"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14:paraId="7AE0B464" w14:textId="77777777" w:rsidR="00713CF0" w:rsidRPr="0043294D" w:rsidRDefault="00713CF0" w:rsidP="00D9325C">
            <w:pPr>
              <w:spacing w:line="276" w:lineRule="auto"/>
              <w:jc w:val="center"/>
              <w:rPr>
                <w:b/>
                <w:bCs/>
                <w:color w:val="222222"/>
                <w:sz w:val="20"/>
                <w:szCs w:val="20"/>
              </w:rPr>
            </w:pPr>
            <w:r w:rsidRPr="0043294D">
              <w:rPr>
                <w:b/>
                <w:bCs/>
                <w:color w:val="222222"/>
                <w:sz w:val="20"/>
                <w:szCs w:val="20"/>
              </w:rPr>
              <w:t>PIK3CA/AKT1/PTEN altered subgroup</w:t>
            </w:r>
          </w:p>
          <w:p w14:paraId="19754842" w14:textId="77777777" w:rsidR="00713CF0" w:rsidRPr="0043294D" w:rsidRDefault="00713CF0" w:rsidP="00713CF0">
            <w:pPr>
              <w:spacing w:after="0" w:line="276" w:lineRule="auto"/>
              <w:jc w:val="center"/>
              <w:rPr>
                <w:b/>
                <w:bCs/>
                <w:color w:val="222222"/>
                <w:sz w:val="20"/>
                <w:szCs w:val="20"/>
              </w:rPr>
            </w:pPr>
            <w:r w:rsidRPr="0043294D">
              <w:rPr>
                <w:b/>
                <w:bCs/>
                <w:color w:val="222222"/>
                <w:sz w:val="20"/>
                <w:szCs w:val="20"/>
              </w:rPr>
              <w:t>N = 289</w:t>
            </w:r>
          </w:p>
        </w:tc>
        <w:tc>
          <w:tcPr>
            <w:tcW w:w="2127" w:type="dxa"/>
            <w:gridSpan w:val="2"/>
            <w:tcBorders>
              <w:top w:val="single" w:sz="6" w:space="0" w:color="000000"/>
              <w:left w:val="single" w:sz="6" w:space="0" w:color="000000"/>
              <w:bottom w:val="single" w:sz="6" w:space="0" w:color="000000"/>
              <w:right w:val="single" w:sz="6" w:space="0" w:color="000000"/>
            </w:tcBorders>
          </w:tcPr>
          <w:p w14:paraId="4361BD0E" w14:textId="77777777" w:rsidR="00713CF0" w:rsidRPr="005633D8" w:rsidRDefault="00713CF0" w:rsidP="00D9325C">
            <w:pPr>
              <w:jc w:val="center"/>
              <w:rPr>
                <w:b/>
                <w:bCs/>
                <w:color w:val="222222"/>
                <w:sz w:val="20"/>
                <w:szCs w:val="20"/>
              </w:rPr>
            </w:pPr>
            <w:r w:rsidRPr="005633D8">
              <w:rPr>
                <w:b/>
                <w:bCs/>
                <w:color w:val="222222"/>
                <w:sz w:val="20"/>
                <w:szCs w:val="20"/>
              </w:rPr>
              <w:t xml:space="preserve">Confirmed non-altered subgroup </w:t>
            </w:r>
          </w:p>
          <w:p w14:paraId="179E9AF4" w14:textId="77777777" w:rsidR="00713CF0" w:rsidRPr="005633D8" w:rsidRDefault="00713CF0" w:rsidP="00713CF0">
            <w:pPr>
              <w:spacing w:after="0"/>
              <w:jc w:val="center"/>
              <w:rPr>
                <w:b/>
                <w:bCs/>
                <w:color w:val="222222"/>
                <w:sz w:val="20"/>
                <w:szCs w:val="20"/>
              </w:rPr>
            </w:pPr>
            <w:r w:rsidRPr="005633D8">
              <w:rPr>
                <w:b/>
                <w:bCs/>
                <w:color w:val="222222"/>
                <w:sz w:val="20"/>
                <w:szCs w:val="20"/>
              </w:rPr>
              <w:t>N=313</w:t>
            </w:r>
          </w:p>
        </w:tc>
        <w:tc>
          <w:tcPr>
            <w:tcW w:w="2126" w:type="dxa"/>
            <w:gridSpan w:val="2"/>
            <w:tcBorders>
              <w:top w:val="single" w:sz="6" w:space="0" w:color="000000"/>
              <w:left w:val="single" w:sz="6" w:space="0" w:color="000000"/>
              <w:bottom w:val="single" w:sz="6" w:space="0" w:color="000000"/>
              <w:right w:val="single" w:sz="6" w:space="0" w:color="000000"/>
            </w:tcBorders>
          </w:tcPr>
          <w:p w14:paraId="3AAB4674" w14:textId="77777777" w:rsidR="00713CF0" w:rsidRPr="005633D8" w:rsidRDefault="00713CF0" w:rsidP="00D9325C">
            <w:pPr>
              <w:jc w:val="center"/>
              <w:rPr>
                <w:b/>
                <w:bCs/>
                <w:color w:val="222222"/>
                <w:sz w:val="20"/>
                <w:szCs w:val="20"/>
              </w:rPr>
            </w:pPr>
            <w:r w:rsidRPr="005633D8">
              <w:rPr>
                <w:b/>
                <w:bCs/>
                <w:color w:val="222222"/>
                <w:sz w:val="20"/>
                <w:szCs w:val="20"/>
              </w:rPr>
              <w:t xml:space="preserve">Unknown subgroup </w:t>
            </w:r>
          </w:p>
          <w:p w14:paraId="57BA9260" w14:textId="77777777" w:rsidR="00713CF0" w:rsidRPr="005633D8" w:rsidRDefault="00713CF0" w:rsidP="00713CF0">
            <w:pPr>
              <w:spacing w:after="0"/>
              <w:jc w:val="center"/>
              <w:rPr>
                <w:b/>
                <w:bCs/>
                <w:color w:val="222222"/>
                <w:sz w:val="20"/>
                <w:szCs w:val="20"/>
              </w:rPr>
            </w:pPr>
            <w:r w:rsidRPr="005633D8">
              <w:rPr>
                <w:b/>
                <w:bCs/>
                <w:color w:val="222222"/>
                <w:sz w:val="20"/>
                <w:szCs w:val="20"/>
              </w:rPr>
              <w:t>N=106</w:t>
            </w:r>
          </w:p>
        </w:tc>
      </w:tr>
      <w:tr w:rsidR="00713CF0" w:rsidRPr="00394FF7" w14:paraId="33341976" w14:textId="77777777" w:rsidTr="00991428">
        <w:trPr>
          <w:tblHeader/>
        </w:trPr>
        <w:tc>
          <w:tcPr>
            <w:tcW w:w="985" w:type="dxa"/>
            <w:tcBorders>
              <w:top w:val="single" w:sz="6" w:space="0" w:color="000000"/>
              <w:left w:val="single" w:sz="6" w:space="0" w:color="000000"/>
              <w:bottom w:val="single" w:sz="6" w:space="0" w:color="000000"/>
              <w:right w:val="single" w:sz="6" w:space="0" w:color="000000"/>
            </w:tcBorders>
            <w:tcMar>
              <w:left w:w="28" w:type="dxa"/>
              <w:right w:w="28" w:type="dxa"/>
            </w:tcMar>
          </w:tcPr>
          <w:p w14:paraId="0F830664" w14:textId="77777777" w:rsidR="00713CF0" w:rsidRPr="0043294D" w:rsidRDefault="00713CF0" w:rsidP="00713CF0">
            <w:pPr>
              <w:spacing w:after="0" w:line="276" w:lineRule="auto"/>
              <w:jc w:val="center"/>
              <w:rPr>
                <w:b/>
                <w:bCs/>
                <w:sz w:val="20"/>
                <w:szCs w:val="20"/>
              </w:rPr>
            </w:pPr>
          </w:p>
        </w:tc>
        <w:tc>
          <w:tcPr>
            <w:tcW w:w="99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39CE5589" w14:textId="77777777" w:rsidR="00546161" w:rsidRDefault="00713CF0" w:rsidP="00546161">
            <w:pPr>
              <w:spacing w:after="0" w:line="276" w:lineRule="auto"/>
              <w:jc w:val="center"/>
              <w:rPr>
                <w:b/>
                <w:bCs/>
                <w:color w:val="222222"/>
                <w:sz w:val="20"/>
                <w:szCs w:val="20"/>
              </w:rPr>
            </w:pPr>
            <w:r w:rsidRPr="0043294D">
              <w:rPr>
                <w:b/>
                <w:bCs/>
                <w:color w:val="222222"/>
                <w:sz w:val="20"/>
                <w:szCs w:val="20"/>
              </w:rPr>
              <w:t xml:space="preserve">TRUQAP plus </w:t>
            </w:r>
            <w:proofErr w:type="spellStart"/>
            <w:r w:rsidRPr="0043294D">
              <w:rPr>
                <w:b/>
                <w:bCs/>
                <w:color w:val="222222"/>
                <w:sz w:val="20"/>
                <w:szCs w:val="20"/>
              </w:rPr>
              <w:t>fulvestrant</w:t>
            </w:r>
            <w:proofErr w:type="spellEnd"/>
          </w:p>
          <w:p w14:paraId="77141061" w14:textId="0367A269" w:rsidR="00713CF0" w:rsidRPr="0043294D" w:rsidRDefault="00713CF0" w:rsidP="00546161">
            <w:pPr>
              <w:spacing w:after="0" w:line="276" w:lineRule="auto"/>
              <w:jc w:val="center"/>
              <w:rPr>
                <w:b/>
                <w:bCs/>
                <w:color w:val="222222"/>
                <w:sz w:val="20"/>
                <w:szCs w:val="20"/>
              </w:rPr>
            </w:pPr>
            <w:r w:rsidRPr="0043294D">
              <w:rPr>
                <w:b/>
                <w:bCs/>
                <w:color w:val="222222"/>
                <w:sz w:val="20"/>
                <w:szCs w:val="20"/>
              </w:rPr>
              <w:t>N = 355</w:t>
            </w:r>
          </w:p>
        </w:tc>
        <w:tc>
          <w:tcPr>
            <w:tcW w:w="99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57C552D9" w14:textId="77777777" w:rsidR="00713CF0" w:rsidRPr="0043294D" w:rsidRDefault="00713CF0" w:rsidP="00713CF0">
            <w:pPr>
              <w:spacing w:after="0" w:line="276" w:lineRule="auto"/>
              <w:jc w:val="center"/>
              <w:rPr>
                <w:b/>
                <w:bCs/>
                <w:color w:val="222222"/>
                <w:sz w:val="20"/>
                <w:szCs w:val="20"/>
              </w:rPr>
            </w:pPr>
            <w:r w:rsidRPr="0043294D">
              <w:rPr>
                <w:b/>
                <w:bCs/>
                <w:color w:val="222222"/>
                <w:sz w:val="20"/>
                <w:szCs w:val="20"/>
              </w:rPr>
              <w:t xml:space="preserve">Placebo plus </w:t>
            </w:r>
            <w:proofErr w:type="spellStart"/>
            <w:r w:rsidRPr="0043294D">
              <w:rPr>
                <w:b/>
                <w:bCs/>
                <w:color w:val="222222"/>
                <w:sz w:val="20"/>
                <w:szCs w:val="20"/>
              </w:rPr>
              <w:t>fulvestrant</w:t>
            </w:r>
            <w:proofErr w:type="spellEnd"/>
          </w:p>
          <w:p w14:paraId="4808212E" w14:textId="77777777" w:rsidR="00713CF0" w:rsidRPr="0043294D" w:rsidRDefault="00713CF0" w:rsidP="00713CF0">
            <w:pPr>
              <w:spacing w:after="0" w:line="276" w:lineRule="auto"/>
              <w:jc w:val="center"/>
              <w:rPr>
                <w:b/>
                <w:bCs/>
                <w:sz w:val="20"/>
                <w:szCs w:val="20"/>
              </w:rPr>
            </w:pPr>
            <w:r w:rsidRPr="0043294D">
              <w:rPr>
                <w:b/>
                <w:bCs/>
                <w:color w:val="222222"/>
                <w:sz w:val="20"/>
                <w:szCs w:val="20"/>
              </w:rPr>
              <w:t>N = 353</w:t>
            </w:r>
          </w:p>
        </w:tc>
        <w:tc>
          <w:tcPr>
            <w:tcW w:w="1134" w:type="dxa"/>
            <w:tcBorders>
              <w:top w:val="single" w:sz="6" w:space="0" w:color="000000"/>
              <w:left w:val="single" w:sz="6" w:space="0" w:color="000000"/>
              <w:bottom w:val="single" w:sz="6" w:space="0" w:color="000000"/>
              <w:right w:val="single" w:sz="6" w:space="0" w:color="000000"/>
            </w:tcBorders>
            <w:tcMar>
              <w:left w:w="28" w:type="dxa"/>
              <w:right w:w="28" w:type="dxa"/>
            </w:tcMar>
          </w:tcPr>
          <w:p w14:paraId="7AEDAD16" w14:textId="77777777" w:rsidR="00713CF0" w:rsidRPr="0043294D" w:rsidRDefault="00713CF0" w:rsidP="00713CF0">
            <w:pPr>
              <w:spacing w:after="0" w:line="276" w:lineRule="auto"/>
              <w:jc w:val="center"/>
              <w:rPr>
                <w:b/>
                <w:bCs/>
                <w:color w:val="222222"/>
                <w:sz w:val="20"/>
                <w:szCs w:val="20"/>
              </w:rPr>
            </w:pPr>
            <w:r w:rsidRPr="0043294D">
              <w:rPr>
                <w:b/>
                <w:bCs/>
                <w:color w:val="222222"/>
                <w:sz w:val="20"/>
                <w:szCs w:val="20"/>
              </w:rPr>
              <w:t xml:space="preserve">TRUQAP plus </w:t>
            </w:r>
            <w:proofErr w:type="spellStart"/>
            <w:r w:rsidRPr="0043294D">
              <w:rPr>
                <w:b/>
                <w:bCs/>
                <w:color w:val="222222"/>
                <w:sz w:val="20"/>
                <w:szCs w:val="20"/>
              </w:rPr>
              <w:t>fulvestrant</w:t>
            </w:r>
            <w:proofErr w:type="spellEnd"/>
          </w:p>
          <w:p w14:paraId="0B161ADC" w14:textId="77777777" w:rsidR="00713CF0" w:rsidRPr="0043294D" w:rsidRDefault="00713CF0" w:rsidP="00713CF0">
            <w:pPr>
              <w:spacing w:after="0" w:line="276" w:lineRule="auto"/>
              <w:jc w:val="center"/>
              <w:rPr>
                <w:b/>
                <w:bCs/>
                <w:color w:val="222222"/>
                <w:sz w:val="20"/>
                <w:szCs w:val="20"/>
              </w:rPr>
            </w:pPr>
            <w:r w:rsidRPr="0043294D">
              <w:rPr>
                <w:b/>
                <w:bCs/>
                <w:color w:val="222222"/>
                <w:sz w:val="20"/>
                <w:szCs w:val="20"/>
              </w:rPr>
              <w:t>N = 155</w:t>
            </w:r>
          </w:p>
        </w:tc>
        <w:tc>
          <w:tcPr>
            <w:tcW w:w="99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6A1112C1" w14:textId="77777777" w:rsidR="00713CF0" w:rsidRPr="0043294D" w:rsidRDefault="00713CF0" w:rsidP="00713CF0">
            <w:pPr>
              <w:spacing w:after="0" w:line="276" w:lineRule="auto"/>
              <w:jc w:val="center"/>
              <w:rPr>
                <w:b/>
                <w:bCs/>
                <w:color w:val="222222"/>
                <w:sz w:val="20"/>
                <w:szCs w:val="20"/>
              </w:rPr>
            </w:pPr>
            <w:r w:rsidRPr="0043294D">
              <w:rPr>
                <w:b/>
                <w:bCs/>
                <w:color w:val="222222"/>
                <w:sz w:val="20"/>
                <w:szCs w:val="20"/>
              </w:rPr>
              <w:t xml:space="preserve">Placebo plus </w:t>
            </w:r>
            <w:proofErr w:type="spellStart"/>
            <w:r w:rsidRPr="0043294D">
              <w:rPr>
                <w:b/>
                <w:bCs/>
                <w:color w:val="222222"/>
                <w:sz w:val="20"/>
                <w:szCs w:val="20"/>
              </w:rPr>
              <w:t>fulvestrant</w:t>
            </w:r>
            <w:proofErr w:type="spellEnd"/>
          </w:p>
          <w:p w14:paraId="2C097618" w14:textId="77777777" w:rsidR="00713CF0" w:rsidRPr="0043294D" w:rsidRDefault="00713CF0" w:rsidP="00713CF0">
            <w:pPr>
              <w:spacing w:after="0" w:line="276" w:lineRule="auto"/>
              <w:jc w:val="center"/>
              <w:rPr>
                <w:b/>
                <w:bCs/>
                <w:color w:val="222222"/>
                <w:sz w:val="20"/>
                <w:szCs w:val="20"/>
              </w:rPr>
            </w:pPr>
            <w:r w:rsidRPr="0043294D">
              <w:rPr>
                <w:b/>
                <w:bCs/>
                <w:color w:val="222222"/>
                <w:sz w:val="20"/>
                <w:szCs w:val="20"/>
              </w:rPr>
              <w:t>N = 134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14:paraId="3FFC6F54" w14:textId="12991A2D" w:rsidR="00546161" w:rsidRDefault="00713CF0" w:rsidP="00546161">
            <w:pPr>
              <w:pStyle w:val="paragraph0"/>
              <w:spacing w:before="0" w:beforeAutospacing="0" w:after="0" w:afterAutospacing="0" w:line="276" w:lineRule="auto"/>
              <w:jc w:val="center"/>
              <w:textAlignment w:val="baseline"/>
              <w:rPr>
                <w:rStyle w:val="normaltextrun"/>
                <w:b/>
                <w:bCs/>
                <w:sz w:val="20"/>
                <w:szCs w:val="20"/>
              </w:rPr>
            </w:pPr>
            <w:r w:rsidRPr="00713CF0">
              <w:rPr>
                <w:rStyle w:val="normaltextrun"/>
                <w:b/>
                <w:bCs/>
                <w:sz w:val="20"/>
                <w:szCs w:val="20"/>
              </w:rPr>
              <w:t xml:space="preserve">TRUQAP plus </w:t>
            </w:r>
            <w:proofErr w:type="spellStart"/>
            <w:r w:rsidRPr="00713CF0">
              <w:rPr>
                <w:rStyle w:val="normaltextrun"/>
                <w:b/>
                <w:bCs/>
                <w:sz w:val="20"/>
                <w:szCs w:val="20"/>
              </w:rPr>
              <w:t>fulvestra</w:t>
            </w:r>
            <w:r w:rsidR="0048285D">
              <w:rPr>
                <w:rStyle w:val="normaltextrun"/>
                <w:b/>
                <w:bCs/>
                <w:sz w:val="20"/>
                <w:szCs w:val="20"/>
              </w:rPr>
              <w:t>nt</w:t>
            </w:r>
            <w:proofErr w:type="spellEnd"/>
          </w:p>
          <w:p w14:paraId="5DA9E293" w14:textId="5AA3262D" w:rsidR="00713CF0" w:rsidRPr="00713CF0" w:rsidRDefault="00713CF0" w:rsidP="00546161">
            <w:pPr>
              <w:pStyle w:val="paragraph0"/>
              <w:spacing w:before="0" w:beforeAutospacing="0" w:after="0" w:afterAutospacing="0" w:line="276" w:lineRule="auto"/>
              <w:jc w:val="center"/>
              <w:textAlignment w:val="baseline"/>
              <w:rPr>
                <w:b/>
                <w:bCs/>
                <w:sz w:val="20"/>
                <w:szCs w:val="20"/>
              </w:rPr>
            </w:pPr>
            <w:r w:rsidRPr="00713CF0">
              <w:rPr>
                <w:rStyle w:val="normaltextrun"/>
                <w:b/>
                <w:bCs/>
                <w:sz w:val="20"/>
                <w:szCs w:val="20"/>
              </w:rPr>
              <w:t>N = 142</w:t>
            </w:r>
            <w:r w:rsidRPr="00713CF0">
              <w:rPr>
                <w:rStyle w:val="eop"/>
                <w:sz w:val="20"/>
                <w:szCs w:val="20"/>
              </w:rPr>
              <w:t> </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14:paraId="59660EB9" w14:textId="5FA37134" w:rsidR="00713CF0" w:rsidRPr="00713CF0" w:rsidRDefault="00713CF0" w:rsidP="00546161">
            <w:pPr>
              <w:pStyle w:val="paragraph0"/>
              <w:spacing w:before="0" w:beforeAutospacing="0" w:after="0" w:afterAutospacing="0" w:line="276" w:lineRule="auto"/>
              <w:jc w:val="center"/>
              <w:textAlignment w:val="baseline"/>
              <w:rPr>
                <w:rFonts w:ascii="Segoe UI" w:hAnsi="Segoe UI" w:cs="Segoe UI"/>
                <w:sz w:val="20"/>
                <w:szCs w:val="20"/>
              </w:rPr>
            </w:pPr>
            <w:r w:rsidRPr="00713CF0">
              <w:rPr>
                <w:rStyle w:val="normaltextrun"/>
                <w:b/>
                <w:bCs/>
                <w:sz w:val="20"/>
                <w:szCs w:val="20"/>
              </w:rPr>
              <w:t xml:space="preserve">Placebo plus </w:t>
            </w:r>
            <w:proofErr w:type="spellStart"/>
            <w:r w:rsidRPr="00713CF0">
              <w:rPr>
                <w:rStyle w:val="normaltextrun"/>
                <w:b/>
                <w:bCs/>
                <w:sz w:val="20"/>
                <w:szCs w:val="20"/>
              </w:rPr>
              <w:t>fulvestrant</w:t>
            </w:r>
            <w:proofErr w:type="spellEnd"/>
          </w:p>
          <w:p w14:paraId="3B4FA992" w14:textId="77777777" w:rsidR="00713CF0" w:rsidRPr="00713CF0" w:rsidRDefault="00713CF0" w:rsidP="00546161">
            <w:pPr>
              <w:spacing w:after="0" w:line="276" w:lineRule="auto"/>
              <w:jc w:val="center"/>
              <w:rPr>
                <w:b/>
                <w:bCs/>
                <w:sz w:val="20"/>
                <w:szCs w:val="20"/>
              </w:rPr>
            </w:pPr>
            <w:r w:rsidRPr="00713CF0">
              <w:rPr>
                <w:rStyle w:val="normaltextrun"/>
                <w:b/>
                <w:bCs/>
                <w:sz w:val="20"/>
                <w:szCs w:val="20"/>
              </w:rPr>
              <w:t>N = 171</w:t>
            </w:r>
            <w:r w:rsidRPr="00713CF0">
              <w:rPr>
                <w:rStyle w:val="eop"/>
                <w:sz w:val="20"/>
                <w:szCs w:val="20"/>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14:paraId="7A29221F" w14:textId="5BD6A971" w:rsidR="00713CF0" w:rsidRPr="00713CF0" w:rsidRDefault="00713CF0" w:rsidP="00546161">
            <w:pPr>
              <w:pStyle w:val="paragraph0"/>
              <w:spacing w:before="0" w:beforeAutospacing="0" w:after="0" w:afterAutospacing="0" w:line="276" w:lineRule="auto"/>
              <w:jc w:val="center"/>
              <w:textAlignment w:val="baseline"/>
              <w:rPr>
                <w:rFonts w:ascii="Segoe UI" w:hAnsi="Segoe UI" w:cs="Segoe UI"/>
                <w:sz w:val="20"/>
                <w:szCs w:val="20"/>
              </w:rPr>
            </w:pPr>
            <w:r w:rsidRPr="00713CF0">
              <w:rPr>
                <w:rStyle w:val="normaltextrun"/>
                <w:b/>
                <w:bCs/>
                <w:sz w:val="20"/>
                <w:szCs w:val="20"/>
              </w:rPr>
              <w:t xml:space="preserve">TRUQAP plus </w:t>
            </w:r>
            <w:proofErr w:type="spellStart"/>
            <w:r w:rsidRPr="00713CF0">
              <w:rPr>
                <w:rStyle w:val="normaltextrun"/>
                <w:b/>
                <w:bCs/>
                <w:sz w:val="20"/>
                <w:szCs w:val="20"/>
              </w:rPr>
              <w:t>fulvestrant</w:t>
            </w:r>
            <w:proofErr w:type="spellEnd"/>
            <w:r w:rsidRPr="00713CF0">
              <w:rPr>
                <w:rStyle w:val="normaltextrun"/>
                <w:sz w:val="20"/>
                <w:szCs w:val="20"/>
              </w:rPr>
              <w:t> </w:t>
            </w:r>
          </w:p>
          <w:p w14:paraId="170F0888" w14:textId="77777777" w:rsidR="00713CF0" w:rsidRPr="00713CF0" w:rsidRDefault="00713CF0" w:rsidP="00546161">
            <w:pPr>
              <w:spacing w:after="0" w:line="276" w:lineRule="auto"/>
              <w:jc w:val="center"/>
              <w:rPr>
                <w:b/>
                <w:bCs/>
                <w:sz w:val="20"/>
                <w:szCs w:val="20"/>
              </w:rPr>
            </w:pPr>
            <w:r w:rsidRPr="00713CF0">
              <w:rPr>
                <w:rStyle w:val="normaltextrun"/>
                <w:b/>
                <w:bCs/>
                <w:sz w:val="20"/>
                <w:szCs w:val="20"/>
              </w:rPr>
              <w:t>N = 58</w:t>
            </w:r>
            <w:r w:rsidRPr="00713CF0">
              <w:rPr>
                <w:rStyle w:val="eop"/>
                <w:sz w:val="20"/>
                <w:szCs w:val="20"/>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14:paraId="36C71A41" w14:textId="17E2C982" w:rsidR="00713CF0" w:rsidRPr="00713CF0" w:rsidRDefault="00713CF0" w:rsidP="00546161">
            <w:pPr>
              <w:pStyle w:val="paragraph0"/>
              <w:spacing w:before="0" w:beforeAutospacing="0" w:after="0" w:afterAutospacing="0" w:line="276" w:lineRule="auto"/>
              <w:jc w:val="center"/>
              <w:textAlignment w:val="baseline"/>
              <w:rPr>
                <w:rFonts w:ascii="Segoe UI" w:hAnsi="Segoe UI" w:cs="Segoe UI"/>
                <w:sz w:val="20"/>
                <w:szCs w:val="20"/>
              </w:rPr>
            </w:pPr>
            <w:r w:rsidRPr="00713CF0">
              <w:rPr>
                <w:rStyle w:val="normaltextrun"/>
                <w:b/>
                <w:bCs/>
                <w:sz w:val="20"/>
                <w:szCs w:val="20"/>
              </w:rPr>
              <w:t xml:space="preserve">Placebo plus </w:t>
            </w:r>
            <w:proofErr w:type="spellStart"/>
            <w:r w:rsidRPr="00713CF0">
              <w:rPr>
                <w:rStyle w:val="normaltextrun"/>
                <w:b/>
                <w:bCs/>
                <w:sz w:val="20"/>
                <w:szCs w:val="20"/>
              </w:rPr>
              <w:t>fulvestrant</w:t>
            </w:r>
            <w:proofErr w:type="spellEnd"/>
          </w:p>
          <w:p w14:paraId="0F470915" w14:textId="77777777" w:rsidR="00713CF0" w:rsidRPr="00713CF0" w:rsidRDefault="00713CF0" w:rsidP="00546161">
            <w:pPr>
              <w:spacing w:after="0" w:line="276" w:lineRule="auto"/>
              <w:jc w:val="center"/>
              <w:rPr>
                <w:b/>
                <w:bCs/>
                <w:sz w:val="20"/>
                <w:szCs w:val="20"/>
              </w:rPr>
            </w:pPr>
            <w:r w:rsidRPr="00713CF0">
              <w:rPr>
                <w:rStyle w:val="normaltextrun"/>
                <w:b/>
                <w:bCs/>
                <w:sz w:val="20"/>
                <w:szCs w:val="20"/>
              </w:rPr>
              <w:t>N = 48</w:t>
            </w:r>
            <w:r w:rsidRPr="00713CF0">
              <w:rPr>
                <w:rStyle w:val="eop"/>
                <w:sz w:val="20"/>
                <w:szCs w:val="20"/>
              </w:rPr>
              <w:t> </w:t>
            </w:r>
          </w:p>
        </w:tc>
      </w:tr>
      <w:tr w:rsidR="00713CF0" w:rsidRPr="00394FF7" w14:paraId="4F3F6374" w14:textId="77777777" w:rsidTr="0048285D">
        <w:tc>
          <w:tcPr>
            <w:tcW w:w="985" w:type="dxa"/>
            <w:tcBorders>
              <w:top w:val="single" w:sz="6" w:space="0" w:color="000000"/>
              <w:left w:val="single" w:sz="6" w:space="0" w:color="000000"/>
              <w:bottom w:val="single" w:sz="6" w:space="0" w:color="000000"/>
              <w:right w:val="single" w:sz="6" w:space="0" w:color="000000"/>
            </w:tcBorders>
            <w:tcMar>
              <w:left w:w="28" w:type="dxa"/>
              <w:right w:w="28" w:type="dxa"/>
            </w:tcMar>
          </w:tcPr>
          <w:p w14:paraId="70C18B7F" w14:textId="77777777" w:rsidR="00713CF0" w:rsidRPr="0043294D" w:rsidRDefault="00713CF0" w:rsidP="00546161">
            <w:pPr>
              <w:spacing w:after="0" w:line="276" w:lineRule="auto"/>
              <w:rPr>
                <w:sz w:val="20"/>
                <w:szCs w:val="20"/>
              </w:rPr>
            </w:pPr>
            <w:r w:rsidRPr="0043294D">
              <w:rPr>
                <w:color w:val="222222"/>
                <w:sz w:val="20"/>
                <w:szCs w:val="20"/>
              </w:rPr>
              <w:t>Number of PFS events – n (%)</w:t>
            </w:r>
          </w:p>
        </w:tc>
        <w:tc>
          <w:tcPr>
            <w:tcW w:w="99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4C1179DA" w14:textId="77777777" w:rsidR="00713CF0" w:rsidRPr="0043294D" w:rsidRDefault="00713CF0" w:rsidP="00D9325C">
            <w:pPr>
              <w:spacing w:line="276" w:lineRule="auto"/>
              <w:jc w:val="center"/>
              <w:rPr>
                <w:color w:val="222222"/>
                <w:sz w:val="20"/>
                <w:szCs w:val="20"/>
              </w:rPr>
            </w:pPr>
            <w:r w:rsidRPr="0043294D">
              <w:rPr>
                <w:color w:val="222222"/>
                <w:sz w:val="20"/>
                <w:szCs w:val="20"/>
              </w:rPr>
              <w:t>258 </w:t>
            </w:r>
            <w:r>
              <w:rPr>
                <w:color w:val="222222"/>
                <w:sz w:val="20"/>
                <w:szCs w:val="20"/>
              </w:rPr>
              <w:br/>
            </w:r>
            <w:r w:rsidRPr="0043294D">
              <w:rPr>
                <w:color w:val="222222"/>
                <w:sz w:val="20"/>
                <w:szCs w:val="20"/>
              </w:rPr>
              <w:t>(72.7)</w:t>
            </w:r>
          </w:p>
        </w:tc>
        <w:tc>
          <w:tcPr>
            <w:tcW w:w="99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557C7DA1" w14:textId="77777777" w:rsidR="00713CF0" w:rsidRPr="0043294D" w:rsidRDefault="00713CF0" w:rsidP="00D9325C">
            <w:pPr>
              <w:spacing w:line="276" w:lineRule="auto"/>
              <w:jc w:val="center"/>
              <w:rPr>
                <w:color w:val="222222"/>
                <w:sz w:val="20"/>
                <w:szCs w:val="20"/>
              </w:rPr>
            </w:pPr>
            <w:r w:rsidRPr="0043294D">
              <w:rPr>
                <w:color w:val="222222"/>
                <w:sz w:val="20"/>
                <w:szCs w:val="20"/>
              </w:rPr>
              <w:t>293 </w:t>
            </w:r>
            <w:r>
              <w:rPr>
                <w:color w:val="222222"/>
                <w:sz w:val="20"/>
                <w:szCs w:val="20"/>
              </w:rPr>
              <w:br/>
            </w:r>
            <w:r w:rsidRPr="0043294D">
              <w:rPr>
                <w:color w:val="222222"/>
                <w:sz w:val="20"/>
                <w:szCs w:val="20"/>
              </w:rPr>
              <w:t>(83.0)</w:t>
            </w:r>
          </w:p>
        </w:tc>
        <w:tc>
          <w:tcPr>
            <w:tcW w:w="1134" w:type="dxa"/>
            <w:tcBorders>
              <w:top w:val="single" w:sz="6" w:space="0" w:color="000000"/>
              <w:left w:val="single" w:sz="6" w:space="0" w:color="000000"/>
              <w:bottom w:val="single" w:sz="6" w:space="0" w:color="000000"/>
              <w:right w:val="single" w:sz="6" w:space="0" w:color="000000"/>
            </w:tcBorders>
            <w:tcMar>
              <w:left w:w="28" w:type="dxa"/>
              <w:right w:w="28" w:type="dxa"/>
            </w:tcMar>
          </w:tcPr>
          <w:p w14:paraId="23EC76BC" w14:textId="77777777" w:rsidR="00713CF0" w:rsidRPr="0043294D" w:rsidRDefault="00713CF0" w:rsidP="00D9325C">
            <w:pPr>
              <w:spacing w:line="276" w:lineRule="auto"/>
              <w:jc w:val="center"/>
              <w:rPr>
                <w:color w:val="222222"/>
                <w:sz w:val="20"/>
                <w:szCs w:val="20"/>
              </w:rPr>
            </w:pPr>
            <w:r w:rsidRPr="0043294D">
              <w:rPr>
                <w:color w:val="222222"/>
                <w:sz w:val="20"/>
                <w:szCs w:val="20"/>
              </w:rPr>
              <w:t>121 </w:t>
            </w:r>
            <w:r>
              <w:rPr>
                <w:color w:val="222222"/>
                <w:sz w:val="20"/>
                <w:szCs w:val="20"/>
              </w:rPr>
              <w:br/>
            </w:r>
            <w:r w:rsidRPr="0043294D">
              <w:rPr>
                <w:color w:val="222222"/>
                <w:sz w:val="20"/>
                <w:szCs w:val="20"/>
              </w:rPr>
              <w:t>(78.1)</w:t>
            </w:r>
          </w:p>
        </w:tc>
        <w:tc>
          <w:tcPr>
            <w:tcW w:w="99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4193DDB1" w14:textId="77777777" w:rsidR="00713CF0" w:rsidRPr="0043294D" w:rsidRDefault="00713CF0" w:rsidP="00D9325C">
            <w:pPr>
              <w:spacing w:line="276" w:lineRule="auto"/>
              <w:jc w:val="center"/>
              <w:rPr>
                <w:color w:val="222222"/>
                <w:sz w:val="20"/>
                <w:szCs w:val="20"/>
              </w:rPr>
            </w:pPr>
            <w:r w:rsidRPr="0043294D">
              <w:rPr>
                <w:color w:val="222222"/>
                <w:sz w:val="20"/>
                <w:szCs w:val="20"/>
              </w:rPr>
              <w:t>115 </w:t>
            </w:r>
            <w:r>
              <w:rPr>
                <w:color w:val="222222"/>
                <w:sz w:val="20"/>
                <w:szCs w:val="20"/>
              </w:rPr>
              <w:br/>
            </w:r>
            <w:r w:rsidRPr="0043294D">
              <w:rPr>
                <w:color w:val="222222"/>
                <w:sz w:val="20"/>
                <w:szCs w:val="20"/>
              </w:rPr>
              <w:t>(85.8)</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14:paraId="60ACAF82" w14:textId="77777777" w:rsidR="00713CF0" w:rsidRPr="00713CF0" w:rsidRDefault="00713CF0" w:rsidP="00546161">
            <w:pPr>
              <w:spacing w:line="276" w:lineRule="auto"/>
              <w:jc w:val="center"/>
              <w:rPr>
                <w:sz w:val="20"/>
                <w:szCs w:val="20"/>
              </w:rPr>
            </w:pPr>
            <w:r w:rsidRPr="00713CF0">
              <w:rPr>
                <w:rStyle w:val="normaltextrun"/>
                <w:sz w:val="20"/>
                <w:szCs w:val="20"/>
              </w:rPr>
              <w:t>103</w:t>
            </w:r>
            <w:r w:rsidRPr="00713CF0">
              <w:rPr>
                <w:rStyle w:val="normaltextrun"/>
                <w:sz w:val="20"/>
                <w:szCs w:val="20"/>
              </w:rPr>
              <w:br/>
              <w:t>(72.5)</w:t>
            </w:r>
            <w:r w:rsidRPr="00713CF0">
              <w:rPr>
                <w:rStyle w:val="eop"/>
                <w:sz w:val="20"/>
                <w:szCs w:val="20"/>
              </w:rPr>
              <w:t> </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14:paraId="5BD5F0C2" w14:textId="77777777" w:rsidR="00713CF0" w:rsidRPr="00713CF0" w:rsidRDefault="00713CF0" w:rsidP="00546161">
            <w:pPr>
              <w:spacing w:line="276" w:lineRule="auto"/>
              <w:jc w:val="center"/>
              <w:rPr>
                <w:sz w:val="20"/>
                <w:szCs w:val="20"/>
              </w:rPr>
            </w:pPr>
            <w:r w:rsidRPr="00713CF0">
              <w:rPr>
                <w:rStyle w:val="normaltextrun"/>
                <w:sz w:val="20"/>
                <w:szCs w:val="20"/>
              </w:rPr>
              <w:t>141</w:t>
            </w:r>
            <w:r w:rsidRPr="00713CF0">
              <w:rPr>
                <w:rStyle w:val="eop"/>
                <w:sz w:val="20"/>
                <w:szCs w:val="20"/>
              </w:rPr>
              <w:t> </w:t>
            </w:r>
            <w:r w:rsidRPr="00713CF0">
              <w:rPr>
                <w:rStyle w:val="eop"/>
                <w:sz w:val="20"/>
                <w:szCs w:val="20"/>
              </w:rPr>
              <w:br/>
              <w:t>(82.5)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14:paraId="398216D9" w14:textId="77777777" w:rsidR="00713CF0" w:rsidRPr="00713CF0" w:rsidRDefault="00713CF0" w:rsidP="00546161">
            <w:pPr>
              <w:spacing w:line="276" w:lineRule="auto"/>
              <w:jc w:val="center"/>
              <w:rPr>
                <w:sz w:val="20"/>
                <w:szCs w:val="20"/>
              </w:rPr>
            </w:pPr>
            <w:r w:rsidRPr="00713CF0">
              <w:rPr>
                <w:rStyle w:val="normaltextrun"/>
                <w:sz w:val="20"/>
                <w:szCs w:val="20"/>
              </w:rPr>
              <w:t>34</w:t>
            </w:r>
            <w:r w:rsidRPr="00713CF0">
              <w:rPr>
                <w:rStyle w:val="eop"/>
                <w:sz w:val="20"/>
                <w:szCs w:val="20"/>
              </w:rPr>
              <w:t> </w:t>
            </w:r>
            <w:r w:rsidRPr="00713CF0">
              <w:rPr>
                <w:rStyle w:val="eop"/>
                <w:sz w:val="20"/>
                <w:szCs w:val="20"/>
              </w:rPr>
              <w:br/>
              <w:t>(58.6)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14:paraId="4EB34A8A" w14:textId="77777777" w:rsidR="00713CF0" w:rsidRPr="00713CF0" w:rsidRDefault="00713CF0" w:rsidP="00546161">
            <w:pPr>
              <w:spacing w:line="276" w:lineRule="auto"/>
              <w:jc w:val="center"/>
              <w:rPr>
                <w:sz w:val="20"/>
                <w:szCs w:val="20"/>
              </w:rPr>
            </w:pPr>
            <w:r w:rsidRPr="00713CF0">
              <w:rPr>
                <w:rStyle w:val="normaltextrun"/>
                <w:sz w:val="20"/>
                <w:szCs w:val="20"/>
              </w:rPr>
              <w:t>37</w:t>
            </w:r>
            <w:r w:rsidRPr="00713CF0">
              <w:rPr>
                <w:rStyle w:val="eop"/>
                <w:sz w:val="20"/>
                <w:szCs w:val="20"/>
              </w:rPr>
              <w:t> </w:t>
            </w:r>
            <w:r w:rsidRPr="00713CF0">
              <w:rPr>
                <w:rStyle w:val="eop"/>
                <w:sz w:val="20"/>
                <w:szCs w:val="20"/>
              </w:rPr>
              <w:br/>
              <w:t>(77.1)</w:t>
            </w:r>
          </w:p>
        </w:tc>
      </w:tr>
      <w:tr w:rsidR="00713CF0" w:rsidRPr="00394FF7" w14:paraId="2E3A7DEA" w14:textId="77777777" w:rsidTr="0048285D">
        <w:tc>
          <w:tcPr>
            <w:tcW w:w="985" w:type="dxa"/>
            <w:tcBorders>
              <w:top w:val="single" w:sz="6" w:space="0" w:color="000000"/>
              <w:left w:val="single" w:sz="6" w:space="0" w:color="000000"/>
              <w:bottom w:val="single" w:sz="6" w:space="0" w:color="000000"/>
              <w:right w:val="single" w:sz="6" w:space="0" w:color="000000"/>
            </w:tcBorders>
            <w:tcMar>
              <w:left w:w="28" w:type="dxa"/>
              <w:right w:w="28" w:type="dxa"/>
            </w:tcMar>
          </w:tcPr>
          <w:p w14:paraId="4DD73261" w14:textId="77777777" w:rsidR="00713CF0" w:rsidRPr="0043294D" w:rsidRDefault="00713CF0" w:rsidP="00546161">
            <w:pPr>
              <w:spacing w:after="0" w:line="276" w:lineRule="auto"/>
              <w:rPr>
                <w:sz w:val="20"/>
                <w:szCs w:val="20"/>
              </w:rPr>
            </w:pPr>
            <w:r w:rsidRPr="0043294D">
              <w:rPr>
                <w:color w:val="222222"/>
                <w:sz w:val="20"/>
                <w:szCs w:val="20"/>
              </w:rPr>
              <w:t>Median PFS months (95% CI)</w:t>
            </w:r>
          </w:p>
        </w:tc>
        <w:tc>
          <w:tcPr>
            <w:tcW w:w="99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53B499E4" w14:textId="77777777" w:rsidR="00713CF0" w:rsidRPr="0043294D" w:rsidRDefault="00713CF0" w:rsidP="00D9325C">
            <w:pPr>
              <w:spacing w:line="276" w:lineRule="auto"/>
              <w:jc w:val="center"/>
              <w:rPr>
                <w:color w:val="222222"/>
                <w:sz w:val="20"/>
                <w:szCs w:val="20"/>
              </w:rPr>
            </w:pPr>
            <w:r w:rsidRPr="0043294D">
              <w:rPr>
                <w:color w:val="222222"/>
                <w:sz w:val="20"/>
                <w:szCs w:val="20"/>
              </w:rPr>
              <w:t>7.2 </w:t>
            </w:r>
            <w:r>
              <w:rPr>
                <w:color w:val="222222"/>
                <w:sz w:val="20"/>
                <w:szCs w:val="20"/>
              </w:rPr>
              <w:br/>
            </w:r>
            <w:r w:rsidRPr="0043294D">
              <w:rPr>
                <w:color w:val="222222"/>
                <w:sz w:val="20"/>
                <w:szCs w:val="20"/>
              </w:rPr>
              <w:t>(5.5, 7.4)</w:t>
            </w:r>
          </w:p>
        </w:tc>
        <w:tc>
          <w:tcPr>
            <w:tcW w:w="99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528093D2" w14:textId="77777777" w:rsidR="00713CF0" w:rsidRPr="0043294D" w:rsidRDefault="00713CF0" w:rsidP="00D9325C">
            <w:pPr>
              <w:spacing w:line="276" w:lineRule="auto"/>
              <w:jc w:val="center"/>
              <w:rPr>
                <w:color w:val="222222"/>
                <w:sz w:val="20"/>
                <w:szCs w:val="20"/>
              </w:rPr>
            </w:pPr>
            <w:r w:rsidRPr="0043294D">
              <w:rPr>
                <w:color w:val="222222"/>
                <w:sz w:val="20"/>
                <w:szCs w:val="20"/>
              </w:rPr>
              <w:t>3.6 </w:t>
            </w:r>
            <w:r>
              <w:rPr>
                <w:color w:val="222222"/>
                <w:sz w:val="20"/>
                <w:szCs w:val="20"/>
              </w:rPr>
              <w:br/>
            </w:r>
            <w:r w:rsidRPr="0043294D">
              <w:rPr>
                <w:color w:val="222222"/>
                <w:sz w:val="20"/>
                <w:szCs w:val="20"/>
              </w:rPr>
              <w:t>(2.8, 3.7)</w:t>
            </w:r>
          </w:p>
        </w:tc>
        <w:tc>
          <w:tcPr>
            <w:tcW w:w="1134" w:type="dxa"/>
            <w:tcBorders>
              <w:top w:val="single" w:sz="6" w:space="0" w:color="000000"/>
              <w:left w:val="single" w:sz="6" w:space="0" w:color="000000"/>
              <w:bottom w:val="single" w:sz="6" w:space="0" w:color="000000"/>
              <w:right w:val="single" w:sz="6" w:space="0" w:color="000000"/>
            </w:tcBorders>
            <w:tcMar>
              <w:left w:w="28" w:type="dxa"/>
              <w:right w:w="28" w:type="dxa"/>
            </w:tcMar>
          </w:tcPr>
          <w:p w14:paraId="29B3D0E2" w14:textId="77777777" w:rsidR="00713CF0" w:rsidRPr="0043294D" w:rsidRDefault="00713CF0" w:rsidP="00D9325C">
            <w:pPr>
              <w:spacing w:line="276" w:lineRule="auto"/>
              <w:jc w:val="center"/>
              <w:rPr>
                <w:color w:val="222222"/>
                <w:sz w:val="20"/>
                <w:szCs w:val="20"/>
              </w:rPr>
            </w:pPr>
            <w:r w:rsidRPr="0043294D">
              <w:rPr>
                <w:color w:val="222222"/>
                <w:sz w:val="20"/>
                <w:szCs w:val="20"/>
              </w:rPr>
              <w:t>7.3 </w:t>
            </w:r>
            <w:r>
              <w:rPr>
                <w:color w:val="222222"/>
                <w:sz w:val="20"/>
                <w:szCs w:val="20"/>
              </w:rPr>
              <w:br/>
            </w:r>
            <w:r w:rsidRPr="0043294D">
              <w:rPr>
                <w:color w:val="222222"/>
                <w:sz w:val="20"/>
                <w:szCs w:val="20"/>
              </w:rPr>
              <w:t>(5.5, 9.0)</w:t>
            </w:r>
          </w:p>
        </w:tc>
        <w:tc>
          <w:tcPr>
            <w:tcW w:w="99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72612FA9" w14:textId="77777777" w:rsidR="00713CF0" w:rsidRPr="0043294D" w:rsidRDefault="00713CF0" w:rsidP="00D9325C">
            <w:pPr>
              <w:spacing w:line="276" w:lineRule="auto"/>
              <w:jc w:val="center"/>
              <w:rPr>
                <w:color w:val="222222"/>
                <w:sz w:val="20"/>
                <w:szCs w:val="20"/>
              </w:rPr>
            </w:pPr>
            <w:r w:rsidRPr="0043294D">
              <w:rPr>
                <w:color w:val="222222"/>
                <w:sz w:val="20"/>
                <w:szCs w:val="20"/>
              </w:rPr>
              <w:t>3.1 </w:t>
            </w:r>
            <w:r>
              <w:rPr>
                <w:color w:val="222222"/>
                <w:sz w:val="20"/>
                <w:szCs w:val="20"/>
              </w:rPr>
              <w:br/>
            </w:r>
            <w:r w:rsidRPr="0043294D">
              <w:rPr>
                <w:color w:val="222222"/>
                <w:sz w:val="20"/>
                <w:szCs w:val="20"/>
              </w:rPr>
              <w:t>(2.0, 3.7)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14:paraId="156E6421" w14:textId="77777777" w:rsidR="00713CF0" w:rsidRPr="00713CF0" w:rsidRDefault="00713CF0" w:rsidP="00546161">
            <w:pPr>
              <w:spacing w:line="276" w:lineRule="auto"/>
              <w:jc w:val="center"/>
              <w:rPr>
                <w:sz w:val="20"/>
                <w:szCs w:val="20"/>
              </w:rPr>
            </w:pPr>
            <w:r w:rsidRPr="00713CF0">
              <w:rPr>
                <w:rStyle w:val="normaltextrun"/>
                <w:sz w:val="20"/>
                <w:szCs w:val="20"/>
              </w:rPr>
              <w:t xml:space="preserve">5.3 </w:t>
            </w:r>
            <w:r w:rsidRPr="00713CF0">
              <w:rPr>
                <w:rStyle w:val="normaltextrun"/>
                <w:sz w:val="20"/>
                <w:szCs w:val="20"/>
              </w:rPr>
              <w:br/>
              <w:t>(3.6, 7.3)</w:t>
            </w:r>
            <w:r w:rsidRPr="00713CF0">
              <w:rPr>
                <w:rStyle w:val="eop"/>
                <w:sz w:val="20"/>
                <w:szCs w:val="20"/>
              </w:rPr>
              <w:t> </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14:paraId="4703F1AC" w14:textId="77777777" w:rsidR="00713CF0" w:rsidRPr="00713CF0" w:rsidRDefault="00713CF0" w:rsidP="00546161">
            <w:pPr>
              <w:spacing w:line="276" w:lineRule="auto"/>
              <w:jc w:val="center"/>
              <w:rPr>
                <w:sz w:val="20"/>
                <w:szCs w:val="20"/>
              </w:rPr>
            </w:pPr>
            <w:r w:rsidRPr="00713CF0">
              <w:rPr>
                <w:rStyle w:val="normaltextrun"/>
                <w:sz w:val="20"/>
                <w:szCs w:val="20"/>
              </w:rPr>
              <w:t xml:space="preserve">3.7 </w:t>
            </w:r>
            <w:r w:rsidRPr="00713CF0">
              <w:rPr>
                <w:rStyle w:val="normaltextrun"/>
                <w:sz w:val="20"/>
                <w:szCs w:val="20"/>
              </w:rPr>
              <w:br/>
              <w:t>(3.5, 5.1)</w:t>
            </w:r>
            <w:r w:rsidRPr="00713CF0">
              <w:rPr>
                <w:rStyle w:val="eop"/>
                <w:sz w:val="20"/>
                <w:szCs w:val="20"/>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14:paraId="7D5B2959" w14:textId="77777777" w:rsidR="00713CF0" w:rsidRPr="00713CF0" w:rsidRDefault="00713CF0" w:rsidP="00546161">
            <w:pPr>
              <w:spacing w:line="276" w:lineRule="auto"/>
              <w:jc w:val="center"/>
              <w:rPr>
                <w:sz w:val="20"/>
                <w:szCs w:val="20"/>
              </w:rPr>
            </w:pPr>
            <w:r w:rsidRPr="00713CF0">
              <w:rPr>
                <w:rStyle w:val="normaltextrun"/>
                <w:sz w:val="20"/>
                <w:szCs w:val="20"/>
              </w:rPr>
              <w:t xml:space="preserve">10.0 </w:t>
            </w:r>
            <w:r w:rsidRPr="00713CF0">
              <w:rPr>
                <w:rStyle w:val="normaltextrun"/>
                <w:sz w:val="20"/>
                <w:szCs w:val="20"/>
              </w:rPr>
              <w:br/>
              <w:t>(7.3, 11.1)</w:t>
            </w:r>
            <w:r w:rsidRPr="00713CF0">
              <w:rPr>
                <w:rStyle w:val="eop"/>
                <w:sz w:val="20"/>
                <w:szCs w:val="20"/>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14:paraId="2D4E41AE" w14:textId="77777777" w:rsidR="00713CF0" w:rsidRPr="00713CF0" w:rsidRDefault="00713CF0" w:rsidP="00546161">
            <w:pPr>
              <w:spacing w:line="276" w:lineRule="auto"/>
              <w:jc w:val="center"/>
              <w:rPr>
                <w:sz w:val="20"/>
                <w:szCs w:val="20"/>
              </w:rPr>
            </w:pPr>
            <w:r w:rsidRPr="00713CF0">
              <w:rPr>
                <w:rStyle w:val="normaltextrun"/>
                <w:sz w:val="20"/>
                <w:szCs w:val="20"/>
              </w:rPr>
              <w:t xml:space="preserve">1.9 </w:t>
            </w:r>
            <w:r w:rsidRPr="00713CF0">
              <w:rPr>
                <w:rStyle w:val="normaltextrun"/>
                <w:sz w:val="20"/>
                <w:szCs w:val="20"/>
              </w:rPr>
              <w:br/>
              <w:t>(1.8, 7.3)</w:t>
            </w:r>
            <w:r w:rsidRPr="00713CF0">
              <w:rPr>
                <w:rStyle w:val="eop"/>
                <w:sz w:val="20"/>
                <w:szCs w:val="20"/>
              </w:rPr>
              <w:t> </w:t>
            </w:r>
          </w:p>
        </w:tc>
      </w:tr>
      <w:tr w:rsidR="00713CF0" w:rsidRPr="00394FF7" w14:paraId="71547A7E" w14:textId="77777777" w:rsidTr="0048285D">
        <w:tc>
          <w:tcPr>
            <w:tcW w:w="985" w:type="dxa"/>
            <w:tcBorders>
              <w:top w:val="single" w:sz="6" w:space="0" w:color="000000"/>
              <w:left w:val="single" w:sz="6" w:space="0" w:color="000000"/>
              <w:bottom w:val="single" w:sz="6" w:space="0" w:color="000000"/>
              <w:right w:val="single" w:sz="6" w:space="0" w:color="000000"/>
            </w:tcBorders>
            <w:tcMar>
              <w:left w:w="28" w:type="dxa"/>
              <w:right w:w="28" w:type="dxa"/>
            </w:tcMar>
          </w:tcPr>
          <w:p w14:paraId="14FD3B59" w14:textId="2EDA7BC7" w:rsidR="00713CF0" w:rsidRPr="0043294D" w:rsidRDefault="00713CF0" w:rsidP="00546161">
            <w:pPr>
              <w:spacing w:after="0" w:line="276" w:lineRule="auto"/>
              <w:rPr>
                <w:sz w:val="20"/>
                <w:szCs w:val="20"/>
              </w:rPr>
            </w:pPr>
            <w:r w:rsidRPr="0043294D">
              <w:rPr>
                <w:color w:val="222222"/>
                <w:sz w:val="20"/>
                <w:szCs w:val="20"/>
              </w:rPr>
              <w:t xml:space="preserve">Hazard ratio </w:t>
            </w:r>
            <w:r>
              <w:rPr>
                <w:color w:val="222222"/>
                <w:sz w:val="20"/>
                <w:szCs w:val="20"/>
              </w:rPr>
              <w:br/>
            </w:r>
            <w:r w:rsidRPr="0043294D">
              <w:rPr>
                <w:color w:val="222222"/>
                <w:sz w:val="20"/>
                <w:szCs w:val="20"/>
              </w:rPr>
              <w:t xml:space="preserve">(95% </w:t>
            </w:r>
            <w:proofErr w:type="gramStart"/>
            <w:r w:rsidRPr="0043294D">
              <w:rPr>
                <w:color w:val="222222"/>
                <w:sz w:val="20"/>
                <w:szCs w:val="20"/>
              </w:rPr>
              <w:t>CI)</w:t>
            </w:r>
            <w:r w:rsidRPr="0043294D">
              <w:rPr>
                <w:color w:val="222222"/>
                <w:sz w:val="20"/>
                <w:szCs w:val="20"/>
                <w:vertAlign w:val="superscript"/>
              </w:rPr>
              <w:t>a</w:t>
            </w:r>
            <w:proofErr w:type="gramEnd"/>
          </w:p>
        </w:tc>
        <w:tc>
          <w:tcPr>
            <w:tcW w:w="1984"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14:paraId="51DA87CB" w14:textId="77777777" w:rsidR="00713CF0" w:rsidRPr="0043294D" w:rsidRDefault="00713CF0" w:rsidP="00D9325C">
            <w:pPr>
              <w:spacing w:line="276" w:lineRule="auto"/>
              <w:jc w:val="center"/>
              <w:rPr>
                <w:color w:val="222222"/>
                <w:sz w:val="20"/>
                <w:szCs w:val="20"/>
              </w:rPr>
            </w:pPr>
            <w:r w:rsidRPr="0043294D">
              <w:rPr>
                <w:color w:val="222222"/>
                <w:sz w:val="20"/>
                <w:szCs w:val="20"/>
              </w:rPr>
              <w:t>0.60 </w:t>
            </w:r>
            <w:r>
              <w:rPr>
                <w:color w:val="222222"/>
                <w:sz w:val="20"/>
                <w:szCs w:val="20"/>
              </w:rPr>
              <w:br/>
            </w:r>
            <w:r w:rsidRPr="0043294D">
              <w:rPr>
                <w:color w:val="222222"/>
                <w:sz w:val="20"/>
                <w:szCs w:val="20"/>
              </w:rPr>
              <w:t>(0.51, 0.71)</w:t>
            </w:r>
          </w:p>
        </w:tc>
        <w:tc>
          <w:tcPr>
            <w:tcW w:w="2126"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14:paraId="47985501" w14:textId="77777777" w:rsidR="00713CF0" w:rsidRPr="0043294D" w:rsidRDefault="00713CF0" w:rsidP="00D9325C">
            <w:pPr>
              <w:spacing w:line="276" w:lineRule="auto"/>
              <w:jc w:val="center"/>
              <w:rPr>
                <w:color w:val="222222"/>
                <w:sz w:val="20"/>
                <w:szCs w:val="20"/>
              </w:rPr>
            </w:pPr>
            <w:r w:rsidRPr="0043294D">
              <w:rPr>
                <w:color w:val="222222"/>
                <w:sz w:val="20"/>
                <w:szCs w:val="20"/>
              </w:rPr>
              <w:t>0.50 </w:t>
            </w:r>
            <w:r>
              <w:rPr>
                <w:color w:val="222222"/>
                <w:sz w:val="20"/>
                <w:szCs w:val="20"/>
              </w:rPr>
              <w:br/>
            </w:r>
            <w:r w:rsidRPr="0043294D">
              <w:rPr>
                <w:color w:val="222222"/>
                <w:sz w:val="20"/>
                <w:szCs w:val="20"/>
              </w:rPr>
              <w:t>(0.38, 0.65)</w:t>
            </w: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14:paraId="3A01F489" w14:textId="5557B371" w:rsidR="00713CF0" w:rsidRPr="00713CF0" w:rsidRDefault="00713CF0" w:rsidP="00D9325C">
            <w:pPr>
              <w:jc w:val="center"/>
              <w:rPr>
                <w:sz w:val="20"/>
                <w:szCs w:val="20"/>
              </w:rPr>
            </w:pPr>
            <w:r w:rsidRPr="00713CF0">
              <w:rPr>
                <w:rStyle w:val="normaltextrun"/>
                <w:sz w:val="20"/>
                <w:szCs w:val="20"/>
              </w:rPr>
              <w:t xml:space="preserve">0.79 </w:t>
            </w:r>
            <w:r w:rsidR="00546161">
              <w:rPr>
                <w:rStyle w:val="normaltextrun"/>
                <w:sz w:val="20"/>
                <w:szCs w:val="20"/>
              </w:rPr>
              <w:br/>
            </w:r>
            <w:r w:rsidRPr="00713CF0">
              <w:rPr>
                <w:rStyle w:val="normaltextrun"/>
                <w:sz w:val="20"/>
                <w:szCs w:val="20"/>
              </w:rPr>
              <w:t>(0.61, 1.02)</w:t>
            </w:r>
            <w:r w:rsidRPr="00713CF0">
              <w:rPr>
                <w:rStyle w:val="eop"/>
                <w:sz w:val="20"/>
                <w:szCs w:val="20"/>
              </w:rPr>
              <w:t> </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14:paraId="780EF831" w14:textId="208BD30A" w:rsidR="00713CF0" w:rsidRPr="00713CF0" w:rsidRDefault="00713CF0" w:rsidP="00D9325C">
            <w:pPr>
              <w:jc w:val="center"/>
              <w:rPr>
                <w:sz w:val="20"/>
                <w:szCs w:val="20"/>
              </w:rPr>
            </w:pPr>
            <w:r w:rsidRPr="00713CF0">
              <w:rPr>
                <w:rStyle w:val="normaltextrun"/>
                <w:sz w:val="20"/>
                <w:szCs w:val="20"/>
              </w:rPr>
              <w:t xml:space="preserve">0.52 </w:t>
            </w:r>
            <w:r w:rsidR="00546161">
              <w:rPr>
                <w:rStyle w:val="normaltextrun"/>
                <w:sz w:val="20"/>
                <w:szCs w:val="20"/>
              </w:rPr>
              <w:br/>
            </w:r>
            <w:r w:rsidRPr="00713CF0">
              <w:rPr>
                <w:rStyle w:val="normaltextrun"/>
                <w:sz w:val="20"/>
                <w:szCs w:val="20"/>
              </w:rPr>
              <w:t>(0.32, 0.83)</w:t>
            </w:r>
            <w:r w:rsidRPr="00713CF0">
              <w:rPr>
                <w:rStyle w:val="eop"/>
                <w:sz w:val="20"/>
                <w:szCs w:val="20"/>
              </w:rPr>
              <w:t> </w:t>
            </w:r>
          </w:p>
        </w:tc>
      </w:tr>
      <w:tr w:rsidR="00713CF0" w:rsidRPr="00394FF7" w14:paraId="72F7F83D" w14:textId="77777777" w:rsidTr="0048285D">
        <w:tc>
          <w:tcPr>
            <w:tcW w:w="985" w:type="dxa"/>
            <w:tcBorders>
              <w:top w:val="single" w:sz="6" w:space="0" w:color="000000"/>
              <w:left w:val="single" w:sz="6" w:space="0" w:color="000000"/>
              <w:bottom w:val="single" w:sz="6" w:space="0" w:color="000000"/>
              <w:right w:val="single" w:sz="6" w:space="0" w:color="000000"/>
            </w:tcBorders>
          </w:tcPr>
          <w:p w14:paraId="50EC1601" w14:textId="77777777" w:rsidR="00713CF0" w:rsidRPr="0043294D" w:rsidRDefault="00713CF0" w:rsidP="00546161">
            <w:pPr>
              <w:spacing w:after="0" w:line="276" w:lineRule="auto"/>
              <w:rPr>
                <w:sz w:val="20"/>
                <w:szCs w:val="20"/>
              </w:rPr>
            </w:pPr>
            <w:r w:rsidRPr="0043294D">
              <w:rPr>
                <w:color w:val="222222"/>
                <w:sz w:val="20"/>
                <w:szCs w:val="20"/>
              </w:rPr>
              <w:t>p-</w:t>
            </w:r>
            <w:proofErr w:type="spellStart"/>
            <w:r w:rsidRPr="0043294D">
              <w:rPr>
                <w:color w:val="222222"/>
                <w:sz w:val="20"/>
                <w:szCs w:val="20"/>
              </w:rPr>
              <w:t>value</w:t>
            </w:r>
            <w:r w:rsidRPr="0043294D">
              <w:rPr>
                <w:color w:val="222222"/>
                <w:sz w:val="20"/>
                <w:szCs w:val="20"/>
                <w:vertAlign w:val="superscript"/>
              </w:rPr>
              <w:t>b</w:t>
            </w:r>
            <w:proofErr w:type="spellEnd"/>
          </w:p>
        </w:tc>
        <w:tc>
          <w:tcPr>
            <w:tcW w:w="1984" w:type="dxa"/>
            <w:gridSpan w:val="2"/>
            <w:tcBorders>
              <w:top w:val="single" w:sz="6" w:space="0" w:color="000000"/>
              <w:left w:val="single" w:sz="6" w:space="0" w:color="000000"/>
              <w:bottom w:val="single" w:sz="6" w:space="0" w:color="000000"/>
              <w:right w:val="single" w:sz="6" w:space="0" w:color="000000"/>
            </w:tcBorders>
          </w:tcPr>
          <w:p w14:paraId="0C15034D" w14:textId="77777777" w:rsidR="00713CF0" w:rsidRPr="0043294D" w:rsidRDefault="00713CF0" w:rsidP="00546161">
            <w:pPr>
              <w:spacing w:after="0" w:line="276" w:lineRule="auto"/>
              <w:jc w:val="center"/>
              <w:rPr>
                <w:color w:val="222222"/>
                <w:sz w:val="20"/>
                <w:szCs w:val="20"/>
              </w:rPr>
            </w:pPr>
            <w:r w:rsidRPr="0043294D">
              <w:rPr>
                <w:color w:val="222222"/>
                <w:sz w:val="20"/>
                <w:szCs w:val="20"/>
              </w:rPr>
              <w:t>&lt;0.001</w:t>
            </w:r>
          </w:p>
        </w:tc>
        <w:tc>
          <w:tcPr>
            <w:tcW w:w="2126" w:type="dxa"/>
            <w:gridSpan w:val="2"/>
            <w:tcBorders>
              <w:top w:val="single" w:sz="6" w:space="0" w:color="000000"/>
              <w:left w:val="single" w:sz="6" w:space="0" w:color="000000"/>
              <w:bottom w:val="single" w:sz="6" w:space="0" w:color="000000"/>
              <w:right w:val="single" w:sz="6" w:space="0" w:color="000000"/>
            </w:tcBorders>
          </w:tcPr>
          <w:p w14:paraId="1D2C59C5" w14:textId="77777777" w:rsidR="00713CF0" w:rsidRPr="0043294D" w:rsidRDefault="00713CF0" w:rsidP="00546161">
            <w:pPr>
              <w:spacing w:after="0" w:line="276" w:lineRule="auto"/>
              <w:jc w:val="center"/>
              <w:rPr>
                <w:color w:val="222222"/>
                <w:sz w:val="20"/>
                <w:szCs w:val="20"/>
              </w:rPr>
            </w:pPr>
            <w:r w:rsidRPr="0043294D">
              <w:rPr>
                <w:color w:val="222222"/>
                <w:sz w:val="20"/>
                <w:szCs w:val="20"/>
              </w:rPr>
              <w:t>&lt;0.001</w:t>
            </w:r>
          </w:p>
        </w:tc>
        <w:tc>
          <w:tcPr>
            <w:tcW w:w="2127" w:type="dxa"/>
            <w:gridSpan w:val="2"/>
            <w:tcBorders>
              <w:top w:val="single" w:sz="6" w:space="0" w:color="000000"/>
              <w:left w:val="single" w:sz="6" w:space="0" w:color="000000"/>
              <w:bottom w:val="single" w:sz="6" w:space="0" w:color="000000"/>
              <w:right w:val="single" w:sz="6" w:space="0" w:color="000000"/>
            </w:tcBorders>
          </w:tcPr>
          <w:p w14:paraId="497CA844" w14:textId="77777777" w:rsidR="00713CF0" w:rsidRPr="0043294D" w:rsidRDefault="00713CF0" w:rsidP="00546161">
            <w:pPr>
              <w:spacing w:after="0" w:line="276" w:lineRule="auto"/>
              <w:jc w:val="center"/>
              <w:rPr>
                <w:color w:val="222222"/>
                <w:sz w:val="20"/>
                <w:szCs w:val="20"/>
              </w:rPr>
            </w:pPr>
            <w:r>
              <w:rPr>
                <w:color w:val="222222"/>
                <w:sz w:val="20"/>
                <w:szCs w:val="20"/>
              </w:rPr>
              <w:t>NA</w:t>
            </w:r>
          </w:p>
        </w:tc>
        <w:tc>
          <w:tcPr>
            <w:tcW w:w="2126" w:type="dxa"/>
            <w:gridSpan w:val="2"/>
            <w:tcBorders>
              <w:top w:val="single" w:sz="6" w:space="0" w:color="000000"/>
              <w:left w:val="single" w:sz="6" w:space="0" w:color="000000"/>
              <w:bottom w:val="single" w:sz="6" w:space="0" w:color="000000"/>
              <w:right w:val="single" w:sz="6" w:space="0" w:color="000000"/>
            </w:tcBorders>
          </w:tcPr>
          <w:p w14:paraId="4E502067" w14:textId="77777777" w:rsidR="00713CF0" w:rsidRPr="0043294D" w:rsidRDefault="00713CF0" w:rsidP="00546161">
            <w:pPr>
              <w:spacing w:after="0" w:line="276" w:lineRule="auto"/>
              <w:jc w:val="center"/>
              <w:rPr>
                <w:color w:val="222222"/>
                <w:sz w:val="20"/>
                <w:szCs w:val="20"/>
              </w:rPr>
            </w:pPr>
            <w:r>
              <w:rPr>
                <w:color w:val="222222"/>
                <w:sz w:val="20"/>
                <w:szCs w:val="20"/>
              </w:rPr>
              <w:t>NA</w:t>
            </w:r>
          </w:p>
        </w:tc>
      </w:tr>
    </w:tbl>
    <w:p w14:paraId="1CD54423" w14:textId="77777777" w:rsidR="00394FF7" w:rsidRPr="00394FF7" w:rsidRDefault="00394FF7" w:rsidP="00394FF7">
      <w:pPr>
        <w:pStyle w:val="TableFootnoteInfo"/>
        <w:rPr>
          <w:sz w:val="20"/>
          <w:szCs w:val="20"/>
        </w:rPr>
      </w:pPr>
      <w:r w:rsidRPr="00394FF7">
        <w:rPr>
          <w:sz w:val="20"/>
          <w:szCs w:val="20"/>
          <w:vertAlign w:val="superscript"/>
        </w:rPr>
        <w:t>a</w:t>
      </w:r>
      <w:r w:rsidRPr="00394FF7">
        <w:rPr>
          <w:sz w:val="20"/>
          <w:szCs w:val="20"/>
        </w:rPr>
        <w:t xml:space="preserve"> Stratified Cox proportional hazards model. A hazard ratio &lt; 1 favours </w:t>
      </w:r>
      <w:proofErr w:type="spellStart"/>
      <w:r w:rsidRPr="00394FF7">
        <w:rPr>
          <w:sz w:val="20"/>
          <w:szCs w:val="20"/>
        </w:rPr>
        <w:t>capivasertib</w:t>
      </w:r>
      <w:proofErr w:type="spellEnd"/>
      <w:r w:rsidRPr="00394FF7">
        <w:rPr>
          <w:sz w:val="20"/>
          <w:szCs w:val="20"/>
        </w:rPr>
        <w:t xml:space="preserve"> + </w:t>
      </w:r>
      <w:proofErr w:type="spellStart"/>
      <w:r w:rsidRPr="00394FF7">
        <w:rPr>
          <w:sz w:val="20"/>
          <w:szCs w:val="20"/>
        </w:rPr>
        <w:t>fulvestrant</w:t>
      </w:r>
      <w:proofErr w:type="spellEnd"/>
      <w:r w:rsidRPr="00394FF7">
        <w:rPr>
          <w:sz w:val="20"/>
          <w:szCs w:val="20"/>
        </w:rPr>
        <w:t>. For the Overall population, log-rank test and Cox model stratified by presence of liver metastases (yes vs no), prior use of CDK4/6 inhibitors (yes vs no) and geographic region (Region 1: United States, Canada, Western Europe, Australia, and Israel, Region 2: Latin America, Eastern Europe and Russia vs Region 3: Asia). For the altered population, the log</w:t>
      </w:r>
      <w:r w:rsidRPr="00394FF7">
        <w:rPr>
          <w:sz w:val="20"/>
          <w:szCs w:val="20"/>
        </w:rPr>
        <w:noBreakHyphen/>
        <w:t>rank test and Cox model stratified by presence of liver metastases (yes vs no), and prior use of CDK4/6 inhibitors (yes vs no).</w:t>
      </w:r>
    </w:p>
    <w:p w14:paraId="1A5EF119" w14:textId="77E47C6C" w:rsidR="00994D91" w:rsidRDefault="00394FF7" w:rsidP="00994D91">
      <w:pPr>
        <w:pStyle w:val="TableFootnoteInfo"/>
      </w:pPr>
      <w:r w:rsidRPr="00394FF7">
        <w:rPr>
          <w:sz w:val="20"/>
          <w:szCs w:val="20"/>
          <w:vertAlign w:val="superscript"/>
        </w:rPr>
        <w:t>b</w:t>
      </w:r>
      <w:r w:rsidRPr="00394FF7">
        <w:rPr>
          <w:sz w:val="20"/>
          <w:szCs w:val="20"/>
        </w:rPr>
        <w:t xml:space="preserve"> Stratified log-rank test.</w:t>
      </w:r>
    </w:p>
    <w:p w14:paraId="47541151" w14:textId="12E0C286" w:rsidR="00546161" w:rsidRDefault="00546161">
      <w:pPr>
        <w:spacing w:after="200"/>
        <w:rPr>
          <w:rFonts w:ascii="Times New Roman Bold" w:hAnsi="Times New Roman Bold"/>
          <w:b/>
          <w:iCs/>
          <w:szCs w:val="18"/>
        </w:rPr>
      </w:pPr>
      <w:r>
        <w:br w:type="page"/>
      </w:r>
    </w:p>
    <w:p w14:paraId="4178AF90" w14:textId="1FA9C0CC" w:rsidR="00394FF7" w:rsidRDefault="00994D91" w:rsidP="005B48A0">
      <w:pPr>
        <w:pStyle w:val="FigureTitle"/>
      </w:pPr>
      <w:bookmarkStart w:id="34" w:name="_Ref130834660"/>
      <w:r>
        <w:lastRenderedPageBreak/>
        <w:t xml:space="preserve">Figure </w:t>
      </w:r>
      <w:r>
        <w:fldChar w:fldCharType="begin"/>
      </w:r>
      <w:r>
        <w:instrText xml:space="preserve"> SEQ Figure \* ARABIC </w:instrText>
      </w:r>
      <w:r>
        <w:fldChar w:fldCharType="separate"/>
      </w:r>
      <w:r>
        <w:rPr>
          <w:noProof/>
        </w:rPr>
        <w:t>1</w:t>
      </w:r>
      <w:r>
        <w:fldChar w:fldCharType="end"/>
      </w:r>
      <w:bookmarkEnd w:id="34"/>
      <w:r w:rsidR="005B48A0" w:rsidRPr="005B48A0">
        <w:t xml:space="preserve"> </w:t>
      </w:r>
      <w:r w:rsidR="00957960">
        <w:tab/>
      </w:r>
      <w:r w:rsidR="005B48A0" w:rsidRPr="005B48A0">
        <w:t>Kaplan-Meier Plot of Progression-Free Survival in CAPItello-291 (Investigator Assessment, Overall population</w:t>
      </w:r>
      <w:r w:rsidR="005B48A0">
        <w:t>)</w:t>
      </w:r>
      <w:fldSimple w:instr=" DOCVARIABLE vault_nd_a0637b3f-0fa6-4203-b2cc-f21e6bace739 \* MERGEFORMAT ">
        <w:r w:rsidR="00BD4838">
          <w:t xml:space="preserve"> </w:t>
        </w:r>
      </w:fldSimple>
    </w:p>
    <w:p w14:paraId="260AD943" w14:textId="4D3CDFAB" w:rsidR="00394FF7" w:rsidRDefault="00394FF7" w:rsidP="007403BD">
      <w:pPr>
        <w:pStyle w:val="Paragraph"/>
      </w:pPr>
    </w:p>
    <w:p w14:paraId="424E4C8F" w14:textId="44ACB47A" w:rsidR="001376BA" w:rsidRDefault="001376BA" w:rsidP="007403BD">
      <w:pPr>
        <w:pStyle w:val="Paragraph"/>
      </w:pPr>
      <w:r>
        <w:rPr>
          <w:noProof/>
        </w:rPr>
        <w:drawing>
          <wp:inline distT="0" distB="0" distL="0" distR="0" wp14:anchorId="5CB531B1" wp14:editId="3DAC29F8">
            <wp:extent cx="6362700" cy="3056578"/>
            <wp:effectExtent l="0" t="0" r="0" b="0"/>
            <wp:docPr id="3" name="Picture 3" descr="Figure 1  Kaplan-Meier Plot of Progression-Free Survival in CAPItello-291 (Investigator Assessment, Overall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Kaplan-Meier Plot of Progression-Free Survival in CAPItello-291 (Investigator Assessment, Overall population) "/>
                    <pic:cNvPicPr/>
                  </pic:nvPicPr>
                  <pic:blipFill>
                    <a:blip r:embed="rId12"/>
                    <a:stretch>
                      <a:fillRect/>
                    </a:stretch>
                  </pic:blipFill>
                  <pic:spPr>
                    <a:xfrm>
                      <a:off x="0" y="0"/>
                      <a:ext cx="6369955" cy="3060063"/>
                    </a:xfrm>
                    <a:prstGeom prst="rect">
                      <a:avLst/>
                    </a:prstGeom>
                  </pic:spPr>
                </pic:pic>
              </a:graphicData>
            </a:graphic>
          </wp:inline>
        </w:drawing>
      </w:r>
    </w:p>
    <w:p w14:paraId="1E499EA8" w14:textId="7AFB7D86" w:rsidR="00394FF7" w:rsidRDefault="00994D91" w:rsidP="004931D2">
      <w:pPr>
        <w:pStyle w:val="FigureTitle"/>
      </w:pPr>
      <w:bookmarkStart w:id="35" w:name="_Ref130834670"/>
      <w:r>
        <w:t xml:space="preserve">Figure </w:t>
      </w:r>
      <w:r>
        <w:fldChar w:fldCharType="begin"/>
      </w:r>
      <w:r>
        <w:instrText xml:space="preserve"> SEQ Figure \* ARABIC </w:instrText>
      </w:r>
      <w:r>
        <w:fldChar w:fldCharType="separate"/>
      </w:r>
      <w:r>
        <w:rPr>
          <w:noProof/>
        </w:rPr>
        <w:t>2</w:t>
      </w:r>
      <w:r>
        <w:fldChar w:fldCharType="end"/>
      </w:r>
      <w:bookmarkEnd w:id="35"/>
      <w:r w:rsidR="00957960">
        <w:tab/>
      </w:r>
      <w:r w:rsidR="004931D2" w:rsidRPr="004931D2">
        <w:t>Kaplan-Meier Plot of Progression-Free Survival in CAPItello-291 (Investigator Assessment, PIK3CA/AKT1/PTEN-altered subgroup)</w:t>
      </w:r>
      <w:fldSimple w:instr=" DOCVARIABLE vault_nd_cc356ba5-b69c-4ea9-8627-30baee7b86d3 \* MERGEFORMAT ">
        <w:r w:rsidR="00BD4838">
          <w:t xml:space="preserve"> </w:t>
        </w:r>
      </w:fldSimple>
    </w:p>
    <w:p w14:paraId="0549F2CC" w14:textId="1D4ECF2B" w:rsidR="004931D2" w:rsidRDefault="004931D2" w:rsidP="007403BD">
      <w:pPr>
        <w:pStyle w:val="Paragraph"/>
      </w:pPr>
    </w:p>
    <w:p w14:paraId="2F234068" w14:textId="6E028BCF" w:rsidR="001376BA" w:rsidRDefault="001376BA" w:rsidP="007403BD">
      <w:pPr>
        <w:pStyle w:val="Paragraph"/>
      </w:pPr>
      <w:r w:rsidRPr="001376BA">
        <w:rPr>
          <w:noProof/>
        </w:rPr>
        <w:drawing>
          <wp:inline distT="0" distB="0" distL="0" distR="0" wp14:anchorId="53EC672E" wp14:editId="7CD0D55F">
            <wp:extent cx="6332220" cy="3041936"/>
            <wp:effectExtent l="0" t="0" r="0" b="6350"/>
            <wp:docPr id="6" name="Picture 6" descr="Figure 2 Kaplan-Meier Plot of Progression-Free Survival in CAPItello-291 (Investigator Assessment, PIK3CA/AKT1/PTEN-altered subgro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2 Kaplan-Meier Plot of Progression-Free Survival in CAPItello-291 (Investigator Assessment, PIK3CA/AKT1/PTEN-altered subgroup) "/>
                    <pic:cNvPicPr/>
                  </pic:nvPicPr>
                  <pic:blipFill>
                    <a:blip r:embed="rId13"/>
                    <a:stretch>
                      <a:fillRect/>
                    </a:stretch>
                  </pic:blipFill>
                  <pic:spPr>
                    <a:xfrm>
                      <a:off x="0" y="0"/>
                      <a:ext cx="6340574" cy="3045949"/>
                    </a:xfrm>
                    <a:prstGeom prst="rect">
                      <a:avLst/>
                    </a:prstGeom>
                  </pic:spPr>
                </pic:pic>
              </a:graphicData>
            </a:graphic>
          </wp:inline>
        </w:drawing>
      </w:r>
    </w:p>
    <w:p w14:paraId="325104FC" w14:textId="0D395D2A" w:rsidR="004931D2" w:rsidRDefault="004931D2" w:rsidP="007403BD">
      <w:pPr>
        <w:pStyle w:val="Paragraph"/>
      </w:pPr>
      <w:r w:rsidRPr="004931D2">
        <w:t xml:space="preserve">Improvement in PFS </w:t>
      </w:r>
      <w:r w:rsidR="00546161" w:rsidRPr="00546161">
        <w:t>in the overall population and in</w:t>
      </w:r>
      <w:r w:rsidRPr="004931D2">
        <w:t xml:space="preserve"> patients </w:t>
      </w:r>
      <w:r w:rsidR="0017295C" w:rsidRPr="0017295C">
        <w:t xml:space="preserve">with </w:t>
      </w:r>
      <w:r w:rsidR="0017295C" w:rsidRPr="0017295C">
        <w:rPr>
          <w:i/>
          <w:iCs/>
        </w:rPr>
        <w:t>PIK3CA/AKT1/PTEN</w:t>
      </w:r>
      <w:r w:rsidR="0017295C" w:rsidRPr="0017295C">
        <w:t xml:space="preserve">-altered tumours </w:t>
      </w:r>
      <w:r w:rsidRPr="004931D2">
        <w:t xml:space="preserve">treated with </w:t>
      </w:r>
      <w:r w:rsidR="00D04452">
        <w:t>TRUQAP</w:t>
      </w:r>
      <w:r w:rsidR="00D04452" w:rsidRPr="004931D2">
        <w:t xml:space="preserve"> </w:t>
      </w:r>
      <w:r w:rsidRPr="004931D2">
        <w:t xml:space="preserve">plus </w:t>
      </w:r>
      <w:proofErr w:type="spellStart"/>
      <w:r w:rsidRPr="004931D2">
        <w:t>fulvestrant</w:t>
      </w:r>
      <w:proofErr w:type="spellEnd"/>
      <w:r w:rsidRPr="004931D2">
        <w:t xml:space="preserve"> was observed across all pre-specified subgroups, including prior exposure to CDK4/6 inhibitors</w:t>
      </w:r>
      <w:r w:rsidR="0017295C">
        <w:t>.</w:t>
      </w:r>
    </w:p>
    <w:p w14:paraId="43EB7A0B" w14:textId="0630D141" w:rsidR="001A3992" w:rsidRPr="003A4225" w:rsidRDefault="007403BD" w:rsidP="00994852">
      <w:pPr>
        <w:pStyle w:val="Heading2"/>
      </w:pPr>
      <w:bookmarkStart w:id="36" w:name="_Pharmacokinetic_properties"/>
      <w:bookmarkEnd w:id="36"/>
      <w:r w:rsidRPr="003A4225">
        <w:lastRenderedPageBreak/>
        <w:t>Pharmacokinetic properties</w:t>
      </w:r>
      <w:fldSimple w:instr=" DOCVARIABLE VAULT_ND_4602b08e-54a7-4c12-aaae-035ccf922bca \* MERGEFORMAT ">
        <w:r w:rsidR="00BD4838" w:rsidRPr="003A4225">
          <w:t xml:space="preserve"> </w:t>
        </w:r>
      </w:fldSimple>
    </w:p>
    <w:p w14:paraId="3BB5CA45" w14:textId="6A9C329D" w:rsidR="007403BD" w:rsidRPr="004931D2" w:rsidRDefault="004931D2" w:rsidP="004931D2">
      <w:pPr>
        <w:pStyle w:val="Paragraph"/>
      </w:pPr>
      <w:proofErr w:type="spellStart"/>
      <w:r w:rsidRPr="004931D2">
        <w:t>Capivasertib</w:t>
      </w:r>
      <w:proofErr w:type="spellEnd"/>
      <w:r w:rsidRPr="004931D2">
        <w:t xml:space="preserve"> pharmacokinetics have been characteri</w:t>
      </w:r>
      <w:r w:rsidR="002114CC">
        <w:t>s</w:t>
      </w:r>
      <w:r w:rsidRPr="004931D2">
        <w:t xml:space="preserve">ed in healthy subjects and patients with solid tumours. The systemic exposure (AUC and </w:t>
      </w:r>
      <w:proofErr w:type="spellStart"/>
      <w:r w:rsidRPr="004931D2">
        <w:t>C</w:t>
      </w:r>
      <w:r w:rsidRPr="004931D2">
        <w:rPr>
          <w:vertAlign w:val="subscript"/>
        </w:rPr>
        <w:t>max</w:t>
      </w:r>
      <w:proofErr w:type="spellEnd"/>
      <w:r w:rsidRPr="004931D2">
        <w:t xml:space="preserve">) increased approximately proportionally to the dose over the 80 to 800 mg dose range when given to patients. Following intermittent dosing of </w:t>
      </w:r>
      <w:proofErr w:type="spellStart"/>
      <w:r w:rsidRPr="004931D2">
        <w:t>capivasertib</w:t>
      </w:r>
      <w:proofErr w:type="spellEnd"/>
      <w:r w:rsidRPr="004931D2">
        <w:t xml:space="preserve"> 400 mg twice daily, 4 days on, 3 days off, steady-state levels are predicted to be attained on every 3</w:t>
      </w:r>
      <w:r w:rsidRPr="004931D2">
        <w:rPr>
          <w:vertAlign w:val="superscript"/>
        </w:rPr>
        <w:t>rd</w:t>
      </w:r>
      <w:r w:rsidRPr="004931D2">
        <w:t xml:space="preserve"> and 4</w:t>
      </w:r>
      <w:r w:rsidRPr="004931D2">
        <w:rPr>
          <w:vertAlign w:val="superscript"/>
        </w:rPr>
        <w:t>th</w:t>
      </w:r>
      <w:r w:rsidRPr="004931D2">
        <w:t xml:space="preserve"> dosing day each week, starting from week 2. During the off</w:t>
      </w:r>
      <w:r w:rsidRPr="004931D2">
        <w:noBreakHyphen/>
        <w:t xml:space="preserve">dosing days, the plasma concentrations are low (approximately 0.5% to 15% of the steady state </w:t>
      </w:r>
      <w:proofErr w:type="spellStart"/>
      <w:r w:rsidRPr="004931D2">
        <w:t>C</w:t>
      </w:r>
      <w:r w:rsidRPr="004931D2">
        <w:rPr>
          <w:vertAlign w:val="subscript"/>
        </w:rPr>
        <w:t>max</w:t>
      </w:r>
      <w:proofErr w:type="spellEnd"/>
      <w:r w:rsidRPr="004931D2">
        <w:t>).</w:t>
      </w:r>
    </w:p>
    <w:p w14:paraId="481D7D7A" w14:textId="65CBF5B9" w:rsidR="001A3992" w:rsidRDefault="001A3992" w:rsidP="0026491B">
      <w:pPr>
        <w:pStyle w:val="Heading3Unnumbered"/>
      </w:pPr>
      <w:r w:rsidRPr="00377337">
        <w:t>Absorption</w:t>
      </w:r>
      <w:fldSimple w:instr=" DOCVARIABLE vault_nd_3621b6ba-d342-4c0e-b4d2-61b3b6d12a14 \* MERGEFORMAT ">
        <w:r w:rsidR="00BD4838">
          <w:t xml:space="preserve"> </w:t>
        </w:r>
      </w:fldSimple>
    </w:p>
    <w:p w14:paraId="2E6384F1" w14:textId="33025E3B" w:rsidR="007403BD" w:rsidRDefault="007C1805" w:rsidP="007403BD">
      <w:pPr>
        <w:pStyle w:val="Paragraph"/>
      </w:pPr>
      <w:proofErr w:type="spellStart"/>
      <w:r w:rsidRPr="007C1805">
        <w:t>Capivasertib</w:t>
      </w:r>
      <w:proofErr w:type="spellEnd"/>
      <w:r w:rsidRPr="007C1805">
        <w:t xml:space="preserve"> is rapidly absorbed with peak concentration (</w:t>
      </w:r>
      <w:proofErr w:type="spellStart"/>
      <w:r w:rsidRPr="007C1805">
        <w:t>C</w:t>
      </w:r>
      <w:r w:rsidRPr="007C1805">
        <w:rPr>
          <w:vertAlign w:val="subscript"/>
        </w:rPr>
        <w:t>max</w:t>
      </w:r>
      <w:proofErr w:type="spellEnd"/>
      <w:r w:rsidRPr="007C1805">
        <w:t>) observed at approximately 1-2 hours in patients. The mean absolute bioavailability is 29%</w:t>
      </w:r>
      <w:r>
        <w:t xml:space="preserve">. </w:t>
      </w:r>
    </w:p>
    <w:p w14:paraId="7CE5D565" w14:textId="1783D5CD" w:rsidR="007C1805" w:rsidRDefault="007C1805" w:rsidP="007C1805">
      <w:pPr>
        <w:pStyle w:val="Heading4Unnumbered"/>
      </w:pPr>
      <w:r>
        <w:t>Food Effect</w:t>
      </w:r>
      <w:fldSimple w:instr=" DOCVARIABLE vault_nd_9ffb9e19-8540-4eaf-acfd-e0c36def7e14 \* MERGEFORMAT ">
        <w:r w:rsidR="00BD4838">
          <w:t xml:space="preserve"> </w:t>
        </w:r>
      </w:fldSimple>
    </w:p>
    <w:p w14:paraId="7660D1CA" w14:textId="1E13D41A" w:rsidR="007C1805" w:rsidRPr="007C1805" w:rsidRDefault="007C1805" w:rsidP="007C1805">
      <w:pPr>
        <w:pStyle w:val="Paragraph"/>
      </w:pPr>
      <w:r w:rsidRPr="007C1805">
        <w:t xml:space="preserve">When </w:t>
      </w:r>
      <w:proofErr w:type="spellStart"/>
      <w:r w:rsidRPr="007C1805">
        <w:t>capivasertib</w:t>
      </w:r>
      <w:proofErr w:type="spellEnd"/>
      <w:r w:rsidRPr="007C1805">
        <w:t xml:space="preserve"> was administered after a high-fat, high-calorie meal (approximately 1000 kcal), the fed to fasted ratio was 1.32 and 1.23, for AUC and </w:t>
      </w:r>
      <w:proofErr w:type="spellStart"/>
      <w:r w:rsidRPr="007C1805">
        <w:t>C</w:t>
      </w:r>
      <w:r w:rsidRPr="007C1805">
        <w:rPr>
          <w:vertAlign w:val="subscript"/>
        </w:rPr>
        <w:t>max</w:t>
      </w:r>
      <w:proofErr w:type="spellEnd"/>
      <w:r w:rsidRPr="007C1805">
        <w:t xml:space="preserve">, respectively, compared to when given after an overnight fast. When </w:t>
      </w:r>
      <w:proofErr w:type="spellStart"/>
      <w:r w:rsidRPr="007C1805">
        <w:t>capivasertib</w:t>
      </w:r>
      <w:proofErr w:type="spellEnd"/>
      <w:r w:rsidRPr="007C1805">
        <w:t xml:space="preserve"> was administered after a low-fat, low-calorie (approximately 400 kcal), the exposure was </w:t>
      </w:r>
      <w:proofErr w:type="gramStart"/>
      <w:r w:rsidRPr="007C1805">
        <w:t>similar to</w:t>
      </w:r>
      <w:proofErr w:type="gramEnd"/>
      <w:r w:rsidRPr="007C1805">
        <w:t xml:space="preserve"> that after fasted administration with fed to fasted ratios of 1.14 and 1.21, for AUC and </w:t>
      </w:r>
      <w:proofErr w:type="spellStart"/>
      <w:r w:rsidRPr="007C1805">
        <w:t>C</w:t>
      </w:r>
      <w:r w:rsidRPr="007C1805">
        <w:rPr>
          <w:vertAlign w:val="subscript"/>
        </w:rPr>
        <w:t>max</w:t>
      </w:r>
      <w:proofErr w:type="spellEnd"/>
      <w:r w:rsidRPr="007C1805">
        <w:t>, respectively. Co-administration with food did not result in clinically relevant changes to the exposure</w:t>
      </w:r>
      <w:r>
        <w:t xml:space="preserve">. </w:t>
      </w:r>
    </w:p>
    <w:p w14:paraId="3AEFE04D" w14:textId="26B18A89" w:rsidR="001A3992" w:rsidRDefault="001A3992" w:rsidP="0026491B">
      <w:pPr>
        <w:pStyle w:val="Heading3Unnumbered"/>
      </w:pPr>
      <w:r w:rsidRPr="00377337">
        <w:t>Distribution</w:t>
      </w:r>
      <w:fldSimple w:instr=" DOCVARIABLE vault_nd_50e1c676-f820-4aad-9d29-b4171943c60c \* MERGEFORMAT ">
        <w:r w:rsidR="00BD4838">
          <w:t xml:space="preserve"> </w:t>
        </w:r>
      </w:fldSimple>
    </w:p>
    <w:p w14:paraId="1F7CC024" w14:textId="0E4A885E" w:rsidR="007403BD" w:rsidRPr="007403BD" w:rsidRDefault="007C1805" w:rsidP="007403BD">
      <w:pPr>
        <w:pStyle w:val="Paragraph"/>
      </w:pPr>
      <w:r w:rsidRPr="007C1805">
        <w:t>The mean volume of distribution (</w:t>
      </w:r>
      <w:proofErr w:type="spellStart"/>
      <w:r w:rsidRPr="007C1805">
        <w:t>V</w:t>
      </w:r>
      <w:r w:rsidRPr="007C1805">
        <w:rPr>
          <w:vertAlign w:val="subscript"/>
        </w:rPr>
        <w:t>ss</w:t>
      </w:r>
      <w:proofErr w:type="spellEnd"/>
      <w:r w:rsidRPr="007C1805">
        <w:t xml:space="preserve">) was 205 L after intravenous administration to healthy subjects. </w:t>
      </w:r>
      <w:proofErr w:type="spellStart"/>
      <w:r w:rsidRPr="007C1805">
        <w:t>Capivasertib</w:t>
      </w:r>
      <w:proofErr w:type="spellEnd"/>
      <w:r w:rsidRPr="007C1805">
        <w:t xml:space="preserve"> is not extensively bound to plasma protein (percentage unbound 22%) and the plasma to blood ratio is 0.71</w:t>
      </w:r>
      <w:r>
        <w:t xml:space="preserve">. </w:t>
      </w:r>
    </w:p>
    <w:p w14:paraId="0FE3FA93" w14:textId="5FEE7876" w:rsidR="001A3992" w:rsidRDefault="001A3992" w:rsidP="0026491B">
      <w:pPr>
        <w:pStyle w:val="Heading3Unnumbered"/>
      </w:pPr>
      <w:r w:rsidRPr="00377337">
        <w:t>Metabolism</w:t>
      </w:r>
      <w:fldSimple w:instr=" DOCVARIABLE vault_nd_08463990-d2cf-4741-96c3-833748fdf43a \* MERGEFORMAT ">
        <w:r w:rsidR="00BD4838">
          <w:t xml:space="preserve"> </w:t>
        </w:r>
      </w:fldSimple>
    </w:p>
    <w:p w14:paraId="3810968B" w14:textId="6179660A" w:rsidR="007403BD" w:rsidRPr="007403BD" w:rsidRDefault="00327D0E" w:rsidP="007403BD">
      <w:pPr>
        <w:pStyle w:val="Paragraph"/>
      </w:pPr>
      <w:proofErr w:type="spellStart"/>
      <w:r w:rsidRPr="00327D0E">
        <w:t>Capivasertib</w:t>
      </w:r>
      <w:proofErr w:type="spellEnd"/>
      <w:r w:rsidRPr="00327D0E">
        <w:t xml:space="preserve"> is primarily metabolised by CYP3A4 and UGT2B7 enzymes. The major metabolite in human plasma was an ether glucuronide that accounted for 83% of total drug-related material. A minor oxidative metabolite was quantified at 2% and </w:t>
      </w:r>
      <w:proofErr w:type="spellStart"/>
      <w:r w:rsidRPr="00327D0E">
        <w:t>capivasertib</w:t>
      </w:r>
      <w:proofErr w:type="spellEnd"/>
      <w:r w:rsidRPr="00327D0E">
        <w:t xml:space="preserve"> accounted for 15% of total circulating drug-related material. No active metabolites have been identified.</w:t>
      </w:r>
      <w:r>
        <w:t xml:space="preserve"> </w:t>
      </w:r>
    </w:p>
    <w:p w14:paraId="6F6C34B9" w14:textId="0FCC9AC6" w:rsidR="001A3992" w:rsidRDefault="001A3992" w:rsidP="0026491B">
      <w:pPr>
        <w:pStyle w:val="Heading3Unnumbered"/>
      </w:pPr>
      <w:r w:rsidRPr="00377337">
        <w:t>Excretion</w:t>
      </w:r>
      <w:fldSimple w:instr=" DOCVARIABLE vault_nd_0db5ee65-65be-4559-8065-38a190ff752b \* MERGEFORMAT ">
        <w:r w:rsidR="00BD4838">
          <w:t xml:space="preserve"> </w:t>
        </w:r>
      </w:fldSimple>
    </w:p>
    <w:p w14:paraId="66F3D357" w14:textId="4157FE4D" w:rsidR="00327D0E" w:rsidRPr="00327D0E" w:rsidRDefault="00327D0E" w:rsidP="00327D0E">
      <w:pPr>
        <w:pStyle w:val="Paragraph"/>
      </w:pPr>
      <w:r w:rsidRPr="00327D0E">
        <w:t>The effective half-life after multiple dosing in patients was 8.3 hours.</w:t>
      </w:r>
      <w:r w:rsidRPr="00327D0E" w:rsidDel="00CE4773">
        <w:t xml:space="preserve"> The mean total plasma clearance was 38 L/h after a single intravenous administration to healthy subjects.</w:t>
      </w:r>
      <w:r w:rsidRPr="00327D0E">
        <w:t xml:space="preserve"> The mean total oral plasma clearance was 60 L/h after single oral administration and decreased by 8% after repeated dosing of 400 mg twice daily. </w:t>
      </w:r>
    </w:p>
    <w:p w14:paraId="252FA26E" w14:textId="4040C08B" w:rsidR="007403BD" w:rsidRDefault="00327D0E" w:rsidP="00327D0E">
      <w:pPr>
        <w:pStyle w:val="Paragraph"/>
      </w:pPr>
      <w:r w:rsidRPr="00327D0E">
        <w:t xml:space="preserve">Following single oral dose of 400 mg, the mean total recovery of radioactive dose was 45% from urine and 50% from faeces. Renal clearance was 21% of total clearance. </w:t>
      </w:r>
      <w:proofErr w:type="spellStart"/>
      <w:r w:rsidRPr="00327D0E">
        <w:t>Capivasertib</w:t>
      </w:r>
      <w:proofErr w:type="spellEnd"/>
      <w:r w:rsidRPr="00327D0E">
        <w:t xml:space="preserve"> is primarily eliminated by metabolism</w:t>
      </w:r>
      <w:r>
        <w:t xml:space="preserve">. </w:t>
      </w:r>
    </w:p>
    <w:p w14:paraId="0F276E7D" w14:textId="21CE3E70" w:rsidR="00A075E2" w:rsidRDefault="00A075E2" w:rsidP="00A075E2">
      <w:pPr>
        <w:pStyle w:val="Heading4NoTOC"/>
      </w:pPr>
      <w:r>
        <w:t>Special populations</w:t>
      </w:r>
    </w:p>
    <w:p w14:paraId="010042F0" w14:textId="45EC0E61" w:rsidR="00A075E2" w:rsidRPr="00A075E2" w:rsidRDefault="00A075E2" w:rsidP="00A075E2">
      <w:pPr>
        <w:pStyle w:val="Heading4Unnumbered"/>
      </w:pPr>
      <w:r w:rsidRPr="00A075E2">
        <w:t>Effect of race, age, gender and weight</w:t>
      </w:r>
      <w:fldSimple w:instr=" DOCVARIABLE vault_nd_85b0115b-5bc0-4b2b-a4ac-f9ce1dd2aaad \* MERGEFORMAT ">
        <w:r w:rsidR="00BD4838">
          <w:t xml:space="preserve"> </w:t>
        </w:r>
      </w:fldSimple>
    </w:p>
    <w:p w14:paraId="003E18DF" w14:textId="35CB8CC8" w:rsidR="00A075E2" w:rsidRDefault="00A075E2" w:rsidP="00A075E2">
      <w:pPr>
        <w:pStyle w:val="Paragraph"/>
      </w:pPr>
      <w:r w:rsidRPr="00A075E2">
        <w:t xml:space="preserve">There were no clinically significant differences in pharmacokinetics of </w:t>
      </w:r>
      <w:proofErr w:type="spellStart"/>
      <w:r w:rsidRPr="00A075E2">
        <w:t>capivasertib</w:t>
      </w:r>
      <w:proofErr w:type="spellEnd"/>
      <w:r w:rsidRPr="00A075E2">
        <w:t xml:space="preserve"> based on race/ethnicity (including White and Asian patients), gender or age. There was a statistically significant correlation of apparent oral clearance of </w:t>
      </w:r>
      <w:proofErr w:type="spellStart"/>
      <w:r w:rsidRPr="00A075E2">
        <w:t>capivasertib</w:t>
      </w:r>
      <w:proofErr w:type="spellEnd"/>
      <w:r w:rsidRPr="00A075E2">
        <w:t xml:space="preserve"> to body weight. Compared to a patient with a body weight of 66 kg, a 47 kg patient is predicted to have 12% higher AUC. There is </w:t>
      </w:r>
      <w:r w:rsidRPr="00A075E2">
        <w:lastRenderedPageBreak/>
        <w:t xml:space="preserve">no basis for dose modification based on body weight as the predicted effect on </w:t>
      </w:r>
      <w:proofErr w:type="spellStart"/>
      <w:r w:rsidRPr="00A075E2">
        <w:t>capivasertib</w:t>
      </w:r>
      <w:proofErr w:type="spellEnd"/>
      <w:r w:rsidRPr="00A075E2">
        <w:t xml:space="preserve"> exposure was small</w:t>
      </w:r>
      <w:r>
        <w:t>.</w:t>
      </w:r>
    </w:p>
    <w:p w14:paraId="46000622" w14:textId="0364E0F2" w:rsidR="003E321F" w:rsidRPr="003E321F" w:rsidRDefault="003E321F" w:rsidP="003E321F">
      <w:pPr>
        <w:pStyle w:val="Heading4Unnumbered"/>
      </w:pPr>
      <w:r w:rsidRPr="003E321F">
        <w:t>Renal impairment</w:t>
      </w:r>
      <w:fldSimple w:instr=" DOCVARIABLE vault_nd_659bd6d1-a88b-4714-9d08-19357d569fc7 \* MERGEFORMAT ">
        <w:r w:rsidR="00BD4838">
          <w:t xml:space="preserve"> </w:t>
        </w:r>
      </w:fldSimple>
    </w:p>
    <w:p w14:paraId="09F82FB4" w14:textId="2E42F557" w:rsidR="003E321F" w:rsidRPr="003E321F" w:rsidRDefault="003E321F" w:rsidP="003E321F">
      <w:pPr>
        <w:pStyle w:val="Paragraph"/>
      </w:pPr>
      <w:r w:rsidRPr="003E321F">
        <w:t xml:space="preserve">Based on population pharmacokinetic analyses, AUC and </w:t>
      </w:r>
      <w:proofErr w:type="spellStart"/>
      <w:r w:rsidRPr="003E321F">
        <w:t>C</w:t>
      </w:r>
      <w:r w:rsidRPr="003E321F">
        <w:rPr>
          <w:vertAlign w:val="subscript"/>
        </w:rPr>
        <w:t>max</w:t>
      </w:r>
      <w:proofErr w:type="spellEnd"/>
      <w:r w:rsidRPr="003E321F">
        <w:t xml:space="preserve"> were 1% higher in patients with mild renal impairment (creatinine clearance </w:t>
      </w:r>
      <w:r w:rsidR="003439FD">
        <w:t>60</w:t>
      </w:r>
      <w:r w:rsidRPr="003E321F">
        <w:t xml:space="preserve"> to 8</w:t>
      </w:r>
      <w:r w:rsidR="003439FD">
        <w:t>9</w:t>
      </w:r>
      <w:r w:rsidRPr="003E321F">
        <w:t xml:space="preserve"> mL/min), compared to patients with normal renal function. AUC and </w:t>
      </w:r>
      <w:proofErr w:type="spellStart"/>
      <w:r w:rsidRPr="003E321F">
        <w:t>C</w:t>
      </w:r>
      <w:r w:rsidRPr="003E321F">
        <w:rPr>
          <w:vertAlign w:val="subscript"/>
        </w:rPr>
        <w:t>max</w:t>
      </w:r>
      <w:proofErr w:type="spellEnd"/>
      <w:r w:rsidRPr="003E321F">
        <w:t xml:space="preserve"> were 16% higher in patients with moderate renal impairment (creatinine clearance 3</w:t>
      </w:r>
      <w:r w:rsidR="003439FD">
        <w:t>0</w:t>
      </w:r>
      <w:r w:rsidRPr="003E321F">
        <w:t xml:space="preserve"> to 5</w:t>
      </w:r>
      <w:r w:rsidR="003439FD">
        <w:t>9</w:t>
      </w:r>
      <w:r w:rsidRPr="003E321F">
        <w:t> mL/min), compared to patients with normal renal function.</w:t>
      </w:r>
    </w:p>
    <w:p w14:paraId="5CE4AB46" w14:textId="69843956" w:rsidR="00A075E2" w:rsidRDefault="003E321F" w:rsidP="003E321F">
      <w:pPr>
        <w:pStyle w:val="Paragraph"/>
      </w:pPr>
      <w:r w:rsidRPr="003E321F">
        <w:t>There is no data in severe renal impairment or end-stage renal disease (creatinine clearance &lt; 30 m</w:t>
      </w:r>
      <w:r>
        <w:t>L</w:t>
      </w:r>
      <w:r w:rsidRPr="003E321F">
        <w:t>/min).</w:t>
      </w:r>
      <w:r>
        <w:t xml:space="preserve"> </w:t>
      </w:r>
    </w:p>
    <w:p w14:paraId="7CC57D05" w14:textId="0AFF4182" w:rsidR="003E321F" w:rsidRPr="003E321F" w:rsidRDefault="003E321F" w:rsidP="003E321F">
      <w:pPr>
        <w:pStyle w:val="Heading4Unnumbered"/>
      </w:pPr>
      <w:r w:rsidRPr="003E321F">
        <w:t>Hepatic impairment</w:t>
      </w:r>
      <w:fldSimple w:instr=" DOCVARIABLE vault_nd_f9eaf493-174a-4014-887b-f8ac445dab68 \* MERGEFORMAT ">
        <w:r w:rsidR="00BD4838">
          <w:t xml:space="preserve"> </w:t>
        </w:r>
      </w:fldSimple>
    </w:p>
    <w:p w14:paraId="3F5A3263" w14:textId="77777777" w:rsidR="003E321F" w:rsidRPr="003E321F" w:rsidRDefault="003E321F" w:rsidP="003E321F">
      <w:pPr>
        <w:pStyle w:val="Paragraph"/>
      </w:pPr>
      <w:r w:rsidRPr="003E321F">
        <w:t xml:space="preserve">Based on population pharmacokinetic analyses, AUC and </w:t>
      </w:r>
      <w:proofErr w:type="spellStart"/>
      <w:r w:rsidRPr="003E321F">
        <w:t>C</w:t>
      </w:r>
      <w:r w:rsidRPr="003E321F">
        <w:rPr>
          <w:vertAlign w:val="subscript"/>
        </w:rPr>
        <w:t>max</w:t>
      </w:r>
      <w:proofErr w:type="spellEnd"/>
      <w:r w:rsidRPr="003E321F">
        <w:t xml:space="preserve"> were 5% higher in patients with mild hepatic impairment (bilirubin ≤ ULN and AST &gt; ULN, or bilirubin &gt; 1 ULN to ≤ 1.5 ULN), compared to patients with normal hepatic function. No dose adjustment is required for patients with mild hepatic impairment. </w:t>
      </w:r>
    </w:p>
    <w:p w14:paraId="10987515" w14:textId="6D08757C" w:rsidR="003E321F" w:rsidRDefault="003E321F" w:rsidP="003E321F">
      <w:pPr>
        <w:pStyle w:val="Paragraph"/>
      </w:pPr>
      <w:r w:rsidRPr="003E321F">
        <w:t xml:space="preserve">Based on limited data the AUC and </w:t>
      </w:r>
      <w:proofErr w:type="spellStart"/>
      <w:r w:rsidRPr="003E321F">
        <w:t>C</w:t>
      </w:r>
      <w:r w:rsidRPr="003E321F">
        <w:rPr>
          <w:vertAlign w:val="subscript"/>
        </w:rPr>
        <w:t>max</w:t>
      </w:r>
      <w:proofErr w:type="spellEnd"/>
      <w:r w:rsidRPr="003E321F">
        <w:t xml:space="preserve"> was 17% and 13% higher respectively in patients with moderate hepatic impairment (bilirubin &gt; 1.5 ULN to ≤ 3 ULN), compared to patients with normal hepatic function. There is limited data in patients with moderate hepatic impairment and no data in severe hepatic impairment</w:t>
      </w:r>
      <w:r>
        <w:t xml:space="preserve">. </w:t>
      </w:r>
    </w:p>
    <w:p w14:paraId="2F772E4D" w14:textId="48B23932" w:rsidR="001A3992" w:rsidRPr="003A4225" w:rsidRDefault="001A3992" w:rsidP="00994852">
      <w:pPr>
        <w:pStyle w:val="Heading2"/>
      </w:pPr>
      <w:r w:rsidRPr="003A4225">
        <w:t>Preclinical safety data</w:t>
      </w:r>
      <w:fldSimple w:instr=" DOCVARIABLE VAULT_ND_9246eff3-263f-4307-889f-c6bdd24f534a \* MERGEFORMAT ">
        <w:r w:rsidR="00BD4838" w:rsidRPr="003A4225">
          <w:t xml:space="preserve"> </w:t>
        </w:r>
      </w:fldSimple>
    </w:p>
    <w:p w14:paraId="20DA0E8D" w14:textId="535516C9" w:rsidR="001A3992" w:rsidRDefault="001A3992" w:rsidP="0026491B">
      <w:pPr>
        <w:pStyle w:val="Heading3Unnumbered"/>
      </w:pPr>
      <w:r w:rsidRPr="00377337">
        <w:t>Genotoxicity</w:t>
      </w:r>
      <w:fldSimple w:instr=" DOCVARIABLE vault_nd_db96740a-ca43-4ff2-aa82-42ac7eeb8d1c \* MERGEFORMAT ">
        <w:r w:rsidR="00BD4838">
          <w:t xml:space="preserve"> </w:t>
        </w:r>
      </w:fldSimple>
    </w:p>
    <w:p w14:paraId="382687A9" w14:textId="0C951E27" w:rsidR="007403BD" w:rsidRPr="007403BD" w:rsidRDefault="002B5599" w:rsidP="007403BD">
      <w:pPr>
        <w:pStyle w:val="Paragraph"/>
      </w:pPr>
      <w:proofErr w:type="spellStart"/>
      <w:r w:rsidRPr="002B5599">
        <w:t>Capivasertib</w:t>
      </w:r>
      <w:proofErr w:type="spellEnd"/>
      <w:r w:rsidRPr="002B5599">
        <w:t xml:space="preserve"> showed no mutagenic or genotoxic potential </w:t>
      </w:r>
      <w:r w:rsidRPr="002D3F38">
        <w:rPr>
          <w:i/>
          <w:iCs/>
        </w:rPr>
        <w:t>in vitro</w:t>
      </w:r>
      <w:r w:rsidRPr="002B5599">
        <w:t xml:space="preserve">. </w:t>
      </w:r>
      <w:bookmarkStart w:id="37" w:name="_Hlk152844056"/>
      <w:proofErr w:type="spellStart"/>
      <w:r w:rsidR="0055152F" w:rsidRPr="0055152F">
        <w:t>Capivasertib</w:t>
      </w:r>
      <w:proofErr w:type="spellEnd"/>
      <w:r w:rsidR="0055152F" w:rsidRPr="0055152F">
        <w:t xml:space="preserve"> was not mutagenic in a bacterial reverse mutation (Ames) assay, or genotoxic in mouse lymphoma cells </w:t>
      </w:r>
      <w:r w:rsidR="0055152F" w:rsidRPr="0055152F">
        <w:rPr>
          <w:i/>
          <w:iCs/>
        </w:rPr>
        <w:t>in vitro</w:t>
      </w:r>
      <w:r w:rsidR="0055152F" w:rsidRPr="0055152F">
        <w:t>.</w:t>
      </w:r>
      <w:r w:rsidR="0055152F">
        <w:t xml:space="preserve"> </w:t>
      </w:r>
      <w:bookmarkEnd w:id="37"/>
      <w:r w:rsidR="0055152F">
        <w:t>In</w:t>
      </w:r>
      <w:r w:rsidRPr="002B5599">
        <w:t xml:space="preserve"> rats</w:t>
      </w:r>
      <w:r w:rsidR="0055152F" w:rsidRPr="0055152F">
        <w:t xml:space="preserve"> </w:t>
      </w:r>
      <w:bookmarkStart w:id="38" w:name="_Hlk152844089"/>
      <w:r w:rsidR="0055152F" w:rsidRPr="0055152F">
        <w:t>treated orally with doses of 150 mg/kg/day</w:t>
      </w:r>
      <w:bookmarkEnd w:id="38"/>
      <w:r w:rsidRPr="002B5599">
        <w:t xml:space="preserve">, </w:t>
      </w:r>
      <w:proofErr w:type="spellStart"/>
      <w:r w:rsidRPr="002B5599">
        <w:t>capivasertib</w:t>
      </w:r>
      <w:proofErr w:type="spellEnd"/>
      <w:r w:rsidRPr="002B5599">
        <w:t xml:space="preserve"> induced micronuclei in the bone marrow via an </w:t>
      </w:r>
      <w:proofErr w:type="spellStart"/>
      <w:r w:rsidRPr="002B5599">
        <w:t>aneugenic</w:t>
      </w:r>
      <w:proofErr w:type="spellEnd"/>
      <w:r w:rsidRPr="002B5599">
        <w:t xml:space="preserve"> mode of action</w:t>
      </w:r>
      <w:r w:rsidR="009C1912">
        <w:t>.</w:t>
      </w:r>
      <w:r>
        <w:t xml:space="preserve"> </w:t>
      </w:r>
      <w:bookmarkStart w:id="39" w:name="_Hlk152844107"/>
      <w:r w:rsidR="00B30920">
        <w:t>T</w:t>
      </w:r>
      <w:r w:rsidR="00B30920" w:rsidRPr="00B30920">
        <w:t xml:space="preserve">hese findings occurred at plasma concentrations </w:t>
      </w:r>
      <w:proofErr w:type="gramStart"/>
      <w:r w:rsidR="00B30920" w:rsidRPr="00B30920">
        <w:t>similar to</w:t>
      </w:r>
      <w:proofErr w:type="gramEnd"/>
      <w:r w:rsidR="00B30920" w:rsidRPr="00B30920">
        <w:t xml:space="preserve"> those observed in humans at the maximum recommended clinical dose of 400 mg twice daily (based on </w:t>
      </w:r>
      <w:proofErr w:type="spellStart"/>
      <w:r w:rsidR="00B30920" w:rsidRPr="00B30920">
        <w:t>C</w:t>
      </w:r>
      <w:r w:rsidR="00B30920" w:rsidRPr="00B30920">
        <w:rPr>
          <w:vertAlign w:val="subscript"/>
        </w:rPr>
        <w:t>max</w:t>
      </w:r>
      <w:proofErr w:type="spellEnd"/>
      <w:r w:rsidR="00B30920" w:rsidRPr="00B30920">
        <w:t xml:space="preserve"> or AUC)</w:t>
      </w:r>
      <w:r w:rsidR="00B30920">
        <w:t>.</w:t>
      </w:r>
      <w:bookmarkEnd w:id="39"/>
      <w:r w:rsidR="00B30920">
        <w:t xml:space="preserve"> </w:t>
      </w:r>
    </w:p>
    <w:p w14:paraId="392F402D" w14:textId="313FB945" w:rsidR="001A3992" w:rsidRDefault="001A3992" w:rsidP="0026491B">
      <w:pPr>
        <w:pStyle w:val="Heading3Unnumbered"/>
      </w:pPr>
      <w:r w:rsidRPr="00377337">
        <w:t>Carcinogenicity</w:t>
      </w:r>
      <w:fldSimple w:instr=" DOCVARIABLE vault_nd_f36fed68-34a4-414f-9a7c-84b965e9bd56 \* MERGEFORMAT ">
        <w:r w:rsidR="00BD4838">
          <w:t xml:space="preserve"> </w:t>
        </w:r>
      </w:fldSimple>
    </w:p>
    <w:p w14:paraId="6257D864" w14:textId="1601FB88" w:rsidR="007403BD" w:rsidRDefault="009C1912" w:rsidP="007403BD">
      <w:pPr>
        <w:pStyle w:val="Paragraph"/>
      </w:pPr>
      <w:r w:rsidRPr="009C1912">
        <w:t xml:space="preserve">Carcinogenicity studies have not been conducted with </w:t>
      </w:r>
      <w:proofErr w:type="spellStart"/>
      <w:r w:rsidRPr="009C1912">
        <w:t>capivasertib</w:t>
      </w:r>
      <w:proofErr w:type="spellEnd"/>
      <w:r w:rsidR="00F06F31">
        <w:t>.</w:t>
      </w:r>
      <w:r>
        <w:t xml:space="preserve"> </w:t>
      </w:r>
    </w:p>
    <w:p w14:paraId="12ABE3B5" w14:textId="79E28811" w:rsidR="00514C09" w:rsidRPr="00514C09" w:rsidRDefault="00514C09" w:rsidP="00514C09">
      <w:pPr>
        <w:pStyle w:val="Heading3Unnumbered"/>
      </w:pPr>
      <w:r w:rsidRPr="00514C09">
        <w:t>Non-clinical/Repeat-dose toxicity</w:t>
      </w:r>
      <w:fldSimple w:instr=" DOCVARIABLE vault_nd_c82dc10d-3b96-46a1-87ce-4fc5ee115f8d \* MERGEFORMAT ">
        <w:r w:rsidR="00BD4838">
          <w:t xml:space="preserve"> </w:t>
        </w:r>
      </w:fldSimple>
    </w:p>
    <w:p w14:paraId="651B44C7" w14:textId="6D0CF268" w:rsidR="00514C09" w:rsidRPr="007403BD" w:rsidRDefault="00514C09" w:rsidP="00514C09">
      <w:pPr>
        <w:pStyle w:val="Paragraph"/>
      </w:pPr>
      <w:r w:rsidRPr="00514C09">
        <w:t xml:space="preserve">The major target organs or systems for toxicity were insulin signalling (increased levels of glucose and insulin in </w:t>
      </w:r>
      <w:r w:rsidR="00B30920">
        <w:t xml:space="preserve">mice, </w:t>
      </w:r>
      <w:r w:rsidRPr="00514C09">
        <w:t xml:space="preserve">rats and dogs), the male reproductive organs (tubular degeneration in </w:t>
      </w:r>
      <w:r w:rsidR="0006450D" w:rsidRPr="0006450D">
        <w:t>mice,</w:t>
      </w:r>
      <w:r w:rsidRPr="00514C09">
        <w:t xml:space="preserve"> rats and dogs), and the renal system in rats (polyuria, decreased tubular epithelial cell size, decreased kidney size and weight). The findings present following 1 month of dosing were largely reversible within 1 month of cessation of dosing. Findings occurred at plasma concentrations lower or </w:t>
      </w:r>
      <w:proofErr w:type="gramStart"/>
      <w:r w:rsidRPr="00514C09">
        <w:t>similar to</w:t>
      </w:r>
      <w:proofErr w:type="gramEnd"/>
      <w:r w:rsidRPr="00514C09">
        <w:t xml:space="preserve"> those in humans (approximately 0.14 to 2 times) at the recommended dose of 400 mg twice daily (based on total AUC).</w:t>
      </w:r>
      <w:r>
        <w:t xml:space="preserve"> </w:t>
      </w:r>
    </w:p>
    <w:p w14:paraId="5F156A44" w14:textId="78F7611C" w:rsidR="001A3992" w:rsidRPr="003A4225" w:rsidRDefault="001A3992" w:rsidP="00994852">
      <w:pPr>
        <w:pStyle w:val="Heading1"/>
      </w:pPr>
      <w:r w:rsidRPr="003A4225">
        <w:lastRenderedPageBreak/>
        <w:t>Pharmaceutical particulars</w:t>
      </w:r>
      <w:fldSimple w:instr=" DOCVARIABLE VAULT_ND_d72effda-c084-4111-a356-45a3e36846d9 \* MERGEFORMAT ">
        <w:r w:rsidR="00BD4838" w:rsidRPr="003A4225">
          <w:t xml:space="preserve"> </w:t>
        </w:r>
      </w:fldSimple>
    </w:p>
    <w:p w14:paraId="539A88CB" w14:textId="6FED4520" w:rsidR="001A3992" w:rsidRPr="003A4225" w:rsidRDefault="001A3992" w:rsidP="00994852">
      <w:pPr>
        <w:pStyle w:val="Heading2"/>
      </w:pPr>
      <w:bookmarkStart w:id="40" w:name="_List_of_excipients"/>
      <w:bookmarkStart w:id="41" w:name="_Ref505768678"/>
      <w:bookmarkEnd w:id="40"/>
      <w:r w:rsidRPr="003A4225">
        <w:t>List of exci</w:t>
      </w:r>
      <w:r w:rsidR="00795D99" w:rsidRPr="003A4225">
        <w:t>pients</w:t>
      </w:r>
      <w:bookmarkEnd w:id="41"/>
      <w:r w:rsidR="00BD4838" w:rsidRPr="003A4225">
        <w:fldChar w:fldCharType="begin"/>
      </w:r>
      <w:r w:rsidR="00BD4838" w:rsidRPr="003A4225">
        <w:instrText xml:space="preserve"> DOCVARIABLE VAULT_ND_88653537-a43f-4521-bdcf-159b9b223765 \* MERGEFORMAT </w:instrText>
      </w:r>
      <w:r w:rsidR="00BD4838" w:rsidRPr="003A4225">
        <w:fldChar w:fldCharType="separate"/>
      </w:r>
      <w:r w:rsidR="00BD4838" w:rsidRPr="003A4225">
        <w:t xml:space="preserve"> </w:t>
      </w:r>
      <w:r w:rsidR="00BD4838" w:rsidRPr="003A4225">
        <w:fldChar w:fldCharType="end"/>
      </w:r>
    </w:p>
    <w:p w14:paraId="4CDD6CC5" w14:textId="416283BB" w:rsidR="008B57E6" w:rsidRDefault="008B57E6" w:rsidP="00BF75C8">
      <w:pPr>
        <w:pStyle w:val="Paragraph"/>
      </w:pPr>
      <w:r w:rsidRPr="00BF75C8">
        <w:rPr>
          <w:i/>
          <w:iCs/>
        </w:rPr>
        <w:t>Tablet core</w:t>
      </w:r>
      <w:r w:rsidR="00BF75C8" w:rsidRPr="00092A59">
        <w:t xml:space="preserve">: </w:t>
      </w:r>
      <w:r w:rsidR="00690672">
        <w:t>m</w:t>
      </w:r>
      <w:r>
        <w:t>icrocrystalline cellulose</w:t>
      </w:r>
      <w:r w:rsidR="00BF75C8">
        <w:t xml:space="preserve">, </w:t>
      </w:r>
      <w:r w:rsidR="009B20A0">
        <w:t>c</w:t>
      </w:r>
      <w:r>
        <w:t xml:space="preserve">alcium </w:t>
      </w:r>
      <w:r w:rsidR="00994E55">
        <w:t xml:space="preserve">hydrogen </w:t>
      </w:r>
      <w:r>
        <w:t>phosphate</w:t>
      </w:r>
      <w:r w:rsidR="00BF75C8">
        <w:t xml:space="preserve">, </w:t>
      </w:r>
      <w:r w:rsidR="00690672">
        <w:t>c</w:t>
      </w:r>
      <w:r>
        <w:t>roscarmellose sodium</w:t>
      </w:r>
      <w:r w:rsidR="00BF75C8">
        <w:t xml:space="preserve">, </w:t>
      </w:r>
      <w:r w:rsidR="00690672">
        <w:t>m</w:t>
      </w:r>
      <w:r>
        <w:t>agnesium stearate</w:t>
      </w:r>
    </w:p>
    <w:p w14:paraId="6BA7E82D" w14:textId="68606DBF" w:rsidR="007A2548" w:rsidRDefault="008B57E6" w:rsidP="000F0FDE">
      <w:pPr>
        <w:pStyle w:val="Paragraph"/>
      </w:pPr>
      <w:r w:rsidRPr="00092A59">
        <w:rPr>
          <w:i/>
          <w:iCs/>
        </w:rPr>
        <w:t>Tablet coating</w:t>
      </w:r>
      <w:r w:rsidR="00092A59">
        <w:rPr>
          <w:i/>
          <w:iCs/>
        </w:rPr>
        <w:t xml:space="preserve">: </w:t>
      </w:r>
      <w:proofErr w:type="spellStart"/>
      <w:r w:rsidR="00690672">
        <w:t>h</w:t>
      </w:r>
      <w:r>
        <w:t>ypromellose</w:t>
      </w:r>
      <w:proofErr w:type="spellEnd"/>
      <w:r w:rsidR="00092A59">
        <w:t xml:space="preserve">, </w:t>
      </w:r>
      <w:r w:rsidR="00690672">
        <w:t>t</w:t>
      </w:r>
      <w:r>
        <w:t>itanium dioxide</w:t>
      </w:r>
      <w:r w:rsidR="00092A59">
        <w:t xml:space="preserve">, </w:t>
      </w:r>
      <w:r w:rsidR="00690672">
        <w:t>m</w:t>
      </w:r>
      <w:r w:rsidR="002D6D06">
        <w:t>acrogol</w:t>
      </w:r>
      <w:r>
        <w:t xml:space="preserve"> 3350</w:t>
      </w:r>
      <w:r w:rsidR="00092A59">
        <w:t xml:space="preserve">, </w:t>
      </w:r>
      <w:r w:rsidR="00690672">
        <w:t>p</w:t>
      </w:r>
      <w:r>
        <w:t>olydextrose</w:t>
      </w:r>
      <w:r w:rsidR="00092A59">
        <w:t xml:space="preserve">, </w:t>
      </w:r>
      <w:proofErr w:type="spellStart"/>
      <w:r w:rsidR="00690672">
        <w:t>c</w:t>
      </w:r>
      <w:r>
        <w:t>opovidone</w:t>
      </w:r>
      <w:proofErr w:type="spellEnd"/>
      <w:r w:rsidR="00092A59">
        <w:t xml:space="preserve">, </w:t>
      </w:r>
      <w:r w:rsidR="00A2160E">
        <w:t>m</w:t>
      </w:r>
      <w:r w:rsidR="00C2464F">
        <w:t>edium chain t</w:t>
      </w:r>
      <w:r>
        <w:t>riglycerides</w:t>
      </w:r>
      <w:r w:rsidR="009B20A0">
        <w:t xml:space="preserve">, </w:t>
      </w:r>
      <w:r w:rsidR="00A2160E">
        <w:t>i</w:t>
      </w:r>
      <w:r>
        <w:t>ron oxide black</w:t>
      </w:r>
      <w:r w:rsidR="00A2160E">
        <w:t>, i</w:t>
      </w:r>
      <w:r>
        <w:t>ron oxide red</w:t>
      </w:r>
      <w:r w:rsidR="00A2160E">
        <w:t>, i</w:t>
      </w:r>
      <w:r>
        <w:t>ron oxide yellow</w:t>
      </w:r>
    </w:p>
    <w:p w14:paraId="2382E8BB" w14:textId="3D67D526" w:rsidR="001A3992" w:rsidRPr="003A4225" w:rsidRDefault="001A3992" w:rsidP="00994852">
      <w:pPr>
        <w:pStyle w:val="Heading2"/>
      </w:pPr>
      <w:r w:rsidRPr="003A4225">
        <w:t>Incompatib</w:t>
      </w:r>
      <w:r w:rsidR="00795D99" w:rsidRPr="003A4225">
        <w:t>ilities</w:t>
      </w:r>
      <w:fldSimple w:instr=" DOCVARIABLE VAULT_ND_3ab634fa-717b-4f7d-ae20-dcbbaa7c3616 \* MERGEFORMAT ">
        <w:r w:rsidR="00BD4838" w:rsidRPr="003A4225">
          <w:t xml:space="preserve"> </w:t>
        </w:r>
      </w:fldSimple>
    </w:p>
    <w:p w14:paraId="5B4CDE27" w14:textId="4610E3CE" w:rsidR="007A2548" w:rsidRPr="007403BD" w:rsidRDefault="007A2548" w:rsidP="007A2548">
      <w:pPr>
        <w:pStyle w:val="Paragraph"/>
      </w:pPr>
      <w:r w:rsidRPr="00CF40F6">
        <w:t>Incompatibilities were either not assessed or not identified as part of the registration of this medicine</w:t>
      </w:r>
      <w:r w:rsidR="00E0269B">
        <w:t>.</w:t>
      </w:r>
    </w:p>
    <w:p w14:paraId="2EF36426" w14:textId="04C355E0" w:rsidR="001A3992" w:rsidRPr="003A4225" w:rsidRDefault="001A3992" w:rsidP="00994852">
      <w:pPr>
        <w:pStyle w:val="Heading2"/>
      </w:pPr>
      <w:r w:rsidRPr="003A4225">
        <w:t>Shelf life</w:t>
      </w:r>
      <w:fldSimple w:instr=" DOCVARIABLE VAULT_ND_44ebd785-5ae8-4ce6-ad10-5b4c8dfcbe48 \* MERGEFORMAT ">
        <w:r w:rsidR="00BD4838" w:rsidRPr="003A4225">
          <w:t xml:space="preserve"> </w:t>
        </w:r>
      </w:fldSimple>
    </w:p>
    <w:p w14:paraId="4070401C" w14:textId="77777777" w:rsidR="007A2548" w:rsidRPr="007403BD" w:rsidRDefault="007A2548" w:rsidP="007403BD">
      <w:pPr>
        <w:pStyle w:val="Paragraph"/>
      </w:pPr>
      <w:r>
        <w:t>In Australia, information on the shelf life can be found on the public summary of the Australian Register of Therapeutic Goods (ARTG). The expiry date can be found on the packaging.</w:t>
      </w:r>
    </w:p>
    <w:p w14:paraId="2D583DB3" w14:textId="2DAC58A7" w:rsidR="001A3992" w:rsidRPr="003A4225" w:rsidRDefault="00795D99" w:rsidP="00994852">
      <w:pPr>
        <w:pStyle w:val="Heading2"/>
      </w:pPr>
      <w:r w:rsidRPr="003A4225">
        <w:t>Special precautions for storage</w:t>
      </w:r>
      <w:fldSimple w:instr=" DOCVARIABLE VAULT_ND_feb8a99f-b21e-42ef-b971-418c1336fedc \* MERGEFORMAT ">
        <w:r w:rsidR="00BD4838" w:rsidRPr="003A4225">
          <w:t xml:space="preserve"> </w:t>
        </w:r>
      </w:fldSimple>
    </w:p>
    <w:p w14:paraId="1EFA711D" w14:textId="71AB4395" w:rsidR="007A2548" w:rsidRPr="007403BD" w:rsidRDefault="009B7DF5" w:rsidP="007403BD">
      <w:pPr>
        <w:pStyle w:val="Paragraph"/>
      </w:pPr>
      <w:r>
        <w:t>Store below 30°C</w:t>
      </w:r>
      <w:r w:rsidR="009C1912">
        <w:t xml:space="preserve">. </w:t>
      </w:r>
    </w:p>
    <w:p w14:paraId="08D238EF" w14:textId="56ADBCA1" w:rsidR="001A3992" w:rsidRPr="003A4225" w:rsidRDefault="001A3992" w:rsidP="00994852">
      <w:pPr>
        <w:pStyle w:val="Heading2"/>
      </w:pPr>
      <w:r w:rsidRPr="003A4225">
        <w:t>N</w:t>
      </w:r>
      <w:r w:rsidR="00795D99" w:rsidRPr="003A4225">
        <w:t>ature and contents of container</w:t>
      </w:r>
      <w:fldSimple w:instr=" DOCVARIABLE VAULT_ND_470c7f0b-b7d4-4f46-bdea-31b745dbdfdd \* MERGEFORMAT ">
        <w:r w:rsidR="00BD4838" w:rsidRPr="003A4225">
          <w:t xml:space="preserve"> </w:t>
        </w:r>
      </w:fldSimple>
    </w:p>
    <w:p w14:paraId="24383494" w14:textId="2E0EEEF9" w:rsidR="00B76EBB" w:rsidRPr="00B76EBB" w:rsidRDefault="00B76EBB" w:rsidP="00B76EBB">
      <w:pPr>
        <w:pStyle w:val="Paragraph"/>
      </w:pPr>
      <w:proofErr w:type="spellStart"/>
      <w:r w:rsidRPr="00B76EBB">
        <w:t>Capivasertib</w:t>
      </w:r>
      <w:proofErr w:type="spellEnd"/>
      <w:r w:rsidRPr="00B76EBB">
        <w:t xml:space="preserve"> 160 mg and 200 mg film</w:t>
      </w:r>
      <w:r w:rsidRPr="00B76EBB">
        <w:noBreakHyphen/>
        <w:t>coated tablets</w:t>
      </w:r>
      <w:r w:rsidR="002646DE">
        <w:t xml:space="preserve"> </w:t>
      </w:r>
      <w:r>
        <w:t xml:space="preserve">are supplied </w:t>
      </w:r>
      <w:r w:rsidR="002646DE">
        <w:t xml:space="preserve">in </w:t>
      </w:r>
      <w:r w:rsidR="00362813">
        <w:t>a</w:t>
      </w:r>
      <w:r w:rsidR="00D54EB8" w:rsidRPr="00B76EBB">
        <w:t>lu</w:t>
      </w:r>
      <w:r w:rsidR="00756E22">
        <w:t>minium</w:t>
      </w:r>
      <w:r w:rsidR="00D54EB8" w:rsidRPr="00B76EBB">
        <w:t>/</w:t>
      </w:r>
      <w:r w:rsidR="00362813">
        <w:t>a</w:t>
      </w:r>
      <w:r w:rsidR="00D54EB8" w:rsidRPr="00B76EBB">
        <w:t>lu</w:t>
      </w:r>
      <w:r w:rsidR="00756E22">
        <w:t>minium</w:t>
      </w:r>
      <w:r w:rsidR="00D54EB8" w:rsidRPr="00B76EBB">
        <w:t xml:space="preserve"> blister</w:t>
      </w:r>
      <w:r w:rsidR="002646DE">
        <w:t>s</w:t>
      </w:r>
      <w:r w:rsidR="00362813">
        <w:t xml:space="preserve"> containing 16 tablets</w:t>
      </w:r>
      <w:r w:rsidRPr="00B76EBB">
        <w:t xml:space="preserve">. </w:t>
      </w:r>
      <w:r w:rsidR="00362813">
        <w:t>Each p</w:t>
      </w:r>
      <w:r w:rsidRPr="00B76EBB">
        <w:t xml:space="preserve">ack </w:t>
      </w:r>
      <w:r w:rsidR="00362813">
        <w:t xml:space="preserve">contains </w:t>
      </w:r>
      <w:r w:rsidRPr="00B76EBB">
        <w:t>64 tablets</w:t>
      </w:r>
      <w:r w:rsidR="00362813">
        <w:t xml:space="preserve"> (4 blisters). </w:t>
      </w:r>
    </w:p>
    <w:p w14:paraId="0F70A6EE" w14:textId="745908B8" w:rsidR="004C7F1B" w:rsidRPr="00C00001" w:rsidRDefault="004C7F1B" w:rsidP="004C7F1B">
      <w:pPr>
        <w:pStyle w:val="Paragraph"/>
        <w:rPr>
          <w:sz w:val="20"/>
          <w:szCs w:val="20"/>
          <w:lang w:val="en-AU"/>
        </w:rPr>
      </w:pPr>
      <w:r w:rsidRPr="004C7F1B">
        <w:rPr>
          <w:sz w:val="20"/>
          <w:szCs w:val="20"/>
          <w:lang w:val="en-AU"/>
        </w:rPr>
        <w:t>*</w:t>
      </w:r>
      <w:proofErr w:type="gramStart"/>
      <w:r w:rsidRPr="004C7F1B">
        <w:rPr>
          <w:sz w:val="20"/>
          <w:szCs w:val="20"/>
          <w:lang w:val="en-AU"/>
        </w:rPr>
        <w:t>not</w:t>
      </w:r>
      <w:proofErr w:type="gramEnd"/>
      <w:r w:rsidRPr="004C7F1B">
        <w:rPr>
          <w:sz w:val="20"/>
          <w:szCs w:val="20"/>
          <w:lang w:val="en-AU"/>
        </w:rPr>
        <w:t xml:space="preserve"> all </w:t>
      </w:r>
      <w:r w:rsidR="00067A72">
        <w:rPr>
          <w:sz w:val="20"/>
          <w:szCs w:val="20"/>
          <w:lang w:val="en-AU"/>
        </w:rPr>
        <w:t>presentations</w:t>
      </w:r>
      <w:r w:rsidRPr="004C7F1B">
        <w:rPr>
          <w:sz w:val="20"/>
          <w:szCs w:val="20"/>
          <w:lang w:val="en-AU"/>
        </w:rPr>
        <w:t xml:space="preserve"> may be available in Australia.</w:t>
      </w:r>
    </w:p>
    <w:p w14:paraId="6FC0AB56" w14:textId="0CE53B75" w:rsidR="001A3992" w:rsidRPr="003A4225" w:rsidRDefault="001A3992" w:rsidP="00994852">
      <w:pPr>
        <w:pStyle w:val="Heading2"/>
      </w:pPr>
      <w:r w:rsidRPr="003A4225">
        <w:t>S</w:t>
      </w:r>
      <w:r w:rsidR="00795D99" w:rsidRPr="003A4225">
        <w:t>pecial precautions for disposal</w:t>
      </w:r>
      <w:fldSimple w:instr=" DOCVARIABLE VAULT_ND_bb05b6a4-11b9-436b-a23d-b04f2d777baf \* MERGEFORMAT ">
        <w:r w:rsidR="00BD4838" w:rsidRPr="003A4225">
          <w:t xml:space="preserve"> </w:t>
        </w:r>
      </w:fldSimple>
    </w:p>
    <w:p w14:paraId="58E86D56" w14:textId="088681DB" w:rsidR="006A727B" w:rsidRPr="007403BD" w:rsidRDefault="006A727B" w:rsidP="007706C9">
      <w:pPr>
        <w:pStyle w:val="Paragraph"/>
      </w:pPr>
      <w:r w:rsidRPr="006A727B">
        <w:t xml:space="preserve">In Australia, any unused medicine or waste material should be disposed of by </w:t>
      </w:r>
      <w:r>
        <w:t>taking to your local pharmacy.</w:t>
      </w:r>
    </w:p>
    <w:p w14:paraId="67B75568" w14:textId="568E9699" w:rsidR="001A3992" w:rsidRPr="003A4225" w:rsidRDefault="00257BF0" w:rsidP="00994852">
      <w:pPr>
        <w:pStyle w:val="Heading2"/>
      </w:pPr>
      <w:r w:rsidRPr="003A4225">
        <w:lastRenderedPageBreak/>
        <w:t>PHYSICOCHEMICAL PROPERTIES</w:t>
      </w:r>
      <w:fldSimple w:instr=" DOCVARIABLE VAULT_ND_846d3c0d-2461-46e2-9413-024eb7927155 \* MERGEFORMAT ">
        <w:r w:rsidR="00BD4838" w:rsidRPr="003A4225">
          <w:t xml:space="preserve"> </w:t>
        </w:r>
      </w:fldSimple>
    </w:p>
    <w:p w14:paraId="7F545676" w14:textId="1841EE13" w:rsidR="00062AE5" w:rsidRPr="00062AE5" w:rsidRDefault="00062AE5" w:rsidP="00062AE5">
      <w:pPr>
        <w:pStyle w:val="Heading3Unnumbered"/>
      </w:pPr>
      <w:r>
        <w:t>Chemical structure</w:t>
      </w:r>
      <w:fldSimple w:instr=" DOCVARIABLE vault_nd_c6abc95c-adbe-41c7-b9eb-99abdcae6117 \* MERGEFORMAT ">
        <w:r w:rsidR="00BD4838">
          <w:t xml:space="preserve"> </w:t>
        </w:r>
      </w:fldSimple>
    </w:p>
    <w:p w14:paraId="337DA3D2" w14:textId="28D36BF2" w:rsidR="004C7F1B" w:rsidRDefault="004C7F1B" w:rsidP="004C7F1B">
      <w:pPr>
        <w:pStyle w:val="FigureTitle"/>
        <w:rPr>
          <w:lang w:val="en-AU"/>
        </w:rPr>
      </w:pPr>
      <w:r w:rsidRPr="001812B5">
        <w:t>Figure </w:t>
      </w:r>
      <w:r w:rsidR="00994D91">
        <w:fldChar w:fldCharType="begin"/>
      </w:r>
      <w:r w:rsidR="00994D91">
        <w:instrText xml:space="preserve"> SEQ Figure \* ARABIC </w:instrText>
      </w:r>
      <w:r w:rsidR="00994D91">
        <w:fldChar w:fldCharType="separate"/>
      </w:r>
      <w:r w:rsidR="00994D91">
        <w:rPr>
          <w:noProof/>
        </w:rPr>
        <w:t>3</w:t>
      </w:r>
      <w:r w:rsidR="00994D91">
        <w:fldChar w:fldCharType="end"/>
      </w:r>
      <w:r w:rsidRPr="001812B5">
        <w:tab/>
      </w:r>
      <w:r w:rsidR="00DE356E">
        <w:t>C</w:t>
      </w:r>
      <w:r w:rsidRPr="001812B5">
        <w:t xml:space="preserve">hemical structure/General structure of </w:t>
      </w:r>
      <w:proofErr w:type="spellStart"/>
      <w:r w:rsidR="00DE356E">
        <w:t>capivasertib</w:t>
      </w:r>
      <w:proofErr w:type="spellEnd"/>
      <w:fldSimple w:instr=" DOCVARIABLE vault_nd_e694dd10-3bd7-4602-9d98-dec9416b4198 \* MERGEFORMAT ">
        <w:r w:rsidR="00BD4838">
          <w:t xml:space="preserve"> </w:t>
        </w:r>
      </w:fldSimple>
    </w:p>
    <w:p w14:paraId="76028B73" w14:textId="70392A2B" w:rsidR="004C7F1B" w:rsidRPr="004C7F1B" w:rsidRDefault="003079B3" w:rsidP="003079B3">
      <w:pPr>
        <w:pStyle w:val="Paragraph"/>
        <w:jc w:val="center"/>
      </w:pPr>
      <w:r>
        <w:rPr>
          <w:noProof/>
        </w:rPr>
        <w:drawing>
          <wp:inline distT="0" distB="0" distL="0" distR="0" wp14:anchorId="50B55F08" wp14:editId="14635A98">
            <wp:extent cx="2676870" cy="2657681"/>
            <wp:effectExtent l="0" t="0" r="9525" b="0"/>
            <wp:docPr id="2" name="Picture 2" descr="Figure 3 Chemical structure/General structure of capivaserti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3 Chemical structure/General structure of capivasertib "/>
                    <pic:cNvPicPr/>
                  </pic:nvPicPr>
                  <pic:blipFill>
                    <a:blip r:embed="rId14">
                      <a:extLst>
                        <a:ext uri="{28A0092B-C50C-407E-A947-70E740481C1C}">
                          <a14:useLocalDpi xmlns:a14="http://schemas.microsoft.com/office/drawing/2010/main" val="0"/>
                        </a:ext>
                      </a:extLst>
                    </a:blip>
                    <a:stretch>
                      <a:fillRect/>
                    </a:stretch>
                  </pic:blipFill>
                  <pic:spPr>
                    <a:xfrm>
                      <a:off x="0" y="0"/>
                      <a:ext cx="2676870" cy="2657681"/>
                    </a:xfrm>
                    <a:prstGeom prst="rect">
                      <a:avLst/>
                    </a:prstGeom>
                  </pic:spPr>
                </pic:pic>
              </a:graphicData>
            </a:graphic>
          </wp:inline>
        </w:drawing>
      </w:r>
    </w:p>
    <w:p w14:paraId="5AACA4A6" w14:textId="38E45EBD" w:rsidR="00062AE5" w:rsidRDefault="001A3992" w:rsidP="00062AE5">
      <w:pPr>
        <w:pStyle w:val="Heading3Unnumbered"/>
      </w:pPr>
      <w:r w:rsidRPr="004C7F1B">
        <w:t>CAS number</w:t>
      </w:r>
      <w:fldSimple w:instr=" DOCVARIABLE vault_nd_efa8c931-3cf0-4c89-9fd7-f7eb304169a6 \* MERGEFORMAT ">
        <w:r w:rsidR="00BD4838">
          <w:t xml:space="preserve"> </w:t>
        </w:r>
      </w:fldSimple>
    </w:p>
    <w:p w14:paraId="2C356779" w14:textId="1C0A5003" w:rsidR="006A727B" w:rsidRPr="004C7F1B" w:rsidRDefault="007357F1" w:rsidP="006A727B">
      <w:pPr>
        <w:pStyle w:val="Paragraph"/>
      </w:pPr>
      <w:r>
        <w:t>1143</w:t>
      </w:r>
      <w:r w:rsidR="00104CDC">
        <w:t>532-39-1</w:t>
      </w:r>
      <w:r w:rsidR="006A727B" w:rsidRPr="004C7F1B">
        <w:t>.</w:t>
      </w:r>
    </w:p>
    <w:p w14:paraId="17CF4767" w14:textId="76C50271" w:rsidR="001A3992" w:rsidRPr="003A4225" w:rsidRDefault="001A3992" w:rsidP="00994852">
      <w:pPr>
        <w:pStyle w:val="Heading1"/>
      </w:pPr>
      <w:r w:rsidRPr="003A4225">
        <w:t>Medicine schedule (Poisons Standard)</w:t>
      </w:r>
      <w:fldSimple w:instr=" DOCVARIABLE VAULT_ND_db707cf9-1582-41c0-b224-eb13ab5f0915 \* MERGEFORMAT ">
        <w:r w:rsidR="00BD4838" w:rsidRPr="003A4225">
          <w:t xml:space="preserve"> </w:t>
        </w:r>
      </w:fldSimple>
    </w:p>
    <w:p w14:paraId="57858EDB" w14:textId="191E7C3D" w:rsidR="0041004D" w:rsidRPr="002D3489" w:rsidRDefault="0041004D" w:rsidP="002D3489">
      <w:pPr>
        <w:pStyle w:val="Paragraph"/>
      </w:pPr>
      <w:r w:rsidRPr="0041004D">
        <w:t>Prescription only medicine (Schedule 4)</w:t>
      </w:r>
    </w:p>
    <w:p w14:paraId="39C658A0" w14:textId="61EF8A2A" w:rsidR="00285173" w:rsidRPr="003A4225" w:rsidRDefault="001A3992" w:rsidP="00994852">
      <w:pPr>
        <w:pStyle w:val="Heading1"/>
      </w:pPr>
      <w:r w:rsidRPr="003A4225">
        <w:t>Sponsor</w:t>
      </w:r>
      <w:fldSimple w:instr=" DOCVARIABLE VAULT_ND_75e37ca8-d82e-4055-9945-f58982dff138 \* MERGEFORMAT ">
        <w:r w:rsidR="00BD4838" w:rsidRPr="003A4225">
          <w:t xml:space="preserve"> </w:t>
        </w:r>
      </w:fldSimple>
    </w:p>
    <w:p w14:paraId="0604895D" w14:textId="77777777" w:rsidR="0041004D" w:rsidRDefault="0041004D" w:rsidP="0041004D">
      <w:pPr>
        <w:pStyle w:val="Paragraph"/>
      </w:pPr>
      <w:r>
        <w:t>AstraZeneca Pty Ltd</w:t>
      </w:r>
      <w:r>
        <w:br/>
        <w:t>ABN 54 009 682 311</w:t>
      </w:r>
      <w:r>
        <w:br/>
        <w:t>66 Talavera Road</w:t>
      </w:r>
      <w:r>
        <w:br/>
        <w:t>MACQUARIE PARK NSW 2113</w:t>
      </w:r>
    </w:p>
    <w:p w14:paraId="77166D6E" w14:textId="77777777" w:rsidR="0041004D" w:rsidRPr="002D3489" w:rsidRDefault="0041004D" w:rsidP="0041004D">
      <w:pPr>
        <w:pStyle w:val="Paragraph"/>
      </w:pPr>
      <w:r>
        <w:t>Telephone: 1800 805 342</w:t>
      </w:r>
    </w:p>
    <w:p w14:paraId="3270FB17" w14:textId="3161F547" w:rsidR="00285173" w:rsidRPr="003A4225" w:rsidRDefault="00285173" w:rsidP="00994852">
      <w:pPr>
        <w:pStyle w:val="Heading1"/>
      </w:pPr>
      <w:r w:rsidRPr="003A4225">
        <w:t xml:space="preserve">Date of first </w:t>
      </w:r>
      <w:r w:rsidR="00795D99" w:rsidRPr="003A4225">
        <w:t>approval</w:t>
      </w:r>
      <w:fldSimple w:instr=" DOCVARIABLE VAULT_ND_df888a89-c0e9-4b10-b6c1-844d79d66844 \* MERGEFORMAT ">
        <w:r w:rsidR="00BD4838" w:rsidRPr="003A4225">
          <w:t xml:space="preserve"> </w:t>
        </w:r>
      </w:fldSimple>
    </w:p>
    <w:p w14:paraId="21DF1AC6" w14:textId="4F92E20C" w:rsidR="00E00336" w:rsidRPr="002D3489" w:rsidRDefault="00866A63" w:rsidP="002D3489">
      <w:pPr>
        <w:pStyle w:val="Paragraph"/>
      </w:pPr>
      <w:r>
        <w:t>09 May 2024</w:t>
      </w:r>
    </w:p>
    <w:p w14:paraId="0712D8C1" w14:textId="0A9713E3" w:rsidR="00285173" w:rsidRPr="003A4225" w:rsidRDefault="00285173" w:rsidP="00994852">
      <w:pPr>
        <w:pStyle w:val="Heading1"/>
      </w:pPr>
      <w:r w:rsidRPr="003A4225">
        <w:t>Date o</w:t>
      </w:r>
      <w:r w:rsidR="00795D99" w:rsidRPr="003A4225">
        <w:t>f revision</w:t>
      </w:r>
      <w:fldSimple w:instr=" DOCVARIABLE VAULT_ND_283012df-36e1-42fd-bd94-9920e3991ce8 \* MERGEFORMAT ">
        <w:r w:rsidR="00BD4838" w:rsidRPr="003A4225">
          <w:t xml:space="preserve"> </w:t>
        </w:r>
      </w:fldSimple>
    </w:p>
    <w:p w14:paraId="43C148D1" w14:textId="79B6495B" w:rsidR="00513B1A" w:rsidRDefault="001812B5" w:rsidP="00513B1A">
      <w:pPr>
        <w:pStyle w:val="Paragraph"/>
      </w:pPr>
      <w:r>
        <w:t>Not applicable.</w:t>
      </w:r>
    </w:p>
    <w:p w14:paraId="69134693" w14:textId="4A3680B7" w:rsidR="00285173" w:rsidRPr="00377337" w:rsidRDefault="00285173" w:rsidP="00991428">
      <w:pPr>
        <w:pStyle w:val="Heading2Unnumbered"/>
        <w:pageBreakBefore/>
      </w:pPr>
      <w:r w:rsidRPr="003A4225">
        <w:lastRenderedPageBreak/>
        <w:t>Summary table of changes</w:t>
      </w:r>
      <w:fldSimple w:instr=" DOCVARIABLE VAULT_ND_59855138-6f8e-4925-930b-395ee827eef5 \* MERGEFORMAT ">
        <w:r w:rsidR="00BD4838" w:rsidRPr="003A4225">
          <w:t xml:space="preserve"> </w:t>
        </w:r>
      </w:fldSimple>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129"/>
        <w:gridCol w:w="8509"/>
      </w:tblGrid>
      <w:tr w:rsidR="008A35FB" w14:paraId="7313DABD" w14:textId="77777777" w:rsidTr="008A35FB">
        <w:trPr>
          <w:cantSplit/>
          <w:tblHeader/>
        </w:trPr>
        <w:tc>
          <w:tcPr>
            <w:tcW w:w="1129" w:type="dxa"/>
            <w:shd w:val="clear" w:color="auto" w:fill="auto"/>
          </w:tcPr>
          <w:p w14:paraId="23876EA3" w14:textId="77777777" w:rsidR="008A35FB" w:rsidRDefault="008A35FB" w:rsidP="008A35FB">
            <w:pPr>
              <w:pStyle w:val="TableHead"/>
              <w:jc w:val="left"/>
            </w:pPr>
            <w:r>
              <w:t>Section changed</w:t>
            </w:r>
          </w:p>
        </w:tc>
        <w:tc>
          <w:tcPr>
            <w:tcW w:w="8509" w:type="dxa"/>
            <w:shd w:val="clear" w:color="auto" w:fill="auto"/>
          </w:tcPr>
          <w:p w14:paraId="1DAC3903" w14:textId="77777777" w:rsidR="008A35FB" w:rsidRDefault="008A35FB" w:rsidP="008A35FB">
            <w:pPr>
              <w:pStyle w:val="TableHead"/>
              <w:jc w:val="left"/>
            </w:pPr>
            <w:r>
              <w:t>Summary of new information</w:t>
            </w:r>
          </w:p>
        </w:tc>
      </w:tr>
      <w:tr w:rsidR="001812B5" w14:paraId="39583B13" w14:textId="77777777" w:rsidTr="00257099">
        <w:trPr>
          <w:cantSplit/>
        </w:trPr>
        <w:tc>
          <w:tcPr>
            <w:tcW w:w="1129" w:type="dxa"/>
            <w:shd w:val="clear" w:color="auto" w:fill="auto"/>
          </w:tcPr>
          <w:p w14:paraId="5BBB7CC5" w14:textId="382B6102" w:rsidR="001812B5" w:rsidRDefault="001812B5" w:rsidP="00257099">
            <w:pPr>
              <w:pStyle w:val="TableLeft"/>
            </w:pPr>
            <w:r>
              <w:t>N/A</w:t>
            </w:r>
          </w:p>
        </w:tc>
        <w:tc>
          <w:tcPr>
            <w:tcW w:w="8509" w:type="dxa"/>
            <w:shd w:val="clear" w:color="auto" w:fill="auto"/>
          </w:tcPr>
          <w:p w14:paraId="42AE7200" w14:textId="3D948635" w:rsidR="001812B5" w:rsidRDefault="001812B5" w:rsidP="00257099">
            <w:pPr>
              <w:pStyle w:val="TableLeft"/>
            </w:pPr>
            <w:r>
              <w:t>New product</w:t>
            </w:r>
          </w:p>
        </w:tc>
      </w:tr>
    </w:tbl>
    <w:p w14:paraId="53AA80FE" w14:textId="77777777" w:rsidR="00257BF0" w:rsidRDefault="00257BF0" w:rsidP="00257BF0">
      <w:pPr>
        <w:pStyle w:val="Paragraph"/>
        <w:spacing w:after="0"/>
        <w:rPr>
          <w:sz w:val="20"/>
          <w:szCs w:val="20"/>
        </w:rPr>
      </w:pPr>
    </w:p>
    <w:p w14:paraId="57427B71" w14:textId="331C8A00" w:rsidR="00513B1A" w:rsidRPr="001812B5" w:rsidRDefault="00D04452" w:rsidP="00257BF0">
      <w:pPr>
        <w:pStyle w:val="Paragraph"/>
        <w:spacing w:after="0"/>
        <w:rPr>
          <w:sz w:val="20"/>
          <w:szCs w:val="20"/>
        </w:rPr>
      </w:pPr>
      <w:r>
        <w:rPr>
          <w:sz w:val="20"/>
          <w:szCs w:val="20"/>
        </w:rPr>
        <w:t xml:space="preserve">TRUQAP </w:t>
      </w:r>
      <w:r w:rsidR="00513B1A" w:rsidRPr="001812B5">
        <w:rPr>
          <w:sz w:val="20"/>
          <w:szCs w:val="20"/>
        </w:rPr>
        <w:t xml:space="preserve">is a </w:t>
      </w:r>
      <w:r w:rsidR="0017295C">
        <w:rPr>
          <w:sz w:val="20"/>
          <w:szCs w:val="20"/>
        </w:rPr>
        <w:t xml:space="preserve">registered </w:t>
      </w:r>
      <w:proofErr w:type="gramStart"/>
      <w:r w:rsidR="00513B1A" w:rsidRPr="001812B5">
        <w:rPr>
          <w:sz w:val="20"/>
          <w:szCs w:val="20"/>
        </w:rPr>
        <w:t>trade mark</w:t>
      </w:r>
      <w:proofErr w:type="gramEnd"/>
      <w:r w:rsidR="00513B1A" w:rsidRPr="001812B5">
        <w:rPr>
          <w:sz w:val="20"/>
          <w:szCs w:val="20"/>
        </w:rPr>
        <w:t xml:space="preserve"> of the AstraZeneca group of companies</w:t>
      </w:r>
    </w:p>
    <w:p w14:paraId="2C868C59" w14:textId="0856753B" w:rsidR="00513B1A" w:rsidRDefault="00513B1A" w:rsidP="00257BF0">
      <w:pPr>
        <w:pStyle w:val="Paragraph"/>
        <w:spacing w:after="0"/>
        <w:rPr>
          <w:sz w:val="20"/>
          <w:szCs w:val="20"/>
        </w:rPr>
      </w:pPr>
      <w:r w:rsidRPr="001812B5">
        <w:rPr>
          <w:sz w:val="20"/>
          <w:szCs w:val="20"/>
          <w:vertAlign w:val="superscript"/>
        </w:rPr>
        <w:t>©</w:t>
      </w:r>
      <w:r w:rsidRPr="001812B5">
        <w:rPr>
          <w:sz w:val="20"/>
          <w:szCs w:val="20"/>
        </w:rPr>
        <w:t xml:space="preserve"> AstraZeneca, </w:t>
      </w:r>
      <w:r w:rsidR="006E16B8">
        <w:rPr>
          <w:sz w:val="20"/>
          <w:szCs w:val="20"/>
        </w:rPr>
        <w:t>2024</w:t>
      </w:r>
    </w:p>
    <w:p w14:paraId="0A2C083E" w14:textId="1EDC0F7E" w:rsidR="0017295C" w:rsidRPr="001812B5" w:rsidRDefault="00866A63" w:rsidP="00257BF0">
      <w:pPr>
        <w:pStyle w:val="Paragraph"/>
        <w:spacing w:after="0"/>
        <w:rPr>
          <w:sz w:val="20"/>
          <w:szCs w:val="20"/>
        </w:rPr>
      </w:pPr>
      <w:r w:rsidRPr="00866A63">
        <w:rPr>
          <w:sz w:val="20"/>
          <w:szCs w:val="20"/>
        </w:rPr>
        <w:t>VV-RIM-06044278</w:t>
      </w:r>
      <w:r>
        <w:rPr>
          <w:sz w:val="20"/>
          <w:szCs w:val="20"/>
        </w:rPr>
        <w:t xml:space="preserve"> </w:t>
      </w:r>
      <w:r w:rsidR="0017295C">
        <w:rPr>
          <w:sz w:val="20"/>
          <w:szCs w:val="20"/>
        </w:rPr>
        <w:t>v</w:t>
      </w:r>
      <w:r>
        <w:rPr>
          <w:sz w:val="20"/>
          <w:szCs w:val="20"/>
        </w:rPr>
        <w:t>1.0</w:t>
      </w:r>
    </w:p>
    <w:sectPr w:rsidR="0017295C" w:rsidRPr="001812B5" w:rsidSect="0080644B">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6F029" w14:textId="77777777" w:rsidR="00495ED2" w:rsidRDefault="00495ED2" w:rsidP="001A3992">
      <w:pPr>
        <w:spacing w:after="0" w:line="240" w:lineRule="auto"/>
      </w:pPr>
      <w:r>
        <w:separator/>
      </w:r>
    </w:p>
  </w:endnote>
  <w:endnote w:type="continuationSeparator" w:id="0">
    <w:p w14:paraId="722F93E7" w14:textId="77777777" w:rsidR="00495ED2" w:rsidRDefault="00495ED2"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AD62" w14:textId="77777777" w:rsidR="00D34ABB" w:rsidRDefault="00D34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08AF" w14:textId="77777777" w:rsidR="00257099" w:rsidRDefault="00257099" w:rsidP="00C85696">
    <w:pPr>
      <w:pStyle w:val="Footer"/>
      <w:jc w:val="center"/>
    </w:pPr>
    <w:r w:rsidRPr="00136256">
      <w:fldChar w:fldCharType="begin"/>
    </w:r>
    <w:r w:rsidRPr="00136256">
      <w:instrText xml:space="preserve"> PAGE </w:instrText>
    </w:r>
    <w:r w:rsidRPr="00136256">
      <w:fldChar w:fldCharType="separate"/>
    </w:r>
    <w:r w:rsidR="008958C0">
      <w:rPr>
        <w:noProof/>
      </w:rPr>
      <w:t>1</w:t>
    </w:r>
    <w:r w:rsidRPr="00136256">
      <w:fldChar w:fldCharType="end"/>
    </w:r>
    <w:r w:rsidRPr="00136256">
      <w:t xml:space="preserve"> </w:t>
    </w:r>
    <w:r>
      <w:t xml:space="preserve">of </w:t>
    </w:r>
    <w:r>
      <w:fldChar w:fldCharType="begin"/>
    </w:r>
    <w:r>
      <w:instrText xml:space="preserve"> NUMPAGES </w:instrText>
    </w:r>
    <w:r>
      <w:fldChar w:fldCharType="separate"/>
    </w:r>
    <w:r w:rsidR="008958C0">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A95F" w14:textId="77777777" w:rsidR="00D34ABB" w:rsidRDefault="00D3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7B09" w14:textId="77777777" w:rsidR="00495ED2" w:rsidRDefault="00495ED2" w:rsidP="001A3992">
      <w:pPr>
        <w:spacing w:after="0" w:line="240" w:lineRule="auto"/>
      </w:pPr>
      <w:r>
        <w:separator/>
      </w:r>
    </w:p>
  </w:footnote>
  <w:footnote w:type="continuationSeparator" w:id="0">
    <w:p w14:paraId="5827911E" w14:textId="77777777" w:rsidR="00495ED2" w:rsidRDefault="00495ED2"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23B8" w14:textId="77777777" w:rsidR="00D34ABB" w:rsidRDefault="00D34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318" w:type="dxa"/>
      <w:shd w:val="clear" w:color="auto" w:fill="E4F2E0"/>
      <w:tblLook w:val="04A0" w:firstRow="1" w:lastRow="0" w:firstColumn="1" w:lastColumn="0" w:noHBand="0" w:noVBand="1"/>
    </w:tblPr>
    <w:tblGrid>
      <w:gridCol w:w="9498"/>
    </w:tblGrid>
    <w:tr w:rsidR="007B1078" w:rsidRPr="000B2145" w14:paraId="296FF4E3" w14:textId="77777777" w:rsidTr="00D444C2">
      <w:trPr>
        <w:trHeight w:val="1012"/>
      </w:trPr>
      <w:tc>
        <w:tcPr>
          <w:tcW w:w="9498" w:type="dxa"/>
          <w:shd w:val="clear" w:color="auto" w:fill="E4F2E0"/>
        </w:tcPr>
        <w:p w14:paraId="166B9ADA" w14:textId="77777777" w:rsidR="007B1078" w:rsidRPr="007B1078" w:rsidRDefault="007B1078" w:rsidP="007B1078">
          <w:pPr>
            <w:pStyle w:val="Footer"/>
            <w:rPr>
              <w:rFonts w:ascii="Cambria" w:hAnsi="Cambria"/>
              <w:b/>
              <w:bCs/>
              <w:sz w:val="18"/>
              <w:szCs w:val="18"/>
            </w:rPr>
          </w:pPr>
          <w:bookmarkStart w:id="42" w:name="_Hlk109054010"/>
          <w:proofErr w:type="spellStart"/>
          <w:r w:rsidRPr="007B1078">
            <w:rPr>
              <w:rFonts w:ascii="Cambria" w:hAnsi="Cambria"/>
              <w:b/>
              <w:bCs/>
              <w:sz w:val="18"/>
              <w:szCs w:val="18"/>
            </w:rPr>
            <w:t>AusPAR</w:t>
          </w:r>
          <w:proofErr w:type="spellEnd"/>
          <w:r w:rsidRPr="007B1078">
            <w:rPr>
              <w:rFonts w:ascii="Cambria" w:hAnsi="Cambria"/>
              <w:b/>
              <w:bCs/>
              <w:sz w:val="18"/>
              <w:szCs w:val="18"/>
            </w:rPr>
            <w:t xml:space="preserve"> - </w:t>
          </w:r>
          <w:proofErr w:type="spellStart"/>
          <w:r w:rsidRPr="007B1078">
            <w:rPr>
              <w:rFonts w:ascii="Cambria" w:hAnsi="Cambria"/>
              <w:b/>
              <w:bCs/>
              <w:sz w:val="18"/>
              <w:szCs w:val="18"/>
            </w:rPr>
            <w:t>Truqap</w:t>
          </w:r>
          <w:proofErr w:type="spellEnd"/>
          <w:r w:rsidRPr="007B1078">
            <w:rPr>
              <w:rFonts w:ascii="Cambria" w:hAnsi="Cambria"/>
              <w:b/>
              <w:bCs/>
              <w:sz w:val="18"/>
              <w:szCs w:val="18"/>
            </w:rPr>
            <w:t xml:space="preserve"> - </w:t>
          </w:r>
          <w:proofErr w:type="spellStart"/>
          <w:r w:rsidRPr="007B1078">
            <w:rPr>
              <w:rFonts w:ascii="Cambria" w:hAnsi="Cambria"/>
              <w:b/>
              <w:bCs/>
              <w:sz w:val="18"/>
              <w:szCs w:val="18"/>
            </w:rPr>
            <w:t>Capivasertib</w:t>
          </w:r>
          <w:proofErr w:type="spellEnd"/>
          <w:r w:rsidRPr="007B1078">
            <w:rPr>
              <w:rFonts w:ascii="Cambria" w:hAnsi="Cambria"/>
              <w:b/>
              <w:bCs/>
              <w:sz w:val="18"/>
              <w:szCs w:val="18"/>
            </w:rPr>
            <w:t xml:space="preserve"> – AstraZeneca Pty Ltd - PM-2023-01677-1-4</w:t>
          </w:r>
        </w:p>
        <w:p w14:paraId="39205BD6" w14:textId="77AE5595" w:rsidR="007B1078" w:rsidRPr="000E4791" w:rsidRDefault="007B1078" w:rsidP="007B1078">
          <w:pPr>
            <w:pStyle w:val="Footer"/>
            <w:rPr>
              <w:b/>
              <w:sz w:val="18"/>
              <w:szCs w:val="18"/>
            </w:rPr>
          </w:pPr>
          <w:r w:rsidRPr="007B1078">
            <w:rPr>
              <w:rFonts w:ascii="Cambria" w:hAnsi="Cambria"/>
              <w:b/>
              <w:bCs/>
              <w:sz w:val="18"/>
              <w:szCs w:val="18"/>
            </w:rPr>
            <w:t xml:space="preserve">Date of finalisation: </w:t>
          </w:r>
          <w:r w:rsidR="00D34ABB">
            <w:rPr>
              <w:rFonts w:ascii="Cambria" w:hAnsi="Cambria"/>
              <w:b/>
              <w:bCs/>
              <w:sz w:val="18"/>
              <w:szCs w:val="18"/>
            </w:rPr>
            <w:t>30</w:t>
          </w:r>
          <w:r w:rsidRPr="007B1078">
            <w:rPr>
              <w:rFonts w:ascii="Cambria" w:hAnsi="Cambria"/>
              <w:b/>
              <w:bCs/>
              <w:sz w:val="18"/>
              <w:szCs w:val="18"/>
            </w:rPr>
            <w:t xml:space="preserve"> January 2025. This is the Product Information that was approved with the submission described in this </w:t>
          </w:r>
          <w:proofErr w:type="spellStart"/>
          <w:r w:rsidRPr="007B1078">
            <w:rPr>
              <w:rFonts w:ascii="Cambria" w:hAnsi="Cambria"/>
              <w:b/>
              <w:bCs/>
              <w:sz w:val="18"/>
              <w:szCs w:val="18"/>
            </w:rPr>
            <w:t>AusPAR</w:t>
          </w:r>
          <w:proofErr w:type="spellEnd"/>
          <w:r w:rsidRPr="007B1078">
            <w:rPr>
              <w:rFonts w:ascii="Cambria" w:hAnsi="Cambria"/>
              <w:b/>
              <w:bCs/>
              <w:sz w:val="18"/>
              <w:szCs w:val="18"/>
            </w:rPr>
            <w:t>. It may have been superseded. For the most recent PI, please refer to the TGA website at &lt;</w:t>
          </w:r>
          <w:hyperlink r:id="rId1" w:history="1">
            <w:r w:rsidRPr="007B1078">
              <w:rPr>
                <w:rStyle w:val="Hyperlink"/>
                <w:rFonts w:ascii="Cambria" w:hAnsi="Cambria"/>
                <w:b/>
                <w:bCs/>
                <w:sz w:val="18"/>
                <w:szCs w:val="18"/>
              </w:rPr>
              <w:t>https://www.tga.gov.au/product-information-pi</w:t>
            </w:r>
          </w:hyperlink>
          <w:r w:rsidRPr="007B1078">
            <w:rPr>
              <w:rFonts w:ascii="Cambria" w:hAnsi="Cambria"/>
              <w:b/>
              <w:bCs/>
              <w:sz w:val="18"/>
              <w:szCs w:val="18"/>
            </w:rPr>
            <w:t>&gt;</w:t>
          </w:r>
        </w:p>
      </w:tc>
    </w:tr>
    <w:bookmarkEnd w:id="42"/>
  </w:tbl>
  <w:p w14:paraId="6CCF2A7C" w14:textId="175441C3" w:rsidR="007B1078" w:rsidRDefault="007B1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A036" w14:textId="77777777" w:rsidR="00D34ABB" w:rsidRDefault="00D34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08334D12"/>
    <w:multiLevelType w:val="hybridMultilevel"/>
    <w:tmpl w:val="BDB0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B1351"/>
    <w:multiLevelType w:val="hybridMultilevel"/>
    <w:tmpl w:val="9482B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5" w15:restartNumberingAfterBreak="0">
    <w:nsid w:val="12A441C1"/>
    <w:multiLevelType w:val="single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6"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7"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2B8844A7"/>
    <w:multiLevelType w:val="hybridMultilevel"/>
    <w:tmpl w:val="DE08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9695C"/>
    <w:multiLevelType w:val="hybridMultilevel"/>
    <w:tmpl w:val="801E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462A34"/>
    <w:multiLevelType w:val="hybridMultilevel"/>
    <w:tmpl w:val="916E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13332"/>
    <w:multiLevelType w:val="multilevel"/>
    <w:tmpl w:val="969A274A"/>
    <w:name w:val="HousestyleHeadings"/>
    <w:lvl w:ilvl="0">
      <w:start w:val="1"/>
      <w:numFmt w:val="decimal"/>
      <w:pStyle w:val="Heading1"/>
      <w:lvlText w:val="%1"/>
      <w:lvlJc w:val="left"/>
      <w:pPr>
        <w:tabs>
          <w:tab w:val="num" w:pos="1134"/>
        </w:tabs>
        <w:ind w:left="1134" w:hanging="1134"/>
      </w:pPr>
      <w:rPr>
        <w:rFonts w:ascii="Times New Roman" w:hAnsi="Times New Roman" w:hint="default"/>
      </w:rPr>
    </w:lvl>
    <w:lvl w:ilvl="1">
      <w:start w:val="1"/>
      <w:numFmt w:val="decimal"/>
      <w:pStyle w:val="Heading2"/>
      <w:lvlText w:val="%1.%2"/>
      <w:lvlJc w:val="left"/>
      <w:pPr>
        <w:tabs>
          <w:tab w:val="num" w:pos="1418"/>
        </w:tabs>
        <w:ind w:left="1418" w:hanging="1134"/>
      </w:pPr>
      <w:rPr>
        <w:rFonts w:ascii="Times New Roman" w:hAnsi="Times New Roman" w:hint="default"/>
      </w:rPr>
    </w:lvl>
    <w:lvl w:ilvl="2">
      <w:start w:val="1"/>
      <w:numFmt w:val="decimal"/>
      <w:pStyle w:val="Heading3"/>
      <w:lvlText w:val="%1.%2.%3"/>
      <w:lvlJc w:val="left"/>
      <w:pPr>
        <w:tabs>
          <w:tab w:val="num" w:pos="1134"/>
        </w:tabs>
        <w:ind w:left="1134" w:hanging="1134"/>
      </w:pPr>
      <w:rPr>
        <w:rFonts w:ascii="Times New Roman" w:hAnsi="Times New Roman" w:hint="default"/>
      </w:rPr>
    </w:lvl>
    <w:lvl w:ilvl="3">
      <w:start w:val="1"/>
      <w:numFmt w:val="decimal"/>
      <w:pStyle w:val="Heading4"/>
      <w:lvlText w:val="%1.%2.%3.%4"/>
      <w:lvlJc w:val="left"/>
      <w:pPr>
        <w:tabs>
          <w:tab w:val="num" w:pos="1134"/>
        </w:tabs>
        <w:ind w:left="1134" w:hanging="1134"/>
      </w:pPr>
      <w:rPr>
        <w:rFonts w:ascii="Times New Roman" w:hAnsi="Times New Roman" w:hint="default"/>
      </w:rPr>
    </w:lvl>
    <w:lvl w:ilvl="4">
      <w:start w:val="1"/>
      <w:numFmt w:val="decimal"/>
      <w:pStyle w:val="Heading5"/>
      <w:lvlText w:val="%1.%2.%3.%4.%5"/>
      <w:lvlJc w:val="left"/>
      <w:pPr>
        <w:tabs>
          <w:tab w:val="num" w:pos="1134"/>
        </w:tabs>
        <w:ind w:left="1134" w:hanging="1134"/>
      </w:pPr>
      <w:rPr>
        <w:rFonts w:ascii="Times New Roman" w:hAnsi="Times New Roman" w:hint="default"/>
      </w:rPr>
    </w:lvl>
    <w:lvl w:ilvl="5">
      <w:start w:val="1"/>
      <w:numFmt w:val="decimal"/>
      <w:pStyle w:val="Heading6"/>
      <w:lvlText w:val="%1.%2.%3.%4.%5.%6"/>
      <w:lvlJc w:val="left"/>
      <w:pPr>
        <w:tabs>
          <w:tab w:val="num" w:pos="1134"/>
        </w:tabs>
        <w:ind w:left="1134" w:hanging="1134"/>
      </w:pPr>
      <w:rPr>
        <w:rFonts w:ascii="Times New Roman" w:hAnsi="Times New Roman" w:hint="default"/>
      </w:r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3A9E7E4D"/>
    <w:multiLevelType w:val="multilevel"/>
    <w:tmpl w:val="3C1EDB9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13" w15:restartNumberingAfterBreak="0">
    <w:nsid w:val="464D455B"/>
    <w:multiLevelType w:val="hybridMultilevel"/>
    <w:tmpl w:val="1052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5" w15:restartNumberingAfterBreak="0">
    <w:nsid w:val="556F4F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F86105"/>
    <w:multiLevelType w:val="hybridMultilevel"/>
    <w:tmpl w:val="88AC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18" w15:restartNumberingAfterBreak="0">
    <w:nsid w:val="6E3E0955"/>
    <w:multiLevelType w:val="hybridMultilevel"/>
    <w:tmpl w:val="7B12EB06"/>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9" w15:restartNumberingAfterBreak="0">
    <w:nsid w:val="74C030A5"/>
    <w:multiLevelType w:val="multilevel"/>
    <w:tmpl w:val="99C4946C"/>
    <w:name w:val="ListNumberSmall"/>
    <w:lvl w:ilvl="0">
      <w:start w:val="1"/>
      <w:numFmt w:val="decimal"/>
      <w:pStyle w:val="ListNumberSmall"/>
      <w:lvlText w:val="%1"/>
      <w:lvlJc w:val="left"/>
      <w:pPr>
        <w:tabs>
          <w:tab w:val="num" w:pos="425"/>
        </w:tabs>
        <w:ind w:left="425" w:hanging="425"/>
      </w:pPr>
      <w:rPr>
        <w:rFonts w:ascii="Times New Roman" w:hAnsi="Times New Roman" w:hint="default"/>
        <w:sz w:val="20"/>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5B20142"/>
    <w:multiLevelType w:val="hybridMultilevel"/>
    <w:tmpl w:val="499A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5722316">
    <w:abstractNumId w:val="17"/>
  </w:num>
  <w:num w:numId="2" w16cid:durableId="2100984523">
    <w:abstractNumId w:val="12"/>
  </w:num>
  <w:num w:numId="3" w16cid:durableId="1170146392">
    <w:abstractNumId w:val="11"/>
  </w:num>
  <w:num w:numId="4" w16cid:durableId="2128161720">
    <w:abstractNumId w:val="5"/>
  </w:num>
  <w:num w:numId="5" w16cid:durableId="2073502819">
    <w:abstractNumId w:val="14"/>
  </w:num>
  <w:num w:numId="6" w16cid:durableId="980383832">
    <w:abstractNumId w:val="0"/>
  </w:num>
  <w:num w:numId="7" w16cid:durableId="1187252830">
    <w:abstractNumId w:val="6"/>
  </w:num>
  <w:num w:numId="8" w16cid:durableId="1077754048">
    <w:abstractNumId w:val="15"/>
  </w:num>
  <w:num w:numId="9" w16cid:durableId="708649878">
    <w:abstractNumId w:val="21"/>
  </w:num>
  <w:num w:numId="10" w16cid:durableId="1748259142">
    <w:abstractNumId w:val="7"/>
  </w:num>
  <w:num w:numId="11" w16cid:durableId="797993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3693342">
    <w:abstractNumId w:val="4"/>
  </w:num>
  <w:num w:numId="13" w16cid:durableId="475146274">
    <w:abstractNumId w:val="19"/>
  </w:num>
  <w:num w:numId="14" w16cid:durableId="16695579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4883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9118410">
    <w:abstractNumId w:val="13"/>
  </w:num>
  <w:num w:numId="17" w16cid:durableId="904146718">
    <w:abstractNumId w:val="10"/>
  </w:num>
  <w:num w:numId="18" w16cid:durableId="542911887">
    <w:abstractNumId w:val="2"/>
  </w:num>
  <w:num w:numId="19" w16cid:durableId="2109345782">
    <w:abstractNumId w:val="9"/>
  </w:num>
  <w:num w:numId="20" w16cid:durableId="1500198501">
    <w:abstractNumId w:val="3"/>
  </w:num>
  <w:num w:numId="21" w16cid:durableId="1135176091">
    <w:abstractNumId w:val="8"/>
  </w:num>
  <w:num w:numId="22" w16cid:durableId="1935044513">
    <w:abstractNumId w:val="16"/>
  </w:num>
  <w:num w:numId="23" w16cid:durableId="434984217">
    <w:abstractNumId w:val="20"/>
  </w:num>
  <w:num w:numId="24" w16cid:durableId="1210721545">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4ecfd9c-cdaf-42ea-a866-cd053c975913" w:val=" "/>
    <w:docVar w:name="vault_nd_08463990-d2cf-4741-96c3-833748fdf43a" w:val=" "/>
    <w:docVar w:name="vault_nd_0ab2eb83-b622-4406-82d9-e446a93f2c6d" w:val=" "/>
    <w:docVar w:name="vault_nd_0b5a4c33-ff7b-4b8f-9a3a-f71b353a90f8" w:val=" "/>
    <w:docVar w:name="vault_nd_0db5ee65-65be-4559-8065-38a190ff752b" w:val=" "/>
    <w:docVar w:name="VAULT_ND_162d1884-0505-4e31-9766-9b6d8d0d2682" w:val=" "/>
    <w:docVar w:name="VAULT_ND_16c94ee9-e3d9-4576-962d-30136408fa38" w:val=" "/>
    <w:docVar w:name="vault_nd_16ee53f1-45d6-4f5d-b82c-4cf3d3840d4c" w:val=" "/>
    <w:docVar w:name="vault_nd_197297b0-9790-4d4e-b719-4a70e2d9b9d2" w:val=" "/>
    <w:docVar w:name="vault_nd_1c77ed73-9308-4b1b-b6e9-123668f7f29c" w:val=" "/>
    <w:docVar w:name="vault_nd_1c9e82ac-47af-4fac-a2f4-0ff98332daff" w:val=" "/>
    <w:docVar w:name="vault_nd_1ef210dd-0615-4bf5-95a7-9027f87e935d" w:val=" "/>
    <w:docVar w:name="vault_nd_22071a17-ce53-4c51-809b-e4d36999bde2" w:val=" "/>
    <w:docVar w:name="VAULT_ND_283012df-36e1-42fd-bd94-9920e3991ce8" w:val=" "/>
    <w:docVar w:name="vault_nd_2e73a525-7a4e-48d3-ac6a-fda4537c21f8" w:val=" "/>
    <w:docVar w:name="vault_nd_3621b6ba-d342-4c0e-b4d2-61b3b6d12a14" w:val=" "/>
    <w:docVar w:name="vault_nd_38ab8e66-bae6-45db-8a6e-565e76dbc902" w:val=" "/>
    <w:docVar w:name="vault_nd_3a5027b7-954d-4b42-a6aa-d770d0aabe36" w:val=" "/>
    <w:docVar w:name="VAULT_ND_3ab634fa-717b-4f7d-ae20-dcbbaa7c3616" w:val=" "/>
    <w:docVar w:name="VAULT_ND_3d18854e-f255-4bde-ad49-9f21d27f653c" w:val=" "/>
    <w:docVar w:name="vault_nd_3f43e1a4-0d73-4932-abec-602c1e2a64d5" w:val=" "/>
    <w:docVar w:name="VAULT_ND_41d2cc44-c507-45f6-a0aa-f59da380be7f" w:val=" "/>
    <w:docVar w:name="vault_nd_43244324-94c9-4b32-b482-62c27656f4ce" w:val=" "/>
    <w:docVar w:name="VAULT_ND_44ebd785-5ae8-4ce6-ad10-5b4c8dfcbe48" w:val=" "/>
    <w:docVar w:name="VAULT_ND_4602b08e-54a7-4c12-aaae-035ccf922bca" w:val=" "/>
    <w:docVar w:name="VAULT_ND_470c7f0b-b7d4-4f46-bdea-31b745dbdfdd" w:val=" "/>
    <w:docVar w:name="vault_nd_4fd9fd7a-c0a3-4d60-8c0c-20e7b9e48f2d" w:val=" "/>
    <w:docVar w:name="vault_nd_50e1c676-f820-4aad-9d29-b4171943c60c" w:val=" "/>
    <w:docVar w:name="vault_nd_50faedf3-f8a9-44f6-a67b-e8e7cfff3035" w:val=" "/>
    <w:docVar w:name="vault_nd_53185fb4-f07d-4d5a-b65b-68fee6357002" w:val=" "/>
    <w:docVar w:name="vault_nd_535e374a-3921-4a03-8aea-387fdae0a6f0" w:val=" "/>
    <w:docVar w:name="VAULT_ND_59855138-6f8e-4925-930b-395ee827eef5" w:val=" "/>
    <w:docVar w:name="VAULT_ND_5bb17df7-b1c2-446e-bc7b-39ddfb34617d" w:val=" "/>
    <w:docVar w:name="vault_nd_659bd6d1-a88b-4714-9d08-19357d569fc7" w:val=" "/>
    <w:docVar w:name="vault_nd_66c4235f-ffa4-4d0c-9074-d9fcd24cdee4" w:val=" "/>
    <w:docVar w:name="VAULT_ND_75e37ca8-d82e-4055-9945-f58982dff138" w:val=" "/>
    <w:docVar w:name="VAULT_ND_7bca8ec5-9dcd-4c65-9d38-4b12b663f7cf" w:val=" "/>
    <w:docVar w:name="vault_nd_7bed13ba-c80c-4457-a946-b3b3c890eeeb" w:val=" "/>
    <w:docVar w:name="VAULT_ND_823a5aff-d9af-48d6-8f16-7c7fc5da6aa3" w:val=" "/>
    <w:docVar w:name="VAULT_ND_846d3c0d-2461-46e2-9413-024eb7927155" w:val=" "/>
    <w:docVar w:name="VAULT_ND_852ffe6f-afa6-40de-8de3-4e9c3d6a399d" w:val=" "/>
    <w:docVar w:name="vault_nd_85b0115b-5bc0-4b2b-a4ac-f9ce1dd2aaad" w:val=" "/>
    <w:docVar w:name="vault_nd_88179c8e-84bf-4d6a-a1ae-e26f9634d4c2" w:val=" "/>
    <w:docVar w:name="VAULT_ND_88653537-a43f-4521-bdcf-159b9b223765" w:val=" "/>
    <w:docVar w:name="VAULT_ND_9246eff3-263f-4307-889f-c6bdd24f534a" w:val=" "/>
    <w:docVar w:name="vault_nd_9257f80a-b742-4f47-add7-86fd2339bc4e" w:val=" "/>
    <w:docVar w:name="vault_nd_95a33478-bb1c-410a-8aeb-a0569c5ec6f9" w:val=" "/>
    <w:docVar w:name="VAULT_ND_9a3fe5ab-1855-4bd9-a017-51512684404d" w:val=" "/>
    <w:docVar w:name="vault_nd_9a75ee73-9959-4650-9213-f1ff204e22b7" w:val=" "/>
    <w:docVar w:name="VAULT_ND_9c0c0768-25da-419a-9352-7970347c452c" w:val=" "/>
    <w:docVar w:name="vault_nd_9ffb9e19-8540-4eaf-acfd-e0c36def7e14" w:val=" "/>
    <w:docVar w:name="vault_nd_a048cd04-73dc-438e-ac37-b6b90defe85b" w:val=" "/>
    <w:docVar w:name="vault_nd_a0637b3f-0fa6-4203-b2cc-f21e6bace739" w:val=" "/>
    <w:docVar w:name="vault_nd_a09cb151-300f-4c55-928a-b524a3a1193f" w:val=" "/>
    <w:docVar w:name="VAULT_ND_a25bfde8-df48-4058-aec7-0dfdabfedce6" w:val=" "/>
    <w:docVar w:name="vault_nd_a359cf7b-8efe-4e4a-9ac8-d4ec42d163bc" w:val=" "/>
    <w:docVar w:name="vault_nd_a7b1c94c-8ccf-4741-9c5c-74a16ae174d2" w:val=" "/>
    <w:docVar w:name="vault_nd_a9cc3c47-fa63-4fc7-8163-c6a03057600b" w:val=" "/>
    <w:docVar w:name="VAULT_ND_aab658d2-e5f5-4da7-bcc1-4f6e8e2172d8" w:val=" "/>
    <w:docVar w:name="vault_nd_ac3a13e2-f950-4613-a491-190fd0384602" w:val=" "/>
    <w:docVar w:name="VAULT_ND_ad48c4c3-8a8e-4f8f-8934-bdda98a3aa1c" w:val=" "/>
    <w:docVar w:name="vault_nd_af9d56b5-997d-4f7e-9b31-39f2615d3a35" w:val=" "/>
    <w:docVar w:name="vault_nd_b1be8968-e2d4-4aa9-9fff-bfbf1f1b3e5e" w:val=" "/>
    <w:docVar w:name="VAULT_ND_bb05b6a4-11b9-436b-a23d-b04f2d777baf" w:val=" "/>
    <w:docVar w:name="VAULT_ND_c0be931d-803f-4271-b06b-b33cc868b20d" w:val=" "/>
    <w:docVar w:name="vault_nd_c187d562-5eaa-4583-a6fc-6f1e9eb03219" w:val=" "/>
    <w:docVar w:name="vault_nd_c509445e-d901-4480-abbf-817a8898a3e8" w:val=" "/>
    <w:docVar w:name="vault_nd_c6abc95c-adbe-41c7-b9eb-99abdcae6117" w:val=" "/>
    <w:docVar w:name="vault_nd_c82dc10d-3b96-46a1-87ce-4fc5ee115f8d" w:val=" "/>
    <w:docVar w:name="vault_nd_cc356ba5-b69c-4ea9-8627-30baee7b86d3" w:val=" "/>
    <w:docVar w:name="vault_nd_d015e5bb-baa7-4aaf-a92d-665baf394788" w:val=" "/>
    <w:docVar w:name="VAULT_ND_d72effda-c084-4111-a356-45a3e36846d9" w:val=" "/>
    <w:docVar w:name="VAULT_ND_d8aef1e4-d9a9-44ab-a683-a55a23157ba2" w:val=" "/>
    <w:docVar w:name="VAULT_ND_db707cf9-1582-41c0-b224-eb13ab5f0915" w:val=" "/>
    <w:docVar w:name="vault_nd_db96740a-ca43-4ff2-aa82-42ac7eeb8d1c" w:val=" "/>
    <w:docVar w:name="VAULT_ND_df888a89-c0e9-4b10-b6c1-844d79d66844" w:val=" "/>
    <w:docVar w:name="vault_nd_e07c0ac5-02aa-45ad-a252-8ff47385064e" w:val=" "/>
    <w:docVar w:name="vault_nd_e694dd10-3bd7-4602-9d98-dec9416b4198" w:val=" "/>
    <w:docVar w:name="vault_nd_e69dcaab-f7ff-4afb-8c00-a90f49bbdacb" w:val=" "/>
    <w:docVar w:name="vault_nd_e79edd2f-f489-41fd-9de4-4a651af9349c" w:val=" "/>
    <w:docVar w:name="vault_nd_e9287152-7950-407c-8a87-266a2f55c369" w:val=" "/>
    <w:docVar w:name="vault_nd_e9563ef3-7727-4a04-a532-6ebde922cca1" w:val=" "/>
    <w:docVar w:name="vault_nd_ea8a8fa4-0de5-4436-8299-fe6e0f189fe5" w:val=" "/>
    <w:docVar w:name="VAULT_ND_ef4d2088-dbc9-42c1-b066-c77365959b01" w:val=" "/>
    <w:docVar w:name="vault_nd_efa8c931-3cf0-4c89-9fd7-f7eb304169a6" w:val=" "/>
    <w:docVar w:name="vault_nd_f36fed68-34a4-414f-9a7c-84b965e9bd56" w:val=" "/>
    <w:docVar w:name="vault_nd_f9eaf493-174a-4014-887b-f8ac445dab68" w:val=" "/>
    <w:docVar w:name="vault_nd_fdbafa4a-741c-4382-b455-7fe9f22c1083" w:val=" "/>
    <w:docVar w:name="VAULT_ND_feb8a99f-b21e-42ef-b971-418c1336fedc" w:val=" "/>
  </w:docVars>
  <w:rsids>
    <w:rsidRoot w:val="00342F38"/>
    <w:rsid w:val="00000D26"/>
    <w:rsid w:val="00002CA7"/>
    <w:rsid w:val="00005B05"/>
    <w:rsid w:val="00005BC4"/>
    <w:rsid w:val="000075AC"/>
    <w:rsid w:val="0001153E"/>
    <w:rsid w:val="000125E2"/>
    <w:rsid w:val="000201EE"/>
    <w:rsid w:val="00020396"/>
    <w:rsid w:val="00033004"/>
    <w:rsid w:val="00042302"/>
    <w:rsid w:val="00043005"/>
    <w:rsid w:val="00043104"/>
    <w:rsid w:val="00046F65"/>
    <w:rsid w:val="0005056D"/>
    <w:rsid w:val="000513C0"/>
    <w:rsid w:val="000564B0"/>
    <w:rsid w:val="00057196"/>
    <w:rsid w:val="0006101B"/>
    <w:rsid w:val="00062AE5"/>
    <w:rsid w:val="00063EE1"/>
    <w:rsid w:val="0006450D"/>
    <w:rsid w:val="00067247"/>
    <w:rsid w:val="00067A72"/>
    <w:rsid w:val="000706D5"/>
    <w:rsid w:val="000731C0"/>
    <w:rsid w:val="000820DD"/>
    <w:rsid w:val="0009106C"/>
    <w:rsid w:val="00092A59"/>
    <w:rsid w:val="000A18E2"/>
    <w:rsid w:val="000B5548"/>
    <w:rsid w:val="000B7896"/>
    <w:rsid w:val="000C267D"/>
    <w:rsid w:val="000C4152"/>
    <w:rsid w:val="000C60F4"/>
    <w:rsid w:val="000C6FB8"/>
    <w:rsid w:val="000D4146"/>
    <w:rsid w:val="000D4CAF"/>
    <w:rsid w:val="000D58EF"/>
    <w:rsid w:val="000E6525"/>
    <w:rsid w:val="000E6B0A"/>
    <w:rsid w:val="000F0A7C"/>
    <w:rsid w:val="000F0FDE"/>
    <w:rsid w:val="000F12E2"/>
    <w:rsid w:val="000F37F8"/>
    <w:rsid w:val="000F786A"/>
    <w:rsid w:val="00104CDC"/>
    <w:rsid w:val="00105C5E"/>
    <w:rsid w:val="00110CF3"/>
    <w:rsid w:val="00116C86"/>
    <w:rsid w:val="001219D9"/>
    <w:rsid w:val="00122037"/>
    <w:rsid w:val="0013023B"/>
    <w:rsid w:val="00136EE1"/>
    <w:rsid w:val="001376BA"/>
    <w:rsid w:val="001416C1"/>
    <w:rsid w:val="00147C42"/>
    <w:rsid w:val="00155238"/>
    <w:rsid w:val="001562AC"/>
    <w:rsid w:val="00160BDF"/>
    <w:rsid w:val="001628E7"/>
    <w:rsid w:val="00167EF2"/>
    <w:rsid w:val="00170DA0"/>
    <w:rsid w:val="00171845"/>
    <w:rsid w:val="0017295C"/>
    <w:rsid w:val="001812B5"/>
    <w:rsid w:val="00191360"/>
    <w:rsid w:val="001A08D6"/>
    <w:rsid w:val="001A3992"/>
    <w:rsid w:val="001A53B5"/>
    <w:rsid w:val="001A55AD"/>
    <w:rsid w:val="001B0335"/>
    <w:rsid w:val="001B04D3"/>
    <w:rsid w:val="001B114A"/>
    <w:rsid w:val="001B2435"/>
    <w:rsid w:val="001B55B6"/>
    <w:rsid w:val="001B56DA"/>
    <w:rsid w:val="001C394C"/>
    <w:rsid w:val="001C58E5"/>
    <w:rsid w:val="001C6F14"/>
    <w:rsid w:val="001C77C4"/>
    <w:rsid w:val="001D3AF3"/>
    <w:rsid w:val="001E236C"/>
    <w:rsid w:val="001E350C"/>
    <w:rsid w:val="001E47E6"/>
    <w:rsid w:val="001F0F2E"/>
    <w:rsid w:val="001F3BCA"/>
    <w:rsid w:val="001F6075"/>
    <w:rsid w:val="001F75B0"/>
    <w:rsid w:val="002055A6"/>
    <w:rsid w:val="002114CC"/>
    <w:rsid w:val="00221860"/>
    <w:rsid w:val="00225D19"/>
    <w:rsid w:val="00227EE9"/>
    <w:rsid w:val="002335CD"/>
    <w:rsid w:val="002407E0"/>
    <w:rsid w:val="00241339"/>
    <w:rsid w:val="00257099"/>
    <w:rsid w:val="00257BF0"/>
    <w:rsid w:val="002639A2"/>
    <w:rsid w:val="002646DE"/>
    <w:rsid w:val="0026491B"/>
    <w:rsid w:val="002672CD"/>
    <w:rsid w:val="00273341"/>
    <w:rsid w:val="0027634D"/>
    <w:rsid w:val="002803FC"/>
    <w:rsid w:val="00281431"/>
    <w:rsid w:val="002840C8"/>
    <w:rsid w:val="00284BD6"/>
    <w:rsid w:val="00285173"/>
    <w:rsid w:val="00286FD5"/>
    <w:rsid w:val="00293F0D"/>
    <w:rsid w:val="00293F26"/>
    <w:rsid w:val="00297C2C"/>
    <w:rsid w:val="002B1293"/>
    <w:rsid w:val="002B425C"/>
    <w:rsid w:val="002B5599"/>
    <w:rsid w:val="002B75CE"/>
    <w:rsid w:val="002C2E6B"/>
    <w:rsid w:val="002C6C0C"/>
    <w:rsid w:val="002D1062"/>
    <w:rsid w:val="002D2330"/>
    <w:rsid w:val="002D3489"/>
    <w:rsid w:val="002D3F38"/>
    <w:rsid w:val="002D6D06"/>
    <w:rsid w:val="002E0F33"/>
    <w:rsid w:val="002E1B06"/>
    <w:rsid w:val="002E277D"/>
    <w:rsid w:val="002E7526"/>
    <w:rsid w:val="002F1448"/>
    <w:rsid w:val="002F1F7D"/>
    <w:rsid w:val="002F3AF2"/>
    <w:rsid w:val="002F4A29"/>
    <w:rsid w:val="002F5F6D"/>
    <w:rsid w:val="0030235C"/>
    <w:rsid w:val="00304107"/>
    <w:rsid w:val="00305D5D"/>
    <w:rsid w:val="003079B3"/>
    <w:rsid w:val="00310D6A"/>
    <w:rsid w:val="00327D0E"/>
    <w:rsid w:val="003406E2"/>
    <w:rsid w:val="003416BC"/>
    <w:rsid w:val="00342D19"/>
    <w:rsid w:val="00342F38"/>
    <w:rsid w:val="003439FD"/>
    <w:rsid w:val="00344008"/>
    <w:rsid w:val="00344728"/>
    <w:rsid w:val="00362051"/>
    <w:rsid w:val="00362813"/>
    <w:rsid w:val="00362F10"/>
    <w:rsid w:val="00375DF3"/>
    <w:rsid w:val="00376D26"/>
    <w:rsid w:val="00377337"/>
    <w:rsid w:val="00377E55"/>
    <w:rsid w:val="00380AF0"/>
    <w:rsid w:val="00391AF0"/>
    <w:rsid w:val="003949D5"/>
    <w:rsid w:val="00394FF7"/>
    <w:rsid w:val="003A4225"/>
    <w:rsid w:val="003B7CFF"/>
    <w:rsid w:val="003C13D0"/>
    <w:rsid w:val="003C4AC6"/>
    <w:rsid w:val="003D7502"/>
    <w:rsid w:val="003E2048"/>
    <w:rsid w:val="003E21CE"/>
    <w:rsid w:val="003E321F"/>
    <w:rsid w:val="003E4AD7"/>
    <w:rsid w:val="003E7E1F"/>
    <w:rsid w:val="003F16DD"/>
    <w:rsid w:val="003F61F0"/>
    <w:rsid w:val="003F6FF2"/>
    <w:rsid w:val="00402D1F"/>
    <w:rsid w:val="00407B39"/>
    <w:rsid w:val="0041004D"/>
    <w:rsid w:val="004229F9"/>
    <w:rsid w:val="00423131"/>
    <w:rsid w:val="00423A6E"/>
    <w:rsid w:val="0042435C"/>
    <w:rsid w:val="004253E2"/>
    <w:rsid w:val="00430D8E"/>
    <w:rsid w:val="00431ACD"/>
    <w:rsid w:val="00437C48"/>
    <w:rsid w:val="00446EDD"/>
    <w:rsid w:val="0044750C"/>
    <w:rsid w:val="00450AB4"/>
    <w:rsid w:val="00450ED4"/>
    <w:rsid w:val="00453938"/>
    <w:rsid w:val="0045403E"/>
    <w:rsid w:val="00460086"/>
    <w:rsid w:val="00461B37"/>
    <w:rsid w:val="00470DC2"/>
    <w:rsid w:val="004712A5"/>
    <w:rsid w:val="0048080D"/>
    <w:rsid w:val="00480CA3"/>
    <w:rsid w:val="0048285D"/>
    <w:rsid w:val="00485B00"/>
    <w:rsid w:val="0049018D"/>
    <w:rsid w:val="004931D2"/>
    <w:rsid w:val="004940C3"/>
    <w:rsid w:val="004958F9"/>
    <w:rsid w:val="00495ED2"/>
    <w:rsid w:val="004A1D86"/>
    <w:rsid w:val="004A2824"/>
    <w:rsid w:val="004B104B"/>
    <w:rsid w:val="004B2039"/>
    <w:rsid w:val="004B6B19"/>
    <w:rsid w:val="004C394E"/>
    <w:rsid w:val="004C7F1B"/>
    <w:rsid w:val="004D3158"/>
    <w:rsid w:val="004D3F3E"/>
    <w:rsid w:val="004D6FC6"/>
    <w:rsid w:val="004E12EF"/>
    <w:rsid w:val="004E478D"/>
    <w:rsid w:val="004E5488"/>
    <w:rsid w:val="004F0C4F"/>
    <w:rsid w:val="004F480B"/>
    <w:rsid w:val="004F6D0B"/>
    <w:rsid w:val="004F75AE"/>
    <w:rsid w:val="00500C97"/>
    <w:rsid w:val="00511249"/>
    <w:rsid w:val="00513B1A"/>
    <w:rsid w:val="00514C09"/>
    <w:rsid w:val="005154B7"/>
    <w:rsid w:val="005162A0"/>
    <w:rsid w:val="005207E0"/>
    <w:rsid w:val="00520ED7"/>
    <w:rsid w:val="00527463"/>
    <w:rsid w:val="005434D5"/>
    <w:rsid w:val="005435BE"/>
    <w:rsid w:val="00543A4E"/>
    <w:rsid w:val="00544EC9"/>
    <w:rsid w:val="00546161"/>
    <w:rsid w:val="0055152F"/>
    <w:rsid w:val="005578B4"/>
    <w:rsid w:val="00560555"/>
    <w:rsid w:val="00567153"/>
    <w:rsid w:val="00596C8A"/>
    <w:rsid w:val="005A6775"/>
    <w:rsid w:val="005B3436"/>
    <w:rsid w:val="005B48A0"/>
    <w:rsid w:val="005B4E99"/>
    <w:rsid w:val="005B71FF"/>
    <w:rsid w:val="005B79F6"/>
    <w:rsid w:val="005C1470"/>
    <w:rsid w:val="005C3046"/>
    <w:rsid w:val="005C59D9"/>
    <w:rsid w:val="005C6CAD"/>
    <w:rsid w:val="005D7C6B"/>
    <w:rsid w:val="005D7E5B"/>
    <w:rsid w:val="005E3A56"/>
    <w:rsid w:val="005E6393"/>
    <w:rsid w:val="005E77D6"/>
    <w:rsid w:val="005F28A4"/>
    <w:rsid w:val="00600B36"/>
    <w:rsid w:val="006018AE"/>
    <w:rsid w:val="0060468A"/>
    <w:rsid w:val="006052A3"/>
    <w:rsid w:val="006103D2"/>
    <w:rsid w:val="00617A89"/>
    <w:rsid w:val="00620438"/>
    <w:rsid w:val="0062206E"/>
    <w:rsid w:val="00624CB3"/>
    <w:rsid w:val="00626D7D"/>
    <w:rsid w:val="0063384D"/>
    <w:rsid w:val="00635331"/>
    <w:rsid w:val="006362F9"/>
    <w:rsid w:val="00640DFB"/>
    <w:rsid w:val="00641142"/>
    <w:rsid w:val="006576B0"/>
    <w:rsid w:val="006636AC"/>
    <w:rsid w:val="00675B0B"/>
    <w:rsid w:val="006820F3"/>
    <w:rsid w:val="006831FC"/>
    <w:rsid w:val="00685E76"/>
    <w:rsid w:val="006875AB"/>
    <w:rsid w:val="006877D5"/>
    <w:rsid w:val="00690672"/>
    <w:rsid w:val="006928FC"/>
    <w:rsid w:val="006A727B"/>
    <w:rsid w:val="006C4A63"/>
    <w:rsid w:val="006E16B8"/>
    <w:rsid w:val="006E2737"/>
    <w:rsid w:val="006E4C1E"/>
    <w:rsid w:val="006F275B"/>
    <w:rsid w:val="00701811"/>
    <w:rsid w:val="00705CDF"/>
    <w:rsid w:val="00707428"/>
    <w:rsid w:val="00707DAD"/>
    <w:rsid w:val="00711083"/>
    <w:rsid w:val="00711F48"/>
    <w:rsid w:val="00712326"/>
    <w:rsid w:val="00713BD5"/>
    <w:rsid w:val="00713CF0"/>
    <w:rsid w:val="007206F3"/>
    <w:rsid w:val="0072138C"/>
    <w:rsid w:val="0072264D"/>
    <w:rsid w:val="007228AC"/>
    <w:rsid w:val="00733402"/>
    <w:rsid w:val="007357F1"/>
    <w:rsid w:val="00737626"/>
    <w:rsid w:val="007403BD"/>
    <w:rsid w:val="00756E22"/>
    <w:rsid w:val="00763063"/>
    <w:rsid w:val="00767411"/>
    <w:rsid w:val="007706C9"/>
    <w:rsid w:val="007731FA"/>
    <w:rsid w:val="00790B3A"/>
    <w:rsid w:val="00791DB5"/>
    <w:rsid w:val="00795D99"/>
    <w:rsid w:val="007A2548"/>
    <w:rsid w:val="007A3587"/>
    <w:rsid w:val="007A4C0D"/>
    <w:rsid w:val="007B1078"/>
    <w:rsid w:val="007B1CF0"/>
    <w:rsid w:val="007B53B3"/>
    <w:rsid w:val="007C1805"/>
    <w:rsid w:val="007C2F7A"/>
    <w:rsid w:val="007C66C8"/>
    <w:rsid w:val="007C6DBC"/>
    <w:rsid w:val="007D2B85"/>
    <w:rsid w:val="007D4128"/>
    <w:rsid w:val="007E24D2"/>
    <w:rsid w:val="007E3B8A"/>
    <w:rsid w:val="007F3FB2"/>
    <w:rsid w:val="007F4AED"/>
    <w:rsid w:val="007F61AC"/>
    <w:rsid w:val="007F6899"/>
    <w:rsid w:val="0080644B"/>
    <w:rsid w:val="00806C54"/>
    <w:rsid w:val="0080776A"/>
    <w:rsid w:val="00807EEF"/>
    <w:rsid w:val="008125AF"/>
    <w:rsid w:val="008127D6"/>
    <w:rsid w:val="00820AA5"/>
    <w:rsid w:val="00820DAA"/>
    <w:rsid w:val="0082484B"/>
    <w:rsid w:val="00825DB5"/>
    <w:rsid w:val="00835DF2"/>
    <w:rsid w:val="00845B4F"/>
    <w:rsid w:val="00846686"/>
    <w:rsid w:val="00850B5E"/>
    <w:rsid w:val="0085114C"/>
    <w:rsid w:val="00857D45"/>
    <w:rsid w:val="00865CF4"/>
    <w:rsid w:val="00866A63"/>
    <w:rsid w:val="00866D40"/>
    <w:rsid w:val="00871D9C"/>
    <w:rsid w:val="008720A2"/>
    <w:rsid w:val="00881EA6"/>
    <w:rsid w:val="00884790"/>
    <w:rsid w:val="00887BDB"/>
    <w:rsid w:val="00890CF3"/>
    <w:rsid w:val="00893617"/>
    <w:rsid w:val="008958C0"/>
    <w:rsid w:val="00895A09"/>
    <w:rsid w:val="008A16B3"/>
    <w:rsid w:val="008A3101"/>
    <w:rsid w:val="008A35FB"/>
    <w:rsid w:val="008A7B3C"/>
    <w:rsid w:val="008B471B"/>
    <w:rsid w:val="008B57E6"/>
    <w:rsid w:val="008C484B"/>
    <w:rsid w:val="008D549B"/>
    <w:rsid w:val="009041DC"/>
    <w:rsid w:val="00905FE6"/>
    <w:rsid w:val="00906923"/>
    <w:rsid w:val="0091048F"/>
    <w:rsid w:val="00913D17"/>
    <w:rsid w:val="00915350"/>
    <w:rsid w:val="00917CDE"/>
    <w:rsid w:val="00920DB5"/>
    <w:rsid w:val="0092286F"/>
    <w:rsid w:val="009249F4"/>
    <w:rsid w:val="00925E3A"/>
    <w:rsid w:val="00930A94"/>
    <w:rsid w:val="00942479"/>
    <w:rsid w:val="00946D50"/>
    <w:rsid w:val="00957960"/>
    <w:rsid w:val="00960CD5"/>
    <w:rsid w:val="00973972"/>
    <w:rsid w:val="00975E92"/>
    <w:rsid w:val="00983EFD"/>
    <w:rsid w:val="00986EEB"/>
    <w:rsid w:val="00991428"/>
    <w:rsid w:val="00994852"/>
    <w:rsid w:val="00994D91"/>
    <w:rsid w:val="00994E55"/>
    <w:rsid w:val="00994EDF"/>
    <w:rsid w:val="009965D4"/>
    <w:rsid w:val="009A781A"/>
    <w:rsid w:val="009A7F95"/>
    <w:rsid w:val="009B1674"/>
    <w:rsid w:val="009B20A0"/>
    <w:rsid w:val="009B37B6"/>
    <w:rsid w:val="009B7DF5"/>
    <w:rsid w:val="009C1912"/>
    <w:rsid w:val="009C1B9C"/>
    <w:rsid w:val="009C3535"/>
    <w:rsid w:val="009C6129"/>
    <w:rsid w:val="009D0C21"/>
    <w:rsid w:val="009D6FB6"/>
    <w:rsid w:val="009E3B73"/>
    <w:rsid w:val="009E454C"/>
    <w:rsid w:val="009F3D6C"/>
    <w:rsid w:val="009F7EAF"/>
    <w:rsid w:val="00A00A8A"/>
    <w:rsid w:val="00A018EE"/>
    <w:rsid w:val="00A057AD"/>
    <w:rsid w:val="00A075E2"/>
    <w:rsid w:val="00A07DBF"/>
    <w:rsid w:val="00A2160E"/>
    <w:rsid w:val="00A2387A"/>
    <w:rsid w:val="00A240F2"/>
    <w:rsid w:val="00A24818"/>
    <w:rsid w:val="00A26F6A"/>
    <w:rsid w:val="00A31228"/>
    <w:rsid w:val="00A32E10"/>
    <w:rsid w:val="00A3799B"/>
    <w:rsid w:val="00A445B1"/>
    <w:rsid w:val="00A4789E"/>
    <w:rsid w:val="00A52334"/>
    <w:rsid w:val="00A535D0"/>
    <w:rsid w:val="00A55E50"/>
    <w:rsid w:val="00A56626"/>
    <w:rsid w:val="00A567A5"/>
    <w:rsid w:val="00A605BD"/>
    <w:rsid w:val="00A65CEB"/>
    <w:rsid w:val="00A67C0E"/>
    <w:rsid w:val="00A81795"/>
    <w:rsid w:val="00A82385"/>
    <w:rsid w:val="00A85016"/>
    <w:rsid w:val="00A86AA4"/>
    <w:rsid w:val="00A934FB"/>
    <w:rsid w:val="00A93F5A"/>
    <w:rsid w:val="00AA0B20"/>
    <w:rsid w:val="00AA7B71"/>
    <w:rsid w:val="00AC000D"/>
    <w:rsid w:val="00AE0656"/>
    <w:rsid w:val="00AF0915"/>
    <w:rsid w:val="00B14C54"/>
    <w:rsid w:val="00B2047C"/>
    <w:rsid w:val="00B30920"/>
    <w:rsid w:val="00B36136"/>
    <w:rsid w:val="00B362B8"/>
    <w:rsid w:val="00B3648B"/>
    <w:rsid w:val="00B369D4"/>
    <w:rsid w:val="00B43BFE"/>
    <w:rsid w:val="00B507EA"/>
    <w:rsid w:val="00B54383"/>
    <w:rsid w:val="00B54701"/>
    <w:rsid w:val="00B64A67"/>
    <w:rsid w:val="00B70C5D"/>
    <w:rsid w:val="00B75B80"/>
    <w:rsid w:val="00B76EBB"/>
    <w:rsid w:val="00B82124"/>
    <w:rsid w:val="00B837B1"/>
    <w:rsid w:val="00B923C9"/>
    <w:rsid w:val="00B92AA1"/>
    <w:rsid w:val="00B94F37"/>
    <w:rsid w:val="00BA2B0A"/>
    <w:rsid w:val="00BA3475"/>
    <w:rsid w:val="00BA362B"/>
    <w:rsid w:val="00BA489D"/>
    <w:rsid w:val="00BA5452"/>
    <w:rsid w:val="00BB475A"/>
    <w:rsid w:val="00BB5A4B"/>
    <w:rsid w:val="00BC55E5"/>
    <w:rsid w:val="00BC7237"/>
    <w:rsid w:val="00BD1D4B"/>
    <w:rsid w:val="00BD444A"/>
    <w:rsid w:val="00BD4838"/>
    <w:rsid w:val="00BE2A26"/>
    <w:rsid w:val="00BF4386"/>
    <w:rsid w:val="00BF44EC"/>
    <w:rsid w:val="00BF5260"/>
    <w:rsid w:val="00BF75C8"/>
    <w:rsid w:val="00BF770C"/>
    <w:rsid w:val="00C00084"/>
    <w:rsid w:val="00C01CD3"/>
    <w:rsid w:val="00C04A0D"/>
    <w:rsid w:val="00C13B70"/>
    <w:rsid w:val="00C13CB0"/>
    <w:rsid w:val="00C15075"/>
    <w:rsid w:val="00C1707F"/>
    <w:rsid w:val="00C21C3B"/>
    <w:rsid w:val="00C2464F"/>
    <w:rsid w:val="00C31FB0"/>
    <w:rsid w:val="00C33E89"/>
    <w:rsid w:val="00C41837"/>
    <w:rsid w:val="00C456C0"/>
    <w:rsid w:val="00C50860"/>
    <w:rsid w:val="00C50D23"/>
    <w:rsid w:val="00C54EE3"/>
    <w:rsid w:val="00C67306"/>
    <w:rsid w:val="00C77A69"/>
    <w:rsid w:val="00C77EE8"/>
    <w:rsid w:val="00C83B2C"/>
    <w:rsid w:val="00C84559"/>
    <w:rsid w:val="00C85696"/>
    <w:rsid w:val="00C85970"/>
    <w:rsid w:val="00C86461"/>
    <w:rsid w:val="00CA6660"/>
    <w:rsid w:val="00CB26AA"/>
    <w:rsid w:val="00CB74DC"/>
    <w:rsid w:val="00CC56EB"/>
    <w:rsid w:val="00CC6BAC"/>
    <w:rsid w:val="00CC7A74"/>
    <w:rsid w:val="00CD79F8"/>
    <w:rsid w:val="00CE42A9"/>
    <w:rsid w:val="00CE6731"/>
    <w:rsid w:val="00CF3E07"/>
    <w:rsid w:val="00CF40F6"/>
    <w:rsid w:val="00D01B16"/>
    <w:rsid w:val="00D02597"/>
    <w:rsid w:val="00D04452"/>
    <w:rsid w:val="00D05EC4"/>
    <w:rsid w:val="00D32905"/>
    <w:rsid w:val="00D347D7"/>
    <w:rsid w:val="00D34A50"/>
    <w:rsid w:val="00D34ABB"/>
    <w:rsid w:val="00D35B3E"/>
    <w:rsid w:val="00D46EE6"/>
    <w:rsid w:val="00D54DD1"/>
    <w:rsid w:val="00D54EB8"/>
    <w:rsid w:val="00D61FD0"/>
    <w:rsid w:val="00D6517B"/>
    <w:rsid w:val="00D7046B"/>
    <w:rsid w:val="00D709CC"/>
    <w:rsid w:val="00D7248E"/>
    <w:rsid w:val="00D77A53"/>
    <w:rsid w:val="00D80C35"/>
    <w:rsid w:val="00D87298"/>
    <w:rsid w:val="00D90AAA"/>
    <w:rsid w:val="00D9186B"/>
    <w:rsid w:val="00D9380A"/>
    <w:rsid w:val="00D9629A"/>
    <w:rsid w:val="00DA4F25"/>
    <w:rsid w:val="00DA73EB"/>
    <w:rsid w:val="00DB12BF"/>
    <w:rsid w:val="00DB16F7"/>
    <w:rsid w:val="00DB66B6"/>
    <w:rsid w:val="00DE2EBA"/>
    <w:rsid w:val="00DE30D2"/>
    <w:rsid w:val="00DE356E"/>
    <w:rsid w:val="00DF1B38"/>
    <w:rsid w:val="00DF3302"/>
    <w:rsid w:val="00DF34AF"/>
    <w:rsid w:val="00DF3A44"/>
    <w:rsid w:val="00DF5724"/>
    <w:rsid w:val="00E00336"/>
    <w:rsid w:val="00E01724"/>
    <w:rsid w:val="00E0269B"/>
    <w:rsid w:val="00E0496E"/>
    <w:rsid w:val="00E10BFC"/>
    <w:rsid w:val="00E11216"/>
    <w:rsid w:val="00E121A7"/>
    <w:rsid w:val="00E13BAD"/>
    <w:rsid w:val="00E151DE"/>
    <w:rsid w:val="00E240F1"/>
    <w:rsid w:val="00E302F4"/>
    <w:rsid w:val="00E319E4"/>
    <w:rsid w:val="00E45826"/>
    <w:rsid w:val="00E46F97"/>
    <w:rsid w:val="00E53CA8"/>
    <w:rsid w:val="00E53D9B"/>
    <w:rsid w:val="00E60D94"/>
    <w:rsid w:val="00E612E7"/>
    <w:rsid w:val="00E66299"/>
    <w:rsid w:val="00E70341"/>
    <w:rsid w:val="00E72B64"/>
    <w:rsid w:val="00E74A56"/>
    <w:rsid w:val="00E8293F"/>
    <w:rsid w:val="00E82AFE"/>
    <w:rsid w:val="00EA4381"/>
    <w:rsid w:val="00EB7D8F"/>
    <w:rsid w:val="00EC60F8"/>
    <w:rsid w:val="00EC69E7"/>
    <w:rsid w:val="00ED27EC"/>
    <w:rsid w:val="00ED3BD2"/>
    <w:rsid w:val="00EE3AC8"/>
    <w:rsid w:val="00EE7C30"/>
    <w:rsid w:val="00EF40B2"/>
    <w:rsid w:val="00F02A45"/>
    <w:rsid w:val="00F03551"/>
    <w:rsid w:val="00F05221"/>
    <w:rsid w:val="00F06F31"/>
    <w:rsid w:val="00F0756F"/>
    <w:rsid w:val="00F075DF"/>
    <w:rsid w:val="00F11C07"/>
    <w:rsid w:val="00F26124"/>
    <w:rsid w:val="00F268C3"/>
    <w:rsid w:val="00F3418D"/>
    <w:rsid w:val="00F443BB"/>
    <w:rsid w:val="00F4584E"/>
    <w:rsid w:val="00F472F5"/>
    <w:rsid w:val="00F5025B"/>
    <w:rsid w:val="00F52AD4"/>
    <w:rsid w:val="00F6400D"/>
    <w:rsid w:val="00F65E7F"/>
    <w:rsid w:val="00F7098E"/>
    <w:rsid w:val="00F724B1"/>
    <w:rsid w:val="00F80DBD"/>
    <w:rsid w:val="00F913F9"/>
    <w:rsid w:val="00F918BA"/>
    <w:rsid w:val="00F94124"/>
    <w:rsid w:val="00FA15AA"/>
    <w:rsid w:val="00FA1C71"/>
    <w:rsid w:val="00FA3451"/>
    <w:rsid w:val="00FA68DA"/>
    <w:rsid w:val="00FC17A0"/>
    <w:rsid w:val="00FC3D6B"/>
    <w:rsid w:val="00FC4680"/>
    <w:rsid w:val="00FC6AE3"/>
    <w:rsid w:val="00FC6DF9"/>
    <w:rsid w:val="00FD2FFB"/>
    <w:rsid w:val="00FD6B62"/>
    <w:rsid w:val="00FE2D56"/>
    <w:rsid w:val="00FE4955"/>
    <w:rsid w:val="00FF05D5"/>
    <w:rsid w:val="00FF41F7"/>
    <w:rsid w:val="00FF4E1A"/>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DB320"/>
  <w15:docId w15:val="{AB61FF0E-9C0D-47AE-A178-96C18008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69" w:unhideWhenUsed="1"/>
    <w:lsdException w:name="header" w:semiHidden="1" w:uiPriority="29" w:unhideWhenUsed="1"/>
    <w:lsdException w:name="footer" w:semiHidden="1" w:unhideWhenUsed="1"/>
    <w:lsdException w:name="index heading" w:semiHidden="1" w:unhideWhenUsed="1"/>
    <w:lsdException w:name="caption" w:semiHidden="1" w:uiPriority="49" w:unhideWhenUsed="1" w:qFormat="1"/>
    <w:lsdException w:name="table of figures" w:semiHidden="1" w:uiPriority="40" w:unhideWhenUsed="1"/>
    <w:lsdException w:name="envelope address" w:semiHidden="1" w:uiPriority="69" w:unhideWhenUsed="1"/>
    <w:lsdException w:name="envelope return" w:semiHidden="1" w:uiPriority="69" w:unhideWhenUsed="1"/>
    <w:lsdException w:name="footnote reference" w:semiHidden="1" w:unhideWhenUsed="1"/>
    <w:lsdException w:name="annotation reference" w:semiHidden="1" w:uiPriority="6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B7CFF"/>
    <w:pPr>
      <w:spacing w:after="240"/>
    </w:pPr>
    <w:rPr>
      <w:rFonts w:ascii="Times New Roman" w:eastAsia="Times New Roman" w:hAnsi="Times New Roman" w:cs="Times New Roman"/>
      <w:sz w:val="24"/>
      <w:szCs w:val="24"/>
      <w:lang w:val="en-GB"/>
    </w:rPr>
  </w:style>
  <w:style w:type="paragraph" w:styleId="Heading1">
    <w:name w:val="heading 1"/>
    <w:next w:val="Paragraph"/>
    <w:link w:val="Heading1Char"/>
    <w:uiPriority w:val="4"/>
    <w:qFormat/>
    <w:rsid w:val="003B7CFF"/>
    <w:pPr>
      <w:keepNext/>
      <w:keepLines/>
      <w:numPr>
        <w:numId w:val="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uiPriority w:val="4"/>
    <w:qFormat/>
    <w:rsid w:val="00705CDF"/>
    <w:pPr>
      <w:keepNext/>
      <w:keepLines/>
      <w:numPr>
        <w:ilvl w:val="1"/>
        <w:numId w:val="3"/>
      </w:numPr>
      <w:tabs>
        <w:tab w:val="clear" w:pos="1418"/>
        <w:tab w:val="num" w:pos="1134"/>
      </w:tabs>
      <w:spacing w:before="60" w:after="120" w:line="240" w:lineRule="auto"/>
      <w:ind w:left="1134"/>
      <w:outlineLvl w:val="1"/>
    </w:pPr>
    <w:rPr>
      <w:rFonts w:ascii="Times New Roman Bold" w:eastAsia="Times New Roman" w:hAnsi="Times New Roman Bold" w:cs="Arial"/>
      <w:b/>
      <w:bCs/>
      <w:iCs/>
      <w:caps/>
      <w:sz w:val="24"/>
      <w:szCs w:val="26"/>
      <w:lang w:val="en-GB"/>
    </w:rPr>
  </w:style>
  <w:style w:type="paragraph" w:styleId="Heading3">
    <w:name w:val="heading 3"/>
    <w:next w:val="Paragraph"/>
    <w:link w:val="Heading3Char"/>
    <w:uiPriority w:val="4"/>
    <w:qFormat/>
    <w:rsid w:val="003B7CFF"/>
    <w:pPr>
      <w:keepNext/>
      <w:keepLines/>
      <w:numPr>
        <w:ilvl w:val="2"/>
        <w:numId w:val="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uiPriority w:val="4"/>
    <w:qFormat/>
    <w:rsid w:val="003B7CFF"/>
    <w:pPr>
      <w:keepNext/>
      <w:keepLines/>
      <w:numPr>
        <w:ilvl w:val="3"/>
        <w:numId w:val="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uiPriority w:val="4"/>
    <w:rsid w:val="00705CDF"/>
    <w:rPr>
      <w:rFonts w:ascii="Times New Roman Bold" w:eastAsia="Times New Roman" w:hAnsi="Times New Roman Bold" w:cs="Arial"/>
      <w:b/>
      <w:bCs/>
      <w:iCs/>
      <w:caps/>
      <w:sz w:val="24"/>
      <w:szCs w:val="26"/>
      <w:lang w:val="en-GB"/>
    </w:rPr>
  </w:style>
  <w:style w:type="character" w:customStyle="1" w:styleId="Heading3Char">
    <w:name w:val="Heading 3 Char"/>
    <w:basedOn w:val="DefaultParagraphFont"/>
    <w:link w:val="Heading3"/>
    <w:uiPriority w:val="4"/>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uiPriority w:val="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basedOn w:val="Normal"/>
    <w:uiPriority w:val="34"/>
    <w:rsid w:val="003B7CFF"/>
    <w:pPr>
      <w:contextualSpacing/>
    </w:pPr>
  </w:style>
  <w:style w:type="character" w:styleId="CommentReference">
    <w:name w:val="annotation reference"/>
    <w:uiPriority w:val="69"/>
    <w:semiHidden/>
    <w:rsid w:val="003B7CFF"/>
    <w:rPr>
      <w:sz w:val="16"/>
      <w:szCs w:val="16"/>
    </w:rPr>
  </w:style>
  <w:style w:type="paragraph" w:styleId="CommentText">
    <w:name w:val="annotation text"/>
    <w:basedOn w:val="Normal"/>
    <w:link w:val="CommentTextChar"/>
    <w:uiPriority w:val="69"/>
    <w:semiHidden/>
    <w:rsid w:val="003B7CFF"/>
    <w:rPr>
      <w:sz w:val="20"/>
      <w:szCs w:val="20"/>
    </w:rPr>
  </w:style>
  <w:style w:type="character" w:customStyle="1" w:styleId="CommentTextChar">
    <w:name w:val="Comment Text Char"/>
    <w:basedOn w:val="DefaultParagraphFont"/>
    <w:link w:val="CommentText"/>
    <w:uiPriority w:val="69"/>
    <w:semiHidden/>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uiPriority w:val="99"/>
    <w:rsid w:val="003B7CFF"/>
    <w:rPr>
      <w:vertAlign w:val="superscript"/>
    </w:rPr>
  </w:style>
  <w:style w:type="paragraph" w:styleId="ListBullet">
    <w:name w:val="List Bullet"/>
    <w:uiPriority w:val="9"/>
    <w:qFormat/>
    <w:rsid w:val="003B7CFF"/>
    <w:pPr>
      <w:numPr>
        <w:numId w:val="6"/>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uiPriority w:val="99"/>
    <w:rsid w:val="003B7CFF"/>
  </w:style>
  <w:style w:type="character" w:customStyle="1" w:styleId="FooterChar">
    <w:name w:val="Footer Char"/>
    <w:basedOn w:val="DefaultParagraphFont"/>
    <w:link w:val="Footer"/>
    <w:uiPriority w:val="99"/>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2"/>
      </w:numPr>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8"/>
      </w:numPr>
    </w:pPr>
  </w:style>
  <w:style w:type="numbering" w:styleId="1ai">
    <w:name w:val="Outline List 1"/>
    <w:basedOn w:val="NoList"/>
    <w:uiPriority w:val="99"/>
    <w:semiHidden/>
    <w:unhideWhenUsed/>
    <w:rsid w:val="003B7CFF"/>
    <w:pPr>
      <w:numPr>
        <w:numId w:val="9"/>
      </w:numPr>
    </w:pPr>
  </w:style>
  <w:style w:type="numbering" w:styleId="ArticleSection">
    <w:name w:val="Outline List 3"/>
    <w:basedOn w:val="NoList"/>
    <w:uiPriority w:val="99"/>
    <w:semiHidden/>
    <w:unhideWhenUsed/>
    <w:rsid w:val="003B7CFF"/>
    <w:pPr>
      <w:numPr>
        <w:numId w:val="10"/>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99"/>
    <w:rsid w:val="003B7CFF"/>
    <w:rPr>
      <w:vertAlign w:val="superscript"/>
    </w:rPr>
  </w:style>
  <w:style w:type="paragraph" w:styleId="EndnoteText">
    <w:name w:val="endnote text"/>
    <w:basedOn w:val="Normal"/>
    <w:link w:val="EndnoteTextChar"/>
    <w:uiPriority w:val="99"/>
    <w:semiHidden/>
    <w:rsid w:val="003B7CFF"/>
    <w:rPr>
      <w:sz w:val="20"/>
      <w:szCs w:val="20"/>
    </w:rPr>
  </w:style>
  <w:style w:type="character" w:customStyle="1" w:styleId="EndnoteTextChar">
    <w:name w:val="Endnote Text Char"/>
    <w:basedOn w:val="DefaultParagraphFont"/>
    <w:link w:val="EndnoteText"/>
    <w:uiPriority w:val="99"/>
    <w:semiHidden/>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2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2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ED27EC"/>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iPriority w:val="49"/>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6"/>
      </w:numPr>
      <w:spacing w:before="60" w:after="60"/>
    </w:pPr>
  </w:style>
  <w:style w:type="paragraph" w:styleId="ListBullet3">
    <w:name w:val="List Bullet 3"/>
    <w:basedOn w:val="Normal"/>
    <w:uiPriority w:val="9"/>
    <w:qFormat/>
    <w:rsid w:val="003B7CFF"/>
    <w:pPr>
      <w:numPr>
        <w:ilvl w:val="2"/>
        <w:numId w:val="6"/>
      </w:numPr>
      <w:spacing w:before="60" w:after="60"/>
    </w:pPr>
  </w:style>
  <w:style w:type="paragraph" w:styleId="ListBullet4">
    <w:name w:val="List Bullet 4"/>
    <w:basedOn w:val="Normal"/>
    <w:uiPriority w:val="99"/>
    <w:semiHidden/>
    <w:rsid w:val="003B7CFF"/>
    <w:pPr>
      <w:numPr>
        <w:ilvl w:val="3"/>
        <w:numId w:val="6"/>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7"/>
      </w:numPr>
      <w:spacing w:before="40" w:after="40"/>
    </w:pPr>
    <w:rPr>
      <w:sz w:val="20"/>
      <w:szCs w:val="48"/>
    </w:rPr>
  </w:style>
  <w:style w:type="paragraph" w:customStyle="1" w:styleId="ListBulletSmall2">
    <w:name w:val="List Bullet Small 2"/>
    <w:basedOn w:val="ListBullet2"/>
    <w:uiPriority w:val="9"/>
    <w:qFormat/>
    <w:rsid w:val="003B7CFF"/>
    <w:pPr>
      <w:numPr>
        <w:numId w:val="7"/>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11"/>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semiHidden/>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5"/>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EE3AC8"/>
    <w:rPr>
      <w:color w:val="808080"/>
      <w:shd w:val="clear" w:color="auto" w:fill="E6E6E6"/>
    </w:rPr>
  </w:style>
  <w:style w:type="paragraph" w:customStyle="1" w:styleId="TableCenter">
    <w:name w:val="Table Center"/>
    <w:basedOn w:val="Normal"/>
    <w:uiPriority w:val="12"/>
    <w:qFormat/>
    <w:rsid w:val="00C85970"/>
    <w:pPr>
      <w:spacing w:before="40" w:after="40" w:line="240" w:lineRule="auto"/>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DF3302"/>
    <w:pPr>
      <w:keepLines/>
      <w:spacing w:before="40" w:after="40" w:line="240" w:lineRule="auto"/>
    </w:pPr>
    <w:rPr>
      <w:sz w:val="18"/>
      <w:szCs w:val="48"/>
    </w:rPr>
  </w:style>
  <w:style w:type="paragraph" w:customStyle="1" w:styleId="TableFootnoteLetter">
    <w:name w:val="Table Footnote Letter"/>
    <w:basedOn w:val="Normal"/>
    <w:uiPriority w:val="13"/>
    <w:rsid w:val="00DF3302"/>
    <w:pPr>
      <w:keepLines/>
      <w:numPr>
        <w:numId w:val="12"/>
      </w:numPr>
      <w:spacing w:before="40" w:after="40" w:line="240" w:lineRule="auto"/>
    </w:pPr>
    <w:rPr>
      <w:sz w:val="18"/>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3B7CFF"/>
    <w:rPr>
      <w:b/>
      <w:szCs w:val="48"/>
    </w:rPr>
  </w:style>
  <w:style w:type="paragraph" w:customStyle="1" w:styleId="TableLeft">
    <w:name w:val="Table Left"/>
    <w:uiPriority w:val="12"/>
    <w:qFormat/>
    <w:rsid w:val="00C85970"/>
    <w:pPr>
      <w:spacing w:before="40" w:after="40" w:line="240" w:lineRule="auto"/>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40"/>
    <w:rsid w:val="003B7CFF"/>
    <w:pPr>
      <w:tabs>
        <w:tab w:val="left" w:pos="1701"/>
        <w:tab w:val="right" w:leader="dot" w:pos="9000"/>
      </w:tabs>
      <w:spacing w:before="60" w:after="0"/>
      <w:ind w:left="1701" w:right="357" w:hanging="1701"/>
    </w:pPr>
  </w:style>
  <w:style w:type="table" w:styleId="TableGrid">
    <w:name w:val="Table Grid"/>
    <w:basedOn w:val="TableNormal"/>
    <w:uiPriority w:val="5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13"/>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241339"/>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707DAD"/>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21">
    <w:name w:val="Medium Grid 1 - Accent 21"/>
    <w:basedOn w:val="TableNormal"/>
    <w:next w:val="MediumGrid1-Accent2"/>
    <w:uiPriority w:val="67"/>
    <w:semiHidden/>
    <w:unhideWhenUsed/>
    <w:rsid w:val="009A7F95"/>
    <w:pPr>
      <w:spacing w:after="0" w:line="240" w:lineRule="auto"/>
    </w:pPr>
    <w:rPr>
      <w:rFonts w:eastAsia="MS Mincho"/>
      <w:lang w:val="en-GB"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22">
    <w:name w:val="Medium Grid 1 - Accent 22"/>
    <w:basedOn w:val="TableNormal"/>
    <w:next w:val="MediumGrid1-Accent2"/>
    <w:uiPriority w:val="67"/>
    <w:semiHidden/>
    <w:unhideWhenUsed/>
    <w:rsid w:val="00D6517B"/>
    <w:pPr>
      <w:spacing w:after="0" w:line="240" w:lineRule="auto"/>
    </w:pPr>
    <w:rPr>
      <w:rFonts w:eastAsia="MS Mincho"/>
      <w:lang w:val="en-GB"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TableGrid30">
    <w:name w:val="Table Grid3"/>
    <w:basedOn w:val="TableNormal"/>
    <w:next w:val="TableGrid"/>
    <w:rsid w:val="00394FF7"/>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0F4"/>
    <w:pPr>
      <w:spacing w:after="0"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4958F9"/>
  </w:style>
  <w:style w:type="character" w:customStyle="1" w:styleId="eop">
    <w:name w:val="eop"/>
    <w:basedOn w:val="DefaultParagraphFont"/>
    <w:rsid w:val="004958F9"/>
  </w:style>
  <w:style w:type="paragraph" w:customStyle="1" w:styleId="paragraph0">
    <w:name w:val="paragraph"/>
    <w:basedOn w:val="Normal"/>
    <w:rsid w:val="004958F9"/>
    <w:pPr>
      <w:spacing w:before="100" w:beforeAutospacing="1" w:after="100" w:afterAutospacing="1" w:line="240" w:lineRule="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20583">
      <w:bodyDiv w:val="1"/>
      <w:marLeft w:val="0"/>
      <w:marRight w:val="0"/>
      <w:marTop w:val="0"/>
      <w:marBottom w:val="0"/>
      <w:divBdr>
        <w:top w:val="none" w:sz="0" w:space="0" w:color="auto"/>
        <w:left w:val="none" w:sz="0" w:space="0" w:color="auto"/>
        <w:bottom w:val="none" w:sz="0" w:space="0" w:color="auto"/>
        <w:right w:val="none" w:sz="0" w:space="0" w:color="auto"/>
      </w:divBdr>
      <w:divsChild>
        <w:div w:id="1024936122">
          <w:marLeft w:val="0"/>
          <w:marRight w:val="0"/>
          <w:marTop w:val="0"/>
          <w:marBottom w:val="0"/>
          <w:divBdr>
            <w:top w:val="none" w:sz="0" w:space="0" w:color="auto"/>
            <w:left w:val="none" w:sz="0" w:space="0" w:color="auto"/>
            <w:bottom w:val="none" w:sz="0" w:space="0" w:color="auto"/>
            <w:right w:val="none" w:sz="0" w:space="0" w:color="auto"/>
          </w:divBdr>
          <w:divsChild>
            <w:div w:id="513496662">
              <w:marLeft w:val="0"/>
              <w:marRight w:val="0"/>
              <w:marTop w:val="0"/>
              <w:marBottom w:val="0"/>
              <w:divBdr>
                <w:top w:val="none" w:sz="0" w:space="0" w:color="auto"/>
                <w:left w:val="none" w:sz="0" w:space="0" w:color="auto"/>
                <w:bottom w:val="none" w:sz="0" w:space="0" w:color="auto"/>
                <w:right w:val="none" w:sz="0" w:space="0" w:color="auto"/>
              </w:divBdr>
            </w:div>
            <w:div w:id="126387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d779\Downloads\pi-annotated-template-black-triangle%201709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31b9158-4c4d-4cdf-a866-cc60e40a2853">
      <UserInfo>
        <DisplayName/>
        <AccountId xsi:nil="true"/>
        <AccountType/>
      </UserInfo>
    </SharedWithUsers>
    <Keyword xmlns="44a56295-c29e-4898-8136-a54736c65b82" xsi:nil="true"/>
    <Descriptions xmlns="44a56295-c29e-4898-8136-a54736c65b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EE48CE552A414386F0D7E3904B7CFA" ma:contentTypeVersion="6" ma:contentTypeDescription="Create a new document." ma:contentTypeScope="" ma:versionID="820ebac2134a4a78f32a6dc1cc23b2de">
  <xsd:schema xmlns:xsd="http://www.w3.org/2001/XMLSchema" xmlns:xs="http://www.w3.org/2001/XMLSchema" xmlns:p="http://schemas.microsoft.com/office/2006/metadata/properties" xmlns:ns2="44a56295-c29e-4898-8136-a54736c65b82" xmlns:ns3="431b9158-4c4d-4cdf-a866-cc60e40a2853" xmlns:ns4="1789bcfa-60cb-40fa-bb08-3974bfa54c5d" targetNamespace="http://schemas.microsoft.com/office/2006/metadata/properties" ma:root="true" ma:fieldsID="d61bd9947f1eba36520671d11e15669b" ns2:_="" ns3:_="" ns4:_="">
    <xsd:import namespace="44a56295-c29e-4898-8136-a54736c65b82"/>
    <xsd:import namespace="431b9158-4c4d-4cdf-a866-cc60e40a2853"/>
    <xsd:import namespace="1789bcfa-60cb-40fa-bb08-3974bfa54c5d"/>
    <xsd:element name="properties">
      <xsd:complexType>
        <xsd:sequence>
          <xsd:element name="documentManagement">
            <xsd:complexType>
              <xsd:all>
                <xsd:element ref="ns2:Descriptions" minOccurs="0"/>
                <xsd:element ref="ns2:Keyword" minOccurs="0"/>
                <xsd:element ref="ns3:SharedWithUsers" minOccurs="0"/>
                <xsd:element ref="ns3:SharedWithDetail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b9158-4c4d-4cdf-a866-cc60e40a28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9bcfa-60cb-40fa-bb08-3974bfa54c5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ee89e71-04cd-405e-9ca3-99e020c1694d" ContentTypeId="0x0101" PreviousValue="false" LastSyncTimeStamp="2018-05-28T08:22:36.137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64B59-0CE5-400D-A2D1-95D8A0AE0667}">
  <ds:schemaRefs>
    <ds:schemaRef ds:uri="http://schemas.microsoft.com/office/2006/metadata/properties"/>
    <ds:schemaRef ds:uri="http://schemas.microsoft.com/office/infopath/2007/PartnerControls"/>
    <ds:schemaRef ds:uri="431b9158-4c4d-4cdf-a866-cc60e40a2853"/>
    <ds:schemaRef ds:uri="44a56295-c29e-4898-8136-a54736c65b82"/>
  </ds:schemaRefs>
</ds:datastoreItem>
</file>

<file path=customXml/itemProps2.xml><?xml version="1.0" encoding="utf-8"?>
<ds:datastoreItem xmlns:ds="http://schemas.openxmlformats.org/officeDocument/2006/customXml" ds:itemID="{123ABFF9-0E2B-42E8-A336-30972549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431b9158-4c4d-4cdf-a866-cc60e40a2853"/>
    <ds:schemaRef ds:uri="1789bcfa-60cb-40fa-bb08-3974bfa54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2AA6E-5216-4FD0-BAF2-18CAD14078FD}">
  <ds:schemaRefs>
    <ds:schemaRef ds:uri="Microsoft.SharePoint.Taxonomy.ContentTypeSync"/>
  </ds:schemaRefs>
</ds:datastoreItem>
</file>

<file path=customXml/itemProps4.xml><?xml version="1.0" encoding="utf-8"?>
<ds:datastoreItem xmlns:ds="http://schemas.openxmlformats.org/officeDocument/2006/customXml" ds:itemID="{C3F156FC-897D-4ED6-B796-EA0F6C4C46C7}">
  <ds:schemaRefs>
    <ds:schemaRef ds:uri="http://schemas.openxmlformats.org/officeDocument/2006/bibliography"/>
  </ds:schemaRefs>
</ds:datastoreItem>
</file>

<file path=customXml/itemProps5.xml><?xml version="1.0" encoding="utf-8"?>
<ds:datastoreItem xmlns:ds="http://schemas.openxmlformats.org/officeDocument/2006/customXml" ds:itemID="{005B4A80-93AC-4DBF-B284-B71B84CDE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pi-annotated-template-black-triangle 17092020.dotx</Template>
  <TotalTime>15</TotalTime>
  <Pages>24</Pages>
  <Words>7706</Words>
  <Characters>52003</Characters>
  <Application>Microsoft Office Word</Application>
  <DocSecurity>0</DocSecurity>
  <Lines>1238</Lines>
  <Paragraphs>852</Paragraphs>
  <ScaleCrop>false</ScaleCrop>
  <HeadingPairs>
    <vt:vector size="2" baseType="variant">
      <vt:variant>
        <vt:lpstr>Title</vt:lpstr>
      </vt:variant>
      <vt:variant>
        <vt:i4>1</vt:i4>
      </vt:variant>
    </vt:vector>
  </HeadingPairs>
  <TitlesOfParts>
    <vt:vector size="1" baseType="lpstr">
      <vt:lpstr>Attachment: Product information for Truqap</vt:lpstr>
    </vt:vector>
  </TitlesOfParts>
  <Company/>
  <LinksUpToDate>false</LinksUpToDate>
  <CharactersWithSpaces>58857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Truqap</dc:title>
  <dc:subject>Prescription medicines</dc:subject>
  <dc:creator>AstraZeneca Pty Ltd</dc:creator>
  <cp:lastPrinted>2017-11-13T05:13:00Z</cp:lastPrinted>
  <dcterms:created xsi:type="dcterms:W3CDTF">2025-02-24T01:24:00Z</dcterms:created>
  <dcterms:modified xsi:type="dcterms:W3CDTF">2025-02-24T01:59:00Z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y fmtid="{D5CDD505-2E9C-101B-9397-08002B2CF9AE}" pid="12" name="ContentTypeId">
    <vt:lpwstr>0x0101004FEE48CE552A414386F0D7E3904B7CFA</vt:lpwstr>
  </property>
</Properties>
</file>