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BC176E7" w:rsidR="00F02AEC" w:rsidRPr="00215D48" w:rsidRDefault="00346EC2" w:rsidP="007452E8">
            <w:pPr>
              <w:pStyle w:val="Title"/>
            </w:pPr>
            <w:r w:rsidRPr="00346EC2">
              <w:t xml:space="preserve">Australian Public Assessment Report for </w:t>
            </w:r>
            <w:r w:rsidR="00F02EEE">
              <w:t>Gazyva</w:t>
            </w:r>
          </w:p>
        </w:tc>
      </w:tr>
      <w:tr w:rsidR="00F02AEC" w:rsidRPr="00215D48" w14:paraId="318A40A3" w14:textId="77777777" w:rsidTr="00346EC2">
        <w:trPr>
          <w:trHeight w:val="995"/>
        </w:trPr>
        <w:tc>
          <w:tcPr>
            <w:tcW w:w="8720" w:type="dxa"/>
          </w:tcPr>
          <w:p w14:paraId="1AA7C701" w14:textId="2009DF21" w:rsidR="00F02AEC" w:rsidRPr="00215D48" w:rsidRDefault="00346EC2" w:rsidP="007452E8">
            <w:pPr>
              <w:pStyle w:val="Subtitle"/>
              <w:ind w:left="0"/>
            </w:pPr>
            <w:r w:rsidRPr="00346EC2">
              <w:t xml:space="preserve">Active ingredient: </w:t>
            </w:r>
            <w:r w:rsidR="00F02EEE">
              <w:t>Obinutuzumab</w:t>
            </w:r>
          </w:p>
        </w:tc>
      </w:tr>
      <w:tr w:rsidR="00346EC2" w:rsidRPr="00215D48" w14:paraId="362CCAE4" w14:textId="77777777" w:rsidTr="007452E8">
        <w:trPr>
          <w:trHeight w:val="1916"/>
        </w:trPr>
        <w:tc>
          <w:tcPr>
            <w:tcW w:w="8720" w:type="dxa"/>
          </w:tcPr>
          <w:p w14:paraId="709C45C0" w14:textId="26873327" w:rsidR="00346EC2" w:rsidRPr="00215D48" w:rsidRDefault="00346EC2" w:rsidP="007452E8">
            <w:pPr>
              <w:pStyle w:val="Subtitle"/>
              <w:ind w:left="0"/>
            </w:pPr>
            <w:r w:rsidRPr="00346EC2">
              <w:t xml:space="preserve">Sponsor: </w:t>
            </w:r>
            <w:r w:rsidR="003C330E">
              <w:t>Roche Product</w:t>
            </w:r>
            <w:r w:rsidR="00A7258E">
              <w:t>s</w:t>
            </w:r>
            <w:r w:rsidR="003C330E">
              <w:t xml:space="preserve"> Pty Ltd</w:t>
            </w:r>
          </w:p>
        </w:tc>
      </w:tr>
      <w:tr w:rsidR="00F02AEC" w:rsidRPr="00215D48" w14:paraId="37F2AA1F" w14:textId="77777777" w:rsidTr="007452E8">
        <w:tc>
          <w:tcPr>
            <w:tcW w:w="8720" w:type="dxa"/>
          </w:tcPr>
          <w:p w14:paraId="1FDE8DCD" w14:textId="4811623D" w:rsidR="00F02AEC" w:rsidRPr="00215D48" w:rsidRDefault="00CE3A18" w:rsidP="007452E8">
            <w:pPr>
              <w:pStyle w:val="Date"/>
            </w:pPr>
            <w:r>
              <w:t xml:space="preserve">December </w:t>
            </w:r>
            <w:r w:rsidR="00F02EEE">
              <w:t>2024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301983BE" w:rsidR="00175CD8" w:rsidRPr="00346EC2" w:rsidRDefault="00F02AEC" w:rsidP="00346EC2">
      <w:pPr>
        <w:pStyle w:val="LegalCopy"/>
        <w:rPr>
          <w:rFonts w:cs="Arial"/>
        </w:rPr>
      </w:pPr>
      <w:r w:rsidRPr="00215D48">
        <w:rPr>
          <w:rFonts w:cs="Arial"/>
        </w:rPr>
        <w:t>© Commonwealth of Australia 20</w:t>
      </w:r>
      <w:r>
        <w:rPr>
          <w:rFonts w:cs="Arial"/>
        </w:rPr>
        <w:t>2</w:t>
      </w:r>
      <w:r w:rsidR="005B50B7">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37E91E50" w14:textId="25B82DE7" w:rsidR="00784F00"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0763091" w:history="1">
            <w:r w:rsidR="00784F00" w:rsidRPr="00346CED">
              <w:rPr>
                <w:rStyle w:val="Hyperlink"/>
                <w:noProof/>
              </w:rPr>
              <w:t>List of abbreviations</w:t>
            </w:r>
            <w:r w:rsidR="00784F00">
              <w:rPr>
                <w:noProof/>
                <w:webHidden/>
              </w:rPr>
              <w:tab/>
            </w:r>
            <w:r w:rsidR="00784F00">
              <w:rPr>
                <w:noProof/>
                <w:webHidden/>
              </w:rPr>
              <w:fldChar w:fldCharType="begin"/>
            </w:r>
            <w:r w:rsidR="00784F00">
              <w:rPr>
                <w:noProof/>
                <w:webHidden/>
              </w:rPr>
              <w:instrText xml:space="preserve"> PAGEREF _Toc190763091 \h </w:instrText>
            </w:r>
            <w:r w:rsidR="00784F00">
              <w:rPr>
                <w:noProof/>
                <w:webHidden/>
              </w:rPr>
            </w:r>
            <w:r w:rsidR="00784F00">
              <w:rPr>
                <w:noProof/>
                <w:webHidden/>
              </w:rPr>
              <w:fldChar w:fldCharType="separate"/>
            </w:r>
            <w:r w:rsidR="00784F00">
              <w:rPr>
                <w:noProof/>
                <w:webHidden/>
              </w:rPr>
              <w:t>4</w:t>
            </w:r>
            <w:r w:rsidR="00784F00">
              <w:rPr>
                <w:noProof/>
                <w:webHidden/>
              </w:rPr>
              <w:fldChar w:fldCharType="end"/>
            </w:r>
          </w:hyperlink>
        </w:p>
        <w:p w14:paraId="053CC4EC" w14:textId="59022391" w:rsidR="00784F00" w:rsidRDefault="00784F0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763092" w:history="1">
            <w:r w:rsidRPr="00346CED">
              <w:rPr>
                <w:rStyle w:val="Hyperlink"/>
                <w:noProof/>
              </w:rPr>
              <w:t>Product submission</w:t>
            </w:r>
            <w:r>
              <w:rPr>
                <w:noProof/>
                <w:webHidden/>
              </w:rPr>
              <w:tab/>
            </w:r>
            <w:r>
              <w:rPr>
                <w:noProof/>
                <w:webHidden/>
              </w:rPr>
              <w:fldChar w:fldCharType="begin"/>
            </w:r>
            <w:r>
              <w:rPr>
                <w:noProof/>
                <w:webHidden/>
              </w:rPr>
              <w:instrText xml:space="preserve"> PAGEREF _Toc190763092 \h </w:instrText>
            </w:r>
            <w:r>
              <w:rPr>
                <w:noProof/>
                <w:webHidden/>
              </w:rPr>
            </w:r>
            <w:r>
              <w:rPr>
                <w:noProof/>
                <w:webHidden/>
              </w:rPr>
              <w:fldChar w:fldCharType="separate"/>
            </w:r>
            <w:r>
              <w:rPr>
                <w:noProof/>
                <w:webHidden/>
              </w:rPr>
              <w:t>5</w:t>
            </w:r>
            <w:r>
              <w:rPr>
                <w:noProof/>
                <w:webHidden/>
              </w:rPr>
              <w:fldChar w:fldCharType="end"/>
            </w:r>
          </w:hyperlink>
        </w:p>
        <w:p w14:paraId="075B4DC1" w14:textId="70AE3C59"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093" w:history="1">
            <w:r w:rsidRPr="00346CED">
              <w:rPr>
                <w:rStyle w:val="Hyperlink"/>
                <w:noProof/>
                <w:lang w:eastAsia="en-AU"/>
              </w:rPr>
              <w:t>Submission details</w:t>
            </w:r>
            <w:r>
              <w:rPr>
                <w:noProof/>
                <w:webHidden/>
              </w:rPr>
              <w:tab/>
            </w:r>
            <w:r>
              <w:rPr>
                <w:noProof/>
                <w:webHidden/>
              </w:rPr>
              <w:fldChar w:fldCharType="begin"/>
            </w:r>
            <w:r>
              <w:rPr>
                <w:noProof/>
                <w:webHidden/>
              </w:rPr>
              <w:instrText xml:space="preserve"> PAGEREF _Toc190763093 \h </w:instrText>
            </w:r>
            <w:r>
              <w:rPr>
                <w:noProof/>
                <w:webHidden/>
              </w:rPr>
            </w:r>
            <w:r>
              <w:rPr>
                <w:noProof/>
                <w:webHidden/>
              </w:rPr>
              <w:fldChar w:fldCharType="separate"/>
            </w:r>
            <w:r>
              <w:rPr>
                <w:noProof/>
                <w:webHidden/>
              </w:rPr>
              <w:t>5</w:t>
            </w:r>
            <w:r>
              <w:rPr>
                <w:noProof/>
                <w:webHidden/>
              </w:rPr>
              <w:fldChar w:fldCharType="end"/>
            </w:r>
          </w:hyperlink>
        </w:p>
        <w:p w14:paraId="54C2AB8C" w14:textId="5A87B663"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094" w:history="1">
            <w:r w:rsidRPr="00346CED">
              <w:rPr>
                <w:rStyle w:val="Hyperlink"/>
                <w:noProof/>
              </w:rPr>
              <w:t>Product background</w:t>
            </w:r>
            <w:r>
              <w:rPr>
                <w:noProof/>
                <w:webHidden/>
              </w:rPr>
              <w:tab/>
            </w:r>
            <w:r>
              <w:rPr>
                <w:noProof/>
                <w:webHidden/>
              </w:rPr>
              <w:fldChar w:fldCharType="begin"/>
            </w:r>
            <w:r>
              <w:rPr>
                <w:noProof/>
                <w:webHidden/>
              </w:rPr>
              <w:instrText xml:space="preserve"> PAGEREF _Toc190763094 \h </w:instrText>
            </w:r>
            <w:r>
              <w:rPr>
                <w:noProof/>
                <w:webHidden/>
              </w:rPr>
            </w:r>
            <w:r>
              <w:rPr>
                <w:noProof/>
                <w:webHidden/>
              </w:rPr>
              <w:fldChar w:fldCharType="separate"/>
            </w:r>
            <w:r>
              <w:rPr>
                <w:noProof/>
                <w:webHidden/>
              </w:rPr>
              <w:t>6</w:t>
            </w:r>
            <w:r>
              <w:rPr>
                <w:noProof/>
                <w:webHidden/>
              </w:rPr>
              <w:fldChar w:fldCharType="end"/>
            </w:r>
          </w:hyperlink>
        </w:p>
        <w:p w14:paraId="4B3BE9CF" w14:textId="3D6A6812"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095" w:history="1">
            <w:r w:rsidRPr="00346CED">
              <w:rPr>
                <w:rStyle w:val="Hyperlink"/>
                <w:noProof/>
              </w:rPr>
              <w:t>The product</w:t>
            </w:r>
            <w:r>
              <w:rPr>
                <w:noProof/>
                <w:webHidden/>
              </w:rPr>
              <w:tab/>
            </w:r>
            <w:r>
              <w:rPr>
                <w:noProof/>
                <w:webHidden/>
              </w:rPr>
              <w:fldChar w:fldCharType="begin"/>
            </w:r>
            <w:r>
              <w:rPr>
                <w:noProof/>
                <w:webHidden/>
              </w:rPr>
              <w:instrText xml:space="preserve"> PAGEREF _Toc190763095 \h </w:instrText>
            </w:r>
            <w:r>
              <w:rPr>
                <w:noProof/>
                <w:webHidden/>
              </w:rPr>
            </w:r>
            <w:r>
              <w:rPr>
                <w:noProof/>
                <w:webHidden/>
              </w:rPr>
              <w:fldChar w:fldCharType="separate"/>
            </w:r>
            <w:r>
              <w:rPr>
                <w:noProof/>
                <w:webHidden/>
              </w:rPr>
              <w:t>6</w:t>
            </w:r>
            <w:r>
              <w:rPr>
                <w:noProof/>
                <w:webHidden/>
              </w:rPr>
              <w:fldChar w:fldCharType="end"/>
            </w:r>
          </w:hyperlink>
        </w:p>
        <w:p w14:paraId="54857CC5" w14:textId="3809152A"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096" w:history="1">
            <w:r w:rsidRPr="00346CED">
              <w:rPr>
                <w:rStyle w:val="Hyperlink"/>
                <w:noProof/>
              </w:rPr>
              <w:t>The condition</w:t>
            </w:r>
            <w:r>
              <w:rPr>
                <w:noProof/>
                <w:webHidden/>
              </w:rPr>
              <w:tab/>
            </w:r>
            <w:r>
              <w:rPr>
                <w:noProof/>
                <w:webHidden/>
              </w:rPr>
              <w:fldChar w:fldCharType="begin"/>
            </w:r>
            <w:r>
              <w:rPr>
                <w:noProof/>
                <w:webHidden/>
              </w:rPr>
              <w:instrText xml:space="preserve"> PAGEREF _Toc190763096 \h </w:instrText>
            </w:r>
            <w:r>
              <w:rPr>
                <w:noProof/>
                <w:webHidden/>
              </w:rPr>
            </w:r>
            <w:r>
              <w:rPr>
                <w:noProof/>
                <w:webHidden/>
              </w:rPr>
              <w:fldChar w:fldCharType="separate"/>
            </w:r>
            <w:r>
              <w:rPr>
                <w:noProof/>
                <w:webHidden/>
              </w:rPr>
              <w:t>6</w:t>
            </w:r>
            <w:r>
              <w:rPr>
                <w:noProof/>
                <w:webHidden/>
              </w:rPr>
              <w:fldChar w:fldCharType="end"/>
            </w:r>
          </w:hyperlink>
        </w:p>
        <w:p w14:paraId="201071DA" w14:textId="2BA11E28"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097" w:history="1">
            <w:r w:rsidRPr="00346CED">
              <w:rPr>
                <w:rStyle w:val="Hyperlink"/>
                <w:noProof/>
              </w:rPr>
              <w:t>Current treatment options</w:t>
            </w:r>
            <w:r>
              <w:rPr>
                <w:noProof/>
                <w:webHidden/>
              </w:rPr>
              <w:tab/>
            </w:r>
            <w:r>
              <w:rPr>
                <w:noProof/>
                <w:webHidden/>
              </w:rPr>
              <w:fldChar w:fldCharType="begin"/>
            </w:r>
            <w:r>
              <w:rPr>
                <w:noProof/>
                <w:webHidden/>
              </w:rPr>
              <w:instrText xml:space="preserve"> PAGEREF _Toc190763097 \h </w:instrText>
            </w:r>
            <w:r>
              <w:rPr>
                <w:noProof/>
                <w:webHidden/>
              </w:rPr>
            </w:r>
            <w:r>
              <w:rPr>
                <w:noProof/>
                <w:webHidden/>
              </w:rPr>
              <w:fldChar w:fldCharType="separate"/>
            </w:r>
            <w:r>
              <w:rPr>
                <w:noProof/>
                <w:webHidden/>
              </w:rPr>
              <w:t>6</w:t>
            </w:r>
            <w:r>
              <w:rPr>
                <w:noProof/>
                <w:webHidden/>
              </w:rPr>
              <w:fldChar w:fldCharType="end"/>
            </w:r>
          </w:hyperlink>
        </w:p>
        <w:p w14:paraId="31EC7B55" w14:textId="6ABDB0AF"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098" w:history="1">
            <w:r w:rsidRPr="00346CED">
              <w:rPr>
                <w:rStyle w:val="Hyperlink"/>
                <w:noProof/>
              </w:rPr>
              <w:t>Regulatory status</w:t>
            </w:r>
            <w:r>
              <w:rPr>
                <w:noProof/>
                <w:webHidden/>
              </w:rPr>
              <w:tab/>
            </w:r>
            <w:r>
              <w:rPr>
                <w:noProof/>
                <w:webHidden/>
              </w:rPr>
              <w:fldChar w:fldCharType="begin"/>
            </w:r>
            <w:r>
              <w:rPr>
                <w:noProof/>
                <w:webHidden/>
              </w:rPr>
              <w:instrText xml:space="preserve"> PAGEREF _Toc190763098 \h </w:instrText>
            </w:r>
            <w:r>
              <w:rPr>
                <w:noProof/>
                <w:webHidden/>
              </w:rPr>
            </w:r>
            <w:r>
              <w:rPr>
                <w:noProof/>
                <w:webHidden/>
              </w:rPr>
              <w:fldChar w:fldCharType="separate"/>
            </w:r>
            <w:r>
              <w:rPr>
                <w:noProof/>
                <w:webHidden/>
              </w:rPr>
              <w:t>7</w:t>
            </w:r>
            <w:r>
              <w:rPr>
                <w:noProof/>
                <w:webHidden/>
              </w:rPr>
              <w:fldChar w:fldCharType="end"/>
            </w:r>
          </w:hyperlink>
        </w:p>
        <w:p w14:paraId="58443C20" w14:textId="305A293D"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099" w:history="1">
            <w:r w:rsidRPr="00346CED">
              <w:rPr>
                <w:rStyle w:val="Hyperlink"/>
                <w:noProof/>
              </w:rPr>
              <w:t>Australian regulatory status</w:t>
            </w:r>
            <w:r>
              <w:rPr>
                <w:noProof/>
                <w:webHidden/>
              </w:rPr>
              <w:tab/>
            </w:r>
            <w:r>
              <w:rPr>
                <w:noProof/>
                <w:webHidden/>
              </w:rPr>
              <w:fldChar w:fldCharType="begin"/>
            </w:r>
            <w:r>
              <w:rPr>
                <w:noProof/>
                <w:webHidden/>
              </w:rPr>
              <w:instrText xml:space="preserve"> PAGEREF _Toc190763099 \h </w:instrText>
            </w:r>
            <w:r>
              <w:rPr>
                <w:noProof/>
                <w:webHidden/>
              </w:rPr>
            </w:r>
            <w:r>
              <w:rPr>
                <w:noProof/>
                <w:webHidden/>
              </w:rPr>
              <w:fldChar w:fldCharType="separate"/>
            </w:r>
            <w:r>
              <w:rPr>
                <w:noProof/>
                <w:webHidden/>
              </w:rPr>
              <w:t>7</w:t>
            </w:r>
            <w:r>
              <w:rPr>
                <w:noProof/>
                <w:webHidden/>
              </w:rPr>
              <w:fldChar w:fldCharType="end"/>
            </w:r>
          </w:hyperlink>
        </w:p>
        <w:p w14:paraId="4CC38612" w14:textId="7BA91956"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00" w:history="1">
            <w:r w:rsidRPr="00346CED">
              <w:rPr>
                <w:rStyle w:val="Hyperlink"/>
                <w:noProof/>
              </w:rPr>
              <w:t>International regulatory status</w:t>
            </w:r>
            <w:r>
              <w:rPr>
                <w:noProof/>
                <w:webHidden/>
              </w:rPr>
              <w:tab/>
            </w:r>
            <w:r>
              <w:rPr>
                <w:noProof/>
                <w:webHidden/>
              </w:rPr>
              <w:fldChar w:fldCharType="begin"/>
            </w:r>
            <w:r>
              <w:rPr>
                <w:noProof/>
                <w:webHidden/>
              </w:rPr>
              <w:instrText xml:space="preserve"> PAGEREF _Toc190763100 \h </w:instrText>
            </w:r>
            <w:r>
              <w:rPr>
                <w:noProof/>
                <w:webHidden/>
              </w:rPr>
            </w:r>
            <w:r>
              <w:rPr>
                <w:noProof/>
                <w:webHidden/>
              </w:rPr>
              <w:fldChar w:fldCharType="separate"/>
            </w:r>
            <w:r>
              <w:rPr>
                <w:noProof/>
                <w:webHidden/>
              </w:rPr>
              <w:t>7</w:t>
            </w:r>
            <w:r>
              <w:rPr>
                <w:noProof/>
                <w:webHidden/>
              </w:rPr>
              <w:fldChar w:fldCharType="end"/>
            </w:r>
          </w:hyperlink>
        </w:p>
        <w:p w14:paraId="03FB3057" w14:textId="5E6ACA6C"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01" w:history="1">
            <w:r w:rsidRPr="00346CED">
              <w:rPr>
                <w:rStyle w:val="Hyperlink"/>
                <w:noProof/>
              </w:rPr>
              <w:t>Concurrent submission</w:t>
            </w:r>
            <w:r>
              <w:rPr>
                <w:noProof/>
                <w:webHidden/>
              </w:rPr>
              <w:tab/>
            </w:r>
            <w:r>
              <w:rPr>
                <w:noProof/>
                <w:webHidden/>
              </w:rPr>
              <w:fldChar w:fldCharType="begin"/>
            </w:r>
            <w:r>
              <w:rPr>
                <w:noProof/>
                <w:webHidden/>
              </w:rPr>
              <w:instrText xml:space="preserve"> PAGEREF _Toc190763101 \h </w:instrText>
            </w:r>
            <w:r>
              <w:rPr>
                <w:noProof/>
                <w:webHidden/>
              </w:rPr>
            </w:r>
            <w:r>
              <w:rPr>
                <w:noProof/>
                <w:webHidden/>
              </w:rPr>
              <w:fldChar w:fldCharType="separate"/>
            </w:r>
            <w:r>
              <w:rPr>
                <w:noProof/>
                <w:webHidden/>
              </w:rPr>
              <w:t>7</w:t>
            </w:r>
            <w:r>
              <w:rPr>
                <w:noProof/>
                <w:webHidden/>
              </w:rPr>
              <w:fldChar w:fldCharType="end"/>
            </w:r>
          </w:hyperlink>
        </w:p>
        <w:p w14:paraId="567A3E3D" w14:textId="45AA5445" w:rsidR="00784F00" w:rsidRDefault="00784F0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763102" w:history="1">
            <w:r w:rsidRPr="00346CED">
              <w:rPr>
                <w:rStyle w:val="Hyperlink"/>
                <w:noProof/>
              </w:rPr>
              <w:t>Registration timeline</w:t>
            </w:r>
            <w:r>
              <w:rPr>
                <w:noProof/>
                <w:webHidden/>
              </w:rPr>
              <w:tab/>
            </w:r>
            <w:r>
              <w:rPr>
                <w:noProof/>
                <w:webHidden/>
              </w:rPr>
              <w:fldChar w:fldCharType="begin"/>
            </w:r>
            <w:r>
              <w:rPr>
                <w:noProof/>
                <w:webHidden/>
              </w:rPr>
              <w:instrText xml:space="preserve"> PAGEREF _Toc190763102 \h </w:instrText>
            </w:r>
            <w:r>
              <w:rPr>
                <w:noProof/>
                <w:webHidden/>
              </w:rPr>
            </w:r>
            <w:r>
              <w:rPr>
                <w:noProof/>
                <w:webHidden/>
              </w:rPr>
              <w:fldChar w:fldCharType="separate"/>
            </w:r>
            <w:r>
              <w:rPr>
                <w:noProof/>
                <w:webHidden/>
              </w:rPr>
              <w:t>8</w:t>
            </w:r>
            <w:r>
              <w:rPr>
                <w:noProof/>
                <w:webHidden/>
              </w:rPr>
              <w:fldChar w:fldCharType="end"/>
            </w:r>
          </w:hyperlink>
        </w:p>
        <w:p w14:paraId="2AB292B0" w14:textId="0080043A" w:rsidR="00784F00" w:rsidRDefault="00784F0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763103" w:history="1">
            <w:r w:rsidRPr="00346CED">
              <w:rPr>
                <w:rStyle w:val="Hyperlink"/>
                <w:noProof/>
              </w:rPr>
              <w:t>Submission overview and risk/benefit assessment</w:t>
            </w:r>
            <w:r>
              <w:rPr>
                <w:noProof/>
                <w:webHidden/>
              </w:rPr>
              <w:tab/>
            </w:r>
            <w:r>
              <w:rPr>
                <w:noProof/>
                <w:webHidden/>
              </w:rPr>
              <w:fldChar w:fldCharType="begin"/>
            </w:r>
            <w:r>
              <w:rPr>
                <w:noProof/>
                <w:webHidden/>
              </w:rPr>
              <w:instrText xml:space="preserve"> PAGEREF _Toc190763103 \h </w:instrText>
            </w:r>
            <w:r>
              <w:rPr>
                <w:noProof/>
                <w:webHidden/>
              </w:rPr>
            </w:r>
            <w:r>
              <w:rPr>
                <w:noProof/>
                <w:webHidden/>
              </w:rPr>
              <w:fldChar w:fldCharType="separate"/>
            </w:r>
            <w:r>
              <w:rPr>
                <w:noProof/>
                <w:webHidden/>
              </w:rPr>
              <w:t>8</w:t>
            </w:r>
            <w:r>
              <w:rPr>
                <w:noProof/>
                <w:webHidden/>
              </w:rPr>
              <w:fldChar w:fldCharType="end"/>
            </w:r>
          </w:hyperlink>
        </w:p>
        <w:p w14:paraId="1FB22C54" w14:textId="1A05CF29"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04" w:history="1">
            <w:r w:rsidRPr="00346CED">
              <w:rPr>
                <w:rStyle w:val="Hyperlink"/>
                <w:noProof/>
              </w:rPr>
              <w:t>Quality</w:t>
            </w:r>
            <w:r>
              <w:rPr>
                <w:noProof/>
                <w:webHidden/>
              </w:rPr>
              <w:tab/>
            </w:r>
            <w:r>
              <w:rPr>
                <w:noProof/>
                <w:webHidden/>
              </w:rPr>
              <w:fldChar w:fldCharType="begin"/>
            </w:r>
            <w:r>
              <w:rPr>
                <w:noProof/>
                <w:webHidden/>
              </w:rPr>
              <w:instrText xml:space="preserve"> PAGEREF _Toc190763104 \h </w:instrText>
            </w:r>
            <w:r>
              <w:rPr>
                <w:noProof/>
                <w:webHidden/>
              </w:rPr>
            </w:r>
            <w:r>
              <w:rPr>
                <w:noProof/>
                <w:webHidden/>
              </w:rPr>
              <w:fldChar w:fldCharType="separate"/>
            </w:r>
            <w:r>
              <w:rPr>
                <w:noProof/>
                <w:webHidden/>
              </w:rPr>
              <w:t>8</w:t>
            </w:r>
            <w:r>
              <w:rPr>
                <w:noProof/>
                <w:webHidden/>
              </w:rPr>
              <w:fldChar w:fldCharType="end"/>
            </w:r>
          </w:hyperlink>
        </w:p>
        <w:p w14:paraId="115B4372" w14:textId="3A9D9EA8"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05" w:history="1">
            <w:r w:rsidRPr="00346CED">
              <w:rPr>
                <w:rStyle w:val="Hyperlink"/>
                <w:noProof/>
              </w:rPr>
              <w:t>Nonclinical</w:t>
            </w:r>
            <w:r>
              <w:rPr>
                <w:noProof/>
                <w:webHidden/>
              </w:rPr>
              <w:tab/>
            </w:r>
            <w:r>
              <w:rPr>
                <w:noProof/>
                <w:webHidden/>
              </w:rPr>
              <w:fldChar w:fldCharType="begin"/>
            </w:r>
            <w:r>
              <w:rPr>
                <w:noProof/>
                <w:webHidden/>
              </w:rPr>
              <w:instrText xml:space="preserve"> PAGEREF _Toc190763105 \h </w:instrText>
            </w:r>
            <w:r>
              <w:rPr>
                <w:noProof/>
                <w:webHidden/>
              </w:rPr>
            </w:r>
            <w:r>
              <w:rPr>
                <w:noProof/>
                <w:webHidden/>
              </w:rPr>
              <w:fldChar w:fldCharType="separate"/>
            </w:r>
            <w:r>
              <w:rPr>
                <w:noProof/>
                <w:webHidden/>
              </w:rPr>
              <w:t>9</w:t>
            </w:r>
            <w:r>
              <w:rPr>
                <w:noProof/>
                <w:webHidden/>
              </w:rPr>
              <w:fldChar w:fldCharType="end"/>
            </w:r>
          </w:hyperlink>
        </w:p>
        <w:p w14:paraId="75373757" w14:textId="499F7B49"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06" w:history="1">
            <w:r w:rsidRPr="00346CED">
              <w:rPr>
                <w:rStyle w:val="Hyperlink"/>
                <w:noProof/>
              </w:rPr>
              <w:t>Clinical</w:t>
            </w:r>
            <w:r>
              <w:rPr>
                <w:noProof/>
                <w:webHidden/>
              </w:rPr>
              <w:tab/>
            </w:r>
            <w:r>
              <w:rPr>
                <w:noProof/>
                <w:webHidden/>
              </w:rPr>
              <w:fldChar w:fldCharType="begin"/>
            </w:r>
            <w:r>
              <w:rPr>
                <w:noProof/>
                <w:webHidden/>
              </w:rPr>
              <w:instrText xml:space="preserve"> PAGEREF _Toc190763106 \h </w:instrText>
            </w:r>
            <w:r>
              <w:rPr>
                <w:noProof/>
                <w:webHidden/>
              </w:rPr>
            </w:r>
            <w:r>
              <w:rPr>
                <w:noProof/>
                <w:webHidden/>
              </w:rPr>
              <w:fldChar w:fldCharType="separate"/>
            </w:r>
            <w:r>
              <w:rPr>
                <w:noProof/>
                <w:webHidden/>
              </w:rPr>
              <w:t>9</w:t>
            </w:r>
            <w:r>
              <w:rPr>
                <w:noProof/>
                <w:webHidden/>
              </w:rPr>
              <w:fldChar w:fldCharType="end"/>
            </w:r>
          </w:hyperlink>
        </w:p>
        <w:p w14:paraId="6252F705" w14:textId="0A9E46B7"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07" w:history="1">
            <w:r w:rsidRPr="00346CED">
              <w:rPr>
                <w:rStyle w:val="Hyperlink"/>
                <w:noProof/>
              </w:rPr>
              <w:t>Summary of clinical studies</w:t>
            </w:r>
            <w:r>
              <w:rPr>
                <w:noProof/>
                <w:webHidden/>
              </w:rPr>
              <w:tab/>
            </w:r>
            <w:r>
              <w:rPr>
                <w:noProof/>
                <w:webHidden/>
              </w:rPr>
              <w:fldChar w:fldCharType="begin"/>
            </w:r>
            <w:r>
              <w:rPr>
                <w:noProof/>
                <w:webHidden/>
              </w:rPr>
              <w:instrText xml:space="preserve"> PAGEREF _Toc190763107 \h </w:instrText>
            </w:r>
            <w:r>
              <w:rPr>
                <w:noProof/>
                <w:webHidden/>
              </w:rPr>
            </w:r>
            <w:r>
              <w:rPr>
                <w:noProof/>
                <w:webHidden/>
              </w:rPr>
              <w:fldChar w:fldCharType="separate"/>
            </w:r>
            <w:r>
              <w:rPr>
                <w:noProof/>
                <w:webHidden/>
              </w:rPr>
              <w:t>9</w:t>
            </w:r>
            <w:r>
              <w:rPr>
                <w:noProof/>
                <w:webHidden/>
              </w:rPr>
              <w:fldChar w:fldCharType="end"/>
            </w:r>
          </w:hyperlink>
        </w:p>
        <w:p w14:paraId="23DB62BE" w14:textId="0284CD3C"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08" w:history="1">
            <w:r w:rsidRPr="00346CED">
              <w:rPr>
                <w:rStyle w:val="Hyperlink"/>
                <w:noProof/>
              </w:rPr>
              <w:t>Pharmacology</w:t>
            </w:r>
            <w:r>
              <w:rPr>
                <w:noProof/>
                <w:webHidden/>
              </w:rPr>
              <w:tab/>
            </w:r>
            <w:r>
              <w:rPr>
                <w:noProof/>
                <w:webHidden/>
              </w:rPr>
              <w:fldChar w:fldCharType="begin"/>
            </w:r>
            <w:r>
              <w:rPr>
                <w:noProof/>
                <w:webHidden/>
              </w:rPr>
              <w:instrText xml:space="preserve"> PAGEREF _Toc190763108 \h </w:instrText>
            </w:r>
            <w:r>
              <w:rPr>
                <w:noProof/>
                <w:webHidden/>
              </w:rPr>
            </w:r>
            <w:r>
              <w:rPr>
                <w:noProof/>
                <w:webHidden/>
              </w:rPr>
              <w:fldChar w:fldCharType="separate"/>
            </w:r>
            <w:r>
              <w:rPr>
                <w:noProof/>
                <w:webHidden/>
              </w:rPr>
              <w:t>9</w:t>
            </w:r>
            <w:r>
              <w:rPr>
                <w:noProof/>
                <w:webHidden/>
              </w:rPr>
              <w:fldChar w:fldCharType="end"/>
            </w:r>
          </w:hyperlink>
        </w:p>
        <w:p w14:paraId="3267EA64" w14:textId="1696373A"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09" w:history="1">
            <w:r w:rsidRPr="00346CED">
              <w:rPr>
                <w:rStyle w:val="Hyperlink"/>
                <w:noProof/>
              </w:rPr>
              <w:t>Efficacy</w:t>
            </w:r>
            <w:r>
              <w:rPr>
                <w:noProof/>
                <w:webHidden/>
              </w:rPr>
              <w:tab/>
            </w:r>
            <w:r>
              <w:rPr>
                <w:noProof/>
                <w:webHidden/>
              </w:rPr>
              <w:fldChar w:fldCharType="begin"/>
            </w:r>
            <w:r>
              <w:rPr>
                <w:noProof/>
                <w:webHidden/>
              </w:rPr>
              <w:instrText xml:space="preserve"> PAGEREF _Toc190763109 \h </w:instrText>
            </w:r>
            <w:r>
              <w:rPr>
                <w:noProof/>
                <w:webHidden/>
              </w:rPr>
            </w:r>
            <w:r>
              <w:rPr>
                <w:noProof/>
                <w:webHidden/>
              </w:rPr>
              <w:fldChar w:fldCharType="separate"/>
            </w:r>
            <w:r>
              <w:rPr>
                <w:noProof/>
                <w:webHidden/>
              </w:rPr>
              <w:t>11</w:t>
            </w:r>
            <w:r>
              <w:rPr>
                <w:noProof/>
                <w:webHidden/>
              </w:rPr>
              <w:fldChar w:fldCharType="end"/>
            </w:r>
          </w:hyperlink>
        </w:p>
        <w:p w14:paraId="5797D039" w14:textId="5F4DD9F2"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10" w:history="1">
            <w:r w:rsidRPr="00346CED">
              <w:rPr>
                <w:rStyle w:val="Hyperlink"/>
                <w:noProof/>
              </w:rPr>
              <w:t>Safety</w:t>
            </w:r>
            <w:r>
              <w:rPr>
                <w:noProof/>
                <w:webHidden/>
              </w:rPr>
              <w:tab/>
            </w:r>
            <w:r>
              <w:rPr>
                <w:noProof/>
                <w:webHidden/>
              </w:rPr>
              <w:fldChar w:fldCharType="begin"/>
            </w:r>
            <w:r>
              <w:rPr>
                <w:noProof/>
                <w:webHidden/>
              </w:rPr>
              <w:instrText xml:space="preserve"> PAGEREF _Toc190763110 \h </w:instrText>
            </w:r>
            <w:r>
              <w:rPr>
                <w:noProof/>
                <w:webHidden/>
              </w:rPr>
            </w:r>
            <w:r>
              <w:rPr>
                <w:noProof/>
                <w:webHidden/>
              </w:rPr>
              <w:fldChar w:fldCharType="separate"/>
            </w:r>
            <w:r>
              <w:rPr>
                <w:noProof/>
                <w:webHidden/>
              </w:rPr>
              <w:t>11</w:t>
            </w:r>
            <w:r>
              <w:rPr>
                <w:noProof/>
                <w:webHidden/>
              </w:rPr>
              <w:fldChar w:fldCharType="end"/>
            </w:r>
          </w:hyperlink>
        </w:p>
        <w:p w14:paraId="761C0900" w14:textId="12919313"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11" w:history="1">
            <w:r w:rsidRPr="00346CED">
              <w:rPr>
                <w:rStyle w:val="Hyperlink"/>
                <w:noProof/>
                <w:lang w:eastAsia="en-AU"/>
              </w:rPr>
              <w:t>Risk management plan</w:t>
            </w:r>
            <w:r>
              <w:rPr>
                <w:noProof/>
                <w:webHidden/>
              </w:rPr>
              <w:tab/>
            </w:r>
            <w:r>
              <w:rPr>
                <w:noProof/>
                <w:webHidden/>
              </w:rPr>
              <w:fldChar w:fldCharType="begin"/>
            </w:r>
            <w:r>
              <w:rPr>
                <w:noProof/>
                <w:webHidden/>
              </w:rPr>
              <w:instrText xml:space="preserve"> PAGEREF _Toc190763111 \h </w:instrText>
            </w:r>
            <w:r>
              <w:rPr>
                <w:noProof/>
                <w:webHidden/>
              </w:rPr>
            </w:r>
            <w:r>
              <w:rPr>
                <w:noProof/>
                <w:webHidden/>
              </w:rPr>
              <w:fldChar w:fldCharType="separate"/>
            </w:r>
            <w:r>
              <w:rPr>
                <w:noProof/>
                <w:webHidden/>
              </w:rPr>
              <w:t>14</w:t>
            </w:r>
            <w:r>
              <w:rPr>
                <w:noProof/>
                <w:webHidden/>
              </w:rPr>
              <w:fldChar w:fldCharType="end"/>
            </w:r>
          </w:hyperlink>
        </w:p>
        <w:p w14:paraId="2C922D3A" w14:textId="2A597452"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12" w:history="1">
            <w:r w:rsidRPr="00346CED">
              <w:rPr>
                <w:rStyle w:val="Hyperlink"/>
                <w:noProof/>
              </w:rPr>
              <w:t>Risk-benefit analysis</w:t>
            </w:r>
            <w:r>
              <w:rPr>
                <w:noProof/>
                <w:webHidden/>
              </w:rPr>
              <w:tab/>
            </w:r>
            <w:r>
              <w:rPr>
                <w:noProof/>
                <w:webHidden/>
              </w:rPr>
              <w:fldChar w:fldCharType="begin"/>
            </w:r>
            <w:r>
              <w:rPr>
                <w:noProof/>
                <w:webHidden/>
              </w:rPr>
              <w:instrText xml:space="preserve"> PAGEREF _Toc190763112 \h </w:instrText>
            </w:r>
            <w:r>
              <w:rPr>
                <w:noProof/>
                <w:webHidden/>
              </w:rPr>
            </w:r>
            <w:r>
              <w:rPr>
                <w:noProof/>
                <w:webHidden/>
              </w:rPr>
              <w:fldChar w:fldCharType="separate"/>
            </w:r>
            <w:r>
              <w:rPr>
                <w:noProof/>
                <w:webHidden/>
              </w:rPr>
              <w:t>14</w:t>
            </w:r>
            <w:r>
              <w:rPr>
                <w:noProof/>
                <w:webHidden/>
              </w:rPr>
              <w:fldChar w:fldCharType="end"/>
            </w:r>
          </w:hyperlink>
        </w:p>
        <w:p w14:paraId="7EDDD705" w14:textId="75C18B66"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13" w:history="1">
            <w:r w:rsidRPr="00346CED">
              <w:rPr>
                <w:rStyle w:val="Hyperlink"/>
                <w:noProof/>
              </w:rPr>
              <w:t>Delegate’s considerations</w:t>
            </w:r>
            <w:r>
              <w:rPr>
                <w:noProof/>
                <w:webHidden/>
              </w:rPr>
              <w:tab/>
            </w:r>
            <w:r>
              <w:rPr>
                <w:noProof/>
                <w:webHidden/>
              </w:rPr>
              <w:fldChar w:fldCharType="begin"/>
            </w:r>
            <w:r>
              <w:rPr>
                <w:noProof/>
                <w:webHidden/>
              </w:rPr>
              <w:instrText xml:space="preserve"> PAGEREF _Toc190763113 \h </w:instrText>
            </w:r>
            <w:r>
              <w:rPr>
                <w:noProof/>
                <w:webHidden/>
              </w:rPr>
            </w:r>
            <w:r>
              <w:rPr>
                <w:noProof/>
                <w:webHidden/>
              </w:rPr>
              <w:fldChar w:fldCharType="separate"/>
            </w:r>
            <w:r>
              <w:rPr>
                <w:noProof/>
                <w:webHidden/>
              </w:rPr>
              <w:t>14</w:t>
            </w:r>
            <w:r>
              <w:rPr>
                <w:noProof/>
                <w:webHidden/>
              </w:rPr>
              <w:fldChar w:fldCharType="end"/>
            </w:r>
          </w:hyperlink>
        </w:p>
        <w:p w14:paraId="1F8EC990" w14:textId="112BC271"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14" w:history="1">
            <w:r w:rsidRPr="00346CED">
              <w:rPr>
                <w:rStyle w:val="Hyperlink"/>
                <w:noProof/>
              </w:rPr>
              <w:t>Proposed action</w:t>
            </w:r>
            <w:r>
              <w:rPr>
                <w:noProof/>
                <w:webHidden/>
              </w:rPr>
              <w:tab/>
            </w:r>
            <w:r>
              <w:rPr>
                <w:noProof/>
                <w:webHidden/>
              </w:rPr>
              <w:fldChar w:fldCharType="begin"/>
            </w:r>
            <w:r>
              <w:rPr>
                <w:noProof/>
                <w:webHidden/>
              </w:rPr>
              <w:instrText xml:space="preserve"> PAGEREF _Toc190763114 \h </w:instrText>
            </w:r>
            <w:r>
              <w:rPr>
                <w:noProof/>
                <w:webHidden/>
              </w:rPr>
            </w:r>
            <w:r>
              <w:rPr>
                <w:noProof/>
                <w:webHidden/>
              </w:rPr>
              <w:fldChar w:fldCharType="separate"/>
            </w:r>
            <w:r>
              <w:rPr>
                <w:noProof/>
                <w:webHidden/>
              </w:rPr>
              <w:t>15</w:t>
            </w:r>
            <w:r>
              <w:rPr>
                <w:noProof/>
                <w:webHidden/>
              </w:rPr>
              <w:fldChar w:fldCharType="end"/>
            </w:r>
          </w:hyperlink>
        </w:p>
        <w:p w14:paraId="43D75EC5" w14:textId="4E2E9B87" w:rsidR="00784F00" w:rsidRDefault="00784F00">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0763115" w:history="1">
            <w:r w:rsidRPr="00346CED">
              <w:rPr>
                <w:rStyle w:val="Hyperlink"/>
                <w:noProof/>
              </w:rPr>
              <w:t>Advisory Committee considerations</w:t>
            </w:r>
            <w:r>
              <w:rPr>
                <w:noProof/>
                <w:webHidden/>
              </w:rPr>
              <w:tab/>
            </w:r>
            <w:r>
              <w:rPr>
                <w:noProof/>
                <w:webHidden/>
              </w:rPr>
              <w:fldChar w:fldCharType="begin"/>
            </w:r>
            <w:r>
              <w:rPr>
                <w:noProof/>
                <w:webHidden/>
              </w:rPr>
              <w:instrText xml:space="preserve"> PAGEREF _Toc190763115 \h </w:instrText>
            </w:r>
            <w:r>
              <w:rPr>
                <w:noProof/>
                <w:webHidden/>
              </w:rPr>
            </w:r>
            <w:r>
              <w:rPr>
                <w:noProof/>
                <w:webHidden/>
              </w:rPr>
              <w:fldChar w:fldCharType="separate"/>
            </w:r>
            <w:r>
              <w:rPr>
                <w:noProof/>
                <w:webHidden/>
              </w:rPr>
              <w:t>15</w:t>
            </w:r>
            <w:r>
              <w:rPr>
                <w:noProof/>
                <w:webHidden/>
              </w:rPr>
              <w:fldChar w:fldCharType="end"/>
            </w:r>
          </w:hyperlink>
        </w:p>
        <w:p w14:paraId="385B9404" w14:textId="65F9AAA2" w:rsidR="00784F00" w:rsidRDefault="00784F0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763116" w:history="1">
            <w:r w:rsidRPr="00346CED">
              <w:rPr>
                <w:rStyle w:val="Hyperlink"/>
                <w:noProof/>
              </w:rPr>
              <w:t>Outcome</w:t>
            </w:r>
            <w:r>
              <w:rPr>
                <w:noProof/>
                <w:webHidden/>
              </w:rPr>
              <w:tab/>
            </w:r>
            <w:r>
              <w:rPr>
                <w:noProof/>
                <w:webHidden/>
              </w:rPr>
              <w:fldChar w:fldCharType="begin"/>
            </w:r>
            <w:r>
              <w:rPr>
                <w:noProof/>
                <w:webHidden/>
              </w:rPr>
              <w:instrText xml:space="preserve"> PAGEREF _Toc190763116 \h </w:instrText>
            </w:r>
            <w:r>
              <w:rPr>
                <w:noProof/>
                <w:webHidden/>
              </w:rPr>
            </w:r>
            <w:r>
              <w:rPr>
                <w:noProof/>
                <w:webHidden/>
              </w:rPr>
              <w:fldChar w:fldCharType="separate"/>
            </w:r>
            <w:r>
              <w:rPr>
                <w:noProof/>
                <w:webHidden/>
              </w:rPr>
              <w:t>16</w:t>
            </w:r>
            <w:r>
              <w:rPr>
                <w:noProof/>
                <w:webHidden/>
              </w:rPr>
              <w:fldChar w:fldCharType="end"/>
            </w:r>
          </w:hyperlink>
        </w:p>
        <w:p w14:paraId="2C4A3F3C" w14:textId="12A4FDCE" w:rsidR="00784F00" w:rsidRDefault="00784F00">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0763117" w:history="1">
            <w:r w:rsidRPr="00346CED">
              <w:rPr>
                <w:rStyle w:val="Hyperlink"/>
                <w:noProof/>
              </w:rPr>
              <w:t>Specific conditions of registration applying to these goods</w:t>
            </w:r>
            <w:r>
              <w:rPr>
                <w:noProof/>
                <w:webHidden/>
              </w:rPr>
              <w:tab/>
            </w:r>
            <w:r>
              <w:rPr>
                <w:noProof/>
                <w:webHidden/>
              </w:rPr>
              <w:fldChar w:fldCharType="begin"/>
            </w:r>
            <w:r>
              <w:rPr>
                <w:noProof/>
                <w:webHidden/>
              </w:rPr>
              <w:instrText xml:space="preserve"> PAGEREF _Toc190763117 \h </w:instrText>
            </w:r>
            <w:r>
              <w:rPr>
                <w:noProof/>
                <w:webHidden/>
              </w:rPr>
            </w:r>
            <w:r>
              <w:rPr>
                <w:noProof/>
                <w:webHidden/>
              </w:rPr>
              <w:fldChar w:fldCharType="separate"/>
            </w:r>
            <w:r>
              <w:rPr>
                <w:noProof/>
                <w:webHidden/>
              </w:rPr>
              <w:t>16</w:t>
            </w:r>
            <w:r>
              <w:rPr>
                <w:noProof/>
                <w:webHidden/>
              </w:rPr>
              <w:fldChar w:fldCharType="end"/>
            </w:r>
          </w:hyperlink>
        </w:p>
        <w:p w14:paraId="3768BC36" w14:textId="1DE5346C" w:rsidR="00784F00" w:rsidRDefault="00784F0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763118" w:history="1">
            <w:r w:rsidRPr="00346CED">
              <w:rPr>
                <w:rStyle w:val="Hyperlink"/>
                <w:noProof/>
              </w:rPr>
              <w:t>Attachment 1. Product Information</w:t>
            </w:r>
            <w:r>
              <w:rPr>
                <w:noProof/>
                <w:webHidden/>
              </w:rPr>
              <w:tab/>
            </w:r>
            <w:r>
              <w:rPr>
                <w:noProof/>
                <w:webHidden/>
              </w:rPr>
              <w:fldChar w:fldCharType="begin"/>
            </w:r>
            <w:r>
              <w:rPr>
                <w:noProof/>
                <w:webHidden/>
              </w:rPr>
              <w:instrText xml:space="preserve"> PAGEREF _Toc190763118 \h </w:instrText>
            </w:r>
            <w:r>
              <w:rPr>
                <w:noProof/>
                <w:webHidden/>
              </w:rPr>
            </w:r>
            <w:r>
              <w:rPr>
                <w:noProof/>
                <w:webHidden/>
              </w:rPr>
              <w:fldChar w:fldCharType="separate"/>
            </w:r>
            <w:r>
              <w:rPr>
                <w:noProof/>
                <w:webHidden/>
              </w:rPr>
              <w:t>16</w:t>
            </w:r>
            <w:r>
              <w:rPr>
                <w:noProof/>
                <w:webHidden/>
              </w:rPr>
              <w:fldChar w:fldCharType="end"/>
            </w:r>
          </w:hyperlink>
        </w:p>
        <w:p w14:paraId="77659F2D" w14:textId="48092E2C"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90763091"/>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972"/>
        <w:gridCol w:w="6088"/>
      </w:tblGrid>
      <w:tr w:rsidR="00324B33" w:rsidRPr="00D01DDB" w14:paraId="2117AEF6" w14:textId="77777777" w:rsidTr="00461A20">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40" w:type="pct"/>
          </w:tcPr>
          <w:p w14:paraId="1207B6A7" w14:textId="67F7D360" w:rsidR="00324B33" w:rsidRPr="00D01DDB" w:rsidRDefault="00324B33" w:rsidP="00324B33">
            <w:pPr>
              <w:rPr>
                <w:szCs w:val="22"/>
              </w:rPr>
            </w:pPr>
            <w:r w:rsidRPr="00D01DDB">
              <w:rPr>
                <w:szCs w:val="22"/>
              </w:rPr>
              <w:t>Abbreviation</w:t>
            </w:r>
          </w:p>
        </w:tc>
        <w:tc>
          <w:tcPr>
            <w:tcW w:w="336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46DE09A4" w14:textId="07A94E9E" w:rsidR="00324B33" w:rsidRPr="00D01DDB" w:rsidRDefault="00324B33" w:rsidP="00324B33">
            <w:pPr>
              <w:rPr>
                <w:szCs w:val="22"/>
              </w:rPr>
            </w:pPr>
            <w:r w:rsidRPr="00D01DDB">
              <w:rPr>
                <w:szCs w:val="22"/>
              </w:rPr>
              <w:t>ACM</w:t>
            </w:r>
          </w:p>
        </w:tc>
        <w:tc>
          <w:tcPr>
            <w:tcW w:w="3360" w:type="pct"/>
          </w:tcPr>
          <w:p w14:paraId="4F24A873" w14:textId="34C8CB5E"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324B33" w:rsidRPr="00D01DDB" w14:paraId="35340A59"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5D8B9F80" w14:textId="10921570" w:rsidR="00324B33" w:rsidRPr="00D01DDB" w:rsidRDefault="00A367C4" w:rsidP="00324B33">
            <w:pPr>
              <w:rPr>
                <w:szCs w:val="22"/>
              </w:rPr>
            </w:pPr>
            <w:r>
              <w:rPr>
                <w:szCs w:val="22"/>
              </w:rPr>
              <w:t>ADR</w:t>
            </w:r>
          </w:p>
        </w:tc>
        <w:tc>
          <w:tcPr>
            <w:tcW w:w="3360" w:type="pct"/>
          </w:tcPr>
          <w:p w14:paraId="5072E244" w14:textId="55D0E1E0" w:rsidR="00324B33" w:rsidRPr="00D01DDB" w:rsidRDefault="00A367C4" w:rsidP="00324B33">
            <w:pPr>
              <w:cnfStyle w:val="000000000000" w:firstRow="0" w:lastRow="0" w:firstColumn="0" w:lastColumn="0" w:oddVBand="0" w:evenVBand="0" w:oddHBand="0" w:evenHBand="0" w:firstRowFirstColumn="0" w:firstRowLastColumn="0" w:lastRowFirstColumn="0" w:lastRowLastColumn="0"/>
              <w:rPr>
                <w:szCs w:val="22"/>
              </w:rPr>
            </w:pPr>
            <w:r>
              <w:t>A</w:t>
            </w:r>
            <w:r w:rsidRPr="00643B97">
              <w:t>dverse drug reaction</w:t>
            </w:r>
            <w:r>
              <w:t>(</w:t>
            </w:r>
            <w:r w:rsidRPr="00643B97">
              <w:t>s</w:t>
            </w:r>
            <w:r>
              <w:t>)</w:t>
            </w:r>
          </w:p>
        </w:tc>
      </w:tr>
      <w:tr w:rsidR="00324B33" w:rsidRPr="00D01DDB" w14:paraId="69654661"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143A7AEA" w14:textId="6D49EBE6" w:rsidR="00324B33" w:rsidRPr="00D01DDB" w:rsidRDefault="00324B33" w:rsidP="00324B33">
            <w:pPr>
              <w:rPr>
                <w:szCs w:val="22"/>
              </w:rPr>
            </w:pPr>
            <w:r w:rsidRPr="00D01DDB">
              <w:rPr>
                <w:szCs w:val="22"/>
              </w:rPr>
              <w:t>ARTG</w:t>
            </w:r>
          </w:p>
        </w:tc>
        <w:tc>
          <w:tcPr>
            <w:tcW w:w="336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00516A80" w14:textId="1329E9D5" w:rsidR="00324B33" w:rsidRPr="00D01DDB" w:rsidRDefault="00324B33" w:rsidP="00324B33">
            <w:pPr>
              <w:rPr>
                <w:szCs w:val="22"/>
              </w:rPr>
            </w:pPr>
            <w:r w:rsidRPr="00D01DDB">
              <w:rPr>
                <w:szCs w:val="22"/>
              </w:rPr>
              <w:t>ASA</w:t>
            </w:r>
          </w:p>
        </w:tc>
        <w:tc>
          <w:tcPr>
            <w:tcW w:w="3360" w:type="pct"/>
          </w:tcPr>
          <w:p w14:paraId="4E6F5284" w14:textId="21C063B1"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73D7A">
              <w:rPr>
                <w:szCs w:val="22"/>
              </w:rPr>
              <w:noBreakHyphen/>
            </w:r>
            <w:r w:rsidRPr="00D01DDB">
              <w:rPr>
                <w:szCs w:val="22"/>
              </w:rPr>
              <w:t>specific annex</w:t>
            </w:r>
          </w:p>
        </w:tc>
      </w:tr>
      <w:tr w:rsidR="00E74515" w:rsidRPr="00D01DDB" w14:paraId="0068CDCF"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6FD2E0E0" w14:textId="1801D067" w:rsidR="00E74515" w:rsidRPr="00D01DDB" w:rsidRDefault="00E74515" w:rsidP="00324B33">
            <w:pPr>
              <w:rPr>
                <w:szCs w:val="22"/>
              </w:rPr>
            </w:pPr>
            <w:r>
              <w:rPr>
                <w:szCs w:val="22"/>
              </w:rPr>
              <w:t>ASTCT</w:t>
            </w:r>
          </w:p>
        </w:tc>
        <w:tc>
          <w:tcPr>
            <w:tcW w:w="3360" w:type="pct"/>
          </w:tcPr>
          <w:p w14:paraId="0809F0D5" w14:textId="37E98220" w:rsidR="00E74515" w:rsidRPr="00D01DDB" w:rsidRDefault="00E74515" w:rsidP="00324B33">
            <w:pPr>
              <w:cnfStyle w:val="000000000000" w:firstRow="0" w:lastRow="0" w:firstColumn="0" w:lastColumn="0" w:oddVBand="0" w:evenVBand="0" w:oddHBand="0" w:evenHBand="0" w:firstRowFirstColumn="0" w:firstRowLastColumn="0" w:lastRowFirstColumn="0" w:lastRowLastColumn="0"/>
              <w:rPr>
                <w:szCs w:val="22"/>
              </w:rPr>
            </w:pPr>
            <w:r w:rsidRPr="001F5115">
              <w:t>American Society for Transplantation and Cellular Therapy</w:t>
            </w:r>
          </w:p>
        </w:tc>
      </w:tr>
      <w:tr w:rsidR="002936C9" w:rsidRPr="00D01DDB" w14:paraId="67B7DD6F"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21AB0976" w14:textId="748A737F" w:rsidR="002936C9" w:rsidRPr="00D01DDB" w:rsidRDefault="002936C9" w:rsidP="00324B33">
            <w:pPr>
              <w:rPr>
                <w:szCs w:val="22"/>
              </w:rPr>
            </w:pPr>
            <w:r w:rsidRPr="003024D2">
              <w:t>C1D1</w:t>
            </w:r>
            <w:r>
              <w:t xml:space="preserve"> and analogous</w:t>
            </w:r>
            <w:r w:rsidR="00555149">
              <w:t xml:space="preserve"> terms</w:t>
            </w:r>
          </w:p>
        </w:tc>
        <w:tc>
          <w:tcPr>
            <w:tcW w:w="3360" w:type="pct"/>
          </w:tcPr>
          <w:p w14:paraId="3996C2B1" w14:textId="5295E9EC" w:rsidR="002936C9" w:rsidRPr="00D01DDB" w:rsidRDefault="0055514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Cycle 1, D</w:t>
            </w:r>
            <w:r w:rsidR="00F1294A">
              <w:rPr>
                <w:szCs w:val="22"/>
              </w:rPr>
              <w:t>ay 1 and analogous meanings</w:t>
            </w:r>
          </w:p>
        </w:tc>
      </w:tr>
      <w:tr w:rsidR="00395140" w:rsidRPr="00D01DDB" w14:paraId="7694A4EE"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2AC18809" w14:textId="14711A93" w:rsidR="00395140" w:rsidRPr="00D01DDB" w:rsidRDefault="00395140" w:rsidP="00324B33">
            <w:pPr>
              <w:rPr>
                <w:szCs w:val="22"/>
              </w:rPr>
            </w:pPr>
            <w:r w:rsidRPr="00D01DDB">
              <w:rPr>
                <w:szCs w:val="22"/>
              </w:rPr>
              <w:t>CMI</w:t>
            </w:r>
          </w:p>
        </w:tc>
        <w:tc>
          <w:tcPr>
            <w:tcW w:w="336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F1294A" w:rsidRPr="00D01DDB" w14:paraId="7006489A"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6A57B57C" w14:textId="10A9574E" w:rsidR="00F1294A" w:rsidRPr="00D01DDB" w:rsidRDefault="00F1294A" w:rsidP="00324B33">
            <w:pPr>
              <w:rPr>
                <w:szCs w:val="22"/>
              </w:rPr>
            </w:pPr>
            <w:r>
              <w:rPr>
                <w:szCs w:val="22"/>
              </w:rPr>
              <w:t>CRS</w:t>
            </w:r>
          </w:p>
        </w:tc>
        <w:tc>
          <w:tcPr>
            <w:tcW w:w="3360" w:type="pct"/>
          </w:tcPr>
          <w:p w14:paraId="41DA5546" w14:textId="208FB3C0" w:rsidR="00F1294A" w:rsidRPr="00F1294A" w:rsidRDefault="00F1294A" w:rsidP="00324B33">
            <w:pPr>
              <w:cnfStyle w:val="000000000000" w:firstRow="0" w:lastRow="0" w:firstColumn="0" w:lastColumn="0" w:oddVBand="0" w:evenVBand="0" w:oddHBand="0" w:evenHBand="0" w:firstRowFirstColumn="0" w:firstRowLastColumn="0" w:lastRowFirstColumn="0" w:lastRowLastColumn="0"/>
              <w:rPr>
                <w:szCs w:val="22"/>
              </w:rPr>
            </w:pPr>
            <w:r w:rsidRPr="00F1294A">
              <w:t>Cytokine release syndrome</w:t>
            </w:r>
          </w:p>
        </w:tc>
      </w:tr>
      <w:tr w:rsidR="00E1502F" w:rsidRPr="006C7869" w14:paraId="0871FA5E"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4D41F87D" w14:textId="15D4F860" w:rsidR="00E1502F" w:rsidRPr="006C7869" w:rsidRDefault="00E1502F" w:rsidP="00324B33">
            <w:pPr>
              <w:rPr>
                <w:szCs w:val="22"/>
              </w:rPr>
            </w:pPr>
            <w:r w:rsidRPr="006C7869">
              <w:rPr>
                <w:szCs w:val="22"/>
              </w:rPr>
              <w:t>D</w:t>
            </w:r>
            <w:r w:rsidR="006C7869" w:rsidRPr="006C7869">
              <w:rPr>
                <w:szCs w:val="22"/>
              </w:rPr>
              <w:t>LBCL</w:t>
            </w:r>
          </w:p>
        </w:tc>
        <w:tc>
          <w:tcPr>
            <w:tcW w:w="3360" w:type="pct"/>
          </w:tcPr>
          <w:p w14:paraId="76E69F16" w14:textId="2D257216" w:rsidR="00E1502F" w:rsidRPr="006C7869" w:rsidRDefault="006C7869" w:rsidP="00324B33">
            <w:pPr>
              <w:cnfStyle w:val="000000000000" w:firstRow="0" w:lastRow="0" w:firstColumn="0" w:lastColumn="0" w:oddVBand="0" w:evenVBand="0" w:oddHBand="0" w:evenHBand="0" w:firstRowFirstColumn="0" w:firstRowLastColumn="0" w:lastRowFirstColumn="0" w:lastRowLastColumn="0"/>
              <w:rPr>
                <w:szCs w:val="22"/>
              </w:rPr>
            </w:pPr>
            <w:r w:rsidRPr="006C7869">
              <w:rPr>
                <w:lang w:eastAsia="ja-JP"/>
              </w:rPr>
              <w:t>D</w:t>
            </w:r>
            <w:r w:rsidR="00E1502F" w:rsidRPr="006C7869">
              <w:rPr>
                <w:lang w:eastAsia="ja-JP"/>
              </w:rPr>
              <w:t>iffuse large B</w:t>
            </w:r>
            <w:r w:rsidRPr="006C7869">
              <w:rPr>
                <w:lang w:eastAsia="ja-JP"/>
              </w:rPr>
              <w:t> </w:t>
            </w:r>
            <w:r w:rsidR="00E1502F" w:rsidRPr="006C7869">
              <w:rPr>
                <w:lang w:eastAsia="ja-JP"/>
              </w:rPr>
              <w:t>cell lymphoma</w:t>
            </w:r>
          </w:p>
        </w:tc>
      </w:tr>
      <w:tr w:rsidR="00324B33" w:rsidRPr="00D01DDB" w14:paraId="7B873773"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5CE05B04" w14:textId="0D6731AA" w:rsidR="00324B33" w:rsidRPr="00D01DDB" w:rsidRDefault="00324B33" w:rsidP="00324B33">
            <w:pPr>
              <w:rPr>
                <w:szCs w:val="22"/>
              </w:rPr>
            </w:pPr>
            <w:r w:rsidRPr="00D01DDB">
              <w:rPr>
                <w:szCs w:val="22"/>
              </w:rPr>
              <w:t>DLP</w:t>
            </w:r>
          </w:p>
        </w:tc>
        <w:tc>
          <w:tcPr>
            <w:tcW w:w="336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345C7D" w:rsidRPr="00D01DDB" w14:paraId="0AFF370E"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7DB9F728" w14:textId="388B53B3" w:rsidR="00345C7D" w:rsidRPr="00D01DDB" w:rsidRDefault="00345C7D" w:rsidP="00324B33">
            <w:pPr>
              <w:rPr>
                <w:szCs w:val="22"/>
              </w:rPr>
            </w:pPr>
            <w:r>
              <w:rPr>
                <w:szCs w:val="22"/>
              </w:rPr>
              <w:t>FL</w:t>
            </w:r>
          </w:p>
        </w:tc>
        <w:tc>
          <w:tcPr>
            <w:tcW w:w="3360" w:type="pct"/>
          </w:tcPr>
          <w:p w14:paraId="624BA4D4" w14:textId="21A58ECF" w:rsidR="00345C7D" w:rsidRPr="00D01DDB" w:rsidRDefault="00345C7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Follicular lymphoma</w:t>
            </w:r>
          </w:p>
        </w:tc>
      </w:tr>
      <w:tr w:rsidR="00E61FF5" w:rsidRPr="00D01DDB" w14:paraId="23042E20"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2780331A" w14:textId="0725EE48" w:rsidR="00E61FF5" w:rsidRPr="00E61FF5" w:rsidRDefault="00E61FF5" w:rsidP="00324B33">
            <w:pPr>
              <w:rPr>
                <w:szCs w:val="22"/>
              </w:rPr>
            </w:pPr>
            <w:r w:rsidRPr="00E61FF5">
              <w:rPr>
                <w:szCs w:val="22"/>
              </w:rPr>
              <w:t>HGBCL</w:t>
            </w:r>
          </w:p>
        </w:tc>
        <w:tc>
          <w:tcPr>
            <w:tcW w:w="3360" w:type="pct"/>
          </w:tcPr>
          <w:p w14:paraId="7C35477B" w14:textId="4EFE5C1A" w:rsidR="00E61FF5" w:rsidRDefault="00E61FF5" w:rsidP="00324B33">
            <w:pPr>
              <w:cnfStyle w:val="000000000000" w:firstRow="0" w:lastRow="0" w:firstColumn="0" w:lastColumn="0" w:oddVBand="0" w:evenVBand="0" w:oddHBand="0" w:evenHBand="0" w:firstRowFirstColumn="0" w:firstRowLastColumn="0" w:lastRowFirstColumn="0" w:lastRowLastColumn="0"/>
              <w:rPr>
                <w:szCs w:val="22"/>
              </w:rPr>
            </w:pPr>
            <w:r w:rsidRPr="00E61FF5">
              <w:t>High</w:t>
            </w:r>
            <w:r w:rsidRPr="00E61FF5">
              <w:noBreakHyphen/>
              <w:t>grade B cell lymphoma</w:t>
            </w:r>
          </w:p>
        </w:tc>
      </w:tr>
      <w:tr w:rsidR="00A367C4" w:rsidRPr="00D01DDB" w14:paraId="59808986"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05472A70" w14:textId="43EF9B0D" w:rsidR="00A367C4" w:rsidRPr="00A367C4" w:rsidRDefault="00A367C4" w:rsidP="00A367C4">
            <w:pPr>
              <w:rPr>
                <w:szCs w:val="22"/>
              </w:rPr>
            </w:pPr>
            <w:r w:rsidRPr="00A367C4">
              <w:t>IRR</w:t>
            </w:r>
          </w:p>
        </w:tc>
        <w:tc>
          <w:tcPr>
            <w:tcW w:w="3360" w:type="pct"/>
          </w:tcPr>
          <w:p w14:paraId="1633BA58" w14:textId="6808B639" w:rsidR="00A367C4" w:rsidRPr="00D01DDB" w:rsidRDefault="00A367C4" w:rsidP="00A367C4">
            <w:pPr>
              <w:cnfStyle w:val="000000000000" w:firstRow="0" w:lastRow="0" w:firstColumn="0" w:lastColumn="0" w:oddVBand="0" w:evenVBand="0" w:oddHBand="0" w:evenHBand="0" w:firstRowFirstColumn="0" w:firstRowLastColumn="0" w:lastRowFirstColumn="0" w:lastRowLastColumn="0"/>
              <w:rPr>
                <w:szCs w:val="22"/>
              </w:rPr>
            </w:pPr>
            <w:r w:rsidRPr="00A367C4">
              <w:t>Infusion related reaction(s)</w:t>
            </w:r>
          </w:p>
        </w:tc>
      </w:tr>
      <w:tr w:rsidR="00091A2E" w:rsidRPr="00D01DDB" w14:paraId="24E296E3"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07E50F94" w14:textId="16F65C29" w:rsidR="00091A2E" w:rsidRPr="00D01DDB" w:rsidRDefault="00091A2E" w:rsidP="00324B33">
            <w:pPr>
              <w:rPr>
                <w:szCs w:val="22"/>
              </w:rPr>
            </w:pPr>
            <w:r>
              <w:rPr>
                <w:szCs w:val="22"/>
              </w:rPr>
              <w:t>NHL</w:t>
            </w:r>
          </w:p>
        </w:tc>
        <w:tc>
          <w:tcPr>
            <w:tcW w:w="3360" w:type="pct"/>
          </w:tcPr>
          <w:p w14:paraId="799359A2" w14:textId="30C9CD08" w:rsidR="00091A2E" w:rsidRPr="00D01DDB" w:rsidRDefault="00091A2E" w:rsidP="00091A2E">
            <w:pPr>
              <w:cnfStyle w:val="000000000000" w:firstRow="0" w:lastRow="0" w:firstColumn="0" w:lastColumn="0" w:oddVBand="0" w:evenVBand="0" w:oddHBand="0" w:evenHBand="0" w:firstRowFirstColumn="0" w:firstRowLastColumn="0" w:lastRowFirstColumn="0" w:lastRowLastColumn="0"/>
              <w:rPr>
                <w:szCs w:val="22"/>
              </w:rPr>
            </w:pPr>
            <w:r w:rsidRPr="00091A2E">
              <w:rPr>
                <w:szCs w:val="22"/>
              </w:rPr>
              <w:t xml:space="preserve">Non-Hodgkin </w:t>
            </w:r>
            <w:r>
              <w:rPr>
                <w:szCs w:val="22"/>
              </w:rPr>
              <w:t>l</w:t>
            </w:r>
            <w:r w:rsidRPr="00091A2E">
              <w:rPr>
                <w:szCs w:val="22"/>
              </w:rPr>
              <w:t>ymphoma</w:t>
            </w:r>
          </w:p>
        </w:tc>
      </w:tr>
      <w:tr w:rsidR="00395140" w:rsidRPr="00D01DDB" w14:paraId="2756B6F2"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12AA960E" w14:textId="72403C37" w:rsidR="00395140" w:rsidRPr="00D01DDB" w:rsidRDefault="00395140" w:rsidP="00324B33">
            <w:pPr>
              <w:rPr>
                <w:szCs w:val="22"/>
              </w:rPr>
            </w:pPr>
            <w:r w:rsidRPr="00D01DDB">
              <w:rPr>
                <w:szCs w:val="22"/>
              </w:rPr>
              <w:t>PI</w:t>
            </w:r>
          </w:p>
        </w:tc>
        <w:tc>
          <w:tcPr>
            <w:tcW w:w="336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091A2E" w:rsidRPr="00D01DDB" w14:paraId="3460666E"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16BF86B9" w14:textId="32393A9F" w:rsidR="00091A2E" w:rsidRPr="00D01DDB" w:rsidRDefault="00091A2E" w:rsidP="00324B33">
            <w:pPr>
              <w:rPr>
                <w:szCs w:val="22"/>
              </w:rPr>
            </w:pPr>
            <w:r>
              <w:rPr>
                <w:szCs w:val="22"/>
              </w:rPr>
              <w:t>PK</w:t>
            </w:r>
          </w:p>
        </w:tc>
        <w:tc>
          <w:tcPr>
            <w:tcW w:w="3360" w:type="pct"/>
          </w:tcPr>
          <w:p w14:paraId="4CA0155D" w14:textId="7A147D85" w:rsidR="00091A2E" w:rsidRPr="00D01DDB" w:rsidRDefault="00091A2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Pharmacokinetic(s)</w:t>
            </w:r>
          </w:p>
        </w:tc>
      </w:tr>
      <w:tr w:rsidR="00EA77F2" w:rsidRPr="00D01DDB" w14:paraId="3A608123"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64AFC946" w14:textId="5569622A" w:rsidR="00EA77F2" w:rsidRDefault="00EA77F2" w:rsidP="00324B33">
            <w:pPr>
              <w:rPr>
                <w:szCs w:val="22"/>
              </w:rPr>
            </w:pPr>
            <w:r>
              <w:rPr>
                <w:szCs w:val="22"/>
              </w:rPr>
              <w:t>PMBCL</w:t>
            </w:r>
          </w:p>
        </w:tc>
        <w:tc>
          <w:tcPr>
            <w:tcW w:w="3360" w:type="pct"/>
          </w:tcPr>
          <w:p w14:paraId="46C97A2A" w14:textId="33C2477C" w:rsidR="00EA77F2" w:rsidRDefault="00EA77F2" w:rsidP="00324B33">
            <w:pPr>
              <w:cnfStyle w:val="000000000000" w:firstRow="0" w:lastRow="0" w:firstColumn="0" w:lastColumn="0" w:oddVBand="0" w:evenVBand="0" w:oddHBand="0" w:evenHBand="0" w:firstRowFirstColumn="0" w:firstRowLastColumn="0" w:lastRowFirstColumn="0" w:lastRowLastColumn="0"/>
              <w:rPr>
                <w:szCs w:val="22"/>
              </w:rPr>
            </w:pPr>
            <w:r>
              <w:t>P</w:t>
            </w:r>
            <w:r w:rsidRPr="00DE5E0D">
              <w:t>rimary mediastinal B</w:t>
            </w:r>
            <w:r>
              <w:t> </w:t>
            </w:r>
            <w:r w:rsidRPr="00DE5E0D">
              <w:t>cell lymphoma</w:t>
            </w:r>
          </w:p>
        </w:tc>
      </w:tr>
      <w:tr w:rsidR="00A704DC" w:rsidRPr="00D01DDB" w14:paraId="3D3C703D"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76FC5D65" w14:textId="2915A0B8" w:rsidR="00A704DC" w:rsidRPr="00D01DDB" w:rsidRDefault="00A704DC" w:rsidP="00A704DC">
            <w:pPr>
              <w:rPr>
                <w:szCs w:val="22"/>
              </w:rPr>
            </w:pPr>
            <w:r w:rsidRPr="00D01DDB">
              <w:rPr>
                <w:szCs w:val="22"/>
              </w:rPr>
              <w:t>PSUR</w:t>
            </w:r>
          </w:p>
        </w:tc>
        <w:tc>
          <w:tcPr>
            <w:tcW w:w="3360" w:type="pct"/>
          </w:tcPr>
          <w:p w14:paraId="4A97D112" w14:textId="3DC38D8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A704DC" w:rsidRPr="00D01DDB" w14:paraId="07F3695A"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49390BCA" w14:textId="201D691B" w:rsidR="00A704DC" w:rsidRPr="00D01DDB" w:rsidRDefault="00A704DC" w:rsidP="00A704DC">
            <w:pPr>
              <w:rPr>
                <w:szCs w:val="22"/>
              </w:rPr>
            </w:pPr>
            <w:r w:rsidRPr="00D01DDB">
              <w:rPr>
                <w:szCs w:val="22"/>
              </w:rPr>
              <w:t>RMP</w:t>
            </w:r>
          </w:p>
        </w:tc>
        <w:tc>
          <w:tcPr>
            <w:tcW w:w="3360" w:type="pct"/>
          </w:tcPr>
          <w:p w14:paraId="2C862F75" w14:textId="2355E84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091A2E" w:rsidRPr="00D01DDB" w14:paraId="3FAF6127"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6DF2BCCD" w14:textId="10AB1BE1" w:rsidR="00091A2E" w:rsidRPr="00D01DDB" w:rsidRDefault="00091A2E" w:rsidP="00A704DC">
            <w:pPr>
              <w:rPr>
                <w:szCs w:val="22"/>
              </w:rPr>
            </w:pPr>
            <w:r>
              <w:rPr>
                <w:szCs w:val="22"/>
              </w:rPr>
              <w:t>RO</w:t>
            </w:r>
          </w:p>
        </w:tc>
        <w:tc>
          <w:tcPr>
            <w:tcW w:w="3360" w:type="pct"/>
          </w:tcPr>
          <w:p w14:paraId="1441E9B4" w14:textId="1002CD69" w:rsidR="00091A2E" w:rsidRPr="00D01DDB" w:rsidRDefault="00091A2E"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Receptor occupancy</w:t>
            </w:r>
          </w:p>
        </w:tc>
      </w:tr>
      <w:tr w:rsidR="005A245B" w:rsidRPr="00D01DDB" w14:paraId="084A879A"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40AF1715" w14:textId="0E3AA9FB" w:rsidR="005A245B" w:rsidRDefault="005A245B" w:rsidP="00A704DC">
            <w:pPr>
              <w:rPr>
                <w:szCs w:val="22"/>
              </w:rPr>
            </w:pPr>
            <w:r>
              <w:rPr>
                <w:szCs w:val="22"/>
              </w:rPr>
              <w:t>R/R</w:t>
            </w:r>
          </w:p>
        </w:tc>
        <w:tc>
          <w:tcPr>
            <w:tcW w:w="3360" w:type="pct"/>
          </w:tcPr>
          <w:p w14:paraId="1815682F" w14:textId="06D03E2E" w:rsidR="005A245B" w:rsidRDefault="005A245B" w:rsidP="00A704DC">
            <w:pPr>
              <w:cnfStyle w:val="000000000000" w:firstRow="0" w:lastRow="0" w:firstColumn="0" w:lastColumn="0" w:oddVBand="0" w:evenVBand="0" w:oddHBand="0" w:evenHBand="0" w:firstRowFirstColumn="0" w:firstRowLastColumn="0" w:lastRowFirstColumn="0" w:lastRowLastColumn="0"/>
              <w:rPr>
                <w:szCs w:val="22"/>
              </w:rPr>
            </w:pPr>
            <w:r>
              <w:rPr>
                <w:lang w:eastAsia="ja-JP"/>
              </w:rPr>
              <w:t>Relapsed/refractory</w:t>
            </w:r>
          </w:p>
        </w:tc>
      </w:tr>
      <w:tr w:rsidR="00A704DC" w:rsidRPr="00D01DDB" w14:paraId="254AC9B9" w14:textId="77777777" w:rsidTr="00461A20">
        <w:trPr>
          <w:trHeight w:val="386"/>
        </w:trPr>
        <w:tc>
          <w:tcPr>
            <w:cnfStyle w:val="001000000000" w:firstRow="0" w:lastRow="0" w:firstColumn="1" w:lastColumn="0" w:oddVBand="0" w:evenVBand="0" w:oddHBand="0" w:evenHBand="0" w:firstRowFirstColumn="0" w:firstRowLastColumn="0" w:lastRowFirstColumn="0" w:lastRowLastColumn="0"/>
            <w:tcW w:w="1640" w:type="pct"/>
          </w:tcPr>
          <w:p w14:paraId="574FC2A0" w14:textId="41297C79" w:rsidR="00A704DC" w:rsidRPr="00D01DDB" w:rsidRDefault="00A704DC" w:rsidP="00A704DC">
            <w:pPr>
              <w:rPr>
                <w:szCs w:val="22"/>
              </w:rPr>
            </w:pPr>
            <w:r w:rsidRPr="00D01DDB">
              <w:rPr>
                <w:szCs w:val="22"/>
              </w:rPr>
              <w:t>TGA</w:t>
            </w:r>
          </w:p>
        </w:tc>
        <w:tc>
          <w:tcPr>
            <w:tcW w:w="3360" w:type="pct"/>
          </w:tcPr>
          <w:p w14:paraId="29EA6BA3" w14:textId="6F99059F"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90763092"/>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90763093"/>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3401"/>
        <w:gridCol w:w="5669"/>
      </w:tblGrid>
      <w:tr w:rsidR="00324B33" w:rsidRPr="00BD5DBD" w14:paraId="77D11C95" w14:textId="77777777" w:rsidTr="005B50B7">
        <w:tc>
          <w:tcPr>
            <w:tcW w:w="1875" w:type="pct"/>
          </w:tcPr>
          <w:p w14:paraId="10E57D62" w14:textId="0BD3B7C0" w:rsidR="00324B33" w:rsidRPr="00BD5DBD" w:rsidRDefault="00324B33" w:rsidP="007452E8">
            <w:pPr>
              <w:rPr>
                <w:i/>
                <w:szCs w:val="22"/>
              </w:rPr>
            </w:pPr>
            <w:r w:rsidRPr="00BD5DBD">
              <w:rPr>
                <w:i/>
                <w:szCs w:val="22"/>
              </w:rPr>
              <w:t>Type of submission:</w:t>
            </w:r>
          </w:p>
        </w:tc>
        <w:tc>
          <w:tcPr>
            <w:tcW w:w="3125" w:type="pct"/>
          </w:tcPr>
          <w:p w14:paraId="4F07C303" w14:textId="1DDBDAD2" w:rsidR="00324B33" w:rsidRPr="00BD5DBD" w:rsidRDefault="003702A8" w:rsidP="007452E8">
            <w:pPr>
              <w:rPr>
                <w:szCs w:val="22"/>
              </w:rPr>
            </w:pPr>
            <w:bookmarkStart w:id="11" w:name="_Hlk190760644"/>
            <w:r>
              <w:rPr>
                <w:szCs w:val="22"/>
              </w:rPr>
              <w:t>Extension of indication</w:t>
            </w:r>
            <w:bookmarkEnd w:id="11"/>
          </w:p>
        </w:tc>
      </w:tr>
      <w:tr w:rsidR="00324B33" w:rsidRPr="00BD5DBD" w14:paraId="13482B61" w14:textId="77777777" w:rsidTr="005B50B7">
        <w:tc>
          <w:tcPr>
            <w:tcW w:w="1875" w:type="pct"/>
          </w:tcPr>
          <w:p w14:paraId="2C427FCF" w14:textId="49D61530" w:rsidR="00324B33" w:rsidRPr="00BD5DBD" w:rsidRDefault="00324B33" w:rsidP="007452E8">
            <w:pPr>
              <w:rPr>
                <w:i/>
                <w:szCs w:val="22"/>
              </w:rPr>
            </w:pPr>
            <w:r w:rsidRPr="00BD5DBD">
              <w:rPr>
                <w:i/>
                <w:szCs w:val="22"/>
              </w:rPr>
              <w:t>Product name:</w:t>
            </w:r>
          </w:p>
        </w:tc>
        <w:tc>
          <w:tcPr>
            <w:tcW w:w="3125" w:type="pct"/>
          </w:tcPr>
          <w:p w14:paraId="0E2DEF76" w14:textId="2CD60B92" w:rsidR="00324B33" w:rsidRPr="00BD5DBD" w:rsidRDefault="005D45A9" w:rsidP="007452E8">
            <w:pPr>
              <w:rPr>
                <w:szCs w:val="22"/>
              </w:rPr>
            </w:pPr>
            <w:r>
              <w:rPr>
                <w:szCs w:val="22"/>
              </w:rPr>
              <w:t>Gazyva</w:t>
            </w:r>
          </w:p>
        </w:tc>
      </w:tr>
      <w:tr w:rsidR="00324B33" w:rsidRPr="00BD5DBD" w14:paraId="01255B5B" w14:textId="77777777" w:rsidTr="005B50B7">
        <w:tc>
          <w:tcPr>
            <w:tcW w:w="1875" w:type="pct"/>
          </w:tcPr>
          <w:p w14:paraId="52B4F3D7" w14:textId="2EA6737E" w:rsidR="00324B33" w:rsidRPr="00BD5DBD" w:rsidRDefault="00324B33" w:rsidP="007452E8">
            <w:pPr>
              <w:rPr>
                <w:i/>
                <w:szCs w:val="22"/>
              </w:rPr>
            </w:pPr>
            <w:r w:rsidRPr="00BD5DBD">
              <w:rPr>
                <w:i/>
                <w:szCs w:val="22"/>
              </w:rPr>
              <w:t>Active ingredient:</w:t>
            </w:r>
          </w:p>
        </w:tc>
        <w:tc>
          <w:tcPr>
            <w:tcW w:w="3125" w:type="pct"/>
          </w:tcPr>
          <w:p w14:paraId="02FB6383" w14:textId="69161DC6" w:rsidR="00324B33" w:rsidRPr="00BD5DBD" w:rsidRDefault="005D45A9" w:rsidP="007452E8">
            <w:pPr>
              <w:rPr>
                <w:szCs w:val="22"/>
              </w:rPr>
            </w:pPr>
            <w:r>
              <w:rPr>
                <w:szCs w:val="22"/>
              </w:rPr>
              <w:t>Obinutuzumab (rch)</w:t>
            </w:r>
          </w:p>
        </w:tc>
      </w:tr>
      <w:tr w:rsidR="00324B33" w:rsidRPr="00BD5DBD" w14:paraId="219A281B" w14:textId="77777777" w:rsidTr="005B50B7">
        <w:tc>
          <w:tcPr>
            <w:tcW w:w="1875" w:type="pct"/>
          </w:tcPr>
          <w:p w14:paraId="112E5F78" w14:textId="77777777" w:rsidR="00324B33" w:rsidRPr="00BD5DBD" w:rsidRDefault="00324B33" w:rsidP="007452E8">
            <w:pPr>
              <w:rPr>
                <w:i/>
                <w:szCs w:val="22"/>
              </w:rPr>
            </w:pPr>
            <w:r w:rsidRPr="00BD5DBD">
              <w:rPr>
                <w:i/>
                <w:szCs w:val="22"/>
              </w:rPr>
              <w:t>Decision:</w:t>
            </w:r>
          </w:p>
        </w:tc>
        <w:tc>
          <w:tcPr>
            <w:tcW w:w="3125" w:type="pct"/>
          </w:tcPr>
          <w:p w14:paraId="3B114BEA" w14:textId="054A1BB1" w:rsidR="00324B33" w:rsidRPr="00BD5DBD" w:rsidRDefault="00324B33" w:rsidP="007452E8">
            <w:pPr>
              <w:rPr>
                <w:szCs w:val="22"/>
              </w:rPr>
            </w:pPr>
            <w:r w:rsidRPr="00BD5DBD">
              <w:rPr>
                <w:szCs w:val="22"/>
              </w:rPr>
              <w:t>Approved</w:t>
            </w:r>
          </w:p>
        </w:tc>
      </w:tr>
      <w:tr w:rsidR="00AE1947" w:rsidRPr="00BD5DBD" w14:paraId="32B72632" w14:textId="77777777" w:rsidTr="005B50B7">
        <w:tc>
          <w:tcPr>
            <w:tcW w:w="1875" w:type="pct"/>
          </w:tcPr>
          <w:p w14:paraId="332A5CD5" w14:textId="682CD1B3" w:rsidR="00AE1947" w:rsidRPr="00BD5DBD" w:rsidRDefault="00AE1947" w:rsidP="00C018DE">
            <w:r w:rsidRPr="00BD5DBD">
              <w:rPr>
                <w:i/>
                <w:szCs w:val="22"/>
              </w:rPr>
              <w:t>Date of decision:</w:t>
            </w:r>
          </w:p>
        </w:tc>
        <w:tc>
          <w:tcPr>
            <w:tcW w:w="3125" w:type="pct"/>
          </w:tcPr>
          <w:p w14:paraId="7B381CD6" w14:textId="04DFF48F" w:rsidR="00AE1947" w:rsidRPr="00BD5DBD" w:rsidRDefault="00237CF9" w:rsidP="00602658">
            <w:pPr>
              <w:rPr>
                <w:szCs w:val="22"/>
              </w:rPr>
            </w:pPr>
            <w:r>
              <w:rPr>
                <w:szCs w:val="22"/>
              </w:rPr>
              <w:t>3 May 2023</w:t>
            </w:r>
          </w:p>
        </w:tc>
      </w:tr>
      <w:tr w:rsidR="00324B33" w:rsidRPr="00BD5DBD" w14:paraId="60A25F5A" w14:textId="77777777" w:rsidTr="005B50B7">
        <w:tc>
          <w:tcPr>
            <w:tcW w:w="1875" w:type="pct"/>
          </w:tcPr>
          <w:p w14:paraId="5C5E4CBA" w14:textId="424622C8" w:rsidR="00324B33" w:rsidRPr="00C72CB9" w:rsidRDefault="00324B33" w:rsidP="007452E8">
            <w:pPr>
              <w:rPr>
                <w:i/>
                <w:szCs w:val="22"/>
              </w:rPr>
            </w:pPr>
            <w:r w:rsidRPr="00C72CB9">
              <w:rPr>
                <w:i/>
                <w:szCs w:val="22"/>
              </w:rPr>
              <w:t xml:space="preserve">Date of entry </w:t>
            </w:r>
            <w:r w:rsidR="004D050D" w:rsidRPr="00C72CB9">
              <w:rPr>
                <w:i/>
                <w:szCs w:val="22"/>
              </w:rPr>
              <w:t>i</w:t>
            </w:r>
            <w:r w:rsidRPr="00C72CB9">
              <w:rPr>
                <w:i/>
                <w:szCs w:val="22"/>
              </w:rPr>
              <w:t>nto ARTG:</w:t>
            </w:r>
          </w:p>
        </w:tc>
        <w:tc>
          <w:tcPr>
            <w:tcW w:w="3125" w:type="pct"/>
          </w:tcPr>
          <w:p w14:paraId="28B270E9" w14:textId="2C2CE8D9" w:rsidR="00324B33" w:rsidRPr="00BD5DBD" w:rsidRDefault="00C72CB9" w:rsidP="007452E8">
            <w:pPr>
              <w:rPr>
                <w:szCs w:val="22"/>
              </w:rPr>
            </w:pPr>
            <w:r w:rsidRPr="00C72CB9">
              <w:rPr>
                <w:szCs w:val="22"/>
              </w:rPr>
              <w:t>4 May 2023</w:t>
            </w:r>
          </w:p>
        </w:tc>
      </w:tr>
      <w:tr w:rsidR="00324B33" w:rsidRPr="00BD5DBD" w14:paraId="547E08D7" w14:textId="77777777" w:rsidTr="005B50B7">
        <w:tc>
          <w:tcPr>
            <w:tcW w:w="1875" w:type="pct"/>
          </w:tcPr>
          <w:p w14:paraId="5030EF30" w14:textId="3745EFD7" w:rsidR="00324B33" w:rsidRPr="00BD5DBD" w:rsidRDefault="00324B33" w:rsidP="007452E8">
            <w:pPr>
              <w:rPr>
                <w:i/>
                <w:szCs w:val="22"/>
              </w:rPr>
            </w:pPr>
            <w:r w:rsidRPr="00BD5DBD">
              <w:rPr>
                <w:i/>
                <w:szCs w:val="22"/>
              </w:rPr>
              <w:t>ARTG number:</w:t>
            </w:r>
          </w:p>
        </w:tc>
        <w:tc>
          <w:tcPr>
            <w:tcW w:w="3125" w:type="pct"/>
          </w:tcPr>
          <w:p w14:paraId="0054E912" w14:textId="5B7B517B" w:rsidR="00324B33" w:rsidRPr="00BD5DBD" w:rsidRDefault="005D45A9" w:rsidP="007452E8">
            <w:pPr>
              <w:rPr>
                <w:szCs w:val="22"/>
              </w:rPr>
            </w:pPr>
            <w:r>
              <w:rPr>
                <w:szCs w:val="22"/>
              </w:rPr>
              <w:t>210</w:t>
            </w:r>
            <w:r w:rsidR="007358E9">
              <w:rPr>
                <w:szCs w:val="22"/>
              </w:rPr>
              <w:t>562</w:t>
            </w:r>
          </w:p>
        </w:tc>
      </w:tr>
      <w:tr w:rsidR="00324B33" w:rsidRPr="00BD5DBD" w14:paraId="7618393F" w14:textId="77777777" w:rsidTr="005B50B7">
        <w:tc>
          <w:tcPr>
            <w:tcW w:w="1875" w:type="pct"/>
          </w:tcPr>
          <w:p w14:paraId="02260DE2" w14:textId="0B0A0EFC" w:rsidR="00324B33" w:rsidRPr="00BD5DBD" w:rsidRDefault="00324B33" w:rsidP="00C72CB9">
            <w:pPr>
              <w:rPr>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tc>
        <w:tc>
          <w:tcPr>
            <w:tcW w:w="3125" w:type="pct"/>
          </w:tcPr>
          <w:p w14:paraId="6FF3C6A2" w14:textId="2BA2343E" w:rsidR="00324B33" w:rsidRPr="00BD5DBD" w:rsidRDefault="00324B33" w:rsidP="007452E8">
            <w:pPr>
              <w:rPr>
                <w:szCs w:val="22"/>
              </w:rPr>
            </w:pPr>
            <w:r w:rsidRPr="00BD5DBD">
              <w:rPr>
                <w:szCs w:val="22"/>
              </w:rPr>
              <w:t>No</w:t>
            </w:r>
          </w:p>
        </w:tc>
      </w:tr>
      <w:tr w:rsidR="00324B33" w:rsidRPr="00BD5DBD" w14:paraId="179E09FE" w14:textId="77777777" w:rsidTr="005B50B7">
        <w:tc>
          <w:tcPr>
            <w:tcW w:w="1875" w:type="pct"/>
          </w:tcPr>
          <w:p w14:paraId="1A592498" w14:textId="77777777" w:rsidR="00324B33" w:rsidRPr="00BD5DBD" w:rsidRDefault="00324B33" w:rsidP="007452E8">
            <w:pPr>
              <w:rPr>
                <w:i/>
                <w:szCs w:val="22"/>
              </w:rPr>
            </w:pPr>
            <w:r w:rsidRPr="00BD5DBD">
              <w:rPr>
                <w:i/>
                <w:szCs w:val="22"/>
              </w:rPr>
              <w:t>Sponsor’s name and address:</w:t>
            </w:r>
          </w:p>
        </w:tc>
        <w:tc>
          <w:tcPr>
            <w:tcW w:w="3125" w:type="pct"/>
          </w:tcPr>
          <w:p w14:paraId="5FD63592" w14:textId="77777777" w:rsidR="00324B33" w:rsidRDefault="007358E9" w:rsidP="007452E8">
            <w:pPr>
              <w:rPr>
                <w:szCs w:val="22"/>
              </w:rPr>
            </w:pPr>
            <w:r>
              <w:rPr>
                <w:szCs w:val="22"/>
              </w:rPr>
              <w:t>Roche Products Pty Ltd</w:t>
            </w:r>
          </w:p>
          <w:p w14:paraId="24384D1F" w14:textId="77777777" w:rsidR="007358E9" w:rsidRDefault="007358E9" w:rsidP="007452E8">
            <w:pPr>
              <w:rPr>
                <w:szCs w:val="22"/>
              </w:rPr>
            </w:pPr>
            <w:r>
              <w:rPr>
                <w:szCs w:val="22"/>
              </w:rPr>
              <w:t>Level 8,</w:t>
            </w:r>
            <w:r w:rsidR="00BA5976">
              <w:rPr>
                <w:szCs w:val="22"/>
              </w:rPr>
              <w:t xml:space="preserve"> 30</w:t>
            </w:r>
            <w:r w:rsidR="00BA5976">
              <w:rPr>
                <w:szCs w:val="22"/>
              </w:rPr>
              <w:noBreakHyphen/>
              <w:t>34 Hickson Road</w:t>
            </w:r>
          </w:p>
          <w:p w14:paraId="68DD94B0" w14:textId="0A364385" w:rsidR="00BA5976" w:rsidRPr="00BD5DBD" w:rsidRDefault="00BA5976" w:rsidP="007452E8">
            <w:pPr>
              <w:rPr>
                <w:szCs w:val="22"/>
              </w:rPr>
            </w:pPr>
            <w:r>
              <w:rPr>
                <w:szCs w:val="22"/>
              </w:rPr>
              <w:t>Sydney   NSW   2000</w:t>
            </w:r>
          </w:p>
        </w:tc>
      </w:tr>
      <w:tr w:rsidR="00324B33" w:rsidRPr="00BD5DBD" w14:paraId="5322B989" w14:textId="77777777" w:rsidTr="005B50B7">
        <w:tc>
          <w:tcPr>
            <w:tcW w:w="1875" w:type="pct"/>
          </w:tcPr>
          <w:p w14:paraId="24F217E3" w14:textId="4A6B369C" w:rsidR="00324B33" w:rsidRPr="00BD5DBD" w:rsidRDefault="00324B33" w:rsidP="007452E8">
            <w:pPr>
              <w:rPr>
                <w:i/>
                <w:szCs w:val="22"/>
              </w:rPr>
            </w:pPr>
            <w:r w:rsidRPr="00BD5DBD">
              <w:rPr>
                <w:i/>
                <w:szCs w:val="22"/>
              </w:rPr>
              <w:t>Dose form:</w:t>
            </w:r>
          </w:p>
        </w:tc>
        <w:tc>
          <w:tcPr>
            <w:tcW w:w="3125" w:type="pct"/>
          </w:tcPr>
          <w:p w14:paraId="768B254C" w14:textId="1329384E" w:rsidR="00324B33" w:rsidRPr="00BD5DBD" w:rsidRDefault="00BA5976" w:rsidP="007452E8">
            <w:pPr>
              <w:rPr>
                <w:szCs w:val="22"/>
              </w:rPr>
            </w:pPr>
            <w:r>
              <w:rPr>
                <w:szCs w:val="22"/>
              </w:rPr>
              <w:t>Concentrate solution for infusion</w:t>
            </w:r>
          </w:p>
        </w:tc>
      </w:tr>
      <w:tr w:rsidR="00324B33" w:rsidRPr="00BD5DBD" w14:paraId="115243E6" w14:textId="77777777" w:rsidTr="005B50B7">
        <w:tc>
          <w:tcPr>
            <w:tcW w:w="1875" w:type="pct"/>
          </w:tcPr>
          <w:p w14:paraId="7634B062" w14:textId="49CCB68F" w:rsidR="00324B33" w:rsidRPr="00BD5DBD" w:rsidRDefault="00324B33" w:rsidP="007452E8">
            <w:pPr>
              <w:rPr>
                <w:i/>
                <w:szCs w:val="22"/>
              </w:rPr>
            </w:pPr>
            <w:r w:rsidRPr="00BD5DBD">
              <w:rPr>
                <w:i/>
                <w:szCs w:val="22"/>
              </w:rPr>
              <w:t>Strength:</w:t>
            </w:r>
          </w:p>
        </w:tc>
        <w:tc>
          <w:tcPr>
            <w:tcW w:w="3125" w:type="pct"/>
          </w:tcPr>
          <w:p w14:paraId="5E5F83DB" w14:textId="58B18686" w:rsidR="00324B33" w:rsidRPr="00BD5DBD" w:rsidRDefault="00BA5976" w:rsidP="007452E8">
            <w:pPr>
              <w:rPr>
                <w:szCs w:val="22"/>
              </w:rPr>
            </w:pPr>
            <w:r>
              <w:rPr>
                <w:szCs w:val="22"/>
              </w:rPr>
              <w:t>1000 mg/40 mL</w:t>
            </w:r>
          </w:p>
        </w:tc>
      </w:tr>
      <w:tr w:rsidR="00324B33" w:rsidRPr="00BD5DBD" w14:paraId="34B07BA6" w14:textId="77777777" w:rsidTr="005B50B7">
        <w:tc>
          <w:tcPr>
            <w:tcW w:w="1875" w:type="pct"/>
          </w:tcPr>
          <w:p w14:paraId="1C039224" w14:textId="6F18DDF2" w:rsidR="00324B33" w:rsidRPr="00BD5DBD" w:rsidRDefault="00324B33" w:rsidP="007452E8">
            <w:pPr>
              <w:rPr>
                <w:i/>
                <w:szCs w:val="22"/>
              </w:rPr>
            </w:pPr>
            <w:r w:rsidRPr="00BD5DBD">
              <w:rPr>
                <w:i/>
                <w:szCs w:val="22"/>
              </w:rPr>
              <w:t>Container:</w:t>
            </w:r>
          </w:p>
        </w:tc>
        <w:tc>
          <w:tcPr>
            <w:tcW w:w="3125" w:type="pct"/>
          </w:tcPr>
          <w:p w14:paraId="500A42C6" w14:textId="2FEC1FF6" w:rsidR="00324B33" w:rsidRPr="00BD5DBD" w:rsidRDefault="00BA5976" w:rsidP="007452E8">
            <w:pPr>
              <w:rPr>
                <w:szCs w:val="22"/>
              </w:rPr>
            </w:pPr>
            <w:r>
              <w:rPr>
                <w:szCs w:val="22"/>
              </w:rPr>
              <w:t>Vial</w:t>
            </w:r>
          </w:p>
        </w:tc>
      </w:tr>
      <w:tr w:rsidR="00324B33" w:rsidRPr="00BD5DBD" w14:paraId="176B6773" w14:textId="77777777" w:rsidTr="005B50B7">
        <w:tc>
          <w:tcPr>
            <w:tcW w:w="1875" w:type="pct"/>
          </w:tcPr>
          <w:p w14:paraId="71846159" w14:textId="27490BD1" w:rsidR="00324B33" w:rsidRPr="00BD5DBD" w:rsidRDefault="00324B33" w:rsidP="007452E8">
            <w:pPr>
              <w:rPr>
                <w:i/>
                <w:szCs w:val="22"/>
              </w:rPr>
            </w:pPr>
            <w:r w:rsidRPr="00BD5DBD">
              <w:rPr>
                <w:i/>
                <w:szCs w:val="22"/>
              </w:rPr>
              <w:t>Pack size:</w:t>
            </w:r>
          </w:p>
        </w:tc>
        <w:tc>
          <w:tcPr>
            <w:tcW w:w="3125" w:type="pct"/>
          </w:tcPr>
          <w:p w14:paraId="7E978F8F" w14:textId="0D1A40FB" w:rsidR="00324B33" w:rsidRPr="00BD5DBD" w:rsidRDefault="0095595F" w:rsidP="007452E8">
            <w:pPr>
              <w:rPr>
                <w:szCs w:val="22"/>
              </w:rPr>
            </w:pPr>
            <w:r>
              <w:rPr>
                <w:szCs w:val="22"/>
              </w:rPr>
              <w:t>One vial</w:t>
            </w:r>
          </w:p>
        </w:tc>
      </w:tr>
      <w:tr w:rsidR="00324B33" w:rsidRPr="00BD5DBD" w14:paraId="19A2544A" w14:textId="77777777" w:rsidTr="005B50B7">
        <w:tc>
          <w:tcPr>
            <w:tcW w:w="1875"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125" w:type="pct"/>
          </w:tcPr>
          <w:p w14:paraId="6E143E2E" w14:textId="3BB481C3" w:rsidR="00A80244" w:rsidRPr="00A80244" w:rsidRDefault="00A80244" w:rsidP="00A80244">
            <w:pPr>
              <w:rPr>
                <w:i/>
                <w:iCs/>
              </w:rPr>
            </w:pPr>
            <w:r w:rsidRPr="00A80244">
              <w:rPr>
                <w:i/>
                <w:iCs/>
              </w:rPr>
              <w:t>Gazyva is indicated as a pre-treatment to reduce the risk of cytokine release syndrome (CRS) induced by glofitamab.</w:t>
            </w:r>
          </w:p>
        </w:tc>
      </w:tr>
      <w:tr w:rsidR="00324B33" w:rsidRPr="00BD5DBD" w14:paraId="5AFDEED3" w14:textId="77777777" w:rsidTr="005B50B7">
        <w:tc>
          <w:tcPr>
            <w:tcW w:w="1875" w:type="pct"/>
          </w:tcPr>
          <w:p w14:paraId="03884BD1" w14:textId="3036B597" w:rsidR="00324B33" w:rsidRPr="003E374E" w:rsidRDefault="00324B33" w:rsidP="007452E8">
            <w:pPr>
              <w:rPr>
                <w:i/>
                <w:szCs w:val="22"/>
              </w:rPr>
            </w:pPr>
            <w:r w:rsidRPr="003E374E">
              <w:rPr>
                <w:i/>
                <w:szCs w:val="22"/>
              </w:rPr>
              <w:t>Route of administration:</w:t>
            </w:r>
          </w:p>
        </w:tc>
        <w:tc>
          <w:tcPr>
            <w:tcW w:w="3125" w:type="pct"/>
          </w:tcPr>
          <w:p w14:paraId="1ED1357E" w14:textId="69BB30EC" w:rsidR="00324B33" w:rsidRPr="0095595F" w:rsidRDefault="00707FCF" w:rsidP="007452E8">
            <w:pPr>
              <w:rPr>
                <w:szCs w:val="22"/>
              </w:rPr>
            </w:pPr>
            <w:r w:rsidRPr="0095595F">
              <w:rPr>
                <w:szCs w:val="22"/>
              </w:rPr>
              <w:t>Intravenous infusion</w:t>
            </w:r>
          </w:p>
        </w:tc>
      </w:tr>
      <w:tr w:rsidR="00E20827" w:rsidRPr="00BD5DBD" w14:paraId="70D7E9FA" w14:textId="77777777" w:rsidTr="005B50B7">
        <w:tc>
          <w:tcPr>
            <w:tcW w:w="1875" w:type="pct"/>
          </w:tcPr>
          <w:p w14:paraId="5ABFFC80" w14:textId="77777777" w:rsidR="00E20827" w:rsidRPr="00BD5DBD" w:rsidRDefault="00E20827" w:rsidP="00E20827">
            <w:pPr>
              <w:rPr>
                <w:i/>
                <w:szCs w:val="22"/>
              </w:rPr>
            </w:pPr>
            <w:r w:rsidRPr="00BD5DBD">
              <w:rPr>
                <w:i/>
                <w:szCs w:val="22"/>
              </w:rPr>
              <w:t>Dosage:</w:t>
            </w:r>
          </w:p>
        </w:tc>
        <w:tc>
          <w:tcPr>
            <w:tcW w:w="3125" w:type="pct"/>
          </w:tcPr>
          <w:p w14:paraId="4F769944" w14:textId="02492146" w:rsidR="003F2900" w:rsidRPr="0095595F" w:rsidRDefault="003F2900" w:rsidP="00E20827">
            <w:pPr>
              <w:rPr>
                <w:szCs w:val="22"/>
              </w:rPr>
            </w:pPr>
            <w:r w:rsidRPr="0095595F">
              <w:rPr>
                <w:szCs w:val="22"/>
              </w:rPr>
              <w:t>Pre-treatment to reduce the risk of CRS induced by glofitamab: The recommended dose for pre-treatment is a single 1000 mg dose of Gazyva administered intravenously, 7</w:t>
            </w:r>
            <w:r w:rsidR="00F1294A">
              <w:rPr>
                <w:szCs w:val="22"/>
              </w:rPr>
              <w:t> </w:t>
            </w:r>
            <w:r w:rsidRPr="0095595F">
              <w:rPr>
                <w:szCs w:val="22"/>
              </w:rPr>
              <w:t>days prior to initiation of glofitamab.</w:t>
            </w:r>
            <w:r w:rsidR="006C70B5" w:rsidRPr="0095595F">
              <w:rPr>
                <w:szCs w:val="22"/>
              </w:rPr>
              <w:t xml:space="preserve"> Administer Gazyva at 50 mg/hour. The rate of infusion can be escalated in 50 mg/hour increments every 30 minutes to a maximum of 400</w:t>
            </w:r>
            <w:r w:rsidR="003045B7">
              <w:rPr>
                <w:szCs w:val="22"/>
              </w:rPr>
              <w:t> </w:t>
            </w:r>
            <w:r w:rsidR="006C70B5" w:rsidRPr="0095595F">
              <w:rPr>
                <w:szCs w:val="22"/>
              </w:rPr>
              <w:t>mg/hour.</w:t>
            </w:r>
          </w:p>
          <w:p w14:paraId="3D0B2D5C" w14:textId="792E38BD" w:rsidR="00E20827" w:rsidRPr="0095595F" w:rsidRDefault="00E20827" w:rsidP="006C70B5">
            <w:pPr>
              <w:rPr>
                <w:szCs w:val="22"/>
              </w:rPr>
            </w:pPr>
            <w:r w:rsidRPr="0095595F">
              <w:rPr>
                <w:szCs w:val="22"/>
              </w:rPr>
              <w:t xml:space="preserve">For </w:t>
            </w:r>
            <w:r w:rsidR="006C70B5" w:rsidRPr="0095595F">
              <w:rPr>
                <w:szCs w:val="22"/>
              </w:rPr>
              <w:t xml:space="preserve">further </w:t>
            </w:r>
            <w:r w:rsidRPr="0095595F">
              <w:rPr>
                <w:szCs w:val="22"/>
              </w:rPr>
              <w:t>information</w:t>
            </w:r>
            <w:r w:rsidR="006C70B5" w:rsidRPr="0095595F">
              <w:rPr>
                <w:szCs w:val="22"/>
              </w:rPr>
              <w:t xml:space="preserve">, </w:t>
            </w:r>
            <w:r w:rsidRPr="0095595F">
              <w:rPr>
                <w:szCs w:val="22"/>
              </w:rPr>
              <w:t>refer to the Product Information (PI).</w:t>
            </w:r>
          </w:p>
        </w:tc>
      </w:tr>
      <w:tr w:rsidR="00E20827" w:rsidRPr="00BD5DBD" w14:paraId="7B7BB6AE" w14:textId="77777777" w:rsidTr="005B50B7">
        <w:tc>
          <w:tcPr>
            <w:tcW w:w="1875" w:type="pct"/>
          </w:tcPr>
          <w:p w14:paraId="3A76AFF7" w14:textId="7C436DD9" w:rsidR="00E20827" w:rsidRPr="00F8083B" w:rsidRDefault="00E20827" w:rsidP="00E20827">
            <w:r w:rsidRPr="00BD5DBD">
              <w:rPr>
                <w:i/>
                <w:szCs w:val="22"/>
              </w:rPr>
              <w:t>Pregnancy category:</w:t>
            </w:r>
          </w:p>
        </w:tc>
        <w:tc>
          <w:tcPr>
            <w:tcW w:w="3125" w:type="pct"/>
          </w:tcPr>
          <w:p w14:paraId="37006267" w14:textId="77777777" w:rsidR="00E20827" w:rsidRDefault="00E20827" w:rsidP="00E20827">
            <w:r>
              <w:t>C</w:t>
            </w:r>
          </w:p>
          <w:p w14:paraId="5D6E9706" w14:textId="4D7C33C5" w:rsidR="00E20827" w:rsidRPr="00EF3511" w:rsidRDefault="00E20827" w:rsidP="00E20827">
            <w:pPr>
              <w:rPr>
                <w:i/>
              </w:rPr>
            </w:pPr>
            <w:r w:rsidRPr="00EF3511">
              <w:rPr>
                <w:shd w:val="clear" w:color="auto" w:fill="FFFFFF"/>
              </w:rPr>
              <w:t>Drugs which, owing to their pharmacological effects, have caused or may be suspected of causing, harmful effects on the human fetus or neonate without causing malformations. These effects may be reversible. Accompanying texts should be consulted for further details.</w:t>
            </w:r>
          </w:p>
          <w:p w14:paraId="76497789" w14:textId="634DC28C" w:rsidR="00E20827" w:rsidRPr="00BD5DBD" w:rsidRDefault="00E20827" w:rsidP="00E20827">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6" w:history="1">
              <w:r w:rsidRPr="00065FDF">
                <w:rPr>
                  <w:rStyle w:val="Hyperlink"/>
                  <w:szCs w:val="22"/>
                </w:rPr>
                <w:t>pregnancy database</w:t>
              </w:r>
            </w:hyperlink>
            <w:r>
              <w:t xml:space="preserve"> </w:t>
            </w:r>
            <w:r w:rsidRPr="00BD5DBD">
              <w:rPr>
                <w:szCs w:val="22"/>
              </w:rPr>
              <w:lastRenderedPageBreak/>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1E34B277" w:rsidR="00324B33" w:rsidRDefault="00324B33" w:rsidP="00324B33">
      <w:pPr>
        <w:pStyle w:val="Heading3"/>
      </w:pPr>
      <w:bookmarkStart w:id="12" w:name="_Toc247691503"/>
      <w:bookmarkStart w:id="13" w:name="_Toc314842484"/>
      <w:bookmarkStart w:id="14" w:name="_Toc103679290"/>
      <w:bookmarkStart w:id="15" w:name="_Toc190763094"/>
      <w:r>
        <w:lastRenderedPageBreak/>
        <w:t>Product background</w:t>
      </w:r>
      <w:bookmarkEnd w:id="12"/>
      <w:bookmarkEnd w:id="13"/>
      <w:bookmarkEnd w:id="14"/>
      <w:bookmarkEnd w:id="15"/>
    </w:p>
    <w:p w14:paraId="59BF31D1" w14:textId="42691045" w:rsidR="001500A8" w:rsidRPr="00065839" w:rsidRDefault="00324B33" w:rsidP="00065839">
      <w:r w:rsidRPr="00065839">
        <w:t xml:space="preserve">This AusPAR describes the submission by </w:t>
      </w:r>
      <w:r w:rsidR="00B10D01">
        <w:t>Roche Product Pty Ltd</w:t>
      </w:r>
      <w:r w:rsidRPr="00065839">
        <w:t xml:space="preserve"> (the sponsor) to register </w:t>
      </w:r>
      <w:r w:rsidR="00B10D01">
        <w:t>Gazyva (</w:t>
      </w:r>
      <w:r w:rsidR="00A7569E">
        <w:t>obinutuzumab (rch)) 1000 mg/40 mL</w:t>
      </w:r>
      <w:r w:rsidR="004B600B">
        <w:t xml:space="preserve"> concentrate solution for infusion in vials </w:t>
      </w:r>
      <w:r w:rsidRPr="00065839">
        <w:t>for the following proposed extension of indications:</w:t>
      </w:r>
      <w:r w:rsidR="00D63760" w:rsidRPr="00065839">
        <w:rPr>
          <w:vertAlign w:val="superscript"/>
        </w:rPr>
        <w:footnoteReference w:id="1"/>
      </w:r>
    </w:p>
    <w:p w14:paraId="5C7183E3" w14:textId="6B958744" w:rsidR="00593033" w:rsidRPr="00153EA9" w:rsidRDefault="00593033" w:rsidP="00C52DD5">
      <w:pPr>
        <w:ind w:left="720"/>
        <w:rPr>
          <w:i/>
          <w:iCs/>
        </w:rPr>
      </w:pPr>
      <w:r w:rsidRPr="00153EA9">
        <w:rPr>
          <w:i/>
          <w:iCs/>
        </w:rPr>
        <w:t>Gazyva is indicated as a pre-treatment to reduce the risk of cytokine release syndrome (CRS)</w:t>
      </w:r>
      <w:r w:rsidR="00C52DD5" w:rsidRPr="00153EA9">
        <w:rPr>
          <w:i/>
          <w:iCs/>
        </w:rPr>
        <w:t xml:space="preserve"> </w:t>
      </w:r>
      <w:r w:rsidRPr="00153EA9">
        <w:rPr>
          <w:i/>
          <w:iCs/>
        </w:rPr>
        <w:t>induced by glofitamab.</w:t>
      </w:r>
    </w:p>
    <w:p w14:paraId="72846711" w14:textId="77777777" w:rsidR="00F1294A" w:rsidRDefault="00F1294A" w:rsidP="00F1294A">
      <w:pPr>
        <w:pStyle w:val="Heading4"/>
      </w:pPr>
      <w:bookmarkStart w:id="16" w:name="_Toc155597090"/>
      <w:bookmarkStart w:id="17" w:name="_Toc190763095"/>
      <w:r>
        <w:t>The product</w:t>
      </w:r>
      <w:bookmarkEnd w:id="16"/>
      <w:bookmarkEnd w:id="17"/>
    </w:p>
    <w:p w14:paraId="19600B88" w14:textId="44ADEA35" w:rsidR="00B31298" w:rsidRPr="00A33C45" w:rsidRDefault="00B31298" w:rsidP="00B770AE">
      <w:r>
        <w:t>Obinutuzumab is a</w:t>
      </w:r>
      <w:r w:rsidR="00734C6C">
        <w:t xml:space="preserve"> recombinant monoclonal humanised and glycoengineered Type II anti-CD20 antibody of the </w:t>
      </w:r>
      <w:r w:rsidR="005F1C41">
        <w:t>immunoglobulin (</w:t>
      </w:r>
      <w:r w:rsidR="00734C6C">
        <w:t>Ig</w:t>
      </w:r>
      <w:r w:rsidR="005F1C41">
        <w:t xml:space="preserve">) </w:t>
      </w:r>
      <w:r w:rsidR="00734C6C">
        <w:t>G1 isotype.</w:t>
      </w:r>
      <w:r w:rsidR="00806D9F">
        <w:t xml:space="preserve"> It </w:t>
      </w:r>
      <w:r w:rsidRPr="008D2015">
        <w:t xml:space="preserve">specifically targets the extracellular loop of </w:t>
      </w:r>
      <w:r w:rsidRPr="0093655B">
        <w:t>the CD20 transmembrane antigen on the surface of non-malignant and malignant pre B and mature B lymphocytes. It induces death of normal and malignant B lymphocytes directly and</w:t>
      </w:r>
      <w:r>
        <w:t xml:space="preserve"> through antibody-dependent cellular cytotoxicity, antibody-dependent cellular phagocytosis and </w:t>
      </w:r>
      <w:r w:rsidRPr="00A33C45">
        <w:t>complement-dependent cytotoxicity.</w:t>
      </w:r>
    </w:p>
    <w:p w14:paraId="6CA4276D" w14:textId="12916F93" w:rsidR="00A33C45" w:rsidRPr="00896550" w:rsidRDefault="00A33C45" w:rsidP="00A33C45">
      <w:pPr>
        <w:rPr>
          <w:i/>
        </w:rPr>
      </w:pPr>
      <w:r w:rsidRPr="00A33C45">
        <w:t xml:space="preserve">The proposed pre-treatment dose is the same as the approved initial dose in patients with relapsed/refractory follicular lymphoma </w:t>
      </w:r>
      <w:r w:rsidR="00345C7D">
        <w:t xml:space="preserve">(FL) </w:t>
      </w:r>
      <w:r w:rsidRPr="00A33C45">
        <w:t xml:space="preserve">and as the standard, subsequent dose in patients with either chronic lymphocytic leukaemia or </w:t>
      </w:r>
      <w:r w:rsidR="00345C7D">
        <w:t>FL</w:t>
      </w:r>
      <w:r w:rsidRPr="00A33C45">
        <w:t>.</w:t>
      </w:r>
    </w:p>
    <w:p w14:paraId="1E63A2AE" w14:textId="3DF10B45" w:rsidR="00CB6813" w:rsidRDefault="004444B0" w:rsidP="00CB6813">
      <w:pPr>
        <w:pStyle w:val="Heading4"/>
      </w:pPr>
      <w:bookmarkStart w:id="18" w:name="_Toc190763096"/>
      <w:bookmarkStart w:id="19" w:name="_Toc314842485"/>
      <w:bookmarkStart w:id="20" w:name="_Toc247691504"/>
      <w:r>
        <w:t xml:space="preserve">The </w:t>
      </w:r>
      <w:r w:rsidR="00161591">
        <w:t>condition</w:t>
      </w:r>
      <w:bookmarkEnd w:id="18"/>
    </w:p>
    <w:p w14:paraId="45423A4C" w14:textId="2AF76D11" w:rsidR="00F015A8" w:rsidRDefault="00BE2951" w:rsidP="00927D4A">
      <w:pPr>
        <w:rPr>
          <w:lang w:eastAsia="ja-JP"/>
        </w:rPr>
      </w:pPr>
      <w:r>
        <w:rPr>
          <w:lang w:eastAsia="ja-JP"/>
        </w:rPr>
        <w:t>Symptoms of CRS can be mild flu-like symptoms</w:t>
      </w:r>
      <w:r w:rsidR="006F6E02">
        <w:rPr>
          <w:lang w:eastAsia="ja-JP"/>
        </w:rPr>
        <w:t xml:space="preserve"> (most usual) or</w:t>
      </w:r>
      <w:r>
        <w:rPr>
          <w:lang w:eastAsia="ja-JP"/>
        </w:rPr>
        <w:t xml:space="preserve"> severe or life-threatening complications of systemic inflammation such as hypotension, hypoxia, coagulopathy and multi-organ failure. </w:t>
      </w:r>
      <w:r w:rsidR="00B770AE" w:rsidRPr="00134917">
        <w:t>Cytokine Release Syndrome</w:t>
      </w:r>
      <w:r w:rsidR="00B770AE">
        <w:rPr>
          <w:lang w:eastAsia="ja-JP"/>
        </w:rPr>
        <w:t xml:space="preserve"> </w:t>
      </w:r>
      <w:r w:rsidR="00F015A8">
        <w:rPr>
          <w:lang w:eastAsia="ja-JP"/>
        </w:rPr>
        <w:t xml:space="preserve">is usually manageable but can be associated with </w:t>
      </w:r>
      <w:r w:rsidR="00F015A8" w:rsidRPr="0054128B">
        <w:rPr>
          <w:lang w:eastAsia="ja-JP"/>
        </w:rPr>
        <w:t>activation of endogenous or infused T</w:t>
      </w:r>
      <w:r w:rsidR="0054128B" w:rsidRPr="0054128B">
        <w:rPr>
          <w:lang w:eastAsia="ja-JP"/>
        </w:rPr>
        <w:t> </w:t>
      </w:r>
      <w:r w:rsidR="00F015A8" w:rsidRPr="0054128B">
        <w:rPr>
          <w:lang w:eastAsia="ja-JP"/>
        </w:rPr>
        <w:t>cells and/or other immune effector cells such as</w:t>
      </w:r>
      <w:r w:rsidR="00F015A8">
        <w:rPr>
          <w:lang w:eastAsia="ja-JP"/>
        </w:rPr>
        <w:t xml:space="preserve"> </w:t>
      </w:r>
      <w:r w:rsidR="00F015A8" w:rsidRPr="0000433D">
        <w:t xml:space="preserve">macrophages, dendritic cells, monocytes and endothelial cells, leading to cytokine release and subsequent clinical features. The cytokines released include </w:t>
      </w:r>
      <w:r w:rsidR="006F6E02" w:rsidRPr="0000433D">
        <w:t>interleukin</w:t>
      </w:r>
      <w:r w:rsidR="00D56B47" w:rsidRPr="0000433D">
        <w:noBreakHyphen/>
      </w:r>
      <w:r w:rsidR="006F6E02" w:rsidRPr="0000433D">
        <w:t xml:space="preserve">2, soluble </w:t>
      </w:r>
      <w:r w:rsidR="00244E15" w:rsidRPr="0000433D">
        <w:t>interleukin</w:t>
      </w:r>
      <w:r w:rsidR="00244E15" w:rsidRPr="0000433D">
        <w:noBreakHyphen/>
      </w:r>
      <w:r w:rsidR="006F6E02" w:rsidRPr="0000433D">
        <w:t>2 receptor</w:t>
      </w:r>
      <w:r w:rsidR="00244E15" w:rsidRPr="0000433D">
        <w:t> </w:t>
      </w:r>
      <w:r w:rsidR="006F6E02" w:rsidRPr="0000433D">
        <w:t>a,</w:t>
      </w:r>
      <w:r w:rsidR="00244E15" w:rsidRPr="0000433D">
        <w:t xml:space="preserve"> </w:t>
      </w:r>
      <w:r w:rsidR="006F6E02" w:rsidRPr="0000433D">
        <w:t>interferon</w:t>
      </w:r>
      <w:r w:rsidR="00244E15" w:rsidRPr="0000433D">
        <w:t> </w:t>
      </w:r>
      <w:r w:rsidR="006F6E02" w:rsidRPr="0000433D">
        <w:t xml:space="preserve">g, </w:t>
      </w:r>
      <w:r w:rsidR="00244E15" w:rsidRPr="0000433D">
        <w:t>interleukin</w:t>
      </w:r>
      <w:r w:rsidR="00244E15" w:rsidRPr="0000433D">
        <w:noBreakHyphen/>
      </w:r>
      <w:r w:rsidR="006F6E02" w:rsidRPr="0000433D">
        <w:t xml:space="preserve">6, </w:t>
      </w:r>
      <w:r w:rsidR="0000433D" w:rsidRPr="0000433D">
        <w:t xml:space="preserve">and </w:t>
      </w:r>
      <w:r w:rsidR="006F6E02" w:rsidRPr="0000433D">
        <w:t xml:space="preserve">soluble </w:t>
      </w:r>
      <w:r w:rsidR="00CA71F9" w:rsidRPr="0000433D">
        <w:t>interleukin</w:t>
      </w:r>
      <w:r w:rsidR="00CA71F9" w:rsidRPr="0000433D">
        <w:noBreakHyphen/>
      </w:r>
      <w:r w:rsidR="006F6E02" w:rsidRPr="0000433D">
        <w:t>6</w:t>
      </w:r>
      <w:r w:rsidR="00CA71F9" w:rsidRPr="0000433D">
        <w:t xml:space="preserve"> receptor</w:t>
      </w:r>
      <w:r w:rsidR="006F6E02" w:rsidRPr="0000433D">
        <w:t xml:space="preserve">, </w:t>
      </w:r>
      <w:r w:rsidR="00F015A8" w:rsidRPr="0000433D">
        <w:t xml:space="preserve">as well as </w:t>
      </w:r>
      <w:r w:rsidR="00A91489" w:rsidRPr="0000433D">
        <w:t>granulocyte macrophage-colony stimulating factor</w:t>
      </w:r>
      <w:r w:rsidR="00F015A8" w:rsidRPr="0000433D">
        <w:t>.</w:t>
      </w:r>
    </w:p>
    <w:p w14:paraId="255E083A" w14:textId="77777777" w:rsidR="00CB6813" w:rsidRDefault="00CB6813" w:rsidP="00CB6813">
      <w:pPr>
        <w:pStyle w:val="Heading4"/>
      </w:pPr>
      <w:bookmarkStart w:id="21" w:name="_Toc190763097"/>
      <w:r>
        <w:t>Current treatment options</w:t>
      </w:r>
      <w:bookmarkEnd w:id="21"/>
    </w:p>
    <w:p w14:paraId="643FD345" w14:textId="77777777" w:rsidR="00431A9E" w:rsidRDefault="00431A9E" w:rsidP="00431A9E">
      <w:r w:rsidRPr="00A871A5">
        <w:t>The current application seeks to exten</w:t>
      </w:r>
      <w:r>
        <w:t xml:space="preserve">d the indication </w:t>
      </w:r>
      <w:r w:rsidRPr="00A871A5">
        <w:t>for</w:t>
      </w:r>
      <w:r>
        <w:t xml:space="preserve"> </w:t>
      </w:r>
      <w:r w:rsidRPr="00A871A5">
        <w:t xml:space="preserve">obinutuzumab </w:t>
      </w:r>
      <w:r>
        <w:t xml:space="preserve">to include </w:t>
      </w:r>
      <w:r w:rsidRPr="00A871A5">
        <w:t>pre</w:t>
      </w:r>
      <w:r>
        <w:noBreakHyphen/>
      </w:r>
      <w:r w:rsidRPr="00A871A5">
        <w:t>treatment to reduce the risk of glofitamab-induced</w:t>
      </w:r>
      <w:r>
        <w:t xml:space="preserve"> </w:t>
      </w:r>
      <w:r w:rsidRPr="00A871A5">
        <w:t xml:space="preserve">cytokine-release syndrome (CRS). </w:t>
      </w:r>
      <w:r>
        <w:t>As glofitamab is a new biological product there are no approved treatment options for pre-treatment to reduce the risk of glofitamab-induced CRS.</w:t>
      </w:r>
    </w:p>
    <w:p w14:paraId="3132BB05" w14:textId="037D7719" w:rsidR="001C0657" w:rsidRDefault="001C0657" w:rsidP="001C0657">
      <w:pPr>
        <w:rPr>
          <w:lang w:eastAsia="ja-JP"/>
        </w:rPr>
      </w:pPr>
      <w:r w:rsidRPr="00DA0413">
        <w:rPr>
          <w:lang w:eastAsia="ja-JP"/>
        </w:rPr>
        <w:t>Current treatment</w:t>
      </w:r>
      <w:r w:rsidR="007D60CB">
        <w:rPr>
          <w:lang w:eastAsia="ja-JP"/>
        </w:rPr>
        <w:t>s</w:t>
      </w:r>
      <w:r w:rsidRPr="00DA0413">
        <w:rPr>
          <w:lang w:eastAsia="ja-JP"/>
        </w:rPr>
        <w:t xml:space="preserve"> in the context of T</w:t>
      </w:r>
      <w:r w:rsidR="004D3EF9" w:rsidRPr="00DA0413">
        <w:rPr>
          <w:lang w:eastAsia="ja-JP"/>
        </w:rPr>
        <w:t> </w:t>
      </w:r>
      <w:r w:rsidRPr="00DA0413">
        <w:rPr>
          <w:lang w:eastAsia="ja-JP"/>
        </w:rPr>
        <w:t xml:space="preserve">cell engaging bispecific antibody-induced CRS </w:t>
      </w:r>
      <w:r w:rsidR="005B50B7" w:rsidRPr="00DA0413">
        <w:rPr>
          <w:lang w:eastAsia="ja-JP"/>
        </w:rPr>
        <w:t>include</w:t>
      </w:r>
      <w:r>
        <w:rPr>
          <w:lang w:eastAsia="ja-JP"/>
        </w:rPr>
        <w:t xml:space="preserve"> interrupting or discontinuing the drug infusion</w:t>
      </w:r>
      <w:r w:rsidR="007D60CB">
        <w:rPr>
          <w:lang w:eastAsia="ja-JP"/>
        </w:rPr>
        <w:t>;</w:t>
      </w:r>
      <w:r>
        <w:rPr>
          <w:lang w:eastAsia="ja-JP"/>
        </w:rPr>
        <w:t xml:space="preserve"> symptomatic management of constitutional symptoms including hypotension with IV fluids and vasopressors</w:t>
      </w:r>
      <w:r w:rsidR="00940B0A">
        <w:rPr>
          <w:lang w:eastAsia="ja-JP"/>
        </w:rPr>
        <w:t>;</w:t>
      </w:r>
      <w:r>
        <w:rPr>
          <w:lang w:eastAsia="ja-JP"/>
        </w:rPr>
        <w:t xml:space="preserve"> management of hypoxia with </w:t>
      </w:r>
      <w:r w:rsidRPr="00DE453A">
        <w:rPr>
          <w:lang w:eastAsia="ja-JP"/>
        </w:rPr>
        <w:lastRenderedPageBreak/>
        <w:t>supplemental oxygen or mechanical ventilation</w:t>
      </w:r>
      <w:r w:rsidR="00940B0A" w:rsidRPr="00DE453A">
        <w:rPr>
          <w:lang w:eastAsia="ja-JP"/>
        </w:rPr>
        <w:t>;</w:t>
      </w:r>
      <w:r w:rsidRPr="00DE453A">
        <w:rPr>
          <w:lang w:eastAsia="ja-JP"/>
        </w:rPr>
        <w:t xml:space="preserve"> and corticosteroids and anti-</w:t>
      </w:r>
      <w:r w:rsidR="00125FB5" w:rsidRPr="00DE453A">
        <w:rPr>
          <w:lang w:eastAsia="ja-JP"/>
        </w:rPr>
        <w:t>interleukin</w:t>
      </w:r>
      <w:r w:rsidR="00125FB5" w:rsidRPr="00DE453A">
        <w:rPr>
          <w:lang w:eastAsia="ja-JP"/>
        </w:rPr>
        <w:noBreakHyphen/>
      </w:r>
      <w:r w:rsidRPr="00DE453A">
        <w:rPr>
          <w:lang w:eastAsia="ja-JP"/>
        </w:rPr>
        <w:t>6 treatment</w:t>
      </w:r>
      <w:r w:rsidR="002C5CF8" w:rsidRPr="00DE453A">
        <w:rPr>
          <w:lang w:eastAsia="ja-JP"/>
        </w:rPr>
        <w:t xml:space="preserve"> (for example</w:t>
      </w:r>
      <w:r w:rsidR="00A21171" w:rsidRPr="00DE453A">
        <w:rPr>
          <w:lang w:eastAsia="ja-JP"/>
        </w:rPr>
        <w:t xml:space="preserve">, </w:t>
      </w:r>
      <w:r w:rsidRPr="00DE453A">
        <w:rPr>
          <w:lang w:eastAsia="ja-JP"/>
        </w:rPr>
        <w:t>tocilizumab)</w:t>
      </w:r>
      <w:r w:rsidR="0096182D">
        <w:rPr>
          <w:lang w:eastAsia="ja-JP"/>
        </w:rPr>
        <w:t>.</w:t>
      </w:r>
      <w:r w:rsidR="00910D43">
        <w:rPr>
          <w:rStyle w:val="FootnoteReference"/>
          <w:lang w:eastAsia="ja-JP"/>
        </w:rPr>
        <w:footnoteReference w:id="2"/>
      </w:r>
    </w:p>
    <w:p w14:paraId="023D7F25" w14:textId="12C66346" w:rsidR="001C0657" w:rsidRDefault="001C0657" w:rsidP="001C0657">
      <w:pPr>
        <w:rPr>
          <w:lang w:eastAsia="ja-JP"/>
        </w:rPr>
      </w:pPr>
      <w:r>
        <w:rPr>
          <w:lang w:eastAsia="ja-JP"/>
        </w:rPr>
        <w:t xml:space="preserve">In patients with refractory CRS, anti-cytokine targeted therapies </w:t>
      </w:r>
      <w:r w:rsidRPr="00774BAC">
        <w:rPr>
          <w:lang w:eastAsia="ja-JP"/>
        </w:rPr>
        <w:t xml:space="preserve">include siltuximab for </w:t>
      </w:r>
      <w:r w:rsidR="004D2A5F" w:rsidRPr="00C11DF4">
        <w:rPr>
          <w:lang w:eastAsia="ja-JP"/>
        </w:rPr>
        <w:t>interleukin</w:t>
      </w:r>
      <w:r w:rsidR="004D2A5F" w:rsidRPr="00C11DF4">
        <w:rPr>
          <w:lang w:eastAsia="ja-JP"/>
        </w:rPr>
        <w:noBreakHyphen/>
      </w:r>
      <w:r w:rsidRPr="00C11DF4">
        <w:rPr>
          <w:lang w:eastAsia="ja-JP"/>
        </w:rPr>
        <w:t>6,</w:t>
      </w:r>
      <w:r w:rsidR="00732729" w:rsidRPr="00C11DF4">
        <w:rPr>
          <w:rStyle w:val="FootnoteReference"/>
          <w:lang w:eastAsia="ja-JP"/>
        </w:rPr>
        <w:footnoteReference w:id="3"/>
      </w:r>
      <w:r w:rsidRPr="00C11DF4">
        <w:rPr>
          <w:lang w:eastAsia="ja-JP"/>
        </w:rPr>
        <w:t xml:space="preserve"> adalimumab or etanercept for </w:t>
      </w:r>
      <w:r w:rsidR="00E50351" w:rsidRPr="00C11DF4">
        <w:rPr>
          <w:lang w:eastAsia="ja-JP"/>
        </w:rPr>
        <w:t>tumo</w:t>
      </w:r>
      <w:r w:rsidR="00A94C9B" w:rsidRPr="00C11DF4">
        <w:rPr>
          <w:lang w:eastAsia="ja-JP"/>
        </w:rPr>
        <w:t>u</w:t>
      </w:r>
      <w:r w:rsidR="00E50351" w:rsidRPr="00C11DF4">
        <w:rPr>
          <w:lang w:eastAsia="ja-JP"/>
        </w:rPr>
        <w:t>r necrosis factor</w:t>
      </w:r>
      <w:r w:rsidR="00E50351" w:rsidRPr="00C11DF4">
        <w:rPr>
          <w:lang w:eastAsia="ja-JP"/>
        </w:rPr>
        <w:noBreakHyphen/>
      </w:r>
      <w:r w:rsidR="009564DB" w:rsidRPr="00C11DF4">
        <w:rPr>
          <w:lang w:eastAsia="ja-JP"/>
        </w:rPr>
        <w:t>α</w:t>
      </w:r>
      <w:r w:rsidRPr="00C11DF4">
        <w:rPr>
          <w:lang w:eastAsia="ja-JP"/>
        </w:rPr>
        <w:t>,</w:t>
      </w:r>
      <w:r w:rsidR="00EE3350" w:rsidRPr="00C11DF4">
        <w:rPr>
          <w:rStyle w:val="FootnoteReference"/>
          <w:lang w:eastAsia="ja-JP"/>
        </w:rPr>
        <w:footnoteReference w:id="4"/>
      </w:r>
      <w:r w:rsidRPr="00C11DF4">
        <w:rPr>
          <w:lang w:eastAsia="ja-JP"/>
        </w:rPr>
        <w:t xml:space="preserve"> and anakinra for </w:t>
      </w:r>
      <w:r w:rsidR="004D2A5F" w:rsidRPr="00C11DF4">
        <w:rPr>
          <w:lang w:eastAsia="ja-JP"/>
        </w:rPr>
        <w:t>interleukin</w:t>
      </w:r>
      <w:r w:rsidR="004D2A5F" w:rsidRPr="00C11DF4">
        <w:rPr>
          <w:lang w:eastAsia="ja-JP"/>
        </w:rPr>
        <w:noBreakHyphen/>
      </w:r>
      <w:r w:rsidRPr="00C11DF4">
        <w:rPr>
          <w:lang w:eastAsia="ja-JP"/>
        </w:rPr>
        <w:t>1</w:t>
      </w:r>
      <w:r w:rsidR="004D2A5F" w:rsidRPr="00C11DF4">
        <w:rPr>
          <w:lang w:eastAsia="ja-JP"/>
        </w:rPr>
        <w:t> </w:t>
      </w:r>
      <w:r w:rsidR="00B62208" w:rsidRPr="00C11DF4">
        <w:rPr>
          <w:lang w:eastAsia="ja-JP"/>
        </w:rPr>
        <w:t>β</w:t>
      </w:r>
      <w:r w:rsidRPr="00C11DF4">
        <w:rPr>
          <w:lang w:eastAsia="ja-JP"/>
        </w:rPr>
        <w:t>.</w:t>
      </w:r>
      <w:r w:rsidR="00181D1A" w:rsidRPr="00C11DF4">
        <w:rPr>
          <w:rStyle w:val="FootnoteReference"/>
          <w:lang w:eastAsia="ja-JP"/>
        </w:rPr>
        <w:footnoteReference w:id="5"/>
      </w:r>
      <w:r w:rsidRPr="00C11DF4">
        <w:rPr>
          <w:lang w:eastAsia="ja-JP"/>
        </w:rPr>
        <w:t xml:space="preserve"> None of these treatments have specific indications for CRS.</w:t>
      </w:r>
    </w:p>
    <w:p w14:paraId="0D615854" w14:textId="77777777" w:rsidR="00324B33" w:rsidRPr="003F31A2" w:rsidRDefault="00324B33" w:rsidP="00324B33">
      <w:pPr>
        <w:pStyle w:val="Heading3"/>
      </w:pPr>
      <w:bookmarkStart w:id="22" w:name="_Toc103679291"/>
      <w:bookmarkStart w:id="23" w:name="_Toc190763098"/>
      <w:r>
        <w:t>Regulatory status</w:t>
      </w:r>
      <w:bookmarkEnd w:id="19"/>
      <w:bookmarkEnd w:id="20"/>
      <w:bookmarkEnd w:id="22"/>
      <w:bookmarkEnd w:id="23"/>
    </w:p>
    <w:p w14:paraId="72C889D6" w14:textId="7E200950" w:rsidR="0017005C" w:rsidRPr="00BD5DBD" w:rsidRDefault="0017005C" w:rsidP="00741AB9">
      <w:pPr>
        <w:pStyle w:val="Heading4"/>
      </w:pPr>
      <w:bookmarkStart w:id="24" w:name="_Toc190763099"/>
      <w:r w:rsidRPr="00BD5DBD">
        <w:t>Australian regulatory</w:t>
      </w:r>
      <w:r>
        <w:t xml:space="preserve"> sta</w:t>
      </w:r>
      <w:r w:rsidR="0025785B">
        <w:t>t</w:t>
      </w:r>
      <w:r>
        <w:t>us</w:t>
      </w:r>
      <w:bookmarkEnd w:id="24"/>
    </w:p>
    <w:p w14:paraId="71BF29A3" w14:textId="2D202682" w:rsidR="00CF6A55" w:rsidRDefault="007826B7" w:rsidP="00CF6A55">
      <w:pPr>
        <w:rPr>
          <w:szCs w:val="22"/>
        </w:rPr>
      </w:pPr>
      <w:r>
        <w:rPr>
          <w:szCs w:val="22"/>
        </w:rPr>
        <w:t>Obinutuzumab</w:t>
      </w:r>
      <w:r w:rsidR="00CF6A55" w:rsidRPr="00BD5DBD">
        <w:rPr>
          <w:szCs w:val="22"/>
        </w:rPr>
        <w:t xml:space="preserve"> received initial registration </w:t>
      </w:r>
      <w:r w:rsidR="00CF6A55">
        <w:rPr>
          <w:szCs w:val="22"/>
        </w:rPr>
        <w:t>in</w:t>
      </w:r>
      <w:r w:rsidR="00CF6A55" w:rsidRPr="00BD5DBD">
        <w:rPr>
          <w:szCs w:val="22"/>
        </w:rPr>
        <w:t xml:space="preserve"> the </w:t>
      </w:r>
      <w:hyperlink r:id="rId18" w:history="1">
        <w:r w:rsidR="00CF6A55" w:rsidRPr="00BD5DBD">
          <w:rPr>
            <w:rStyle w:val="Hyperlink"/>
            <w:szCs w:val="22"/>
          </w:rPr>
          <w:t>Australian Register of Therapeutic Goods</w:t>
        </w:r>
      </w:hyperlink>
      <w:r w:rsidR="00CF6A55" w:rsidRPr="00BD5DBD">
        <w:rPr>
          <w:szCs w:val="22"/>
        </w:rPr>
        <w:t xml:space="preserve"> (</w:t>
      </w:r>
      <w:hyperlink r:id="rId19" w:history="1">
        <w:r w:rsidR="00CF6A55" w:rsidRPr="00BD5DBD">
          <w:rPr>
            <w:rStyle w:val="Hyperlink"/>
            <w:szCs w:val="22"/>
          </w:rPr>
          <w:t>ARTG</w:t>
        </w:r>
      </w:hyperlink>
      <w:r w:rsidR="00CF6A55" w:rsidRPr="00BD5DBD">
        <w:rPr>
          <w:szCs w:val="22"/>
        </w:rPr>
        <w:t>) on</w:t>
      </w:r>
      <w:r w:rsidR="00CF6A55">
        <w:rPr>
          <w:szCs w:val="22"/>
        </w:rPr>
        <w:t xml:space="preserve"> </w:t>
      </w:r>
      <w:r w:rsidR="00F02132">
        <w:rPr>
          <w:szCs w:val="22"/>
        </w:rPr>
        <w:t>15</w:t>
      </w:r>
      <w:r w:rsidR="001A6368">
        <w:rPr>
          <w:szCs w:val="22"/>
        </w:rPr>
        <w:t xml:space="preserve"> May 2014</w:t>
      </w:r>
      <w:r w:rsidR="00F02132">
        <w:rPr>
          <w:szCs w:val="22"/>
        </w:rPr>
        <w:t xml:space="preserve">, </w:t>
      </w:r>
      <w:r w:rsidR="00CF6A55" w:rsidRPr="00BD5DBD">
        <w:rPr>
          <w:szCs w:val="22"/>
        </w:rPr>
        <w:t>for the indication:</w:t>
      </w:r>
    </w:p>
    <w:p w14:paraId="0ABBFE86" w14:textId="1DDD5516" w:rsidR="00D56B46" w:rsidRDefault="00D56B46" w:rsidP="00D56B46">
      <w:pPr>
        <w:ind w:left="720"/>
        <w:rPr>
          <w:i/>
          <w:iCs/>
        </w:rPr>
      </w:pPr>
      <w:r w:rsidRPr="00D56B46">
        <w:rPr>
          <w:i/>
          <w:iCs/>
        </w:rPr>
        <w:t>Gazyva in combination with chlorambucil is indicated for the treatment of patients with previously untreated chronic lymphocytic leukaemia (CLL).</w:t>
      </w:r>
      <w:bookmarkStart w:id="25" w:name="_Ref155087517"/>
      <w:r w:rsidR="00256CD3">
        <w:rPr>
          <w:rStyle w:val="FootnoteReference"/>
          <w:i/>
          <w:iCs/>
        </w:rPr>
        <w:footnoteReference w:id="6"/>
      </w:r>
      <w:bookmarkEnd w:id="25"/>
    </w:p>
    <w:p w14:paraId="29CC4F86" w14:textId="501BB710" w:rsidR="00481FF9" w:rsidRPr="00416293" w:rsidRDefault="00481FF9" w:rsidP="00481FF9">
      <w:r w:rsidRPr="00416293">
        <w:t xml:space="preserve">On </w:t>
      </w:r>
      <w:r>
        <w:t>30 August 2016</w:t>
      </w:r>
      <w:r w:rsidRPr="00416293">
        <w:t xml:space="preserve"> an extension of indication was added in the ARTG:</w:t>
      </w:r>
    </w:p>
    <w:p w14:paraId="018805BC" w14:textId="33A70581" w:rsidR="00E4434A" w:rsidRPr="00E4434A" w:rsidRDefault="00E4434A" w:rsidP="00E4434A">
      <w:pPr>
        <w:ind w:left="720"/>
        <w:rPr>
          <w:i/>
          <w:iCs/>
        </w:rPr>
      </w:pPr>
      <w:r w:rsidRPr="00E4434A">
        <w:rPr>
          <w:i/>
          <w:iCs/>
        </w:rPr>
        <w:t>G</w:t>
      </w:r>
      <w:r w:rsidR="00D0467F">
        <w:rPr>
          <w:i/>
          <w:iCs/>
        </w:rPr>
        <w:t>azyva</w:t>
      </w:r>
      <w:r w:rsidRPr="00E4434A">
        <w:rPr>
          <w:i/>
          <w:iCs/>
        </w:rPr>
        <w:t xml:space="preserve"> in combination with bendamustine,</w:t>
      </w:r>
      <w:r>
        <w:rPr>
          <w:i/>
          <w:iCs/>
        </w:rPr>
        <w:t xml:space="preserve"> </w:t>
      </w:r>
      <w:r w:rsidRPr="00E4434A">
        <w:rPr>
          <w:i/>
          <w:iCs/>
        </w:rPr>
        <w:t>followed by G</w:t>
      </w:r>
      <w:r w:rsidR="00D0467F">
        <w:rPr>
          <w:i/>
          <w:iCs/>
        </w:rPr>
        <w:t>azyva</w:t>
      </w:r>
      <w:r w:rsidRPr="00E4434A">
        <w:rPr>
          <w:i/>
          <w:iCs/>
        </w:rPr>
        <w:t xml:space="preserve"> maintenance, is indicated for the treatment of patients with follicular</w:t>
      </w:r>
      <w:r>
        <w:rPr>
          <w:i/>
          <w:iCs/>
        </w:rPr>
        <w:t xml:space="preserve"> </w:t>
      </w:r>
      <w:r w:rsidRPr="00E4434A">
        <w:rPr>
          <w:i/>
          <w:iCs/>
        </w:rPr>
        <w:t xml:space="preserve">lymphoma who did not respond to, or who progressed during or up to </w:t>
      </w:r>
      <w:r w:rsidRPr="00E4434A">
        <w:rPr>
          <w:i/>
          <w:iCs/>
          <w:szCs w:val="22"/>
        </w:rPr>
        <w:t xml:space="preserve">6 </w:t>
      </w:r>
      <w:r w:rsidRPr="00E4434A">
        <w:rPr>
          <w:i/>
          <w:iCs/>
        </w:rPr>
        <w:t>months after</w:t>
      </w:r>
      <w:r>
        <w:rPr>
          <w:i/>
          <w:iCs/>
        </w:rPr>
        <w:t xml:space="preserve"> </w:t>
      </w:r>
      <w:r w:rsidRPr="00E4434A">
        <w:rPr>
          <w:i/>
          <w:iCs/>
        </w:rPr>
        <w:t>treatment with rituximab or a rituximab-containing regimen.</w:t>
      </w:r>
      <w:r w:rsidR="00637686">
        <w:rPr>
          <w:rStyle w:val="FootnoteReference"/>
          <w:i/>
          <w:iCs/>
        </w:rPr>
        <w:footnoteReference w:id="7"/>
      </w:r>
    </w:p>
    <w:p w14:paraId="7A79B714" w14:textId="468899FB" w:rsidR="00416293" w:rsidRPr="00416293" w:rsidRDefault="00416293" w:rsidP="00E134F7">
      <w:r w:rsidRPr="00416293">
        <w:t>On 5 December 2017 an extension of indication was added in the ARTG:</w:t>
      </w:r>
    </w:p>
    <w:p w14:paraId="5F853321" w14:textId="7F4897D4" w:rsidR="00416293" w:rsidRDefault="00416293" w:rsidP="00416293">
      <w:pPr>
        <w:ind w:left="720"/>
        <w:rPr>
          <w:i/>
          <w:iCs/>
        </w:rPr>
      </w:pPr>
      <w:r w:rsidRPr="00416293">
        <w:rPr>
          <w:i/>
          <w:iCs/>
        </w:rPr>
        <w:t>Gazyva in combination with chemotherapy followed by Gazyva maintenance is indicated for the treatment of patients with previously untreated advanced follicular lymphoma.</w:t>
      </w:r>
      <w:r w:rsidR="000D53B8">
        <w:rPr>
          <w:rStyle w:val="FootnoteReference"/>
          <w:i/>
          <w:iCs/>
        </w:rPr>
        <w:footnoteReference w:id="8"/>
      </w:r>
    </w:p>
    <w:p w14:paraId="546C1031" w14:textId="3A84639B" w:rsidR="0017005C" w:rsidRDefault="00B90200" w:rsidP="0017005C">
      <w:pPr>
        <w:pStyle w:val="Heading4"/>
      </w:pPr>
      <w:bookmarkStart w:id="26" w:name="_Toc190763100"/>
      <w:r>
        <w:t xml:space="preserve">International </w:t>
      </w:r>
      <w:r w:rsidR="0017005C" w:rsidRPr="00BD5DBD">
        <w:t>regulatory</w:t>
      </w:r>
      <w:r w:rsidR="0017005C">
        <w:t xml:space="preserve"> status</w:t>
      </w:r>
      <w:bookmarkEnd w:id="26"/>
    </w:p>
    <w:p w14:paraId="2CB6E797" w14:textId="6479D3F9" w:rsidR="008F4A62" w:rsidRDefault="008F4A62" w:rsidP="005F77EF">
      <w:pPr>
        <w:rPr>
          <w:szCs w:val="22"/>
        </w:rPr>
      </w:pPr>
      <w:r w:rsidRPr="00BD5DBD">
        <w:rPr>
          <w:szCs w:val="22"/>
        </w:rPr>
        <w:t xml:space="preserve">At the time the TGA considered this submission, </w:t>
      </w:r>
      <w:r w:rsidR="00163D45">
        <w:rPr>
          <w:szCs w:val="22"/>
        </w:rPr>
        <w:t xml:space="preserve">a </w:t>
      </w:r>
      <w:r w:rsidRPr="00BD5DBD">
        <w:rPr>
          <w:szCs w:val="22"/>
        </w:rPr>
        <w:t xml:space="preserve">similar submission was under consideration in </w:t>
      </w:r>
      <w:r w:rsidR="00163D45">
        <w:rPr>
          <w:szCs w:val="22"/>
        </w:rPr>
        <w:t>the European Union</w:t>
      </w:r>
      <w:r w:rsidRPr="00BD5DBD">
        <w:rPr>
          <w:szCs w:val="22"/>
        </w:rPr>
        <w:t xml:space="preserve"> (submitted on </w:t>
      </w:r>
      <w:r w:rsidR="005F77EF">
        <w:rPr>
          <w:szCs w:val="22"/>
        </w:rPr>
        <w:t>29 November 2022</w:t>
      </w:r>
      <w:r w:rsidRPr="00BD5DBD">
        <w:rPr>
          <w:szCs w:val="22"/>
        </w:rPr>
        <w:t>)</w:t>
      </w:r>
      <w:r w:rsidR="005F77EF">
        <w:rPr>
          <w:szCs w:val="22"/>
        </w:rPr>
        <w:t xml:space="preserve"> and Switzerland (submitted on 20 December 2022)</w:t>
      </w:r>
      <w:r w:rsidRPr="00BD5DBD">
        <w:rPr>
          <w:szCs w:val="22"/>
        </w:rPr>
        <w:t>.</w:t>
      </w:r>
    </w:p>
    <w:p w14:paraId="460F2F9B" w14:textId="77777777" w:rsidR="005B13C4" w:rsidRDefault="005B13C4" w:rsidP="005B13C4">
      <w:pPr>
        <w:pStyle w:val="Heading4"/>
      </w:pPr>
      <w:bookmarkStart w:id="27" w:name="_Toc190763101"/>
      <w:r>
        <w:t>Concurrent submission</w:t>
      </w:r>
      <w:bookmarkEnd w:id="27"/>
    </w:p>
    <w:p w14:paraId="4FA23708" w14:textId="5AE8A3D1" w:rsidR="005B13C4" w:rsidRPr="00416293" w:rsidRDefault="005B13C4" w:rsidP="005B13C4">
      <w:pPr>
        <w:rPr>
          <w:i/>
          <w:iCs/>
          <w:szCs w:val="22"/>
        </w:rPr>
      </w:pPr>
      <w:r>
        <w:t>The submission for provisional approval of the new biological entity g</w:t>
      </w:r>
      <w:r w:rsidRPr="00A871A5">
        <w:t>lofitamab</w:t>
      </w:r>
      <w:r>
        <w:t xml:space="preserve"> (Columvi) (submission PM-2022-01989-1-6) </w:t>
      </w:r>
      <w:r w:rsidRPr="003943D8">
        <w:rPr>
          <w:lang w:eastAsia="ja-JP"/>
        </w:rPr>
        <w:t xml:space="preserve">for </w:t>
      </w:r>
      <w:r w:rsidRPr="006B128D">
        <w:rPr>
          <w:i/>
          <w:iCs/>
          <w:lang w:eastAsia="ja-JP"/>
        </w:rPr>
        <w:t>the treatment of adult patients with relapsed or refractory diffuse large B-cell lymphoma (DLBCL) after two or more lines of systemic therapy</w:t>
      </w:r>
      <w:r>
        <w:rPr>
          <w:lang w:eastAsia="ja-JP"/>
        </w:rPr>
        <w:t xml:space="preserve"> was submitted concurrently with this submission </w:t>
      </w:r>
      <w:r w:rsidR="0018687C">
        <w:rPr>
          <w:lang w:eastAsia="ja-JP"/>
        </w:rPr>
        <w:t xml:space="preserve">for Gazyva </w:t>
      </w:r>
      <w:r>
        <w:rPr>
          <w:lang w:eastAsia="ja-JP"/>
        </w:rPr>
        <w:t>and relied on the same clinical dataset</w:t>
      </w:r>
      <w:r w:rsidRPr="003943D8">
        <w:t>.</w:t>
      </w:r>
    </w:p>
    <w:p w14:paraId="6D92589C" w14:textId="1A96A9B0" w:rsidR="00324B33" w:rsidRDefault="00324B33" w:rsidP="00324B33">
      <w:pPr>
        <w:pStyle w:val="Heading2"/>
      </w:pPr>
      <w:bookmarkStart w:id="28" w:name="_Toc504480011"/>
      <w:bookmarkStart w:id="29" w:name="_Toc103679293"/>
      <w:bookmarkStart w:id="30" w:name="_Toc190763102"/>
      <w:r>
        <w:lastRenderedPageBreak/>
        <w:t>Registration timeline</w:t>
      </w:r>
      <w:bookmarkEnd w:id="28"/>
      <w:bookmarkEnd w:id="29"/>
      <w:bookmarkEnd w:id="30"/>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44628C5F" w14:textId="2618466E" w:rsidR="00324B33" w:rsidRDefault="00324B33" w:rsidP="002C1232">
      <w:pPr>
        <w:pStyle w:val="TableTitle"/>
      </w:pPr>
      <w:r w:rsidRPr="002C1232">
        <w:t xml:space="preserve">Table </w:t>
      </w:r>
      <w:r w:rsidR="008B1CB5">
        <w:fldChar w:fldCharType="begin"/>
      </w:r>
      <w:r w:rsidR="008B1CB5">
        <w:instrText xml:space="preserve"> SEQ Table \* ARABIC </w:instrText>
      </w:r>
      <w:r w:rsidR="008B1CB5">
        <w:fldChar w:fldCharType="separate"/>
      </w:r>
      <w:r w:rsidR="008B1CB5" w:rsidRPr="002C1232">
        <w:t>2</w:t>
      </w:r>
      <w:r w:rsidR="008B1CB5">
        <w:fldChar w:fldCharType="end"/>
      </w:r>
      <w:r w:rsidRPr="002C1232">
        <w:t>: Timeline for Submission PM-202</w:t>
      </w:r>
      <w:r w:rsidR="00BF579D">
        <w:t>2</w:t>
      </w:r>
      <w:r w:rsidRPr="002C1232">
        <w:t>-</w:t>
      </w:r>
      <w:r w:rsidR="00BF579D">
        <w:t>03031</w:t>
      </w:r>
      <w:r w:rsidRPr="002C1232">
        <w:t>-1-</w:t>
      </w:r>
      <w:r w:rsidR="00BF579D">
        <w:t>6</w:t>
      </w:r>
    </w:p>
    <w:tbl>
      <w:tblPr>
        <w:tblStyle w:val="TableTGAblue2023"/>
        <w:tblW w:w="8642" w:type="dxa"/>
        <w:tblLook w:val="04A0" w:firstRow="1" w:lastRow="0" w:firstColumn="1" w:lastColumn="0" w:noHBand="0" w:noVBand="1"/>
      </w:tblPr>
      <w:tblGrid>
        <w:gridCol w:w="5949"/>
        <w:gridCol w:w="2693"/>
      </w:tblGrid>
      <w:tr w:rsidR="00324B33" w:rsidRPr="00D01DDB" w14:paraId="6C59BE9C" w14:textId="77777777" w:rsidTr="00BC3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6D80E78" w14:textId="3EC0CCAF" w:rsidR="00324B33" w:rsidRPr="00D01DDB" w:rsidRDefault="00324B33" w:rsidP="00324B33">
            <w:pPr>
              <w:rPr>
                <w:szCs w:val="22"/>
              </w:rPr>
            </w:pPr>
            <w:r w:rsidRPr="00D01DDB">
              <w:rPr>
                <w:szCs w:val="22"/>
              </w:rPr>
              <w:t>Description</w:t>
            </w:r>
          </w:p>
        </w:tc>
        <w:tc>
          <w:tcPr>
            <w:tcW w:w="2693"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759D2A12" w14:textId="0D705F83" w:rsidR="00324B33" w:rsidRPr="00E679D1" w:rsidRDefault="00324B33" w:rsidP="00E679D1">
            <w:r w:rsidRPr="00E679D1">
              <w:t>Submission dossier accepted and first round evaluation commenced</w:t>
            </w:r>
          </w:p>
        </w:tc>
        <w:tc>
          <w:tcPr>
            <w:tcW w:w="2693" w:type="dxa"/>
          </w:tcPr>
          <w:p w14:paraId="2963D9D8" w14:textId="34DE787C" w:rsidR="00324B33" w:rsidRPr="00D01DDB" w:rsidRDefault="00BC278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August 2022</w:t>
            </w:r>
          </w:p>
        </w:tc>
      </w:tr>
      <w:tr w:rsidR="00324B33" w:rsidRPr="00D01DDB" w14:paraId="53437815"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4C037D4E" w14:textId="2B0CE255" w:rsidR="00324B33" w:rsidRPr="00E679D1" w:rsidRDefault="00324B33" w:rsidP="00E679D1">
            <w:r w:rsidRPr="00E679D1">
              <w:t>First round evaluation completed</w:t>
            </w:r>
          </w:p>
        </w:tc>
        <w:tc>
          <w:tcPr>
            <w:tcW w:w="2693" w:type="dxa"/>
          </w:tcPr>
          <w:p w14:paraId="3CEAFAAB" w14:textId="0D114A51" w:rsidR="00324B33" w:rsidRPr="00D01DDB" w:rsidRDefault="004A51B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December 2022</w:t>
            </w:r>
          </w:p>
        </w:tc>
      </w:tr>
      <w:tr w:rsidR="00324B33" w:rsidRPr="00D01DDB" w14:paraId="60DA57CC"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02EA1147" w14:textId="2853A422" w:rsidR="00324B33" w:rsidRPr="00E679D1" w:rsidRDefault="00324B33" w:rsidP="00E679D1">
            <w:r w:rsidRPr="00E679D1">
              <w:t>Sponsor provides responses on questions raised in first round evaluation</w:t>
            </w:r>
          </w:p>
        </w:tc>
        <w:tc>
          <w:tcPr>
            <w:tcW w:w="2693" w:type="dxa"/>
          </w:tcPr>
          <w:p w14:paraId="68A577C1" w14:textId="001C4555" w:rsidR="00324B33" w:rsidRPr="00D01DDB" w:rsidRDefault="00A7287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11 January 2023</w:t>
            </w:r>
          </w:p>
        </w:tc>
      </w:tr>
      <w:tr w:rsidR="00324B33" w:rsidRPr="00D01DDB" w14:paraId="767E33A4"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4AFC5B50" w14:textId="2BCC6A3E" w:rsidR="00324B33" w:rsidRPr="00E679D1" w:rsidRDefault="00324B33" w:rsidP="00E679D1">
            <w:r w:rsidRPr="00E679D1">
              <w:t>Second round evaluation completed</w:t>
            </w:r>
          </w:p>
        </w:tc>
        <w:tc>
          <w:tcPr>
            <w:tcW w:w="2693" w:type="dxa"/>
          </w:tcPr>
          <w:p w14:paraId="4E47DF62" w14:textId="7759B5A1" w:rsidR="00324B33" w:rsidRPr="00D01DDB" w:rsidRDefault="006B4FC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 February 2023</w:t>
            </w:r>
          </w:p>
        </w:tc>
      </w:tr>
      <w:tr w:rsidR="00020FF2" w:rsidRPr="00D01DDB" w14:paraId="6BE6DD33"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14764CC8" w14:textId="43DE44A7" w:rsidR="00020FF2" w:rsidRPr="00E679D1" w:rsidRDefault="00020FF2" w:rsidP="00020FF2">
            <w:r>
              <w:t xml:space="preserve">Sponsor’s </w:t>
            </w:r>
            <w:r w:rsidRPr="00020FF2">
              <w:t>notification to the TGA of errors/omissions in evaluation reports</w:t>
            </w:r>
          </w:p>
        </w:tc>
        <w:tc>
          <w:tcPr>
            <w:tcW w:w="2693" w:type="dxa"/>
          </w:tcPr>
          <w:p w14:paraId="196C5433" w14:textId="09EDE768" w:rsidR="00020FF2" w:rsidRPr="00D01DDB" w:rsidRDefault="00EC532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February 2023</w:t>
            </w:r>
          </w:p>
        </w:tc>
      </w:tr>
      <w:tr w:rsidR="00324B33" w:rsidRPr="00D01DDB" w14:paraId="302FCB45"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716E9DC1" w14:textId="168AB0E8" w:rsidR="00324B33" w:rsidRPr="00D01DDB" w:rsidRDefault="00324B33" w:rsidP="00324B33">
            <w:pPr>
              <w:rPr>
                <w:szCs w:val="22"/>
              </w:rPr>
            </w:pPr>
            <w:r w:rsidRPr="00D01DDB">
              <w:rPr>
                <w:szCs w:val="22"/>
              </w:rPr>
              <w:t xml:space="preserve">Delegate’s Overall benefit-risk assessment </w:t>
            </w:r>
            <w:r w:rsidRPr="005B6952">
              <w:rPr>
                <w:szCs w:val="22"/>
              </w:rPr>
              <w:t>and request for Advisory Committee advice</w:t>
            </w:r>
            <w:r w:rsidR="005B6952" w:rsidRPr="005B6952">
              <w:rPr>
                <w:vertAlign w:val="superscript"/>
              </w:rPr>
              <w:footnoteReference w:id="9"/>
            </w:r>
          </w:p>
        </w:tc>
        <w:tc>
          <w:tcPr>
            <w:tcW w:w="2693" w:type="dxa"/>
          </w:tcPr>
          <w:p w14:paraId="3BA6EF79" w14:textId="21193165" w:rsidR="00324B33" w:rsidRPr="00D01DDB" w:rsidRDefault="003526D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22 February 2023</w:t>
            </w:r>
          </w:p>
        </w:tc>
      </w:tr>
      <w:tr w:rsidR="00324B33" w:rsidRPr="00D01DDB" w14:paraId="5832EBC8"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720592DE" w14:textId="1F72CD22" w:rsidR="00324B33" w:rsidRPr="00E679D1" w:rsidRDefault="00324B33" w:rsidP="00E679D1">
            <w:r w:rsidRPr="00E679D1">
              <w:t>Sponsor’s pre-Advisory Committee response</w:t>
            </w:r>
          </w:p>
        </w:tc>
        <w:tc>
          <w:tcPr>
            <w:tcW w:w="2693" w:type="dxa"/>
          </w:tcPr>
          <w:p w14:paraId="5AE04841" w14:textId="46F45C3A" w:rsidR="00324B33" w:rsidRPr="00D01DDB" w:rsidRDefault="005B695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13 March 2023</w:t>
            </w:r>
          </w:p>
        </w:tc>
      </w:tr>
      <w:tr w:rsidR="00324B33" w:rsidRPr="00D01DDB" w14:paraId="5754F7AC"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789DE187" w14:textId="123446EE" w:rsidR="00324B33" w:rsidRPr="00E679D1" w:rsidRDefault="00324B33" w:rsidP="00E679D1">
            <w:r w:rsidRPr="00E679D1">
              <w:t>Advisory Committee meeting</w:t>
            </w:r>
          </w:p>
        </w:tc>
        <w:tc>
          <w:tcPr>
            <w:tcW w:w="2693" w:type="dxa"/>
          </w:tcPr>
          <w:p w14:paraId="5BE1EDE7" w14:textId="20E36956" w:rsidR="00324B33" w:rsidRPr="00D01DDB" w:rsidRDefault="00281B7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and 31 March 2023</w:t>
            </w:r>
          </w:p>
        </w:tc>
      </w:tr>
      <w:tr w:rsidR="00324B33" w:rsidRPr="00D01DDB" w14:paraId="6E5D32FE"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4E95C44C" w14:textId="7A91C710" w:rsidR="00324B33" w:rsidRPr="00E679D1" w:rsidRDefault="00324B33" w:rsidP="00E679D1">
            <w:r w:rsidRPr="00E679D1">
              <w:t>Registration decision (Outcome)</w:t>
            </w:r>
          </w:p>
        </w:tc>
        <w:tc>
          <w:tcPr>
            <w:tcW w:w="2693" w:type="dxa"/>
          </w:tcPr>
          <w:p w14:paraId="62987ABD" w14:textId="7B03DE88" w:rsidR="00324B33" w:rsidRPr="00D01DDB" w:rsidRDefault="00BD416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 May 2023</w:t>
            </w:r>
          </w:p>
        </w:tc>
      </w:tr>
      <w:tr w:rsidR="00324B33" w:rsidRPr="00D01DDB" w14:paraId="6DDCDDA4"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192FD19D" w14:textId="3612A2E7" w:rsidR="00324B33" w:rsidRPr="00E679D1" w:rsidRDefault="0013132F" w:rsidP="00E679D1">
            <w:r w:rsidRPr="00E679D1">
              <w:t xml:space="preserve">Administrative activities and registration </w:t>
            </w:r>
            <w:r w:rsidR="005C4B46" w:rsidRPr="00E679D1">
              <w:t xml:space="preserve">in </w:t>
            </w:r>
            <w:r w:rsidRPr="00E679D1">
              <w:t>the ARTG completed</w:t>
            </w:r>
          </w:p>
        </w:tc>
        <w:tc>
          <w:tcPr>
            <w:tcW w:w="2693" w:type="dxa"/>
          </w:tcPr>
          <w:p w14:paraId="5A8923FD" w14:textId="5E6F034D" w:rsidR="00324B33" w:rsidRPr="00D01DDB" w:rsidRDefault="00C312A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4 May 2023</w:t>
            </w:r>
          </w:p>
        </w:tc>
      </w:tr>
      <w:tr w:rsidR="00324B33" w:rsidRPr="00D01DDB" w14:paraId="56D922E2" w14:textId="77777777" w:rsidTr="00BC32D1">
        <w:tc>
          <w:tcPr>
            <w:cnfStyle w:val="001000000000" w:firstRow="0" w:lastRow="0" w:firstColumn="1" w:lastColumn="0" w:oddVBand="0" w:evenVBand="0" w:oddHBand="0" w:evenHBand="0" w:firstRowFirstColumn="0" w:firstRowLastColumn="0" w:lastRowFirstColumn="0" w:lastRowLastColumn="0"/>
            <w:tcW w:w="5949" w:type="dxa"/>
          </w:tcPr>
          <w:p w14:paraId="787FD8DD" w14:textId="0E0CF97F" w:rsidR="00324B33" w:rsidRPr="00E679D1" w:rsidRDefault="00324B33" w:rsidP="00E679D1">
            <w:r w:rsidRPr="00E679D1">
              <w:t>Number of working days from submission dossier acceptance to registration decision*</w:t>
            </w:r>
          </w:p>
        </w:tc>
        <w:tc>
          <w:tcPr>
            <w:tcW w:w="2693" w:type="dxa"/>
          </w:tcPr>
          <w:p w14:paraId="5BAF9FA1" w14:textId="0C9A2299" w:rsidR="00324B33" w:rsidRPr="00D01DDB" w:rsidRDefault="00BD416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147</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31" w:name="_Toc196046504"/>
      <w:bookmarkStart w:id="32" w:name="_Toc247691527"/>
      <w:bookmarkStart w:id="33" w:name="_Toc314842510"/>
      <w:bookmarkStart w:id="34" w:name="_Toc103679294"/>
      <w:bookmarkStart w:id="35" w:name="_Toc190763103"/>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1"/>
      <w:bookmarkEnd w:id="32"/>
      <w:bookmarkEnd w:id="33"/>
      <w:bookmarkEnd w:id="34"/>
      <w:bookmarkEnd w:id="35"/>
    </w:p>
    <w:p w14:paraId="540151FC" w14:textId="77777777" w:rsidR="00C22214" w:rsidRPr="00BD5DBD" w:rsidRDefault="00C22214" w:rsidP="00BD5DBD">
      <w:pPr>
        <w:rPr>
          <w:szCs w:val="22"/>
        </w:rPr>
      </w:pPr>
      <w:bookmarkStart w:id="36" w:name="_Toc247691528"/>
      <w:bookmarkStart w:id="37" w:name="_Toc314842511"/>
      <w:r w:rsidRPr="00BD5DBD">
        <w:rPr>
          <w:szCs w:val="22"/>
        </w:rPr>
        <w:t>A summary of the TGA’s assessment for this submission is provided below.</w:t>
      </w:r>
    </w:p>
    <w:p w14:paraId="37F5A1C0" w14:textId="77777777" w:rsidR="00C22214" w:rsidRDefault="00C22214" w:rsidP="00C22214">
      <w:pPr>
        <w:pStyle w:val="Heading3"/>
      </w:pPr>
      <w:bookmarkStart w:id="38" w:name="_Toc103679295"/>
      <w:bookmarkStart w:id="39" w:name="_Toc190763104"/>
      <w:r>
        <w:t>Quality</w:t>
      </w:r>
      <w:bookmarkEnd w:id="36"/>
      <w:bookmarkEnd w:id="37"/>
      <w:bookmarkEnd w:id="38"/>
      <w:bookmarkEnd w:id="39"/>
    </w:p>
    <w:p w14:paraId="29A3BB75" w14:textId="27DB6636" w:rsidR="00A01C56" w:rsidRPr="00BD5DBD" w:rsidRDefault="00637F0E" w:rsidP="00637F0E">
      <w:pPr>
        <w:rPr>
          <w:szCs w:val="22"/>
        </w:rPr>
      </w:pPr>
      <w:r w:rsidRPr="00BD5DBD">
        <w:rPr>
          <w:szCs w:val="22"/>
        </w:rPr>
        <w:t>Quality evaluation is not required for this submission as there are no proposed changes to the quality of the currently approved product in Australia.</w:t>
      </w:r>
      <w:r w:rsidR="00C816C6" w:rsidRPr="00BD5DBD">
        <w:rPr>
          <w:szCs w:val="22"/>
        </w:rPr>
        <w:t xml:space="preserve"> The quality of the currently approved product is suitable for the proposed changes in this submission.</w:t>
      </w:r>
      <w:r w:rsidRPr="00BD5DBD">
        <w:rPr>
          <w:szCs w:val="22"/>
        </w:rPr>
        <w:t xml:space="preserve"> A full quality evaluation was conducted at the time </w:t>
      </w:r>
      <w:r w:rsidR="004F3C9E">
        <w:rPr>
          <w:szCs w:val="22"/>
        </w:rPr>
        <w:t>Gazyva</w:t>
      </w:r>
      <w:r w:rsidRPr="00BD5DBD">
        <w:rPr>
          <w:szCs w:val="22"/>
        </w:rPr>
        <w:t xml:space="preserve"> received initial registration</w:t>
      </w:r>
      <w:r w:rsidR="00883D35">
        <w:rPr>
          <w:szCs w:val="22"/>
        </w:rPr>
        <w:t>.</w:t>
      </w:r>
      <w:r w:rsidR="00986C74" w:rsidRPr="00986C74">
        <w:rPr>
          <w:szCs w:val="22"/>
          <w:vertAlign w:val="superscript"/>
        </w:rPr>
        <w:fldChar w:fldCharType="begin"/>
      </w:r>
      <w:r w:rsidR="00986C74" w:rsidRPr="00986C74">
        <w:rPr>
          <w:szCs w:val="22"/>
          <w:vertAlign w:val="superscript"/>
        </w:rPr>
        <w:instrText xml:space="preserve"> NOTEREF _Ref155087517 \h </w:instrText>
      </w:r>
      <w:r w:rsidR="00986C74">
        <w:rPr>
          <w:szCs w:val="22"/>
          <w:vertAlign w:val="superscript"/>
        </w:rPr>
        <w:instrText xml:space="preserve"> \* MERGEFORMAT </w:instrText>
      </w:r>
      <w:r w:rsidR="00986C74" w:rsidRPr="00986C74">
        <w:rPr>
          <w:szCs w:val="22"/>
          <w:vertAlign w:val="superscript"/>
        </w:rPr>
      </w:r>
      <w:r w:rsidR="00986C74" w:rsidRPr="00986C74">
        <w:rPr>
          <w:szCs w:val="22"/>
          <w:vertAlign w:val="superscript"/>
        </w:rPr>
        <w:fldChar w:fldCharType="separate"/>
      </w:r>
      <w:r w:rsidR="00986C74" w:rsidRPr="00986C74">
        <w:rPr>
          <w:szCs w:val="22"/>
          <w:vertAlign w:val="superscript"/>
        </w:rPr>
        <w:t>6</w:t>
      </w:r>
      <w:r w:rsidR="00986C74" w:rsidRPr="00986C74">
        <w:rPr>
          <w:szCs w:val="22"/>
          <w:vertAlign w:val="superscript"/>
        </w:rPr>
        <w:fldChar w:fldCharType="end"/>
      </w:r>
    </w:p>
    <w:p w14:paraId="2BE90AAE" w14:textId="77777777" w:rsidR="00C22214" w:rsidRDefault="00C22214" w:rsidP="00C22214">
      <w:pPr>
        <w:pStyle w:val="Heading3"/>
      </w:pPr>
      <w:bookmarkStart w:id="40" w:name="_Toc314842512"/>
      <w:bookmarkStart w:id="41" w:name="_Toc103679296"/>
      <w:bookmarkStart w:id="42" w:name="_Toc190763105"/>
      <w:r>
        <w:lastRenderedPageBreak/>
        <w:t>Nonclinical</w:t>
      </w:r>
      <w:bookmarkEnd w:id="40"/>
      <w:bookmarkEnd w:id="41"/>
      <w:bookmarkEnd w:id="42"/>
    </w:p>
    <w:p w14:paraId="061B2628" w14:textId="6081B722" w:rsidR="00B57988" w:rsidRDefault="00B57988" w:rsidP="00B57988">
      <w:pPr>
        <w:rPr>
          <w:szCs w:val="22"/>
        </w:rPr>
      </w:pPr>
      <w:r>
        <w:rPr>
          <w:szCs w:val="22"/>
        </w:rPr>
        <w:t>Nonclinical data support the utility of obinutuzumab for the proposed indication. There are no nonclinical objections to the proposed extension of indication for G</w:t>
      </w:r>
      <w:r w:rsidR="00A74318">
        <w:rPr>
          <w:szCs w:val="22"/>
        </w:rPr>
        <w:t>azyva</w:t>
      </w:r>
      <w:r>
        <w:rPr>
          <w:szCs w:val="22"/>
        </w:rPr>
        <w:t>.</w:t>
      </w:r>
    </w:p>
    <w:p w14:paraId="1DBBBB9E" w14:textId="6B5B78A7" w:rsidR="00B57988" w:rsidRDefault="00B57988" w:rsidP="00B57988">
      <w:pPr>
        <w:rPr>
          <w:szCs w:val="22"/>
        </w:rPr>
      </w:pPr>
      <w:bookmarkStart w:id="43" w:name="_Toc247691530"/>
      <w:bookmarkStart w:id="44" w:name="_Toc314842513"/>
      <w:bookmarkStart w:id="45" w:name="_Toc103679297"/>
      <w:r>
        <w:rPr>
          <w:szCs w:val="22"/>
        </w:rPr>
        <w:t>Obinutuzumab is an anti-CD20 monoclonal antibody that induces death of normal and malignant B lymphocytes directly and through antibody-dependent cellular cytotoxicity, antibody-dependent cellular phagocytosis and complement-dependent cytotoxicity. Glofitamab is an anti-CD20 and anti-CD3 bispecific monoclonal antibody that induces death of normal and malignant B lymphocytes by T cell-mediated cytotoxicity.</w:t>
      </w:r>
    </w:p>
    <w:p w14:paraId="4619569E" w14:textId="6157A504" w:rsidR="00B57988" w:rsidRDefault="00560B31" w:rsidP="00B57988">
      <w:pPr>
        <w:rPr>
          <w:szCs w:val="22"/>
        </w:rPr>
      </w:pPr>
      <w:r w:rsidRPr="00EE4D48">
        <w:rPr>
          <w:szCs w:val="22"/>
        </w:rPr>
        <w:t xml:space="preserve">Nonclinical </w:t>
      </w:r>
      <w:r w:rsidR="00B57988" w:rsidRPr="00EE4D48">
        <w:rPr>
          <w:szCs w:val="22"/>
        </w:rPr>
        <w:t xml:space="preserve">studies submitted for the registration of </w:t>
      </w:r>
      <w:r w:rsidR="005E3E06" w:rsidRPr="00EE4D48">
        <w:rPr>
          <w:szCs w:val="22"/>
        </w:rPr>
        <w:t>o</w:t>
      </w:r>
      <w:r w:rsidR="001C6CE3" w:rsidRPr="00EE4D48">
        <w:rPr>
          <w:szCs w:val="22"/>
        </w:rPr>
        <w:t xml:space="preserve">binutuzumab, and glofitamab, </w:t>
      </w:r>
      <w:r w:rsidR="00B57988" w:rsidRPr="00EE4D48">
        <w:rPr>
          <w:szCs w:val="22"/>
        </w:rPr>
        <w:t xml:space="preserve">as new biological entities included examination of the </w:t>
      </w:r>
      <w:r w:rsidR="004B5161">
        <w:rPr>
          <w:szCs w:val="22"/>
        </w:rPr>
        <w:t>B-cell</w:t>
      </w:r>
      <w:r w:rsidR="00B57988" w:rsidRPr="00EE4D48">
        <w:rPr>
          <w:szCs w:val="22"/>
        </w:rPr>
        <w:t xml:space="preserve"> depleting effect of obinutuzumab and the effect of obinutuzumab pre-treatment on the pharmacology and toxicity of glofitamab.</w:t>
      </w:r>
    </w:p>
    <w:p w14:paraId="4E471A05" w14:textId="2D1E525E" w:rsidR="00B57988" w:rsidRDefault="00B57988" w:rsidP="00B57988">
      <w:pPr>
        <w:rPr>
          <w:szCs w:val="22"/>
        </w:rPr>
      </w:pPr>
      <w:r>
        <w:rPr>
          <w:szCs w:val="22"/>
        </w:rPr>
        <w:t>Findings relating to cytokine release were transient and most prominent after the first dose</w:t>
      </w:r>
      <w:r w:rsidR="005E3E06">
        <w:rPr>
          <w:szCs w:val="22"/>
        </w:rPr>
        <w:t xml:space="preserve"> of glofitamab</w:t>
      </w:r>
      <w:r>
        <w:rPr>
          <w:szCs w:val="22"/>
        </w:rPr>
        <w:t xml:space="preserve">. They were shown to be attenuated by the use of glofitamab step-up dosing and by obinutuzumab pre-treatment in separate studies. This is consistent with the extent of cytokine release being mainly driven by the number of </w:t>
      </w:r>
      <w:r w:rsidR="004B5161">
        <w:rPr>
          <w:szCs w:val="22"/>
        </w:rPr>
        <w:t>B-cell</w:t>
      </w:r>
      <w:r>
        <w:rPr>
          <w:szCs w:val="22"/>
        </w:rPr>
        <w:t>s.</w:t>
      </w:r>
    </w:p>
    <w:p w14:paraId="18BE0B82" w14:textId="0261BFBC" w:rsidR="00B57988" w:rsidRDefault="00B57988" w:rsidP="00B57988">
      <w:pPr>
        <w:rPr>
          <w:szCs w:val="22"/>
        </w:rPr>
      </w:pPr>
      <w:r>
        <w:rPr>
          <w:szCs w:val="22"/>
        </w:rPr>
        <w:t>In cynomolgus monkeys, pre-treatment with obinutuzumab (50</w:t>
      </w:r>
      <w:r w:rsidR="004171CF">
        <w:rPr>
          <w:szCs w:val="22"/>
        </w:rPr>
        <w:t> </w:t>
      </w:r>
      <w:r>
        <w:rPr>
          <w:szCs w:val="22"/>
        </w:rPr>
        <w:t xml:space="preserve">mg/kg IV) </w:t>
      </w:r>
      <w:r w:rsidR="004171CF">
        <w:rPr>
          <w:szCs w:val="22"/>
        </w:rPr>
        <w:t>4</w:t>
      </w:r>
      <w:r w:rsidR="00FB5A65">
        <w:rPr>
          <w:szCs w:val="22"/>
        </w:rPr>
        <w:t> </w:t>
      </w:r>
      <w:r>
        <w:rPr>
          <w:szCs w:val="22"/>
        </w:rPr>
        <w:t>days prior to administration of glofitamab was shown to be associated with smaller increases in serum levels of inflammatory cytokines, along with a lessening of clinical signs. Obinutuzumab pre-treatment allowed a</w:t>
      </w:r>
      <w:r w:rsidR="00081F3D">
        <w:rPr>
          <w:szCs w:val="22"/>
        </w:rPr>
        <w:t>n</w:t>
      </w:r>
      <w:r>
        <w:rPr>
          <w:szCs w:val="22"/>
        </w:rPr>
        <w:t xml:space="preserve"> </w:t>
      </w:r>
      <w:r w:rsidR="00D96D9B">
        <w:rPr>
          <w:szCs w:val="22"/>
        </w:rPr>
        <w:t xml:space="preserve">at least </w:t>
      </w:r>
      <w:r>
        <w:rPr>
          <w:szCs w:val="22"/>
        </w:rPr>
        <w:t>10-fold higher dose of glofitamab (1</w:t>
      </w:r>
      <w:r w:rsidR="00D96D9B">
        <w:rPr>
          <w:szCs w:val="22"/>
        </w:rPr>
        <w:t> </w:t>
      </w:r>
      <w:r>
        <w:rPr>
          <w:szCs w:val="22"/>
        </w:rPr>
        <w:t xml:space="preserve">mg/kg </w:t>
      </w:r>
      <w:r w:rsidR="005C64A2">
        <w:rPr>
          <w:szCs w:val="22"/>
        </w:rPr>
        <w:t>compared to</w:t>
      </w:r>
      <w:r w:rsidR="00F703C4">
        <w:rPr>
          <w:szCs w:val="22"/>
        </w:rPr>
        <w:t xml:space="preserve"> </w:t>
      </w:r>
      <w:r>
        <w:rPr>
          <w:szCs w:val="22"/>
        </w:rPr>
        <w:t xml:space="preserve">0.1 mg/kg </w:t>
      </w:r>
      <w:r w:rsidR="00D92BDC">
        <w:rPr>
          <w:szCs w:val="22"/>
        </w:rPr>
        <w:t xml:space="preserve">and lower </w:t>
      </w:r>
      <w:r>
        <w:rPr>
          <w:szCs w:val="22"/>
        </w:rPr>
        <w:t>IV) to be tolerated in monkeys.</w:t>
      </w:r>
    </w:p>
    <w:p w14:paraId="4DCC3DF6" w14:textId="6C72A2C2" w:rsidR="00B57988" w:rsidRDefault="004B5161" w:rsidP="00B57988">
      <w:pPr>
        <w:rPr>
          <w:szCs w:val="22"/>
        </w:rPr>
      </w:pPr>
      <w:r>
        <w:rPr>
          <w:szCs w:val="22"/>
        </w:rPr>
        <w:t>B-cell</w:t>
      </w:r>
      <w:r w:rsidR="00B57988">
        <w:rPr>
          <w:szCs w:val="22"/>
        </w:rPr>
        <w:t xml:space="preserve"> depletion in peripheral blood and lymph nodes induced by obinutuzumab in cynomolgus monkeys was shown to be rapid, extensive and durable (more so than with rituximab).</w:t>
      </w:r>
    </w:p>
    <w:p w14:paraId="2F71E800" w14:textId="5BD3B6AF" w:rsidR="00B57988" w:rsidRDefault="00B57988" w:rsidP="00B57988">
      <w:pPr>
        <w:rPr>
          <w:szCs w:val="22"/>
        </w:rPr>
      </w:pPr>
      <w:r>
        <w:rPr>
          <w:szCs w:val="22"/>
        </w:rPr>
        <w:t>In tumour</w:t>
      </w:r>
      <w:r w:rsidR="003E7F15">
        <w:rPr>
          <w:szCs w:val="22"/>
        </w:rPr>
        <w:noBreakHyphen/>
      </w:r>
      <w:r>
        <w:rPr>
          <w:szCs w:val="22"/>
        </w:rPr>
        <w:t>bearing humanised mice, obinutuzumab pre-treatment strongly reduced glofitamab</w:t>
      </w:r>
      <w:r w:rsidR="003E7F15">
        <w:rPr>
          <w:szCs w:val="22"/>
        </w:rPr>
        <w:noBreakHyphen/>
      </w:r>
      <w:r>
        <w:rPr>
          <w:szCs w:val="22"/>
        </w:rPr>
        <w:t>mediated cytokine release and prevented the transient T</w:t>
      </w:r>
      <w:r w:rsidR="004D3EF9">
        <w:rPr>
          <w:szCs w:val="22"/>
        </w:rPr>
        <w:t> </w:t>
      </w:r>
      <w:r>
        <w:rPr>
          <w:szCs w:val="22"/>
        </w:rPr>
        <w:t>cell decrease in peripheral blood (reflecting margination) without interfering with glofitamab</w:t>
      </w:r>
      <w:r w:rsidR="00AA173E">
        <w:rPr>
          <w:szCs w:val="22"/>
        </w:rPr>
        <w:noBreakHyphen/>
      </w:r>
      <w:r>
        <w:rPr>
          <w:szCs w:val="22"/>
        </w:rPr>
        <w:t xml:space="preserve">mediated </w:t>
      </w:r>
      <w:r w:rsidR="004B5161">
        <w:rPr>
          <w:szCs w:val="22"/>
        </w:rPr>
        <w:t>B-cell</w:t>
      </w:r>
      <w:r>
        <w:rPr>
          <w:szCs w:val="22"/>
        </w:rPr>
        <w:t xml:space="preserve"> depletion or anti</w:t>
      </w:r>
      <w:r w:rsidR="00AA173E">
        <w:rPr>
          <w:szCs w:val="22"/>
        </w:rPr>
        <w:noBreakHyphen/>
      </w:r>
      <w:r>
        <w:rPr>
          <w:szCs w:val="22"/>
        </w:rPr>
        <w:t>tumour activity. Obinutuzumab pre-treatment markedly reduced the increase in perivascular CD3</w:t>
      </w:r>
      <w:r w:rsidR="004F0E3A">
        <w:rPr>
          <w:szCs w:val="22"/>
        </w:rPr>
        <w:t>+</w:t>
      </w:r>
      <w:r>
        <w:rPr>
          <w:sz w:val="14"/>
          <w:szCs w:val="14"/>
        </w:rPr>
        <w:t xml:space="preserve"> </w:t>
      </w:r>
      <w:r>
        <w:rPr>
          <w:szCs w:val="22"/>
        </w:rPr>
        <w:t>T</w:t>
      </w:r>
      <w:r w:rsidR="000539F7">
        <w:rPr>
          <w:szCs w:val="22"/>
        </w:rPr>
        <w:t> </w:t>
      </w:r>
      <w:r>
        <w:rPr>
          <w:szCs w:val="22"/>
        </w:rPr>
        <w:t>cells in the lungs of glofitamab</w:t>
      </w:r>
      <w:r w:rsidR="004F0E3A">
        <w:rPr>
          <w:szCs w:val="22"/>
        </w:rPr>
        <w:noBreakHyphen/>
      </w:r>
      <w:r>
        <w:rPr>
          <w:szCs w:val="22"/>
        </w:rPr>
        <w:t>treated mice.</w:t>
      </w:r>
    </w:p>
    <w:p w14:paraId="3FDE157A" w14:textId="76F792D2" w:rsidR="00B57988" w:rsidRDefault="00B57988" w:rsidP="00B57988">
      <w:pPr>
        <w:rPr>
          <w:szCs w:val="22"/>
        </w:rPr>
      </w:pPr>
      <w:r>
        <w:rPr>
          <w:szCs w:val="22"/>
        </w:rPr>
        <w:t>Reduction of glofitamab</w:t>
      </w:r>
      <w:r w:rsidR="004F0E3A">
        <w:rPr>
          <w:szCs w:val="22"/>
        </w:rPr>
        <w:noBreakHyphen/>
      </w:r>
      <w:r>
        <w:rPr>
          <w:szCs w:val="22"/>
        </w:rPr>
        <w:t>mediated T</w:t>
      </w:r>
      <w:r w:rsidR="004F0E3A">
        <w:rPr>
          <w:szCs w:val="22"/>
        </w:rPr>
        <w:t> </w:t>
      </w:r>
      <w:r>
        <w:rPr>
          <w:szCs w:val="22"/>
        </w:rPr>
        <w:t xml:space="preserve">cell activation and cytokine release with prior treatment with obinutuzumab was also demonstrated </w:t>
      </w:r>
      <w:r w:rsidRPr="001A0B15">
        <w:rPr>
          <w:szCs w:val="22"/>
        </w:rPr>
        <w:t>in vitro</w:t>
      </w:r>
      <w:r>
        <w:rPr>
          <w:i/>
          <w:iCs/>
          <w:szCs w:val="22"/>
        </w:rPr>
        <w:t xml:space="preserve"> </w:t>
      </w:r>
      <w:r>
        <w:rPr>
          <w:szCs w:val="22"/>
        </w:rPr>
        <w:t xml:space="preserve">in healthy human whole blood (occurring as a consequence of the lower </w:t>
      </w:r>
      <w:r w:rsidR="004B5161">
        <w:rPr>
          <w:szCs w:val="22"/>
        </w:rPr>
        <w:t>B-cell</w:t>
      </w:r>
      <w:r>
        <w:rPr>
          <w:szCs w:val="22"/>
        </w:rPr>
        <w:t xml:space="preserve"> numbers at the time of glofitamab treatment).</w:t>
      </w:r>
    </w:p>
    <w:p w14:paraId="35B580A5" w14:textId="69B9BE44" w:rsidR="00C22214" w:rsidRDefault="00C22214" w:rsidP="008804CF">
      <w:pPr>
        <w:pStyle w:val="Heading3"/>
      </w:pPr>
      <w:bookmarkStart w:id="46" w:name="_Toc190763106"/>
      <w:r>
        <w:t>Clinical</w:t>
      </w:r>
      <w:bookmarkEnd w:id="43"/>
      <w:bookmarkEnd w:id="44"/>
      <w:bookmarkEnd w:id="45"/>
      <w:bookmarkEnd w:id="46"/>
    </w:p>
    <w:p w14:paraId="32B0DEDA" w14:textId="77777777" w:rsidR="00C22214" w:rsidRPr="00433318" w:rsidRDefault="00C22214" w:rsidP="00433318">
      <w:pPr>
        <w:pStyle w:val="Heading4"/>
      </w:pPr>
      <w:bookmarkStart w:id="47" w:name="_Toc98931928"/>
      <w:bookmarkStart w:id="48" w:name="_Toc190763107"/>
      <w:r>
        <w:t>Summary of clinical studies</w:t>
      </w:r>
      <w:bookmarkEnd w:id="47"/>
      <w:bookmarkEnd w:id="48"/>
    </w:p>
    <w:p w14:paraId="46622364" w14:textId="38CECE1F" w:rsidR="00C22214" w:rsidRPr="00BD5DBD" w:rsidRDefault="00C22214" w:rsidP="00C22214">
      <w:pPr>
        <w:rPr>
          <w:szCs w:val="22"/>
        </w:rPr>
      </w:pPr>
      <w:r w:rsidRPr="00BD5DBD">
        <w:rPr>
          <w:szCs w:val="22"/>
        </w:rPr>
        <w:t>The clinical dossier consisted of</w:t>
      </w:r>
      <w:r w:rsidR="007357B9" w:rsidRPr="00BD5DBD">
        <w:rPr>
          <w:szCs w:val="22"/>
        </w:rPr>
        <w:t>:</w:t>
      </w:r>
    </w:p>
    <w:p w14:paraId="3DF49722" w14:textId="11559726" w:rsidR="00C22214" w:rsidRPr="00091A2E" w:rsidRDefault="009976BD" w:rsidP="00C22214">
      <w:pPr>
        <w:pStyle w:val="ListBullet"/>
        <w:rPr>
          <w:szCs w:val="22"/>
        </w:rPr>
      </w:pPr>
      <w:r>
        <w:rPr>
          <w:szCs w:val="22"/>
        </w:rPr>
        <w:t>one</w:t>
      </w:r>
      <w:r w:rsidR="00C22214" w:rsidRPr="00BD5DBD">
        <w:rPr>
          <w:szCs w:val="22"/>
        </w:rPr>
        <w:t xml:space="preserve"> Phase I</w:t>
      </w:r>
      <w:r>
        <w:rPr>
          <w:szCs w:val="22"/>
        </w:rPr>
        <w:t>/II</w:t>
      </w:r>
      <w:r w:rsidR="00C22214" w:rsidRPr="00BD5DBD">
        <w:rPr>
          <w:szCs w:val="22"/>
        </w:rPr>
        <w:t xml:space="preserve"> stud</w:t>
      </w:r>
      <w:r>
        <w:rPr>
          <w:szCs w:val="22"/>
        </w:rPr>
        <w:t xml:space="preserve">y, </w:t>
      </w:r>
      <w:r w:rsidRPr="00A871A5">
        <w:t>Study</w:t>
      </w:r>
      <w:r>
        <w:t xml:space="preserve"> </w:t>
      </w:r>
      <w:r w:rsidRPr="00A871A5">
        <w:t xml:space="preserve">NP30179, </w:t>
      </w:r>
      <w:r w:rsidR="000E2741">
        <w:t xml:space="preserve">an ongoing, </w:t>
      </w:r>
      <w:r w:rsidRPr="00A871A5">
        <w:t>multicentr</w:t>
      </w:r>
      <w:r>
        <w:t>e</w:t>
      </w:r>
      <w:r w:rsidRPr="00A871A5">
        <w:t>, open-label study evaluating the safety, efficacy,</w:t>
      </w:r>
      <w:r w:rsidR="000E2741">
        <w:t xml:space="preserve"> and</w:t>
      </w:r>
      <w:r>
        <w:t xml:space="preserve"> </w:t>
      </w:r>
      <w:r w:rsidRPr="00A871A5">
        <w:t>tolerability</w:t>
      </w:r>
      <w:r w:rsidR="000E2741">
        <w:t>,</w:t>
      </w:r>
      <w:r w:rsidRPr="00A871A5">
        <w:t xml:space="preserve"> and pharmacokinetics of escalating doses of glofitamab as a single agent and</w:t>
      </w:r>
      <w:r>
        <w:t xml:space="preserve"> </w:t>
      </w:r>
      <w:r w:rsidRPr="00A871A5">
        <w:t xml:space="preserve">in combination with obinutuzumab administered </w:t>
      </w:r>
      <w:r w:rsidR="000E2741">
        <w:t xml:space="preserve">as a </w:t>
      </w:r>
      <w:r w:rsidRPr="00A871A5">
        <w:t>fixed, single dose pre-treatment</w:t>
      </w:r>
      <w:r w:rsidR="000E2741">
        <w:t>,</w:t>
      </w:r>
      <w:r w:rsidRPr="00091A2E">
        <w:t xml:space="preserve"> in patients with relapsed/refractory </w:t>
      </w:r>
      <w:r w:rsidR="004B5161">
        <w:t>B-cell</w:t>
      </w:r>
      <w:r w:rsidRPr="00091A2E">
        <w:t xml:space="preserve"> Non-Hodgkin Lymphoma (NHL).</w:t>
      </w:r>
    </w:p>
    <w:p w14:paraId="109C8433" w14:textId="77777777" w:rsidR="0050142F" w:rsidRDefault="0050142F" w:rsidP="0050142F">
      <w:pPr>
        <w:pStyle w:val="Heading4"/>
      </w:pPr>
      <w:bookmarkStart w:id="49" w:name="_Toc190763108"/>
      <w:r>
        <w:t>Pharmacology</w:t>
      </w:r>
      <w:bookmarkEnd w:id="49"/>
    </w:p>
    <w:p w14:paraId="5F885897" w14:textId="23F3EEE4" w:rsidR="0050142F" w:rsidRPr="00BC3783" w:rsidRDefault="00F838A1" w:rsidP="0050142F">
      <w:r>
        <w:t>Pharmacokinetic (PK) analysis of s</w:t>
      </w:r>
      <w:r w:rsidR="0050142F" w:rsidRPr="00BC3783">
        <w:t xml:space="preserve">erum obinutuzumab </w:t>
      </w:r>
      <w:r>
        <w:t xml:space="preserve">levels </w:t>
      </w:r>
      <w:r w:rsidR="0050142F" w:rsidRPr="00BC3783">
        <w:t xml:space="preserve">in the </w:t>
      </w:r>
      <w:r w:rsidR="0001521C">
        <w:t>P</w:t>
      </w:r>
      <w:r w:rsidR="0050142F" w:rsidRPr="00BC3783">
        <w:t xml:space="preserve">hase </w:t>
      </w:r>
      <w:r w:rsidR="0001521C">
        <w:t>I</w:t>
      </w:r>
      <w:r w:rsidR="0050142F" w:rsidRPr="00BC3783">
        <w:t>/</w:t>
      </w:r>
      <w:r w:rsidR="0001521C">
        <w:t>II</w:t>
      </w:r>
      <w:r w:rsidR="0050142F" w:rsidRPr="00BC3783">
        <w:t xml:space="preserve"> study </w:t>
      </w:r>
      <w:r w:rsidR="0050142F" w:rsidRPr="0001521C">
        <w:rPr>
          <w:bCs/>
        </w:rPr>
        <w:t xml:space="preserve">NP30179 </w:t>
      </w:r>
      <w:r w:rsidR="0050142F" w:rsidRPr="00BC3783">
        <w:t xml:space="preserve">were compatible with earlier obinutuzumab concentration data. Serum concentration data were </w:t>
      </w:r>
      <w:r w:rsidR="0050142F" w:rsidRPr="001055F7">
        <w:t>available for 406 patients with a total of 971 observations.</w:t>
      </w:r>
    </w:p>
    <w:p w14:paraId="0CBB7E50" w14:textId="264939E1" w:rsidR="0050142F" w:rsidRDefault="0050142F" w:rsidP="0050142F">
      <w:r w:rsidRPr="003D54C1">
        <w:lastRenderedPageBreak/>
        <w:t>Glofitamab and obinutuzumab bind to CD20 on the same epitope, and circulating obinutuzumab will compete with glofitamab. In order to</w:t>
      </w:r>
      <w:r>
        <w:t xml:space="preserve"> </w:t>
      </w:r>
      <w:r w:rsidRPr="003D54C1">
        <w:t xml:space="preserve">account for the impact of circulating obinutuzumab </w:t>
      </w:r>
      <w:r w:rsidRPr="0092117D">
        <w:t>and glofitamab concentrations</w:t>
      </w:r>
      <w:r w:rsidR="00FF757E" w:rsidRPr="0092117D">
        <w:t>,</w:t>
      </w:r>
      <w:r w:rsidRPr="0092117D">
        <w:t xml:space="preserve"> the PK exposure parameter utili</w:t>
      </w:r>
      <w:r w:rsidR="00FF757E" w:rsidRPr="0092117D">
        <w:t>s</w:t>
      </w:r>
      <w:r w:rsidRPr="0092117D">
        <w:t>ed in the Exposure-Response analysis was glofitamab receptor occupancy (RO).</w:t>
      </w:r>
    </w:p>
    <w:p w14:paraId="0FE9744B" w14:textId="37503374" w:rsidR="0050142F" w:rsidRDefault="0050142F" w:rsidP="0050142F">
      <w:r>
        <w:t xml:space="preserve">An exposure-response analysis </w:t>
      </w:r>
      <w:r w:rsidRPr="003D54C1">
        <w:t xml:space="preserve">for CRS </w:t>
      </w:r>
      <w:r>
        <w:t xml:space="preserve">was performed and </w:t>
      </w:r>
      <w:r w:rsidRPr="003D54C1">
        <w:t>focused on the relationship between model-derived glofitamab</w:t>
      </w:r>
      <w:r>
        <w:t xml:space="preserve"> </w:t>
      </w:r>
      <w:r w:rsidRPr="003D54C1">
        <w:t xml:space="preserve">average CD20 RO% over the first 24 hours following the first </w:t>
      </w:r>
      <w:r>
        <w:t>g</w:t>
      </w:r>
      <w:r w:rsidRPr="003D54C1">
        <w:t>lofitamab administration</w:t>
      </w:r>
      <w:r>
        <w:t xml:space="preserve"> </w:t>
      </w:r>
      <w:r w:rsidRPr="003D54C1">
        <w:t xml:space="preserve">and the occurrence of </w:t>
      </w:r>
      <w:r w:rsidR="00697651">
        <w:t xml:space="preserve">CRS assessed as </w:t>
      </w:r>
      <w:r w:rsidRPr="003D54C1">
        <w:t xml:space="preserve">Grade 2 </w:t>
      </w:r>
      <w:r w:rsidR="00697651">
        <w:t>or higher</w:t>
      </w:r>
      <w:r w:rsidRPr="003D54C1">
        <w:t>.</w:t>
      </w:r>
      <w:r w:rsidR="00697651">
        <w:rPr>
          <w:rStyle w:val="FootnoteReference"/>
        </w:rPr>
        <w:footnoteReference w:id="10"/>
      </w:r>
      <w:r>
        <w:t xml:space="preserve"> </w:t>
      </w:r>
      <w:r w:rsidRPr="003D54C1">
        <w:t>The exposure-CRS analysis on the total PK-evaluable population (covering a wide range of exposures and dosing regimens), indicates that the risk of</w:t>
      </w:r>
      <w:r>
        <w:t xml:space="preserve"> </w:t>
      </w:r>
      <w:r w:rsidRPr="003D54C1">
        <w:t xml:space="preserve">experiencing </w:t>
      </w:r>
      <w:r w:rsidR="009D6C9C">
        <w:t xml:space="preserve">CRS of </w:t>
      </w:r>
      <w:r w:rsidRPr="003D54C1">
        <w:t xml:space="preserve">Grade </w:t>
      </w:r>
      <w:r w:rsidR="009D6C9C">
        <w:t>2 or higher</w:t>
      </w:r>
      <w:r w:rsidRPr="003D54C1">
        <w:t xml:space="preserve"> significantly increases (p-value</w:t>
      </w:r>
      <w:r>
        <w:t>=</w:t>
      </w:r>
      <w:r w:rsidRPr="003D54C1">
        <w:t xml:space="preserve">0.00380, Figure </w:t>
      </w:r>
      <w:r>
        <w:t>1</w:t>
      </w:r>
      <w:r w:rsidRPr="003D54C1">
        <w:t>) with</w:t>
      </w:r>
      <w:r>
        <w:t xml:space="preserve"> </w:t>
      </w:r>
      <w:r w:rsidRPr="003D54C1">
        <w:t xml:space="preserve">increasing glofitamab average RO% </w:t>
      </w:r>
      <w:r w:rsidRPr="00DD7254">
        <w:t>over the first 24 hours (AvRO%D1). This observation was confirmed when looking at the</w:t>
      </w:r>
      <w:r w:rsidRPr="003D54C1">
        <w:t xml:space="preserve"> AvRO%D1 quartiles with 20.6%, 24.8%,</w:t>
      </w:r>
      <w:r>
        <w:t xml:space="preserve"> </w:t>
      </w:r>
      <w:r w:rsidRPr="003D54C1">
        <w:t>18.8%, and 35.6% in quartiles 1 to 4, respectively.</w:t>
      </w:r>
    </w:p>
    <w:p w14:paraId="0A1F21B0" w14:textId="4536FE61" w:rsidR="0050142F" w:rsidRDefault="0050142F" w:rsidP="00BC32D1">
      <w:pPr>
        <w:pStyle w:val="FigureTitle"/>
      </w:pPr>
      <w:bookmarkStart w:id="50" w:name="_Ref155098903"/>
      <w:r w:rsidRPr="003D54C1">
        <w:t xml:space="preserve">Figure </w:t>
      </w:r>
      <w:r w:rsidRPr="003D54C1">
        <w:fldChar w:fldCharType="begin"/>
      </w:r>
      <w:r w:rsidRPr="003D54C1">
        <w:instrText xml:space="preserve"> SEQ Figure \* ARABIC </w:instrText>
      </w:r>
      <w:r w:rsidRPr="003D54C1">
        <w:fldChar w:fldCharType="separate"/>
      </w:r>
      <w:r w:rsidR="001D126E">
        <w:rPr>
          <w:noProof/>
        </w:rPr>
        <w:t>1</w:t>
      </w:r>
      <w:r w:rsidRPr="003D54C1">
        <w:fldChar w:fldCharType="end"/>
      </w:r>
      <w:bookmarkEnd w:id="50"/>
      <w:r w:rsidR="000010D5">
        <w:t>: Study NP30</w:t>
      </w:r>
      <w:r w:rsidR="009266BE">
        <w:t xml:space="preserve">179 </w:t>
      </w:r>
      <w:r w:rsidRPr="003D54C1">
        <w:t>Exposure-</w:t>
      </w:r>
      <w:r w:rsidR="007F7E4F">
        <w:t>r</w:t>
      </w:r>
      <w:r w:rsidRPr="003D54C1">
        <w:t xml:space="preserve">esponse </w:t>
      </w:r>
      <w:r w:rsidR="007F7E4F">
        <w:t>a</w:t>
      </w:r>
      <w:r w:rsidRPr="003D54C1">
        <w:t xml:space="preserve">nalysis </w:t>
      </w:r>
      <w:r w:rsidR="007F7E4F">
        <w:t>r</w:t>
      </w:r>
      <w:r w:rsidRPr="003D54C1">
        <w:t xml:space="preserve">elating the </w:t>
      </w:r>
      <w:r w:rsidR="007F7E4F">
        <w:t>g</w:t>
      </w:r>
      <w:r w:rsidRPr="003D54C1">
        <w:t xml:space="preserve">lofitamab </w:t>
      </w:r>
      <w:r w:rsidR="007F7E4F">
        <w:t>a</w:t>
      </w:r>
      <w:r w:rsidRPr="003D54C1">
        <w:t>verage</w:t>
      </w:r>
      <w:r>
        <w:t xml:space="preserve"> </w:t>
      </w:r>
      <w:r w:rsidRPr="003D54C1">
        <w:t xml:space="preserve">CD20 </w:t>
      </w:r>
      <w:r w:rsidR="00A40F88">
        <w:t>receptor occupancy</w:t>
      </w:r>
      <w:r w:rsidR="00DD7254">
        <w:t xml:space="preserve"> </w:t>
      </w:r>
      <w:r w:rsidR="00A40F88">
        <w:t>o</w:t>
      </w:r>
      <w:r w:rsidRPr="003D54C1">
        <w:t xml:space="preserve">ver the </w:t>
      </w:r>
      <w:r w:rsidR="00A40F88">
        <w:t>f</w:t>
      </w:r>
      <w:r w:rsidRPr="003D54C1">
        <w:t>irst 24</w:t>
      </w:r>
      <w:r w:rsidR="00A40F88">
        <w:t xml:space="preserve"> hours</w:t>
      </w:r>
      <w:r w:rsidRPr="003D54C1">
        <w:t xml:space="preserve"> to the </w:t>
      </w:r>
      <w:r w:rsidR="00A40F88">
        <w:t>r</w:t>
      </w:r>
      <w:r w:rsidRPr="003D54C1">
        <w:t>isk of Grade 2</w:t>
      </w:r>
      <w:r w:rsidR="000010D5">
        <w:t xml:space="preserve"> and higher</w:t>
      </w:r>
      <w:r w:rsidRPr="003D54C1">
        <w:t xml:space="preserve"> CRS</w:t>
      </w:r>
      <w:r w:rsidR="009266BE">
        <w:t xml:space="preserve"> (</w:t>
      </w:r>
      <w:r w:rsidR="00752AF3">
        <w:t>pharmacokinetic</w:t>
      </w:r>
      <w:r w:rsidR="007F7E4F">
        <w:t xml:space="preserve">s-evaluable </w:t>
      </w:r>
      <w:r w:rsidR="009266BE">
        <w:t>population)</w:t>
      </w:r>
    </w:p>
    <w:p w14:paraId="675C1881" w14:textId="77777777" w:rsidR="0050142F" w:rsidRPr="00BC3783" w:rsidRDefault="0050142F" w:rsidP="0050142F">
      <w:r w:rsidRPr="003D54C1">
        <w:rPr>
          <w:noProof/>
          <w:lang w:eastAsia="en-AU"/>
        </w:rPr>
        <w:drawing>
          <wp:inline distT="0" distB="0" distL="0" distR="0" wp14:anchorId="54D87FA9" wp14:editId="5B244455">
            <wp:extent cx="5731510" cy="2738120"/>
            <wp:effectExtent l="0" t="0" r="2540" b="5080"/>
            <wp:docPr id="1" name="Picture 1" descr="X axis is average receptor occupancy for 24h after the first glofitamab dose. Y axis is predicted probability of CRS of at least Grad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X axis is average receptor occupancy for 24h after the first glofitamab dose. Y axis is predicted probability of CRS of at least Grade 2. "/>
                    <pic:cNvPicPr/>
                  </pic:nvPicPr>
                  <pic:blipFill>
                    <a:blip r:embed="rId21"/>
                    <a:stretch>
                      <a:fillRect/>
                    </a:stretch>
                  </pic:blipFill>
                  <pic:spPr>
                    <a:xfrm>
                      <a:off x="0" y="0"/>
                      <a:ext cx="5731510" cy="2738120"/>
                    </a:xfrm>
                    <a:prstGeom prst="rect">
                      <a:avLst/>
                    </a:prstGeom>
                  </pic:spPr>
                </pic:pic>
              </a:graphicData>
            </a:graphic>
          </wp:inline>
        </w:drawing>
      </w:r>
    </w:p>
    <w:p w14:paraId="5324F636" w14:textId="1DE27FF3" w:rsidR="0050142F" w:rsidRDefault="0050142F" w:rsidP="0050142F">
      <w:r w:rsidRPr="003D54C1">
        <w:t xml:space="preserve">The average </w:t>
      </w:r>
      <w:r>
        <w:t>RO</w:t>
      </w:r>
      <w:r w:rsidRPr="003D54C1">
        <w:t xml:space="preserve"> after </w:t>
      </w:r>
      <w:r>
        <w:t xml:space="preserve">the </w:t>
      </w:r>
      <w:r w:rsidRPr="003D54C1">
        <w:t>first glofitamab administration (2.5</w:t>
      </w:r>
      <w:r w:rsidR="002336C5">
        <w:t> </w:t>
      </w:r>
      <w:r w:rsidRPr="003D54C1">
        <w:t>mg) is approximately 0.1%.</w:t>
      </w:r>
      <w:r>
        <w:t xml:space="preserve"> </w:t>
      </w:r>
      <w:r w:rsidRPr="003D54C1">
        <w:t>The glofitamab step-up dosing regimen was selected with the intent to achieve a RO</w:t>
      </w:r>
      <w:r>
        <w:t xml:space="preserve"> </w:t>
      </w:r>
      <w:r w:rsidRPr="003D54C1">
        <w:t>value in this range, to mitigate CRS and maximi</w:t>
      </w:r>
      <w:r w:rsidR="00393FD4">
        <w:t>s</w:t>
      </w:r>
      <w:r w:rsidRPr="003D54C1">
        <w:t>e the potential for benefit by facilitating</w:t>
      </w:r>
      <w:r>
        <w:t xml:space="preserve"> </w:t>
      </w:r>
      <w:r w:rsidRPr="003D54C1">
        <w:t>rapid increases to the target dose. The high CD20 binding potency of glofitamab, in the</w:t>
      </w:r>
      <w:r>
        <w:t xml:space="preserve"> </w:t>
      </w:r>
      <w:r w:rsidRPr="003D54C1">
        <w:t>absence of a competing anti-CD20 antibody, would result in a substantially higher RO,</w:t>
      </w:r>
      <w:r>
        <w:t xml:space="preserve"> </w:t>
      </w:r>
      <w:r w:rsidRPr="003D54C1">
        <w:t>particularly after first administration and consequently, an extremely high T</w:t>
      </w:r>
      <w:r w:rsidR="004D3EF9">
        <w:t> </w:t>
      </w:r>
      <w:r w:rsidRPr="003D54C1">
        <w:t>cell</w:t>
      </w:r>
      <w:r>
        <w:t xml:space="preserve"> </w:t>
      </w:r>
      <w:r w:rsidRPr="003D54C1">
        <w:t xml:space="preserve">recruitment to the target site would be expected. In the absence of </w:t>
      </w:r>
      <w:r w:rsidR="00332E3D">
        <w:t>Gazyva</w:t>
      </w:r>
      <w:r w:rsidR="00111E06">
        <w:t xml:space="preserve"> pre-treatment</w:t>
      </w:r>
      <w:r w:rsidRPr="003D54C1">
        <w:t xml:space="preserve"> this would likely</w:t>
      </w:r>
      <w:r>
        <w:t xml:space="preserve"> </w:t>
      </w:r>
      <w:r w:rsidRPr="003D54C1">
        <w:t>result in unacceptably high rate and severity of CRS at the doses currently administered.</w:t>
      </w:r>
    </w:p>
    <w:p w14:paraId="4C065E4B" w14:textId="4CD34C15" w:rsidR="0050142F" w:rsidRDefault="0050142F" w:rsidP="0050142F">
      <w:r>
        <w:t>The sponsor has concluded that w</w:t>
      </w:r>
      <w:r w:rsidRPr="003D54C1">
        <w:t xml:space="preserve">ithout </w:t>
      </w:r>
      <w:r>
        <w:t>obinutuzumab</w:t>
      </w:r>
      <w:r w:rsidRPr="003D54C1">
        <w:t>, a prolonged step-up dosing regimen with insufficient therapeutic doses of</w:t>
      </w:r>
      <w:r>
        <w:t xml:space="preserve"> </w:t>
      </w:r>
      <w:r w:rsidRPr="003D54C1">
        <w:t>glofitamab (</w:t>
      </w:r>
      <w:r w:rsidR="00111E06">
        <w:t xml:space="preserve">less than </w:t>
      </w:r>
      <w:r w:rsidRPr="003D54C1">
        <w:t>0.6</w:t>
      </w:r>
      <w:r w:rsidR="00111E06">
        <w:t> </w:t>
      </w:r>
      <w:r w:rsidRPr="003D54C1">
        <w:t>mg) would likely be required to achieve tolerable glofitamab dosing.</w:t>
      </w:r>
      <w:r>
        <w:t xml:space="preserve"> </w:t>
      </w:r>
      <w:r w:rsidRPr="003D54C1">
        <w:t xml:space="preserve">The relationship between glofitamab dose, RO, and </w:t>
      </w:r>
      <w:r w:rsidR="00076832">
        <w:t xml:space="preserve">CRS of </w:t>
      </w:r>
      <w:r w:rsidRPr="003D54C1">
        <w:t xml:space="preserve">Grade 2 </w:t>
      </w:r>
      <w:r w:rsidR="00076832">
        <w:t>and higher</w:t>
      </w:r>
      <w:r w:rsidRPr="003D54C1">
        <w:t xml:space="preserve"> is non-linear, and</w:t>
      </w:r>
      <w:r>
        <w:t xml:space="preserve"> </w:t>
      </w:r>
      <w:r w:rsidRPr="003D54C1">
        <w:t xml:space="preserve">without </w:t>
      </w:r>
      <w:r>
        <w:t>obinutuzumab</w:t>
      </w:r>
      <w:r w:rsidRPr="003D54C1">
        <w:t xml:space="preserve"> the glofitamab step-up dose would </w:t>
      </w:r>
      <w:r w:rsidRPr="003129CF">
        <w:t xml:space="preserve">start in the low </w:t>
      </w:r>
      <w:r w:rsidR="00E71C08" w:rsidRPr="003129CF">
        <w:t>microgram</w:t>
      </w:r>
      <w:r w:rsidRPr="003129CF">
        <w:t xml:space="preserve"> range. The </w:t>
      </w:r>
      <w:r w:rsidR="003129CF" w:rsidRPr="003129CF">
        <w:t>exposure</w:t>
      </w:r>
      <w:r w:rsidR="003129CF" w:rsidRPr="003129CF">
        <w:noBreakHyphen/>
        <w:t>response</w:t>
      </w:r>
      <w:r w:rsidRPr="003129CF">
        <w:t xml:space="preserve"> CRS analysis supports that conclusion.</w:t>
      </w:r>
    </w:p>
    <w:p w14:paraId="46D53908" w14:textId="7B75353B" w:rsidR="0050142F" w:rsidRDefault="0050142F" w:rsidP="0050142F">
      <w:r>
        <w:lastRenderedPageBreak/>
        <w:t>D</w:t>
      </w:r>
      <w:r w:rsidRPr="00275505">
        <w:t xml:space="preserve">ata on </w:t>
      </w:r>
      <w:r w:rsidR="004B5161">
        <w:t>B-cell</w:t>
      </w:r>
      <w:r w:rsidRPr="00275505">
        <w:t xml:space="preserve"> counts from Study NP30179 support the depletion of peripheral</w:t>
      </w:r>
      <w:r>
        <w:t xml:space="preserve"> </w:t>
      </w:r>
      <w:r w:rsidR="004B5161">
        <w:t>B-cell</w:t>
      </w:r>
      <w:r w:rsidRPr="00275505">
        <w:t xml:space="preserve">s by obinutuzumab treatment in patients with </w:t>
      </w:r>
      <w:r w:rsidR="004233C6">
        <w:rPr>
          <w:lang w:eastAsia="ja-JP"/>
        </w:rPr>
        <w:t>relapsed/refractory (</w:t>
      </w:r>
      <w:r w:rsidRPr="00275505">
        <w:t>R/R</w:t>
      </w:r>
      <w:r w:rsidR="004233C6">
        <w:t>)</w:t>
      </w:r>
      <w:r w:rsidRPr="00275505">
        <w:t xml:space="preserve"> NHL. In the overall safety</w:t>
      </w:r>
      <w:r>
        <w:t xml:space="preserve"> </w:t>
      </w:r>
      <w:r w:rsidRPr="00275505">
        <w:t xml:space="preserve">population (N </w:t>
      </w:r>
      <w:r>
        <w:t>=</w:t>
      </w:r>
      <w:r w:rsidRPr="00275505">
        <w:t xml:space="preserve"> 469), 73.2% of patients (336</w:t>
      </w:r>
      <w:r w:rsidR="00497E7E">
        <w:t xml:space="preserve"> of </w:t>
      </w:r>
      <w:r w:rsidRPr="00275505">
        <w:t xml:space="preserve">459) had </w:t>
      </w:r>
      <w:r w:rsidR="004B5161">
        <w:t>B-cell</w:t>
      </w:r>
      <w:r w:rsidRPr="00275505">
        <w:t xml:space="preserve"> counts </w:t>
      </w:r>
      <w:r w:rsidR="00497E7E">
        <w:t>under</w:t>
      </w:r>
      <w:r w:rsidRPr="00275505">
        <w:t xml:space="preserve"> 70</w:t>
      </w:r>
      <w:r w:rsidR="00497E7E">
        <w:t> </w:t>
      </w:r>
      <w:r w:rsidRPr="00275505">
        <w:t>cells/</w:t>
      </w:r>
      <w:r>
        <w:t>µ</w:t>
      </w:r>
      <w:r w:rsidRPr="00275505">
        <w:t>L at study</w:t>
      </w:r>
      <w:r>
        <w:t xml:space="preserve"> </w:t>
      </w:r>
      <w:r w:rsidRPr="00275505">
        <w:t xml:space="preserve">entry, likely reflective of prior anti-CD20 therapy. Following </w:t>
      </w:r>
      <w:r>
        <w:t>obinutuzumab</w:t>
      </w:r>
      <w:r w:rsidRPr="00275505">
        <w:t xml:space="preserve"> and prior to </w:t>
      </w:r>
      <w:r w:rsidRPr="008850AE">
        <w:t xml:space="preserve">glofitamab administration, almost all patients had </w:t>
      </w:r>
      <w:r w:rsidR="004B5161">
        <w:t>B-cell</w:t>
      </w:r>
      <w:r w:rsidRPr="008850AE">
        <w:t xml:space="preserve"> counts </w:t>
      </w:r>
      <w:r w:rsidR="00497E7E" w:rsidRPr="008850AE">
        <w:t xml:space="preserve">under </w:t>
      </w:r>
      <w:r w:rsidRPr="008850AE">
        <w:t>70 cells/µL (94.3% [378</w:t>
      </w:r>
      <w:r w:rsidR="00497E7E" w:rsidRPr="008850AE">
        <w:t xml:space="preserve"> of </w:t>
      </w:r>
      <w:r w:rsidRPr="008850AE">
        <w:t>401] at Cycle 1, Day 7 [C1D7]</w:t>
      </w:r>
      <w:r w:rsidR="006A304E" w:rsidRPr="008850AE">
        <w:t>;</w:t>
      </w:r>
      <w:r w:rsidRPr="008850AE">
        <w:t xml:space="preserve"> 93.7% [74</w:t>
      </w:r>
      <w:r w:rsidR="006A304E" w:rsidRPr="008850AE">
        <w:t xml:space="preserve"> of </w:t>
      </w:r>
      <w:r w:rsidRPr="008850AE">
        <w:t xml:space="preserve">79] at C1D8), reflecting the depletion of peripheral </w:t>
      </w:r>
      <w:r w:rsidR="004B5161">
        <w:t>B-cell</w:t>
      </w:r>
      <w:r w:rsidRPr="008850AE">
        <w:t>s with obinutuzumab.</w:t>
      </w:r>
    </w:p>
    <w:p w14:paraId="7CF9D346" w14:textId="77777777" w:rsidR="0050142F" w:rsidRDefault="0050142F" w:rsidP="0050142F">
      <w:pPr>
        <w:pStyle w:val="Heading4"/>
      </w:pPr>
      <w:bookmarkStart w:id="51" w:name="_Toc190763109"/>
      <w:r>
        <w:t>Ef</w:t>
      </w:r>
      <w:r w:rsidRPr="00AA53F4">
        <w:t>ficacy</w:t>
      </w:r>
      <w:bookmarkEnd w:id="51"/>
    </w:p>
    <w:p w14:paraId="172B2FCD" w14:textId="31F7F908" w:rsidR="0050142F" w:rsidRDefault="0050142F" w:rsidP="0050142F">
      <w:pPr>
        <w:rPr>
          <w:lang w:eastAsia="ja-JP"/>
        </w:rPr>
      </w:pPr>
      <w:r w:rsidRPr="006A304E">
        <w:rPr>
          <w:bCs/>
          <w:lang w:eastAsia="ja-JP"/>
        </w:rPr>
        <w:t>Study NP30179</w:t>
      </w:r>
      <w:r>
        <w:rPr>
          <w:lang w:eastAsia="ja-JP"/>
        </w:rPr>
        <w:t xml:space="preserve"> is an ongoing, </w:t>
      </w:r>
      <w:r w:rsidR="003A4E5E">
        <w:rPr>
          <w:lang w:eastAsia="ja-JP"/>
        </w:rPr>
        <w:t>P</w:t>
      </w:r>
      <w:r>
        <w:rPr>
          <w:lang w:eastAsia="ja-JP"/>
        </w:rPr>
        <w:t xml:space="preserve">hase </w:t>
      </w:r>
      <w:r w:rsidR="003A4E5E">
        <w:rPr>
          <w:lang w:eastAsia="ja-JP"/>
        </w:rPr>
        <w:t>I</w:t>
      </w:r>
      <w:r>
        <w:rPr>
          <w:lang w:eastAsia="ja-JP"/>
        </w:rPr>
        <w:t>/</w:t>
      </w:r>
      <w:r w:rsidR="003A4E5E">
        <w:rPr>
          <w:lang w:eastAsia="ja-JP"/>
        </w:rPr>
        <w:t>II</w:t>
      </w:r>
      <w:r>
        <w:rPr>
          <w:lang w:eastAsia="ja-JP"/>
        </w:rPr>
        <w:t xml:space="preserve"> multicentre, open-label study to evaluate safety, efficacy, tolerability and PK of escalating doses of glofitamab as a single agent and as combination with obinutuzumab given after obinutuzumab pre-treatment, in patients with R/R </w:t>
      </w:r>
      <w:r w:rsidR="004B5161">
        <w:rPr>
          <w:lang w:eastAsia="ja-JP"/>
        </w:rPr>
        <w:t>B-cell</w:t>
      </w:r>
      <w:r>
        <w:rPr>
          <w:lang w:eastAsia="ja-JP"/>
        </w:rPr>
        <w:t xml:space="preserve"> NHL.</w:t>
      </w:r>
    </w:p>
    <w:p w14:paraId="6ED57940" w14:textId="0B55781C" w:rsidR="0050142F" w:rsidRDefault="0050142F" w:rsidP="0050142F">
      <w:pPr>
        <w:rPr>
          <w:lang w:eastAsia="ja-JP"/>
        </w:rPr>
      </w:pPr>
      <w:r>
        <w:rPr>
          <w:lang w:eastAsia="ja-JP"/>
        </w:rPr>
        <w:t>This ongoing study involve</w:t>
      </w:r>
      <w:r w:rsidR="003F5D52">
        <w:rPr>
          <w:lang w:eastAsia="ja-JP"/>
        </w:rPr>
        <w:t>s</w:t>
      </w:r>
      <w:r>
        <w:rPr>
          <w:lang w:eastAsia="ja-JP"/>
        </w:rPr>
        <w:t xml:space="preserve"> patients 18 years of age </w:t>
      </w:r>
      <w:r w:rsidR="00B04D72">
        <w:rPr>
          <w:lang w:eastAsia="ja-JP"/>
        </w:rPr>
        <w:t xml:space="preserve">and older </w:t>
      </w:r>
      <w:r>
        <w:rPr>
          <w:lang w:eastAsia="ja-JP"/>
        </w:rPr>
        <w:t>with histologically</w:t>
      </w:r>
      <w:r w:rsidR="00A32DC8">
        <w:rPr>
          <w:lang w:eastAsia="ja-JP"/>
        </w:rPr>
        <w:noBreakHyphen/>
      </w:r>
      <w:r>
        <w:rPr>
          <w:lang w:eastAsia="ja-JP"/>
        </w:rPr>
        <w:t xml:space="preserve">confirmed NHL expected to express CD20 with relapse after or failure to respond to at least 1 prior treatment regimen. </w:t>
      </w:r>
      <w:r w:rsidR="005E66D8">
        <w:rPr>
          <w:lang w:eastAsia="ja-JP"/>
        </w:rPr>
        <w:t>[</w:t>
      </w:r>
      <w:r>
        <w:rPr>
          <w:lang w:eastAsia="ja-JP"/>
        </w:rPr>
        <w:t xml:space="preserve">Interim reports of this study that consider efficacy of the dose regimen in R/R </w:t>
      </w:r>
      <w:r w:rsidR="002A2AE1" w:rsidRPr="002A2AE1">
        <w:rPr>
          <w:lang w:eastAsia="ja-JP"/>
        </w:rPr>
        <w:t xml:space="preserve">diffuse large B-cell lymphoma </w:t>
      </w:r>
      <w:r w:rsidR="006C7869">
        <w:rPr>
          <w:lang w:eastAsia="ja-JP"/>
        </w:rPr>
        <w:t>(</w:t>
      </w:r>
      <w:r>
        <w:rPr>
          <w:lang w:eastAsia="ja-JP"/>
        </w:rPr>
        <w:t>DLBCL</w:t>
      </w:r>
      <w:r w:rsidR="006C7869">
        <w:rPr>
          <w:lang w:eastAsia="ja-JP"/>
        </w:rPr>
        <w:t>)</w:t>
      </w:r>
      <w:r>
        <w:rPr>
          <w:lang w:eastAsia="ja-JP"/>
        </w:rPr>
        <w:t xml:space="preserve"> are reviewed in the </w:t>
      </w:r>
      <w:r w:rsidR="005E66D8">
        <w:rPr>
          <w:lang w:eastAsia="ja-JP"/>
        </w:rPr>
        <w:t xml:space="preserve">concurrent </w:t>
      </w:r>
      <w:r>
        <w:rPr>
          <w:lang w:eastAsia="ja-JP"/>
        </w:rPr>
        <w:t>glofitamab submission</w:t>
      </w:r>
      <w:r w:rsidR="005E66D8">
        <w:rPr>
          <w:lang w:eastAsia="ja-JP"/>
        </w:rPr>
        <w:t>.]</w:t>
      </w:r>
    </w:p>
    <w:p w14:paraId="0E998BC8" w14:textId="19EF756F" w:rsidR="0050142F" w:rsidRDefault="0050142F" w:rsidP="0050142F">
      <w:pPr>
        <w:rPr>
          <w:lang w:eastAsia="ja-JP"/>
        </w:rPr>
      </w:pPr>
      <w:r w:rsidRPr="00C006F4">
        <w:rPr>
          <w:lang w:eastAsia="ja-JP"/>
        </w:rPr>
        <w:t>Administration of a single 1000</w:t>
      </w:r>
      <w:r w:rsidR="005E7390">
        <w:rPr>
          <w:lang w:eastAsia="ja-JP"/>
        </w:rPr>
        <w:t> </w:t>
      </w:r>
      <w:r w:rsidRPr="00C006F4">
        <w:rPr>
          <w:lang w:eastAsia="ja-JP"/>
        </w:rPr>
        <w:t>mg dose of obinutuzumab 7 days prior to the first dose of</w:t>
      </w:r>
      <w:r>
        <w:rPr>
          <w:lang w:eastAsia="ja-JP"/>
        </w:rPr>
        <w:t xml:space="preserve"> </w:t>
      </w:r>
      <w:r w:rsidRPr="00C006F4">
        <w:rPr>
          <w:lang w:eastAsia="ja-JP"/>
        </w:rPr>
        <w:t>glofitamab is a strategy to help mitigate the risk of glofitamab-induced CRS, depleting</w:t>
      </w:r>
      <w:r>
        <w:rPr>
          <w:lang w:eastAsia="ja-JP"/>
        </w:rPr>
        <w:t xml:space="preserve"> </w:t>
      </w:r>
      <w:r w:rsidRPr="00C006F4">
        <w:rPr>
          <w:lang w:eastAsia="ja-JP"/>
        </w:rPr>
        <w:t xml:space="preserve">(de-bulking) peripheral blood and secondary lymphoid organ </w:t>
      </w:r>
      <w:r w:rsidR="004B5161">
        <w:rPr>
          <w:lang w:eastAsia="ja-JP"/>
        </w:rPr>
        <w:t>B-cell</w:t>
      </w:r>
      <w:r w:rsidRPr="00C006F4">
        <w:rPr>
          <w:lang w:eastAsia="ja-JP"/>
        </w:rPr>
        <w:t>s and limiting the</w:t>
      </w:r>
      <w:r>
        <w:rPr>
          <w:lang w:eastAsia="ja-JP"/>
        </w:rPr>
        <w:t xml:space="preserve"> </w:t>
      </w:r>
      <w:r w:rsidRPr="00C006F4">
        <w:rPr>
          <w:lang w:eastAsia="ja-JP"/>
        </w:rPr>
        <w:t>initial glofitamab CD20 receptor binding, thereby attenuating cytokine release that occurs</w:t>
      </w:r>
      <w:r>
        <w:rPr>
          <w:lang w:eastAsia="ja-JP"/>
        </w:rPr>
        <w:t xml:space="preserve"> </w:t>
      </w:r>
      <w:r w:rsidRPr="00C006F4">
        <w:rPr>
          <w:lang w:eastAsia="ja-JP"/>
        </w:rPr>
        <w:t>subsequent to the first infusion of glofitamab. The obinutuzumab dose was chosen</w:t>
      </w:r>
      <w:r>
        <w:rPr>
          <w:lang w:eastAsia="ja-JP"/>
        </w:rPr>
        <w:t xml:space="preserve"> </w:t>
      </w:r>
      <w:r w:rsidRPr="00C006F4">
        <w:rPr>
          <w:lang w:eastAsia="ja-JP"/>
        </w:rPr>
        <w:t xml:space="preserve">based on the recommended dosage of obinutuzumab used in the </w:t>
      </w:r>
      <w:r w:rsidRPr="00582784">
        <w:t xml:space="preserve">treatment of </w:t>
      </w:r>
      <w:r w:rsidR="002B5AEF" w:rsidRPr="00582784">
        <w:t xml:space="preserve">chronic lymphocytic leukaemia </w:t>
      </w:r>
      <w:r w:rsidRPr="00582784">
        <w:t xml:space="preserve">and </w:t>
      </w:r>
      <w:r w:rsidR="00582784" w:rsidRPr="00582784">
        <w:t>follicular lymphoma</w:t>
      </w:r>
      <w:r w:rsidRPr="00582784">
        <w:t>. The dose and rate of administratio</w:t>
      </w:r>
      <w:r>
        <w:rPr>
          <w:lang w:eastAsia="ja-JP"/>
        </w:rPr>
        <w:t xml:space="preserve">n is the same as for </w:t>
      </w:r>
      <w:r w:rsidR="004F37DA" w:rsidRPr="003024D2">
        <w:t xml:space="preserve">Cycle 1, Day 1 </w:t>
      </w:r>
      <w:r w:rsidR="004F37DA">
        <w:t>(</w:t>
      </w:r>
      <w:r w:rsidR="00A95614">
        <w:rPr>
          <w:lang w:eastAsia="ja-JP"/>
        </w:rPr>
        <w:t>C1D1</w:t>
      </w:r>
      <w:r w:rsidR="004F37DA">
        <w:rPr>
          <w:lang w:eastAsia="ja-JP"/>
        </w:rPr>
        <w:t>)</w:t>
      </w:r>
      <w:r>
        <w:rPr>
          <w:lang w:eastAsia="ja-JP"/>
        </w:rPr>
        <w:t xml:space="preserve"> of </w:t>
      </w:r>
      <w:r w:rsidR="00A95614">
        <w:rPr>
          <w:lang w:eastAsia="ja-JP"/>
        </w:rPr>
        <w:t>o</w:t>
      </w:r>
      <w:r>
        <w:rPr>
          <w:lang w:eastAsia="ja-JP"/>
        </w:rPr>
        <w:t>binutuzumab for treatment of follicular lymphoma.</w:t>
      </w:r>
    </w:p>
    <w:p w14:paraId="33943121" w14:textId="52CE086D" w:rsidR="0050142F" w:rsidRDefault="0050142F" w:rsidP="0050142F">
      <w:r w:rsidRPr="00C006F4">
        <w:t>The study is divided into three parts</w:t>
      </w:r>
      <w:r w:rsidR="005A7C54">
        <w:t>:</w:t>
      </w:r>
      <w:r w:rsidR="006E0541">
        <w:t xml:space="preserve"> </w:t>
      </w:r>
      <w:r w:rsidRPr="00C006F4">
        <w:t>dose-escalation (Parts I [single patient cohorts]</w:t>
      </w:r>
      <w:r>
        <w:t xml:space="preserve"> </w:t>
      </w:r>
      <w:r w:rsidRPr="00C006F4">
        <w:t xml:space="preserve">and II [multiple patient cohorts]) and dose-expansion </w:t>
      </w:r>
      <w:r w:rsidR="005A7C54">
        <w:t>(</w:t>
      </w:r>
      <w:r w:rsidRPr="00C006F4">
        <w:t>Part III). The study planned to</w:t>
      </w:r>
      <w:r>
        <w:t xml:space="preserve"> </w:t>
      </w:r>
      <w:r w:rsidRPr="00C006F4">
        <w:t>enrol at least 15 patients and up to approximately 300 patients during the</w:t>
      </w:r>
      <w:r>
        <w:t xml:space="preserve"> </w:t>
      </w:r>
      <w:r w:rsidRPr="00C006F4">
        <w:t>dose-escalation phase (Parts I and II; the exact sample size could not be pre-determined</w:t>
      </w:r>
      <w:r>
        <w:t xml:space="preserve"> </w:t>
      </w:r>
      <w:r w:rsidRPr="00C006F4">
        <w:t xml:space="preserve">and depended on the number of cohorts needed to reach the </w:t>
      </w:r>
      <w:r w:rsidR="002937E3">
        <w:t xml:space="preserve">maximum tolerated </w:t>
      </w:r>
      <w:r w:rsidR="002937E3" w:rsidRPr="009A6D39">
        <w:t>dose</w:t>
      </w:r>
      <w:r w:rsidRPr="009A6D39">
        <w:t>/optimal biological dose</w:t>
      </w:r>
      <w:r w:rsidR="009A6D39" w:rsidRPr="009A6D39">
        <w:t>,</w:t>
      </w:r>
      <w:r w:rsidRPr="009A6D39">
        <w:t xml:space="preserve"> and</w:t>
      </w:r>
      <w:r w:rsidRPr="00C006F4">
        <w:t xml:space="preserve"> approximately 560 patients during the dose-expansion phase (Part III).</w:t>
      </w:r>
    </w:p>
    <w:p w14:paraId="572D7EAD" w14:textId="0B51C85B" w:rsidR="0050142F" w:rsidRDefault="0050142F" w:rsidP="0050142F">
      <w:r>
        <w:t xml:space="preserve">The primary objectives of this study all considered glofitamab as a single agent and in combination with obinutuzumab. Efficacy data were available only for R/R DLBCL and </w:t>
      </w:r>
      <w:r w:rsidR="000B0421">
        <w:t>will be</w:t>
      </w:r>
      <w:r>
        <w:t xml:space="preserve"> discussed in the </w:t>
      </w:r>
      <w:r w:rsidR="009426D0">
        <w:t>AusPAR for glofitamab.</w:t>
      </w:r>
      <w:r w:rsidR="00C95EA6">
        <w:rPr>
          <w:rStyle w:val="FootnoteReference"/>
        </w:rPr>
        <w:footnoteReference w:id="11"/>
      </w:r>
    </w:p>
    <w:p w14:paraId="07619BD3" w14:textId="77777777" w:rsidR="0050142F" w:rsidRDefault="0050142F" w:rsidP="0050142F">
      <w:pPr>
        <w:pStyle w:val="Heading4"/>
      </w:pPr>
      <w:bookmarkStart w:id="52" w:name="_Toc190763110"/>
      <w:r w:rsidRPr="00AA53F4">
        <w:t>Safety</w:t>
      </w:r>
      <w:bookmarkEnd w:id="52"/>
    </w:p>
    <w:p w14:paraId="46A3B37C" w14:textId="4CEEA341" w:rsidR="0050142F" w:rsidRDefault="0050142F" w:rsidP="00643B97">
      <w:r w:rsidRPr="003160CE">
        <w:t xml:space="preserve">As </w:t>
      </w:r>
      <w:r w:rsidR="0015444D" w:rsidRPr="003160CE">
        <w:t xml:space="preserve">already known for </w:t>
      </w:r>
      <w:r w:rsidRPr="003160CE">
        <w:t>Gazyva,</w:t>
      </w:r>
      <w:r w:rsidR="0015444D" w:rsidRPr="003160CE">
        <w:rPr>
          <w:vertAlign w:val="superscript"/>
        </w:rPr>
        <w:footnoteReference w:id="12"/>
      </w:r>
      <w:r w:rsidRPr="003160CE">
        <w:t xml:space="preserve"> the most frequently observed adverse drug reactions (ADRs) in patients receiving Gazyva were infusion related reactions (IRRs) which occurred predominantly</w:t>
      </w:r>
      <w:r w:rsidRPr="00643B97">
        <w:t xml:space="preserve"> during infusion of the first 1000</w:t>
      </w:r>
      <w:r w:rsidR="001C25BC">
        <w:t> </w:t>
      </w:r>
      <w:r w:rsidRPr="00643B97">
        <w:t xml:space="preserve">mg. </w:t>
      </w:r>
      <w:r w:rsidR="001C25BC">
        <w:t>The m</w:t>
      </w:r>
      <w:r w:rsidRPr="00643B97">
        <w:t>ost frequently reported (5%</w:t>
      </w:r>
      <w:r w:rsidR="001C25BC">
        <w:t xml:space="preserve"> or more</w:t>
      </w:r>
      <w:r w:rsidRPr="00643B97">
        <w:t>) symptoms associated with an IRR were nausea, vomiting, diarrhoea, headache, dizziness, fatigue, chills, pyrexia, hypotension, flushing, hypertension, tachycardia, dyspnoea, and chest discomfort. Respiratory symptoms such as bronchospasm, larynx and throat irritation, wheezing</w:t>
      </w:r>
      <w:r w:rsidR="002E3E09">
        <w:t xml:space="preserve"> and</w:t>
      </w:r>
      <w:r w:rsidRPr="00643B97">
        <w:t xml:space="preserve"> laryngeal oedema</w:t>
      </w:r>
      <w:r w:rsidR="002E3E09">
        <w:t>,</w:t>
      </w:r>
      <w:r w:rsidRPr="00643B97">
        <w:t xml:space="preserve"> and cardiac symptoms such as atrial fibrillation</w:t>
      </w:r>
      <w:r w:rsidR="002E3E09">
        <w:t>,</w:t>
      </w:r>
      <w:r w:rsidRPr="00643B97">
        <w:t xml:space="preserve"> have also been reported.</w:t>
      </w:r>
    </w:p>
    <w:p w14:paraId="112980FA" w14:textId="7D4E7129" w:rsidR="0050142F" w:rsidRPr="00643B97" w:rsidRDefault="0050142F" w:rsidP="00643B97">
      <w:r w:rsidRPr="00643B97">
        <w:lastRenderedPageBreak/>
        <w:t xml:space="preserve">The overall safety population (N = 469) from Study NP30179 was defined as all patients with R/R NHL who received glofitamab doses </w:t>
      </w:r>
      <w:r w:rsidR="004947AC">
        <w:t xml:space="preserve">of </w:t>
      </w:r>
      <w:r w:rsidRPr="00643B97">
        <w:t>0.6</w:t>
      </w:r>
      <w:r w:rsidR="000651FF">
        <w:t> </w:t>
      </w:r>
      <w:r w:rsidRPr="00643B97">
        <w:t xml:space="preserve">mg </w:t>
      </w:r>
      <w:r w:rsidR="004947AC">
        <w:t>or more</w:t>
      </w:r>
      <w:r w:rsidR="001E44FA">
        <w:t xml:space="preserve"> </w:t>
      </w:r>
      <w:r w:rsidRPr="00643B97">
        <w:t>with obinutuzumab. Patients were predominantly white (78.5%), male (61.8%) with a median age of 65.0 years (range: 21</w:t>
      </w:r>
      <w:r w:rsidR="001E44FA">
        <w:t xml:space="preserve"> to</w:t>
      </w:r>
      <w:r w:rsidRPr="00643B97">
        <w:t xml:space="preserve"> 90</w:t>
      </w:r>
      <w:r w:rsidR="001E44FA">
        <w:t xml:space="preserve"> years</w:t>
      </w:r>
      <w:r w:rsidRPr="00643B97">
        <w:t>).</w:t>
      </w:r>
      <w:r w:rsidR="00DD5794">
        <w:t xml:space="preserve"> </w:t>
      </w:r>
      <w:r w:rsidR="00DD5794" w:rsidRPr="00813DA0">
        <w:t xml:space="preserve">An </w:t>
      </w:r>
      <w:r w:rsidR="00E12918">
        <w:t>Eastern Cooperative Oncology Group Performance Status</w:t>
      </w:r>
      <w:r w:rsidR="00E12918" w:rsidRPr="00813DA0">
        <w:t xml:space="preserve"> </w:t>
      </w:r>
      <w:r w:rsidR="00F6680E">
        <w:t>(</w:t>
      </w:r>
      <w:r w:rsidRPr="00813DA0">
        <w:t>ECOG P</w:t>
      </w:r>
      <w:r w:rsidR="00F6680E">
        <w:t>S)</w:t>
      </w:r>
      <w:r w:rsidRPr="00813DA0">
        <w:t xml:space="preserve"> of</w:t>
      </w:r>
      <w:r w:rsidRPr="00643B97">
        <w:t xml:space="preserve"> 1 was reported in 51.8% of patients.</w:t>
      </w:r>
      <w:r w:rsidR="00124D66">
        <w:rPr>
          <w:rStyle w:val="FootnoteReference"/>
        </w:rPr>
        <w:footnoteReference w:id="13"/>
      </w:r>
      <w:r w:rsidRPr="00643B97">
        <w:t xml:space="preserve"> The overall safety population included patients with R/R NHL with the following histologies</w:t>
      </w:r>
      <w:r w:rsidRPr="00E61FF5">
        <w:t>: DLBCL</w:t>
      </w:r>
      <w:r w:rsidR="000E6446" w:rsidRPr="00E61FF5">
        <w:t xml:space="preserve"> </w:t>
      </w:r>
      <w:r w:rsidR="002238D0" w:rsidRPr="00E61FF5">
        <w:t xml:space="preserve">arising from </w:t>
      </w:r>
      <w:r w:rsidR="0068461B" w:rsidRPr="00E61FF5">
        <w:t>FL</w:t>
      </w:r>
      <w:r w:rsidRPr="00E61FF5">
        <w:t xml:space="preserve"> (55.5%); </w:t>
      </w:r>
      <w:r w:rsidRPr="0088445F">
        <w:t>FL Grades 1-3A</w:t>
      </w:r>
      <w:r w:rsidRPr="00E61FF5">
        <w:t xml:space="preserve"> (24.9%); mantle cell lymphoma </w:t>
      </w:r>
      <w:r w:rsidR="009E3864" w:rsidRPr="00E61FF5">
        <w:t>(</w:t>
      </w:r>
      <w:r w:rsidRPr="00E61FF5">
        <w:t xml:space="preserve">10.0%); </w:t>
      </w:r>
      <w:r w:rsidR="006815E2" w:rsidRPr="00E61FF5">
        <w:t>high</w:t>
      </w:r>
      <w:r w:rsidR="006815E2" w:rsidRPr="00E61FF5">
        <w:noBreakHyphen/>
        <w:t xml:space="preserve">grade </w:t>
      </w:r>
      <w:r w:rsidR="004B5161">
        <w:t>B-cell</w:t>
      </w:r>
      <w:r w:rsidR="006815E2" w:rsidRPr="00E61FF5">
        <w:t xml:space="preserve"> </w:t>
      </w:r>
      <w:r w:rsidR="006815E2" w:rsidRPr="00766460">
        <w:t>lymphoma</w:t>
      </w:r>
      <w:r w:rsidR="00E61FF5" w:rsidRPr="00766460">
        <w:t xml:space="preserve"> (</w:t>
      </w:r>
      <w:r w:rsidRPr="00766460">
        <w:t>HGBCL</w:t>
      </w:r>
      <w:r w:rsidR="00E61FF5" w:rsidRPr="00766460">
        <w:t xml:space="preserve">; </w:t>
      </w:r>
      <w:r w:rsidRPr="00766460">
        <w:t xml:space="preserve">4.1%); </w:t>
      </w:r>
      <w:r w:rsidR="00DE5E0D" w:rsidRPr="00766460">
        <w:t xml:space="preserve">primary mediastinal </w:t>
      </w:r>
      <w:r w:rsidR="004B5161">
        <w:t>B-cell</w:t>
      </w:r>
      <w:r w:rsidR="00DE5E0D" w:rsidRPr="00766460">
        <w:t xml:space="preserve"> lymphoma </w:t>
      </w:r>
      <w:r w:rsidR="00EA77F2" w:rsidRPr="00766460">
        <w:t>(</w:t>
      </w:r>
      <w:r w:rsidRPr="00766460">
        <w:t>PMBCL</w:t>
      </w:r>
      <w:r w:rsidR="00EA77F2" w:rsidRPr="00766460">
        <w:t xml:space="preserve">; </w:t>
      </w:r>
      <w:r w:rsidRPr="00766460">
        <w:t>2.6%); Richter’s transformation (2.3%); and other histologies (0.6%).</w:t>
      </w:r>
    </w:p>
    <w:p w14:paraId="0045C400" w14:textId="370AE9DE" w:rsidR="0050142F" w:rsidRPr="00643B97" w:rsidRDefault="0050142F" w:rsidP="00643B97">
      <w:r w:rsidRPr="00643B97">
        <w:t xml:space="preserve">The primary safety population (N =154) from Study NP30179 was defined as patients with R/R DLBCL (DLBCL </w:t>
      </w:r>
      <w:r w:rsidR="001A194B">
        <w:t>not otherwise specified</w:t>
      </w:r>
      <w:r w:rsidRPr="00643B97">
        <w:t>, t</w:t>
      </w:r>
      <w:r w:rsidR="00096B35">
        <w:t xml:space="preserve">ransformed </w:t>
      </w:r>
      <w:r w:rsidRPr="00643B97">
        <w:t>FL, HGBCL, PMBCL)</w:t>
      </w:r>
      <w:r w:rsidR="00EB131C">
        <w:t>who have received at least one dose of study medication (obinutuzumab pre-treatment, glofitamab) treated with 2.5/10/30 mg step-up doses of glofitamab in the proposed indication</w:t>
      </w:r>
      <w:r w:rsidRPr="00643B97">
        <w:t>. Patients were predominantly white (76.6%), male (64.9%) and with a median age of 66.0 years (range: 21 to 90</w:t>
      </w:r>
      <w:r w:rsidR="007E4E05">
        <w:t xml:space="preserve"> years</w:t>
      </w:r>
      <w:r w:rsidRPr="00643B97">
        <w:t>). At baseline, 44.8% of patients had an ECOG P</w:t>
      </w:r>
      <w:r w:rsidR="00443D88">
        <w:t>S</w:t>
      </w:r>
      <w:r w:rsidRPr="00643B97">
        <w:t xml:space="preserve"> of 0 and 54.5% had an ECOG PS of 1. The majority of patients (71.4%) had DLBCL </w:t>
      </w:r>
      <w:r w:rsidR="00C37E32">
        <w:t>not otherwise specified</w:t>
      </w:r>
      <w:r w:rsidRPr="00643B97">
        <w:t xml:space="preserve"> at study entry; 18.2% had t</w:t>
      </w:r>
      <w:r w:rsidR="00096B35">
        <w:t xml:space="preserve">ransformed </w:t>
      </w:r>
      <w:r w:rsidRPr="00643B97">
        <w:t>FL</w:t>
      </w:r>
      <w:r w:rsidR="00D46EA3">
        <w:t>;</w:t>
      </w:r>
      <w:r w:rsidRPr="00643B97">
        <w:t xml:space="preserve"> 6.5% </w:t>
      </w:r>
      <w:r w:rsidR="00D46EA3">
        <w:t xml:space="preserve">had </w:t>
      </w:r>
      <w:r w:rsidRPr="00643B97">
        <w:t>HGBCL</w:t>
      </w:r>
      <w:r w:rsidR="00D46EA3">
        <w:t>;</w:t>
      </w:r>
      <w:r w:rsidRPr="00643B97">
        <w:t xml:space="preserve"> and 3.9% </w:t>
      </w:r>
      <w:r w:rsidR="00D46EA3">
        <w:t xml:space="preserve">had </w:t>
      </w:r>
      <w:r w:rsidRPr="00643B97">
        <w:t>PMBCL.</w:t>
      </w:r>
    </w:p>
    <w:p w14:paraId="0F7CEAED" w14:textId="26363BFF" w:rsidR="0050142F" w:rsidRDefault="00E3123E" w:rsidP="00474380">
      <w:r w:rsidRPr="00E3123E">
        <w:t>The assessment of the use of obinutuzumab as pretreatment for patients receiving glofitamab is focused on CRS.</w:t>
      </w:r>
      <w:r w:rsidR="0050142F">
        <w:t xml:space="preserve"> </w:t>
      </w:r>
      <w:r w:rsidR="0050142F" w:rsidRPr="00740B07">
        <w:t xml:space="preserve">CRS of any grade (per </w:t>
      </w:r>
      <w:r w:rsidR="0050142F" w:rsidRPr="001F5115">
        <w:t>American Society for Transplantation and Cellular Therapy [ASTCT] consensus grading)</w:t>
      </w:r>
      <w:r w:rsidR="00B94A62" w:rsidRPr="001F5115">
        <w:rPr>
          <w:rStyle w:val="FootnoteReference"/>
        </w:rPr>
        <w:footnoteReference w:id="14"/>
      </w:r>
      <w:r w:rsidR="0050142F" w:rsidRPr="001F5115">
        <w:t xml:space="preserve"> in</w:t>
      </w:r>
      <w:r w:rsidR="0050142F" w:rsidRPr="00740B07">
        <w:t xml:space="preserve"> Study NP30179 was experienced by a</w:t>
      </w:r>
      <w:r w:rsidR="0050142F">
        <w:t xml:space="preserve"> </w:t>
      </w:r>
      <w:r w:rsidR="0050142F" w:rsidRPr="00740B07">
        <w:t>similar proportion of patients in both the overall safety population (64.0% [300</w:t>
      </w:r>
      <w:r w:rsidR="00E01323">
        <w:t xml:space="preserve"> of </w:t>
      </w:r>
      <w:r w:rsidR="0050142F" w:rsidRPr="00740B07">
        <w:t>469</w:t>
      </w:r>
      <w:r w:rsidR="0050142F">
        <w:t xml:space="preserve"> </w:t>
      </w:r>
      <w:r w:rsidR="0050142F" w:rsidRPr="00740B07">
        <w:t>patients]) and primary safety population (64.3% [99</w:t>
      </w:r>
      <w:r w:rsidR="00E01323">
        <w:t xml:space="preserve"> of </w:t>
      </w:r>
      <w:r w:rsidR="0050142F" w:rsidRPr="00740B07">
        <w:t>154 patients]). However, the</w:t>
      </w:r>
      <w:r w:rsidR="0050142F">
        <w:t xml:space="preserve"> </w:t>
      </w:r>
      <w:r w:rsidR="0050142F" w:rsidRPr="00740B07">
        <w:t>incidences of Grade 3</w:t>
      </w:r>
      <w:r w:rsidR="00E24EEA">
        <w:t xml:space="preserve"> and Grade </w:t>
      </w:r>
      <w:r w:rsidR="0050142F" w:rsidRPr="00740B07">
        <w:t>4 CRS [5.1% v</w:t>
      </w:r>
      <w:r w:rsidR="00E01323">
        <w:t>ersu</w:t>
      </w:r>
      <w:r w:rsidR="0050142F" w:rsidRPr="00740B07">
        <w:t>s 3.9%, respectively) and serious CRS (31.1% v</w:t>
      </w:r>
      <w:r w:rsidR="00E01323">
        <w:t>ersu</w:t>
      </w:r>
      <w:r w:rsidR="0050142F" w:rsidRPr="00740B07">
        <w:t>s</w:t>
      </w:r>
      <w:r w:rsidR="0050142F">
        <w:t xml:space="preserve"> </w:t>
      </w:r>
      <w:r w:rsidR="0050142F" w:rsidRPr="00740B07">
        <w:t>20.8%, respectively) were higher in the overall safety population, primarily due to the</w:t>
      </w:r>
      <w:r w:rsidR="0050142F">
        <w:t xml:space="preserve"> </w:t>
      </w:r>
      <w:r w:rsidR="0050142F" w:rsidRPr="00740B07">
        <w:t>influence of the fixed dosing cohort (10</w:t>
      </w:r>
      <w:r w:rsidR="00C72116">
        <w:t> </w:t>
      </w:r>
      <w:r w:rsidR="0050142F" w:rsidRPr="00740B07">
        <w:t xml:space="preserve">mg </w:t>
      </w:r>
      <w:r w:rsidR="00C43160">
        <w:t>and higher</w:t>
      </w:r>
      <w:r w:rsidR="00C72116">
        <w:t xml:space="preserve">; </w:t>
      </w:r>
      <w:r w:rsidR="0050142F" w:rsidRPr="00740B07">
        <w:t>N</w:t>
      </w:r>
      <w:r w:rsidR="00C72116">
        <w:t> </w:t>
      </w:r>
      <w:r w:rsidR="0050142F">
        <w:t>=</w:t>
      </w:r>
      <w:r w:rsidR="00C72116">
        <w:t> </w:t>
      </w:r>
      <w:r w:rsidR="0050142F" w:rsidRPr="00740B07">
        <w:t>100). This cohort included patients</w:t>
      </w:r>
      <w:r w:rsidR="0050142F">
        <w:t xml:space="preserve"> </w:t>
      </w:r>
      <w:r w:rsidR="0050142F" w:rsidRPr="00740B07">
        <w:t>treated with glofitamab fixed doses of 10</w:t>
      </w:r>
      <w:r w:rsidR="00C43160">
        <w:t> </w:t>
      </w:r>
      <w:r w:rsidR="0050142F" w:rsidRPr="00740B07">
        <w:t>mg, 16</w:t>
      </w:r>
      <w:r w:rsidR="00C43160">
        <w:t> </w:t>
      </w:r>
      <w:r w:rsidR="0050142F" w:rsidRPr="00740B07">
        <w:t>mg, and 25</w:t>
      </w:r>
      <w:r w:rsidR="00C43160">
        <w:t> </w:t>
      </w:r>
      <w:r w:rsidR="0050142F" w:rsidRPr="00740B07">
        <w:t>mg as well as those treated</w:t>
      </w:r>
      <w:r w:rsidR="0050142F">
        <w:t xml:space="preserve"> </w:t>
      </w:r>
      <w:r w:rsidR="0050142F" w:rsidRPr="00740B07">
        <w:t>with step-up doses of 10/16</w:t>
      </w:r>
      <w:r w:rsidR="005C23F3">
        <w:t> </w:t>
      </w:r>
      <w:r w:rsidR="0050142F" w:rsidRPr="00740B07">
        <w:t>mg or 2.5/10/16</w:t>
      </w:r>
      <w:r w:rsidR="005C23F3">
        <w:t> </w:t>
      </w:r>
      <w:r w:rsidR="0050142F" w:rsidRPr="00740B07">
        <w:t>mg and showed higher rates of Grade 3</w:t>
      </w:r>
      <w:r w:rsidR="00E24EEA">
        <w:t xml:space="preserve"> and Grade </w:t>
      </w:r>
      <w:r w:rsidR="0050142F" w:rsidRPr="00740B07">
        <w:t>4</w:t>
      </w:r>
      <w:r w:rsidR="0050142F">
        <w:t xml:space="preserve"> </w:t>
      </w:r>
      <w:r w:rsidR="0050142F" w:rsidRPr="00740B07">
        <w:t>CRS and serious CRS compared with other cohorts. As a consequence, the glofitamab</w:t>
      </w:r>
      <w:r w:rsidR="0050142F">
        <w:t xml:space="preserve"> </w:t>
      </w:r>
      <w:r w:rsidR="0050142F" w:rsidRPr="00740B07">
        <w:t>primary safety population, which reflects the safety profile of glofitamab at the proposed</w:t>
      </w:r>
      <w:r w:rsidR="0050142F">
        <w:t xml:space="preserve"> </w:t>
      </w:r>
      <w:r w:rsidR="0050142F" w:rsidRPr="00740B07">
        <w:t>registrational dose, is considered to be the most appropriate population to evaluate</w:t>
      </w:r>
      <w:r w:rsidR="0050142F">
        <w:t xml:space="preserve"> o</w:t>
      </w:r>
      <w:r w:rsidR="0050142F" w:rsidRPr="00740B07">
        <w:t>binutuzumab as a pre</w:t>
      </w:r>
      <w:r w:rsidR="006062D9">
        <w:noBreakHyphen/>
      </w:r>
      <w:r w:rsidR="0050142F" w:rsidRPr="00740B07">
        <w:t>treatment to reduce the risk of glofitamab-induced CRS.</w:t>
      </w:r>
    </w:p>
    <w:p w14:paraId="464D3F0B" w14:textId="22E4647D" w:rsidR="0050142F" w:rsidRDefault="0050142F" w:rsidP="00474380">
      <w:r w:rsidRPr="003024D2">
        <w:t xml:space="preserve">Although over half the patients </w:t>
      </w:r>
      <w:r>
        <w:t xml:space="preserve">in the primary safety population, </w:t>
      </w:r>
      <w:r w:rsidRPr="003024D2">
        <w:t xml:space="preserve">exposed to glofitamab following </w:t>
      </w:r>
      <w:r w:rsidR="006062D9">
        <w:t>g</w:t>
      </w:r>
      <w:r w:rsidR="00091A2E">
        <w:t>lofitamab pre</w:t>
      </w:r>
      <w:r w:rsidR="006062D9">
        <w:noBreakHyphen/>
      </w:r>
      <w:r w:rsidR="00091A2E">
        <w:t>treatment</w:t>
      </w:r>
      <w:r w:rsidRPr="003024D2">
        <w:t xml:space="preserve"> at C1D8</w:t>
      </w:r>
      <w:r>
        <w:t xml:space="preserve"> </w:t>
      </w:r>
      <w:r w:rsidRPr="003024D2">
        <w:t xml:space="preserve">experienced CRS </w:t>
      </w:r>
      <w:r w:rsidR="00870727">
        <w:t>(</w:t>
      </w:r>
      <w:r w:rsidR="00870727">
        <w:rPr>
          <w:highlight w:val="yellow"/>
        </w:rPr>
        <w:fldChar w:fldCharType="begin"/>
      </w:r>
      <w:r w:rsidR="00870727">
        <w:rPr>
          <w:highlight w:val="yellow"/>
        </w:rPr>
        <w:instrText xml:space="preserve"> REF _Ref155098903 \h </w:instrText>
      </w:r>
      <w:r w:rsidR="00870727">
        <w:rPr>
          <w:highlight w:val="yellow"/>
        </w:rPr>
      </w:r>
      <w:r w:rsidR="00870727">
        <w:rPr>
          <w:highlight w:val="yellow"/>
        </w:rPr>
        <w:fldChar w:fldCharType="separate"/>
      </w:r>
      <w:r w:rsidR="00870727" w:rsidRPr="003D54C1">
        <w:rPr>
          <w:b/>
          <w:bCs/>
        </w:rPr>
        <w:t xml:space="preserve">Figure </w:t>
      </w:r>
      <w:r w:rsidR="00870727">
        <w:rPr>
          <w:b/>
          <w:bCs/>
          <w:noProof/>
        </w:rPr>
        <w:t>1</w:t>
      </w:r>
      <w:r w:rsidR="00870727">
        <w:rPr>
          <w:highlight w:val="yellow"/>
        </w:rPr>
        <w:fldChar w:fldCharType="end"/>
      </w:r>
      <w:r w:rsidR="00870727">
        <w:t>)</w:t>
      </w:r>
      <w:r w:rsidRPr="003024D2">
        <w:t>, the vast majority of patients experienced low-grade events</w:t>
      </w:r>
      <w:r>
        <w:t xml:space="preserve"> </w:t>
      </w:r>
      <w:r w:rsidRPr="003024D2">
        <w:t>(Grade 1 or 2), which resolved promptly (median duration 31.8 h</w:t>
      </w:r>
      <w:r w:rsidR="00ED3B7D">
        <w:t>ours</w:t>
      </w:r>
      <w:r w:rsidRPr="003024D2">
        <w:t xml:space="preserve"> across all grades) and</w:t>
      </w:r>
      <w:r>
        <w:t xml:space="preserve"> </w:t>
      </w:r>
      <w:r w:rsidRPr="003024D2">
        <w:t>the severity of CRS was reduced by each subsequent glofitamab dose with only</w:t>
      </w:r>
      <w:r>
        <w:t xml:space="preserve"> </w:t>
      </w:r>
      <w:r w:rsidRPr="003024D2">
        <w:t>3 patients experiencing CRS (all Grade 1 events) from Cycle 3 onwards</w:t>
      </w:r>
      <w:r>
        <w:t>.</w:t>
      </w:r>
      <w:r w:rsidRPr="003024D2">
        <w:rPr>
          <w:rFonts w:ascii="Arial" w:hAnsi="Arial" w:cs="Arial"/>
        </w:rPr>
        <w:t xml:space="preserve"> </w:t>
      </w:r>
      <w:r>
        <w:t>O</w:t>
      </w:r>
      <w:r w:rsidRPr="003024D2">
        <w:t>nly one patient</w:t>
      </w:r>
      <w:r>
        <w:t xml:space="preserve"> </w:t>
      </w:r>
      <w:r w:rsidRPr="003024D2">
        <w:t>discontinued glofitamab due to CRS (Grade 4 following the glofitamab 2.5</w:t>
      </w:r>
      <w:r w:rsidR="00ED3B7D">
        <w:t> </w:t>
      </w:r>
      <w:r w:rsidRPr="003024D2">
        <w:t>mg dose</w:t>
      </w:r>
      <w:r>
        <w:t xml:space="preserve"> </w:t>
      </w:r>
      <w:r w:rsidR="00ED3B7D">
        <w:t>−</w:t>
      </w:r>
      <w:r>
        <w:t xml:space="preserve"> </w:t>
      </w:r>
      <w:r w:rsidRPr="003024D2">
        <w:t>the patient died due to progressive disease while CRS Grade 4 was ongoing</w:t>
      </w:r>
      <w:r>
        <w:t>.</w:t>
      </w:r>
    </w:p>
    <w:p w14:paraId="59987030" w14:textId="44D54F1E" w:rsidR="001D126E" w:rsidRDefault="001D126E" w:rsidP="00BC32D1">
      <w:pPr>
        <w:pStyle w:val="FigureTitle"/>
      </w:pPr>
      <w:bookmarkStart w:id="53" w:name="_Ref155098593"/>
      <w:r>
        <w:lastRenderedPageBreak/>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Pr>
          <w:bCs/>
        </w:rPr>
        <w:t xml:space="preserve">Study NP30179 </w:t>
      </w:r>
      <w:r>
        <w:t>Cytokine Release Syndrome adverse events after each dose</w:t>
      </w:r>
      <w:bookmarkEnd w:id="53"/>
      <w:r>
        <w:t xml:space="preserve"> of glofit</w:t>
      </w:r>
      <w:r w:rsidR="002559B0">
        <w:t>amab in Cycle 1 and Cycle 2 (primary safety population</w:t>
      </w:r>
      <w:r w:rsidR="009F07EF">
        <w:t xml:space="preserve"> – third-line or higher DLBCL</w:t>
      </w:r>
      <w:r w:rsidR="009C548C">
        <w:t xml:space="preserve">; </w:t>
      </w:r>
      <w:r w:rsidR="00BC6BAB">
        <w:t>clinical cut-off date 15 June 2022</w:t>
      </w:r>
      <w:r w:rsidR="002559B0">
        <w:t>)</w:t>
      </w:r>
    </w:p>
    <w:p w14:paraId="53E0A988" w14:textId="77777777" w:rsidR="0050142F" w:rsidRPr="003024D2" w:rsidRDefault="0050142F" w:rsidP="0050142F">
      <w:r w:rsidRPr="003024D2">
        <w:rPr>
          <w:noProof/>
          <w:lang w:eastAsia="en-AU"/>
        </w:rPr>
        <w:drawing>
          <wp:inline distT="0" distB="0" distL="0" distR="0" wp14:anchorId="598E8661" wp14:editId="010216F1">
            <wp:extent cx="5731510" cy="2983230"/>
            <wp:effectExtent l="0" t="0" r="2540" b="7620"/>
            <wp:docPr id="2" name="Picture 2" descr="Tabulation in 5 columns: grade of CRS; cycle 1 2.5 mg dose; cycle 1 10mg dose; cycle 2 30 mg dose; overall across all cycles most extreme grade. Notes follow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ulation in 5 columns: grade of CRS; cycle 1 2.5 mg dose; cycle 1 10mg dose; cycle 2 30 mg dose; overall across all cycles most extreme grade. Notes follow the tab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983230"/>
                    </a:xfrm>
                    <a:prstGeom prst="rect">
                      <a:avLst/>
                    </a:prstGeom>
                    <a:noFill/>
                    <a:ln>
                      <a:noFill/>
                    </a:ln>
                  </pic:spPr>
                </pic:pic>
              </a:graphicData>
            </a:graphic>
          </wp:inline>
        </w:drawing>
      </w:r>
    </w:p>
    <w:p w14:paraId="6CD49AC6" w14:textId="26959AC4" w:rsidR="0050142F" w:rsidRDefault="0050142F" w:rsidP="0050142F">
      <w:r w:rsidRPr="003024D2">
        <w:t xml:space="preserve">As of 15 June 2022, 503 patients with R/R NHL had been exposed to </w:t>
      </w:r>
      <w:r>
        <w:t>obinutuzumab</w:t>
      </w:r>
      <w:r w:rsidRPr="003024D2">
        <w:t xml:space="preserve"> in</w:t>
      </w:r>
      <w:r>
        <w:t xml:space="preserve"> </w:t>
      </w:r>
      <w:r w:rsidRPr="003024D2">
        <w:t>glofitamab monotherapy cohorts in Study NP30179, 469 of whom were enrolled in</w:t>
      </w:r>
      <w:r>
        <w:t xml:space="preserve"> </w:t>
      </w:r>
      <w:r w:rsidRPr="003024D2">
        <w:t xml:space="preserve">glofitamab monotherapy 0.6 mg </w:t>
      </w:r>
      <w:r w:rsidR="008756AB">
        <w:t xml:space="preserve">and above </w:t>
      </w:r>
      <w:r w:rsidRPr="003024D2">
        <w:t>dosing cohorts.</w:t>
      </w:r>
    </w:p>
    <w:p w14:paraId="33428C00" w14:textId="277A301F" w:rsidR="0050142F" w:rsidRPr="003024D2" w:rsidRDefault="0050142F" w:rsidP="0050142F">
      <w:r w:rsidRPr="003024D2">
        <w:t>In the overall safety population, during the pre</w:t>
      </w:r>
      <w:r>
        <w:t>-</w:t>
      </w:r>
      <w:r w:rsidRPr="003024D2">
        <w:t>treatment with a dose of 1000</w:t>
      </w:r>
      <w:r w:rsidR="007607D4">
        <w:t> </w:t>
      </w:r>
      <w:r w:rsidRPr="003024D2">
        <w:t>mg</w:t>
      </w:r>
      <w:r>
        <w:t xml:space="preserve"> </w:t>
      </w:r>
      <w:r w:rsidRPr="003024D2">
        <w:t>obinutuzumab phase (C1D1 to C1D8) prior to receiving</w:t>
      </w:r>
      <w:r>
        <w:t xml:space="preserve"> </w:t>
      </w:r>
      <w:r w:rsidRPr="003024D2">
        <w:t>the first glofitamab dose:</w:t>
      </w:r>
    </w:p>
    <w:p w14:paraId="1B01AF66" w14:textId="21A6BD1D" w:rsidR="0050142F" w:rsidRPr="003024D2" w:rsidRDefault="0050142F" w:rsidP="002936C9">
      <w:pPr>
        <w:pStyle w:val="ListBullet"/>
      </w:pPr>
      <w:r w:rsidRPr="003024D2">
        <w:t>There were 233</w:t>
      </w:r>
      <w:r w:rsidR="00F20E7D">
        <w:t xml:space="preserve"> of </w:t>
      </w:r>
      <w:r w:rsidRPr="003024D2">
        <w:t xml:space="preserve">469 patients (49.7%) </w:t>
      </w:r>
      <w:r w:rsidR="00F20E7D">
        <w:t>who</w:t>
      </w:r>
      <w:r w:rsidRPr="003024D2">
        <w:t xml:space="preserve"> reported an </w:t>
      </w:r>
      <w:r w:rsidR="00F20E7D">
        <w:t>adverse event (AE)</w:t>
      </w:r>
      <w:r w:rsidRPr="003024D2">
        <w:t xml:space="preserve"> of any grade, irrespective</w:t>
      </w:r>
      <w:r>
        <w:t xml:space="preserve"> </w:t>
      </w:r>
      <w:r w:rsidRPr="003024D2">
        <w:t>of causality.</w:t>
      </w:r>
    </w:p>
    <w:p w14:paraId="2AB295E7" w14:textId="2EA824C4" w:rsidR="0050142F" w:rsidRPr="003024D2" w:rsidRDefault="0050142F" w:rsidP="002936C9">
      <w:pPr>
        <w:pStyle w:val="ListBullet"/>
      </w:pPr>
      <w:r w:rsidRPr="00855302">
        <w:t>The most common AEs (</w:t>
      </w:r>
      <w:r w:rsidR="00B91F43" w:rsidRPr="00855302">
        <w:t xml:space="preserve">incidence </w:t>
      </w:r>
      <w:r w:rsidR="00FC0C4F" w:rsidRPr="00855302">
        <w:t>by</w:t>
      </w:r>
      <w:r w:rsidR="00B91F43" w:rsidRPr="00855302">
        <w:t xml:space="preserve"> </w:t>
      </w:r>
      <w:r w:rsidRPr="00855302">
        <w:t xml:space="preserve">Preferred Term [PT] </w:t>
      </w:r>
      <w:r w:rsidR="00B91F43" w:rsidRPr="00855302">
        <w:t xml:space="preserve">of at least </w:t>
      </w:r>
      <w:r w:rsidRPr="00855302">
        <w:t>5%)</w:t>
      </w:r>
      <w:r w:rsidR="001C37E0" w:rsidRPr="00855302">
        <w:rPr>
          <w:rStyle w:val="FootnoteReference"/>
        </w:rPr>
        <w:footnoteReference w:id="15"/>
      </w:r>
      <w:r w:rsidRPr="00855302">
        <w:t xml:space="preserve"> during the</w:t>
      </w:r>
      <w:r w:rsidRPr="003024D2">
        <w:t xml:space="preserve"> </w:t>
      </w:r>
      <w:r w:rsidR="00BE08D6">
        <w:t>g</w:t>
      </w:r>
      <w:r w:rsidR="00091A2E">
        <w:t>lofitamab pre-treatment</w:t>
      </w:r>
      <w:r w:rsidRPr="003024D2">
        <w:t xml:space="preserve"> period were</w:t>
      </w:r>
      <w:r>
        <w:t xml:space="preserve"> </w:t>
      </w:r>
      <w:r w:rsidRPr="003024D2">
        <w:t>thrombocytopenia (47 patients</w:t>
      </w:r>
      <w:r w:rsidR="00D11F5D">
        <w:t>;</w:t>
      </w:r>
      <w:r w:rsidRPr="003024D2">
        <w:t xml:space="preserve"> 10.0%), infusion-related reaction (44 patients</w:t>
      </w:r>
      <w:r w:rsidR="00D11F5D">
        <w:t>;</w:t>
      </w:r>
      <w:r w:rsidRPr="003024D2">
        <w:t xml:space="preserve"> 9.4%)</w:t>
      </w:r>
      <w:r>
        <w:t xml:space="preserve"> </w:t>
      </w:r>
      <w:r w:rsidRPr="003024D2">
        <w:t>and an</w:t>
      </w:r>
      <w:r>
        <w:t>a</w:t>
      </w:r>
      <w:r w:rsidRPr="003024D2">
        <w:t>emia (25 patients</w:t>
      </w:r>
      <w:r w:rsidR="00D11F5D">
        <w:t>;</w:t>
      </w:r>
      <w:r w:rsidRPr="003024D2">
        <w:t xml:space="preserve"> 5.3%).</w:t>
      </w:r>
    </w:p>
    <w:p w14:paraId="202D7B16" w14:textId="48593AF2" w:rsidR="0050142F" w:rsidRPr="003024D2" w:rsidRDefault="003C20C9" w:rsidP="002936C9">
      <w:pPr>
        <w:pStyle w:val="ListBullet"/>
      </w:pPr>
      <w:r>
        <w:t xml:space="preserve">Adverse events of </w:t>
      </w:r>
      <w:r w:rsidR="0050142F" w:rsidRPr="003024D2">
        <w:t xml:space="preserve">Grade 3 </w:t>
      </w:r>
      <w:r>
        <w:t>and higher</w:t>
      </w:r>
      <w:r w:rsidR="0050142F" w:rsidRPr="003024D2">
        <w:t xml:space="preserve"> during the </w:t>
      </w:r>
      <w:r>
        <w:t>g</w:t>
      </w:r>
      <w:r w:rsidR="00091A2E">
        <w:t>lofitamab pre-treatment</w:t>
      </w:r>
      <w:r w:rsidR="0050142F" w:rsidRPr="003024D2">
        <w:t xml:space="preserve"> period were reported </w:t>
      </w:r>
      <w:r>
        <w:t>by</w:t>
      </w:r>
      <w:r w:rsidR="0050142F" w:rsidRPr="003024D2">
        <w:t xml:space="preserve"> 65 patients (13.9%) and</w:t>
      </w:r>
      <w:r w:rsidR="0050142F">
        <w:t xml:space="preserve"> </w:t>
      </w:r>
      <w:r w:rsidR="0050142F" w:rsidRPr="003024D2">
        <w:t>included two Grade 5 AEs: COVID-19 pneumonia and myocardial infarction, both</w:t>
      </w:r>
      <w:r w:rsidR="0050142F">
        <w:t xml:space="preserve"> </w:t>
      </w:r>
      <w:r w:rsidR="0050142F" w:rsidRPr="003024D2">
        <w:t>considered not related to obinutuzumab per the investigator.</w:t>
      </w:r>
    </w:p>
    <w:p w14:paraId="0BD7CF5D" w14:textId="4083A1FF" w:rsidR="0050142F" w:rsidRPr="003024D2" w:rsidRDefault="0050142F" w:rsidP="002936C9">
      <w:pPr>
        <w:pStyle w:val="ListBullet"/>
      </w:pPr>
      <w:r w:rsidRPr="003024D2">
        <w:t>There were 160</w:t>
      </w:r>
      <w:r w:rsidR="0056254D">
        <w:t xml:space="preserve"> of </w:t>
      </w:r>
      <w:r w:rsidRPr="003024D2">
        <w:t xml:space="preserve">469 patients (34.1%) </w:t>
      </w:r>
      <w:r w:rsidR="0056254D">
        <w:t>who</w:t>
      </w:r>
      <w:r w:rsidRPr="003024D2">
        <w:t xml:space="preserve"> had reported AEs that were considered</w:t>
      </w:r>
      <w:r>
        <w:t xml:space="preserve"> </w:t>
      </w:r>
      <w:r w:rsidRPr="003024D2">
        <w:t>by the investigator as related to obinutuzumab.</w:t>
      </w:r>
    </w:p>
    <w:p w14:paraId="713AEA7D" w14:textId="28EA4863" w:rsidR="0050142F" w:rsidRPr="003024D2" w:rsidRDefault="0050142F" w:rsidP="002936C9">
      <w:pPr>
        <w:pStyle w:val="ListBullet"/>
      </w:pPr>
      <w:r w:rsidRPr="003024D2">
        <w:t>The most common AEs considered as related by the investigator (</w:t>
      </w:r>
      <w:r w:rsidR="0056254D">
        <w:t>at least</w:t>
      </w:r>
      <w:r w:rsidR="00EC243F">
        <w:t xml:space="preserve"> </w:t>
      </w:r>
      <w:r w:rsidRPr="003024D2">
        <w:t>2% incidence</w:t>
      </w:r>
      <w:r>
        <w:t xml:space="preserve"> </w:t>
      </w:r>
      <w:r w:rsidRPr="003024D2">
        <w:t>by PT) were infusion-related reactions (45 patients</w:t>
      </w:r>
      <w:r w:rsidR="00EC243F">
        <w:t>;</w:t>
      </w:r>
      <w:r w:rsidRPr="003024D2">
        <w:t xml:space="preserve"> 9.6%), thrombocytopenia (28</w:t>
      </w:r>
      <w:r>
        <w:t xml:space="preserve"> </w:t>
      </w:r>
      <w:r w:rsidRPr="003024D2">
        <w:t>patients</w:t>
      </w:r>
      <w:r w:rsidR="00EC243F">
        <w:t>;</w:t>
      </w:r>
      <w:r w:rsidRPr="003024D2">
        <w:t xml:space="preserve"> 6.0%)</w:t>
      </w:r>
      <w:r w:rsidR="00EC243F">
        <w:t>,</w:t>
      </w:r>
      <w:r w:rsidRPr="003024D2">
        <w:t xml:space="preserve"> neutropenia (25 patients</w:t>
      </w:r>
      <w:r w:rsidR="00EC243F">
        <w:t>;</w:t>
      </w:r>
      <w:r w:rsidRPr="003024D2">
        <w:t xml:space="preserve"> 5.3%) and an</w:t>
      </w:r>
      <w:r>
        <w:t>a</w:t>
      </w:r>
      <w:r w:rsidRPr="003024D2">
        <w:t>emia (13 patients</w:t>
      </w:r>
      <w:r w:rsidR="00EC243F">
        <w:t>;</w:t>
      </w:r>
      <w:r w:rsidRPr="003024D2">
        <w:t xml:space="preserve"> 2.8%).</w:t>
      </w:r>
    </w:p>
    <w:p w14:paraId="7C42B717" w14:textId="2623EA40" w:rsidR="0050142F" w:rsidRPr="003024D2" w:rsidRDefault="0050142F" w:rsidP="002936C9">
      <w:pPr>
        <w:pStyle w:val="ListBullet"/>
      </w:pPr>
      <w:r w:rsidRPr="003024D2">
        <w:t>Two patients discontinued all other study treatment due to AEs occurring following</w:t>
      </w:r>
      <w:r>
        <w:t xml:space="preserve"> </w:t>
      </w:r>
      <w:r w:rsidR="00132D4D">
        <w:t>g</w:t>
      </w:r>
      <w:r w:rsidR="00091A2E">
        <w:t>lofitamab pre-treatment</w:t>
      </w:r>
      <w:r w:rsidRPr="003024D2">
        <w:t xml:space="preserve"> (Grade 5 myocardial infarction and Grade 4 ventricular tachycardia in one</w:t>
      </w:r>
      <w:r>
        <w:t xml:space="preserve"> </w:t>
      </w:r>
      <w:r w:rsidRPr="003024D2">
        <w:t xml:space="preserve">patient, both events with onset during the </w:t>
      </w:r>
      <w:r w:rsidR="00132D4D">
        <w:t>g</w:t>
      </w:r>
      <w:r w:rsidR="00091A2E">
        <w:t>lofitamab pre-treatment</w:t>
      </w:r>
      <w:r w:rsidRPr="003024D2">
        <w:t xml:space="preserve"> period but considered not related to</w:t>
      </w:r>
      <w:r>
        <w:t xml:space="preserve"> </w:t>
      </w:r>
      <w:r w:rsidRPr="003024D2">
        <w:t xml:space="preserve">obinutuzumab per the investigator and Grade 4 </w:t>
      </w:r>
      <w:r w:rsidRPr="003024D2">
        <w:lastRenderedPageBreak/>
        <w:t>thrombocytopenia in one patient,</w:t>
      </w:r>
      <w:r>
        <w:t xml:space="preserve"> </w:t>
      </w:r>
      <w:r w:rsidRPr="003024D2">
        <w:t xml:space="preserve">with onset during the </w:t>
      </w:r>
      <w:r w:rsidR="00132D4D">
        <w:t>g</w:t>
      </w:r>
      <w:r w:rsidR="00091A2E">
        <w:t>lofitamab pre-treatment</w:t>
      </w:r>
      <w:r w:rsidRPr="003024D2">
        <w:t xml:space="preserve"> period and considered related to obinutuzumab per the</w:t>
      </w:r>
      <w:r>
        <w:t xml:space="preserve"> </w:t>
      </w:r>
      <w:r w:rsidRPr="003024D2">
        <w:t>investigator). The patient with Grade 5 myocardial infarction and Grade 4</w:t>
      </w:r>
      <w:r>
        <w:t xml:space="preserve"> </w:t>
      </w:r>
      <w:r w:rsidRPr="003024D2">
        <w:t>ventricular tachycardia had pre-existing medical conditions including</w:t>
      </w:r>
      <w:r>
        <w:t xml:space="preserve"> </w:t>
      </w:r>
      <w:r w:rsidRPr="003024D2">
        <w:t>hypercholesterolemia, multilobar pulmonary embolism, paroxysmal atrial fibrillation,</w:t>
      </w:r>
      <w:r>
        <w:t xml:space="preserve"> </w:t>
      </w:r>
      <w:r w:rsidRPr="003024D2">
        <w:t>and hypertension. The patient with Grade 4 thrombocytopenia had pre-existing</w:t>
      </w:r>
      <w:r>
        <w:t xml:space="preserve"> </w:t>
      </w:r>
      <w:r w:rsidRPr="003024D2">
        <w:t>medical conditions including ongoing. hypertension, type 2 diabetes, benign</w:t>
      </w:r>
      <w:r>
        <w:t xml:space="preserve"> </w:t>
      </w:r>
      <w:r w:rsidRPr="003024D2">
        <w:t>prostatic hyperplasia and an</w:t>
      </w:r>
      <w:r>
        <w:t>a</w:t>
      </w:r>
      <w:r w:rsidRPr="003024D2">
        <w:t>emia at baseline. The patient received platelet</w:t>
      </w:r>
      <w:r>
        <w:t xml:space="preserve"> </w:t>
      </w:r>
      <w:r w:rsidRPr="003024D2">
        <w:t>transfusions and the event resolved.</w:t>
      </w:r>
    </w:p>
    <w:p w14:paraId="2676ECF6" w14:textId="0308CBDD" w:rsidR="0050142F" w:rsidRDefault="0050142F" w:rsidP="002936C9">
      <w:pPr>
        <w:pStyle w:val="ListBullet"/>
      </w:pPr>
      <w:r w:rsidRPr="003024D2">
        <w:t>One patient had a Grade 3, serious event of tumo</w:t>
      </w:r>
      <w:r>
        <w:t>u</w:t>
      </w:r>
      <w:r w:rsidRPr="003024D2">
        <w:t>r lysis syndrome with onset</w:t>
      </w:r>
      <w:r>
        <w:t xml:space="preserve"> </w:t>
      </w:r>
      <w:r w:rsidRPr="003024D2">
        <w:t xml:space="preserve">during the </w:t>
      </w:r>
      <w:r w:rsidR="00166313">
        <w:t>g</w:t>
      </w:r>
      <w:r w:rsidR="00091A2E">
        <w:t>lofitamab pre-treatment</w:t>
      </w:r>
      <w:r w:rsidRPr="003024D2">
        <w:t xml:space="preserve"> period, which was considered related to obinutuzumab and resolved</w:t>
      </w:r>
      <w:r>
        <w:t xml:space="preserve"> </w:t>
      </w:r>
      <w:r w:rsidRPr="003024D2">
        <w:t>after 2 days.</w:t>
      </w:r>
    </w:p>
    <w:p w14:paraId="3B6D59BB" w14:textId="324BB177" w:rsidR="0050142F" w:rsidRPr="00501E1E" w:rsidRDefault="0050142F" w:rsidP="002936C9">
      <w:pPr>
        <w:pStyle w:val="ListBullet"/>
      </w:pPr>
      <w:r>
        <w:t xml:space="preserve">The majority of IRRs following </w:t>
      </w:r>
      <w:r w:rsidR="00166313">
        <w:t>g</w:t>
      </w:r>
      <w:r w:rsidR="00091A2E">
        <w:t>lofitamab pre-treatment</w:t>
      </w:r>
      <w:r>
        <w:t xml:space="preserve"> were Grade 1 or 2. The frequency of </w:t>
      </w:r>
      <w:r w:rsidR="00166313">
        <w:t xml:space="preserve">IRRS of </w:t>
      </w:r>
      <w:r>
        <w:t xml:space="preserve">Grade 3 </w:t>
      </w:r>
      <w:r w:rsidR="00166313">
        <w:t>and higher</w:t>
      </w:r>
      <w:r>
        <w:t xml:space="preserve"> in the </w:t>
      </w:r>
      <w:r w:rsidR="00166313">
        <w:t>g</w:t>
      </w:r>
      <w:r w:rsidR="00091A2E">
        <w:t>lofitamab pre-treatment</w:t>
      </w:r>
      <w:r>
        <w:t xml:space="preserve"> period was 1.1% and included 4</w:t>
      </w:r>
      <w:r w:rsidR="003F418D">
        <w:t> </w:t>
      </w:r>
      <w:r>
        <w:t xml:space="preserve">patients with Grade 3 and 1 patient with a Grade 4 IRR. Infusion-related reactions following </w:t>
      </w:r>
      <w:r w:rsidR="003F418D">
        <w:t>g</w:t>
      </w:r>
      <w:r w:rsidR="00091A2E">
        <w:t>lofitamab pre-treatment</w:t>
      </w:r>
      <w:r>
        <w:t xml:space="preserve"> were reported </w:t>
      </w:r>
      <w:r w:rsidRPr="00501E1E">
        <w:t xml:space="preserve">as </w:t>
      </w:r>
      <w:r w:rsidR="003F418D">
        <w:t xml:space="preserve">serious </w:t>
      </w:r>
      <w:r w:rsidRPr="00501E1E">
        <w:t>AEs in 10 patients (2.4%).</w:t>
      </w:r>
    </w:p>
    <w:p w14:paraId="6D1835E5" w14:textId="18D07F9E" w:rsidR="0050142F" w:rsidRPr="003024D2" w:rsidRDefault="0050142F" w:rsidP="002936C9">
      <w:pPr>
        <w:pStyle w:val="ListBullet"/>
      </w:pPr>
      <w:r>
        <w:t>No patient in the safety analysis received combination therapy. All glofitamab was given as monotherapy.</w:t>
      </w:r>
    </w:p>
    <w:p w14:paraId="2858B006" w14:textId="77777777" w:rsidR="00C22214" w:rsidRDefault="00C22214" w:rsidP="00C22214">
      <w:pPr>
        <w:pStyle w:val="Heading3"/>
        <w:rPr>
          <w:lang w:eastAsia="en-AU"/>
        </w:rPr>
      </w:pPr>
      <w:bookmarkStart w:id="54" w:name="_Toc314842514"/>
      <w:bookmarkStart w:id="55" w:name="_Toc103679298"/>
      <w:bookmarkStart w:id="56" w:name="_Toc190763111"/>
      <w:r>
        <w:rPr>
          <w:lang w:eastAsia="en-AU"/>
        </w:rPr>
        <w:t>Risk management plan</w:t>
      </w:r>
      <w:bookmarkEnd w:id="54"/>
      <w:bookmarkEnd w:id="55"/>
      <w:bookmarkEnd w:id="56"/>
    </w:p>
    <w:p w14:paraId="0908AE06" w14:textId="697913D1" w:rsidR="00FA1BC9" w:rsidRPr="00BD5DBD" w:rsidRDefault="00FA1BC9" w:rsidP="00FA1BC9">
      <w:pPr>
        <w:rPr>
          <w:szCs w:val="22"/>
        </w:rPr>
      </w:pPr>
      <w:bookmarkStart w:id="57" w:name="_Toc247691531"/>
      <w:bookmarkStart w:id="58" w:name="_Toc314842515"/>
      <w:bookmarkStart w:id="59" w:name="_Toc103679299"/>
      <w:r w:rsidRPr="00BD5DBD">
        <w:rPr>
          <w:szCs w:val="22"/>
        </w:rPr>
        <w:t>The sponsor is required to comply with product vigilance and risk minimisation requirements.</w:t>
      </w:r>
    </w:p>
    <w:p w14:paraId="030B072C" w14:textId="40305149" w:rsidR="0017005C" w:rsidRDefault="00FA1BC9" w:rsidP="00B40C7C">
      <w:pPr>
        <w:autoSpaceDE w:val="0"/>
        <w:autoSpaceDN w:val="0"/>
      </w:pPr>
      <w:r w:rsidRPr="00BD5DBD">
        <w:rPr>
          <w:szCs w:val="22"/>
        </w:rPr>
        <w:t>The TGA decided a</w:t>
      </w:r>
      <w:r w:rsidR="00EC6EE4">
        <w:rPr>
          <w:szCs w:val="22"/>
        </w:rPr>
        <w:t>n updated</w:t>
      </w:r>
      <w:r w:rsidRPr="00BD5DBD">
        <w:rPr>
          <w:szCs w:val="22"/>
        </w:rPr>
        <w:t xml:space="preserve"> RMP was not required</w:t>
      </w:r>
      <w:r w:rsidR="009922F5">
        <w:rPr>
          <w:szCs w:val="22"/>
        </w:rPr>
        <w:t xml:space="preserve"> for this submission</w:t>
      </w:r>
      <w:r w:rsidR="00714748">
        <w:rPr>
          <w:szCs w:val="22"/>
        </w:rPr>
        <w:t>.</w:t>
      </w:r>
      <w:r w:rsidR="00AF1D27">
        <w:rPr>
          <w:szCs w:val="22"/>
        </w:rPr>
        <w:t xml:space="preserve"> T</w:t>
      </w:r>
      <w:r w:rsidR="00EB0C06">
        <w:t xml:space="preserve">he disease and age group </w:t>
      </w:r>
      <w:r w:rsidR="007A22CB">
        <w:t xml:space="preserve">for the </w:t>
      </w:r>
      <w:r w:rsidR="00EB0C06">
        <w:t xml:space="preserve">extension of indication does not result in a significant change to the target population. </w:t>
      </w:r>
      <w:r w:rsidR="007A22CB">
        <w:t>T</w:t>
      </w:r>
      <w:r w:rsidR="00EB0C06">
        <w:t xml:space="preserve">he overall dose </w:t>
      </w:r>
      <w:r w:rsidR="00355AFA">
        <w:t xml:space="preserve">that </w:t>
      </w:r>
      <w:r w:rsidR="00EB0C06">
        <w:t xml:space="preserve">patients </w:t>
      </w:r>
      <w:r w:rsidR="00355AFA">
        <w:t xml:space="preserve">will </w:t>
      </w:r>
      <w:r w:rsidR="00EB0C06">
        <w:t xml:space="preserve">receive is less than </w:t>
      </w:r>
      <w:r w:rsidR="00355AFA">
        <w:t>administered</w:t>
      </w:r>
      <w:r w:rsidR="002334C7">
        <w:t xml:space="preserve"> for </w:t>
      </w:r>
      <w:r w:rsidR="00EB0C06">
        <w:t>current</w:t>
      </w:r>
      <w:r w:rsidR="002334C7">
        <w:t>ly approved</w:t>
      </w:r>
      <w:r w:rsidR="00EB0C06">
        <w:t xml:space="preserve"> indications</w:t>
      </w:r>
      <w:r w:rsidR="005678C6">
        <w:t>. T</w:t>
      </w:r>
      <w:r w:rsidR="00EB0C06">
        <w:t>herapy would be administered under the supervision of a healthcare professional experienced in the treatment of cancer patients</w:t>
      </w:r>
      <w:r w:rsidR="005678C6">
        <w:t>. N</w:t>
      </w:r>
      <w:r w:rsidR="00EB0C06">
        <w:t xml:space="preserve">o new safety issues </w:t>
      </w:r>
      <w:r w:rsidR="00B40C7C">
        <w:t xml:space="preserve">have been </w:t>
      </w:r>
      <w:r w:rsidR="00EB0C06">
        <w:t>identified due to the newly proposed indication.</w:t>
      </w:r>
    </w:p>
    <w:p w14:paraId="456C7934" w14:textId="1739D772" w:rsidR="00FA1BC9" w:rsidRDefault="00FA1BC9" w:rsidP="00FA1BC9">
      <w:pPr>
        <w:rPr>
          <w:szCs w:val="22"/>
        </w:rPr>
      </w:pPr>
      <w:r w:rsidRPr="00BD5DBD">
        <w:rPr>
          <w:szCs w:val="22"/>
        </w:rPr>
        <w:t>The TGA may request an updated RMP at any stage of a product's life</w:t>
      </w:r>
      <w:r w:rsidR="005678C6">
        <w:rPr>
          <w:szCs w:val="22"/>
        </w:rPr>
        <w:noBreakHyphen/>
      </w:r>
      <w:r w:rsidRPr="00BD5DBD">
        <w:rPr>
          <w:szCs w:val="22"/>
        </w:rPr>
        <w:t>cycle, during both the pre</w:t>
      </w:r>
      <w:r w:rsidR="005678C6">
        <w:rPr>
          <w:szCs w:val="22"/>
        </w:rPr>
        <w:noBreakHyphen/>
      </w:r>
      <w:r w:rsidRPr="00BD5DBD">
        <w:rPr>
          <w:szCs w:val="22"/>
        </w:rPr>
        <w:t>approval and post</w:t>
      </w:r>
      <w:r w:rsidR="005678C6">
        <w:rPr>
          <w:szCs w:val="22"/>
        </w:rPr>
        <w:noBreakHyphen/>
      </w:r>
      <w:r w:rsidRPr="00BD5DBD">
        <w:rPr>
          <w:szCs w:val="22"/>
        </w:rPr>
        <w:t xml:space="preserve">approval phases. Further information regarding the TGA’s risk management approach can be found in </w:t>
      </w:r>
      <w:hyperlink r:id="rId23" w:history="1">
        <w:r w:rsidRPr="00BD5DBD">
          <w:rPr>
            <w:rStyle w:val="Hyperlink"/>
            <w:szCs w:val="22"/>
          </w:rPr>
          <w:t>risk management plans for medicines and biologicals</w:t>
        </w:r>
      </w:hyperlink>
      <w:r w:rsidRPr="00BD5DBD">
        <w:rPr>
          <w:szCs w:val="22"/>
        </w:rPr>
        <w:t xml:space="preserve"> and </w:t>
      </w:r>
      <w:hyperlink r:id="rId24" w:history="1">
        <w:r w:rsidRPr="00BD5DBD">
          <w:rPr>
            <w:rStyle w:val="Hyperlink"/>
            <w:szCs w:val="22"/>
          </w:rPr>
          <w:t>the TGA's risk management approach</w:t>
        </w:r>
      </w:hyperlink>
      <w:r w:rsidRPr="00BD5DBD">
        <w:rPr>
          <w:szCs w:val="22"/>
        </w:rPr>
        <w:t>.</w:t>
      </w:r>
    </w:p>
    <w:p w14:paraId="74A4F87F" w14:textId="77777777" w:rsidR="00C22214" w:rsidRDefault="00C22214" w:rsidP="00C22214">
      <w:pPr>
        <w:pStyle w:val="Heading3"/>
      </w:pPr>
      <w:bookmarkStart w:id="60" w:name="_Toc190763112"/>
      <w:r>
        <w:t>Risk-benefit analysis</w:t>
      </w:r>
      <w:bookmarkEnd w:id="57"/>
      <w:bookmarkEnd w:id="58"/>
      <w:bookmarkEnd w:id="59"/>
      <w:bookmarkEnd w:id="60"/>
    </w:p>
    <w:p w14:paraId="77DE2655" w14:textId="77777777" w:rsidR="00C22214" w:rsidRDefault="00C22214" w:rsidP="00C22214">
      <w:pPr>
        <w:pStyle w:val="Heading4"/>
      </w:pPr>
      <w:bookmarkStart w:id="61" w:name="_Toc98931932"/>
      <w:bookmarkStart w:id="62" w:name="_Toc190763113"/>
      <w:r>
        <w:t>Delegate’s considerations</w:t>
      </w:r>
      <w:bookmarkEnd w:id="61"/>
      <w:bookmarkEnd w:id="62"/>
    </w:p>
    <w:p w14:paraId="607663E3" w14:textId="6D5A3B0B" w:rsidR="00B87104" w:rsidRPr="00B87104" w:rsidRDefault="00B87104" w:rsidP="00B87104">
      <w:r w:rsidRPr="00B87104">
        <w:t xml:space="preserve">Nonclinical and pharmacology data have shown that glofitamab alone results in a very large </w:t>
      </w:r>
      <w:r w:rsidR="004B5161">
        <w:t>T-cell</w:t>
      </w:r>
      <w:r w:rsidRPr="00B87104">
        <w:t xml:space="preserve"> activation and release of cytokines. That effect is reduced by a single 1000</w:t>
      </w:r>
      <w:r w:rsidR="00534697">
        <w:t> </w:t>
      </w:r>
      <w:r w:rsidRPr="00B87104">
        <w:t xml:space="preserve">mg dose of </w:t>
      </w:r>
      <w:r w:rsidR="00534697">
        <w:t>o</w:t>
      </w:r>
      <w:r w:rsidRPr="00B87104">
        <w:t>binutuzumab given 7 days prior to glofitamab exposure</w:t>
      </w:r>
      <w:r w:rsidR="00F84831">
        <w:t>,</w:t>
      </w:r>
      <w:r w:rsidRPr="00B87104">
        <w:t xml:space="preserve"> which is given in a step</w:t>
      </w:r>
      <w:r w:rsidR="00F84831">
        <w:noBreakHyphen/>
      </w:r>
      <w:r w:rsidRPr="00B87104">
        <w:t>up dose regimen in the first treatment cycle then as a single dose in subsequent cycles, with no obinutuzumab given in subsequent cycles.</w:t>
      </w:r>
    </w:p>
    <w:p w14:paraId="38E2D993" w14:textId="18896D43" w:rsidR="00B87104" w:rsidRPr="00B87104" w:rsidRDefault="00B87104" w:rsidP="00B87104">
      <w:r w:rsidRPr="00B87104">
        <w:t xml:space="preserve">Glofitamab and obinutuzumab both bind to CD20 on the same epitope, and the high concentrations of circulating obinutuzumab will compete with glofitamab for receptor occupancy. As shown in </w:t>
      </w:r>
      <w:r w:rsidR="004E305B">
        <w:fldChar w:fldCharType="begin"/>
      </w:r>
      <w:r w:rsidR="004E305B">
        <w:instrText xml:space="preserve"> REF _Ref155098903 \h </w:instrText>
      </w:r>
      <w:r w:rsidR="004E305B">
        <w:fldChar w:fldCharType="separate"/>
      </w:r>
      <w:r w:rsidR="004E305B" w:rsidRPr="003D54C1">
        <w:rPr>
          <w:b/>
          <w:bCs/>
        </w:rPr>
        <w:t xml:space="preserve">Figure </w:t>
      </w:r>
      <w:r w:rsidR="004E305B">
        <w:rPr>
          <w:b/>
          <w:bCs/>
          <w:noProof/>
        </w:rPr>
        <w:t>1</w:t>
      </w:r>
      <w:r w:rsidR="004E305B">
        <w:fldChar w:fldCharType="end"/>
      </w:r>
      <w:r w:rsidRPr="00B87104">
        <w:t>, the average receptor occupancy (RO) after the first glofitamab administration (2.5</w:t>
      </w:r>
      <w:r w:rsidR="0098610D">
        <w:t> </w:t>
      </w:r>
      <w:r w:rsidRPr="00B87104">
        <w:t xml:space="preserve">mg) is approximately 0.1%. The low receptor occupancy at the time of the initial dose of glofitamab strongly suggests that obinutuzumab will have minimal effect on the efficacy of glofitamab. By depleting </w:t>
      </w:r>
      <w:r w:rsidR="004B5161">
        <w:t>T-cell</w:t>
      </w:r>
      <w:r w:rsidRPr="00B87104">
        <w:t xml:space="preserve">s it will also allow for higher doses of glofitamab. The selected dose regimens for both obinutuzumab and the step-up regimen for glofitamab have </w:t>
      </w:r>
      <w:r w:rsidRPr="00B87104">
        <w:lastRenderedPageBreak/>
        <w:t>been assessed in interim analyses of a single study in which dose regimens were amended according to initial results within the study. The current regimen has an acceptable balance between risk and benefit in the treatment of R/R</w:t>
      </w:r>
      <w:r w:rsidR="00C06A07">
        <w:t xml:space="preserve"> </w:t>
      </w:r>
      <w:r w:rsidRPr="00B87104">
        <w:t>DLBCL.</w:t>
      </w:r>
    </w:p>
    <w:p w14:paraId="43AA9F27" w14:textId="77777777" w:rsidR="00B5717A" w:rsidRDefault="00B87104" w:rsidP="00B87104">
      <w:r w:rsidRPr="00B87104">
        <w:t>The frequency and severity of CRS has been assessed using the proposed obinutuzumab pre</w:t>
      </w:r>
      <w:r w:rsidR="00C06A07">
        <w:noBreakHyphen/>
      </w:r>
      <w:r w:rsidRPr="00B87104">
        <w:t xml:space="preserve">treatment regimen and the proposed step-up dose regimen for glofitamab only for R/R DLBCL. The larger safety population included patients with other R/R NHL and other dose regimens and a higher frequency of CRS Grade 2 </w:t>
      </w:r>
      <w:r w:rsidR="00B5717A">
        <w:t xml:space="preserve">and higher </w:t>
      </w:r>
      <w:r w:rsidRPr="00B87104">
        <w:t>was reported.</w:t>
      </w:r>
    </w:p>
    <w:p w14:paraId="71C1BBA2" w14:textId="5AAB184A" w:rsidR="00B87104" w:rsidRPr="00B87104" w:rsidRDefault="00B5717A" w:rsidP="00B87104">
      <w:r>
        <w:t>The Delegate</w:t>
      </w:r>
      <w:r w:rsidR="00B87104" w:rsidRPr="00B87104">
        <w:t xml:space="preserve"> consider</w:t>
      </w:r>
      <w:r w:rsidR="002615F1">
        <w:t>ed</w:t>
      </w:r>
      <w:r w:rsidR="00B87104" w:rsidRPr="00B87104">
        <w:t xml:space="preserve"> that it is reasonable to extrapolate the effect of obinutuzumab on CRS when the proposed glofitamab dose regimen is given for other indications</w:t>
      </w:r>
      <w:r w:rsidR="002615F1">
        <w:t xml:space="preserve">; </w:t>
      </w:r>
      <w:r w:rsidR="00B87104" w:rsidRPr="00B87104">
        <w:t>however</w:t>
      </w:r>
      <w:r w:rsidR="002615F1">
        <w:t>, the Delegate</w:t>
      </w:r>
      <w:r w:rsidR="00CF73C0">
        <w:t xml:space="preserve"> </w:t>
      </w:r>
      <w:r w:rsidR="00B87104" w:rsidRPr="00B87104">
        <w:t>request</w:t>
      </w:r>
      <w:r w:rsidR="00CF73C0">
        <w:t>ed</w:t>
      </w:r>
      <w:r w:rsidR="00B87104" w:rsidRPr="00B87104">
        <w:t xml:space="preserve"> the advice of the </w:t>
      </w:r>
      <w:r w:rsidR="00CF73C0">
        <w:t>relevant advisory c</w:t>
      </w:r>
      <w:r w:rsidR="00B87104" w:rsidRPr="00B87104">
        <w:t>ommittee regarding this approach.</w:t>
      </w:r>
    </w:p>
    <w:p w14:paraId="3916F296" w14:textId="77777777" w:rsidR="00C22214" w:rsidRDefault="00C22214" w:rsidP="00C22214">
      <w:pPr>
        <w:pStyle w:val="Heading4"/>
      </w:pPr>
      <w:bookmarkStart w:id="63" w:name="_Toc98931933"/>
      <w:bookmarkStart w:id="64" w:name="_Toc190763114"/>
      <w:r w:rsidRPr="00D23139">
        <w:t>Proposed action</w:t>
      </w:r>
      <w:bookmarkEnd w:id="63"/>
      <w:bookmarkEnd w:id="64"/>
    </w:p>
    <w:p w14:paraId="576EC6DE" w14:textId="77777777" w:rsidR="007611CF" w:rsidRDefault="004C123A" w:rsidP="004C123A">
      <w:pPr>
        <w:rPr>
          <w:i/>
          <w:iCs/>
        </w:rPr>
      </w:pPr>
      <w:r>
        <w:t xml:space="preserve">The Delegate </w:t>
      </w:r>
      <w:r w:rsidRPr="00AD635A">
        <w:t>propose</w:t>
      </w:r>
      <w:r>
        <w:t>d</w:t>
      </w:r>
      <w:r w:rsidRPr="00AD635A">
        <w:t xml:space="preserve"> </w:t>
      </w:r>
      <w:r w:rsidRPr="00CE3ABB">
        <w:t xml:space="preserve">to approve the </w:t>
      </w:r>
      <w:r>
        <w:t xml:space="preserve">extension to the </w:t>
      </w:r>
      <w:r w:rsidRPr="00CE3ABB">
        <w:t xml:space="preserve">registration of </w:t>
      </w:r>
      <w:r>
        <w:t xml:space="preserve">Gazyva (obinutuzumab) to include </w:t>
      </w:r>
      <w:r w:rsidRPr="00051D12">
        <w:rPr>
          <w:i/>
          <w:iCs/>
        </w:rPr>
        <w:t>Gazyva is indicated as a pre-treatment to reduce the risk of cytokine release syndrome (CRS) induced by glofitamab.</w:t>
      </w:r>
    </w:p>
    <w:p w14:paraId="62A6A130" w14:textId="64E6976D" w:rsidR="004C123A" w:rsidRDefault="004C123A" w:rsidP="004C123A">
      <w:r>
        <w:t>Approval is subject to finalisation of the provisional approval of C</w:t>
      </w:r>
      <w:r w:rsidR="007611CF">
        <w:t>olumvi</w:t>
      </w:r>
      <w:r>
        <w:t xml:space="preserve"> (glofitamab).</w:t>
      </w:r>
    </w:p>
    <w:p w14:paraId="318CFABC" w14:textId="77777777" w:rsidR="00C22214" w:rsidRPr="00F73346" w:rsidRDefault="00C22214" w:rsidP="00C22214">
      <w:pPr>
        <w:pStyle w:val="Heading4"/>
      </w:pPr>
      <w:bookmarkStart w:id="65" w:name="_Toc98931936"/>
      <w:bookmarkStart w:id="66" w:name="_Toc190763115"/>
      <w:bookmarkStart w:id="67" w:name="_Toc247691532"/>
      <w:bookmarkStart w:id="68" w:name="_Toc314842516"/>
      <w:r w:rsidRPr="00F73346">
        <w:t>Advisory Committee considerations</w:t>
      </w:r>
      <w:bookmarkEnd w:id="65"/>
      <w:bookmarkEnd w:id="66"/>
    </w:p>
    <w:p w14:paraId="087BB9CB" w14:textId="567B5387" w:rsidR="00C22214" w:rsidRPr="00BD5DBD" w:rsidRDefault="00C22214" w:rsidP="00C22214">
      <w:pPr>
        <w:rPr>
          <w:bCs/>
          <w:szCs w:val="22"/>
        </w:rPr>
      </w:pPr>
      <w:r w:rsidRPr="00BD5DBD">
        <w:rPr>
          <w:bCs/>
          <w:szCs w:val="22"/>
        </w:rPr>
        <w:t xml:space="preserve">The </w:t>
      </w:r>
      <w:hyperlink r:id="rId25"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736B97BC" w14:textId="48FB155E" w:rsidR="007E4BA3" w:rsidRPr="00BC32D1" w:rsidRDefault="007E4BA3" w:rsidP="00BC32D1">
      <w:pPr>
        <w:pStyle w:val="Numberbullet0"/>
        <w:rPr>
          <w:b/>
          <w:bCs/>
          <w:i/>
          <w:iCs/>
        </w:rPr>
      </w:pPr>
      <w:r w:rsidRPr="00BC32D1">
        <w:rPr>
          <w:b/>
          <w:bCs/>
          <w:i/>
          <w:iCs/>
        </w:rPr>
        <w:t>Does the Committee consider that the proposed pre-treatment regimen for obinutuzumab should apply to all current and future indications for glofitamab?</w:t>
      </w:r>
    </w:p>
    <w:p w14:paraId="01A8FCA4" w14:textId="77777777" w:rsidR="007E4BA3" w:rsidRDefault="007E4BA3" w:rsidP="007E4BA3">
      <w:r>
        <w:t>The ACM considered the proposed pre-treatment regimen for obinutuzumab and agreed this regimen should apply to all current and future indications for glofitamab as all clinical trials to date have included pre-treatment with obinutuzumab prior to glofitamab. Unless used in patients with very low levels of disease it is associated with high levels of tumour lysis. The ACM noted that if used in patients with low levels of disease obinutuzumab would not cause harm.</w:t>
      </w:r>
    </w:p>
    <w:p w14:paraId="4AF0BE13" w14:textId="180D3955" w:rsidR="007E4BA3" w:rsidRPr="00BC32D1" w:rsidRDefault="007E4BA3" w:rsidP="00BC32D1">
      <w:pPr>
        <w:pStyle w:val="Numberbullet0"/>
        <w:rPr>
          <w:b/>
          <w:bCs/>
          <w:i/>
          <w:iCs/>
        </w:rPr>
      </w:pPr>
      <w:r w:rsidRPr="00BC32D1">
        <w:rPr>
          <w:b/>
          <w:bCs/>
          <w:i/>
          <w:iCs/>
        </w:rPr>
        <w:t>Does the Committee consider that the proposed pre-treatment indication be restricted to either R/R DLBCL or to R/R NHL?</w:t>
      </w:r>
    </w:p>
    <w:p w14:paraId="10B8B5F9" w14:textId="36916FB0" w:rsidR="007E4BA3" w:rsidRDefault="007E4BA3" w:rsidP="007E4BA3">
      <w:r>
        <w:t>The ACM advised that the proposed pre-treatment indication includes all current and future indications of glofitamab and should not be restricted to either R/R DLBCL or to R/R NHL.</w:t>
      </w:r>
    </w:p>
    <w:p w14:paraId="1929D2F2" w14:textId="5B1764DB" w:rsidR="007E4BA3" w:rsidRPr="00BC32D1" w:rsidRDefault="007E4BA3" w:rsidP="00BC32D1">
      <w:pPr>
        <w:pStyle w:val="Numberbullet0"/>
        <w:rPr>
          <w:b/>
          <w:bCs/>
          <w:i/>
          <w:iCs/>
        </w:rPr>
      </w:pPr>
      <w:r w:rsidRPr="00BC32D1">
        <w:rPr>
          <w:b/>
          <w:bCs/>
          <w:i/>
          <w:iCs/>
        </w:rPr>
        <w:t>Does the Committee consider that if glofitamab is given in combination with other medications the effect of pre-treatment with obinutuzumab on the frequency and severity of CRS is likely to be altered?</w:t>
      </w:r>
    </w:p>
    <w:p w14:paraId="748E5E4F" w14:textId="6579E14D" w:rsidR="007E4BA3" w:rsidRDefault="007E4BA3" w:rsidP="007E4BA3">
      <w:r>
        <w:t xml:space="preserve">The ACM was of the view that obinutuzumab is an effective pre-treatment at eliminating significant tumour burden and as it is given </w:t>
      </w:r>
      <w:r w:rsidR="0099133E">
        <w:t>7</w:t>
      </w:r>
      <w:r>
        <w:t xml:space="preserve"> days prior to treatment with glofitamab, any addition of other treatments to glofitamab will not alter the benefit of obinutuzumab. There would be no effect on the efficacy of obinutuzumab or on the severity of CRS.</w:t>
      </w:r>
    </w:p>
    <w:p w14:paraId="5291EA2A" w14:textId="0D41358B" w:rsidR="00C22214" w:rsidRPr="00F73346" w:rsidRDefault="00266533" w:rsidP="00C22214">
      <w:pPr>
        <w:pStyle w:val="Heading5"/>
      </w:pPr>
      <w:r>
        <w:t xml:space="preserve">ACM </w:t>
      </w:r>
      <w:r w:rsidR="00BC32D1">
        <w:t>c</w:t>
      </w:r>
      <w:r w:rsidR="00C22214" w:rsidRPr="00F73346">
        <w:t>onclusion</w:t>
      </w:r>
    </w:p>
    <w:p w14:paraId="1BC5C162" w14:textId="77777777" w:rsidR="00CC6D5C" w:rsidRPr="003D0D82" w:rsidRDefault="00CC6D5C" w:rsidP="00CC6D5C">
      <w:pPr>
        <w:rPr>
          <w:rFonts w:cstheme="minorHAnsi"/>
        </w:rPr>
      </w:pPr>
      <w:r w:rsidRPr="003D0D82">
        <w:rPr>
          <w:rFonts w:cstheme="minorHAnsi"/>
        </w:rPr>
        <w:t>The ACM considered this product to have an overall positive benefit-risk profile for the indication:</w:t>
      </w:r>
    </w:p>
    <w:p w14:paraId="0C988C85" w14:textId="77777777" w:rsidR="00CC6D5C" w:rsidRPr="003D0D82" w:rsidRDefault="00CC6D5C" w:rsidP="00CC6D5C">
      <w:pPr>
        <w:ind w:left="720"/>
        <w:rPr>
          <w:rFonts w:cstheme="minorHAnsi"/>
          <w:i/>
          <w:iCs/>
        </w:rPr>
      </w:pPr>
      <w:r w:rsidRPr="003D0D82">
        <w:rPr>
          <w:rFonts w:cstheme="minorHAnsi"/>
          <w:i/>
          <w:iCs/>
        </w:rPr>
        <w:lastRenderedPageBreak/>
        <w:t>Gazyva is indicated as a pre-treatment to reduce the risk of cytokine release syndrome (CRS) induced by glofitamab.</w:t>
      </w:r>
    </w:p>
    <w:p w14:paraId="307F236C" w14:textId="77777777" w:rsidR="00C22214" w:rsidRPr="002E238E" w:rsidRDefault="00C22214" w:rsidP="00C22214">
      <w:pPr>
        <w:pStyle w:val="Heading2"/>
      </w:pPr>
      <w:bookmarkStart w:id="69" w:name="_Toc103679300"/>
      <w:bookmarkStart w:id="70" w:name="_Toc190763116"/>
      <w:r>
        <w:t>Outcome</w:t>
      </w:r>
      <w:bookmarkEnd w:id="67"/>
      <w:bookmarkEnd w:id="68"/>
      <w:bookmarkEnd w:id="69"/>
      <w:bookmarkEnd w:id="70"/>
    </w:p>
    <w:p w14:paraId="4EF22939" w14:textId="58F68445"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ED1B90">
        <w:t>Gazyva (obinutuzumab (rch)) 1000 mg/40 mL concentrate solution for infusion in vials</w:t>
      </w:r>
      <w:r w:rsidRPr="0017005C">
        <w:t>, indicated for the following extension of indications:</w:t>
      </w:r>
    </w:p>
    <w:p w14:paraId="3B245AB5" w14:textId="309B0808" w:rsidR="00C22214" w:rsidRPr="000733EF" w:rsidRDefault="000733EF" w:rsidP="000733EF">
      <w:pPr>
        <w:ind w:left="720"/>
        <w:rPr>
          <w:i/>
          <w:iCs/>
        </w:rPr>
      </w:pPr>
      <w:r w:rsidRPr="000733EF">
        <w:rPr>
          <w:i/>
          <w:iCs/>
        </w:rPr>
        <w:t>Gazyva is indicated as a pre-treatment to reduce the risk of cytokine release syndrome (CRS) induced by glofitamab.</w:t>
      </w:r>
    </w:p>
    <w:p w14:paraId="500F60C2" w14:textId="77777777" w:rsidR="00C22214" w:rsidRPr="00BD5DBD" w:rsidRDefault="00C22214" w:rsidP="00C22214">
      <w:pPr>
        <w:rPr>
          <w:szCs w:val="22"/>
        </w:rPr>
      </w:pPr>
      <w:r w:rsidRPr="00BD5DBD">
        <w:rPr>
          <w:szCs w:val="22"/>
        </w:rPr>
        <w:t>As such, the full indications at this time were:</w:t>
      </w:r>
    </w:p>
    <w:p w14:paraId="16D3CF91" w14:textId="7D1A5854" w:rsidR="00BA694A" w:rsidRPr="00BA694A" w:rsidRDefault="00BA694A" w:rsidP="00BA694A">
      <w:pPr>
        <w:ind w:left="720"/>
        <w:rPr>
          <w:i/>
          <w:iCs/>
        </w:rPr>
      </w:pPr>
      <w:r w:rsidRPr="00BA694A">
        <w:rPr>
          <w:i/>
          <w:iCs/>
        </w:rPr>
        <w:t xml:space="preserve">Chronic Lymphocytic Leukaemia </w:t>
      </w:r>
    </w:p>
    <w:p w14:paraId="56CEAABE" w14:textId="68900EA9" w:rsidR="00BA694A" w:rsidRPr="00BA694A" w:rsidRDefault="00BA694A" w:rsidP="00BA694A">
      <w:pPr>
        <w:ind w:left="1440"/>
        <w:rPr>
          <w:i/>
          <w:iCs/>
        </w:rPr>
      </w:pPr>
      <w:r w:rsidRPr="00BA694A">
        <w:rPr>
          <w:i/>
          <w:iCs/>
        </w:rPr>
        <w:t>Gazyva in combination with chlorambucil is indicated for the treatment of patients with previously untreated chronic lymphocytic leukaemia (CLL).</w:t>
      </w:r>
    </w:p>
    <w:p w14:paraId="51791649" w14:textId="798F452E" w:rsidR="00BA694A" w:rsidRPr="00BA694A" w:rsidRDefault="00BA694A" w:rsidP="00BA694A">
      <w:pPr>
        <w:ind w:left="720"/>
        <w:rPr>
          <w:i/>
          <w:iCs/>
        </w:rPr>
      </w:pPr>
      <w:r w:rsidRPr="00BA694A">
        <w:rPr>
          <w:i/>
          <w:iCs/>
        </w:rPr>
        <w:t>Follicular Lymphoma</w:t>
      </w:r>
    </w:p>
    <w:p w14:paraId="2D58D180" w14:textId="3769B269" w:rsidR="00BA694A" w:rsidRPr="00BA694A" w:rsidRDefault="00BA694A" w:rsidP="00905997">
      <w:pPr>
        <w:ind w:left="1440"/>
        <w:rPr>
          <w:i/>
          <w:iCs/>
        </w:rPr>
      </w:pPr>
      <w:r w:rsidRPr="00BA694A">
        <w:rPr>
          <w:i/>
          <w:iCs/>
        </w:rPr>
        <w:t>Gazyva in combination with chemotherapy followed by Gazyva maintenance is indicated for the treatment of patients with previously untreated advanced follicular lymphoma.</w:t>
      </w:r>
    </w:p>
    <w:p w14:paraId="52A83FC5" w14:textId="22A642BE" w:rsidR="00BA694A" w:rsidRPr="00BA694A" w:rsidRDefault="00BA694A" w:rsidP="00905997">
      <w:pPr>
        <w:ind w:left="1440"/>
        <w:rPr>
          <w:i/>
          <w:iCs/>
        </w:rPr>
      </w:pPr>
      <w:r w:rsidRPr="00BA694A">
        <w:rPr>
          <w:i/>
          <w:iCs/>
        </w:rPr>
        <w:t>Gazyva in combination with bendamustine, followed by Gazyva maintenance, is indicated for the treatment of patients with follicular lymphoma (FL) who did not respond to, or</w:t>
      </w:r>
      <w:r w:rsidR="00905997">
        <w:rPr>
          <w:i/>
          <w:iCs/>
        </w:rPr>
        <w:t xml:space="preserve"> </w:t>
      </w:r>
      <w:r w:rsidRPr="00BA694A">
        <w:rPr>
          <w:i/>
          <w:iCs/>
        </w:rPr>
        <w:t>who progressed during or up to 6 months after treatment with rituximab or a rituximab-containing regimen.</w:t>
      </w:r>
    </w:p>
    <w:p w14:paraId="1BA33E23" w14:textId="77777777" w:rsidR="00BA694A" w:rsidRPr="00BA694A" w:rsidRDefault="00BA694A" w:rsidP="00BA694A">
      <w:pPr>
        <w:ind w:left="720"/>
        <w:rPr>
          <w:i/>
          <w:iCs/>
        </w:rPr>
      </w:pPr>
      <w:r w:rsidRPr="00BA694A">
        <w:rPr>
          <w:i/>
          <w:iCs/>
        </w:rPr>
        <w:t xml:space="preserve">Pre-treatment to reduce the risk of Cytokine Release Syndrome (CRS) induced by glofitamab </w:t>
      </w:r>
    </w:p>
    <w:p w14:paraId="78FFC9EA" w14:textId="452A186D" w:rsidR="00C22214" w:rsidRPr="00BA694A" w:rsidRDefault="00BA694A" w:rsidP="00905997">
      <w:pPr>
        <w:ind w:left="1440"/>
        <w:rPr>
          <w:i/>
          <w:iCs/>
        </w:rPr>
      </w:pPr>
      <w:r w:rsidRPr="00BA694A">
        <w:rPr>
          <w:i/>
          <w:iCs/>
        </w:rPr>
        <w:t>Gazyva is indicated as a pre-treatment to reduce the risk of cytokine release syndrome (CRS) induced by glofitamab.</w:t>
      </w:r>
    </w:p>
    <w:p w14:paraId="0D732DA4" w14:textId="77777777" w:rsidR="00854D98" w:rsidRPr="00D23139" w:rsidRDefault="00854D98" w:rsidP="00854D98">
      <w:pPr>
        <w:pStyle w:val="Heading3"/>
      </w:pPr>
      <w:bookmarkStart w:id="71" w:name="_Toc103679301"/>
      <w:bookmarkStart w:id="72" w:name="_Toc190763117"/>
      <w:r w:rsidRPr="00D23139">
        <w:t>Specific conditions of registration applying to these goods</w:t>
      </w:r>
      <w:bookmarkEnd w:id="71"/>
      <w:bookmarkEnd w:id="72"/>
    </w:p>
    <w:p w14:paraId="2584F46A" w14:textId="551BB455" w:rsidR="00C0388D" w:rsidRPr="00C0388D" w:rsidRDefault="00C0388D" w:rsidP="00C0388D">
      <w:r>
        <w:t>N</w:t>
      </w:r>
      <w:r w:rsidR="001A3855">
        <w:t>o</w:t>
      </w:r>
      <w:r w:rsidR="008B0BF3">
        <w:t xml:space="preserve"> new conditions.</w:t>
      </w:r>
    </w:p>
    <w:p w14:paraId="451DC3FC" w14:textId="2D1EC6E2" w:rsidR="00C22214" w:rsidRDefault="00C22214" w:rsidP="00C22214">
      <w:pPr>
        <w:pStyle w:val="Heading2"/>
      </w:pPr>
      <w:bookmarkStart w:id="73" w:name="_Toc103679303"/>
      <w:bookmarkStart w:id="74" w:name="_Toc190763118"/>
      <w:r>
        <w:t>Attachment 1. Product Information</w:t>
      </w:r>
      <w:bookmarkEnd w:id="73"/>
      <w:bookmarkEnd w:id="74"/>
    </w:p>
    <w:p w14:paraId="74F59983" w14:textId="4BA7F62C" w:rsidR="00675F81" w:rsidRPr="00BD5DBD" w:rsidRDefault="00675F81" w:rsidP="00675F81">
      <w:pPr>
        <w:rPr>
          <w:szCs w:val="22"/>
        </w:rPr>
      </w:pPr>
      <w:r w:rsidRPr="00BD5DBD">
        <w:rPr>
          <w:szCs w:val="22"/>
        </w:rPr>
        <w:t xml:space="preserve">The </w:t>
      </w:r>
      <w:hyperlink r:id="rId26" w:history="1">
        <w:r w:rsidRPr="00BD5DBD">
          <w:rPr>
            <w:rStyle w:val="Hyperlink"/>
            <w:szCs w:val="22"/>
          </w:rPr>
          <w:t>Product Information</w:t>
        </w:r>
      </w:hyperlink>
      <w:r w:rsidRPr="00BD5DBD">
        <w:rPr>
          <w:szCs w:val="22"/>
        </w:rPr>
        <w:t xml:space="preserve"> (</w:t>
      </w:r>
      <w:hyperlink r:id="rId27"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8E4A78">
        <w:t>Gazyva,</w:t>
      </w:r>
      <w:r w:rsidR="003163BC">
        <w:t xml:space="preserve"> </w:t>
      </w:r>
      <w:r w:rsidRPr="00BD5DBD">
        <w:rPr>
          <w:szCs w:val="22"/>
        </w:rPr>
        <w:t>which is described in this AusPAR can be found a</w:t>
      </w:r>
      <w:r w:rsidR="00E607DF">
        <w:rPr>
          <w:szCs w:val="22"/>
        </w:rPr>
        <w:t>t</w:t>
      </w:r>
      <w:r w:rsidRPr="00BD5DBD">
        <w:rPr>
          <w:szCs w:val="22"/>
        </w:rPr>
        <w:t xml:space="preserve"> Attachment 1. </w:t>
      </w:r>
      <w:r w:rsidR="0025785B">
        <w:t xml:space="preserve">It may have been superseded. </w:t>
      </w:r>
      <w:r w:rsidRPr="00BD5DBD">
        <w:rPr>
          <w:szCs w:val="22"/>
        </w:rPr>
        <w:t xml:space="preserve">For the most recent PI and </w:t>
      </w:r>
      <w:hyperlink r:id="rId28" w:history="1">
        <w:r w:rsidRPr="00BD5DBD">
          <w:rPr>
            <w:rStyle w:val="Hyperlink"/>
            <w:szCs w:val="22"/>
          </w:rPr>
          <w:t>Consumer Medicines Information</w:t>
        </w:r>
      </w:hyperlink>
      <w:r w:rsidRPr="00BD5DBD">
        <w:rPr>
          <w:szCs w:val="22"/>
        </w:rPr>
        <w:t xml:space="preserve"> (CMI), please refer to the TGA </w:t>
      </w:r>
      <w:hyperlink r:id="rId29" w:history="1">
        <w:r w:rsidRPr="00BD5DBD">
          <w:rPr>
            <w:rStyle w:val="Hyperlink"/>
            <w:szCs w:val="22"/>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2" w:history="1">
              <w:r w:rsidRPr="00215D48">
                <w:rPr>
                  <w:rStyle w:val="Hyperlink"/>
                </w:rPr>
                <w:t>info@tga.gov.au</w:t>
              </w:r>
            </w:hyperlink>
            <w:r w:rsidRPr="00215D48">
              <w:t xml:space="preserve">  Phone: 1800 020 653  Fax: </w:t>
            </w:r>
            <w:r w:rsidRPr="00BA0DFC">
              <w:t>02 6203 1605</w:t>
            </w:r>
          </w:p>
          <w:p w14:paraId="4533D80F" w14:textId="1519D7A3" w:rsidR="00F02AEC" w:rsidRPr="00215D48" w:rsidRDefault="00F02AEC">
            <w:pPr>
              <w:pStyle w:val="Address"/>
              <w:jc w:val="center"/>
              <w:rPr>
                <w:rStyle w:val="Hyperlink"/>
                <w:b/>
                <w:color w:val="auto"/>
                <w:sz w:val="22"/>
              </w:rPr>
            </w:pPr>
            <w:hyperlink r:id="rId33"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616F2AF6" w:rsidR="00F02AEC" w:rsidRPr="006676A8" w:rsidRDefault="006676A8" w:rsidP="006676A8">
            <w:pPr>
              <w:jc w:val="center"/>
            </w:pPr>
            <w:r w:rsidRPr="006676A8">
              <w:rPr>
                <w:rFonts w:ascii="Arial" w:hAnsi="Arial"/>
              </w:rPr>
              <w:t>D25-688161</w:t>
            </w:r>
          </w:p>
        </w:tc>
      </w:tr>
    </w:tbl>
    <w:p w14:paraId="788B80FD" w14:textId="77777777" w:rsidR="007452E8" w:rsidRDefault="007452E8"/>
    <w:sectPr w:rsidR="007452E8" w:rsidSect="007452E8">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7E19" w14:textId="77777777" w:rsidR="004D01B1" w:rsidRDefault="004D01B1" w:rsidP="00F02AEC">
      <w:pPr>
        <w:spacing w:after="0" w:line="240" w:lineRule="auto"/>
      </w:pPr>
      <w:r>
        <w:separator/>
      </w:r>
    </w:p>
  </w:endnote>
  <w:endnote w:type="continuationSeparator" w:id="0">
    <w:p w14:paraId="5BF543D1" w14:textId="77777777" w:rsidR="004D01B1" w:rsidRDefault="004D01B1"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12A08895" w:rsidR="007452E8" w:rsidRPr="004A3084" w:rsidRDefault="007452E8" w:rsidP="007452E8">
          <w:pPr>
            <w:pStyle w:val="Footer"/>
          </w:pPr>
          <w:r w:rsidRPr="00487162">
            <w:t>AusPA</w:t>
          </w:r>
          <w:r>
            <w:t xml:space="preserve">R </w:t>
          </w:r>
          <w:r w:rsidR="003702A8">
            <w:t>–</w:t>
          </w:r>
          <w:r>
            <w:t xml:space="preserve"> </w:t>
          </w:r>
          <w:r w:rsidR="003702A8">
            <w:t>Gazyva - o</w:t>
          </w:r>
          <w:r w:rsidR="00306695" w:rsidRPr="00306695">
            <w:t xml:space="preserve">binutuzumab (rch) </w:t>
          </w:r>
          <w:r w:rsidR="003702A8">
            <w:t xml:space="preserve">- </w:t>
          </w:r>
          <w:r w:rsidR="00306695" w:rsidRPr="00306695">
            <w:t xml:space="preserve">Roche Products Pty Ltd - </w:t>
          </w:r>
          <w:bookmarkStart w:id="75" w:name="_Hlk190760731"/>
          <w:r w:rsidR="00306695" w:rsidRPr="00306695">
            <w:t>PM-2022-03031-1-6</w:t>
          </w:r>
          <w:r w:rsidR="003702A8">
            <w:t xml:space="preserve"> </w:t>
          </w:r>
          <w:bookmarkEnd w:id="75"/>
          <w:r>
            <w:br/>
          </w:r>
          <w:r w:rsidR="00CE3A18">
            <w:t>Date of finalisation: December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6935439"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EB131C">
                <w:rPr>
                  <w:noProof/>
                </w:rPr>
                <w:t>15</w:t>
              </w:r>
              <w:r>
                <w:rPr>
                  <w:noProof/>
                </w:rPr>
                <w:fldChar w:fldCharType="end"/>
              </w:r>
              <w:r w:rsidRPr="004A3084">
                <w:t xml:space="preserve"> of </w:t>
              </w:r>
              <w:r w:rsidR="00EB131C">
                <w:fldChar w:fldCharType="begin"/>
              </w:r>
              <w:r w:rsidR="00EB131C">
                <w:instrText xml:space="preserve"> NUMPAGES  </w:instrText>
              </w:r>
              <w:r w:rsidR="00EB131C">
                <w:fldChar w:fldCharType="separate"/>
              </w:r>
              <w:r w:rsidR="00EB131C">
                <w:rPr>
                  <w:noProof/>
                </w:rPr>
                <w:t>17</w:t>
              </w:r>
              <w:r w:rsidR="00EB131C">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7859" w14:textId="77777777" w:rsidR="004D01B1" w:rsidRDefault="004D01B1" w:rsidP="00F02AEC">
      <w:pPr>
        <w:spacing w:after="0" w:line="240" w:lineRule="auto"/>
      </w:pPr>
      <w:r>
        <w:separator/>
      </w:r>
    </w:p>
  </w:footnote>
  <w:footnote w:type="continuationSeparator" w:id="0">
    <w:p w14:paraId="12921F3A" w14:textId="77777777" w:rsidR="004D01B1" w:rsidRDefault="004D01B1"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03BB0348" w14:textId="5552F4DC" w:rsidR="00910D43" w:rsidRDefault="00910D43">
      <w:pPr>
        <w:pStyle w:val="FootnoteText"/>
      </w:pPr>
      <w:r w:rsidRPr="00C11DF4">
        <w:rPr>
          <w:rStyle w:val="FootnoteReference"/>
        </w:rPr>
        <w:footnoteRef/>
      </w:r>
      <w:r w:rsidRPr="00C11DF4">
        <w:t xml:space="preserve"> </w:t>
      </w:r>
      <w:r w:rsidR="00563CDE" w:rsidRPr="00C11DF4">
        <w:t xml:space="preserve">Tocilizumab was first registered in Australia </w:t>
      </w:r>
      <w:r w:rsidR="00C11DF4" w:rsidRPr="00C11DF4">
        <w:t>i</w:t>
      </w:r>
      <w:r w:rsidR="00563CDE" w:rsidRPr="00C11DF4">
        <w:t xml:space="preserve">n </w:t>
      </w:r>
      <w:r w:rsidR="00C11DF4" w:rsidRPr="00C11DF4">
        <w:t>2009</w:t>
      </w:r>
      <w:r w:rsidR="00563CDE" w:rsidRPr="00C11DF4">
        <w:t>.</w:t>
      </w:r>
    </w:p>
  </w:footnote>
  <w:footnote w:id="3">
    <w:p w14:paraId="37524E4C" w14:textId="0232F47C" w:rsidR="00732729" w:rsidRDefault="00732729">
      <w:pPr>
        <w:pStyle w:val="FootnoteText"/>
      </w:pPr>
      <w:r>
        <w:rPr>
          <w:rStyle w:val="FootnoteReference"/>
        </w:rPr>
        <w:footnoteRef/>
      </w:r>
      <w:r>
        <w:t xml:space="preserve"> Siltuximab</w:t>
      </w:r>
      <w:r w:rsidRPr="00563CDE">
        <w:t xml:space="preserve"> was first registered in Australia </w:t>
      </w:r>
      <w:r>
        <w:t>in 2015</w:t>
      </w:r>
      <w:r w:rsidRPr="00563CDE">
        <w:t>.</w:t>
      </w:r>
    </w:p>
  </w:footnote>
  <w:footnote w:id="4">
    <w:p w14:paraId="3B8EA423" w14:textId="5F3FCC78" w:rsidR="00EE3350" w:rsidRDefault="00EE3350">
      <w:pPr>
        <w:pStyle w:val="FootnoteText"/>
      </w:pPr>
      <w:r w:rsidRPr="00647D1F">
        <w:rPr>
          <w:rStyle w:val="FootnoteReference"/>
        </w:rPr>
        <w:footnoteRef/>
      </w:r>
      <w:r w:rsidRPr="00647D1F">
        <w:t xml:space="preserve"> </w:t>
      </w:r>
      <w:r w:rsidR="00E50351" w:rsidRPr="00647D1F">
        <w:t>Adalimumab</w:t>
      </w:r>
      <w:r w:rsidRPr="00647D1F">
        <w:t xml:space="preserve"> was first registered in Australia </w:t>
      </w:r>
      <w:r w:rsidR="00E50351" w:rsidRPr="00647D1F">
        <w:t>in</w:t>
      </w:r>
      <w:r w:rsidRPr="00647D1F">
        <w:t xml:space="preserve"> </w:t>
      </w:r>
      <w:r w:rsidR="000D7F6D" w:rsidRPr="00647D1F">
        <w:t>2012</w:t>
      </w:r>
      <w:r w:rsidRPr="00647D1F">
        <w:t xml:space="preserve">. </w:t>
      </w:r>
      <w:r w:rsidR="00E50351" w:rsidRPr="00647D1F">
        <w:t>Etanercept</w:t>
      </w:r>
      <w:r w:rsidRPr="00647D1F">
        <w:t xml:space="preserve"> was first registered in Australia </w:t>
      </w:r>
      <w:r w:rsidR="00E50351" w:rsidRPr="00647D1F">
        <w:t>i</w:t>
      </w:r>
      <w:r w:rsidRPr="00647D1F">
        <w:t xml:space="preserve">n </w:t>
      </w:r>
      <w:r w:rsidR="00647D1F" w:rsidRPr="00647D1F">
        <w:t>2003</w:t>
      </w:r>
      <w:r w:rsidRPr="00647D1F">
        <w:t>.</w:t>
      </w:r>
    </w:p>
  </w:footnote>
  <w:footnote w:id="5">
    <w:p w14:paraId="5FDB346B" w14:textId="1E40EC03" w:rsidR="00181D1A" w:rsidRDefault="00181D1A">
      <w:pPr>
        <w:pStyle w:val="FootnoteText"/>
      </w:pPr>
      <w:r>
        <w:rPr>
          <w:rStyle w:val="FootnoteReference"/>
        </w:rPr>
        <w:footnoteRef/>
      </w:r>
      <w:r>
        <w:t xml:space="preserve"> Anakinra</w:t>
      </w:r>
      <w:r w:rsidRPr="00563CDE">
        <w:t xml:space="preserve"> was first registered in Australia </w:t>
      </w:r>
      <w:r>
        <w:t>in 2003</w:t>
      </w:r>
      <w:r w:rsidRPr="00563CDE">
        <w:t>.</w:t>
      </w:r>
    </w:p>
  </w:footnote>
  <w:footnote w:id="6">
    <w:p w14:paraId="4F15F4D9" w14:textId="79DCC97F" w:rsidR="00256CD3" w:rsidRDefault="00256CD3">
      <w:pPr>
        <w:pStyle w:val="FootnoteText"/>
      </w:pPr>
      <w:r>
        <w:rPr>
          <w:rStyle w:val="FootnoteReference"/>
        </w:rPr>
        <w:footnoteRef/>
      </w:r>
      <w:r>
        <w:t xml:space="preserve"> AusPAR for Gazyva as a new biological entity, published August 2014; see</w:t>
      </w:r>
      <w:r w:rsidRPr="00515F39">
        <w:t xml:space="preserve"> </w:t>
      </w:r>
      <w:hyperlink r:id="rId1" w:history="1">
        <w:r>
          <w:rPr>
            <w:rStyle w:val="Hyperlink"/>
          </w:rPr>
          <w:t>Australian Public Assessment Report for obinutuzumab (tga.gov.au)</w:t>
        </w:r>
      </w:hyperlink>
      <w:r>
        <w:t>.</w:t>
      </w:r>
    </w:p>
  </w:footnote>
  <w:footnote w:id="7">
    <w:p w14:paraId="544A8AD2" w14:textId="2C4BD3A6" w:rsidR="00637686" w:rsidRDefault="00637686">
      <w:pPr>
        <w:pStyle w:val="FootnoteText"/>
      </w:pPr>
      <w:r>
        <w:rPr>
          <w:rStyle w:val="FootnoteReference"/>
        </w:rPr>
        <w:footnoteRef/>
      </w:r>
      <w:r>
        <w:t xml:space="preserve"> No AusPAR was produced for this submission.</w:t>
      </w:r>
    </w:p>
  </w:footnote>
  <w:footnote w:id="8">
    <w:p w14:paraId="1EF59069" w14:textId="43A208EE" w:rsidR="000D53B8" w:rsidRDefault="000D53B8">
      <w:pPr>
        <w:pStyle w:val="FootnoteText"/>
      </w:pPr>
      <w:r>
        <w:rPr>
          <w:rStyle w:val="FootnoteReference"/>
        </w:rPr>
        <w:footnoteRef/>
      </w:r>
      <w:r>
        <w:t xml:space="preserve"> AusPAR for Gazyva for </w:t>
      </w:r>
      <w:r w:rsidR="009B62F7" w:rsidRPr="009B62F7">
        <w:t>follicular lymphoma</w:t>
      </w:r>
      <w:r w:rsidR="009B62F7">
        <w:t xml:space="preserve"> indication</w:t>
      </w:r>
      <w:r>
        <w:t xml:space="preserve">, published </w:t>
      </w:r>
      <w:r w:rsidR="008661EE">
        <w:t>May</w:t>
      </w:r>
      <w:r>
        <w:t xml:space="preserve"> 201</w:t>
      </w:r>
      <w:r w:rsidR="009B62F7">
        <w:t>8</w:t>
      </w:r>
      <w:r>
        <w:t xml:space="preserve">; see </w:t>
      </w:r>
      <w:hyperlink r:id="rId2" w:history="1">
        <w:r>
          <w:rPr>
            <w:rStyle w:val="Hyperlink"/>
          </w:rPr>
          <w:t>Australian Public Assessment Report Obinutuzumab (tga.gov.au)</w:t>
        </w:r>
      </w:hyperlink>
    </w:p>
  </w:footnote>
  <w:footnote w:id="9">
    <w:p w14:paraId="6699B607" w14:textId="65F6A1DE" w:rsidR="005B6952" w:rsidRDefault="005B6952" w:rsidP="005B6952">
      <w:pPr>
        <w:pStyle w:val="FootnoteText"/>
      </w:pPr>
      <w:r>
        <w:rPr>
          <w:rStyle w:val="FootnoteReference"/>
        </w:rPr>
        <w:footnoteRef/>
      </w:r>
      <w:r>
        <w:t xml:space="preserve"> In this report the ‘</w:t>
      </w:r>
      <w:r w:rsidRPr="00C133A3">
        <w:t>Delegate</w:t>
      </w:r>
      <w:r>
        <w:t>’</w:t>
      </w:r>
      <w:r w:rsidRPr="00C133A3">
        <w:t xml:space="preserve"> </w:t>
      </w:r>
      <w:r>
        <w:t xml:space="preserve">is the </w:t>
      </w:r>
      <w:r w:rsidRPr="00C133A3">
        <w:t xml:space="preserve">Delegate of the Secretary of the Department of Health and Aged Care who </w:t>
      </w:r>
      <w:r>
        <w:t>decided the submission</w:t>
      </w:r>
      <w:r w:rsidRPr="00C133A3">
        <w:t xml:space="preserve"> under section 25 of the Act.</w:t>
      </w:r>
    </w:p>
  </w:footnote>
  <w:footnote w:id="10">
    <w:p w14:paraId="3216483E" w14:textId="3E095C51" w:rsidR="00697651" w:rsidRDefault="00697651">
      <w:pPr>
        <w:pStyle w:val="FootnoteText"/>
      </w:pPr>
      <w:r>
        <w:rPr>
          <w:rStyle w:val="FootnoteReference"/>
        </w:rPr>
        <w:footnoteRef/>
      </w:r>
      <w:r>
        <w:t xml:space="preserve"> </w:t>
      </w:r>
      <w:r w:rsidR="00CC14D8">
        <w:t>The Common Terminology Criteria for Adverse Events (CTCAE) is a standardised classification of side effects used in assessing drugs, for cancer therapy in particular. Specific conditions and symptoms may have values or descriptive comment for each level but are generally classified as follows: Grade 1 = Mild; Grade 2 = Moderate; Grade 3 = Severe; Grade 4 = Life threatening; Grade 5 = Death related to adverse event.</w:t>
      </w:r>
    </w:p>
  </w:footnote>
  <w:footnote w:id="11">
    <w:p w14:paraId="33FF0DA3" w14:textId="3DB4E64A" w:rsidR="00C95EA6" w:rsidRDefault="00C95EA6">
      <w:pPr>
        <w:pStyle w:val="FootnoteText"/>
      </w:pPr>
      <w:r>
        <w:rPr>
          <w:rStyle w:val="FootnoteReference"/>
        </w:rPr>
        <w:footnoteRef/>
      </w:r>
      <w:r>
        <w:t xml:space="preserve"> AusPAR for glo</w:t>
      </w:r>
      <w:r w:rsidR="003F05CE">
        <w:t xml:space="preserve">fitamab will be available from </w:t>
      </w:r>
      <w:hyperlink r:id="rId3" w:history="1">
        <w:r w:rsidR="00BB3F54">
          <w:rPr>
            <w:rStyle w:val="Hyperlink"/>
          </w:rPr>
          <w:t>Australian Public Assessment Reports (AusPAR) | Therapeutic Goods Administration (TGA)</w:t>
        </w:r>
      </w:hyperlink>
    </w:p>
  </w:footnote>
  <w:footnote w:id="12">
    <w:p w14:paraId="13851136" w14:textId="3076744C" w:rsidR="0015444D" w:rsidRDefault="0015444D">
      <w:pPr>
        <w:pStyle w:val="FootnoteText"/>
      </w:pPr>
      <w:r>
        <w:rPr>
          <w:rStyle w:val="FootnoteReference"/>
        </w:rPr>
        <w:footnoteRef/>
      </w:r>
      <w:r>
        <w:t xml:space="preserve"> </w:t>
      </w:r>
      <w:r w:rsidR="00474380">
        <w:t>P</w:t>
      </w:r>
      <w:r w:rsidR="004D57F3">
        <w:t>roduct Information</w:t>
      </w:r>
      <w:r w:rsidR="00474380">
        <w:t xml:space="preserve"> for Gazyva available </w:t>
      </w:r>
      <w:r w:rsidR="00CE57A1">
        <w:t>from the TGA website.</w:t>
      </w:r>
    </w:p>
  </w:footnote>
  <w:footnote w:id="13">
    <w:p w14:paraId="35D12017" w14:textId="36C360C6" w:rsidR="00124D66" w:rsidRDefault="00124D66">
      <w:pPr>
        <w:pStyle w:val="FootnoteText"/>
      </w:pPr>
      <w:r>
        <w:rPr>
          <w:rStyle w:val="FootnoteReference"/>
        </w:rPr>
        <w:footnoteRef/>
      </w:r>
      <w:r>
        <w:t xml:space="preserve"> Eastern Cooperative Oncology Group Performance Status: The ECOG has developed criteria used by doctors and researchers to assess how a patient's disease is progressing, </w:t>
      </w:r>
      <w:r w:rsidR="00E87122">
        <w:t xml:space="preserve">to </w:t>
      </w:r>
      <w:r>
        <w:t>assess how the disease affects the patient’s daily living, and to determine appropriate treatment and prognosis. The ECOG Performance Status Scale is as follows: Grade 0 = Fully active, able to carry on all pre-disease performance without restriction; Grade 1 = Restricted in physically strenuous activity but ambulatory and able to carry out work of a light or sedentary nature, for example, light house work, office work; Grade 2 = Ambulatory and capable of all selfcare but unable to carry out any work activities. Up and about more than 50% of waking hours; Grade 3 = Capable of only limited selfcare, confined to bed or chair more than 50% of waking hours; Grade 4 = Completely disabled. Cannot carry on any selfcare. Totally confined to bed or chair; Grade 5 = Dead.</w:t>
      </w:r>
    </w:p>
  </w:footnote>
  <w:footnote w:id="14">
    <w:p w14:paraId="2F675BBA" w14:textId="6004B541" w:rsidR="00B94A62" w:rsidRPr="00B94A62" w:rsidRDefault="00B94A62">
      <w:pPr>
        <w:pStyle w:val="FootnoteText"/>
      </w:pPr>
      <w:r>
        <w:rPr>
          <w:rStyle w:val="FootnoteReference"/>
        </w:rPr>
        <w:footnoteRef/>
      </w:r>
      <w:r>
        <w:t xml:space="preserve"> </w:t>
      </w:r>
      <w:r w:rsidRPr="00B94A62">
        <w:t xml:space="preserve">Lee DW, Santomasso BD, Locke FL, Ghobadi A, Turtle CJ, Brudno JN, </w:t>
      </w:r>
      <w:r>
        <w:t xml:space="preserve">et al. </w:t>
      </w:r>
      <w:r w:rsidRPr="00B94A62">
        <w:t xml:space="preserve">ASTCT Consensus Grading for Cytokine Release Syndrome and Neurologic Toxicity Associated with Immune Effector Cells. </w:t>
      </w:r>
      <w:r w:rsidRPr="0095677B">
        <w:rPr>
          <w:i/>
          <w:iCs/>
        </w:rPr>
        <w:t>Biol Blood Marrow Transplant.</w:t>
      </w:r>
      <w:r w:rsidRPr="00B94A62">
        <w:t xml:space="preserve"> 2019 Apr;25(4):625-638. doi: 10.1016/j.bbmt.2018.12.758.</w:t>
      </w:r>
    </w:p>
  </w:footnote>
  <w:footnote w:id="15">
    <w:p w14:paraId="5FD09805" w14:textId="6DF43941" w:rsidR="001C37E0" w:rsidRDefault="001C37E0">
      <w:pPr>
        <w:pStyle w:val="FootnoteText"/>
      </w:pPr>
      <w:r>
        <w:rPr>
          <w:rStyle w:val="FootnoteReference"/>
        </w:rPr>
        <w:footnoteRef/>
      </w:r>
      <w:r>
        <w:t xml:space="preserve"> The Medical Dictionary for Regulatory Activities (MedDRA) is an internationally used set of terms relating to medical conditions, medicines and medical devices. It was created to assist regulators to share information. It is also used by industry, academics, health professionals and other organisations that communicate medical information, Preferred Terms (PT) are single concepts for symptoms, signs, disease diagnosis, therapeutic indications, investigations, procedures, and characteristics. There are over 20,000 Preferred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A7258E" w:rsidP="007452E8">
          <w:pPr>
            <w:ind w:left="-57"/>
            <w:rPr>
              <w:noProof/>
            </w:rPr>
          </w:pPr>
          <w:sdt>
            <w:sdtPr>
              <w:rPr>
                <w:noProof/>
              </w:rPr>
              <w:id w:val="1926993388"/>
              <w:showingPlcHdr/>
              <w:picture/>
            </w:sdtPr>
            <w:sdtEndPr/>
            <w:sdtContent>
              <w:r w:rsidR="007452E8" w:rsidRPr="00F71E1E">
                <w:rPr>
                  <w:noProof/>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eastAsia="en-AU"/>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eastAsia="en-AU"/>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928"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358BA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2" w15:restartNumberingAfterBreak="0">
    <w:nsid w:val="6A4E7A8D"/>
    <w:multiLevelType w:val="hybridMultilevel"/>
    <w:tmpl w:val="1A7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027D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450513926">
    <w:abstractNumId w:val="3"/>
  </w:num>
  <w:num w:numId="2" w16cid:durableId="1628778603">
    <w:abstractNumId w:val="0"/>
  </w:num>
  <w:num w:numId="3" w16cid:durableId="1135025625">
    <w:abstractNumId w:val="2"/>
  </w:num>
  <w:num w:numId="4" w16cid:durableId="103237544">
    <w:abstractNumId w:val="10"/>
  </w:num>
  <w:num w:numId="5" w16cid:durableId="1443855">
    <w:abstractNumId w:val="5"/>
  </w:num>
  <w:num w:numId="6" w16cid:durableId="998120386">
    <w:abstractNumId w:val="8"/>
  </w:num>
  <w:num w:numId="7" w16cid:durableId="420299270">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562258757">
    <w:abstractNumId w:val="9"/>
  </w:num>
  <w:num w:numId="9" w16cid:durableId="200674776">
    <w:abstractNumId w:val="1"/>
  </w:num>
  <w:num w:numId="10" w16cid:durableId="1284266054">
    <w:abstractNumId w:val="4"/>
  </w:num>
  <w:num w:numId="11" w16cid:durableId="757554739">
    <w:abstractNumId w:val="7"/>
  </w:num>
  <w:num w:numId="12" w16cid:durableId="203559829">
    <w:abstractNumId w:val="11"/>
  </w:num>
  <w:num w:numId="13" w16cid:durableId="1461337934">
    <w:abstractNumId w:val="14"/>
  </w:num>
  <w:num w:numId="14" w16cid:durableId="665520206">
    <w:abstractNumId w:val="6"/>
  </w:num>
  <w:num w:numId="15" w16cid:durableId="1364359443">
    <w:abstractNumId w:val="13"/>
  </w:num>
  <w:num w:numId="16" w16cid:durableId="1692686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10D5"/>
    <w:rsid w:val="0000433D"/>
    <w:rsid w:val="00004431"/>
    <w:rsid w:val="00005062"/>
    <w:rsid w:val="00005D00"/>
    <w:rsid w:val="0001064C"/>
    <w:rsid w:val="0001384A"/>
    <w:rsid w:val="000141FC"/>
    <w:rsid w:val="0001521C"/>
    <w:rsid w:val="00020FF2"/>
    <w:rsid w:val="00032A0F"/>
    <w:rsid w:val="00035428"/>
    <w:rsid w:val="00040D8D"/>
    <w:rsid w:val="00046423"/>
    <w:rsid w:val="000539F7"/>
    <w:rsid w:val="0006104E"/>
    <w:rsid w:val="000640BD"/>
    <w:rsid w:val="000651FF"/>
    <w:rsid w:val="00065839"/>
    <w:rsid w:val="00065FDF"/>
    <w:rsid w:val="000733EF"/>
    <w:rsid w:val="00076832"/>
    <w:rsid w:val="00077844"/>
    <w:rsid w:val="0008112A"/>
    <w:rsid w:val="00081F3D"/>
    <w:rsid w:val="00090510"/>
    <w:rsid w:val="000917AE"/>
    <w:rsid w:val="00091A2E"/>
    <w:rsid w:val="00094B81"/>
    <w:rsid w:val="00096B35"/>
    <w:rsid w:val="000975AA"/>
    <w:rsid w:val="000A3759"/>
    <w:rsid w:val="000B0421"/>
    <w:rsid w:val="000B1DF5"/>
    <w:rsid w:val="000B2230"/>
    <w:rsid w:val="000B6B15"/>
    <w:rsid w:val="000C25A7"/>
    <w:rsid w:val="000D53B8"/>
    <w:rsid w:val="000D78EC"/>
    <w:rsid w:val="000D7934"/>
    <w:rsid w:val="000D7F6D"/>
    <w:rsid w:val="000E2597"/>
    <w:rsid w:val="000E2741"/>
    <w:rsid w:val="000E424D"/>
    <w:rsid w:val="000E6446"/>
    <w:rsid w:val="000E6746"/>
    <w:rsid w:val="000F7B51"/>
    <w:rsid w:val="00101357"/>
    <w:rsid w:val="00101BEE"/>
    <w:rsid w:val="00101CE6"/>
    <w:rsid w:val="00101FB1"/>
    <w:rsid w:val="00104341"/>
    <w:rsid w:val="0010512C"/>
    <w:rsid w:val="0010558A"/>
    <w:rsid w:val="001055F7"/>
    <w:rsid w:val="001101FF"/>
    <w:rsid w:val="00111E06"/>
    <w:rsid w:val="00120D1D"/>
    <w:rsid w:val="0012473C"/>
    <w:rsid w:val="00124D66"/>
    <w:rsid w:val="00125FB5"/>
    <w:rsid w:val="00127A74"/>
    <w:rsid w:val="0013132F"/>
    <w:rsid w:val="00132D4D"/>
    <w:rsid w:val="0013306D"/>
    <w:rsid w:val="0013528C"/>
    <w:rsid w:val="001442A2"/>
    <w:rsid w:val="001468CA"/>
    <w:rsid w:val="001500A8"/>
    <w:rsid w:val="001532AC"/>
    <w:rsid w:val="00153EA9"/>
    <w:rsid w:val="0015444D"/>
    <w:rsid w:val="00155D85"/>
    <w:rsid w:val="00160E3F"/>
    <w:rsid w:val="00161591"/>
    <w:rsid w:val="00163D45"/>
    <w:rsid w:val="00165D28"/>
    <w:rsid w:val="00166313"/>
    <w:rsid w:val="0017005C"/>
    <w:rsid w:val="00175CD8"/>
    <w:rsid w:val="00181D1A"/>
    <w:rsid w:val="00182BD8"/>
    <w:rsid w:val="00184AAF"/>
    <w:rsid w:val="0018687C"/>
    <w:rsid w:val="00191E6A"/>
    <w:rsid w:val="00191F90"/>
    <w:rsid w:val="001A0B15"/>
    <w:rsid w:val="001A194B"/>
    <w:rsid w:val="001A3855"/>
    <w:rsid w:val="001A6368"/>
    <w:rsid w:val="001A72C3"/>
    <w:rsid w:val="001A76F9"/>
    <w:rsid w:val="001B06FF"/>
    <w:rsid w:val="001B1703"/>
    <w:rsid w:val="001C0657"/>
    <w:rsid w:val="001C1C2E"/>
    <w:rsid w:val="001C25BC"/>
    <w:rsid w:val="001C31A1"/>
    <w:rsid w:val="001C37E0"/>
    <w:rsid w:val="001C3FA2"/>
    <w:rsid w:val="001C5EE2"/>
    <w:rsid w:val="001C6CE3"/>
    <w:rsid w:val="001D0077"/>
    <w:rsid w:val="001D126E"/>
    <w:rsid w:val="001E407B"/>
    <w:rsid w:val="001E44FA"/>
    <w:rsid w:val="001E7FC6"/>
    <w:rsid w:val="001F2502"/>
    <w:rsid w:val="001F358F"/>
    <w:rsid w:val="001F5115"/>
    <w:rsid w:val="001F70A5"/>
    <w:rsid w:val="0020235D"/>
    <w:rsid w:val="0020369B"/>
    <w:rsid w:val="00207B4D"/>
    <w:rsid w:val="002117B1"/>
    <w:rsid w:val="002130AE"/>
    <w:rsid w:val="00217CCE"/>
    <w:rsid w:val="002203B1"/>
    <w:rsid w:val="00221268"/>
    <w:rsid w:val="002238D0"/>
    <w:rsid w:val="00226F39"/>
    <w:rsid w:val="002334AD"/>
    <w:rsid w:val="002334C7"/>
    <w:rsid w:val="002336C5"/>
    <w:rsid w:val="00237CF9"/>
    <w:rsid w:val="00241B60"/>
    <w:rsid w:val="00244E15"/>
    <w:rsid w:val="002559B0"/>
    <w:rsid w:val="00256CD3"/>
    <w:rsid w:val="0025785B"/>
    <w:rsid w:val="00257969"/>
    <w:rsid w:val="002615F1"/>
    <w:rsid w:val="00266533"/>
    <w:rsid w:val="00266B6E"/>
    <w:rsid w:val="00280048"/>
    <w:rsid w:val="00281B75"/>
    <w:rsid w:val="00283171"/>
    <w:rsid w:val="0028489E"/>
    <w:rsid w:val="002848DE"/>
    <w:rsid w:val="0028794E"/>
    <w:rsid w:val="002936C9"/>
    <w:rsid w:val="002937E3"/>
    <w:rsid w:val="002A2AE1"/>
    <w:rsid w:val="002A5841"/>
    <w:rsid w:val="002B1EDF"/>
    <w:rsid w:val="002B2061"/>
    <w:rsid w:val="002B2462"/>
    <w:rsid w:val="002B5AEF"/>
    <w:rsid w:val="002C1232"/>
    <w:rsid w:val="002C1E44"/>
    <w:rsid w:val="002C21D5"/>
    <w:rsid w:val="002C5C92"/>
    <w:rsid w:val="002C5CF8"/>
    <w:rsid w:val="002C5E29"/>
    <w:rsid w:val="002D0478"/>
    <w:rsid w:val="002D7127"/>
    <w:rsid w:val="002D7FEB"/>
    <w:rsid w:val="002E3E09"/>
    <w:rsid w:val="002E4049"/>
    <w:rsid w:val="002F599E"/>
    <w:rsid w:val="003008D8"/>
    <w:rsid w:val="00301D9A"/>
    <w:rsid w:val="00303959"/>
    <w:rsid w:val="003045B7"/>
    <w:rsid w:val="00306695"/>
    <w:rsid w:val="00306E72"/>
    <w:rsid w:val="0031185B"/>
    <w:rsid w:val="003129CF"/>
    <w:rsid w:val="00312AC3"/>
    <w:rsid w:val="00314430"/>
    <w:rsid w:val="003160CE"/>
    <w:rsid w:val="003163BC"/>
    <w:rsid w:val="0032351A"/>
    <w:rsid w:val="00324B33"/>
    <w:rsid w:val="00327488"/>
    <w:rsid w:val="00332E3D"/>
    <w:rsid w:val="00336FE1"/>
    <w:rsid w:val="00337512"/>
    <w:rsid w:val="00342D56"/>
    <w:rsid w:val="003456E7"/>
    <w:rsid w:val="00345C7D"/>
    <w:rsid w:val="00346EC2"/>
    <w:rsid w:val="003477F9"/>
    <w:rsid w:val="003526DE"/>
    <w:rsid w:val="0035444D"/>
    <w:rsid w:val="00355AFA"/>
    <w:rsid w:val="00356D62"/>
    <w:rsid w:val="00363EE3"/>
    <w:rsid w:val="003702A8"/>
    <w:rsid w:val="003735F3"/>
    <w:rsid w:val="00374729"/>
    <w:rsid w:val="00387298"/>
    <w:rsid w:val="00387984"/>
    <w:rsid w:val="00393FD4"/>
    <w:rsid w:val="00395140"/>
    <w:rsid w:val="00396CE3"/>
    <w:rsid w:val="003A0B48"/>
    <w:rsid w:val="003A2422"/>
    <w:rsid w:val="003A4E5E"/>
    <w:rsid w:val="003B149C"/>
    <w:rsid w:val="003C0FDB"/>
    <w:rsid w:val="003C1192"/>
    <w:rsid w:val="003C20C9"/>
    <w:rsid w:val="003C330E"/>
    <w:rsid w:val="003C55E2"/>
    <w:rsid w:val="003C63D5"/>
    <w:rsid w:val="003C7AA8"/>
    <w:rsid w:val="003D71A1"/>
    <w:rsid w:val="003E374E"/>
    <w:rsid w:val="003E7F15"/>
    <w:rsid w:val="003F05CE"/>
    <w:rsid w:val="003F2900"/>
    <w:rsid w:val="003F418D"/>
    <w:rsid w:val="003F5D52"/>
    <w:rsid w:val="00403DF5"/>
    <w:rsid w:val="00405C55"/>
    <w:rsid w:val="004129F3"/>
    <w:rsid w:val="00416293"/>
    <w:rsid w:val="0041688F"/>
    <w:rsid w:val="004171CF"/>
    <w:rsid w:val="004233C6"/>
    <w:rsid w:val="0042376F"/>
    <w:rsid w:val="004246B8"/>
    <w:rsid w:val="004248F1"/>
    <w:rsid w:val="00431A9E"/>
    <w:rsid w:val="00433318"/>
    <w:rsid w:val="00442A56"/>
    <w:rsid w:val="00443D88"/>
    <w:rsid w:val="004444B0"/>
    <w:rsid w:val="0045060B"/>
    <w:rsid w:val="00461A20"/>
    <w:rsid w:val="004626FF"/>
    <w:rsid w:val="0046355E"/>
    <w:rsid w:val="00467F0A"/>
    <w:rsid w:val="00470A52"/>
    <w:rsid w:val="00471BD5"/>
    <w:rsid w:val="00471D20"/>
    <w:rsid w:val="0047207A"/>
    <w:rsid w:val="00473686"/>
    <w:rsid w:val="00474380"/>
    <w:rsid w:val="00477C4E"/>
    <w:rsid w:val="00477F07"/>
    <w:rsid w:val="00481503"/>
    <w:rsid w:val="00481D12"/>
    <w:rsid w:val="00481FF9"/>
    <w:rsid w:val="004854A6"/>
    <w:rsid w:val="00491A55"/>
    <w:rsid w:val="004947AC"/>
    <w:rsid w:val="00494C3E"/>
    <w:rsid w:val="00497DF1"/>
    <w:rsid w:val="00497E7E"/>
    <w:rsid w:val="004A13E4"/>
    <w:rsid w:val="004A318E"/>
    <w:rsid w:val="004A51B2"/>
    <w:rsid w:val="004A57E8"/>
    <w:rsid w:val="004B3081"/>
    <w:rsid w:val="004B4A09"/>
    <w:rsid w:val="004B5161"/>
    <w:rsid w:val="004B600B"/>
    <w:rsid w:val="004C123A"/>
    <w:rsid w:val="004C41CE"/>
    <w:rsid w:val="004C631B"/>
    <w:rsid w:val="004D01B1"/>
    <w:rsid w:val="004D050D"/>
    <w:rsid w:val="004D2A5F"/>
    <w:rsid w:val="004D2F00"/>
    <w:rsid w:val="004D31D8"/>
    <w:rsid w:val="004D3EF9"/>
    <w:rsid w:val="004D5388"/>
    <w:rsid w:val="004D57F3"/>
    <w:rsid w:val="004E305B"/>
    <w:rsid w:val="004E7F16"/>
    <w:rsid w:val="004F0E3A"/>
    <w:rsid w:val="004F18EC"/>
    <w:rsid w:val="004F37DA"/>
    <w:rsid w:val="004F3C9E"/>
    <w:rsid w:val="00500D68"/>
    <w:rsid w:val="0050142F"/>
    <w:rsid w:val="00515F39"/>
    <w:rsid w:val="00532B42"/>
    <w:rsid w:val="0053377D"/>
    <w:rsid w:val="00534697"/>
    <w:rsid w:val="00535DFE"/>
    <w:rsid w:val="005373B5"/>
    <w:rsid w:val="00537AB7"/>
    <w:rsid w:val="0054033B"/>
    <w:rsid w:val="0054128B"/>
    <w:rsid w:val="0054669B"/>
    <w:rsid w:val="00552B6C"/>
    <w:rsid w:val="00555149"/>
    <w:rsid w:val="00556A6B"/>
    <w:rsid w:val="00560B31"/>
    <w:rsid w:val="005610D1"/>
    <w:rsid w:val="0056254D"/>
    <w:rsid w:val="00562F42"/>
    <w:rsid w:val="00563CDE"/>
    <w:rsid w:val="00565739"/>
    <w:rsid w:val="00565A41"/>
    <w:rsid w:val="0056766D"/>
    <w:rsid w:val="005678C6"/>
    <w:rsid w:val="00575215"/>
    <w:rsid w:val="00582784"/>
    <w:rsid w:val="0058575E"/>
    <w:rsid w:val="0058783C"/>
    <w:rsid w:val="005911AE"/>
    <w:rsid w:val="005921B6"/>
    <w:rsid w:val="005926E2"/>
    <w:rsid w:val="00593033"/>
    <w:rsid w:val="0059313A"/>
    <w:rsid w:val="005A245B"/>
    <w:rsid w:val="005A54EA"/>
    <w:rsid w:val="005A7C54"/>
    <w:rsid w:val="005B023F"/>
    <w:rsid w:val="005B02A2"/>
    <w:rsid w:val="005B13C4"/>
    <w:rsid w:val="005B1417"/>
    <w:rsid w:val="005B50B7"/>
    <w:rsid w:val="005B6952"/>
    <w:rsid w:val="005B69CF"/>
    <w:rsid w:val="005C0161"/>
    <w:rsid w:val="005C23F3"/>
    <w:rsid w:val="005C282F"/>
    <w:rsid w:val="005C3B04"/>
    <w:rsid w:val="005C3F07"/>
    <w:rsid w:val="005C4B46"/>
    <w:rsid w:val="005C5DC5"/>
    <w:rsid w:val="005C64A2"/>
    <w:rsid w:val="005D2089"/>
    <w:rsid w:val="005D45A9"/>
    <w:rsid w:val="005D7514"/>
    <w:rsid w:val="005E0FC6"/>
    <w:rsid w:val="005E1A7B"/>
    <w:rsid w:val="005E231F"/>
    <w:rsid w:val="005E3E06"/>
    <w:rsid w:val="005E66D8"/>
    <w:rsid w:val="005E7390"/>
    <w:rsid w:val="005F1C41"/>
    <w:rsid w:val="005F77EF"/>
    <w:rsid w:val="00601CB7"/>
    <w:rsid w:val="00602D6E"/>
    <w:rsid w:val="00604B51"/>
    <w:rsid w:val="00605C05"/>
    <w:rsid w:val="006062D9"/>
    <w:rsid w:val="00611351"/>
    <w:rsid w:val="0061217D"/>
    <w:rsid w:val="006277A1"/>
    <w:rsid w:val="00633BD7"/>
    <w:rsid w:val="00634580"/>
    <w:rsid w:val="00634884"/>
    <w:rsid w:val="006351D9"/>
    <w:rsid w:val="00637130"/>
    <w:rsid w:val="00637686"/>
    <w:rsid w:val="00637F0E"/>
    <w:rsid w:val="006423F2"/>
    <w:rsid w:val="00643B97"/>
    <w:rsid w:val="00647D1F"/>
    <w:rsid w:val="00650234"/>
    <w:rsid w:val="0066044B"/>
    <w:rsid w:val="006630AA"/>
    <w:rsid w:val="00663544"/>
    <w:rsid w:val="00666539"/>
    <w:rsid w:val="00666911"/>
    <w:rsid w:val="006676A8"/>
    <w:rsid w:val="00675F81"/>
    <w:rsid w:val="0068143E"/>
    <w:rsid w:val="006815E2"/>
    <w:rsid w:val="0068461B"/>
    <w:rsid w:val="0068507D"/>
    <w:rsid w:val="00690F27"/>
    <w:rsid w:val="00691AF2"/>
    <w:rsid w:val="00692263"/>
    <w:rsid w:val="00692B80"/>
    <w:rsid w:val="00692CCD"/>
    <w:rsid w:val="00692D51"/>
    <w:rsid w:val="00694DD7"/>
    <w:rsid w:val="0069636B"/>
    <w:rsid w:val="00697651"/>
    <w:rsid w:val="006A1762"/>
    <w:rsid w:val="006A1F0B"/>
    <w:rsid w:val="006A277A"/>
    <w:rsid w:val="006A304E"/>
    <w:rsid w:val="006A5973"/>
    <w:rsid w:val="006B08A4"/>
    <w:rsid w:val="006B128D"/>
    <w:rsid w:val="006B4FC4"/>
    <w:rsid w:val="006B7126"/>
    <w:rsid w:val="006C6B86"/>
    <w:rsid w:val="006C70B5"/>
    <w:rsid w:val="006C7869"/>
    <w:rsid w:val="006D1A27"/>
    <w:rsid w:val="006D4553"/>
    <w:rsid w:val="006D4A35"/>
    <w:rsid w:val="006D6B44"/>
    <w:rsid w:val="006E0541"/>
    <w:rsid w:val="006E27FE"/>
    <w:rsid w:val="006E7CFC"/>
    <w:rsid w:val="006F1C0C"/>
    <w:rsid w:val="006F22CC"/>
    <w:rsid w:val="006F6E02"/>
    <w:rsid w:val="00701110"/>
    <w:rsid w:val="00702E91"/>
    <w:rsid w:val="0070330F"/>
    <w:rsid w:val="00703624"/>
    <w:rsid w:val="007046ED"/>
    <w:rsid w:val="007072A1"/>
    <w:rsid w:val="00707FCF"/>
    <w:rsid w:val="00710BC5"/>
    <w:rsid w:val="007121CA"/>
    <w:rsid w:val="00714748"/>
    <w:rsid w:val="00715302"/>
    <w:rsid w:val="0072003B"/>
    <w:rsid w:val="00721059"/>
    <w:rsid w:val="007211E6"/>
    <w:rsid w:val="007220C4"/>
    <w:rsid w:val="007239F3"/>
    <w:rsid w:val="00732361"/>
    <w:rsid w:val="00732729"/>
    <w:rsid w:val="00734C6C"/>
    <w:rsid w:val="007357B9"/>
    <w:rsid w:val="007358E9"/>
    <w:rsid w:val="00741AB9"/>
    <w:rsid w:val="00742D03"/>
    <w:rsid w:val="00744216"/>
    <w:rsid w:val="00744671"/>
    <w:rsid w:val="007452E8"/>
    <w:rsid w:val="00746990"/>
    <w:rsid w:val="00747093"/>
    <w:rsid w:val="00750D70"/>
    <w:rsid w:val="00752AF3"/>
    <w:rsid w:val="007575D0"/>
    <w:rsid w:val="007607D4"/>
    <w:rsid w:val="007611CF"/>
    <w:rsid w:val="007662E0"/>
    <w:rsid w:val="00766460"/>
    <w:rsid w:val="00774BAC"/>
    <w:rsid w:val="00776E9C"/>
    <w:rsid w:val="007816D8"/>
    <w:rsid w:val="007826B7"/>
    <w:rsid w:val="00784150"/>
    <w:rsid w:val="00784F00"/>
    <w:rsid w:val="00793272"/>
    <w:rsid w:val="00794B64"/>
    <w:rsid w:val="007967C3"/>
    <w:rsid w:val="007A0A33"/>
    <w:rsid w:val="007A13FF"/>
    <w:rsid w:val="007A22CB"/>
    <w:rsid w:val="007B04DE"/>
    <w:rsid w:val="007B0AE6"/>
    <w:rsid w:val="007C0F0B"/>
    <w:rsid w:val="007C57BC"/>
    <w:rsid w:val="007D04CA"/>
    <w:rsid w:val="007D0A2B"/>
    <w:rsid w:val="007D12A1"/>
    <w:rsid w:val="007D40E5"/>
    <w:rsid w:val="007D4138"/>
    <w:rsid w:val="007D60CB"/>
    <w:rsid w:val="007E4178"/>
    <w:rsid w:val="007E4BA3"/>
    <w:rsid w:val="007E4E05"/>
    <w:rsid w:val="007F0A77"/>
    <w:rsid w:val="007F50D3"/>
    <w:rsid w:val="007F6B1F"/>
    <w:rsid w:val="007F7E4F"/>
    <w:rsid w:val="00804897"/>
    <w:rsid w:val="008053BB"/>
    <w:rsid w:val="00806D9F"/>
    <w:rsid w:val="00813DA0"/>
    <w:rsid w:val="00820DAA"/>
    <w:rsid w:val="008329DB"/>
    <w:rsid w:val="008361C5"/>
    <w:rsid w:val="0083628F"/>
    <w:rsid w:val="00837588"/>
    <w:rsid w:val="00837AB9"/>
    <w:rsid w:val="00843BBD"/>
    <w:rsid w:val="0084765A"/>
    <w:rsid w:val="00850637"/>
    <w:rsid w:val="00854D98"/>
    <w:rsid w:val="00855302"/>
    <w:rsid w:val="0085751E"/>
    <w:rsid w:val="00860B29"/>
    <w:rsid w:val="008622E8"/>
    <w:rsid w:val="0086444A"/>
    <w:rsid w:val="008645EE"/>
    <w:rsid w:val="008661EE"/>
    <w:rsid w:val="00870144"/>
    <w:rsid w:val="00870727"/>
    <w:rsid w:val="00873D7A"/>
    <w:rsid w:val="008756AB"/>
    <w:rsid w:val="008768B6"/>
    <w:rsid w:val="00877CB3"/>
    <w:rsid w:val="008804CF"/>
    <w:rsid w:val="00882D58"/>
    <w:rsid w:val="00882F19"/>
    <w:rsid w:val="00883D35"/>
    <w:rsid w:val="0088445F"/>
    <w:rsid w:val="00884558"/>
    <w:rsid w:val="00884569"/>
    <w:rsid w:val="008850AE"/>
    <w:rsid w:val="00887A51"/>
    <w:rsid w:val="00890D9B"/>
    <w:rsid w:val="00891C6C"/>
    <w:rsid w:val="00892741"/>
    <w:rsid w:val="00893CCD"/>
    <w:rsid w:val="00894362"/>
    <w:rsid w:val="008964B3"/>
    <w:rsid w:val="00896550"/>
    <w:rsid w:val="008970BF"/>
    <w:rsid w:val="008B0BF3"/>
    <w:rsid w:val="008B1CB5"/>
    <w:rsid w:val="008B4EF5"/>
    <w:rsid w:val="008C0AC0"/>
    <w:rsid w:val="008C2D69"/>
    <w:rsid w:val="008C49C6"/>
    <w:rsid w:val="008C754C"/>
    <w:rsid w:val="008D56C9"/>
    <w:rsid w:val="008D6A54"/>
    <w:rsid w:val="008E0210"/>
    <w:rsid w:val="008E2585"/>
    <w:rsid w:val="008E2D7A"/>
    <w:rsid w:val="008E4A78"/>
    <w:rsid w:val="008E6362"/>
    <w:rsid w:val="008F3215"/>
    <w:rsid w:val="008F4A62"/>
    <w:rsid w:val="008F7256"/>
    <w:rsid w:val="0090424C"/>
    <w:rsid w:val="00905997"/>
    <w:rsid w:val="0090605E"/>
    <w:rsid w:val="00906FEE"/>
    <w:rsid w:val="009108CE"/>
    <w:rsid w:val="00910D43"/>
    <w:rsid w:val="00915A9F"/>
    <w:rsid w:val="0092117D"/>
    <w:rsid w:val="0092286F"/>
    <w:rsid w:val="009266BE"/>
    <w:rsid w:val="00927D4A"/>
    <w:rsid w:val="00930D58"/>
    <w:rsid w:val="00935AAA"/>
    <w:rsid w:val="0093655B"/>
    <w:rsid w:val="00940B0A"/>
    <w:rsid w:val="009426D0"/>
    <w:rsid w:val="00944A05"/>
    <w:rsid w:val="0095031E"/>
    <w:rsid w:val="00954297"/>
    <w:rsid w:val="0095595F"/>
    <w:rsid w:val="009564DB"/>
    <w:rsid w:val="0095677B"/>
    <w:rsid w:val="00960A56"/>
    <w:rsid w:val="0096182D"/>
    <w:rsid w:val="00966EF1"/>
    <w:rsid w:val="00967223"/>
    <w:rsid w:val="009751F7"/>
    <w:rsid w:val="0098350E"/>
    <w:rsid w:val="0098610D"/>
    <w:rsid w:val="00986C74"/>
    <w:rsid w:val="00986DD7"/>
    <w:rsid w:val="0099133E"/>
    <w:rsid w:val="009922F5"/>
    <w:rsid w:val="0099404F"/>
    <w:rsid w:val="00995180"/>
    <w:rsid w:val="00996FA5"/>
    <w:rsid w:val="009976BD"/>
    <w:rsid w:val="009A6D39"/>
    <w:rsid w:val="009B4649"/>
    <w:rsid w:val="009B5662"/>
    <w:rsid w:val="009B62F7"/>
    <w:rsid w:val="009B630E"/>
    <w:rsid w:val="009C2211"/>
    <w:rsid w:val="009C40E8"/>
    <w:rsid w:val="009C45C5"/>
    <w:rsid w:val="009C548C"/>
    <w:rsid w:val="009C72AE"/>
    <w:rsid w:val="009D6C9C"/>
    <w:rsid w:val="009E13F3"/>
    <w:rsid w:val="009E3864"/>
    <w:rsid w:val="009E6858"/>
    <w:rsid w:val="009E6F8C"/>
    <w:rsid w:val="009F07EF"/>
    <w:rsid w:val="009F23C6"/>
    <w:rsid w:val="009F405F"/>
    <w:rsid w:val="009F7AA0"/>
    <w:rsid w:val="00A01C56"/>
    <w:rsid w:val="00A21171"/>
    <w:rsid w:val="00A3277D"/>
    <w:rsid w:val="00A32C50"/>
    <w:rsid w:val="00A32DC8"/>
    <w:rsid w:val="00A33C45"/>
    <w:rsid w:val="00A358E7"/>
    <w:rsid w:val="00A367C4"/>
    <w:rsid w:val="00A40F88"/>
    <w:rsid w:val="00A4380B"/>
    <w:rsid w:val="00A51A2D"/>
    <w:rsid w:val="00A5596B"/>
    <w:rsid w:val="00A6046E"/>
    <w:rsid w:val="00A63C07"/>
    <w:rsid w:val="00A63D9B"/>
    <w:rsid w:val="00A704DC"/>
    <w:rsid w:val="00A7258E"/>
    <w:rsid w:val="00A72873"/>
    <w:rsid w:val="00A74318"/>
    <w:rsid w:val="00A7569E"/>
    <w:rsid w:val="00A80050"/>
    <w:rsid w:val="00A80244"/>
    <w:rsid w:val="00A91489"/>
    <w:rsid w:val="00A93C68"/>
    <w:rsid w:val="00A93DC6"/>
    <w:rsid w:val="00A9411A"/>
    <w:rsid w:val="00A94C9B"/>
    <w:rsid w:val="00A95614"/>
    <w:rsid w:val="00AA173E"/>
    <w:rsid w:val="00AA4A4B"/>
    <w:rsid w:val="00AA6682"/>
    <w:rsid w:val="00AB47F8"/>
    <w:rsid w:val="00AB7C5C"/>
    <w:rsid w:val="00AB7CBF"/>
    <w:rsid w:val="00AC04A3"/>
    <w:rsid w:val="00AC12F7"/>
    <w:rsid w:val="00AD0111"/>
    <w:rsid w:val="00AD4C72"/>
    <w:rsid w:val="00AD5119"/>
    <w:rsid w:val="00AD5451"/>
    <w:rsid w:val="00AE1947"/>
    <w:rsid w:val="00AF1C8B"/>
    <w:rsid w:val="00AF1D27"/>
    <w:rsid w:val="00AF299B"/>
    <w:rsid w:val="00AF2BD7"/>
    <w:rsid w:val="00AF787C"/>
    <w:rsid w:val="00AF7E43"/>
    <w:rsid w:val="00B02AE0"/>
    <w:rsid w:val="00B04D72"/>
    <w:rsid w:val="00B05326"/>
    <w:rsid w:val="00B10D01"/>
    <w:rsid w:val="00B14545"/>
    <w:rsid w:val="00B14E60"/>
    <w:rsid w:val="00B17BA2"/>
    <w:rsid w:val="00B17E21"/>
    <w:rsid w:val="00B253EB"/>
    <w:rsid w:val="00B26DC3"/>
    <w:rsid w:val="00B270B0"/>
    <w:rsid w:val="00B30B9D"/>
    <w:rsid w:val="00B31298"/>
    <w:rsid w:val="00B31679"/>
    <w:rsid w:val="00B40C7C"/>
    <w:rsid w:val="00B4574D"/>
    <w:rsid w:val="00B468E1"/>
    <w:rsid w:val="00B46BC0"/>
    <w:rsid w:val="00B46DFB"/>
    <w:rsid w:val="00B5141B"/>
    <w:rsid w:val="00B543B6"/>
    <w:rsid w:val="00B55681"/>
    <w:rsid w:val="00B5717A"/>
    <w:rsid w:val="00B57988"/>
    <w:rsid w:val="00B57AAD"/>
    <w:rsid w:val="00B62208"/>
    <w:rsid w:val="00B72B16"/>
    <w:rsid w:val="00B770AE"/>
    <w:rsid w:val="00B80408"/>
    <w:rsid w:val="00B81397"/>
    <w:rsid w:val="00B87104"/>
    <w:rsid w:val="00B90200"/>
    <w:rsid w:val="00B91F43"/>
    <w:rsid w:val="00B923F4"/>
    <w:rsid w:val="00B925DB"/>
    <w:rsid w:val="00B94A62"/>
    <w:rsid w:val="00B967FF"/>
    <w:rsid w:val="00B97014"/>
    <w:rsid w:val="00B974B9"/>
    <w:rsid w:val="00BA3F6D"/>
    <w:rsid w:val="00BA4BE6"/>
    <w:rsid w:val="00BA4FC0"/>
    <w:rsid w:val="00BA5976"/>
    <w:rsid w:val="00BA61E0"/>
    <w:rsid w:val="00BA694A"/>
    <w:rsid w:val="00BA7F7D"/>
    <w:rsid w:val="00BB1C14"/>
    <w:rsid w:val="00BB3F54"/>
    <w:rsid w:val="00BB6847"/>
    <w:rsid w:val="00BB7F8F"/>
    <w:rsid w:val="00BC2788"/>
    <w:rsid w:val="00BC32D1"/>
    <w:rsid w:val="00BC6BAB"/>
    <w:rsid w:val="00BC716A"/>
    <w:rsid w:val="00BD07DF"/>
    <w:rsid w:val="00BD26F4"/>
    <w:rsid w:val="00BD4169"/>
    <w:rsid w:val="00BD5DBD"/>
    <w:rsid w:val="00BD5DF6"/>
    <w:rsid w:val="00BE0041"/>
    <w:rsid w:val="00BE0461"/>
    <w:rsid w:val="00BE08D6"/>
    <w:rsid w:val="00BE2951"/>
    <w:rsid w:val="00BE38DE"/>
    <w:rsid w:val="00BE640F"/>
    <w:rsid w:val="00BF4638"/>
    <w:rsid w:val="00BF579D"/>
    <w:rsid w:val="00C018DE"/>
    <w:rsid w:val="00C0388D"/>
    <w:rsid w:val="00C059D0"/>
    <w:rsid w:val="00C06A07"/>
    <w:rsid w:val="00C07551"/>
    <w:rsid w:val="00C1109F"/>
    <w:rsid w:val="00C11DF4"/>
    <w:rsid w:val="00C12D65"/>
    <w:rsid w:val="00C133AB"/>
    <w:rsid w:val="00C20B56"/>
    <w:rsid w:val="00C22214"/>
    <w:rsid w:val="00C26F72"/>
    <w:rsid w:val="00C309A7"/>
    <w:rsid w:val="00C312AD"/>
    <w:rsid w:val="00C335AB"/>
    <w:rsid w:val="00C37E32"/>
    <w:rsid w:val="00C407AB"/>
    <w:rsid w:val="00C43160"/>
    <w:rsid w:val="00C51772"/>
    <w:rsid w:val="00C52B7B"/>
    <w:rsid w:val="00C52DD5"/>
    <w:rsid w:val="00C547CD"/>
    <w:rsid w:val="00C570FF"/>
    <w:rsid w:val="00C57CEA"/>
    <w:rsid w:val="00C60FEC"/>
    <w:rsid w:val="00C6574E"/>
    <w:rsid w:val="00C67FE9"/>
    <w:rsid w:val="00C707FD"/>
    <w:rsid w:val="00C72116"/>
    <w:rsid w:val="00C72CB9"/>
    <w:rsid w:val="00C75A69"/>
    <w:rsid w:val="00C76DEB"/>
    <w:rsid w:val="00C816C6"/>
    <w:rsid w:val="00C863A7"/>
    <w:rsid w:val="00C912F4"/>
    <w:rsid w:val="00C9156F"/>
    <w:rsid w:val="00C9581A"/>
    <w:rsid w:val="00C95EA6"/>
    <w:rsid w:val="00C97D29"/>
    <w:rsid w:val="00CA71F9"/>
    <w:rsid w:val="00CB0550"/>
    <w:rsid w:val="00CB5A01"/>
    <w:rsid w:val="00CB6813"/>
    <w:rsid w:val="00CC14D8"/>
    <w:rsid w:val="00CC6D5C"/>
    <w:rsid w:val="00CD666F"/>
    <w:rsid w:val="00CE31D4"/>
    <w:rsid w:val="00CE3A18"/>
    <w:rsid w:val="00CE57A1"/>
    <w:rsid w:val="00CF6A55"/>
    <w:rsid w:val="00CF6DC6"/>
    <w:rsid w:val="00CF6DCF"/>
    <w:rsid w:val="00CF73C0"/>
    <w:rsid w:val="00D01DDB"/>
    <w:rsid w:val="00D0467F"/>
    <w:rsid w:val="00D078BE"/>
    <w:rsid w:val="00D11F5D"/>
    <w:rsid w:val="00D13F8A"/>
    <w:rsid w:val="00D16F60"/>
    <w:rsid w:val="00D22981"/>
    <w:rsid w:val="00D24F0F"/>
    <w:rsid w:val="00D3349B"/>
    <w:rsid w:val="00D424A8"/>
    <w:rsid w:val="00D46EA3"/>
    <w:rsid w:val="00D56B46"/>
    <w:rsid w:val="00D56B47"/>
    <w:rsid w:val="00D6036F"/>
    <w:rsid w:val="00D62877"/>
    <w:rsid w:val="00D63760"/>
    <w:rsid w:val="00D6703F"/>
    <w:rsid w:val="00D734EB"/>
    <w:rsid w:val="00D82713"/>
    <w:rsid w:val="00D86F00"/>
    <w:rsid w:val="00D90976"/>
    <w:rsid w:val="00D918D5"/>
    <w:rsid w:val="00D92BDC"/>
    <w:rsid w:val="00D94C8E"/>
    <w:rsid w:val="00D96D9B"/>
    <w:rsid w:val="00DA0413"/>
    <w:rsid w:val="00DA5727"/>
    <w:rsid w:val="00DB1372"/>
    <w:rsid w:val="00DB192C"/>
    <w:rsid w:val="00DB1CF3"/>
    <w:rsid w:val="00DB5425"/>
    <w:rsid w:val="00DB72A6"/>
    <w:rsid w:val="00DC2E99"/>
    <w:rsid w:val="00DC5C37"/>
    <w:rsid w:val="00DC6611"/>
    <w:rsid w:val="00DD1944"/>
    <w:rsid w:val="00DD5794"/>
    <w:rsid w:val="00DD7254"/>
    <w:rsid w:val="00DE1344"/>
    <w:rsid w:val="00DE453A"/>
    <w:rsid w:val="00DE5E0D"/>
    <w:rsid w:val="00DF1549"/>
    <w:rsid w:val="00DF5BFE"/>
    <w:rsid w:val="00E01323"/>
    <w:rsid w:val="00E0523F"/>
    <w:rsid w:val="00E12918"/>
    <w:rsid w:val="00E134F7"/>
    <w:rsid w:val="00E135F3"/>
    <w:rsid w:val="00E1502F"/>
    <w:rsid w:val="00E15FE7"/>
    <w:rsid w:val="00E20827"/>
    <w:rsid w:val="00E23E50"/>
    <w:rsid w:val="00E24EEA"/>
    <w:rsid w:val="00E26213"/>
    <w:rsid w:val="00E274DF"/>
    <w:rsid w:val="00E30DEF"/>
    <w:rsid w:val="00E3123E"/>
    <w:rsid w:val="00E34D66"/>
    <w:rsid w:val="00E362C4"/>
    <w:rsid w:val="00E4434A"/>
    <w:rsid w:val="00E46CC2"/>
    <w:rsid w:val="00E47E0C"/>
    <w:rsid w:val="00E50351"/>
    <w:rsid w:val="00E51813"/>
    <w:rsid w:val="00E52C0B"/>
    <w:rsid w:val="00E53D3F"/>
    <w:rsid w:val="00E5579B"/>
    <w:rsid w:val="00E57FF4"/>
    <w:rsid w:val="00E607DF"/>
    <w:rsid w:val="00E61FF5"/>
    <w:rsid w:val="00E679D1"/>
    <w:rsid w:val="00E67C1C"/>
    <w:rsid w:val="00E70C12"/>
    <w:rsid w:val="00E71C08"/>
    <w:rsid w:val="00E74515"/>
    <w:rsid w:val="00E87122"/>
    <w:rsid w:val="00E91F11"/>
    <w:rsid w:val="00E93AA2"/>
    <w:rsid w:val="00E94C52"/>
    <w:rsid w:val="00E9706D"/>
    <w:rsid w:val="00EA1A95"/>
    <w:rsid w:val="00EA2195"/>
    <w:rsid w:val="00EA3AF4"/>
    <w:rsid w:val="00EA77F2"/>
    <w:rsid w:val="00EB0C06"/>
    <w:rsid w:val="00EB131C"/>
    <w:rsid w:val="00EC243F"/>
    <w:rsid w:val="00EC5327"/>
    <w:rsid w:val="00EC6EE4"/>
    <w:rsid w:val="00ED1B90"/>
    <w:rsid w:val="00ED3B7D"/>
    <w:rsid w:val="00EE26A7"/>
    <w:rsid w:val="00EE2D8A"/>
    <w:rsid w:val="00EE3350"/>
    <w:rsid w:val="00EE4D48"/>
    <w:rsid w:val="00EF3511"/>
    <w:rsid w:val="00EF3F0B"/>
    <w:rsid w:val="00EF5583"/>
    <w:rsid w:val="00F015A8"/>
    <w:rsid w:val="00F02132"/>
    <w:rsid w:val="00F0289D"/>
    <w:rsid w:val="00F02AEC"/>
    <w:rsid w:val="00F02EEE"/>
    <w:rsid w:val="00F07572"/>
    <w:rsid w:val="00F1294A"/>
    <w:rsid w:val="00F157FC"/>
    <w:rsid w:val="00F17794"/>
    <w:rsid w:val="00F17936"/>
    <w:rsid w:val="00F20E7D"/>
    <w:rsid w:val="00F30AF3"/>
    <w:rsid w:val="00F43CD1"/>
    <w:rsid w:val="00F45AE0"/>
    <w:rsid w:val="00F60CF2"/>
    <w:rsid w:val="00F657B4"/>
    <w:rsid w:val="00F6680E"/>
    <w:rsid w:val="00F703C4"/>
    <w:rsid w:val="00F7649F"/>
    <w:rsid w:val="00F8083B"/>
    <w:rsid w:val="00F82819"/>
    <w:rsid w:val="00F838A1"/>
    <w:rsid w:val="00F84831"/>
    <w:rsid w:val="00F865A7"/>
    <w:rsid w:val="00FA0754"/>
    <w:rsid w:val="00FA1BC9"/>
    <w:rsid w:val="00FA3407"/>
    <w:rsid w:val="00FA49C3"/>
    <w:rsid w:val="00FB236E"/>
    <w:rsid w:val="00FB3F7B"/>
    <w:rsid w:val="00FB4C2A"/>
    <w:rsid w:val="00FB5A65"/>
    <w:rsid w:val="00FC0C4F"/>
    <w:rsid w:val="00FC2107"/>
    <w:rsid w:val="00FC48FE"/>
    <w:rsid w:val="00FC6F56"/>
    <w:rsid w:val="00FE087C"/>
    <w:rsid w:val="00FE32A6"/>
    <w:rsid w:val="00FE79A0"/>
    <w:rsid w:val="00FF0939"/>
    <w:rsid w:val="00FF7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ind w:left="360"/>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customStyle="1" w:styleId="UnresolvedMention1">
    <w:name w:val="Unresolved Mention1"/>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A80244"/>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66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1457">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products/australian-register-therapeutic-goods-artg"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committee/advisory-committee-medicines-acm" TargetMode="Externa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hyperlink" Target="https://www.tga.gov.au/picmi-search-fac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tgas-risk-management-approach"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publication/risk-management-plans-medicines-and-biologicals" TargetMode="External"/><Relationship Id="rId28" Type="http://schemas.openxmlformats.org/officeDocument/2006/relationships/hyperlink" Target="https://www.tga.gov.au/products/australian-register-therapeutic-goods-artg/consumer-medicines-information-cmi"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products/australian-register-therapeutic-goods-art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5.emf"/><Relationship Id="rId27" Type="http://schemas.openxmlformats.org/officeDocument/2006/relationships/hyperlink" Target="https://www.tga.gov.au/products/australian-register-therapeutic-goods-artg/product-information-one" TargetMode="External"/><Relationship Id="rId30" Type="http://schemas.openxmlformats.org/officeDocument/2006/relationships/header" Target="header3.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sources/auspar" TargetMode="External"/><Relationship Id="rId2" Type="http://schemas.openxmlformats.org/officeDocument/2006/relationships/hyperlink" Target="https://www.tga.gov.au/sites/default/files/auspar-obinutuzumab-180502.pdf" TargetMode="External"/><Relationship Id="rId1" Type="http://schemas.openxmlformats.org/officeDocument/2006/relationships/hyperlink" Target="https://www.tga.gov.au/sites/default/files/auspar-obinutuzumab-140826.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D6E4-FBA7-4969-A0C4-4597150E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5778</Words>
  <Characters>32129</Characters>
  <Application>Microsoft Office Word</Application>
  <DocSecurity>0</DocSecurity>
  <Lines>1036</Lines>
  <Paragraphs>676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Gazyva</dc:title>
  <dc:subject>Prescription medicines</dc:subject>
  <dc:creator>Therapeutic Goods Administration</dc:creator>
  <cp:keywords/>
  <dc:description/>
  <cp:lastModifiedBy>LACK, Janet</cp:lastModifiedBy>
  <cp:revision>4</cp:revision>
  <dcterms:created xsi:type="dcterms:W3CDTF">2025-02-17T22:23:00Z</dcterms:created>
  <dcterms:modified xsi:type="dcterms:W3CDTF">2025-02-17T23:49:00Z</dcterms:modified>
</cp:coreProperties>
</file>