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ACD1" w14:textId="77777777" w:rsidR="00B85F84" w:rsidRPr="00013293" w:rsidRDefault="00B85F84" w:rsidP="00EB1206">
      <w:pPr>
        <w:jc w:val="center"/>
        <w:rPr>
          <w:b/>
          <w:color w:val="auto"/>
          <w:sz w:val="28"/>
          <w:szCs w:val="28"/>
        </w:rPr>
      </w:pPr>
      <w:r w:rsidRPr="00013293">
        <w:rPr>
          <w:b/>
          <w:color w:val="auto"/>
          <w:sz w:val="28"/>
          <w:szCs w:val="28"/>
        </w:rPr>
        <w:t>AUSTRALIAN PRODUCT INFORMATION</w:t>
      </w:r>
    </w:p>
    <w:p w14:paraId="4D1FBBD8" w14:textId="77777777" w:rsidR="00B85F84" w:rsidRPr="00013293" w:rsidRDefault="00B85F84" w:rsidP="00EB1206">
      <w:pPr>
        <w:jc w:val="center"/>
        <w:rPr>
          <w:color w:val="auto"/>
        </w:rPr>
      </w:pPr>
      <w:r w:rsidRPr="00013293">
        <w:rPr>
          <w:b/>
          <w:color w:val="auto"/>
          <w:sz w:val="28"/>
          <w:szCs w:val="28"/>
        </w:rPr>
        <w:t>Gazyva</w:t>
      </w:r>
      <w:r w:rsidRPr="00013293">
        <w:rPr>
          <w:b/>
          <w:color w:val="auto"/>
          <w:sz w:val="28"/>
          <w:szCs w:val="28"/>
          <w:vertAlign w:val="superscript"/>
        </w:rPr>
        <w:t>®</w:t>
      </w:r>
      <w:r w:rsidRPr="00013293">
        <w:rPr>
          <w:b/>
          <w:color w:val="auto"/>
          <w:sz w:val="28"/>
          <w:szCs w:val="28"/>
        </w:rPr>
        <w:t xml:space="preserve"> (obinutuzumab)</w:t>
      </w:r>
    </w:p>
    <w:p w14:paraId="342BE476" w14:textId="4AE9F5DC" w:rsidR="00B85F84" w:rsidRDefault="00B85F84" w:rsidP="00EB1206">
      <w:pPr>
        <w:pStyle w:val="Paragraph"/>
      </w:pPr>
    </w:p>
    <w:p w14:paraId="110BA44E" w14:textId="77777777" w:rsidR="00B85F84" w:rsidRPr="00A82B12" w:rsidRDefault="00B85F84" w:rsidP="00EB1206">
      <w:pPr>
        <w:pBdr>
          <w:top w:val="single" w:sz="4" w:space="1" w:color="auto"/>
          <w:left w:val="single" w:sz="4" w:space="4" w:color="auto"/>
          <w:bottom w:val="single" w:sz="4" w:space="1" w:color="auto"/>
          <w:right w:val="single" w:sz="4" w:space="4" w:color="auto"/>
          <w:between w:val="none" w:sz="0" w:space="0" w:color="auto"/>
        </w:pBdr>
        <w:spacing w:after="240"/>
        <w:rPr>
          <w:b/>
          <w:color w:val="auto"/>
        </w:rPr>
      </w:pPr>
      <w:r w:rsidRPr="00A82B12">
        <w:rPr>
          <w:b/>
          <w:color w:val="auto"/>
        </w:rPr>
        <w:t>WARNING</w:t>
      </w:r>
    </w:p>
    <w:p w14:paraId="06AB06CD" w14:textId="10DFCFB4" w:rsidR="00B85F84" w:rsidRPr="00A82B12" w:rsidRDefault="00B85F84" w:rsidP="00EB1206">
      <w:pPr>
        <w:pBdr>
          <w:top w:val="single" w:sz="4" w:space="1" w:color="auto"/>
          <w:left w:val="single" w:sz="4" w:space="4" w:color="auto"/>
          <w:bottom w:val="single" w:sz="4" w:space="1" w:color="auto"/>
          <w:right w:val="single" w:sz="4" w:space="4" w:color="auto"/>
          <w:between w:val="none" w:sz="0" w:space="0" w:color="auto"/>
        </w:pBdr>
        <w:spacing w:after="240"/>
        <w:rPr>
          <w:b/>
          <w:color w:val="auto"/>
        </w:rPr>
      </w:pPr>
      <w:r w:rsidRPr="00A82B12">
        <w:rPr>
          <w:b/>
          <w:color w:val="auto"/>
        </w:rPr>
        <w:t>Progressive Multifocal Leu</w:t>
      </w:r>
      <w:r w:rsidR="00534254">
        <w:rPr>
          <w:b/>
          <w:color w:val="auto"/>
        </w:rPr>
        <w:t>k</w:t>
      </w:r>
      <w:r w:rsidRPr="00A82B12">
        <w:rPr>
          <w:b/>
          <w:color w:val="auto"/>
        </w:rPr>
        <w:t>oencephalopathy</w:t>
      </w:r>
    </w:p>
    <w:p w14:paraId="0C89CCC5" w14:textId="13615A6C" w:rsidR="00B85F84" w:rsidRPr="00B85F84" w:rsidRDefault="00B85F84" w:rsidP="00EB1206">
      <w:pPr>
        <w:pBdr>
          <w:top w:val="single" w:sz="4" w:space="1" w:color="auto"/>
          <w:left w:val="single" w:sz="4" w:space="4" w:color="auto"/>
          <w:bottom w:val="single" w:sz="4" w:space="1" w:color="auto"/>
          <w:right w:val="single" w:sz="4" w:space="4" w:color="auto"/>
          <w:between w:val="none" w:sz="0" w:space="0" w:color="auto"/>
        </w:pBdr>
        <w:spacing w:after="240"/>
        <w:rPr>
          <w:b/>
          <w:color w:val="auto"/>
        </w:rPr>
      </w:pPr>
      <w:r w:rsidRPr="00A82B12">
        <w:rPr>
          <w:b/>
          <w:color w:val="auto"/>
        </w:rPr>
        <w:t xml:space="preserve">Progressive Multifocal Leukoencephalopathy (PML) including fatal PML can occur in patients receiving Gazyva. Patients must be monitored for any new or worsening neurological symptoms or signs suggestive of PML. If such symptoms occur, further administration of Gazyva should be immediately suspended until a diagnosis of PML has been excluded. If a diagnosis of PML is confirmed Gazyva must be permanently discontinued (see </w:t>
      </w:r>
      <w:r>
        <w:rPr>
          <w:b/>
          <w:color w:val="auto"/>
        </w:rPr>
        <w:t>section 4.4 Special warnings and precautions</w:t>
      </w:r>
      <w:r w:rsidRPr="00A82B12">
        <w:rPr>
          <w:b/>
          <w:color w:val="auto"/>
        </w:rPr>
        <w:t>).</w:t>
      </w:r>
    </w:p>
    <w:p w14:paraId="2141E86E" w14:textId="77777777" w:rsidR="00B85F84" w:rsidRPr="00B85F84" w:rsidRDefault="00B85F84" w:rsidP="00EB1206"/>
    <w:p w14:paraId="62353CF8" w14:textId="204FE5B4" w:rsidR="00D52399" w:rsidRPr="00013293" w:rsidRDefault="006C73C2" w:rsidP="00EB1206">
      <w:pPr>
        <w:pStyle w:val="Heading1"/>
        <w:numPr>
          <w:ilvl w:val="0"/>
          <w:numId w:val="3"/>
        </w:numPr>
        <w:spacing w:before="0"/>
        <w:rPr>
          <w:color w:val="auto"/>
        </w:rPr>
      </w:pPr>
      <w:r w:rsidRPr="00013293">
        <w:rPr>
          <w:color w:val="auto"/>
        </w:rPr>
        <w:t>NAME OF THE MEDICINE</w:t>
      </w:r>
    </w:p>
    <w:p w14:paraId="2F70E06B" w14:textId="77777777" w:rsidR="00D52399" w:rsidRPr="00013293" w:rsidRDefault="00B006E2" w:rsidP="00EB1206">
      <w:pPr>
        <w:spacing w:after="240"/>
        <w:rPr>
          <w:color w:val="auto"/>
        </w:rPr>
      </w:pPr>
      <w:r w:rsidRPr="00013293">
        <w:rPr>
          <w:color w:val="auto"/>
        </w:rPr>
        <w:t>Obinutuzumab</w:t>
      </w:r>
    </w:p>
    <w:p w14:paraId="185E390C" w14:textId="77777777" w:rsidR="00D52399" w:rsidRDefault="00615052" w:rsidP="00EB1206">
      <w:pPr>
        <w:pStyle w:val="Heading1"/>
        <w:numPr>
          <w:ilvl w:val="0"/>
          <w:numId w:val="3"/>
        </w:numPr>
        <w:spacing w:before="0"/>
      </w:pPr>
      <w:r>
        <w:t>QUALITATIVE AND QUANTITATIVE COMPOSITION</w:t>
      </w:r>
    </w:p>
    <w:p w14:paraId="71BF4278" w14:textId="6A43DF32" w:rsidR="00D52399" w:rsidRPr="00013293" w:rsidRDefault="00C514E0" w:rsidP="00EB1206">
      <w:pPr>
        <w:rPr>
          <w:color w:val="auto"/>
          <w:sz w:val="22"/>
          <w:szCs w:val="22"/>
        </w:rPr>
      </w:pPr>
      <w:r w:rsidRPr="00C514E0">
        <w:rPr>
          <w:color w:val="auto"/>
          <w:sz w:val="22"/>
          <w:szCs w:val="22"/>
        </w:rPr>
        <w:t>One vial of 40 mL concentrate contains 1000 mg obinutuzumab, corresponding to a concentration before dilution of 25 mg/</w:t>
      </w:r>
      <w:proofErr w:type="spellStart"/>
      <w:r w:rsidRPr="00C514E0">
        <w:rPr>
          <w:color w:val="auto"/>
          <w:sz w:val="22"/>
          <w:szCs w:val="22"/>
        </w:rPr>
        <w:t>mL.</w:t>
      </w:r>
      <w:proofErr w:type="spellEnd"/>
      <w:r w:rsidRPr="00C514E0">
        <w:rPr>
          <w:color w:val="auto"/>
          <w:sz w:val="22"/>
          <w:szCs w:val="22"/>
        </w:rPr>
        <w:t xml:space="preserve"> </w:t>
      </w:r>
    </w:p>
    <w:p w14:paraId="5165EFE0" w14:textId="77777777" w:rsidR="00D52399" w:rsidRDefault="00615052" w:rsidP="00EB1206">
      <w:pPr>
        <w:spacing w:before="240" w:after="240"/>
        <w:rPr>
          <w:u w:val="single"/>
        </w:rPr>
      </w:pPr>
      <w:bookmarkStart w:id="0" w:name="_gjdgxs" w:colFirst="0" w:colLast="0"/>
      <w:bookmarkEnd w:id="0"/>
      <w:r>
        <w:t>For the full list of excipients, see section 6.1</w:t>
      </w:r>
      <w:r w:rsidR="001C2730">
        <w:t xml:space="preserve"> List of Excipients</w:t>
      </w:r>
      <w:r>
        <w:t>.</w:t>
      </w:r>
    </w:p>
    <w:p w14:paraId="4EB04EFF" w14:textId="77777777" w:rsidR="00D52399" w:rsidRDefault="00615052" w:rsidP="00EB1206">
      <w:pPr>
        <w:pStyle w:val="Heading1"/>
        <w:numPr>
          <w:ilvl w:val="0"/>
          <w:numId w:val="3"/>
        </w:numPr>
        <w:spacing w:before="0"/>
      </w:pPr>
      <w:r>
        <w:t>PHARMACEUTICAL FORM</w:t>
      </w:r>
    </w:p>
    <w:p w14:paraId="5CD378AF" w14:textId="77777777" w:rsidR="00C514E0" w:rsidRDefault="00C514E0" w:rsidP="00EB1206">
      <w:pPr>
        <w:spacing w:after="240"/>
      </w:pPr>
      <w:r>
        <w:t>Concentrate for solution for infusion</w:t>
      </w:r>
    </w:p>
    <w:p w14:paraId="37C9A891" w14:textId="77777777" w:rsidR="00A82B12" w:rsidRPr="00A82B12" w:rsidRDefault="00C514E0" w:rsidP="00EB1206">
      <w:pPr>
        <w:spacing w:after="240"/>
      </w:pPr>
      <w:r>
        <w:t>C</w:t>
      </w:r>
      <w:r w:rsidR="00A82B12" w:rsidRPr="00A82B12">
        <w:t xml:space="preserve">lear, </w:t>
      </w:r>
      <w:r w:rsidR="00D41F48">
        <w:t>colourless to slightly brownish</w:t>
      </w:r>
    </w:p>
    <w:p w14:paraId="4E549818" w14:textId="77777777" w:rsidR="00D52399" w:rsidRDefault="00615052" w:rsidP="00EB1206">
      <w:pPr>
        <w:pStyle w:val="Heading1"/>
        <w:numPr>
          <w:ilvl w:val="0"/>
          <w:numId w:val="3"/>
        </w:numPr>
        <w:spacing w:before="0"/>
      </w:pPr>
      <w:r>
        <w:t>CLINICAL PARTICULARS</w:t>
      </w:r>
    </w:p>
    <w:p w14:paraId="1E5BAD42" w14:textId="77777777" w:rsidR="00D52399" w:rsidRDefault="00902EBE" w:rsidP="00EB1206">
      <w:pPr>
        <w:pStyle w:val="Heading2"/>
        <w:numPr>
          <w:ilvl w:val="1"/>
          <w:numId w:val="2"/>
        </w:numPr>
        <w:ind w:hanging="720"/>
      </w:pPr>
      <w:r>
        <w:t>THERAPEUTIC INDICATIONS</w:t>
      </w:r>
    </w:p>
    <w:p w14:paraId="3E127CF7" w14:textId="77777777" w:rsidR="001A3849" w:rsidRDefault="001A3849" w:rsidP="00EB1206">
      <w:pPr>
        <w:pStyle w:val="Heading3"/>
      </w:pPr>
      <w:r>
        <w:t>Chronic Lymphocytic Leukaemia</w:t>
      </w:r>
    </w:p>
    <w:p w14:paraId="6650EE37" w14:textId="77777777" w:rsidR="001A3849" w:rsidRDefault="001A3849" w:rsidP="00EB1206">
      <w:r>
        <w:t>Gazyva in combination with chlorambucil is indicated for the treatment of patients with previously untreated chronic lymphocytic leukaemia (CLL).</w:t>
      </w:r>
    </w:p>
    <w:p w14:paraId="49CF8FB1" w14:textId="77777777" w:rsidR="001A3849" w:rsidRDefault="001A3849" w:rsidP="00EB1206">
      <w:pPr>
        <w:pStyle w:val="Heading3"/>
      </w:pPr>
      <w:r>
        <w:t>Follicular Lymphoma</w:t>
      </w:r>
    </w:p>
    <w:p w14:paraId="3AC85FBA" w14:textId="77777777" w:rsidR="001A3849" w:rsidRDefault="001A3849" w:rsidP="00EB1206">
      <w:pPr>
        <w:spacing w:after="240"/>
      </w:pPr>
      <w:r>
        <w:t>Gazyva in combination with chemotherapy followed by Gazyva maintenance is indicated for the treatment of patients with previously untreated advanced follicular lymphoma.</w:t>
      </w:r>
    </w:p>
    <w:p w14:paraId="340D4806" w14:textId="6A578261" w:rsidR="001A3849" w:rsidRDefault="001A3849" w:rsidP="00EB1206">
      <w:pPr>
        <w:spacing w:after="240"/>
      </w:pPr>
      <w:r>
        <w:t xml:space="preserve">Gazyva in combination with </w:t>
      </w:r>
      <w:proofErr w:type="spellStart"/>
      <w:r>
        <w:t>bendamustine</w:t>
      </w:r>
      <w:proofErr w:type="spellEnd"/>
      <w:r>
        <w:t>, followed by Gazyva maintenance, is indicated for the treatment of patients with follicular lymphoma (FL) who did not respond to, or who progressed during or up to 6 months after treatment with rituximab or a rituximab-containing regimen.</w:t>
      </w:r>
    </w:p>
    <w:p w14:paraId="3A31B7C1" w14:textId="3ED57E98" w:rsidR="005403FA" w:rsidRDefault="005403FA" w:rsidP="00EB1206">
      <w:pPr>
        <w:rPr>
          <w:b/>
        </w:rPr>
      </w:pPr>
      <w:r w:rsidRPr="005403FA">
        <w:rPr>
          <w:b/>
        </w:rPr>
        <w:t>Pre</w:t>
      </w:r>
      <w:r w:rsidR="00097801">
        <w:rPr>
          <w:b/>
        </w:rPr>
        <w:t>-</w:t>
      </w:r>
      <w:r w:rsidRPr="005403FA">
        <w:rPr>
          <w:b/>
        </w:rPr>
        <w:t>treatment to reduce the risk of Cytokine Release Syndrome (CRS) induced by glofitamab</w:t>
      </w:r>
    </w:p>
    <w:p w14:paraId="761D123F" w14:textId="6A402D51" w:rsidR="005403FA" w:rsidRPr="005403FA" w:rsidRDefault="005403FA" w:rsidP="00EB1206">
      <w:r w:rsidRPr="005403FA">
        <w:t>G</w:t>
      </w:r>
      <w:r>
        <w:t>azyva</w:t>
      </w:r>
      <w:r w:rsidRPr="005403FA">
        <w:t xml:space="preserve"> </w:t>
      </w:r>
      <w:r w:rsidR="006F3A51">
        <w:t xml:space="preserve">is indicated </w:t>
      </w:r>
      <w:r w:rsidRPr="005403FA">
        <w:t>as a pre</w:t>
      </w:r>
      <w:r w:rsidR="00097801">
        <w:t>-</w:t>
      </w:r>
      <w:r w:rsidRPr="005403FA">
        <w:t>treatment to reduce the risk of cytokine release syndrome (CRS) induced by glofitamab</w:t>
      </w:r>
      <w:r>
        <w:t>.</w:t>
      </w:r>
    </w:p>
    <w:p w14:paraId="7C90E5C4" w14:textId="77777777" w:rsidR="00D52399" w:rsidRDefault="00902EBE" w:rsidP="00EB1206">
      <w:pPr>
        <w:pStyle w:val="Heading2"/>
        <w:numPr>
          <w:ilvl w:val="1"/>
          <w:numId w:val="2"/>
        </w:numPr>
        <w:ind w:left="0" w:firstLine="0"/>
      </w:pPr>
      <w:r>
        <w:lastRenderedPageBreak/>
        <w:t>DOSE AND METHOD OF ADMINISTRATION</w:t>
      </w:r>
    </w:p>
    <w:p w14:paraId="5DCB9D5E" w14:textId="77777777" w:rsidR="00D52399" w:rsidRDefault="00615052" w:rsidP="00EB1206">
      <w:pPr>
        <w:pStyle w:val="Heading3"/>
        <w:spacing w:before="0"/>
      </w:pPr>
      <w:r>
        <w:t>Dose</w:t>
      </w:r>
    </w:p>
    <w:p w14:paraId="67610114" w14:textId="77777777" w:rsidR="00F97FEA" w:rsidRDefault="00F97FEA" w:rsidP="00EB1206">
      <w:r w:rsidRPr="00C86661">
        <w:t>Substitution by any other biological medicinal product requires</w:t>
      </w:r>
      <w:r>
        <w:t xml:space="preserve"> the consent of the prescribing</w:t>
      </w:r>
    </w:p>
    <w:p w14:paraId="0F73459E" w14:textId="77777777" w:rsidR="00F97FEA" w:rsidRPr="00C86661" w:rsidRDefault="00F97FEA" w:rsidP="00EB1206">
      <w:pPr>
        <w:spacing w:after="170" w:line="280" w:lineRule="exact"/>
      </w:pPr>
      <w:r w:rsidRPr="00C86661">
        <w:t>physician.</w:t>
      </w:r>
    </w:p>
    <w:p w14:paraId="544280B6" w14:textId="77777777" w:rsidR="00F97FEA" w:rsidRPr="001669F8" w:rsidRDefault="00F97FEA" w:rsidP="00EB1206">
      <w:pPr>
        <w:pStyle w:val="Heading4"/>
        <w:rPr>
          <w:lang w:bidi="he-IL"/>
        </w:rPr>
      </w:pPr>
      <w:r w:rsidRPr="001669F8">
        <w:rPr>
          <w:lang w:bidi="he-IL"/>
        </w:rPr>
        <w:t>General</w:t>
      </w:r>
    </w:p>
    <w:p w14:paraId="16509671" w14:textId="77777777" w:rsidR="00F97FEA" w:rsidRPr="00885743" w:rsidRDefault="00F97FEA" w:rsidP="00EB1206">
      <w:pPr>
        <w:spacing w:after="170" w:line="280" w:lineRule="exact"/>
      </w:pPr>
      <w:r>
        <w:rPr>
          <w:lang w:val="en-US"/>
        </w:rPr>
        <w:t>Gazyva</w:t>
      </w:r>
      <w:r>
        <w:t xml:space="preserve"> should be administered as an intravenous infusion through a dedicated line in an environment where full resuscitation facilities are immediately available and under the close supervision of an experienced physician. </w:t>
      </w:r>
      <w:r>
        <w:rPr>
          <w:lang w:val="en-US"/>
        </w:rPr>
        <w:t>Gazyva</w:t>
      </w:r>
      <w:r>
        <w:t xml:space="preserve"> infusions should not be administered as an intravenous push or bolus. Isotonic 0.9% sodium chloride solution should be used as the infusion vehicle (see </w:t>
      </w:r>
      <w:r w:rsidR="001C2730">
        <w:t xml:space="preserve">section </w:t>
      </w:r>
      <w:r w:rsidR="00E40575">
        <w:t>6.6 Special precautions for disposal</w:t>
      </w:r>
      <w:r>
        <w:t>).</w:t>
      </w:r>
    </w:p>
    <w:p w14:paraId="2CA83C1A" w14:textId="77777777" w:rsidR="00F97FEA" w:rsidRDefault="00F97FEA" w:rsidP="00EB1206">
      <w:pPr>
        <w:pStyle w:val="Heading4"/>
        <w:rPr>
          <w:lang w:eastAsia="ko-KR" w:bidi="he-IL"/>
        </w:rPr>
      </w:pPr>
      <w:r w:rsidRPr="000A0780">
        <w:rPr>
          <w:lang w:eastAsia="ko-KR" w:bidi="he-IL"/>
        </w:rPr>
        <w:t xml:space="preserve">Prophylaxis </w:t>
      </w:r>
      <w:r>
        <w:rPr>
          <w:lang w:eastAsia="ko-KR" w:bidi="he-IL"/>
        </w:rPr>
        <w:t xml:space="preserve">and Premedication </w:t>
      </w:r>
      <w:r w:rsidRPr="000A0780">
        <w:rPr>
          <w:lang w:eastAsia="ko-KR" w:bidi="he-IL"/>
        </w:rPr>
        <w:t>for Tumour Lysis Syndrome (TLS)</w:t>
      </w:r>
    </w:p>
    <w:p w14:paraId="4D167D1F" w14:textId="77777777" w:rsidR="00F97FEA" w:rsidRPr="00C87369" w:rsidRDefault="00F97FEA" w:rsidP="00EB1206">
      <w:pPr>
        <w:pStyle w:val="TextTi12"/>
        <w:spacing w:line="280" w:lineRule="exact"/>
        <w:jc w:val="left"/>
        <w:rPr>
          <w:rFonts w:cs="Arial"/>
          <w:color w:val="000000"/>
          <w:lang w:eastAsia="ko-KR" w:bidi="he-IL"/>
        </w:rPr>
      </w:pPr>
      <w:r>
        <w:rPr>
          <w:rFonts w:cs="Arial"/>
          <w:color w:val="000000"/>
          <w:lang w:eastAsia="ko-KR" w:bidi="he-IL"/>
        </w:rPr>
        <w:t xml:space="preserve">Patients with a high </w:t>
      </w:r>
      <w:proofErr w:type="spellStart"/>
      <w:r>
        <w:rPr>
          <w:rFonts w:cs="Arial"/>
          <w:color w:val="000000"/>
          <w:lang w:eastAsia="ko-KR" w:bidi="he-IL"/>
        </w:rPr>
        <w:t>tumour</w:t>
      </w:r>
      <w:proofErr w:type="spellEnd"/>
      <w:r>
        <w:rPr>
          <w:rFonts w:cs="Arial"/>
          <w:color w:val="000000"/>
          <w:lang w:eastAsia="ko-KR" w:bidi="he-IL"/>
        </w:rPr>
        <w:t xml:space="preserve"> burden and/or a high circulating lymphocyte count (&gt; </w:t>
      </w:r>
      <w:r w:rsidRPr="004F0B56">
        <w:rPr>
          <w:rFonts w:cs="Arial"/>
          <w:color w:val="000000"/>
          <w:lang w:eastAsia="ko-KR" w:bidi="he-IL"/>
        </w:rPr>
        <w:t>25 x 10</w:t>
      </w:r>
      <w:r w:rsidRPr="004F0B56">
        <w:rPr>
          <w:rFonts w:cs="Arial"/>
          <w:color w:val="000000"/>
          <w:vertAlign w:val="superscript"/>
          <w:lang w:eastAsia="ko-KR" w:bidi="he-IL"/>
        </w:rPr>
        <w:t>9</w:t>
      </w:r>
      <w:r w:rsidRPr="004F0B56">
        <w:rPr>
          <w:rFonts w:cs="Arial"/>
          <w:color w:val="000000"/>
          <w:lang w:eastAsia="ko-KR" w:bidi="he-IL"/>
        </w:rPr>
        <w:t>/L</w:t>
      </w:r>
      <w:r>
        <w:rPr>
          <w:rFonts w:cs="Arial"/>
          <w:color w:val="000000"/>
          <w:lang w:eastAsia="ko-KR" w:bidi="he-IL"/>
        </w:rPr>
        <w:t>) and/or renal impairment (</w:t>
      </w:r>
      <w:proofErr w:type="spellStart"/>
      <w:r w:rsidRPr="008F60E6">
        <w:rPr>
          <w:rFonts w:cs="Arial"/>
          <w:color w:val="000000"/>
          <w:lang w:eastAsia="ko-KR" w:bidi="he-IL"/>
        </w:rPr>
        <w:t>CrCl</w:t>
      </w:r>
      <w:proofErr w:type="spellEnd"/>
      <w:r>
        <w:rPr>
          <w:rFonts w:cs="Arial"/>
          <w:color w:val="000000"/>
          <w:lang w:eastAsia="ko-KR" w:bidi="he-IL"/>
        </w:rPr>
        <w:t xml:space="preserve"> &lt; 70 mL/min) are considered at risk of TLS and should receive prophylaxis. </w:t>
      </w:r>
      <w:r w:rsidRPr="004F0B56">
        <w:rPr>
          <w:rFonts w:cs="Arial"/>
          <w:color w:val="000000"/>
          <w:lang w:eastAsia="ko-KR" w:bidi="he-IL"/>
        </w:rPr>
        <w:t xml:space="preserve">Prophylaxis </w:t>
      </w:r>
      <w:r>
        <w:rPr>
          <w:rFonts w:cs="Arial"/>
          <w:color w:val="000000"/>
          <w:lang w:eastAsia="ko-KR" w:bidi="he-IL"/>
        </w:rPr>
        <w:t>should consist of</w:t>
      </w:r>
      <w:r w:rsidRPr="004F0B56">
        <w:rPr>
          <w:rFonts w:cs="Arial"/>
          <w:color w:val="000000"/>
          <w:lang w:eastAsia="ko-KR" w:bidi="he-IL"/>
        </w:rPr>
        <w:t xml:space="preserve"> adequate hydration and</w:t>
      </w:r>
      <w:r>
        <w:rPr>
          <w:rFonts w:cs="Arial"/>
          <w:color w:val="000000"/>
          <w:lang w:eastAsia="ko-KR" w:bidi="he-IL"/>
        </w:rPr>
        <w:t xml:space="preserve"> administration of </w:t>
      </w:r>
      <w:proofErr w:type="spellStart"/>
      <w:r>
        <w:rPr>
          <w:rFonts w:cs="Arial"/>
          <w:color w:val="000000"/>
          <w:lang w:eastAsia="ko-KR" w:bidi="he-IL"/>
        </w:rPr>
        <w:t>uricostatics</w:t>
      </w:r>
      <w:proofErr w:type="spellEnd"/>
      <w:r>
        <w:rPr>
          <w:rFonts w:cs="Arial"/>
          <w:color w:val="000000"/>
          <w:lang w:eastAsia="ko-KR" w:bidi="he-IL"/>
        </w:rPr>
        <w:t xml:space="preserve"> (e.g. allopurinol), or a suitable alternative such as a urate oxidase (e.g. </w:t>
      </w:r>
      <w:proofErr w:type="spellStart"/>
      <w:r>
        <w:rPr>
          <w:rFonts w:cs="Arial"/>
          <w:color w:val="000000"/>
          <w:lang w:eastAsia="ko-KR" w:bidi="he-IL"/>
        </w:rPr>
        <w:t>rasburicase</w:t>
      </w:r>
      <w:proofErr w:type="spellEnd"/>
      <w:r>
        <w:rPr>
          <w:rFonts w:cs="Arial"/>
          <w:color w:val="000000"/>
          <w:lang w:eastAsia="ko-KR" w:bidi="he-IL"/>
        </w:rPr>
        <w:t xml:space="preserve">), </w:t>
      </w:r>
      <w:r w:rsidRPr="004F0B56">
        <w:rPr>
          <w:rFonts w:cs="Arial"/>
          <w:color w:val="000000"/>
          <w:lang w:eastAsia="ko-KR" w:bidi="he-IL"/>
        </w:rPr>
        <w:t>prior to star</w:t>
      </w:r>
      <w:r>
        <w:rPr>
          <w:rFonts w:cs="Arial"/>
          <w:color w:val="000000"/>
          <w:lang w:eastAsia="ko-KR" w:bidi="he-IL"/>
        </w:rPr>
        <w:t xml:space="preserve">t of </w:t>
      </w:r>
      <w:r>
        <w:t>Gazyva</w:t>
      </w:r>
      <w:r>
        <w:rPr>
          <w:rFonts w:cs="Arial"/>
          <w:color w:val="000000"/>
          <w:lang w:eastAsia="ko-KR" w:bidi="he-IL"/>
        </w:rPr>
        <w:t xml:space="preserve"> infusion as per standard practice (see</w:t>
      </w:r>
      <w:r w:rsidR="001C2730">
        <w:rPr>
          <w:rFonts w:cs="Arial"/>
          <w:color w:val="000000"/>
          <w:lang w:eastAsia="ko-KR" w:bidi="he-IL"/>
        </w:rPr>
        <w:t xml:space="preserve"> section 4.4 Special warnings and precautions for use</w:t>
      </w:r>
      <w:r>
        <w:rPr>
          <w:rFonts w:cs="Arial"/>
          <w:color w:val="000000"/>
          <w:lang w:eastAsia="ko-KR" w:bidi="he-IL"/>
        </w:rPr>
        <w:t xml:space="preserve">). Patients should continue to receive repeated prophylaxis prior to each subsequent infusion, if deemed appropriate. </w:t>
      </w:r>
    </w:p>
    <w:p w14:paraId="72CAF9A2" w14:textId="77777777" w:rsidR="00F97FEA" w:rsidRDefault="00F97FEA" w:rsidP="00EB1206">
      <w:pPr>
        <w:pStyle w:val="Heading4"/>
        <w:rPr>
          <w:lang w:eastAsia="ko-KR" w:bidi="he-IL"/>
        </w:rPr>
      </w:pPr>
      <w:r>
        <w:rPr>
          <w:lang w:eastAsia="ko-KR" w:bidi="he-IL"/>
        </w:rPr>
        <w:t xml:space="preserve">Prophylaxis and </w:t>
      </w:r>
      <w:r w:rsidRPr="000A0780">
        <w:rPr>
          <w:lang w:eastAsia="ko-KR" w:bidi="he-IL"/>
        </w:rPr>
        <w:t>Premedication for Infusion Related Reactions (IRR)</w:t>
      </w:r>
    </w:p>
    <w:p w14:paraId="6FD7A0DA" w14:textId="43B1E1F0" w:rsidR="00F97FEA" w:rsidRDefault="00F97FEA" w:rsidP="00EB1206">
      <w:pPr>
        <w:pStyle w:val="TextTi12"/>
        <w:spacing w:line="280" w:lineRule="exact"/>
        <w:jc w:val="left"/>
        <w:rPr>
          <w:rFonts w:cs="Arial"/>
          <w:color w:val="000000"/>
          <w:lang w:eastAsia="ko-KR" w:bidi="he-IL"/>
        </w:rPr>
      </w:pPr>
      <w:r w:rsidRPr="00E312BE">
        <w:rPr>
          <w:rFonts w:cs="Arial"/>
          <w:color w:val="000000"/>
          <w:lang w:eastAsia="ko-KR" w:bidi="he-IL"/>
        </w:rPr>
        <w:t xml:space="preserve">Premedication to reduce the risk of </w:t>
      </w:r>
      <w:r>
        <w:rPr>
          <w:rFonts w:cs="Arial"/>
          <w:color w:val="000000"/>
          <w:lang w:eastAsia="ko-KR" w:bidi="he-IL"/>
        </w:rPr>
        <w:t>IRR</w:t>
      </w:r>
      <w:r w:rsidRPr="00E312BE">
        <w:rPr>
          <w:rFonts w:cs="Arial"/>
          <w:color w:val="000000"/>
          <w:lang w:eastAsia="ko-KR" w:bidi="he-IL"/>
        </w:rPr>
        <w:t>s (see</w:t>
      </w:r>
      <w:r w:rsidR="001C2730">
        <w:rPr>
          <w:rFonts w:cs="Arial"/>
          <w:color w:val="000000"/>
          <w:lang w:eastAsia="ko-KR" w:bidi="he-IL"/>
        </w:rPr>
        <w:t xml:space="preserve"> section 4.4 Special warnings and precautions for use</w:t>
      </w:r>
      <w:r>
        <w:rPr>
          <w:rFonts w:cs="Arial"/>
          <w:color w:val="000000"/>
          <w:lang w:eastAsia="ko-KR" w:bidi="he-IL"/>
        </w:rPr>
        <w:t xml:space="preserve">) is outlined in Table </w:t>
      </w:r>
      <w:r w:rsidR="001C2730">
        <w:rPr>
          <w:rFonts w:cs="Arial"/>
          <w:color w:val="000000"/>
          <w:lang w:eastAsia="ko-KR" w:bidi="he-IL"/>
        </w:rPr>
        <w:t>1</w:t>
      </w:r>
      <w:r w:rsidRPr="00E312BE">
        <w:rPr>
          <w:rFonts w:cs="Arial"/>
          <w:color w:val="000000"/>
          <w:lang w:eastAsia="ko-KR" w:bidi="he-IL"/>
        </w:rPr>
        <w:t xml:space="preserve">. Corticosteroid premedication is recommended </w:t>
      </w:r>
      <w:r w:rsidRPr="00E8637D">
        <w:rPr>
          <w:rFonts w:cs="Arial"/>
          <w:color w:val="000000"/>
          <w:lang w:eastAsia="ko-KR" w:bidi="he-IL"/>
        </w:rPr>
        <w:t>for FL patients and mandatory for CLL patients for the first infusion</w:t>
      </w:r>
      <w:r w:rsidR="005403FA">
        <w:rPr>
          <w:rFonts w:cs="Arial"/>
          <w:color w:val="000000"/>
          <w:lang w:eastAsia="ko-KR" w:bidi="he-IL"/>
        </w:rPr>
        <w:t xml:space="preserve"> </w:t>
      </w:r>
      <w:r w:rsidR="005403FA" w:rsidRPr="005403FA">
        <w:rPr>
          <w:rFonts w:cs="Arial"/>
          <w:color w:val="000000"/>
          <w:lang w:eastAsia="ko-KR" w:bidi="he-IL"/>
        </w:rPr>
        <w:t>and patients receiving G</w:t>
      </w:r>
      <w:r w:rsidR="00A35457">
        <w:rPr>
          <w:rFonts w:cs="Arial"/>
          <w:color w:val="000000"/>
          <w:lang w:eastAsia="ko-KR" w:bidi="he-IL"/>
        </w:rPr>
        <w:t>azyva</w:t>
      </w:r>
      <w:r w:rsidR="005403FA" w:rsidRPr="005403FA">
        <w:rPr>
          <w:rFonts w:cs="Arial"/>
          <w:color w:val="000000"/>
          <w:lang w:eastAsia="ko-KR" w:bidi="he-IL"/>
        </w:rPr>
        <w:t xml:space="preserve"> as a pre</w:t>
      </w:r>
      <w:r w:rsidR="00F63209">
        <w:rPr>
          <w:rFonts w:cs="Arial"/>
          <w:color w:val="000000"/>
          <w:lang w:eastAsia="ko-KR" w:bidi="he-IL"/>
        </w:rPr>
        <w:t>-</w:t>
      </w:r>
      <w:r w:rsidR="005403FA" w:rsidRPr="005403FA">
        <w:rPr>
          <w:rFonts w:cs="Arial"/>
          <w:color w:val="000000"/>
          <w:lang w:eastAsia="ko-KR" w:bidi="he-IL"/>
        </w:rPr>
        <w:t>treatment</w:t>
      </w:r>
      <w:r w:rsidRPr="00E8637D">
        <w:rPr>
          <w:rFonts w:cs="Arial"/>
          <w:color w:val="000000"/>
          <w:lang w:eastAsia="ko-KR" w:bidi="he-IL"/>
        </w:rPr>
        <w:t xml:space="preserve">. Premedication for subsequent infusions and other premedication should be administered as described below. Patients with a high </w:t>
      </w:r>
      <w:proofErr w:type="spellStart"/>
      <w:r w:rsidRPr="00E8637D">
        <w:rPr>
          <w:rFonts w:cs="Arial"/>
          <w:color w:val="000000"/>
          <w:lang w:eastAsia="ko-KR" w:bidi="he-IL"/>
        </w:rPr>
        <w:t>tumour</w:t>
      </w:r>
      <w:proofErr w:type="spellEnd"/>
      <w:r w:rsidRPr="00E8637D">
        <w:rPr>
          <w:rFonts w:cs="Arial"/>
          <w:color w:val="000000"/>
          <w:lang w:eastAsia="ko-KR" w:bidi="he-IL"/>
        </w:rPr>
        <w:t xml:space="preserve"> burden and/or (i.e. high peripheral circulating lymphocyte count in CLL (&gt; 25 x 10</w:t>
      </w:r>
      <w:r w:rsidRPr="00E8637D">
        <w:rPr>
          <w:rFonts w:cs="Arial"/>
          <w:color w:val="000000"/>
          <w:vertAlign w:val="superscript"/>
          <w:lang w:eastAsia="ko-KR" w:bidi="he-IL"/>
        </w:rPr>
        <w:t>9</w:t>
      </w:r>
      <w:r w:rsidRPr="00E8637D">
        <w:rPr>
          <w:rFonts w:cs="Arial"/>
          <w:color w:val="000000"/>
          <w:lang w:eastAsia="ko-KR" w:bidi="he-IL"/>
        </w:rPr>
        <w:t>/L)) may be at increased risk of severe IRR.</w:t>
      </w:r>
    </w:p>
    <w:p w14:paraId="3E42C5B4" w14:textId="77777777" w:rsidR="00F97FEA" w:rsidRDefault="00F97FEA" w:rsidP="00EB1206">
      <w:pPr>
        <w:pStyle w:val="TextTi12"/>
        <w:spacing w:line="280" w:lineRule="exact"/>
        <w:jc w:val="left"/>
        <w:rPr>
          <w:rFonts w:cs="Arial"/>
          <w:b/>
          <w:i/>
          <w:color w:val="000000"/>
          <w:lang w:eastAsia="ko-KR" w:bidi="he-IL"/>
        </w:rPr>
      </w:pPr>
      <w:r>
        <w:rPr>
          <w:rFonts w:cs="Arial"/>
          <w:color w:val="000000"/>
          <w:lang w:eastAsia="ko-KR" w:bidi="he-IL"/>
        </w:rPr>
        <w:t xml:space="preserve">Hypotension as a symptom of IRR may occur during </w:t>
      </w:r>
      <w:r>
        <w:t>Gazyva</w:t>
      </w:r>
      <w:r>
        <w:rPr>
          <w:rFonts w:cs="Arial"/>
          <w:color w:val="000000"/>
          <w:lang w:eastAsia="ko-KR" w:bidi="he-IL"/>
        </w:rPr>
        <w:t xml:space="preserve"> intravenous infusions. Consider withholding antihypertensive treatments for 12 hours prior to and throughout each infusion, and for the first hour after administration (</w:t>
      </w:r>
      <w:r w:rsidR="001C2730" w:rsidRPr="00E312BE">
        <w:rPr>
          <w:rFonts w:cs="Arial"/>
          <w:color w:val="000000"/>
          <w:lang w:eastAsia="ko-KR" w:bidi="he-IL"/>
        </w:rPr>
        <w:t>see</w:t>
      </w:r>
      <w:r w:rsidR="001C2730">
        <w:rPr>
          <w:rFonts w:cs="Arial"/>
          <w:color w:val="000000"/>
          <w:lang w:eastAsia="ko-KR" w:bidi="he-IL"/>
        </w:rPr>
        <w:t xml:space="preserve"> section 4.4 Special warnings and precautions for use)</w:t>
      </w:r>
      <w:r>
        <w:rPr>
          <w:rFonts w:cs="Arial"/>
          <w:color w:val="000000"/>
          <w:lang w:eastAsia="ko-KR" w:bidi="he-IL"/>
        </w:rPr>
        <w:t>.</w:t>
      </w:r>
      <w:r w:rsidRPr="000A0780">
        <w:rPr>
          <w:rFonts w:cs="Arial"/>
          <w:b/>
          <w:i/>
          <w:color w:val="000000"/>
          <w:lang w:eastAsia="ko-KR" w:bidi="he-IL"/>
        </w:rPr>
        <w:t xml:space="preserve"> </w:t>
      </w:r>
    </w:p>
    <w:p w14:paraId="22A763A2" w14:textId="77777777" w:rsidR="00F97FEA" w:rsidRPr="00C92F9F" w:rsidRDefault="00F97FEA" w:rsidP="00EB1206">
      <w:pPr>
        <w:pStyle w:val="TextTi12"/>
        <w:spacing w:after="120" w:line="240" w:lineRule="auto"/>
        <w:jc w:val="left"/>
        <w:rPr>
          <w:rFonts w:cs="Arial"/>
          <w:b/>
          <w:color w:val="000000"/>
          <w:lang w:eastAsia="ko-KR" w:bidi="he-IL"/>
        </w:rPr>
      </w:pPr>
      <w:r w:rsidRPr="00C92F9F">
        <w:rPr>
          <w:rFonts w:cs="Arial"/>
          <w:b/>
          <w:color w:val="000000"/>
          <w:lang w:eastAsia="ko-KR" w:bidi="he-IL"/>
        </w:rPr>
        <w:t xml:space="preserve">Table </w:t>
      </w:r>
      <w:r w:rsidR="00D41F48">
        <w:rPr>
          <w:rFonts w:cs="Arial"/>
          <w:b/>
          <w:color w:val="000000"/>
          <w:lang w:eastAsia="ko-KR" w:bidi="he-IL"/>
        </w:rPr>
        <w:t>1</w:t>
      </w:r>
      <w:r w:rsidRPr="00C92F9F">
        <w:rPr>
          <w:rFonts w:cs="Arial"/>
          <w:b/>
          <w:color w:val="000000"/>
          <w:lang w:eastAsia="ko-KR" w:bidi="he-IL"/>
        </w:rPr>
        <w:t xml:space="preserve"> Premedication to be administered before </w:t>
      </w:r>
      <w:r>
        <w:rPr>
          <w:rFonts w:cs="Arial"/>
          <w:b/>
          <w:color w:val="000000"/>
          <w:lang w:eastAsia="ko-KR" w:bidi="he-IL"/>
        </w:rPr>
        <w:t>Gazyva</w:t>
      </w:r>
      <w:r w:rsidRPr="00C92F9F">
        <w:rPr>
          <w:rFonts w:cs="Arial"/>
          <w:b/>
          <w:color w:val="000000"/>
          <w:lang w:eastAsia="ko-KR" w:bidi="he-IL"/>
        </w:rPr>
        <w:t xml:space="preserve"> infusion to reduce the risk of infusion-related reactions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484"/>
        <w:gridCol w:w="2358"/>
        <w:gridCol w:w="2552"/>
      </w:tblGrid>
      <w:tr w:rsidR="00F97FEA" w:rsidRPr="007E4791" w14:paraId="37D6FC60" w14:textId="77777777" w:rsidTr="00B137B3">
        <w:trPr>
          <w:trHeight w:val="661"/>
          <w:tblHeader/>
          <w:jc w:val="center"/>
        </w:trPr>
        <w:tc>
          <w:tcPr>
            <w:tcW w:w="0" w:type="auto"/>
            <w:shd w:val="clear" w:color="auto" w:fill="auto"/>
            <w:vAlign w:val="center"/>
          </w:tcPr>
          <w:p w14:paraId="0AA5FE25" w14:textId="290B8D9C" w:rsidR="00F97FEA" w:rsidRPr="007E4791" w:rsidRDefault="005403FA" w:rsidP="00EB1206">
            <w:pPr>
              <w:pStyle w:val="TextTi12"/>
              <w:spacing w:before="60" w:after="60" w:line="240" w:lineRule="auto"/>
              <w:jc w:val="left"/>
              <w:rPr>
                <w:rFonts w:cs="Arial"/>
                <w:b/>
                <w:color w:val="000000"/>
                <w:sz w:val="22"/>
                <w:szCs w:val="22"/>
                <w:lang w:eastAsia="ko-KR" w:bidi="he-IL"/>
              </w:rPr>
            </w:pPr>
            <w:r>
              <w:rPr>
                <w:rFonts w:cs="Arial"/>
                <w:b/>
                <w:color w:val="000000"/>
                <w:sz w:val="22"/>
                <w:szCs w:val="22"/>
                <w:lang w:eastAsia="ko-KR" w:bidi="he-IL"/>
              </w:rPr>
              <w:t>Indication/</w:t>
            </w:r>
            <w:r w:rsidR="00F97FEA" w:rsidRPr="007E4791">
              <w:rPr>
                <w:rFonts w:cs="Arial"/>
                <w:b/>
                <w:color w:val="000000"/>
                <w:sz w:val="22"/>
                <w:szCs w:val="22"/>
                <w:lang w:eastAsia="ko-KR" w:bidi="he-IL"/>
              </w:rPr>
              <w:t>Day of Treatment</w:t>
            </w:r>
            <w:r w:rsidR="00097801">
              <w:rPr>
                <w:rFonts w:cs="Arial"/>
                <w:b/>
                <w:color w:val="000000"/>
                <w:sz w:val="22"/>
                <w:szCs w:val="22"/>
                <w:lang w:eastAsia="ko-KR" w:bidi="he-IL"/>
              </w:rPr>
              <w:t>/</w:t>
            </w:r>
            <w:r w:rsidR="00F97FEA" w:rsidRPr="007E4791">
              <w:rPr>
                <w:rFonts w:cs="Arial"/>
                <w:b/>
                <w:color w:val="000000"/>
                <w:sz w:val="22"/>
                <w:szCs w:val="22"/>
                <w:lang w:eastAsia="ko-KR" w:bidi="he-IL"/>
              </w:rPr>
              <w:t xml:space="preserve"> Cycle</w:t>
            </w:r>
          </w:p>
        </w:tc>
        <w:tc>
          <w:tcPr>
            <w:tcW w:w="2484" w:type="dxa"/>
            <w:shd w:val="clear" w:color="auto" w:fill="auto"/>
            <w:vAlign w:val="center"/>
          </w:tcPr>
          <w:p w14:paraId="1D137F13" w14:textId="77777777" w:rsidR="00F97FEA" w:rsidRPr="007E4791" w:rsidRDefault="00F97FEA" w:rsidP="00EB1206">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Patients requiring premedication</w:t>
            </w:r>
          </w:p>
        </w:tc>
        <w:tc>
          <w:tcPr>
            <w:tcW w:w="2358" w:type="dxa"/>
            <w:shd w:val="clear" w:color="auto" w:fill="auto"/>
            <w:vAlign w:val="center"/>
          </w:tcPr>
          <w:p w14:paraId="0FFEC722" w14:textId="77777777" w:rsidR="00F97FEA" w:rsidRPr="007E4791" w:rsidRDefault="00F97FEA" w:rsidP="00EB1206">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Premedication</w:t>
            </w:r>
          </w:p>
        </w:tc>
        <w:tc>
          <w:tcPr>
            <w:tcW w:w="2552" w:type="dxa"/>
            <w:shd w:val="clear" w:color="auto" w:fill="auto"/>
            <w:vAlign w:val="center"/>
          </w:tcPr>
          <w:p w14:paraId="3C2A24EA" w14:textId="77777777" w:rsidR="00F97FEA" w:rsidRPr="007E4791" w:rsidRDefault="00F97FEA" w:rsidP="00EB1206">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Administration</w:t>
            </w:r>
          </w:p>
        </w:tc>
      </w:tr>
      <w:tr w:rsidR="00F97FEA" w:rsidRPr="007E4791" w14:paraId="52B9FB09" w14:textId="77777777" w:rsidTr="00B137B3">
        <w:trPr>
          <w:trHeight w:val="728"/>
          <w:jc w:val="center"/>
        </w:trPr>
        <w:tc>
          <w:tcPr>
            <w:tcW w:w="0" w:type="auto"/>
            <w:vMerge w:val="restart"/>
            <w:shd w:val="clear" w:color="auto" w:fill="auto"/>
            <w:vAlign w:val="center"/>
          </w:tcPr>
          <w:p w14:paraId="4D9CC0C5" w14:textId="77777777" w:rsidR="00F97FEA" w:rsidRDefault="00F97FEA" w:rsidP="00EB1206">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Cycle 1</w:t>
            </w:r>
          </w:p>
          <w:p w14:paraId="119C33DD" w14:textId="77777777" w:rsidR="00F97FEA" w:rsidRDefault="00F97FEA" w:rsidP="00EB1206">
            <w:pPr>
              <w:pStyle w:val="TextTi12"/>
              <w:spacing w:before="60" w:after="60" w:line="240" w:lineRule="auto"/>
              <w:jc w:val="left"/>
              <w:rPr>
                <w:rFonts w:cs="Arial"/>
                <w:b/>
                <w:color w:val="000000"/>
                <w:sz w:val="22"/>
                <w:szCs w:val="22"/>
                <w:lang w:eastAsia="ko-KR" w:bidi="he-IL"/>
              </w:rPr>
            </w:pPr>
          </w:p>
          <w:p w14:paraId="307E6726" w14:textId="77777777" w:rsidR="00F97FEA" w:rsidRPr="00B80A17" w:rsidRDefault="00F97FEA" w:rsidP="00EB1206">
            <w:pPr>
              <w:pStyle w:val="TextTi12"/>
              <w:spacing w:before="60" w:after="60" w:line="240" w:lineRule="auto"/>
              <w:jc w:val="left"/>
              <w:rPr>
                <w:rFonts w:cs="Arial"/>
                <w:b/>
                <w:color w:val="000000"/>
                <w:sz w:val="22"/>
                <w:szCs w:val="22"/>
                <w:lang w:eastAsia="ko-KR" w:bidi="he-IL"/>
              </w:rPr>
            </w:pPr>
            <w:r w:rsidRPr="00872A22">
              <w:rPr>
                <w:rFonts w:cs="Arial"/>
                <w:b/>
                <w:color w:val="000000"/>
                <w:sz w:val="22"/>
                <w:szCs w:val="22"/>
                <w:u w:val="single"/>
                <w:lang w:eastAsia="ko-KR" w:bidi="he-IL"/>
              </w:rPr>
              <w:t>CLL</w:t>
            </w:r>
            <w:r>
              <w:rPr>
                <w:rFonts w:cs="Arial"/>
                <w:b/>
                <w:color w:val="000000"/>
                <w:sz w:val="22"/>
                <w:szCs w:val="22"/>
                <w:u w:val="single"/>
                <w:lang w:eastAsia="ko-KR" w:bidi="he-IL"/>
              </w:rPr>
              <w:t>:</w:t>
            </w:r>
            <w:r w:rsidRPr="00872A22">
              <w:rPr>
                <w:rFonts w:cs="Arial"/>
                <w:b/>
                <w:color w:val="000000"/>
                <w:sz w:val="22"/>
                <w:szCs w:val="22"/>
                <w:u w:val="single"/>
                <w:lang w:eastAsia="ko-KR" w:bidi="he-IL"/>
              </w:rPr>
              <w:t xml:space="preserve"> </w:t>
            </w:r>
            <w:r w:rsidRPr="007E4791">
              <w:rPr>
                <w:rFonts w:cs="Arial"/>
                <w:b/>
                <w:color w:val="000000"/>
                <w:sz w:val="22"/>
                <w:szCs w:val="22"/>
                <w:lang w:eastAsia="ko-KR" w:bidi="he-IL"/>
              </w:rPr>
              <w:t>Day 1</w:t>
            </w:r>
            <w:r>
              <w:rPr>
                <w:rFonts w:cs="Arial"/>
                <w:b/>
                <w:color w:val="000000"/>
                <w:sz w:val="22"/>
                <w:szCs w:val="22"/>
                <w:lang w:eastAsia="ko-KR" w:bidi="he-IL"/>
              </w:rPr>
              <w:t>*,</w:t>
            </w:r>
          </w:p>
          <w:p w14:paraId="7C47E9AE" w14:textId="77777777" w:rsidR="00F97FEA" w:rsidRDefault="00F97FEA" w:rsidP="00EB1206">
            <w:pPr>
              <w:pStyle w:val="TextTi12"/>
              <w:spacing w:before="60" w:after="60" w:line="240" w:lineRule="auto"/>
              <w:jc w:val="left"/>
              <w:rPr>
                <w:rFonts w:cs="Arial"/>
                <w:b/>
                <w:color w:val="000000"/>
                <w:sz w:val="22"/>
                <w:szCs w:val="22"/>
                <w:lang w:eastAsia="ko-KR" w:bidi="he-IL"/>
              </w:rPr>
            </w:pPr>
            <w:r>
              <w:rPr>
                <w:rFonts w:cs="Arial"/>
                <w:b/>
                <w:color w:val="000000"/>
                <w:sz w:val="22"/>
                <w:szCs w:val="22"/>
                <w:lang w:eastAsia="ko-KR" w:bidi="he-IL"/>
              </w:rPr>
              <w:t>Day 2</w:t>
            </w:r>
          </w:p>
          <w:p w14:paraId="6DDC9FFC" w14:textId="77777777" w:rsidR="00F97FEA" w:rsidRPr="00B80A17" w:rsidRDefault="00F97FEA" w:rsidP="00EB1206">
            <w:pPr>
              <w:pStyle w:val="TextTi12"/>
              <w:spacing w:before="60" w:after="60" w:line="240" w:lineRule="auto"/>
              <w:jc w:val="left"/>
              <w:rPr>
                <w:rFonts w:cs="Arial"/>
                <w:b/>
                <w:color w:val="000000"/>
                <w:sz w:val="22"/>
                <w:szCs w:val="22"/>
                <w:u w:val="single"/>
                <w:lang w:eastAsia="ko-KR" w:bidi="he-IL"/>
              </w:rPr>
            </w:pPr>
            <w:r w:rsidRPr="00E8637D">
              <w:rPr>
                <w:rFonts w:cs="Arial"/>
                <w:b/>
                <w:color w:val="000000"/>
                <w:sz w:val="22"/>
                <w:szCs w:val="22"/>
                <w:u w:val="single"/>
                <w:lang w:eastAsia="ko-KR" w:bidi="he-IL"/>
              </w:rPr>
              <w:t>FL:</w:t>
            </w:r>
            <w:r>
              <w:rPr>
                <w:rFonts w:cs="Arial"/>
                <w:b/>
                <w:color w:val="000000"/>
                <w:sz w:val="22"/>
                <w:szCs w:val="22"/>
                <w:u w:val="single"/>
                <w:lang w:eastAsia="ko-KR" w:bidi="he-IL"/>
              </w:rPr>
              <w:t xml:space="preserve"> </w:t>
            </w:r>
            <w:r w:rsidRPr="009D44F7">
              <w:rPr>
                <w:rFonts w:cs="Arial"/>
                <w:b/>
                <w:color w:val="000000"/>
                <w:sz w:val="22"/>
                <w:szCs w:val="22"/>
                <w:lang w:eastAsia="ko-KR" w:bidi="he-IL"/>
              </w:rPr>
              <w:t>Day 1</w:t>
            </w:r>
          </w:p>
        </w:tc>
        <w:tc>
          <w:tcPr>
            <w:tcW w:w="2484" w:type="dxa"/>
            <w:vMerge w:val="restart"/>
            <w:shd w:val="clear" w:color="auto" w:fill="auto"/>
            <w:vAlign w:val="center"/>
          </w:tcPr>
          <w:p w14:paraId="43F2766A"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All patients</w:t>
            </w:r>
          </w:p>
        </w:tc>
        <w:tc>
          <w:tcPr>
            <w:tcW w:w="2358" w:type="dxa"/>
            <w:shd w:val="clear" w:color="auto" w:fill="auto"/>
            <w:vAlign w:val="center"/>
          </w:tcPr>
          <w:p w14:paraId="47B5A1B1" w14:textId="77777777" w:rsidR="00F97FEA" w:rsidRPr="007E4791" w:rsidRDefault="00F97FEA" w:rsidP="00EB1206">
            <w:pPr>
              <w:pStyle w:val="TextTi12"/>
              <w:spacing w:after="0" w:line="240" w:lineRule="auto"/>
              <w:jc w:val="left"/>
              <w:rPr>
                <w:rFonts w:cs="Arial"/>
                <w:color w:val="000000"/>
                <w:sz w:val="22"/>
                <w:szCs w:val="22"/>
                <w:lang w:eastAsia="ko-KR" w:bidi="he-IL"/>
              </w:rPr>
            </w:pPr>
            <w:r w:rsidRPr="007E4791">
              <w:rPr>
                <w:rFonts w:cs="Arial"/>
                <w:color w:val="000000"/>
                <w:sz w:val="22"/>
                <w:szCs w:val="22"/>
                <w:lang w:eastAsia="ko-KR" w:bidi="he-IL"/>
              </w:rPr>
              <w:t>Intravenous corticosteroid</w:t>
            </w:r>
            <w:r w:rsidRPr="007E4791">
              <w:rPr>
                <w:rFonts w:cs="Arial"/>
                <w:color w:val="000000"/>
                <w:sz w:val="22"/>
                <w:szCs w:val="22"/>
                <w:vertAlign w:val="superscript"/>
                <w:lang w:eastAsia="ko-KR" w:bidi="he-IL"/>
              </w:rPr>
              <w:t>1</w:t>
            </w:r>
            <w:r>
              <w:rPr>
                <w:rFonts w:cs="Arial"/>
                <w:color w:val="000000"/>
                <w:sz w:val="22"/>
                <w:szCs w:val="22"/>
                <w:vertAlign w:val="superscript"/>
                <w:lang w:eastAsia="ko-KR" w:bidi="he-IL"/>
              </w:rPr>
              <w:t>,2</w:t>
            </w:r>
          </w:p>
        </w:tc>
        <w:tc>
          <w:tcPr>
            <w:tcW w:w="2552" w:type="dxa"/>
            <w:shd w:val="clear" w:color="auto" w:fill="auto"/>
            <w:vAlign w:val="center"/>
          </w:tcPr>
          <w:p w14:paraId="1E08CD55"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Completed at least 1 hour prior to</w:t>
            </w:r>
            <w:r w:rsidRPr="00D7152B">
              <w:rPr>
                <w:rFonts w:cs="Arial"/>
                <w:color w:val="000000"/>
                <w:sz w:val="22"/>
                <w:szCs w:val="22"/>
                <w:lang w:eastAsia="ko-KR" w:bidi="he-IL"/>
              </w:rPr>
              <w:t xml:space="preserve"> </w:t>
            </w:r>
            <w:r w:rsidRPr="00D7152B">
              <w:rPr>
                <w:sz w:val="22"/>
                <w:szCs w:val="22"/>
              </w:rPr>
              <w:t>Gazyva</w:t>
            </w:r>
            <w:r w:rsidRPr="007E4791">
              <w:rPr>
                <w:rFonts w:cs="Arial"/>
                <w:color w:val="000000"/>
                <w:sz w:val="22"/>
                <w:szCs w:val="22"/>
                <w:lang w:eastAsia="ko-KR" w:bidi="he-IL"/>
              </w:rPr>
              <w:t xml:space="preserve"> infusion</w:t>
            </w:r>
          </w:p>
        </w:tc>
      </w:tr>
      <w:tr w:rsidR="00F97FEA" w:rsidRPr="007E4791" w14:paraId="6FF7802B" w14:textId="77777777" w:rsidTr="00B137B3">
        <w:trPr>
          <w:jc w:val="center"/>
        </w:trPr>
        <w:tc>
          <w:tcPr>
            <w:tcW w:w="0" w:type="auto"/>
            <w:vMerge/>
            <w:shd w:val="clear" w:color="auto" w:fill="auto"/>
            <w:vAlign w:val="center"/>
          </w:tcPr>
          <w:p w14:paraId="43E07B36"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p>
        </w:tc>
        <w:tc>
          <w:tcPr>
            <w:tcW w:w="2484" w:type="dxa"/>
            <w:vMerge/>
            <w:shd w:val="clear" w:color="auto" w:fill="auto"/>
            <w:vAlign w:val="center"/>
          </w:tcPr>
          <w:p w14:paraId="15E39286"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p>
        </w:tc>
        <w:tc>
          <w:tcPr>
            <w:tcW w:w="2358" w:type="dxa"/>
            <w:shd w:val="clear" w:color="auto" w:fill="auto"/>
            <w:vAlign w:val="center"/>
          </w:tcPr>
          <w:p w14:paraId="5678D23B"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Pr>
                <w:rFonts w:cs="Arial"/>
                <w:color w:val="000000"/>
                <w:sz w:val="22"/>
                <w:szCs w:val="22"/>
                <w:vertAlign w:val="superscript"/>
                <w:lang w:eastAsia="ko-KR" w:bidi="he-IL"/>
              </w:rPr>
              <w:t>3</w:t>
            </w:r>
          </w:p>
        </w:tc>
        <w:tc>
          <w:tcPr>
            <w:tcW w:w="2552" w:type="dxa"/>
            <w:vMerge w:val="restart"/>
            <w:shd w:val="clear" w:color="auto" w:fill="auto"/>
            <w:vAlign w:val="center"/>
          </w:tcPr>
          <w:p w14:paraId="7425FA12" w14:textId="77777777" w:rsidR="00F97FEA" w:rsidRPr="007E4791" w:rsidRDefault="00F97FEA" w:rsidP="00EB1206">
            <w:pPr>
              <w:pStyle w:val="TextTi12"/>
              <w:spacing w:before="60" w:after="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At least 30 minutes before </w:t>
            </w:r>
            <w:r w:rsidRPr="00D7152B">
              <w:rPr>
                <w:sz w:val="22"/>
                <w:szCs w:val="22"/>
              </w:rPr>
              <w:t>Gazyva</w:t>
            </w:r>
            <w:r w:rsidRPr="00D7152B">
              <w:rPr>
                <w:rFonts w:cs="Arial"/>
                <w:color w:val="000000"/>
                <w:sz w:val="22"/>
                <w:szCs w:val="22"/>
                <w:lang w:eastAsia="ko-KR" w:bidi="he-IL"/>
              </w:rPr>
              <w:t xml:space="preserve"> </w:t>
            </w:r>
            <w:r w:rsidRPr="007E4791">
              <w:rPr>
                <w:rFonts w:cs="Arial"/>
                <w:color w:val="000000"/>
                <w:sz w:val="22"/>
                <w:szCs w:val="22"/>
                <w:lang w:eastAsia="ko-KR" w:bidi="he-IL"/>
              </w:rPr>
              <w:t>infusion</w:t>
            </w:r>
          </w:p>
        </w:tc>
      </w:tr>
      <w:tr w:rsidR="00F97FEA" w:rsidRPr="007E4791" w14:paraId="12572E4C" w14:textId="77777777" w:rsidTr="00B137B3">
        <w:trPr>
          <w:trHeight w:val="462"/>
          <w:jc w:val="center"/>
        </w:trPr>
        <w:tc>
          <w:tcPr>
            <w:tcW w:w="0" w:type="auto"/>
            <w:vMerge/>
            <w:shd w:val="clear" w:color="auto" w:fill="auto"/>
          </w:tcPr>
          <w:p w14:paraId="04FCE6BD"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p>
        </w:tc>
        <w:tc>
          <w:tcPr>
            <w:tcW w:w="2484" w:type="dxa"/>
            <w:vMerge/>
            <w:shd w:val="clear" w:color="auto" w:fill="auto"/>
          </w:tcPr>
          <w:p w14:paraId="752C9089"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p>
        </w:tc>
        <w:tc>
          <w:tcPr>
            <w:tcW w:w="2358" w:type="dxa"/>
            <w:shd w:val="clear" w:color="auto" w:fill="auto"/>
            <w:vAlign w:val="center"/>
          </w:tcPr>
          <w:p w14:paraId="49B1DA98"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Pr>
                <w:rFonts w:cs="Arial"/>
                <w:color w:val="000000"/>
                <w:sz w:val="22"/>
                <w:szCs w:val="22"/>
                <w:vertAlign w:val="superscript"/>
                <w:lang w:eastAsia="ko-KR" w:bidi="he-IL"/>
              </w:rPr>
              <w:t>4</w:t>
            </w:r>
          </w:p>
        </w:tc>
        <w:tc>
          <w:tcPr>
            <w:tcW w:w="2552" w:type="dxa"/>
            <w:vMerge/>
            <w:shd w:val="clear" w:color="auto" w:fill="auto"/>
          </w:tcPr>
          <w:p w14:paraId="471BD8C1" w14:textId="77777777" w:rsidR="00F97FEA" w:rsidRPr="007E4791" w:rsidRDefault="00F97FEA" w:rsidP="00EB1206">
            <w:pPr>
              <w:pStyle w:val="TextTi12"/>
              <w:spacing w:line="280" w:lineRule="exact"/>
              <w:jc w:val="left"/>
              <w:rPr>
                <w:rFonts w:cs="Arial"/>
                <w:color w:val="000000"/>
                <w:sz w:val="22"/>
                <w:szCs w:val="22"/>
                <w:lang w:eastAsia="ko-KR" w:bidi="he-IL"/>
              </w:rPr>
            </w:pPr>
          </w:p>
        </w:tc>
      </w:tr>
      <w:tr w:rsidR="00F97FEA" w:rsidRPr="007E4791" w14:paraId="7C8174CA" w14:textId="77777777" w:rsidTr="00B137B3">
        <w:trPr>
          <w:trHeight w:val="797"/>
          <w:jc w:val="center"/>
        </w:trPr>
        <w:tc>
          <w:tcPr>
            <w:tcW w:w="0" w:type="auto"/>
            <w:vMerge w:val="restart"/>
            <w:shd w:val="clear" w:color="auto" w:fill="auto"/>
            <w:vAlign w:val="center"/>
          </w:tcPr>
          <w:p w14:paraId="3597C658" w14:textId="77777777" w:rsidR="00F97FEA" w:rsidRDefault="00F97FEA" w:rsidP="00EB1206">
            <w:pPr>
              <w:pStyle w:val="TextTi12"/>
              <w:spacing w:before="60" w:after="60" w:line="240" w:lineRule="auto"/>
              <w:jc w:val="left"/>
              <w:rPr>
                <w:rFonts w:cs="Arial"/>
                <w:b/>
                <w:color w:val="000000"/>
                <w:sz w:val="22"/>
                <w:szCs w:val="22"/>
                <w:lang w:eastAsia="ko-KR" w:bidi="he-IL"/>
              </w:rPr>
            </w:pPr>
            <w:r>
              <w:rPr>
                <w:rFonts w:cs="Arial"/>
                <w:b/>
                <w:color w:val="000000"/>
                <w:sz w:val="22"/>
                <w:szCs w:val="22"/>
                <w:lang w:eastAsia="ko-KR" w:bidi="he-IL"/>
              </w:rPr>
              <w:t>All subsequent infusions:</w:t>
            </w:r>
          </w:p>
          <w:p w14:paraId="465C4774" w14:textId="199DCA5D" w:rsidR="00F97FEA" w:rsidRPr="001345FD" w:rsidRDefault="00F97FEA" w:rsidP="00EB1206">
            <w:pPr>
              <w:pStyle w:val="TextTi12"/>
              <w:spacing w:before="60" w:after="60" w:line="240" w:lineRule="auto"/>
              <w:jc w:val="left"/>
              <w:rPr>
                <w:b/>
                <w:sz w:val="22"/>
              </w:rPr>
            </w:pPr>
            <w:r>
              <w:rPr>
                <w:rFonts w:cs="Arial"/>
                <w:b/>
                <w:color w:val="000000"/>
                <w:sz w:val="22"/>
                <w:szCs w:val="22"/>
                <w:lang w:eastAsia="ko-KR" w:bidi="he-IL"/>
              </w:rPr>
              <w:lastRenderedPageBreak/>
              <w:t xml:space="preserve">CLL </w:t>
            </w:r>
            <w:r w:rsidRPr="00E8637D">
              <w:rPr>
                <w:rFonts w:cs="Arial"/>
                <w:b/>
                <w:color w:val="000000"/>
                <w:sz w:val="22"/>
                <w:szCs w:val="22"/>
                <w:lang w:eastAsia="ko-KR" w:bidi="he-IL"/>
              </w:rPr>
              <w:t>and FL</w:t>
            </w:r>
            <w:r w:rsidRPr="008A0182">
              <w:rPr>
                <w:rFonts w:cs="Arial"/>
                <w:b/>
                <w:strike/>
                <w:color w:val="000000"/>
                <w:sz w:val="22"/>
                <w:szCs w:val="22"/>
                <w:lang w:eastAsia="ko-KR" w:bidi="he-IL"/>
              </w:rPr>
              <w:t xml:space="preserve"> </w:t>
            </w:r>
          </w:p>
        </w:tc>
        <w:tc>
          <w:tcPr>
            <w:tcW w:w="2484" w:type="dxa"/>
            <w:shd w:val="clear" w:color="auto" w:fill="auto"/>
            <w:vAlign w:val="center"/>
          </w:tcPr>
          <w:p w14:paraId="291696FD"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Pr>
                <w:rFonts w:cs="Arial"/>
                <w:color w:val="000000"/>
                <w:sz w:val="22"/>
                <w:szCs w:val="22"/>
                <w:lang w:eastAsia="ko-KR" w:bidi="he-IL"/>
              </w:rPr>
              <w:lastRenderedPageBreak/>
              <w:t>Patients with no IRR during the previous infusion</w:t>
            </w:r>
          </w:p>
        </w:tc>
        <w:tc>
          <w:tcPr>
            <w:tcW w:w="2358" w:type="dxa"/>
            <w:shd w:val="clear" w:color="auto" w:fill="auto"/>
            <w:vAlign w:val="center"/>
          </w:tcPr>
          <w:p w14:paraId="62AB3AC7"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Pr>
                <w:rFonts w:cs="Arial"/>
                <w:color w:val="000000"/>
                <w:sz w:val="22"/>
                <w:szCs w:val="22"/>
                <w:vertAlign w:val="superscript"/>
                <w:lang w:eastAsia="ko-KR" w:bidi="he-IL"/>
              </w:rPr>
              <w:t>3</w:t>
            </w:r>
          </w:p>
        </w:tc>
        <w:tc>
          <w:tcPr>
            <w:tcW w:w="2552" w:type="dxa"/>
            <w:shd w:val="clear" w:color="auto" w:fill="auto"/>
            <w:vAlign w:val="center"/>
          </w:tcPr>
          <w:p w14:paraId="5DFAE073"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At least 30 minutes before</w:t>
            </w:r>
            <w:r w:rsidRPr="00D7152B">
              <w:rPr>
                <w:rFonts w:cs="Arial"/>
                <w:color w:val="000000"/>
                <w:sz w:val="22"/>
                <w:szCs w:val="22"/>
                <w:lang w:eastAsia="ko-KR" w:bidi="he-IL"/>
              </w:rPr>
              <w:t xml:space="preserve"> </w:t>
            </w:r>
            <w:r w:rsidRPr="00D7152B">
              <w:rPr>
                <w:sz w:val="22"/>
                <w:szCs w:val="22"/>
              </w:rPr>
              <w:t>Gazyva</w:t>
            </w:r>
            <w:r w:rsidRPr="00D7152B">
              <w:rPr>
                <w:rFonts w:cs="Arial"/>
                <w:color w:val="000000"/>
                <w:sz w:val="22"/>
                <w:szCs w:val="22"/>
                <w:lang w:eastAsia="ko-KR" w:bidi="he-IL"/>
              </w:rPr>
              <w:t xml:space="preserve"> </w:t>
            </w:r>
            <w:r w:rsidRPr="007E4791">
              <w:rPr>
                <w:rFonts w:cs="Arial"/>
                <w:color w:val="000000"/>
                <w:sz w:val="22"/>
                <w:szCs w:val="22"/>
                <w:lang w:eastAsia="ko-KR" w:bidi="he-IL"/>
              </w:rPr>
              <w:t>infusion</w:t>
            </w:r>
          </w:p>
        </w:tc>
      </w:tr>
      <w:tr w:rsidR="00F97FEA" w:rsidRPr="007E4791" w14:paraId="29E15083" w14:textId="77777777" w:rsidTr="00B137B3">
        <w:trPr>
          <w:trHeight w:val="126"/>
          <w:jc w:val="center"/>
        </w:trPr>
        <w:tc>
          <w:tcPr>
            <w:tcW w:w="0" w:type="auto"/>
            <w:vMerge/>
            <w:shd w:val="clear" w:color="auto" w:fill="auto"/>
            <w:vAlign w:val="center"/>
          </w:tcPr>
          <w:p w14:paraId="0D6A617F" w14:textId="77777777" w:rsidR="00F97FEA" w:rsidRDefault="00F97FEA" w:rsidP="00EB1206">
            <w:pPr>
              <w:pStyle w:val="TextTi12"/>
              <w:spacing w:before="60" w:after="60" w:line="240" w:lineRule="auto"/>
              <w:jc w:val="left"/>
              <w:rPr>
                <w:rFonts w:cs="Arial"/>
                <w:b/>
                <w:color w:val="000000"/>
                <w:sz w:val="22"/>
                <w:szCs w:val="22"/>
                <w:lang w:eastAsia="ko-KR" w:bidi="he-IL"/>
              </w:rPr>
            </w:pPr>
          </w:p>
        </w:tc>
        <w:tc>
          <w:tcPr>
            <w:tcW w:w="2484" w:type="dxa"/>
            <w:vMerge w:val="restart"/>
            <w:shd w:val="clear" w:color="auto" w:fill="auto"/>
            <w:vAlign w:val="center"/>
          </w:tcPr>
          <w:p w14:paraId="452AFF35"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Pr>
                <w:rFonts w:cs="Arial"/>
                <w:color w:val="000000"/>
                <w:sz w:val="22"/>
                <w:szCs w:val="22"/>
                <w:lang w:eastAsia="ko-KR" w:bidi="he-IL"/>
              </w:rPr>
              <w:t>Patients with an IRR (Grade 1 or 2) with the previous infusion</w:t>
            </w:r>
          </w:p>
        </w:tc>
        <w:tc>
          <w:tcPr>
            <w:tcW w:w="2358" w:type="dxa"/>
            <w:shd w:val="clear" w:color="auto" w:fill="auto"/>
            <w:vAlign w:val="center"/>
          </w:tcPr>
          <w:p w14:paraId="1D8D6554"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Pr>
                <w:rFonts w:cs="Arial"/>
                <w:color w:val="000000"/>
                <w:sz w:val="22"/>
                <w:szCs w:val="22"/>
                <w:vertAlign w:val="superscript"/>
                <w:lang w:eastAsia="ko-KR" w:bidi="he-IL"/>
              </w:rPr>
              <w:t>3</w:t>
            </w:r>
          </w:p>
        </w:tc>
        <w:tc>
          <w:tcPr>
            <w:tcW w:w="2552" w:type="dxa"/>
            <w:vMerge w:val="restart"/>
            <w:shd w:val="clear" w:color="auto" w:fill="auto"/>
            <w:vAlign w:val="center"/>
          </w:tcPr>
          <w:p w14:paraId="54750F85"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At least 30 minutes befor</w:t>
            </w:r>
            <w:r w:rsidRPr="00D7152B">
              <w:rPr>
                <w:rFonts w:cs="Arial"/>
                <w:color w:val="000000"/>
                <w:sz w:val="22"/>
                <w:szCs w:val="22"/>
                <w:lang w:eastAsia="ko-KR" w:bidi="he-IL"/>
              </w:rPr>
              <w:t xml:space="preserve">e </w:t>
            </w:r>
            <w:r w:rsidRPr="00D7152B">
              <w:rPr>
                <w:sz w:val="22"/>
                <w:szCs w:val="22"/>
              </w:rPr>
              <w:t>Gazyva</w:t>
            </w:r>
            <w:r w:rsidRPr="007E4791">
              <w:rPr>
                <w:rFonts w:cs="Arial"/>
                <w:color w:val="000000"/>
                <w:sz w:val="22"/>
                <w:szCs w:val="22"/>
                <w:lang w:eastAsia="ko-KR" w:bidi="he-IL"/>
              </w:rPr>
              <w:t xml:space="preserve"> infusion</w:t>
            </w:r>
          </w:p>
        </w:tc>
      </w:tr>
      <w:tr w:rsidR="00F97FEA" w:rsidRPr="007E4791" w14:paraId="01599560" w14:textId="77777777" w:rsidTr="00B137B3">
        <w:trPr>
          <w:trHeight w:val="317"/>
          <w:jc w:val="center"/>
        </w:trPr>
        <w:tc>
          <w:tcPr>
            <w:tcW w:w="0" w:type="auto"/>
            <w:vMerge/>
            <w:shd w:val="clear" w:color="auto" w:fill="auto"/>
            <w:vAlign w:val="center"/>
          </w:tcPr>
          <w:p w14:paraId="43DA7A58" w14:textId="77777777" w:rsidR="00F97FEA" w:rsidRDefault="00F97FEA" w:rsidP="00EB1206">
            <w:pPr>
              <w:pStyle w:val="TextTi12"/>
              <w:spacing w:before="60" w:after="60" w:line="240" w:lineRule="auto"/>
              <w:jc w:val="left"/>
              <w:rPr>
                <w:rFonts w:cs="Arial"/>
                <w:b/>
                <w:color w:val="000000"/>
                <w:sz w:val="22"/>
                <w:szCs w:val="22"/>
                <w:lang w:eastAsia="ko-KR" w:bidi="he-IL"/>
              </w:rPr>
            </w:pPr>
          </w:p>
        </w:tc>
        <w:tc>
          <w:tcPr>
            <w:tcW w:w="2484" w:type="dxa"/>
            <w:vMerge/>
            <w:shd w:val="clear" w:color="auto" w:fill="auto"/>
            <w:vAlign w:val="center"/>
          </w:tcPr>
          <w:p w14:paraId="2F946A1F" w14:textId="77777777" w:rsidR="00F97FEA" w:rsidRDefault="00F97FEA" w:rsidP="00EB1206">
            <w:pPr>
              <w:pStyle w:val="TextTi12"/>
              <w:spacing w:before="60" w:after="60" w:line="240" w:lineRule="auto"/>
              <w:jc w:val="left"/>
              <w:rPr>
                <w:rFonts w:cs="Arial"/>
                <w:color w:val="000000"/>
                <w:sz w:val="22"/>
                <w:szCs w:val="22"/>
                <w:lang w:eastAsia="ko-KR" w:bidi="he-IL"/>
              </w:rPr>
            </w:pPr>
          </w:p>
        </w:tc>
        <w:tc>
          <w:tcPr>
            <w:tcW w:w="2358" w:type="dxa"/>
            <w:shd w:val="clear" w:color="auto" w:fill="auto"/>
            <w:vAlign w:val="center"/>
          </w:tcPr>
          <w:p w14:paraId="6BB7ED2B"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Pr>
                <w:rFonts w:cs="Arial"/>
                <w:color w:val="000000"/>
                <w:sz w:val="22"/>
                <w:szCs w:val="22"/>
                <w:vertAlign w:val="superscript"/>
                <w:lang w:eastAsia="ko-KR" w:bidi="he-IL"/>
              </w:rPr>
              <w:t>4</w:t>
            </w:r>
          </w:p>
        </w:tc>
        <w:tc>
          <w:tcPr>
            <w:tcW w:w="2552" w:type="dxa"/>
            <w:vMerge/>
            <w:shd w:val="clear" w:color="auto" w:fill="auto"/>
            <w:vAlign w:val="center"/>
          </w:tcPr>
          <w:p w14:paraId="0A127685"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p>
        </w:tc>
      </w:tr>
      <w:tr w:rsidR="00F97FEA" w:rsidRPr="007E4791" w14:paraId="64FA8F5E" w14:textId="77777777" w:rsidTr="00B137B3">
        <w:trPr>
          <w:cantSplit/>
          <w:jc w:val="center"/>
        </w:trPr>
        <w:tc>
          <w:tcPr>
            <w:tcW w:w="0" w:type="auto"/>
            <w:vMerge/>
            <w:shd w:val="clear" w:color="auto" w:fill="auto"/>
            <w:vAlign w:val="center"/>
          </w:tcPr>
          <w:p w14:paraId="64C43B2C" w14:textId="77777777" w:rsidR="00F97FEA" w:rsidRDefault="00F97FEA" w:rsidP="00EB1206">
            <w:pPr>
              <w:pStyle w:val="TextTi12"/>
              <w:spacing w:before="60" w:after="60" w:line="240" w:lineRule="auto"/>
              <w:jc w:val="left"/>
              <w:rPr>
                <w:rFonts w:cs="Arial"/>
                <w:b/>
                <w:color w:val="000000"/>
                <w:sz w:val="22"/>
                <w:szCs w:val="22"/>
                <w:lang w:eastAsia="ko-KR" w:bidi="he-IL"/>
              </w:rPr>
            </w:pPr>
          </w:p>
        </w:tc>
        <w:tc>
          <w:tcPr>
            <w:tcW w:w="2484" w:type="dxa"/>
            <w:vMerge w:val="restart"/>
            <w:shd w:val="clear" w:color="auto" w:fill="auto"/>
            <w:vAlign w:val="center"/>
          </w:tcPr>
          <w:p w14:paraId="571EE2C6" w14:textId="77777777" w:rsidR="00F97FEA" w:rsidRDefault="00F97FEA" w:rsidP="00EB1206">
            <w:pPr>
              <w:pStyle w:val="TextTi12"/>
              <w:keepLines/>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Patients with a Grade 3 IRR with the previous infusion </w:t>
            </w:r>
          </w:p>
          <w:p w14:paraId="56EE986D" w14:textId="77777777" w:rsidR="00F97FEA" w:rsidRDefault="00F97FEA" w:rsidP="00EB1206">
            <w:pPr>
              <w:pStyle w:val="TextTi12"/>
              <w:keepLines/>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OR </w:t>
            </w:r>
          </w:p>
          <w:p w14:paraId="1A5A66EA" w14:textId="77777777" w:rsidR="00F97FEA" w:rsidRPr="007E4791" w:rsidRDefault="00F97FEA" w:rsidP="00EB1206">
            <w:pPr>
              <w:pStyle w:val="TextTi12"/>
              <w:keepLines/>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patients with lymphocyte counts &gt; 25 x 10</w:t>
            </w:r>
            <w:r w:rsidRPr="007E4791">
              <w:rPr>
                <w:rFonts w:cs="Arial"/>
                <w:color w:val="000000"/>
                <w:sz w:val="22"/>
                <w:szCs w:val="22"/>
                <w:vertAlign w:val="superscript"/>
                <w:lang w:eastAsia="ko-KR" w:bidi="he-IL"/>
              </w:rPr>
              <w:t>9</w:t>
            </w:r>
            <w:r w:rsidRPr="007E4791">
              <w:rPr>
                <w:rFonts w:cs="Arial"/>
                <w:color w:val="000000"/>
                <w:sz w:val="22"/>
                <w:szCs w:val="22"/>
                <w:lang w:eastAsia="ko-KR" w:bidi="he-IL"/>
              </w:rPr>
              <w:t>/L prior to next treatment</w:t>
            </w:r>
          </w:p>
        </w:tc>
        <w:tc>
          <w:tcPr>
            <w:tcW w:w="2358" w:type="dxa"/>
            <w:shd w:val="clear" w:color="auto" w:fill="auto"/>
            <w:vAlign w:val="center"/>
          </w:tcPr>
          <w:p w14:paraId="192AE644" w14:textId="77777777" w:rsidR="00F97FEA" w:rsidRPr="007E4791" w:rsidRDefault="00F97FEA" w:rsidP="00EB1206">
            <w:pPr>
              <w:pStyle w:val="TextTi12"/>
              <w:keepLines/>
              <w:spacing w:after="0" w:line="240" w:lineRule="auto"/>
              <w:jc w:val="left"/>
              <w:rPr>
                <w:rFonts w:cs="Arial"/>
                <w:color w:val="000000"/>
                <w:sz w:val="22"/>
                <w:szCs w:val="22"/>
                <w:lang w:eastAsia="ko-KR" w:bidi="he-IL"/>
              </w:rPr>
            </w:pPr>
            <w:r w:rsidRPr="007E4791">
              <w:rPr>
                <w:rFonts w:cs="Arial"/>
                <w:color w:val="000000"/>
                <w:sz w:val="22"/>
                <w:szCs w:val="22"/>
                <w:lang w:eastAsia="ko-KR" w:bidi="he-IL"/>
              </w:rPr>
              <w:t>Intravenous corticosteroid</w:t>
            </w:r>
            <w:r w:rsidRPr="007E4791">
              <w:rPr>
                <w:rFonts w:cs="Arial"/>
                <w:color w:val="000000"/>
                <w:sz w:val="22"/>
                <w:szCs w:val="22"/>
                <w:vertAlign w:val="superscript"/>
                <w:lang w:eastAsia="ko-KR" w:bidi="he-IL"/>
              </w:rPr>
              <w:t>1</w:t>
            </w:r>
            <w:r>
              <w:rPr>
                <w:rFonts w:cs="Arial"/>
                <w:color w:val="000000"/>
                <w:sz w:val="22"/>
                <w:szCs w:val="22"/>
                <w:vertAlign w:val="superscript"/>
                <w:lang w:eastAsia="ko-KR" w:bidi="he-IL"/>
              </w:rPr>
              <w:t>,2</w:t>
            </w:r>
          </w:p>
        </w:tc>
        <w:tc>
          <w:tcPr>
            <w:tcW w:w="2552" w:type="dxa"/>
            <w:shd w:val="clear" w:color="auto" w:fill="auto"/>
            <w:vAlign w:val="center"/>
          </w:tcPr>
          <w:p w14:paraId="1DD08E94" w14:textId="77777777" w:rsidR="00F97FEA" w:rsidRPr="007E4791" w:rsidRDefault="00F97FEA" w:rsidP="00EB1206">
            <w:pPr>
              <w:pStyle w:val="TextTi12"/>
              <w:keepLines/>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Completed at least 1 hour prior to</w:t>
            </w:r>
            <w:r w:rsidRPr="00D7152B">
              <w:rPr>
                <w:rFonts w:cs="Arial"/>
                <w:color w:val="000000"/>
                <w:sz w:val="22"/>
                <w:szCs w:val="22"/>
                <w:lang w:eastAsia="ko-KR" w:bidi="he-IL"/>
              </w:rPr>
              <w:t xml:space="preserve"> </w:t>
            </w:r>
            <w:r w:rsidRPr="00D7152B">
              <w:rPr>
                <w:sz w:val="22"/>
                <w:szCs w:val="22"/>
              </w:rPr>
              <w:t>Gazyva</w:t>
            </w:r>
            <w:r w:rsidRPr="007E4791">
              <w:rPr>
                <w:rFonts w:cs="Arial"/>
                <w:color w:val="000000"/>
                <w:sz w:val="22"/>
                <w:szCs w:val="22"/>
                <w:lang w:eastAsia="ko-KR" w:bidi="he-IL"/>
              </w:rPr>
              <w:t xml:space="preserve"> infusion</w:t>
            </w:r>
          </w:p>
        </w:tc>
      </w:tr>
      <w:tr w:rsidR="00F97FEA" w:rsidRPr="007E4791" w14:paraId="11D8732C" w14:textId="77777777" w:rsidTr="00B137B3">
        <w:trPr>
          <w:cantSplit/>
          <w:jc w:val="center"/>
        </w:trPr>
        <w:tc>
          <w:tcPr>
            <w:tcW w:w="0" w:type="auto"/>
            <w:vMerge/>
            <w:shd w:val="clear" w:color="auto" w:fill="auto"/>
            <w:vAlign w:val="center"/>
          </w:tcPr>
          <w:p w14:paraId="7B5AED8D" w14:textId="77777777" w:rsidR="00F97FEA" w:rsidRDefault="00F97FEA" w:rsidP="00EB1206">
            <w:pPr>
              <w:pStyle w:val="TextTi12"/>
              <w:spacing w:before="60" w:after="60" w:line="240" w:lineRule="auto"/>
              <w:jc w:val="left"/>
              <w:rPr>
                <w:rFonts w:cs="Arial"/>
                <w:b/>
                <w:color w:val="000000"/>
                <w:sz w:val="22"/>
                <w:szCs w:val="22"/>
                <w:lang w:eastAsia="ko-KR" w:bidi="he-IL"/>
              </w:rPr>
            </w:pPr>
          </w:p>
        </w:tc>
        <w:tc>
          <w:tcPr>
            <w:tcW w:w="2484" w:type="dxa"/>
            <w:vMerge/>
            <w:shd w:val="clear" w:color="auto" w:fill="auto"/>
            <w:vAlign w:val="center"/>
          </w:tcPr>
          <w:p w14:paraId="6A582358" w14:textId="77777777" w:rsidR="00F97FEA" w:rsidRPr="007E4791" w:rsidRDefault="00F97FEA" w:rsidP="00EB1206">
            <w:pPr>
              <w:pStyle w:val="TextTi12"/>
              <w:keepLines/>
              <w:spacing w:before="60" w:after="60" w:line="240" w:lineRule="auto"/>
              <w:jc w:val="left"/>
              <w:rPr>
                <w:rFonts w:cs="Arial"/>
                <w:color w:val="000000"/>
                <w:sz w:val="22"/>
                <w:szCs w:val="22"/>
                <w:lang w:eastAsia="ko-KR" w:bidi="he-IL"/>
              </w:rPr>
            </w:pPr>
          </w:p>
        </w:tc>
        <w:tc>
          <w:tcPr>
            <w:tcW w:w="2358" w:type="dxa"/>
            <w:shd w:val="clear" w:color="auto" w:fill="auto"/>
            <w:vAlign w:val="center"/>
          </w:tcPr>
          <w:p w14:paraId="5250E12D" w14:textId="77777777" w:rsidR="00F97FEA" w:rsidRPr="007E4791" w:rsidRDefault="00F97FEA" w:rsidP="00EB1206">
            <w:pPr>
              <w:pStyle w:val="TextTi12"/>
              <w:keepLines/>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Pr>
                <w:rFonts w:cs="Arial"/>
                <w:color w:val="000000"/>
                <w:sz w:val="22"/>
                <w:szCs w:val="22"/>
                <w:vertAlign w:val="superscript"/>
                <w:lang w:eastAsia="ko-KR" w:bidi="he-IL"/>
              </w:rPr>
              <w:t>3</w:t>
            </w:r>
          </w:p>
        </w:tc>
        <w:tc>
          <w:tcPr>
            <w:tcW w:w="2552" w:type="dxa"/>
            <w:vMerge w:val="restart"/>
            <w:shd w:val="clear" w:color="auto" w:fill="auto"/>
            <w:vAlign w:val="center"/>
          </w:tcPr>
          <w:p w14:paraId="03DB5F02" w14:textId="77777777" w:rsidR="00F97FEA" w:rsidRPr="007E4791" w:rsidRDefault="00F97FEA" w:rsidP="00EB1206">
            <w:pPr>
              <w:pStyle w:val="TextTi12"/>
              <w:keepLines/>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At least 30 minutes before</w:t>
            </w:r>
            <w:r w:rsidRPr="00D7152B">
              <w:rPr>
                <w:rFonts w:cs="Arial"/>
                <w:color w:val="000000"/>
                <w:sz w:val="22"/>
                <w:szCs w:val="22"/>
                <w:lang w:eastAsia="ko-KR" w:bidi="he-IL"/>
              </w:rPr>
              <w:t xml:space="preserve"> </w:t>
            </w:r>
            <w:r w:rsidRPr="00D7152B">
              <w:rPr>
                <w:sz w:val="22"/>
                <w:szCs w:val="22"/>
              </w:rPr>
              <w:t>Gazyva</w:t>
            </w:r>
            <w:r w:rsidRPr="00D7152B">
              <w:rPr>
                <w:rFonts w:cs="Arial"/>
                <w:color w:val="000000"/>
                <w:sz w:val="22"/>
                <w:szCs w:val="22"/>
                <w:lang w:eastAsia="ko-KR" w:bidi="he-IL"/>
              </w:rPr>
              <w:t xml:space="preserve"> </w:t>
            </w:r>
            <w:r w:rsidRPr="007E4791">
              <w:rPr>
                <w:rFonts w:cs="Arial"/>
                <w:color w:val="000000"/>
                <w:sz w:val="22"/>
                <w:szCs w:val="22"/>
                <w:lang w:eastAsia="ko-KR" w:bidi="he-IL"/>
              </w:rPr>
              <w:t>infusion</w:t>
            </w:r>
          </w:p>
        </w:tc>
      </w:tr>
      <w:tr w:rsidR="00F97FEA" w:rsidRPr="007E4791" w14:paraId="3F03AE2B" w14:textId="77777777" w:rsidTr="00B137B3">
        <w:trPr>
          <w:trHeight w:val="375"/>
          <w:jc w:val="center"/>
        </w:trPr>
        <w:tc>
          <w:tcPr>
            <w:tcW w:w="0" w:type="auto"/>
            <w:vMerge/>
            <w:shd w:val="clear" w:color="auto" w:fill="auto"/>
            <w:vAlign w:val="center"/>
          </w:tcPr>
          <w:p w14:paraId="37C70F3D" w14:textId="77777777" w:rsidR="00F97FEA" w:rsidRDefault="00F97FEA" w:rsidP="00EB1206">
            <w:pPr>
              <w:pStyle w:val="TextTi12"/>
              <w:spacing w:before="60" w:after="60" w:line="240" w:lineRule="auto"/>
              <w:jc w:val="left"/>
              <w:rPr>
                <w:rFonts w:cs="Arial"/>
                <w:b/>
                <w:color w:val="000000"/>
                <w:sz w:val="22"/>
                <w:szCs w:val="22"/>
                <w:lang w:eastAsia="ko-KR" w:bidi="he-IL"/>
              </w:rPr>
            </w:pPr>
          </w:p>
        </w:tc>
        <w:tc>
          <w:tcPr>
            <w:tcW w:w="2484" w:type="dxa"/>
            <w:vMerge/>
            <w:shd w:val="clear" w:color="auto" w:fill="auto"/>
            <w:vAlign w:val="center"/>
          </w:tcPr>
          <w:p w14:paraId="6AA07019"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p>
        </w:tc>
        <w:tc>
          <w:tcPr>
            <w:tcW w:w="2358" w:type="dxa"/>
            <w:shd w:val="clear" w:color="auto" w:fill="auto"/>
            <w:vAlign w:val="center"/>
          </w:tcPr>
          <w:p w14:paraId="27F9603A"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Pr>
                <w:rFonts w:cs="Arial"/>
                <w:color w:val="000000"/>
                <w:sz w:val="22"/>
                <w:szCs w:val="22"/>
                <w:vertAlign w:val="superscript"/>
                <w:lang w:eastAsia="ko-KR" w:bidi="he-IL"/>
              </w:rPr>
              <w:t>4</w:t>
            </w:r>
          </w:p>
        </w:tc>
        <w:tc>
          <w:tcPr>
            <w:tcW w:w="2552" w:type="dxa"/>
            <w:vMerge/>
            <w:shd w:val="clear" w:color="auto" w:fill="auto"/>
            <w:vAlign w:val="center"/>
          </w:tcPr>
          <w:p w14:paraId="24ED4F30" w14:textId="77777777" w:rsidR="00F97FEA" w:rsidRPr="007E4791" w:rsidRDefault="00F97FEA" w:rsidP="00EB1206">
            <w:pPr>
              <w:pStyle w:val="TextTi12"/>
              <w:spacing w:before="60" w:after="60" w:line="240" w:lineRule="auto"/>
              <w:jc w:val="left"/>
              <w:rPr>
                <w:rFonts w:cs="Arial"/>
                <w:color w:val="000000"/>
                <w:sz w:val="22"/>
                <w:szCs w:val="22"/>
                <w:lang w:eastAsia="ko-KR" w:bidi="he-IL"/>
              </w:rPr>
            </w:pPr>
          </w:p>
        </w:tc>
      </w:tr>
      <w:tr w:rsidR="00B137B3" w:rsidRPr="007E4791" w14:paraId="2275147C" w14:textId="77777777" w:rsidTr="00B137B3">
        <w:trPr>
          <w:trHeight w:val="362"/>
          <w:jc w:val="center"/>
        </w:trPr>
        <w:tc>
          <w:tcPr>
            <w:tcW w:w="0" w:type="auto"/>
            <w:vMerge w:val="restart"/>
            <w:shd w:val="clear" w:color="auto" w:fill="auto"/>
            <w:vAlign w:val="center"/>
          </w:tcPr>
          <w:p w14:paraId="170DCF7C" w14:textId="5483DF72" w:rsidR="00B137B3" w:rsidRPr="00AD5A4D" w:rsidRDefault="00B137B3" w:rsidP="00EB1206">
            <w:pPr>
              <w:pStyle w:val="TextTi12"/>
              <w:spacing w:before="60" w:after="60" w:line="240" w:lineRule="auto"/>
              <w:jc w:val="left"/>
              <w:rPr>
                <w:rFonts w:cs="Arial"/>
                <w:b/>
                <w:color w:val="000000"/>
                <w:sz w:val="22"/>
                <w:szCs w:val="22"/>
                <w:lang w:eastAsia="ko-KR" w:bidi="he-IL"/>
              </w:rPr>
            </w:pPr>
            <w:r w:rsidRPr="00AD5A4D">
              <w:rPr>
                <w:rFonts w:cs="Arial"/>
                <w:b/>
                <w:color w:val="000000"/>
                <w:sz w:val="22"/>
                <w:szCs w:val="22"/>
                <w:lang w:eastAsia="ko-KR" w:bidi="he-IL"/>
              </w:rPr>
              <w:t>Pre</w:t>
            </w:r>
            <w:r w:rsidR="00097801">
              <w:rPr>
                <w:rFonts w:cs="Arial"/>
                <w:b/>
                <w:color w:val="000000"/>
                <w:sz w:val="22"/>
                <w:szCs w:val="22"/>
                <w:lang w:eastAsia="ko-KR" w:bidi="he-IL"/>
              </w:rPr>
              <w:t>-</w:t>
            </w:r>
            <w:r w:rsidRPr="00AD5A4D">
              <w:rPr>
                <w:rFonts w:cs="Arial"/>
                <w:b/>
                <w:color w:val="000000"/>
                <w:sz w:val="22"/>
                <w:szCs w:val="22"/>
                <w:lang w:eastAsia="ko-KR" w:bidi="he-IL"/>
              </w:rPr>
              <w:t>treatment to reduce the risk of CRS induced by glofitamab</w:t>
            </w:r>
          </w:p>
        </w:tc>
        <w:tc>
          <w:tcPr>
            <w:tcW w:w="2484" w:type="dxa"/>
            <w:vMerge w:val="restart"/>
            <w:shd w:val="clear" w:color="auto" w:fill="auto"/>
            <w:vAlign w:val="center"/>
          </w:tcPr>
          <w:p w14:paraId="07DD92E7" w14:textId="73AFF9AF" w:rsidR="00B137B3" w:rsidRPr="00AD5A4D" w:rsidRDefault="00B137B3" w:rsidP="00EB1206">
            <w:pPr>
              <w:pStyle w:val="TextTi12"/>
              <w:spacing w:before="60" w:after="60" w:line="240" w:lineRule="auto"/>
              <w:jc w:val="left"/>
              <w:rPr>
                <w:rFonts w:cs="Arial"/>
                <w:color w:val="000000"/>
                <w:sz w:val="22"/>
                <w:szCs w:val="22"/>
                <w:lang w:eastAsia="ko-KR" w:bidi="he-IL"/>
              </w:rPr>
            </w:pPr>
            <w:r w:rsidRPr="00AD5A4D">
              <w:rPr>
                <w:rFonts w:cs="Arial"/>
                <w:color w:val="000000"/>
                <w:sz w:val="22"/>
                <w:szCs w:val="22"/>
                <w:lang w:eastAsia="ko-KR" w:bidi="he-IL"/>
              </w:rPr>
              <w:t>All patients</w:t>
            </w:r>
          </w:p>
        </w:tc>
        <w:tc>
          <w:tcPr>
            <w:tcW w:w="2358" w:type="dxa"/>
            <w:shd w:val="clear" w:color="auto" w:fill="auto"/>
            <w:vAlign w:val="center"/>
          </w:tcPr>
          <w:p w14:paraId="5A596D00" w14:textId="68813C37" w:rsidR="00B137B3" w:rsidRPr="00AD5A4D" w:rsidRDefault="00B137B3" w:rsidP="00EB1206">
            <w:pPr>
              <w:pStyle w:val="TextTi12"/>
              <w:spacing w:before="60" w:after="60" w:line="240" w:lineRule="auto"/>
              <w:jc w:val="left"/>
              <w:rPr>
                <w:rFonts w:cs="Arial"/>
                <w:color w:val="000000"/>
                <w:sz w:val="22"/>
                <w:szCs w:val="22"/>
                <w:lang w:eastAsia="ko-KR" w:bidi="he-IL"/>
              </w:rPr>
            </w:pPr>
            <w:r w:rsidRPr="00AD5A4D">
              <w:rPr>
                <w:rFonts w:cs="Arial"/>
                <w:sz w:val="22"/>
                <w:szCs w:val="22"/>
                <w:lang w:val="en-GB" w:eastAsia="ko-KR" w:bidi="he-IL"/>
              </w:rPr>
              <w:t>Intravenous corticosteroid</w:t>
            </w:r>
            <w:r w:rsidRPr="00AD5A4D">
              <w:rPr>
                <w:rFonts w:cs="Arial"/>
                <w:sz w:val="22"/>
                <w:szCs w:val="22"/>
                <w:vertAlign w:val="superscript"/>
                <w:lang w:val="en-GB" w:eastAsia="ko-KR" w:bidi="he-IL"/>
              </w:rPr>
              <w:t>1</w:t>
            </w:r>
          </w:p>
        </w:tc>
        <w:tc>
          <w:tcPr>
            <w:tcW w:w="2552" w:type="dxa"/>
            <w:shd w:val="clear" w:color="auto" w:fill="auto"/>
            <w:vAlign w:val="center"/>
          </w:tcPr>
          <w:p w14:paraId="33B784F9" w14:textId="22C0D7F8" w:rsidR="00B137B3" w:rsidRPr="00AD5A4D" w:rsidRDefault="00B137B3" w:rsidP="00EB1206">
            <w:pPr>
              <w:pStyle w:val="TextTi12"/>
              <w:spacing w:before="60" w:after="60" w:line="240" w:lineRule="auto"/>
              <w:jc w:val="left"/>
              <w:rPr>
                <w:rFonts w:cs="Arial"/>
                <w:color w:val="000000"/>
                <w:sz w:val="22"/>
                <w:szCs w:val="22"/>
                <w:lang w:eastAsia="ko-KR" w:bidi="he-IL"/>
              </w:rPr>
            </w:pPr>
            <w:r w:rsidRPr="00AD5A4D">
              <w:rPr>
                <w:rFonts w:cs="Arial"/>
                <w:sz w:val="22"/>
                <w:szCs w:val="22"/>
                <w:lang w:val="en-GB" w:eastAsia="ko-KR" w:bidi="he-IL"/>
              </w:rPr>
              <w:t>Completed at least 1 hour prior to Gazyva infusion.</w:t>
            </w:r>
          </w:p>
        </w:tc>
      </w:tr>
      <w:tr w:rsidR="00B137B3" w:rsidRPr="007E4791" w14:paraId="135238BD" w14:textId="77777777" w:rsidTr="002E624B">
        <w:trPr>
          <w:trHeight w:val="62"/>
          <w:jc w:val="center"/>
        </w:trPr>
        <w:tc>
          <w:tcPr>
            <w:tcW w:w="0" w:type="auto"/>
            <w:vMerge/>
            <w:shd w:val="clear" w:color="auto" w:fill="auto"/>
            <w:vAlign w:val="center"/>
          </w:tcPr>
          <w:p w14:paraId="318707F3" w14:textId="77777777" w:rsidR="00B137B3" w:rsidRPr="00AD5A4D" w:rsidRDefault="00B137B3" w:rsidP="00EB1206">
            <w:pPr>
              <w:pStyle w:val="TextTi12"/>
              <w:spacing w:before="60" w:after="60" w:line="240" w:lineRule="auto"/>
              <w:jc w:val="left"/>
              <w:rPr>
                <w:rFonts w:cs="Arial"/>
                <w:b/>
                <w:color w:val="000000"/>
                <w:sz w:val="22"/>
                <w:szCs w:val="22"/>
                <w:lang w:eastAsia="ko-KR" w:bidi="he-IL"/>
              </w:rPr>
            </w:pPr>
          </w:p>
        </w:tc>
        <w:tc>
          <w:tcPr>
            <w:tcW w:w="2484" w:type="dxa"/>
            <w:vMerge/>
            <w:shd w:val="clear" w:color="auto" w:fill="auto"/>
            <w:vAlign w:val="center"/>
          </w:tcPr>
          <w:p w14:paraId="2448B80A" w14:textId="77777777" w:rsidR="00B137B3" w:rsidRPr="00AD5A4D" w:rsidRDefault="00B137B3" w:rsidP="00EB1206">
            <w:pPr>
              <w:pStyle w:val="TextTi12"/>
              <w:spacing w:before="60" w:after="60" w:line="240" w:lineRule="auto"/>
              <w:jc w:val="left"/>
              <w:rPr>
                <w:rFonts w:cs="Arial"/>
                <w:color w:val="000000"/>
                <w:sz w:val="22"/>
                <w:szCs w:val="22"/>
                <w:lang w:eastAsia="ko-KR" w:bidi="he-IL"/>
              </w:rPr>
            </w:pPr>
          </w:p>
        </w:tc>
        <w:tc>
          <w:tcPr>
            <w:tcW w:w="2358" w:type="dxa"/>
            <w:shd w:val="clear" w:color="auto" w:fill="auto"/>
          </w:tcPr>
          <w:p w14:paraId="14C92B68" w14:textId="3DF6100A" w:rsidR="00B137B3" w:rsidRPr="00AD5A4D" w:rsidRDefault="00B137B3" w:rsidP="00EB1206">
            <w:pPr>
              <w:pStyle w:val="TextTi12"/>
              <w:spacing w:before="60" w:after="60" w:line="240" w:lineRule="auto"/>
              <w:jc w:val="left"/>
              <w:rPr>
                <w:rFonts w:cs="Arial"/>
                <w:sz w:val="22"/>
                <w:szCs w:val="22"/>
                <w:lang w:val="en-GB" w:eastAsia="ko-KR" w:bidi="he-IL"/>
              </w:rPr>
            </w:pPr>
            <w:r w:rsidRPr="00AD5A4D">
              <w:rPr>
                <w:sz w:val="22"/>
                <w:szCs w:val="22"/>
              </w:rPr>
              <w:t>Oral analgesic/anti-pyretic</w:t>
            </w:r>
            <w:r w:rsidRPr="00AD5A4D">
              <w:rPr>
                <w:sz w:val="22"/>
                <w:szCs w:val="22"/>
                <w:vertAlign w:val="superscript"/>
              </w:rPr>
              <w:t>3</w:t>
            </w:r>
          </w:p>
        </w:tc>
        <w:tc>
          <w:tcPr>
            <w:tcW w:w="2552" w:type="dxa"/>
            <w:vMerge w:val="restart"/>
            <w:shd w:val="clear" w:color="auto" w:fill="auto"/>
            <w:vAlign w:val="center"/>
          </w:tcPr>
          <w:p w14:paraId="0492EB1C" w14:textId="36F60E83" w:rsidR="00B137B3" w:rsidRPr="00AD5A4D" w:rsidRDefault="00B137B3" w:rsidP="00EB1206">
            <w:pPr>
              <w:pStyle w:val="TextTi12"/>
              <w:spacing w:before="60" w:after="60" w:line="240" w:lineRule="auto"/>
              <w:jc w:val="left"/>
              <w:rPr>
                <w:rFonts w:cs="Arial"/>
                <w:sz w:val="22"/>
                <w:szCs w:val="22"/>
                <w:lang w:val="en-GB" w:eastAsia="ko-KR" w:bidi="he-IL"/>
              </w:rPr>
            </w:pPr>
            <w:r w:rsidRPr="00AD5A4D">
              <w:rPr>
                <w:rFonts w:cs="Arial"/>
                <w:sz w:val="22"/>
                <w:szCs w:val="22"/>
                <w:lang w:val="en-GB" w:eastAsia="ko-KR" w:bidi="he-IL"/>
              </w:rPr>
              <w:t>At least 30 minutes before Gazyva infusion</w:t>
            </w:r>
          </w:p>
        </w:tc>
      </w:tr>
      <w:tr w:rsidR="00B137B3" w:rsidRPr="007E4791" w14:paraId="023FDC90" w14:textId="77777777" w:rsidTr="002E624B">
        <w:trPr>
          <w:trHeight w:val="362"/>
          <w:jc w:val="center"/>
        </w:trPr>
        <w:tc>
          <w:tcPr>
            <w:tcW w:w="0" w:type="auto"/>
            <w:vMerge/>
            <w:shd w:val="clear" w:color="auto" w:fill="auto"/>
            <w:vAlign w:val="center"/>
          </w:tcPr>
          <w:p w14:paraId="54575A8A" w14:textId="77777777" w:rsidR="00B137B3" w:rsidRPr="00B137B3" w:rsidRDefault="00B137B3" w:rsidP="00EB1206">
            <w:pPr>
              <w:pStyle w:val="TextTi12"/>
              <w:spacing w:before="60" w:after="60" w:line="240" w:lineRule="auto"/>
              <w:jc w:val="left"/>
              <w:rPr>
                <w:rFonts w:cs="Arial"/>
                <w:b/>
                <w:color w:val="000000"/>
                <w:sz w:val="22"/>
                <w:szCs w:val="22"/>
                <w:lang w:eastAsia="ko-KR" w:bidi="he-IL"/>
              </w:rPr>
            </w:pPr>
          </w:p>
        </w:tc>
        <w:tc>
          <w:tcPr>
            <w:tcW w:w="2484" w:type="dxa"/>
            <w:vMerge/>
            <w:shd w:val="clear" w:color="auto" w:fill="auto"/>
            <w:vAlign w:val="center"/>
          </w:tcPr>
          <w:p w14:paraId="36393C98" w14:textId="77777777" w:rsidR="00B137B3" w:rsidRPr="00B137B3" w:rsidRDefault="00B137B3" w:rsidP="00EB1206">
            <w:pPr>
              <w:pStyle w:val="TextTi12"/>
              <w:spacing w:before="60" w:after="60" w:line="240" w:lineRule="auto"/>
              <w:jc w:val="left"/>
              <w:rPr>
                <w:rFonts w:cs="Arial"/>
                <w:color w:val="000000"/>
                <w:sz w:val="22"/>
                <w:szCs w:val="22"/>
                <w:lang w:eastAsia="ko-KR" w:bidi="he-IL"/>
              </w:rPr>
            </w:pPr>
          </w:p>
        </w:tc>
        <w:tc>
          <w:tcPr>
            <w:tcW w:w="2358" w:type="dxa"/>
            <w:shd w:val="clear" w:color="auto" w:fill="auto"/>
          </w:tcPr>
          <w:p w14:paraId="4CD6729A" w14:textId="23D21EAF" w:rsidR="00B137B3" w:rsidRPr="00B137B3" w:rsidRDefault="00B137B3" w:rsidP="00EB1206">
            <w:pPr>
              <w:pStyle w:val="TextTi12"/>
              <w:spacing w:before="60" w:after="60" w:line="240" w:lineRule="auto"/>
              <w:jc w:val="left"/>
              <w:rPr>
                <w:rFonts w:cs="Arial"/>
                <w:sz w:val="22"/>
                <w:szCs w:val="22"/>
                <w:lang w:val="en-GB" w:eastAsia="ko-KR" w:bidi="he-IL"/>
              </w:rPr>
            </w:pPr>
            <w:r w:rsidRPr="00B137B3">
              <w:rPr>
                <w:sz w:val="22"/>
                <w:szCs w:val="22"/>
              </w:rPr>
              <w:t>Anti-histaminic drug</w:t>
            </w:r>
            <w:r w:rsidRPr="00B137B3">
              <w:rPr>
                <w:sz w:val="22"/>
                <w:szCs w:val="22"/>
                <w:vertAlign w:val="superscript"/>
              </w:rPr>
              <w:t>4</w:t>
            </w:r>
          </w:p>
        </w:tc>
        <w:tc>
          <w:tcPr>
            <w:tcW w:w="2552" w:type="dxa"/>
            <w:vMerge/>
            <w:shd w:val="clear" w:color="auto" w:fill="auto"/>
            <w:vAlign w:val="center"/>
          </w:tcPr>
          <w:p w14:paraId="59F7608D" w14:textId="77777777" w:rsidR="00B137B3" w:rsidRPr="00B137B3" w:rsidRDefault="00B137B3" w:rsidP="00EB1206">
            <w:pPr>
              <w:pStyle w:val="TextTi12"/>
              <w:spacing w:before="60" w:after="60" w:line="240" w:lineRule="auto"/>
              <w:jc w:val="left"/>
              <w:rPr>
                <w:rFonts w:cs="Arial"/>
                <w:sz w:val="22"/>
                <w:szCs w:val="22"/>
                <w:lang w:val="en-GB" w:eastAsia="ko-KR" w:bidi="he-IL"/>
              </w:rPr>
            </w:pPr>
          </w:p>
        </w:tc>
      </w:tr>
    </w:tbl>
    <w:p w14:paraId="0B3D7746" w14:textId="026CE40C" w:rsidR="00F97FEA" w:rsidRPr="00C8539B" w:rsidRDefault="00F97FEA" w:rsidP="00EB1206">
      <w:pPr>
        <w:pStyle w:val="TextTi12"/>
        <w:spacing w:after="0" w:line="240" w:lineRule="auto"/>
        <w:jc w:val="left"/>
        <w:rPr>
          <w:rFonts w:cs="Arial"/>
          <w:color w:val="000000"/>
          <w:sz w:val="20"/>
          <w:lang w:eastAsia="ko-KR" w:bidi="he-IL"/>
        </w:rPr>
      </w:pPr>
      <w:r w:rsidRPr="00C8539B">
        <w:rPr>
          <w:rFonts w:cs="Arial"/>
          <w:color w:val="000000"/>
          <w:sz w:val="20"/>
          <w:vertAlign w:val="superscript"/>
          <w:lang w:eastAsia="ko-KR" w:bidi="he-IL"/>
        </w:rPr>
        <w:t>*</w:t>
      </w:r>
      <w:r w:rsidRPr="00C8539B">
        <w:rPr>
          <w:rFonts w:cs="Arial"/>
          <w:color w:val="000000"/>
          <w:sz w:val="20"/>
          <w:lang w:eastAsia="ko-KR" w:bidi="he-IL"/>
        </w:rPr>
        <w:t xml:space="preserve">If the 100 mg dose of </w:t>
      </w:r>
      <w:r>
        <w:rPr>
          <w:rFonts w:cs="Arial"/>
          <w:color w:val="000000"/>
          <w:sz w:val="20"/>
          <w:lang w:eastAsia="ko-KR" w:bidi="he-IL"/>
        </w:rPr>
        <w:t>Gazyva</w:t>
      </w:r>
      <w:r w:rsidRPr="00C8539B">
        <w:rPr>
          <w:rFonts w:cs="Arial"/>
          <w:color w:val="000000"/>
          <w:sz w:val="20"/>
          <w:lang w:eastAsia="ko-KR" w:bidi="he-IL"/>
        </w:rPr>
        <w:t xml:space="preserve"> is administered without interruption or modification of the infusion rate the subsequent 900 mg dose may also be administered on the same day (see Table </w:t>
      </w:r>
      <w:r w:rsidR="005D2569">
        <w:rPr>
          <w:rFonts w:cs="Arial"/>
          <w:color w:val="000000"/>
          <w:sz w:val="20"/>
          <w:lang w:eastAsia="ko-KR" w:bidi="he-IL"/>
        </w:rPr>
        <w:t>5</w:t>
      </w:r>
      <w:r w:rsidRPr="00C8539B">
        <w:rPr>
          <w:rFonts w:cs="Arial"/>
          <w:color w:val="000000"/>
          <w:sz w:val="20"/>
          <w:lang w:eastAsia="ko-KR" w:bidi="he-IL"/>
        </w:rPr>
        <w:t>). In the event the 900 mg dose is given on the same day no additional premedication is required prior to commencement of the 900 mg dose.</w:t>
      </w:r>
    </w:p>
    <w:p w14:paraId="50156F20" w14:textId="4A7A82D5" w:rsidR="00F97FEA" w:rsidRDefault="00F97FEA" w:rsidP="00EB1206">
      <w:pPr>
        <w:pStyle w:val="TextTi12"/>
        <w:spacing w:after="0" w:line="240" w:lineRule="auto"/>
        <w:jc w:val="left"/>
        <w:rPr>
          <w:rFonts w:cs="Arial"/>
          <w:color w:val="000000"/>
          <w:sz w:val="20"/>
          <w:lang w:eastAsia="ko-KR" w:bidi="he-IL"/>
        </w:rPr>
      </w:pPr>
      <w:r w:rsidRPr="00C8539B">
        <w:rPr>
          <w:rFonts w:cs="Arial"/>
          <w:color w:val="000000"/>
          <w:sz w:val="20"/>
          <w:vertAlign w:val="superscript"/>
          <w:lang w:eastAsia="ko-KR" w:bidi="he-IL"/>
        </w:rPr>
        <w:t>1</w:t>
      </w:r>
      <w:r w:rsidRPr="00C8539B">
        <w:rPr>
          <w:rFonts w:cs="Arial"/>
          <w:color w:val="000000"/>
          <w:sz w:val="20"/>
          <w:lang w:eastAsia="ko-KR" w:bidi="he-IL"/>
        </w:rPr>
        <w:t xml:space="preserve"> 20 mg </w:t>
      </w:r>
      <w:r w:rsidR="00B137B3">
        <w:rPr>
          <w:rFonts w:cs="Arial"/>
          <w:color w:val="000000"/>
          <w:sz w:val="20"/>
          <w:lang w:eastAsia="ko-KR" w:bidi="he-IL"/>
        </w:rPr>
        <w:t xml:space="preserve">IV </w:t>
      </w:r>
      <w:r w:rsidRPr="00C8539B">
        <w:rPr>
          <w:rFonts w:cs="Arial"/>
          <w:color w:val="000000"/>
          <w:sz w:val="20"/>
          <w:lang w:eastAsia="ko-KR" w:bidi="he-IL"/>
        </w:rPr>
        <w:t>dexamethasone or 80 mg</w:t>
      </w:r>
      <w:r w:rsidR="00B137B3">
        <w:rPr>
          <w:rFonts w:cs="Arial"/>
          <w:color w:val="000000"/>
          <w:sz w:val="20"/>
          <w:lang w:eastAsia="ko-KR" w:bidi="he-IL"/>
        </w:rPr>
        <w:t xml:space="preserve"> IV</w:t>
      </w:r>
      <w:r w:rsidRPr="00C8539B">
        <w:rPr>
          <w:rFonts w:cs="Arial"/>
          <w:color w:val="000000"/>
          <w:sz w:val="20"/>
          <w:lang w:eastAsia="ko-KR" w:bidi="he-IL"/>
        </w:rPr>
        <w:t xml:space="preserve"> methylprednisolone. Hydrocortisone is not recommended as it has not been effective in reducing the rate of infusion reactions</w:t>
      </w:r>
    </w:p>
    <w:p w14:paraId="61550F64" w14:textId="77777777" w:rsidR="00F97FEA" w:rsidRPr="00C8539B" w:rsidRDefault="00F97FEA" w:rsidP="00EB1206">
      <w:pPr>
        <w:pStyle w:val="TextTi12"/>
        <w:spacing w:after="0" w:line="240" w:lineRule="auto"/>
        <w:jc w:val="left"/>
        <w:rPr>
          <w:rFonts w:cs="Arial"/>
          <w:color w:val="000000"/>
          <w:sz w:val="20"/>
          <w:lang w:eastAsia="ko-KR" w:bidi="he-IL"/>
        </w:rPr>
      </w:pPr>
      <w:r w:rsidRPr="00AF6956">
        <w:rPr>
          <w:rFonts w:cs="Arial"/>
          <w:color w:val="000000"/>
          <w:sz w:val="20"/>
          <w:vertAlign w:val="superscript"/>
          <w:lang w:eastAsia="ko-KR" w:bidi="he-IL"/>
        </w:rPr>
        <w:t>2</w:t>
      </w:r>
      <w:r>
        <w:rPr>
          <w:rFonts w:cs="Arial"/>
          <w:color w:val="000000"/>
          <w:sz w:val="20"/>
          <w:lang w:eastAsia="ko-KR" w:bidi="he-IL"/>
        </w:rPr>
        <w:t xml:space="preserve"> If a corticosteroid-containing chemotherapy regimen is administered on the same day as Gazyva the corticosteroid can be administered as an oral medication if given at least 60 minutes prior to Gazyva, in which case additional IV corticosteroid as premedication is not required.</w:t>
      </w:r>
    </w:p>
    <w:p w14:paraId="173C5755" w14:textId="77777777" w:rsidR="00F97FEA" w:rsidRPr="00FF1D63" w:rsidRDefault="00F97FEA" w:rsidP="00EB1206">
      <w:pPr>
        <w:pStyle w:val="TextTi12"/>
        <w:spacing w:after="0" w:line="240" w:lineRule="auto"/>
        <w:jc w:val="left"/>
        <w:rPr>
          <w:rFonts w:cs="Arial"/>
          <w:color w:val="000000"/>
          <w:sz w:val="20"/>
          <w:lang w:val="pt-BR" w:eastAsia="ko-KR" w:bidi="he-IL"/>
        </w:rPr>
      </w:pPr>
      <w:r w:rsidRPr="00FF1D63">
        <w:rPr>
          <w:rFonts w:cs="Arial"/>
          <w:color w:val="000000"/>
          <w:sz w:val="20"/>
          <w:vertAlign w:val="superscript"/>
          <w:lang w:val="pt-BR" w:eastAsia="ko-KR" w:bidi="he-IL"/>
        </w:rPr>
        <w:t>3</w:t>
      </w:r>
      <w:r w:rsidRPr="00FF1D63">
        <w:rPr>
          <w:rFonts w:cs="Arial"/>
          <w:color w:val="000000"/>
          <w:sz w:val="20"/>
          <w:lang w:val="pt-BR" w:eastAsia="ko-KR" w:bidi="he-IL"/>
        </w:rPr>
        <w:t xml:space="preserve"> e.g. 1000 mg paracetamol</w:t>
      </w:r>
    </w:p>
    <w:p w14:paraId="00EF0FDB" w14:textId="77777777" w:rsidR="00F97FEA" w:rsidRPr="00FF1D63" w:rsidRDefault="00F97FEA" w:rsidP="00EB1206">
      <w:pPr>
        <w:pStyle w:val="TextTi12"/>
        <w:spacing w:after="0" w:line="240" w:lineRule="auto"/>
        <w:jc w:val="left"/>
        <w:rPr>
          <w:rFonts w:cs="Arial"/>
          <w:color w:val="000000"/>
          <w:sz w:val="20"/>
          <w:lang w:val="pt-BR" w:eastAsia="ko-KR" w:bidi="he-IL"/>
        </w:rPr>
      </w:pPr>
      <w:r w:rsidRPr="00FF1D63">
        <w:rPr>
          <w:rFonts w:cs="Arial"/>
          <w:color w:val="000000"/>
          <w:sz w:val="20"/>
          <w:vertAlign w:val="superscript"/>
          <w:lang w:val="pt-BR" w:eastAsia="ko-KR" w:bidi="he-IL"/>
        </w:rPr>
        <w:t>4</w:t>
      </w:r>
      <w:r w:rsidRPr="00FF1D63">
        <w:rPr>
          <w:rFonts w:cs="Arial"/>
          <w:color w:val="000000"/>
          <w:sz w:val="20"/>
          <w:lang w:val="pt-BR" w:eastAsia="ko-KR" w:bidi="he-IL"/>
        </w:rPr>
        <w:t xml:space="preserve"> H1 histamine receptor blockade </w:t>
      </w:r>
    </w:p>
    <w:p w14:paraId="6E3FEBF8" w14:textId="77777777" w:rsidR="00F97FEA" w:rsidRPr="00A01C63" w:rsidRDefault="00F97FEA" w:rsidP="00EB1206">
      <w:pPr>
        <w:pStyle w:val="Heading4"/>
        <w:rPr>
          <w:lang w:eastAsia="ko-KR" w:bidi="he-IL"/>
        </w:rPr>
      </w:pPr>
      <w:r w:rsidRPr="00A01C63">
        <w:rPr>
          <w:lang w:eastAsia="ko-KR" w:bidi="he-IL"/>
        </w:rPr>
        <w:t>Standard Dosage</w:t>
      </w:r>
    </w:p>
    <w:p w14:paraId="254C77C4" w14:textId="77777777" w:rsidR="00F97FEA" w:rsidRPr="008A3DA8" w:rsidRDefault="00F97FEA" w:rsidP="00EB1206">
      <w:pPr>
        <w:pStyle w:val="Heading5"/>
        <w:spacing w:before="0"/>
        <w:rPr>
          <w:b/>
          <w:u w:val="single"/>
        </w:rPr>
      </w:pPr>
      <w:r w:rsidRPr="008A3DA8">
        <w:rPr>
          <w:b/>
          <w:u w:val="single"/>
        </w:rPr>
        <w:t>Chronic Lymphocytic Leukaemia (in combination with chlorambucil</w:t>
      </w:r>
      <w:r w:rsidRPr="008A3DA8">
        <w:rPr>
          <w:b/>
          <w:u w:val="single"/>
          <w:vertAlign w:val="superscript"/>
        </w:rPr>
        <w:t>*</w:t>
      </w:r>
      <w:r w:rsidRPr="008A3DA8">
        <w:rPr>
          <w:b/>
          <w:u w:val="single"/>
        </w:rPr>
        <w:t>)</w:t>
      </w:r>
    </w:p>
    <w:p w14:paraId="019B6429" w14:textId="77777777" w:rsidR="00F97FEA" w:rsidRPr="00206DA4" w:rsidRDefault="00F97FEA" w:rsidP="00EB1206">
      <w:pPr>
        <w:pStyle w:val="Heading6"/>
        <w:rPr>
          <w:lang w:eastAsia="ko-KR" w:bidi="he-IL"/>
        </w:rPr>
      </w:pPr>
      <w:r w:rsidRPr="00206DA4">
        <w:rPr>
          <w:lang w:eastAsia="ko-KR" w:bidi="he-IL"/>
        </w:rPr>
        <w:t>Cycle 1</w:t>
      </w:r>
    </w:p>
    <w:p w14:paraId="415E3716" w14:textId="6DE5CBB0" w:rsidR="00F97FEA" w:rsidRDefault="00F97FEA" w:rsidP="00EB1206">
      <w:pPr>
        <w:pStyle w:val="TextTi12"/>
        <w:spacing w:line="240" w:lineRule="auto"/>
        <w:jc w:val="left"/>
        <w:rPr>
          <w:rFonts w:cs="Arial"/>
          <w:color w:val="000000"/>
          <w:lang w:eastAsia="ko-KR" w:bidi="he-IL"/>
        </w:rPr>
      </w:pPr>
      <w:r w:rsidRPr="000A0780">
        <w:rPr>
          <w:rFonts w:cs="Arial"/>
          <w:color w:val="000000"/>
          <w:lang w:eastAsia="ko-KR" w:bidi="he-IL"/>
        </w:rPr>
        <w:t xml:space="preserve">The recommended dosage of </w:t>
      </w:r>
      <w:r>
        <w:t>Gazyva</w:t>
      </w:r>
      <w:r w:rsidRPr="000A0780">
        <w:rPr>
          <w:rFonts w:cs="Arial"/>
          <w:color w:val="000000"/>
          <w:lang w:eastAsia="ko-KR" w:bidi="he-IL"/>
        </w:rPr>
        <w:t xml:space="preserve"> is</w:t>
      </w:r>
      <w:r>
        <w:rPr>
          <w:rFonts w:cs="Arial"/>
          <w:color w:val="000000"/>
          <w:lang w:eastAsia="ko-KR" w:bidi="he-IL"/>
        </w:rPr>
        <w:t xml:space="preserve"> 1000 mg administered over Day 1 and </w:t>
      </w:r>
      <w:r w:rsidRPr="00E4495E">
        <w:rPr>
          <w:rFonts w:cs="Arial"/>
          <w:color w:val="000000"/>
          <w:lang w:eastAsia="ko-KR" w:bidi="he-IL"/>
        </w:rPr>
        <w:t>2</w:t>
      </w:r>
      <w:r>
        <w:rPr>
          <w:rFonts w:cs="Arial"/>
          <w:color w:val="000000"/>
          <w:lang w:eastAsia="ko-KR" w:bidi="he-IL"/>
        </w:rPr>
        <w:t>, and on</w:t>
      </w:r>
      <w:r w:rsidRPr="00E4495E">
        <w:rPr>
          <w:rFonts w:cs="Arial"/>
          <w:color w:val="000000"/>
          <w:lang w:eastAsia="ko-KR" w:bidi="he-IL"/>
        </w:rPr>
        <w:t xml:space="preserve"> </w:t>
      </w:r>
      <w:r>
        <w:rPr>
          <w:rFonts w:cs="Arial"/>
          <w:color w:val="000000"/>
          <w:lang w:eastAsia="ko-KR" w:bidi="he-IL"/>
        </w:rPr>
        <w:t>Day 8 and Da</w:t>
      </w:r>
      <w:r w:rsidRPr="00E4495E">
        <w:rPr>
          <w:rFonts w:cs="Arial"/>
          <w:color w:val="000000"/>
          <w:lang w:eastAsia="ko-KR" w:bidi="he-IL"/>
        </w:rPr>
        <w:t xml:space="preserve">y 15 of the first </w:t>
      </w:r>
      <w:proofErr w:type="gramStart"/>
      <w:r w:rsidRPr="00E4495E">
        <w:rPr>
          <w:rFonts w:cs="Arial"/>
          <w:color w:val="000000"/>
          <w:lang w:eastAsia="ko-KR" w:bidi="he-IL"/>
        </w:rPr>
        <w:t>28 day</w:t>
      </w:r>
      <w:proofErr w:type="gramEnd"/>
      <w:r w:rsidRPr="00E4495E">
        <w:rPr>
          <w:rFonts w:cs="Arial"/>
          <w:color w:val="000000"/>
          <w:lang w:eastAsia="ko-KR" w:bidi="he-IL"/>
        </w:rPr>
        <w:t xml:space="preserve"> treatment cycle </w:t>
      </w:r>
      <w:r>
        <w:rPr>
          <w:rFonts w:cs="Arial"/>
          <w:color w:val="000000"/>
          <w:lang w:eastAsia="ko-KR" w:bidi="he-IL"/>
        </w:rPr>
        <w:t xml:space="preserve">as </w:t>
      </w:r>
      <w:r w:rsidRPr="000A0780">
        <w:rPr>
          <w:rFonts w:cs="Arial"/>
          <w:color w:val="000000"/>
          <w:lang w:eastAsia="ko-KR" w:bidi="he-IL"/>
        </w:rPr>
        <w:t xml:space="preserve">shown in Table </w:t>
      </w:r>
      <w:r w:rsidR="00690B6B">
        <w:rPr>
          <w:rFonts w:cs="Arial"/>
          <w:color w:val="000000"/>
          <w:lang w:eastAsia="ko-KR" w:bidi="he-IL"/>
        </w:rPr>
        <w:t>2</w:t>
      </w:r>
      <w:r>
        <w:rPr>
          <w:rFonts w:cs="Arial"/>
          <w:color w:val="000000"/>
          <w:lang w:eastAsia="ko-KR" w:bidi="he-IL"/>
        </w:rPr>
        <w:t>.</w:t>
      </w:r>
    </w:p>
    <w:p w14:paraId="567417B1" w14:textId="77777777" w:rsidR="00F97FEA" w:rsidRDefault="00F97FEA" w:rsidP="00EB1206">
      <w:pPr>
        <w:pStyle w:val="TextTi12"/>
        <w:spacing w:line="240" w:lineRule="auto"/>
        <w:jc w:val="left"/>
        <w:rPr>
          <w:rFonts w:cs="Arial"/>
          <w:color w:val="000000"/>
          <w:lang w:eastAsia="ko-KR" w:bidi="he-IL"/>
        </w:rPr>
      </w:pPr>
      <w:r>
        <w:rPr>
          <w:rFonts w:cs="Arial"/>
          <w:color w:val="000000"/>
          <w:lang w:eastAsia="ko-KR" w:bidi="he-IL"/>
        </w:rPr>
        <w:t xml:space="preserve">Two infusion bags should be </w:t>
      </w:r>
      <w:proofErr w:type="gramStart"/>
      <w:r>
        <w:rPr>
          <w:rFonts w:cs="Arial"/>
          <w:color w:val="000000"/>
          <w:lang w:eastAsia="ko-KR" w:bidi="he-IL"/>
        </w:rPr>
        <w:t>prepared;</w:t>
      </w:r>
      <w:proofErr w:type="gramEnd"/>
      <w:r>
        <w:rPr>
          <w:rFonts w:cs="Arial"/>
          <w:color w:val="000000"/>
          <w:lang w:eastAsia="ko-KR" w:bidi="he-IL"/>
        </w:rPr>
        <w:t xml:space="preserve"> one for the first infusion of 100 mg and one for the second infusion of 900 mg. If the 100 mg dose is completed without modifications of the infusion rate or interruptions, the 900 mg dose can be administered on the same day (no dose delay necessary) provided that appropriate time, conditions and medical supervision are available throughout the infusion. If there are any modifications of the infusion rate or interruptions during the first 100 mg the 900 mg infusion must be administered the following day (see Table </w:t>
      </w:r>
      <w:r w:rsidR="00D41F48">
        <w:rPr>
          <w:rFonts w:cs="Arial"/>
          <w:color w:val="000000"/>
          <w:lang w:eastAsia="ko-KR" w:bidi="he-IL"/>
        </w:rPr>
        <w:t>2</w:t>
      </w:r>
      <w:r>
        <w:rPr>
          <w:rFonts w:cs="Arial"/>
          <w:color w:val="000000"/>
          <w:lang w:eastAsia="ko-KR" w:bidi="he-IL"/>
        </w:rPr>
        <w:t xml:space="preserve">). </w:t>
      </w:r>
    </w:p>
    <w:p w14:paraId="3EBDB84B" w14:textId="77777777" w:rsidR="00F97FEA" w:rsidRDefault="00F97FEA" w:rsidP="00EB1206">
      <w:pPr>
        <w:pStyle w:val="Heading6"/>
        <w:rPr>
          <w:lang w:eastAsia="ko-KR" w:bidi="he-IL"/>
        </w:rPr>
      </w:pPr>
      <w:r>
        <w:rPr>
          <w:lang w:eastAsia="ko-KR" w:bidi="he-IL"/>
        </w:rPr>
        <w:t>Cycles 2-6</w:t>
      </w:r>
    </w:p>
    <w:p w14:paraId="0F53EAAB" w14:textId="464F47A7" w:rsidR="00F97FEA" w:rsidRPr="000A0780" w:rsidRDefault="00F97FEA" w:rsidP="00EB1206">
      <w:pPr>
        <w:pStyle w:val="TextTi12"/>
        <w:spacing w:line="240" w:lineRule="auto"/>
        <w:jc w:val="left"/>
        <w:rPr>
          <w:rFonts w:cs="Arial"/>
          <w:color w:val="000000"/>
          <w:lang w:eastAsia="ko-KR" w:bidi="he-IL"/>
        </w:rPr>
      </w:pPr>
      <w:r>
        <w:rPr>
          <w:rFonts w:cs="Arial"/>
          <w:color w:val="000000"/>
          <w:lang w:eastAsia="ko-KR" w:bidi="he-IL"/>
        </w:rPr>
        <w:t xml:space="preserve">The recommended dosage of </w:t>
      </w:r>
      <w:r>
        <w:t>Gazyva</w:t>
      </w:r>
      <w:r>
        <w:rPr>
          <w:rFonts w:cs="Arial"/>
          <w:color w:val="000000"/>
          <w:lang w:eastAsia="ko-KR" w:bidi="he-IL"/>
        </w:rPr>
        <w:t xml:space="preserve"> is 1000 mg administered on Day 1 for each </w:t>
      </w:r>
      <w:proofErr w:type="gramStart"/>
      <w:r>
        <w:rPr>
          <w:rFonts w:cs="Arial"/>
          <w:color w:val="000000"/>
          <w:lang w:eastAsia="ko-KR" w:bidi="he-IL"/>
        </w:rPr>
        <w:t>28</w:t>
      </w:r>
      <w:r w:rsidR="002A3820">
        <w:rPr>
          <w:rFonts w:cs="Arial"/>
          <w:color w:val="000000"/>
          <w:lang w:eastAsia="ko-KR" w:bidi="he-IL"/>
        </w:rPr>
        <w:t xml:space="preserve"> </w:t>
      </w:r>
      <w:r>
        <w:rPr>
          <w:rFonts w:cs="Arial"/>
          <w:color w:val="000000"/>
          <w:lang w:eastAsia="ko-KR" w:bidi="he-IL"/>
        </w:rPr>
        <w:t>day</w:t>
      </w:r>
      <w:proofErr w:type="gramEnd"/>
      <w:r>
        <w:rPr>
          <w:rFonts w:cs="Arial"/>
          <w:color w:val="000000"/>
          <w:lang w:eastAsia="ko-KR" w:bidi="he-IL"/>
        </w:rPr>
        <w:t xml:space="preserve"> treatment cycle as shown in Table </w:t>
      </w:r>
      <w:r w:rsidR="00FF1D63">
        <w:rPr>
          <w:rFonts w:cs="Arial"/>
          <w:color w:val="000000"/>
          <w:lang w:eastAsia="ko-KR" w:bidi="he-IL"/>
        </w:rPr>
        <w:t>2</w:t>
      </w:r>
      <w:r>
        <w:rPr>
          <w:rFonts w:cs="Arial"/>
          <w:color w:val="000000"/>
          <w:lang w:eastAsia="ko-KR" w:bidi="he-IL"/>
        </w:rPr>
        <w:t>.</w:t>
      </w:r>
    </w:p>
    <w:p w14:paraId="215E584C" w14:textId="77777777" w:rsidR="00F97FEA" w:rsidRPr="000A0780" w:rsidRDefault="00F97FEA" w:rsidP="00EB1206">
      <w:pPr>
        <w:keepNext/>
        <w:keepLines/>
        <w:tabs>
          <w:tab w:val="left" w:pos="0"/>
        </w:tabs>
        <w:spacing w:after="120"/>
        <w:rPr>
          <w:rFonts w:cs="Arial"/>
          <w:b/>
        </w:rPr>
      </w:pPr>
      <w:r>
        <w:rPr>
          <w:rFonts w:cs="Arial"/>
          <w:b/>
        </w:rPr>
        <w:lastRenderedPageBreak/>
        <w:t xml:space="preserve">Table </w:t>
      </w:r>
      <w:r w:rsidR="00D41F48">
        <w:rPr>
          <w:rFonts w:cs="Arial"/>
          <w:b/>
        </w:rPr>
        <w:t xml:space="preserve">2 </w:t>
      </w:r>
      <w:r>
        <w:rPr>
          <w:rFonts w:cs="Arial"/>
          <w:b/>
        </w:rPr>
        <w:t>Dose and infusion rate of Gazyva for patients with CLL</w:t>
      </w:r>
    </w:p>
    <w:tbl>
      <w:tblPr>
        <w:tblW w:w="929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49"/>
        <w:gridCol w:w="1588"/>
        <w:gridCol w:w="2227"/>
        <w:gridCol w:w="3727"/>
      </w:tblGrid>
      <w:tr w:rsidR="00F97FEA" w:rsidRPr="000A0780" w14:paraId="3DECF848" w14:textId="77777777" w:rsidTr="00CE03AC">
        <w:trPr>
          <w:tblHeader/>
          <w:jc w:val="center"/>
        </w:trPr>
        <w:tc>
          <w:tcPr>
            <w:tcW w:w="3337" w:type="dxa"/>
            <w:gridSpan w:val="2"/>
            <w:shd w:val="clear" w:color="auto" w:fill="auto"/>
            <w:vAlign w:val="center"/>
          </w:tcPr>
          <w:p w14:paraId="3B6E1B99" w14:textId="77777777" w:rsidR="00F97FEA" w:rsidRPr="000A0780" w:rsidRDefault="00F97FEA" w:rsidP="00EB1206">
            <w:pPr>
              <w:spacing w:before="60" w:after="60"/>
              <w:ind w:right="357"/>
              <w:rPr>
                <w:rFonts w:cs="Arial"/>
                <w:b/>
                <w:sz w:val="22"/>
              </w:rPr>
            </w:pPr>
            <w:r w:rsidRPr="000A0780">
              <w:rPr>
                <w:rFonts w:cs="Arial"/>
                <w:b/>
                <w:sz w:val="22"/>
              </w:rPr>
              <w:t>Day of Treatment Cycle</w:t>
            </w:r>
          </w:p>
        </w:tc>
        <w:tc>
          <w:tcPr>
            <w:tcW w:w="2227" w:type="dxa"/>
            <w:shd w:val="clear" w:color="auto" w:fill="auto"/>
            <w:vAlign w:val="center"/>
          </w:tcPr>
          <w:p w14:paraId="0A259B12" w14:textId="77777777" w:rsidR="00F97FEA" w:rsidRPr="000A0780" w:rsidRDefault="00F97FEA" w:rsidP="00EB1206">
            <w:pPr>
              <w:spacing w:before="60" w:after="60"/>
              <w:ind w:right="357"/>
              <w:rPr>
                <w:rFonts w:cs="Arial"/>
                <w:b/>
                <w:sz w:val="22"/>
              </w:rPr>
            </w:pPr>
            <w:r w:rsidRPr="000A0780">
              <w:rPr>
                <w:rFonts w:cs="Arial"/>
                <w:b/>
                <w:sz w:val="22"/>
              </w:rPr>
              <w:t>Dose of</w:t>
            </w:r>
            <w:r>
              <w:rPr>
                <w:rFonts w:cs="Arial"/>
                <w:b/>
                <w:sz w:val="22"/>
              </w:rPr>
              <w:t xml:space="preserve"> Gazyva</w:t>
            </w:r>
          </w:p>
        </w:tc>
        <w:tc>
          <w:tcPr>
            <w:tcW w:w="3727" w:type="dxa"/>
            <w:vAlign w:val="center"/>
          </w:tcPr>
          <w:p w14:paraId="5FBAB6E3" w14:textId="77777777" w:rsidR="00F97FEA" w:rsidRDefault="00F97FEA" w:rsidP="00EB1206">
            <w:pPr>
              <w:spacing w:before="60" w:after="60"/>
              <w:ind w:right="357"/>
              <w:rPr>
                <w:rFonts w:cs="Arial"/>
                <w:b/>
                <w:sz w:val="22"/>
              </w:rPr>
            </w:pPr>
            <w:r w:rsidRPr="000A0780">
              <w:rPr>
                <w:rFonts w:cs="Arial"/>
                <w:b/>
                <w:sz w:val="22"/>
              </w:rPr>
              <w:t>Rate of infu</w:t>
            </w:r>
            <w:r>
              <w:rPr>
                <w:rFonts w:cs="Arial"/>
                <w:b/>
                <w:sz w:val="22"/>
              </w:rPr>
              <w:t>sion</w:t>
            </w:r>
          </w:p>
          <w:p w14:paraId="190708E5" w14:textId="26754F31" w:rsidR="00F97FEA" w:rsidRPr="000E5941" w:rsidRDefault="00F97FEA" w:rsidP="00EB1206">
            <w:pPr>
              <w:spacing w:before="60" w:after="60"/>
              <w:ind w:right="357"/>
              <w:rPr>
                <w:rFonts w:cs="Arial"/>
                <w:sz w:val="22"/>
                <w:vertAlign w:val="superscript"/>
              </w:rPr>
            </w:pPr>
            <w:r>
              <w:rPr>
                <w:rFonts w:cs="Arial"/>
                <w:sz w:val="22"/>
              </w:rPr>
              <w:t xml:space="preserve">For management of IRRs that occur during infusion, refer to Table </w:t>
            </w:r>
            <w:r w:rsidR="005D2569">
              <w:rPr>
                <w:rFonts w:cs="Arial"/>
                <w:sz w:val="22"/>
              </w:rPr>
              <w:t>5</w:t>
            </w:r>
          </w:p>
        </w:tc>
      </w:tr>
      <w:tr w:rsidR="00F97FEA" w:rsidRPr="000A0780" w14:paraId="4CA525D0" w14:textId="77777777" w:rsidTr="00CE03AC">
        <w:trPr>
          <w:trHeight w:val="541"/>
          <w:jc w:val="center"/>
        </w:trPr>
        <w:tc>
          <w:tcPr>
            <w:tcW w:w="1749" w:type="dxa"/>
            <w:vMerge w:val="restart"/>
            <w:shd w:val="clear" w:color="auto" w:fill="auto"/>
            <w:vAlign w:val="center"/>
          </w:tcPr>
          <w:p w14:paraId="46FDB9BF" w14:textId="77777777" w:rsidR="00F97FEA" w:rsidRPr="000A0780" w:rsidRDefault="00F97FEA" w:rsidP="00EB1206">
            <w:pPr>
              <w:ind w:right="357"/>
              <w:rPr>
                <w:rFonts w:cs="Arial"/>
                <w:b/>
                <w:sz w:val="22"/>
              </w:rPr>
            </w:pPr>
            <w:r w:rsidRPr="000A0780">
              <w:rPr>
                <w:rFonts w:cs="Arial"/>
                <w:b/>
                <w:sz w:val="22"/>
              </w:rPr>
              <w:t>Cycle 1</w:t>
            </w:r>
          </w:p>
        </w:tc>
        <w:tc>
          <w:tcPr>
            <w:tcW w:w="1588" w:type="dxa"/>
            <w:shd w:val="clear" w:color="auto" w:fill="auto"/>
            <w:vAlign w:val="center"/>
          </w:tcPr>
          <w:p w14:paraId="0ECBBB31" w14:textId="77777777" w:rsidR="00F97FEA" w:rsidRPr="000A0780" w:rsidRDefault="00F97FEA" w:rsidP="00EB1206">
            <w:pPr>
              <w:spacing w:before="60" w:after="60"/>
              <w:ind w:right="357"/>
              <w:rPr>
                <w:rFonts w:cs="Arial"/>
                <w:sz w:val="22"/>
              </w:rPr>
            </w:pPr>
            <w:r w:rsidRPr="000A0780">
              <w:rPr>
                <w:rFonts w:cs="Arial"/>
                <w:sz w:val="22"/>
              </w:rPr>
              <w:t>Day 1</w:t>
            </w:r>
          </w:p>
        </w:tc>
        <w:tc>
          <w:tcPr>
            <w:tcW w:w="2227" w:type="dxa"/>
            <w:shd w:val="clear" w:color="auto" w:fill="auto"/>
            <w:vAlign w:val="center"/>
          </w:tcPr>
          <w:p w14:paraId="38D9025F" w14:textId="77777777" w:rsidR="00F97FEA" w:rsidRPr="000A0780" w:rsidRDefault="00F97FEA" w:rsidP="00EB1206">
            <w:pPr>
              <w:spacing w:before="60" w:after="60"/>
              <w:ind w:right="357"/>
              <w:rPr>
                <w:rFonts w:cs="Arial"/>
                <w:sz w:val="22"/>
              </w:rPr>
            </w:pPr>
            <w:r w:rsidRPr="000A0780">
              <w:rPr>
                <w:rFonts w:cs="Arial"/>
                <w:sz w:val="22"/>
              </w:rPr>
              <w:t>100 mg</w:t>
            </w:r>
          </w:p>
        </w:tc>
        <w:tc>
          <w:tcPr>
            <w:tcW w:w="3727" w:type="dxa"/>
            <w:vAlign w:val="center"/>
          </w:tcPr>
          <w:p w14:paraId="783CB97F" w14:textId="77777777" w:rsidR="00F97FEA" w:rsidRPr="000A0780" w:rsidRDefault="00F97FEA" w:rsidP="00EB1206">
            <w:pPr>
              <w:spacing w:before="60" w:after="60"/>
              <w:ind w:right="357"/>
              <w:rPr>
                <w:rFonts w:cs="Arial"/>
                <w:sz w:val="22"/>
              </w:rPr>
            </w:pPr>
            <w:r w:rsidRPr="000A0780">
              <w:rPr>
                <w:rFonts w:cs="Arial"/>
                <w:sz w:val="22"/>
                <w:lang w:eastAsia="ko-KR" w:bidi="he-IL"/>
              </w:rPr>
              <w:t>Administer at 25 mg/hr over 4 hours.  Do not increase the infusion rate.</w:t>
            </w:r>
          </w:p>
        </w:tc>
      </w:tr>
      <w:tr w:rsidR="00F97FEA" w:rsidRPr="000A0780" w14:paraId="59AD3106" w14:textId="77777777" w:rsidTr="00CE03AC">
        <w:trPr>
          <w:trHeight w:val="904"/>
          <w:jc w:val="center"/>
        </w:trPr>
        <w:tc>
          <w:tcPr>
            <w:tcW w:w="1749" w:type="dxa"/>
            <w:vMerge/>
            <w:shd w:val="clear" w:color="auto" w:fill="auto"/>
            <w:vAlign w:val="center"/>
          </w:tcPr>
          <w:p w14:paraId="76A86CF5" w14:textId="77777777" w:rsidR="00F97FEA" w:rsidRPr="000A0780" w:rsidRDefault="00F97FEA" w:rsidP="00EB1206">
            <w:pPr>
              <w:ind w:right="357"/>
              <w:rPr>
                <w:rFonts w:cs="Arial"/>
                <w:b/>
                <w:sz w:val="22"/>
              </w:rPr>
            </w:pPr>
          </w:p>
        </w:tc>
        <w:tc>
          <w:tcPr>
            <w:tcW w:w="1588" w:type="dxa"/>
            <w:shd w:val="clear" w:color="auto" w:fill="auto"/>
            <w:vAlign w:val="center"/>
          </w:tcPr>
          <w:p w14:paraId="3668EF63" w14:textId="77777777" w:rsidR="00F97FEA" w:rsidRDefault="00F97FEA" w:rsidP="00EB1206">
            <w:pPr>
              <w:spacing w:before="60" w:after="60"/>
              <w:ind w:right="357"/>
              <w:rPr>
                <w:rFonts w:cs="Arial"/>
                <w:sz w:val="22"/>
              </w:rPr>
            </w:pPr>
            <w:r w:rsidRPr="000A0780">
              <w:rPr>
                <w:rFonts w:cs="Arial"/>
                <w:sz w:val="22"/>
              </w:rPr>
              <w:t>Day 2</w:t>
            </w:r>
          </w:p>
          <w:p w14:paraId="72B47085" w14:textId="77777777" w:rsidR="00F97FEA" w:rsidRPr="000A0780" w:rsidRDefault="00F97FEA" w:rsidP="00EB1206">
            <w:pPr>
              <w:spacing w:before="60" w:after="60"/>
              <w:ind w:right="357"/>
              <w:rPr>
                <w:rFonts w:cs="Arial"/>
                <w:sz w:val="22"/>
              </w:rPr>
            </w:pPr>
            <w:r>
              <w:rPr>
                <w:rFonts w:cs="Arial"/>
                <w:sz w:val="22"/>
              </w:rPr>
              <w:t>or Day 1 (continued)</w:t>
            </w:r>
          </w:p>
        </w:tc>
        <w:tc>
          <w:tcPr>
            <w:tcW w:w="2227" w:type="dxa"/>
            <w:shd w:val="clear" w:color="auto" w:fill="auto"/>
            <w:vAlign w:val="center"/>
          </w:tcPr>
          <w:p w14:paraId="0F4D8A11" w14:textId="77777777" w:rsidR="00F97FEA" w:rsidRPr="000A0780" w:rsidRDefault="00F97FEA" w:rsidP="00EB1206">
            <w:pPr>
              <w:spacing w:before="60" w:after="60"/>
              <w:ind w:right="357"/>
              <w:rPr>
                <w:rFonts w:cs="Arial"/>
                <w:sz w:val="22"/>
              </w:rPr>
            </w:pPr>
            <w:r w:rsidRPr="000A0780">
              <w:rPr>
                <w:rFonts w:cs="Arial"/>
                <w:sz w:val="22"/>
              </w:rPr>
              <w:t>900 mg</w:t>
            </w:r>
          </w:p>
        </w:tc>
        <w:tc>
          <w:tcPr>
            <w:tcW w:w="3727" w:type="dxa"/>
            <w:vAlign w:val="center"/>
          </w:tcPr>
          <w:p w14:paraId="2CB66972" w14:textId="77777777" w:rsidR="00F97FEA" w:rsidRDefault="00F97FEA" w:rsidP="00EB1206">
            <w:pPr>
              <w:spacing w:before="60" w:after="60"/>
              <w:ind w:right="357"/>
              <w:rPr>
                <w:rFonts w:cs="Arial"/>
                <w:sz w:val="22"/>
              </w:rPr>
            </w:pPr>
            <w:r>
              <w:rPr>
                <w:rFonts w:cs="Arial"/>
                <w:sz w:val="22"/>
              </w:rPr>
              <w:t>If no IRR occurred during the previous infusion, a</w:t>
            </w:r>
            <w:r w:rsidRPr="000A0780">
              <w:rPr>
                <w:rFonts w:cs="Arial"/>
                <w:sz w:val="22"/>
              </w:rPr>
              <w:t xml:space="preserve">dminister at 50 mg/hr. </w:t>
            </w:r>
            <w:r w:rsidRPr="000A0780">
              <w:rPr>
                <w:rFonts w:cs="Arial"/>
                <w:sz w:val="22"/>
              </w:rPr>
              <w:br/>
              <w:t>The rate of the infusion can be escalated in increments of 50 mg/hr every 30 minutes to a maximum rate of 400 mg/hr.</w:t>
            </w:r>
          </w:p>
          <w:p w14:paraId="025388A1" w14:textId="0D9400AC" w:rsidR="00F97FEA" w:rsidRPr="000A0780" w:rsidRDefault="00F97FEA" w:rsidP="00EB1206">
            <w:pPr>
              <w:spacing w:before="60" w:after="60"/>
              <w:ind w:right="357"/>
              <w:rPr>
                <w:rFonts w:cs="Arial"/>
                <w:sz w:val="22"/>
              </w:rPr>
            </w:pPr>
            <w:r>
              <w:rPr>
                <w:rFonts w:cs="Arial"/>
                <w:sz w:val="22"/>
              </w:rPr>
              <w:t>If the patient experienced an IRR during the previous infusion, start administration at 25 mg/hr. The rate of infusion can be escalated in increments of up to 50 mg/hr every 30 minutes to a maximum rate of 400 mg/hr.</w:t>
            </w:r>
          </w:p>
        </w:tc>
      </w:tr>
      <w:tr w:rsidR="00F97FEA" w:rsidRPr="000A0780" w14:paraId="6AD64318" w14:textId="77777777" w:rsidTr="00CE03AC">
        <w:trPr>
          <w:trHeight w:val="339"/>
          <w:jc w:val="center"/>
        </w:trPr>
        <w:tc>
          <w:tcPr>
            <w:tcW w:w="1749" w:type="dxa"/>
            <w:vMerge/>
            <w:shd w:val="clear" w:color="auto" w:fill="auto"/>
            <w:vAlign w:val="center"/>
          </w:tcPr>
          <w:p w14:paraId="643E9749" w14:textId="77777777" w:rsidR="00F97FEA" w:rsidRPr="000A0780" w:rsidRDefault="00F97FEA" w:rsidP="00EB1206">
            <w:pPr>
              <w:ind w:right="360"/>
              <w:rPr>
                <w:rFonts w:cs="Arial"/>
                <w:b/>
                <w:sz w:val="22"/>
              </w:rPr>
            </w:pPr>
          </w:p>
        </w:tc>
        <w:tc>
          <w:tcPr>
            <w:tcW w:w="1588" w:type="dxa"/>
            <w:shd w:val="clear" w:color="auto" w:fill="auto"/>
            <w:vAlign w:val="center"/>
          </w:tcPr>
          <w:p w14:paraId="503EAFC6" w14:textId="77777777" w:rsidR="00F97FEA" w:rsidRPr="000A0780" w:rsidRDefault="00F97FEA" w:rsidP="00EB1206">
            <w:pPr>
              <w:spacing w:before="60" w:after="60"/>
              <w:ind w:right="357"/>
              <w:rPr>
                <w:rFonts w:cs="Arial"/>
                <w:sz w:val="22"/>
              </w:rPr>
            </w:pPr>
            <w:r w:rsidRPr="000A0780">
              <w:rPr>
                <w:rFonts w:cs="Arial"/>
                <w:sz w:val="22"/>
              </w:rPr>
              <w:t>Day 8</w:t>
            </w:r>
          </w:p>
        </w:tc>
        <w:tc>
          <w:tcPr>
            <w:tcW w:w="2227" w:type="dxa"/>
            <w:shd w:val="clear" w:color="auto" w:fill="auto"/>
            <w:vAlign w:val="center"/>
          </w:tcPr>
          <w:p w14:paraId="0FEA1A1F" w14:textId="77777777" w:rsidR="00F97FEA" w:rsidRPr="000A0780" w:rsidRDefault="00F97FEA" w:rsidP="00EB1206">
            <w:pPr>
              <w:spacing w:before="60" w:after="60"/>
              <w:ind w:right="357"/>
              <w:rPr>
                <w:rFonts w:cs="Arial"/>
                <w:sz w:val="22"/>
              </w:rPr>
            </w:pPr>
            <w:r w:rsidRPr="000A0780">
              <w:rPr>
                <w:rFonts w:cs="Arial"/>
                <w:sz w:val="22"/>
              </w:rPr>
              <w:t>1000 mg</w:t>
            </w:r>
          </w:p>
        </w:tc>
        <w:tc>
          <w:tcPr>
            <w:tcW w:w="3727" w:type="dxa"/>
            <w:vMerge w:val="restart"/>
            <w:vAlign w:val="center"/>
          </w:tcPr>
          <w:p w14:paraId="22F8CCEA" w14:textId="77777777" w:rsidR="00F97FEA" w:rsidRDefault="00F97FEA" w:rsidP="00EB1206">
            <w:pPr>
              <w:spacing w:before="60" w:after="60"/>
              <w:rPr>
                <w:sz w:val="22"/>
              </w:rPr>
            </w:pPr>
            <w:r w:rsidRPr="000A0780">
              <w:rPr>
                <w:sz w:val="22"/>
              </w:rPr>
              <w:t>I</w:t>
            </w:r>
            <w:r>
              <w:rPr>
                <w:sz w:val="22"/>
              </w:rPr>
              <w:t>f no IRR occurred during the previous infusion where the final infusion rate was ≥ 100 mg/hr, i</w:t>
            </w:r>
            <w:r w:rsidRPr="000A0780">
              <w:rPr>
                <w:sz w:val="22"/>
              </w:rPr>
              <w:t>nfusions can be started at a rate of 100 mg/hr and increased by 100 mg/hr increments every 30 minutes to a maximum of 400 mg/hr.</w:t>
            </w:r>
          </w:p>
          <w:p w14:paraId="3DD9E295" w14:textId="77777777" w:rsidR="00F97FEA" w:rsidRPr="00622FF2" w:rsidRDefault="00F97FEA" w:rsidP="00EB1206">
            <w:pPr>
              <w:spacing w:before="60" w:after="60"/>
              <w:rPr>
                <w:sz w:val="22"/>
              </w:rPr>
            </w:pPr>
            <w:r>
              <w:rPr>
                <w:rFonts w:cs="Arial"/>
                <w:sz w:val="22"/>
              </w:rPr>
              <w:t>If the patient experienced an IRR during the previous infusion administer at 50 mg/hr. The rate of infusion can be escalated in increments of 50 mg/hr every 30 minutes to a maximum rate of 400 mg/hr.</w:t>
            </w:r>
          </w:p>
        </w:tc>
      </w:tr>
      <w:tr w:rsidR="00F97FEA" w:rsidRPr="000A0780" w14:paraId="267C08F6" w14:textId="77777777" w:rsidTr="00CE03AC">
        <w:trPr>
          <w:trHeight w:val="246"/>
          <w:jc w:val="center"/>
        </w:trPr>
        <w:tc>
          <w:tcPr>
            <w:tcW w:w="1749" w:type="dxa"/>
            <w:vMerge/>
            <w:shd w:val="clear" w:color="auto" w:fill="auto"/>
            <w:vAlign w:val="center"/>
          </w:tcPr>
          <w:p w14:paraId="38D8EF2C" w14:textId="77777777" w:rsidR="00F97FEA" w:rsidRPr="000A0780" w:rsidRDefault="00F97FEA" w:rsidP="00EB1206">
            <w:pPr>
              <w:ind w:right="360"/>
              <w:rPr>
                <w:rFonts w:cs="Arial"/>
                <w:b/>
                <w:sz w:val="22"/>
              </w:rPr>
            </w:pPr>
          </w:p>
        </w:tc>
        <w:tc>
          <w:tcPr>
            <w:tcW w:w="1588" w:type="dxa"/>
            <w:shd w:val="clear" w:color="auto" w:fill="auto"/>
            <w:vAlign w:val="center"/>
          </w:tcPr>
          <w:p w14:paraId="755C43C5" w14:textId="77777777" w:rsidR="00F97FEA" w:rsidRPr="000A0780" w:rsidRDefault="00F97FEA" w:rsidP="00EB1206">
            <w:pPr>
              <w:spacing w:before="60" w:after="60"/>
              <w:ind w:right="357"/>
              <w:rPr>
                <w:rFonts w:cs="Arial"/>
                <w:sz w:val="22"/>
              </w:rPr>
            </w:pPr>
            <w:r w:rsidRPr="000A0780">
              <w:rPr>
                <w:rFonts w:cs="Arial"/>
                <w:sz w:val="22"/>
              </w:rPr>
              <w:t>Day 15</w:t>
            </w:r>
          </w:p>
        </w:tc>
        <w:tc>
          <w:tcPr>
            <w:tcW w:w="2227" w:type="dxa"/>
            <w:shd w:val="clear" w:color="auto" w:fill="auto"/>
            <w:vAlign w:val="center"/>
          </w:tcPr>
          <w:p w14:paraId="6FA0E622" w14:textId="77777777" w:rsidR="00F97FEA" w:rsidRPr="000A0780" w:rsidRDefault="00F97FEA" w:rsidP="00EB1206">
            <w:pPr>
              <w:spacing w:before="60" w:after="60"/>
              <w:ind w:right="357"/>
              <w:rPr>
                <w:rFonts w:cs="Arial"/>
                <w:sz w:val="22"/>
              </w:rPr>
            </w:pPr>
            <w:r w:rsidRPr="000A0780">
              <w:rPr>
                <w:rFonts w:cs="Arial"/>
                <w:sz w:val="22"/>
              </w:rPr>
              <w:t>1000 mg</w:t>
            </w:r>
          </w:p>
        </w:tc>
        <w:tc>
          <w:tcPr>
            <w:tcW w:w="3727" w:type="dxa"/>
            <w:vMerge/>
          </w:tcPr>
          <w:p w14:paraId="0AA99313" w14:textId="77777777" w:rsidR="00F97FEA" w:rsidRPr="000A0780" w:rsidRDefault="00F97FEA" w:rsidP="00EB1206">
            <w:pPr>
              <w:ind w:right="360"/>
              <w:rPr>
                <w:rFonts w:cs="Arial"/>
                <w:sz w:val="22"/>
              </w:rPr>
            </w:pPr>
          </w:p>
        </w:tc>
      </w:tr>
      <w:tr w:rsidR="00F97FEA" w:rsidRPr="000A0780" w14:paraId="731730C0" w14:textId="77777777" w:rsidTr="00CE03AC">
        <w:trPr>
          <w:trHeight w:val="294"/>
          <w:jc w:val="center"/>
        </w:trPr>
        <w:tc>
          <w:tcPr>
            <w:tcW w:w="1749" w:type="dxa"/>
            <w:shd w:val="clear" w:color="auto" w:fill="auto"/>
            <w:vAlign w:val="center"/>
          </w:tcPr>
          <w:p w14:paraId="7F707CA9" w14:textId="77777777" w:rsidR="00F97FEA" w:rsidRPr="000A0780" w:rsidRDefault="00F97FEA" w:rsidP="00EB1206">
            <w:pPr>
              <w:spacing w:before="60" w:after="60"/>
              <w:ind w:right="357"/>
              <w:rPr>
                <w:rFonts w:cs="Arial"/>
                <w:b/>
                <w:sz w:val="22"/>
              </w:rPr>
            </w:pPr>
            <w:r w:rsidRPr="000A0780">
              <w:rPr>
                <w:rFonts w:cs="Arial"/>
                <w:b/>
                <w:sz w:val="22"/>
              </w:rPr>
              <w:t>Cycles 2 – 6</w:t>
            </w:r>
          </w:p>
        </w:tc>
        <w:tc>
          <w:tcPr>
            <w:tcW w:w="1588" w:type="dxa"/>
            <w:shd w:val="clear" w:color="auto" w:fill="auto"/>
            <w:vAlign w:val="center"/>
          </w:tcPr>
          <w:p w14:paraId="196B618C" w14:textId="77777777" w:rsidR="00F97FEA" w:rsidRPr="000A0780" w:rsidRDefault="00F97FEA" w:rsidP="00EB1206">
            <w:pPr>
              <w:spacing w:before="60" w:after="60"/>
              <w:ind w:right="357"/>
              <w:rPr>
                <w:rFonts w:cs="Arial"/>
                <w:sz w:val="22"/>
              </w:rPr>
            </w:pPr>
            <w:r w:rsidRPr="000A0780">
              <w:rPr>
                <w:rFonts w:cs="Arial"/>
                <w:sz w:val="22"/>
              </w:rPr>
              <w:t>Day 1</w:t>
            </w:r>
          </w:p>
        </w:tc>
        <w:tc>
          <w:tcPr>
            <w:tcW w:w="2227" w:type="dxa"/>
            <w:shd w:val="clear" w:color="auto" w:fill="auto"/>
            <w:vAlign w:val="center"/>
          </w:tcPr>
          <w:p w14:paraId="4789FEF7" w14:textId="77777777" w:rsidR="00F97FEA" w:rsidRPr="000A0780" w:rsidRDefault="00F97FEA" w:rsidP="00EB1206">
            <w:pPr>
              <w:spacing w:before="60" w:after="60"/>
              <w:ind w:right="357"/>
              <w:rPr>
                <w:rFonts w:cs="Arial"/>
                <w:sz w:val="22"/>
              </w:rPr>
            </w:pPr>
            <w:r w:rsidRPr="000A0780">
              <w:rPr>
                <w:rFonts w:cs="Arial"/>
                <w:sz w:val="22"/>
              </w:rPr>
              <w:t>1000 mg</w:t>
            </w:r>
          </w:p>
        </w:tc>
        <w:tc>
          <w:tcPr>
            <w:tcW w:w="3727" w:type="dxa"/>
            <w:vMerge/>
          </w:tcPr>
          <w:p w14:paraId="14073209" w14:textId="77777777" w:rsidR="00F97FEA" w:rsidRPr="000A0780" w:rsidRDefault="00F97FEA" w:rsidP="00EB1206">
            <w:pPr>
              <w:ind w:right="360"/>
              <w:rPr>
                <w:rFonts w:cs="Arial"/>
                <w:sz w:val="22"/>
              </w:rPr>
            </w:pPr>
          </w:p>
        </w:tc>
      </w:tr>
    </w:tbl>
    <w:p w14:paraId="5BB61967" w14:textId="77777777" w:rsidR="00F97FEA" w:rsidRPr="00C8539B" w:rsidRDefault="00F97FEA" w:rsidP="00EB1206">
      <w:pPr>
        <w:pStyle w:val="Paragraph"/>
        <w:spacing w:after="0" w:line="240" w:lineRule="auto"/>
        <w:rPr>
          <w:rFonts w:ascii="Times New Roman" w:hAnsi="Times New Roman"/>
          <w:color w:val="000000"/>
          <w:sz w:val="20"/>
          <w:szCs w:val="20"/>
        </w:rPr>
      </w:pPr>
      <w:r w:rsidRPr="00C8539B">
        <w:rPr>
          <w:rFonts w:ascii="Times New Roman" w:hAnsi="Times New Roman"/>
          <w:color w:val="000000"/>
          <w:sz w:val="20"/>
          <w:szCs w:val="20"/>
          <w:vertAlign w:val="superscript"/>
        </w:rPr>
        <w:t xml:space="preserve">* </w:t>
      </w:r>
      <w:proofErr w:type="gramStart"/>
      <w:r w:rsidRPr="00C8539B">
        <w:rPr>
          <w:rFonts w:ascii="Times New Roman" w:hAnsi="Times New Roman"/>
          <w:color w:val="000000"/>
          <w:sz w:val="20"/>
          <w:szCs w:val="20"/>
        </w:rPr>
        <w:t>see</w:t>
      </w:r>
      <w:proofErr w:type="gramEnd"/>
      <w:r w:rsidRPr="00C8539B">
        <w:rPr>
          <w:rFonts w:ascii="Times New Roman" w:hAnsi="Times New Roman"/>
          <w:color w:val="000000"/>
          <w:sz w:val="20"/>
          <w:szCs w:val="20"/>
        </w:rPr>
        <w:t xml:space="preserve"> </w:t>
      </w:r>
      <w:r w:rsidR="00CE03AC">
        <w:rPr>
          <w:rFonts w:ascii="Times New Roman" w:hAnsi="Times New Roman"/>
          <w:color w:val="000000"/>
          <w:sz w:val="20"/>
          <w:szCs w:val="20"/>
        </w:rPr>
        <w:t>section 5.1 Pharmacodynamic properties</w:t>
      </w:r>
      <w:r w:rsidRPr="00C8539B">
        <w:rPr>
          <w:rFonts w:ascii="Times New Roman" w:hAnsi="Times New Roman"/>
          <w:color w:val="000000"/>
          <w:sz w:val="20"/>
          <w:szCs w:val="20"/>
        </w:rPr>
        <w:t xml:space="preserve"> for information on chlorambucil dose.</w:t>
      </w:r>
    </w:p>
    <w:p w14:paraId="73F974BC" w14:textId="77777777" w:rsidR="00F97FEA" w:rsidRPr="000A0780" w:rsidRDefault="00F97FEA" w:rsidP="00EB1206">
      <w:pPr>
        <w:pStyle w:val="Heading6"/>
        <w:spacing w:before="240"/>
        <w:rPr>
          <w:lang w:eastAsia="ko-KR" w:bidi="he-IL"/>
        </w:rPr>
      </w:pPr>
      <w:r w:rsidRPr="000A0780">
        <w:rPr>
          <w:lang w:eastAsia="ko-KR" w:bidi="he-IL"/>
        </w:rPr>
        <w:t>Delayed or missed doses</w:t>
      </w:r>
      <w:r>
        <w:rPr>
          <w:lang w:eastAsia="ko-KR" w:bidi="he-IL"/>
        </w:rPr>
        <w:t xml:space="preserve"> (CLL)</w:t>
      </w:r>
    </w:p>
    <w:p w14:paraId="440034DA" w14:textId="77777777" w:rsidR="00F97FEA" w:rsidRDefault="00F97FEA" w:rsidP="00EB1206">
      <w:pPr>
        <w:pStyle w:val="TextTi12"/>
        <w:spacing w:line="280" w:lineRule="exact"/>
        <w:jc w:val="left"/>
        <w:rPr>
          <w:rFonts w:cs="Arial"/>
          <w:iCs/>
          <w:color w:val="000000"/>
          <w:lang w:eastAsia="ko-KR" w:bidi="he-IL"/>
        </w:rPr>
      </w:pPr>
      <w:r w:rsidRPr="00F45A78">
        <w:rPr>
          <w:rFonts w:cs="Arial"/>
          <w:iCs/>
          <w:color w:val="000000"/>
          <w:lang w:eastAsia="ko-KR" w:bidi="he-IL"/>
        </w:rPr>
        <w:t xml:space="preserve">If a planned dose of </w:t>
      </w:r>
      <w:r>
        <w:t>Gazyva</w:t>
      </w:r>
      <w:r w:rsidRPr="00F45A78">
        <w:rPr>
          <w:rFonts w:cs="Arial"/>
          <w:iCs/>
          <w:color w:val="000000"/>
          <w:lang w:eastAsia="ko-KR" w:bidi="he-IL"/>
        </w:rPr>
        <w:t xml:space="preserve"> is missed, it should be administered as soon as</w:t>
      </w:r>
      <w:r>
        <w:rPr>
          <w:rFonts w:cs="Arial"/>
          <w:iCs/>
          <w:color w:val="000000"/>
          <w:lang w:eastAsia="ko-KR" w:bidi="he-IL"/>
        </w:rPr>
        <w:t xml:space="preserve"> possible; do </w:t>
      </w:r>
      <w:r w:rsidRPr="00F45A78">
        <w:rPr>
          <w:rFonts w:cs="Arial"/>
          <w:iCs/>
          <w:color w:val="000000"/>
          <w:lang w:eastAsia="ko-KR" w:bidi="he-IL"/>
        </w:rPr>
        <w:t>not wait until the next planned dose.</w:t>
      </w:r>
      <w:r>
        <w:rPr>
          <w:rFonts w:cs="Arial"/>
          <w:iCs/>
          <w:color w:val="000000"/>
          <w:lang w:eastAsia="ko-KR" w:bidi="he-IL"/>
        </w:rPr>
        <w:t xml:space="preserve"> The planned treatment interval </w:t>
      </w:r>
      <w:r w:rsidRPr="00F45A78">
        <w:rPr>
          <w:rFonts w:cs="Arial"/>
          <w:iCs/>
          <w:color w:val="000000"/>
          <w:lang w:eastAsia="ko-KR" w:bidi="he-IL"/>
        </w:rPr>
        <w:t xml:space="preserve">for </w:t>
      </w:r>
      <w:r>
        <w:t>Gazyva</w:t>
      </w:r>
      <w:r w:rsidRPr="00F45A78">
        <w:rPr>
          <w:rFonts w:cs="Arial"/>
          <w:iCs/>
          <w:color w:val="000000"/>
          <w:lang w:eastAsia="ko-KR" w:bidi="he-IL"/>
        </w:rPr>
        <w:t xml:space="preserve"> should </w:t>
      </w:r>
      <w:r>
        <w:rPr>
          <w:rFonts w:cs="Arial"/>
          <w:iCs/>
          <w:color w:val="000000"/>
          <w:lang w:eastAsia="ko-KR" w:bidi="he-IL"/>
        </w:rPr>
        <w:t>be maintained between doses thereafter</w:t>
      </w:r>
      <w:r w:rsidRPr="00F45A78">
        <w:rPr>
          <w:rFonts w:cs="Arial"/>
          <w:iCs/>
          <w:color w:val="000000"/>
          <w:lang w:eastAsia="ko-KR" w:bidi="he-IL"/>
        </w:rPr>
        <w:t>.</w:t>
      </w:r>
    </w:p>
    <w:p w14:paraId="56F8600B" w14:textId="77777777" w:rsidR="00F97FEA" w:rsidRPr="008A3DA8" w:rsidRDefault="00F97FEA" w:rsidP="00EB1206">
      <w:pPr>
        <w:pStyle w:val="Heading5"/>
        <w:rPr>
          <w:b/>
          <w:u w:val="single"/>
        </w:rPr>
      </w:pPr>
      <w:r w:rsidRPr="008A3DA8">
        <w:rPr>
          <w:b/>
          <w:u w:val="single"/>
        </w:rPr>
        <w:t>Follicular Lymphoma</w:t>
      </w:r>
    </w:p>
    <w:p w14:paraId="11895F77" w14:textId="7224459D" w:rsidR="00F97FEA" w:rsidRDefault="00F97FEA" w:rsidP="00EB1206">
      <w:pPr>
        <w:pStyle w:val="TextTi12"/>
        <w:spacing w:line="280" w:lineRule="exact"/>
        <w:jc w:val="left"/>
        <w:rPr>
          <w:rFonts w:cs="Arial"/>
          <w:color w:val="000000"/>
          <w:lang w:eastAsia="ko-KR" w:bidi="he-IL"/>
        </w:rPr>
      </w:pPr>
      <w:r w:rsidRPr="007D3947">
        <w:rPr>
          <w:rFonts w:cs="Arial"/>
          <w:color w:val="000000"/>
          <w:lang w:eastAsia="ko-KR" w:bidi="he-IL"/>
        </w:rPr>
        <w:t xml:space="preserve">The recommended dosage of </w:t>
      </w:r>
      <w:r>
        <w:t>Gazyva</w:t>
      </w:r>
      <w:r w:rsidRPr="007D3947">
        <w:rPr>
          <w:rFonts w:cs="Arial"/>
          <w:color w:val="000000"/>
          <w:lang w:eastAsia="ko-KR" w:bidi="he-IL"/>
        </w:rPr>
        <w:t xml:space="preserve"> is 1000 mg administered </w:t>
      </w:r>
      <w:r>
        <w:rPr>
          <w:rFonts w:cs="Arial"/>
          <w:color w:val="000000"/>
          <w:lang w:eastAsia="ko-KR" w:bidi="he-IL"/>
        </w:rPr>
        <w:t xml:space="preserve">intravenously according to Table </w:t>
      </w:r>
      <w:r w:rsidR="00770C11">
        <w:rPr>
          <w:rFonts w:cs="Arial"/>
          <w:color w:val="000000"/>
          <w:lang w:eastAsia="ko-KR" w:bidi="he-IL"/>
        </w:rPr>
        <w:t>3</w:t>
      </w:r>
      <w:r w:rsidRPr="007D3947">
        <w:rPr>
          <w:rFonts w:cs="Arial"/>
          <w:color w:val="000000"/>
          <w:lang w:eastAsia="ko-KR" w:bidi="he-IL"/>
        </w:rPr>
        <w:t>.</w:t>
      </w:r>
    </w:p>
    <w:p w14:paraId="3A0FA099" w14:textId="77777777" w:rsidR="00EB1206" w:rsidRDefault="00EB1206" w:rsidP="00EB1206">
      <w:pPr>
        <w:pStyle w:val="Heading6"/>
        <w:rPr>
          <w:lang w:eastAsia="ko-KR" w:bidi="he-IL"/>
        </w:rPr>
      </w:pPr>
    </w:p>
    <w:p w14:paraId="442DC160" w14:textId="77777777" w:rsidR="00EB1206" w:rsidRDefault="00EB1206" w:rsidP="00EB1206">
      <w:pPr>
        <w:pStyle w:val="Heading6"/>
        <w:rPr>
          <w:lang w:eastAsia="ko-KR" w:bidi="he-IL"/>
        </w:rPr>
      </w:pPr>
    </w:p>
    <w:p w14:paraId="4C561F0D" w14:textId="77777777" w:rsidR="00EB1206" w:rsidRDefault="00EB1206" w:rsidP="00EB1206">
      <w:pPr>
        <w:pStyle w:val="Heading6"/>
        <w:rPr>
          <w:lang w:eastAsia="ko-KR" w:bidi="he-IL"/>
        </w:rPr>
      </w:pPr>
    </w:p>
    <w:p w14:paraId="468E2185" w14:textId="77777777" w:rsidR="00EB1206" w:rsidRDefault="00EB1206" w:rsidP="00EB1206">
      <w:pPr>
        <w:pStyle w:val="Heading6"/>
        <w:rPr>
          <w:lang w:eastAsia="ko-KR" w:bidi="he-IL"/>
        </w:rPr>
      </w:pPr>
    </w:p>
    <w:p w14:paraId="5E20070F" w14:textId="1EF20A9E" w:rsidR="00F97FEA" w:rsidRPr="00A01C63" w:rsidRDefault="00F97FEA" w:rsidP="00EB1206">
      <w:pPr>
        <w:pStyle w:val="Heading6"/>
        <w:rPr>
          <w:lang w:eastAsia="ko-KR" w:bidi="he-IL"/>
        </w:rPr>
      </w:pPr>
      <w:r w:rsidRPr="00A01C63">
        <w:rPr>
          <w:lang w:eastAsia="ko-KR" w:bidi="he-IL"/>
        </w:rPr>
        <w:lastRenderedPageBreak/>
        <w:t>Previously Untreated Follicular Lymphoma</w:t>
      </w:r>
    </w:p>
    <w:p w14:paraId="0DBBB873" w14:textId="77777777" w:rsidR="00F97FEA" w:rsidRDefault="00F97FEA" w:rsidP="00EB1206">
      <w:pPr>
        <w:pStyle w:val="TextTi12"/>
        <w:spacing w:line="280" w:lineRule="exact"/>
        <w:jc w:val="left"/>
        <w:rPr>
          <w:rFonts w:cs="Arial"/>
          <w:color w:val="000000"/>
          <w:lang w:eastAsia="ko-KR" w:bidi="he-IL"/>
        </w:rPr>
      </w:pPr>
      <w:r>
        <w:rPr>
          <w:rFonts w:cs="Arial"/>
          <w:color w:val="000000"/>
          <w:lang w:eastAsia="ko-KR" w:bidi="he-IL"/>
        </w:rPr>
        <w:t>For patients with previously untreated follicular lymphoma, Gazyva should be administered with chemotherapy as follows:</w:t>
      </w:r>
    </w:p>
    <w:p w14:paraId="759FB9C3" w14:textId="77777777" w:rsidR="00F97FEA" w:rsidRPr="00EB1206" w:rsidRDefault="00F97FEA" w:rsidP="00EB1206">
      <w:pPr>
        <w:pStyle w:val="TextTi12"/>
        <w:numPr>
          <w:ilvl w:val="0"/>
          <w:numId w:val="7"/>
        </w:numPr>
        <w:spacing w:line="280" w:lineRule="exact"/>
        <w:jc w:val="left"/>
        <w:rPr>
          <w:rFonts w:cs="Arial"/>
          <w:color w:val="000000"/>
          <w:sz w:val="22"/>
          <w:szCs w:val="22"/>
          <w:lang w:eastAsia="ko-KR" w:bidi="he-IL"/>
        </w:rPr>
      </w:pPr>
      <w:r w:rsidRPr="00EB1206">
        <w:rPr>
          <w:rFonts w:cs="Arial"/>
          <w:color w:val="000000"/>
          <w:sz w:val="22"/>
          <w:szCs w:val="22"/>
          <w:lang w:eastAsia="ko-KR" w:bidi="he-IL"/>
        </w:rPr>
        <w:t xml:space="preserve">Six </w:t>
      </w:r>
      <w:proofErr w:type="gramStart"/>
      <w:r w:rsidRPr="00EB1206">
        <w:rPr>
          <w:rFonts w:cs="Arial"/>
          <w:color w:val="000000"/>
          <w:sz w:val="22"/>
          <w:szCs w:val="22"/>
          <w:lang w:eastAsia="ko-KR" w:bidi="he-IL"/>
        </w:rPr>
        <w:t>28 day</w:t>
      </w:r>
      <w:proofErr w:type="gramEnd"/>
      <w:r w:rsidRPr="00EB1206">
        <w:rPr>
          <w:rFonts w:cs="Arial"/>
          <w:color w:val="000000"/>
          <w:sz w:val="22"/>
          <w:szCs w:val="22"/>
          <w:lang w:eastAsia="ko-KR" w:bidi="he-IL"/>
        </w:rPr>
        <w:t xml:space="preserve"> cycles in combination with </w:t>
      </w:r>
      <w:proofErr w:type="spellStart"/>
      <w:r w:rsidRPr="00EB1206">
        <w:rPr>
          <w:rFonts w:cs="Arial"/>
          <w:color w:val="000000"/>
          <w:sz w:val="22"/>
          <w:szCs w:val="22"/>
          <w:lang w:eastAsia="ko-KR" w:bidi="he-IL"/>
        </w:rPr>
        <w:t>bendamustine</w:t>
      </w:r>
      <w:proofErr w:type="spellEnd"/>
      <w:r w:rsidRPr="00EB1206">
        <w:rPr>
          <w:rFonts w:cs="Arial"/>
          <w:color w:val="000000"/>
          <w:sz w:val="22"/>
          <w:szCs w:val="22"/>
          <w:vertAlign w:val="superscript"/>
          <w:lang w:eastAsia="ko-KR" w:bidi="he-IL"/>
        </w:rPr>
        <w:t>**</w:t>
      </w:r>
      <w:r w:rsidRPr="00EB1206">
        <w:rPr>
          <w:rFonts w:cs="Arial"/>
          <w:color w:val="000000"/>
          <w:sz w:val="22"/>
          <w:szCs w:val="22"/>
          <w:lang w:eastAsia="ko-KR" w:bidi="he-IL"/>
        </w:rPr>
        <w:t xml:space="preserve"> or,</w:t>
      </w:r>
    </w:p>
    <w:p w14:paraId="0BA67191" w14:textId="77777777" w:rsidR="00F97FEA" w:rsidRPr="00EB1206" w:rsidRDefault="00F97FEA" w:rsidP="00EB1206">
      <w:pPr>
        <w:pStyle w:val="TextTi12"/>
        <w:numPr>
          <w:ilvl w:val="0"/>
          <w:numId w:val="7"/>
        </w:numPr>
        <w:spacing w:line="280" w:lineRule="exact"/>
        <w:jc w:val="left"/>
        <w:rPr>
          <w:rFonts w:cs="Arial"/>
          <w:color w:val="000000"/>
          <w:sz w:val="22"/>
          <w:szCs w:val="22"/>
          <w:lang w:eastAsia="ko-KR" w:bidi="he-IL"/>
        </w:rPr>
      </w:pPr>
      <w:r w:rsidRPr="00EB1206">
        <w:rPr>
          <w:rFonts w:cs="Arial"/>
          <w:color w:val="000000"/>
          <w:sz w:val="22"/>
          <w:szCs w:val="22"/>
          <w:lang w:eastAsia="ko-KR" w:bidi="he-IL"/>
        </w:rPr>
        <w:t xml:space="preserve">Six </w:t>
      </w:r>
      <w:proofErr w:type="gramStart"/>
      <w:r w:rsidRPr="00EB1206">
        <w:rPr>
          <w:rFonts w:cs="Arial"/>
          <w:color w:val="000000"/>
          <w:sz w:val="22"/>
          <w:szCs w:val="22"/>
          <w:lang w:eastAsia="ko-KR" w:bidi="he-IL"/>
        </w:rPr>
        <w:t>21 day</w:t>
      </w:r>
      <w:proofErr w:type="gramEnd"/>
      <w:r w:rsidRPr="00EB1206">
        <w:rPr>
          <w:rFonts w:cs="Arial"/>
          <w:color w:val="000000"/>
          <w:sz w:val="22"/>
          <w:szCs w:val="22"/>
          <w:lang w:eastAsia="ko-KR" w:bidi="he-IL"/>
        </w:rPr>
        <w:t xml:space="preserve"> cycles in combination with CHOP, followed by 2 additional cycles of Gazyva alone or,</w:t>
      </w:r>
    </w:p>
    <w:p w14:paraId="0B5F87BE" w14:textId="3DAAC89D" w:rsidR="00F97FEA" w:rsidRPr="00EB1206" w:rsidRDefault="00AD4236" w:rsidP="00EB1206">
      <w:pPr>
        <w:pStyle w:val="TextTi12"/>
        <w:numPr>
          <w:ilvl w:val="0"/>
          <w:numId w:val="7"/>
        </w:numPr>
        <w:spacing w:line="280" w:lineRule="exact"/>
        <w:jc w:val="left"/>
        <w:rPr>
          <w:rFonts w:cs="Arial"/>
          <w:color w:val="000000"/>
          <w:sz w:val="22"/>
          <w:szCs w:val="22"/>
          <w:lang w:eastAsia="ko-KR" w:bidi="he-IL"/>
        </w:rPr>
      </w:pPr>
      <w:r w:rsidRPr="00EB1206">
        <w:rPr>
          <w:rFonts w:cs="Arial"/>
          <w:color w:val="000000"/>
          <w:sz w:val="22"/>
          <w:szCs w:val="22"/>
          <w:lang w:eastAsia="ko-KR" w:bidi="he-IL"/>
        </w:rPr>
        <w:t xml:space="preserve">Eight </w:t>
      </w:r>
      <w:proofErr w:type="gramStart"/>
      <w:r w:rsidRPr="00EB1206">
        <w:rPr>
          <w:rFonts w:cs="Arial"/>
          <w:color w:val="000000"/>
          <w:sz w:val="22"/>
          <w:szCs w:val="22"/>
          <w:lang w:eastAsia="ko-KR" w:bidi="he-IL"/>
        </w:rPr>
        <w:t xml:space="preserve">21 </w:t>
      </w:r>
      <w:r w:rsidR="00F97FEA" w:rsidRPr="00EB1206">
        <w:rPr>
          <w:rFonts w:cs="Arial"/>
          <w:color w:val="000000"/>
          <w:sz w:val="22"/>
          <w:szCs w:val="22"/>
          <w:lang w:eastAsia="ko-KR" w:bidi="he-IL"/>
        </w:rPr>
        <w:t>day</w:t>
      </w:r>
      <w:proofErr w:type="gramEnd"/>
      <w:r w:rsidR="00F97FEA" w:rsidRPr="00EB1206">
        <w:rPr>
          <w:rFonts w:cs="Arial"/>
          <w:color w:val="000000"/>
          <w:sz w:val="22"/>
          <w:szCs w:val="22"/>
          <w:lang w:eastAsia="ko-KR" w:bidi="he-IL"/>
        </w:rPr>
        <w:t xml:space="preserve"> cycles in combination with CVP.</w:t>
      </w:r>
    </w:p>
    <w:p w14:paraId="6AE7431C" w14:textId="1FDD716B" w:rsidR="00F97FEA" w:rsidRDefault="00F97FEA" w:rsidP="00EB1206">
      <w:pPr>
        <w:pStyle w:val="TextTi12"/>
        <w:spacing w:line="280" w:lineRule="exact"/>
        <w:jc w:val="left"/>
        <w:rPr>
          <w:rFonts w:cs="Arial"/>
          <w:color w:val="000000"/>
          <w:lang w:eastAsia="ko-KR" w:bidi="he-IL"/>
        </w:rPr>
      </w:pPr>
      <w:r>
        <w:rPr>
          <w:rFonts w:cs="Arial"/>
          <w:color w:val="000000"/>
          <w:lang w:eastAsia="ko-KR" w:bidi="he-IL"/>
        </w:rPr>
        <w:t>Previously untreated patients who achieve a complete or partial response to Gazyva plus chemotherapy should continue to receive Gazyva (1000 mg) alone as maintenance therapy once every 2 months until disease progression or for up to 2 years.</w:t>
      </w:r>
    </w:p>
    <w:p w14:paraId="45068720" w14:textId="77777777" w:rsidR="00F97FEA" w:rsidRPr="00A01C63" w:rsidRDefault="00F97FEA" w:rsidP="00EB1206">
      <w:pPr>
        <w:pStyle w:val="Heading6"/>
        <w:rPr>
          <w:lang w:eastAsia="ko-KR" w:bidi="he-IL"/>
        </w:rPr>
      </w:pPr>
      <w:r>
        <w:rPr>
          <w:lang w:eastAsia="ko-KR" w:bidi="he-IL"/>
        </w:rPr>
        <w:t xml:space="preserve">Relapsed/refractory </w:t>
      </w:r>
      <w:r w:rsidRPr="00A01C63">
        <w:rPr>
          <w:lang w:eastAsia="ko-KR" w:bidi="he-IL"/>
        </w:rPr>
        <w:t>Follicular Lymphoma</w:t>
      </w:r>
    </w:p>
    <w:p w14:paraId="267ABD81" w14:textId="77777777" w:rsidR="00F97FEA" w:rsidRDefault="00F97FEA" w:rsidP="00EB1206">
      <w:pPr>
        <w:pStyle w:val="TextTi12"/>
        <w:spacing w:line="280" w:lineRule="exact"/>
        <w:jc w:val="left"/>
        <w:rPr>
          <w:rFonts w:cs="Arial"/>
          <w:color w:val="000000"/>
          <w:lang w:eastAsia="ko-KR" w:bidi="he-IL"/>
        </w:rPr>
      </w:pPr>
      <w:r>
        <w:rPr>
          <w:rFonts w:cs="Arial"/>
          <w:color w:val="000000"/>
          <w:lang w:eastAsia="ko-KR" w:bidi="he-IL"/>
        </w:rPr>
        <w:t xml:space="preserve">For patients with follicular lymphoma who have relapsed after or who are refractory to rituximab or a rituximab-containing regimen, Gazyva should be administered in six 28-day cycles in combination with </w:t>
      </w:r>
      <w:proofErr w:type="spellStart"/>
      <w:r>
        <w:rPr>
          <w:rFonts w:cs="Arial"/>
          <w:color w:val="000000"/>
          <w:lang w:eastAsia="ko-KR" w:bidi="he-IL"/>
        </w:rPr>
        <w:t>bendamustine</w:t>
      </w:r>
      <w:proofErr w:type="spellEnd"/>
      <w:r>
        <w:rPr>
          <w:rFonts w:cs="Arial"/>
          <w:color w:val="000000"/>
          <w:vertAlign w:val="superscript"/>
          <w:lang w:eastAsia="ko-KR" w:bidi="he-IL"/>
        </w:rPr>
        <w:t>**</w:t>
      </w:r>
      <w:r>
        <w:rPr>
          <w:rFonts w:cs="Arial"/>
          <w:color w:val="000000"/>
          <w:lang w:eastAsia="ko-KR" w:bidi="he-IL"/>
        </w:rPr>
        <w:t>.</w:t>
      </w:r>
    </w:p>
    <w:p w14:paraId="4DC4C066" w14:textId="77777777" w:rsidR="00F97FEA" w:rsidRPr="008706DE" w:rsidRDefault="00F97FEA" w:rsidP="00EB1206">
      <w:pPr>
        <w:pStyle w:val="TextTi12"/>
        <w:keepNext/>
        <w:spacing w:line="240" w:lineRule="auto"/>
        <w:jc w:val="left"/>
        <w:rPr>
          <w:rFonts w:cs="Arial"/>
          <w:color w:val="000000"/>
          <w:lang w:eastAsia="ko-KR" w:bidi="he-IL"/>
        </w:rPr>
      </w:pPr>
      <w:r>
        <w:rPr>
          <w:rFonts w:cs="Arial"/>
          <w:color w:val="000000"/>
          <w:lang w:eastAsia="ko-KR" w:bidi="he-IL"/>
        </w:rPr>
        <w:t>Relapsed/refractory p</w:t>
      </w:r>
      <w:r w:rsidRPr="007D3947">
        <w:rPr>
          <w:rFonts w:cs="Arial"/>
          <w:color w:val="000000"/>
          <w:lang w:eastAsia="ko-KR" w:bidi="he-IL"/>
        </w:rPr>
        <w:t>atients who</w:t>
      </w:r>
      <w:r>
        <w:rPr>
          <w:rFonts w:cs="Arial"/>
          <w:color w:val="000000"/>
          <w:lang w:eastAsia="ko-KR" w:bidi="he-IL"/>
        </w:rPr>
        <w:t xml:space="preserve"> achieve complete or partial response or have</w:t>
      </w:r>
      <w:r w:rsidRPr="007D3947">
        <w:rPr>
          <w:rFonts w:cs="Arial"/>
          <w:color w:val="000000"/>
          <w:lang w:eastAsia="ko-KR" w:bidi="he-IL"/>
        </w:rPr>
        <w:t xml:space="preserve"> stable disease should continue to receive </w:t>
      </w:r>
      <w:r>
        <w:rPr>
          <w:rFonts w:cs="Arial"/>
          <w:color w:val="000000"/>
          <w:lang w:eastAsia="ko-KR" w:bidi="he-IL"/>
        </w:rPr>
        <w:t>Gazyva</w:t>
      </w:r>
      <w:r w:rsidRPr="007D3947">
        <w:rPr>
          <w:rFonts w:cs="Arial"/>
          <w:color w:val="000000"/>
          <w:lang w:eastAsia="ko-KR" w:bidi="he-IL"/>
        </w:rPr>
        <w:t xml:space="preserve"> 1000 mg alone as maintenance therapy once every 2 months until disease progression or for up </w:t>
      </w:r>
      <w:r>
        <w:rPr>
          <w:rFonts w:cs="Arial"/>
          <w:color w:val="000000"/>
          <w:lang w:eastAsia="ko-KR" w:bidi="he-IL"/>
        </w:rPr>
        <w:t>to 2 years</w:t>
      </w:r>
      <w:r w:rsidRPr="007D3947">
        <w:rPr>
          <w:rFonts w:cs="Arial"/>
          <w:color w:val="000000"/>
          <w:lang w:eastAsia="ko-KR" w:bidi="he-IL"/>
        </w:rPr>
        <w:t>.</w:t>
      </w:r>
    </w:p>
    <w:p w14:paraId="1015EE49" w14:textId="0E3B9FE6" w:rsidR="00CE03AC" w:rsidRPr="00A25BB4" w:rsidRDefault="005D2569" w:rsidP="00EB1206">
      <w:pPr>
        <w:pStyle w:val="TextTi12"/>
        <w:keepNext/>
        <w:spacing w:line="240" w:lineRule="auto"/>
        <w:jc w:val="left"/>
        <w:rPr>
          <w:rFonts w:cs="Arial"/>
          <w:color w:val="000000"/>
          <w:lang w:eastAsia="ko-KR" w:bidi="he-IL"/>
        </w:rPr>
      </w:pPr>
      <w:r>
        <w:rPr>
          <w:lang w:val="en-GB"/>
        </w:rPr>
        <w:t>G</w:t>
      </w:r>
      <w:r w:rsidR="001C5E4E">
        <w:rPr>
          <w:lang w:val="en-GB"/>
        </w:rPr>
        <w:t>azyva</w:t>
      </w:r>
      <w:r>
        <w:rPr>
          <w:lang w:val="en-GB"/>
        </w:rPr>
        <w:t xml:space="preserve"> should be administered at the standard infusion rate in Cycle 1 (see Table 3). In </w:t>
      </w:r>
      <w:r w:rsidRPr="001444D4">
        <w:rPr>
          <w:lang w:val="en-GB"/>
        </w:rPr>
        <w:t xml:space="preserve">patients </w:t>
      </w:r>
      <w:r>
        <w:rPr>
          <w:lang w:val="en-GB"/>
        </w:rPr>
        <w:t xml:space="preserve">who </w:t>
      </w:r>
      <w:r w:rsidRPr="001444D4">
        <w:rPr>
          <w:lang w:val="en-GB"/>
        </w:rPr>
        <w:t>d</w:t>
      </w:r>
      <w:r>
        <w:rPr>
          <w:lang w:val="en-GB"/>
        </w:rPr>
        <w:t>o</w:t>
      </w:r>
      <w:r w:rsidRPr="001444D4">
        <w:rPr>
          <w:lang w:val="en-GB"/>
        </w:rPr>
        <w:t xml:space="preserve"> not experience </w:t>
      </w:r>
      <w:r w:rsidRPr="004A5AAB">
        <w:rPr>
          <w:rFonts w:hint="eastAsia"/>
          <w:lang w:val="en-GB"/>
        </w:rPr>
        <w:t xml:space="preserve">Grade ≥3 </w:t>
      </w:r>
      <w:r w:rsidRPr="001444D4">
        <w:rPr>
          <w:lang w:val="en-GB"/>
        </w:rPr>
        <w:t>infusion</w:t>
      </w:r>
      <w:r>
        <w:rPr>
          <w:lang w:val="en-GB"/>
        </w:rPr>
        <w:t xml:space="preserve"> </w:t>
      </w:r>
      <w:r w:rsidRPr="001444D4">
        <w:rPr>
          <w:lang w:val="en-GB"/>
        </w:rPr>
        <w:t xml:space="preserve">related </w:t>
      </w:r>
      <w:r>
        <w:rPr>
          <w:lang w:val="en-GB"/>
        </w:rPr>
        <w:t xml:space="preserve">reactions (IRRs) </w:t>
      </w:r>
      <w:r w:rsidRPr="001444D4">
        <w:rPr>
          <w:lang w:val="en-GB"/>
        </w:rPr>
        <w:t>during Cycle 1,</w:t>
      </w:r>
      <w:r>
        <w:rPr>
          <w:lang w:val="en-GB"/>
        </w:rPr>
        <w:t xml:space="preserve"> G</w:t>
      </w:r>
      <w:r w:rsidR="001C5E4E">
        <w:rPr>
          <w:lang w:val="en-GB"/>
        </w:rPr>
        <w:t>azyva</w:t>
      </w:r>
      <w:r>
        <w:rPr>
          <w:lang w:val="en-GB"/>
        </w:rPr>
        <w:t xml:space="preserve"> may be administered as a short (approximately 90 minutes) duration infusion (SDI) from Cycle 2 onwards (see Table 4).</w:t>
      </w:r>
    </w:p>
    <w:p w14:paraId="34632935" w14:textId="77777777" w:rsidR="00F97FEA" w:rsidRDefault="00F97FEA" w:rsidP="00EB1206">
      <w:pPr>
        <w:pStyle w:val="TextTi12"/>
        <w:spacing w:after="120" w:line="240" w:lineRule="auto"/>
        <w:ind w:left="432"/>
        <w:jc w:val="left"/>
        <w:rPr>
          <w:rFonts w:cs="Arial"/>
          <w:color w:val="000000"/>
          <w:lang w:eastAsia="ko-KR" w:bidi="he-IL"/>
        </w:rPr>
      </w:pPr>
      <w:r>
        <w:rPr>
          <w:rFonts w:cs="Arial"/>
          <w:b/>
          <w:color w:val="000000"/>
        </w:rPr>
        <w:t xml:space="preserve">Table </w:t>
      </w:r>
      <w:r w:rsidR="001C2730">
        <w:rPr>
          <w:rFonts w:cs="Arial"/>
          <w:b/>
          <w:color w:val="000000"/>
        </w:rPr>
        <w:t>3</w:t>
      </w:r>
      <w:r>
        <w:rPr>
          <w:rFonts w:cs="Arial"/>
          <w:b/>
          <w:color w:val="000000"/>
        </w:rPr>
        <w:t xml:space="preserve"> Dose and </w:t>
      </w:r>
      <w:r w:rsidR="00473C51">
        <w:rPr>
          <w:rFonts w:cs="Arial"/>
          <w:b/>
          <w:color w:val="000000"/>
        </w:rPr>
        <w:t xml:space="preserve">standard </w:t>
      </w:r>
      <w:r>
        <w:rPr>
          <w:rFonts w:cs="Arial"/>
          <w:b/>
          <w:color w:val="000000"/>
        </w:rPr>
        <w:t xml:space="preserve">infusion rate of Gazyva for patients </w:t>
      </w:r>
      <w:r w:rsidRPr="00E8637D">
        <w:rPr>
          <w:rFonts w:cs="Arial"/>
          <w:b/>
          <w:color w:val="000000"/>
        </w:rPr>
        <w:t>with FL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8"/>
        <w:gridCol w:w="1701"/>
        <w:gridCol w:w="3940"/>
      </w:tblGrid>
      <w:tr w:rsidR="00F97FEA" w:rsidRPr="00EB1206" w14:paraId="779E37F4" w14:textId="77777777" w:rsidTr="00EB1206">
        <w:trPr>
          <w:jc w:val="center"/>
        </w:trPr>
        <w:tc>
          <w:tcPr>
            <w:tcW w:w="2972" w:type="dxa"/>
            <w:gridSpan w:val="2"/>
            <w:shd w:val="clear" w:color="auto" w:fill="auto"/>
            <w:vAlign w:val="center"/>
          </w:tcPr>
          <w:p w14:paraId="5B30A30E" w14:textId="77777777" w:rsidR="00F97FEA" w:rsidRPr="00EB1206" w:rsidRDefault="00F97FEA" w:rsidP="00EB1206">
            <w:pPr>
              <w:pStyle w:val="TextTi12"/>
              <w:spacing w:line="280" w:lineRule="exact"/>
              <w:jc w:val="left"/>
              <w:rPr>
                <w:rFonts w:cs="Arial"/>
                <w:b/>
                <w:iCs/>
                <w:color w:val="000000"/>
                <w:sz w:val="20"/>
                <w:lang w:eastAsia="ko-KR" w:bidi="he-IL"/>
              </w:rPr>
            </w:pPr>
            <w:r w:rsidRPr="00EB1206">
              <w:rPr>
                <w:rFonts w:cs="Arial"/>
                <w:b/>
                <w:iCs/>
                <w:color w:val="000000"/>
                <w:sz w:val="20"/>
                <w:lang w:eastAsia="ko-KR" w:bidi="he-IL"/>
              </w:rPr>
              <w:t>Day of Treatment Cycle</w:t>
            </w:r>
          </w:p>
        </w:tc>
        <w:tc>
          <w:tcPr>
            <w:tcW w:w="1701" w:type="dxa"/>
            <w:shd w:val="clear" w:color="auto" w:fill="auto"/>
            <w:vAlign w:val="center"/>
          </w:tcPr>
          <w:p w14:paraId="73EC30E4" w14:textId="77777777" w:rsidR="00F97FEA" w:rsidRPr="00EB1206" w:rsidRDefault="00F97FEA" w:rsidP="00EB1206">
            <w:pPr>
              <w:pStyle w:val="TextTi12"/>
              <w:spacing w:after="120" w:line="280" w:lineRule="exact"/>
              <w:jc w:val="left"/>
              <w:rPr>
                <w:rFonts w:cs="Arial"/>
                <w:iCs/>
                <w:color w:val="000000"/>
                <w:sz w:val="20"/>
                <w:lang w:eastAsia="ko-KR" w:bidi="he-IL"/>
              </w:rPr>
            </w:pPr>
            <w:r w:rsidRPr="00EB1206">
              <w:rPr>
                <w:rFonts w:cs="Arial"/>
                <w:b/>
                <w:color w:val="000000"/>
                <w:sz w:val="20"/>
              </w:rPr>
              <w:t>Dose of Gazyva</w:t>
            </w:r>
          </w:p>
        </w:tc>
        <w:tc>
          <w:tcPr>
            <w:tcW w:w="3940" w:type="dxa"/>
            <w:shd w:val="clear" w:color="auto" w:fill="auto"/>
            <w:vAlign w:val="center"/>
          </w:tcPr>
          <w:p w14:paraId="471C8EBE" w14:textId="77777777" w:rsidR="00F97FEA" w:rsidRPr="00EB1206" w:rsidRDefault="00F97FEA" w:rsidP="00EB1206">
            <w:pPr>
              <w:spacing w:before="60" w:after="60"/>
              <w:ind w:right="357"/>
              <w:rPr>
                <w:rFonts w:cs="Arial"/>
                <w:b/>
                <w:sz w:val="20"/>
                <w:szCs w:val="20"/>
              </w:rPr>
            </w:pPr>
            <w:r w:rsidRPr="00EB1206">
              <w:rPr>
                <w:rFonts w:cs="Arial"/>
                <w:b/>
                <w:sz w:val="20"/>
                <w:szCs w:val="20"/>
              </w:rPr>
              <w:t>Rate of infusion</w:t>
            </w:r>
          </w:p>
          <w:p w14:paraId="2D9CE8DD" w14:textId="7D6BD26E"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color w:val="000000"/>
                <w:sz w:val="20"/>
              </w:rPr>
              <w:t xml:space="preserve">For management of IRRs that occur during infusion, refer to Table </w:t>
            </w:r>
            <w:r w:rsidR="005D2569" w:rsidRPr="00EB1206">
              <w:rPr>
                <w:rFonts w:cs="Arial"/>
                <w:color w:val="000000"/>
                <w:sz w:val="20"/>
              </w:rPr>
              <w:t>5</w:t>
            </w:r>
          </w:p>
        </w:tc>
      </w:tr>
      <w:tr w:rsidR="00F97FEA" w:rsidRPr="00EB1206" w14:paraId="3776A608" w14:textId="77777777" w:rsidTr="00EB1206">
        <w:trPr>
          <w:jc w:val="center"/>
        </w:trPr>
        <w:tc>
          <w:tcPr>
            <w:tcW w:w="1384" w:type="dxa"/>
            <w:vMerge w:val="restart"/>
            <w:shd w:val="clear" w:color="auto" w:fill="auto"/>
            <w:vAlign w:val="center"/>
          </w:tcPr>
          <w:p w14:paraId="0BD58B66" w14:textId="77777777" w:rsidR="00F97FEA" w:rsidRPr="00EB1206" w:rsidRDefault="00F97FEA" w:rsidP="00EB1206">
            <w:pPr>
              <w:pStyle w:val="TextTi12"/>
              <w:spacing w:after="60" w:line="240" w:lineRule="auto"/>
              <w:jc w:val="left"/>
              <w:rPr>
                <w:rFonts w:cs="Arial"/>
                <w:iCs/>
                <w:color w:val="000000"/>
                <w:sz w:val="20"/>
                <w:lang w:eastAsia="ko-KR" w:bidi="he-IL"/>
              </w:rPr>
            </w:pPr>
            <w:r w:rsidRPr="00EB1206">
              <w:rPr>
                <w:rFonts w:cs="Arial"/>
                <w:iCs/>
                <w:color w:val="000000"/>
                <w:sz w:val="20"/>
                <w:lang w:eastAsia="ko-KR" w:bidi="he-IL"/>
              </w:rPr>
              <w:t>Cycle 1</w:t>
            </w:r>
          </w:p>
        </w:tc>
        <w:tc>
          <w:tcPr>
            <w:tcW w:w="1588" w:type="dxa"/>
            <w:shd w:val="clear" w:color="auto" w:fill="auto"/>
            <w:vAlign w:val="center"/>
          </w:tcPr>
          <w:p w14:paraId="1A516FFE"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Day 1</w:t>
            </w:r>
          </w:p>
        </w:tc>
        <w:tc>
          <w:tcPr>
            <w:tcW w:w="1701" w:type="dxa"/>
            <w:shd w:val="clear" w:color="auto" w:fill="auto"/>
            <w:vAlign w:val="center"/>
          </w:tcPr>
          <w:p w14:paraId="414235FF"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1000 mg</w:t>
            </w:r>
          </w:p>
        </w:tc>
        <w:tc>
          <w:tcPr>
            <w:tcW w:w="3940" w:type="dxa"/>
            <w:shd w:val="clear" w:color="auto" w:fill="auto"/>
            <w:vAlign w:val="center"/>
          </w:tcPr>
          <w:p w14:paraId="241E3F7F"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Administer at 50 mg/hr. The rate of infusion can be escalated in 50 mg/</w:t>
            </w:r>
            <w:proofErr w:type="spellStart"/>
            <w:r w:rsidRPr="00EB1206">
              <w:rPr>
                <w:rFonts w:cs="Arial"/>
                <w:iCs/>
                <w:color w:val="000000"/>
                <w:sz w:val="20"/>
                <w:lang w:eastAsia="ko-KR" w:bidi="he-IL"/>
              </w:rPr>
              <w:t>hr</w:t>
            </w:r>
            <w:proofErr w:type="spellEnd"/>
            <w:r w:rsidRPr="00EB1206">
              <w:rPr>
                <w:rFonts w:cs="Arial"/>
                <w:iCs/>
                <w:color w:val="000000"/>
                <w:sz w:val="20"/>
                <w:lang w:eastAsia="ko-KR" w:bidi="he-IL"/>
              </w:rPr>
              <w:t xml:space="preserve"> increments every 30 minutes to a maximum of 400 mg/hr.</w:t>
            </w:r>
          </w:p>
        </w:tc>
      </w:tr>
      <w:tr w:rsidR="00F97FEA" w:rsidRPr="00EB1206" w14:paraId="1754BD0A" w14:textId="77777777" w:rsidTr="00EB1206">
        <w:trPr>
          <w:jc w:val="center"/>
        </w:trPr>
        <w:tc>
          <w:tcPr>
            <w:tcW w:w="1384" w:type="dxa"/>
            <w:vMerge/>
            <w:shd w:val="clear" w:color="auto" w:fill="auto"/>
            <w:vAlign w:val="center"/>
          </w:tcPr>
          <w:p w14:paraId="5DCC51E7" w14:textId="77777777" w:rsidR="00F97FEA" w:rsidRPr="00EB1206" w:rsidRDefault="00F97FEA" w:rsidP="00EB1206">
            <w:pPr>
              <w:pStyle w:val="TextTi12"/>
              <w:spacing w:before="60" w:after="60" w:line="240" w:lineRule="auto"/>
              <w:jc w:val="left"/>
              <w:rPr>
                <w:rFonts w:cs="Arial"/>
                <w:iCs/>
                <w:color w:val="000000"/>
                <w:sz w:val="20"/>
                <w:lang w:eastAsia="ko-KR" w:bidi="he-IL"/>
              </w:rPr>
            </w:pPr>
          </w:p>
        </w:tc>
        <w:tc>
          <w:tcPr>
            <w:tcW w:w="1588" w:type="dxa"/>
            <w:shd w:val="clear" w:color="auto" w:fill="auto"/>
            <w:vAlign w:val="center"/>
          </w:tcPr>
          <w:p w14:paraId="026EF253"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Day 8</w:t>
            </w:r>
          </w:p>
        </w:tc>
        <w:tc>
          <w:tcPr>
            <w:tcW w:w="1701" w:type="dxa"/>
            <w:shd w:val="clear" w:color="auto" w:fill="auto"/>
            <w:vAlign w:val="center"/>
          </w:tcPr>
          <w:p w14:paraId="755300BD"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1000 mg</w:t>
            </w:r>
          </w:p>
        </w:tc>
        <w:tc>
          <w:tcPr>
            <w:tcW w:w="3940" w:type="dxa"/>
            <w:vMerge w:val="restart"/>
            <w:shd w:val="clear" w:color="auto" w:fill="auto"/>
            <w:vAlign w:val="center"/>
          </w:tcPr>
          <w:p w14:paraId="148E4F4C" w14:textId="77777777" w:rsidR="00EB1206"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If no IRR or a Grade 1 IRR occurred during the previous infusion, where the final infusion rate was ≥100 mg/</w:t>
            </w:r>
            <w:proofErr w:type="spellStart"/>
            <w:r w:rsidRPr="00EB1206">
              <w:rPr>
                <w:rFonts w:cs="Arial"/>
                <w:iCs/>
                <w:color w:val="000000"/>
                <w:sz w:val="20"/>
                <w:lang w:eastAsia="ko-KR" w:bidi="he-IL"/>
              </w:rPr>
              <w:t>hr</w:t>
            </w:r>
            <w:proofErr w:type="spellEnd"/>
            <w:r w:rsidRPr="00EB1206">
              <w:rPr>
                <w:rFonts w:cs="Arial"/>
                <w:iCs/>
                <w:color w:val="000000"/>
                <w:sz w:val="20"/>
                <w:lang w:eastAsia="ko-KR" w:bidi="he-IL"/>
              </w:rPr>
              <w:t>, infusions can be started at a rate of 100 mg/</w:t>
            </w:r>
            <w:proofErr w:type="spellStart"/>
            <w:r w:rsidRPr="00EB1206">
              <w:rPr>
                <w:rFonts w:cs="Arial"/>
                <w:iCs/>
                <w:color w:val="000000"/>
                <w:sz w:val="20"/>
                <w:lang w:eastAsia="ko-KR" w:bidi="he-IL"/>
              </w:rPr>
              <w:t>hr</w:t>
            </w:r>
            <w:proofErr w:type="spellEnd"/>
            <w:r w:rsidRPr="00EB1206">
              <w:rPr>
                <w:rFonts w:cs="Arial"/>
                <w:iCs/>
                <w:color w:val="000000"/>
                <w:sz w:val="20"/>
                <w:lang w:eastAsia="ko-KR" w:bidi="he-IL"/>
              </w:rPr>
              <w:t xml:space="preserve"> and increased by 100 mg/</w:t>
            </w:r>
            <w:proofErr w:type="spellStart"/>
            <w:r w:rsidRPr="00EB1206">
              <w:rPr>
                <w:rFonts w:cs="Arial"/>
                <w:iCs/>
                <w:color w:val="000000"/>
                <w:sz w:val="20"/>
                <w:lang w:eastAsia="ko-KR" w:bidi="he-IL"/>
              </w:rPr>
              <w:t>hr</w:t>
            </w:r>
            <w:proofErr w:type="spellEnd"/>
            <w:r w:rsidRPr="00EB1206">
              <w:rPr>
                <w:rFonts w:cs="Arial"/>
                <w:iCs/>
                <w:color w:val="000000"/>
                <w:sz w:val="20"/>
                <w:lang w:eastAsia="ko-KR" w:bidi="he-IL"/>
              </w:rPr>
              <w:t xml:space="preserve"> increments every 30 minutes to a maximum of 400 mg/hr.</w:t>
            </w:r>
          </w:p>
          <w:p w14:paraId="7DEA0F2A" w14:textId="7892031C"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If the patient experienced a Grade 2 IRR or higher during the previous infusion administer at 50 mg/hr. The rate of infusion can be escalated in 50 mg/</w:t>
            </w:r>
            <w:proofErr w:type="spellStart"/>
            <w:r w:rsidRPr="00EB1206">
              <w:rPr>
                <w:rFonts w:cs="Arial"/>
                <w:iCs/>
                <w:color w:val="000000"/>
                <w:sz w:val="20"/>
                <w:lang w:eastAsia="ko-KR" w:bidi="he-IL"/>
              </w:rPr>
              <w:t>hr</w:t>
            </w:r>
            <w:proofErr w:type="spellEnd"/>
            <w:r w:rsidRPr="00EB1206">
              <w:rPr>
                <w:rFonts w:cs="Arial"/>
                <w:iCs/>
                <w:color w:val="000000"/>
                <w:sz w:val="20"/>
                <w:lang w:eastAsia="ko-KR" w:bidi="he-IL"/>
              </w:rPr>
              <w:t xml:space="preserve"> increments every 30 minutes to a maximum of 400 mg/hr.</w:t>
            </w:r>
          </w:p>
        </w:tc>
      </w:tr>
      <w:tr w:rsidR="00F97FEA" w:rsidRPr="00EB1206" w14:paraId="3D4ED8E5" w14:textId="77777777" w:rsidTr="00EB1206">
        <w:trPr>
          <w:jc w:val="center"/>
        </w:trPr>
        <w:tc>
          <w:tcPr>
            <w:tcW w:w="1384" w:type="dxa"/>
            <w:vMerge/>
            <w:shd w:val="clear" w:color="auto" w:fill="auto"/>
            <w:vAlign w:val="center"/>
          </w:tcPr>
          <w:p w14:paraId="28E4E8FF" w14:textId="77777777" w:rsidR="00F97FEA" w:rsidRPr="00EB1206" w:rsidRDefault="00F97FEA" w:rsidP="00EB1206">
            <w:pPr>
              <w:pStyle w:val="TextTi12"/>
              <w:spacing w:before="60" w:after="60" w:line="240" w:lineRule="auto"/>
              <w:jc w:val="left"/>
              <w:rPr>
                <w:rFonts w:cs="Arial"/>
                <w:iCs/>
                <w:color w:val="000000"/>
                <w:sz w:val="20"/>
                <w:lang w:eastAsia="ko-KR" w:bidi="he-IL"/>
              </w:rPr>
            </w:pPr>
          </w:p>
        </w:tc>
        <w:tc>
          <w:tcPr>
            <w:tcW w:w="1588" w:type="dxa"/>
            <w:shd w:val="clear" w:color="auto" w:fill="auto"/>
            <w:vAlign w:val="center"/>
          </w:tcPr>
          <w:p w14:paraId="70CB5999"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Day 15</w:t>
            </w:r>
          </w:p>
        </w:tc>
        <w:tc>
          <w:tcPr>
            <w:tcW w:w="1701" w:type="dxa"/>
            <w:shd w:val="clear" w:color="auto" w:fill="auto"/>
            <w:vAlign w:val="center"/>
          </w:tcPr>
          <w:p w14:paraId="4439300D"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1000 mg</w:t>
            </w:r>
          </w:p>
        </w:tc>
        <w:tc>
          <w:tcPr>
            <w:tcW w:w="3940" w:type="dxa"/>
            <w:vMerge/>
            <w:shd w:val="clear" w:color="auto" w:fill="auto"/>
            <w:vAlign w:val="center"/>
          </w:tcPr>
          <w:p w14:paraId="60F54B19" w14:textId="77777777" w:rsidR="00F97FEA" w:rsidRPr="00EB1206" w:rsidRDefault="00F97FEA" w:rsidP="00EB1206">
            <w:pPr>
              <w:pStyle w:val="TextTi12"/>
              <w:spacing w:before="60" w:after="60" w:line="240" w:lineRule="auto"/>
              <w:jc w:val="left"/>
              <w:rPr>
                <w:rFonts w:cs="Arial"/>
                <w:iCs/>
                <w:color w:val="000000"/>
                <w:sz w:val="20"/>
                <w:lang w:eastAsia="ko-KR" w:bidi="he-IL"/>
              </w:rPr>
            </w:pPr>
          </w:p>
        </w:tc>
      </w:tr>
      <w:tr w:rsidR="00F97FEA" w:rsidRPr="00EB1206" w14:paraId="23E60A31" w14:textId="77777777" w:rsidTr="00EB1206">
        <w:trPr>
          <w:jc w:val="center"/>
        </w:trPr>
        <w:tc>
          <w:tcPr>
            <w:tcW w:w="1384" w:type="dxa"/>
            <w:shd w:val="clear" w:color="auto" w:fill="auto"/>
            <w:vAlign w:val="center"/>
          </w:tcPr>
          <w:p w14:paraId="7CCCB1BF" w14:textId="47135C08"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Cycles 2-6</w:t>
            </w:r>
            <w:r w:rsidR="00EB1206" w:rsidRPr="00EB1206">
              <w:rPr>
                <w:rFonts w:cs="Arial"/>
                <w:iCs/>
                <w:color w:val="000000"/>
                <w:sz w:val="20"/>
                <w:lang w:eastAsia="ko-KR" w:bidi="he-IL"/>
              </w:rPr>
              <w:t xml:space="preserve"> </w:t>
            </w:r>
            <w:r w:rsidRPr="00EB1206">
              <w:rPr>
                <w:rFonts w:cs="Arial"/>
                <w:iCs/>
                <w:color w:val="000000"/>
                <w:sz w:val="20"/>
                <w:lang w:eastAsia="ko-KR" w:bidi="he-IL"/>
              </w:rPr>
              <w:t>or 2-8</w:t>
            </w:r>
          </w:p>
        </w:tc>
        <w:tc>
          <w:tcPr>
            <w:tcW w:w="1588" w:type="dxa"/>
            <w:shd w:val="clear" w:color="auto" w:fill="auto"/>
            <w:vAlign w:val="center"/>
          </w:tcPr>
          <w:p w14:paraId="53CBE5D8"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Day 1</w:t>
            </w:r>
          </w:p>
        </w:tc>
        <w:tc>
          <w:tcPr>
            <w:tcW w:w="1701" w:type="dxa"/>
            <w:shd w:val="clear" w:color="auto" w:fill="auto"/>
            <w:vAlign w:val="center"/>
          </w:tcPr>
          <w:p w14:paraId="503D7A3E"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1000 mg</w:t>
            </w:r>
          </w:p>
        </w:tc>
        <w:tc>
          <w:tcPr>
            <w:tcW w:w="3940" w:type="dxa"/>
            <w:vMerge/>
            <w:shd w:val="clear" w:color="auto" w:fill="auto"/>
            <w:vAlign w:val="center"/>
          </w:tcPr>
          <w:p w14:paraId="61877024" w14:textId="77777777" w:rsidR="00F97FEA" w:rsidRPr="00EB1206" w:rsidRDefault="00F97FEA" w:rsidP="00EB1206">
            <w:pPr>
              <w:pStyle w:val="TextTi12"/>
              <w:spacing w:before="60" w:after="60" w:line="240" w:lineRule="auto"/>
              <w:jc w:val="left"/>
              <w:rPr>
                <w:rFonts w:cs="Arial"/>
                <w:iCs/>
                <w:color w:val="000000"/>
                <w:sz w:val="20"/>
                <w:lang w:eastAsia="ko-KR" w:bidi="he-IL"/>
              </w:rPr>
            </w:pPr>
          </w:p>
        </w:tc>
      </w:tr>
      <w:tr w:rsidR="00F97FEA" w:rsidRPr="00EB1206" w14:paraId="74CFDA81" w14:textId="77777777" w:rsidTr="00EB1206">
        <w:trPr>
          <w:jc w:val="center"/>
        </w:trPr>
        <w:tc>
          <w:tcPr>
            <w:tcW w:w="1384" w:type="dxa"/>
            <w:shd w:val="clear" w:color="auto" w:fill="auto"/>
            <w:vAlign w:val="center"/>
          </w:tcPr>
          <w:p w14:paraId="4B21CFF8" w14:textId="77777777" w:rsidR="00F97FEA" w:rsidRPr="00EB1206" w:rsidRDefault="00F97FEA" w:rsidP="00EB1206">
            <w:pPr>
              <w:pStyle w:val="TextTi12"/>
              <w:spacing w:after="60" w:line="240" w:lineRule="auto"/>
              <w:rPr>
                <w:rFonts w:cs="Arial"/>
                <w:iCs/>
                <w:color w:val="000000"/>
                <w:sz w:val="20"/>
                <w:lang w:eastAsia="ko-KR" w:bidi="he-IL"/>
              </w:rPr>
            </w:pPr>
            <w:r w:rsidRPr="00EB1206">
              <w:rPr>
                <w:rFonts w:cs="Arial"/>
                <w:iCs/>
                <w:color w:val="000000"/>
                <w:sz w:val="20"/>
                <w:lang w:eastAsia="ko-KR" w:bidi="he-IL"/>
              </w:rPr>
              <w:t>Maintenance for FL patients</w:t>
            </w:r>
          </w:p>
        </w:tc>
        <w:tc>
          <w:tcPr>
            <w:tcW w:w="1588" w:type="dxa"/>
            <w:shd w:val="clear" w:color="auto" w:fill="auto"/>
            <w:vAlign w:val="center"/>
          </w:tcPr>
          <w:p w14:paraId="6B343296" w14:textId="4CBE6CE8"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Every 2 months until progression or up to 2 years</w:t>
            </w:r>
          </w:p>
        </w:tc>
        <w:tc>
          <w:tcPr>
            <w:tcW w:w="1701" w:type="dxa"/>
            <w:shd w:val="clear" w:color="auto" w:fill="auto"/>
            <w:vAlign w:val="center"/>
          </w:tcPr>
          <w:p w14:paraId="4C8587FF" w14:textId="77777777" w:rsidR="00F97FEA" w:rsidRPr="00EB1206" w:rsidRDefault="00F97FEA" w:rsidP="00EB1206">
            <w:pPr>
              <w:pStyle w:val="TextTi12"/>
              <w:spacing w:before="60" w:after="60" w:line="240" w:lineRule="auto"/>
              <w:jc w:val="left"/>
              <w:rPr>
                <w:rFonts w:cs="Arial"/>
                <w:iCs/>
                <w:color w:val="000000"/>
                <w:sz w:val="20"/>
                <w:lang w:eastAsia="ko-KR" w:bidi="he-IL"/>
              </w:rPr>
            </w:pPr>
            <w:r w:rsidRPr="00EB1206">
              <w:rPr>
                <w:rFonts w:cs="Arial"/>
                <w:iCs/>
                <w:color w:val="000000"/>
                <w:sz w:val="20"/>
                <w:lang w:eastAsia="ko-KR" w:bidi="he-IL"/>
              </w:rPr>
              <w:t>1000 mg</w:t>
            </w:r>
          </w:p>
        </w:tc>
        <w:tc>
          <w:tcPr>
            <w:tcW w:w="3940" w:type="dxa"/>
            <w:vMerge/>
            <w:shd w:val="clear" w:color="auto" w:fill="auto"/>
            <w:vAlign w:val="center"/>
          </w:tcPr>
          <w:p w14:paraId="39BF23DE" w14:textId="77777777" w:rsidR="00F97FEA" w:rsidRPr="00EB1206" w:rsidRDefault="00F97FEA" w:rsidP="00EB1206">
            <w:pPr>
              <w:pStyle w:val="TextTi12"/>
              <w:spacing w:before="60" w:after="60" w:line="240" w:lineRule="auto"/>
              <w:jc w:val="left"/>
              <w:rPr>
                <w:rFonts w:cs="Arial"/>
                <w:iCs/>
                <w:color w:val="000000"/>
                <w:sz w:val="20"/>
                <w:lang w:eastAsia="ko-KR" w:bidi="he-IL"/>
              </w:rPr>
            </w:pPr>
          </w:p>
        </w:tc>
      </w:tr>
    </w:tbl>
    <w:p w14:paraId="64FE856A" w14:textId="77777777" w:rsidR="00F97FEA" w:rsidRDefault="00F97FEA" w:rsidP="00EB1206">
      <w:pPr>
        <w:pStyle w:val="TextTi12"/>
        <w:keepNext/>
        <w:spacing w:after="0" w:line="240" w:lineRule="auto"/>
        <w:jc w:val="left"/>
        <w:rPr>
          <w:color w:val="000000"/>
          <w:sz w:val="20"/>
        </w:rPr>
      </w:pPr>
      <w:r w:rsidRPr="00C75250">
        <w:rPr>
          <w:color w:val="000000"/>
          <w:sz w:val="20"/>
          <w:vertAlign w:val="superscript"/>
        </w:rPr>
        <w:t xml:space="preserve">** </w:t>
      </w:r>
      <w:r w:rsidRPr="00C75250">
        <w:rPr>
          <w:color w:val="000000"/>
          <w:sz w:val="20"/>
        </w:rPr>
        <w:t xml:space="preserve">see </w:t>
      </w:r>
      <w:r w:rsidR="002A10A0">
        <w:rPr>
          <w:color w:val="000000"/>
          <w:sz w:val="20"/>
        </w:rPr>
        <w:t>section 5.1 Pharmacodynamic properties</w:t>
      </w:r>
      <w:r w:rsidRPr="00C75250">
        <w:rPr>
          <w:color w:val="000000"/>
          <w:sz w:val="20"/>
        </w:rPr>
        <w:t xml:space="preserve"> for information on </w:t>
      </w:r>
      <w:proofErr w:type="spellStart"/>
      <w:r w:rsidRPr="00C75250">
        <w:rPr>
          <w:color w:val="000000"/>
          <w:sz w:val="20"/>
        </w:rPr>
        <w:t>bendamustine</w:t>
      </w:r>
      <w:proofErr w:type="spellEnd"/>
      <w:r w:rsidRPr="00C75250">
        <w:rPr>
          <w:color w:val="000000"/>
          <w:sz w:val="20"/>
        </w:rPr>
        <w:t xml:space="preserve"> dose.</w:t>
      </w:r>
    </w:p>
    <w:p w14:paraId="260B7108" w14:textId="2FB6ADCF" w:rsidR="005D2569" w:rsidRPr="009830D2" w:rsidRDefault="005D2569" w:rsidP="00EB1206">
      <w:pPr>
        <w:pStyle w:val="TextTi12"/>
        <w:keepNext/>
        <w:pageBreakBefore/>
        <w:jc w:val="left"/>
        <w:rPr>
          <w:rFonts w:cs="Arial"/>
          <w:lang w:eastAsia="ko-KR" w:bidi="he-IL"/>
        </w:rPr>
      </w:pPr>
      <w:r>
        <w:rPr>
          <w:rFonts w:cs="Arial"/>
          <w:b/>
        </w:rPr>
        <w:lastRenderedPageBreak/>
        <w:t xml:space="preserve">Table 4 </w:t>
      </w:r>
      <w:r w:rsidRPr="009830D2">
        <w:rPr>
          <w:rFonts w:cs="Arial"/>
          <w:b/>
        </w:rPr>
        <w:t>Dose and</w:t>
      </w:r>
      <w:r w:rsidR="00473C51">
        <w:rPr>
          <w:rFonts w:cs="Arial"/>
          <w:b/>
        </w:rPr>
        <w:t xml:space="preserve"> short duration</w:t>
      </w:r>
      <w:r w:rsidRPr="009830D2">
        <w:rPr>
          <w:rFonts w:cs="Arial"/>
          <w:b/>
        </w:rPr>
        <w:t xml:space="preserve"> </w:t>
      </w:r>
      <w:r>
        <w:rPr>
          <w:rFonts w:cs="Arial"/>
          <w:b/>
        </w:rPr>
        <w:t>i</w:t>
      </w:r>
      <w:r w:rsidRPr="009830D2">
        <w:rPr>
          <w:rFonts w:cs="Arial"/>
          <w:b/>
        </w:rPr>
        <w:t xml:space="preserve">nfusion </w:t>
      </w:r>
      <w:r w:rsidR="00473C51">
        <w:rPr>
          <w:rFonts w:cs="Arial"/>
          <w:b/>
        </w:rPr>
        <w:t xml:space="preserve">(SDI) </w:t>
      </w:r>
      <w:r w:rsidRPr="009830D2">
        <w:rPr>
          <w:rFonts w:cs="Arial"/>
          <w:b/>
        </w:rPr>
        <w:t>rate of G</w:t>
      </w:r>
      <w:r w:rsidR="001C5E4E">
        <w:rPr>
          <w:rFonts w:cs="Arial"/>
          <w:b/>
        </w:rPr>
        <w:t>azyva</w:t>
      </w:r>
      <w:r w:rsidRPr="009830D2">
        <w:rPr>
          <w:rFonts w:cs="Arial"/>
          <w:b/>
        </w:rPr>
        <w:t xml:space="preserve"> </w:t>
      </w:r>
      <w:r>
        <w:rPr>
          <w:rFonts w:cs="Arial"/>
          <w:b/>
          <w:lang w:val="en-GB"/>
        </w:rPr>
        <w:t>for patients with FL</w:t>
      </w:r>
    </w:p>
    <w:tbl>
      <w:tblPr>
        <w:tblStyle w:val="TableGrid"/>
        <w:tblW w:w="8725" w:type="dxa"/>
        <w:tblInd w:w="0" w:type="dxa"/>
        <w:tblLook w:val="04A0" w:firstRow="1" w:lastRow="0" w:firstColumn="1" w:lastColumn="0" w:noHBand="0" w:noVBand="1"/>
      </w:tblPr>
      <w:tblGrid>
        <w:gridCol w:w="1795"/>
        <w:gridCol w:w="2252"/>
        <w:gridCol w:w="1438"/>
        <w:gridCol w:w="3240"/>
      </w:tblGrid>
      <w:tr w:rsidR="005D2569" w14:paraId="5532B68C" w14:textId="77777777" w:rsidTr="005D2569">
        <w:trPr>
          <w:trHeight w:val="710"/>
        </w:trPr>
        <w:tc>
          <w:tcPr>
            <w:tcW w:w="4047" w:type="dxa"/>
            <w:gridSpan w:val="2"/>
          </w:tcPr>
          <w:p w14:paraId="2069E021" w14:textId="77777777" w:rsidR="005D2569" w:rsidRPr="00B309E6" w:rsidRDefault="005D2569" w:rsidP="00EB1206">
            <w:pPr>
              <w:spacing w:after="170" w:line="280" w:lineRule="exact"/>
              <w:rPr>
                <w:b/>
                <w:sz w:val="22"/>
                <w:szCs w:val="22"/>
                <w:lang w:val="en-GB"/>
              </w:rPr>
            </w:pPr>
            <w:r w:rsidRPr="00B309E6">
              <w:rPr>
                <w:b/>
                <w:sz w:val="22"/>
                <w:szCs w:val="22"/>
              </w:rPr>
              <w:t>Day of treatment cycle</w:t>
            </w:r>
          </w:p>
        </w:tc>
        <w:tc>
          <w:tcPr>
            <w:tcW w:w="1438" w:type="dxa"/>
          </w:tcPr>
          <w:p w14:paraId="18C80DEF" w14:textId="77777777" w:rsidR="005D2569" w:rsidRPr="00B309E6" w:rsidRDefault="005D2569" w:rsidP="00EB1206">
            <w:pPr>
              <w:spacing w:line="280" w:lineRule="exact"/>
              <w:rPr>
                <w:b/>
                <w:sz w:val="22"/>
                <w:szCs w:val="22"/>
              </w:rPr>
            </w:pPr>
            <w:r w:rsidRPr="00B309E6">
              <w:rPr>
                <w:b/>
                <w:sz w:val="22"/>
                <w:szCs w:val="22"/>
              </w:rPr>
              <w:t xml:space="preserve">Dose   </w:t>
            </w:r>
          </w:p>
          <w:p w14:paraId="4DCB494A" w14:textId="68EA82BD" w:rsidR="005D2569" w:rsidRPr="00062D83" w:rsidRDefault="005D2569" w:rsidP="00EB1206">
            <w:pPr>
              <w:spacing w:after="170" w:line="280" w:lineRule="exact"/>
              <w:rPr>
                <w:sz w:val="22"/>
                <w:szCs w:val="22"/>
                <w:lang w:val="en-GB"/>
              </w:rPr>
            </w:pPr>
            <w:r w:rsidRPr="00B309E6">
              <w:rPr>
                <w:b/>
                <w:sz w:val="22"/>
                <w:szCs w:val="22"/>
              </w:rPr>
              <w:t>of G</w:t>
            </w:r>
            <w:r w:rsidR="001C5E4E">
              <w:rPr>
                <w:b/>
                <w:sz w:val="22"/>
                <w:szCs w:val="22"/>
              </w:rPr>
              <w:t>azyva</w:t>
            </w:r>
          </w:p>
        </w:tc>
        <w:tc>
          <w:tcPr>
            <w:tcW w:w="3240" w:type="dxa"/>
            <w:tcBorders>
              <w:bottom w:val="single" w:sz="4" w:space="0" w:color="auto"/>
            </w:tcBorders>
          </w:tcPr>
          <w:p w14:paraId="0AC76FF5" w14:textId="77777777" w:rsidR="005D2569" w:rsidRPr="00B309E6" w:rsidRDefault="005D2569" w:rsidP="00EB1206">
            <w:pPr>
              <w:spacing w:after="170" w:line="280" w:lineRule="exact"/>
              <w:rPr>
                <w:rFonts w:cs="Arial"/>
                <w:b/>
                <w:sz w:val="22"/>
                <w:szCs w:val="22"/>
              </w:rPr>
            </w:pPr>
            <w:r w:rsidRPr="00B309E6">
              <w:rPr>
                <w:rFonts w:cs="Arial"/>
                <w:b/>
                <w:sz w:val="22"/>
                <w:szCs w:val="22"/>
              </w:rPr>
              <w:t xml:space="preserve">Rate of infusion </w:t>
            </w:r>
          </w:p>
          <w:p w14:paraId="201EB5D7" w14:textId="77777777" w:rsidR="005D2569" w:rsidRPr="00062D83" w:rsidRDefault="005D2569" w:rsidP="00EB1206">
            <w:pPr>
              <w:spacing w:after="170" w:line="280" w:lineRule="exact"/>
              <w:rPr>
                <w:rFonts w:cs="Arial"/>
                <w:lang w:val="en-GB"/>
              </w:rPr>
            </w:pPr>
            <w:r w:rsidRPr="00062D83">
              <w:rPr>
                <w:rFonts w:cs="Arial"/>
                <w:sz w:val="22"/>
                <w:szCs w:val="22"/>
                <w:lang w:val="en-GB"/>
              </w:rPr>
              <w:t xml:space="preserve">For management </w:t>
            </w:r>
            <w:proofErr w:type="gramStart"/>
            <w:r w:rsidRPr="00062D83">
              <w:rPr>
                <w:rFonts w:cs="Arial"/>
                <w:sz w:val="22"/>
                <w:szCs w:val="22"/>
                <w:lang w:val="en-GB"/>
              </w:rPr>
              <w:t>of  IRRs</w:t>
            </w:r>
            <w:proofErr w:type="gramEnd"/>
            <w:r w:rsidRPr="00062D83">
              <w:rPr>
                <w:rFonts w:cs="Arial"/>
                <w:sz w:val="22"/>
                <w:szCs w:val="22"/>
                <w:lang w:val="en-GB"/>
              </w:rPr>
              <w:t xml:space="preserve"> that occur during infusion, refer to Table</w:t>
            </w:r>
            <w:r w:rsidRPr="00062D83">
              <w:rPr>
                <w:rFonts w:cs="Arial"/>
                <w:lang w:val="en-GB"/>
              </w:rPr>
              <w:t xml:space="preserve"> 5</w:t>
            </w:r>
          </w:p>
        </w:tc>
      </w:tr>
      <w:tr w:rsidR="005D2569" w14:paraId="431BFD07" w14:textId="77777777" w:rsidTr="005D2569">
        <w:trPr>
          <w:trHeight w:val="782"/>
        </w:trPr>
        <w:tc>
          <w:tcPr>
            <w:tcW w:w="1795" w:type="dxa"/>
          </w:tcPr>
          <w:p w14:paraId="1591F09A" w14:textId="77777777" w:rsidR="005D2569" w:rsidRPr="00062D83" w:rsidRDefault="005D2569" w:rsidP="00EB1206">
            <w:pPr>
              <w:spacing w:after="170" w:line="280" w:lineRule="exact"/>
              <w:rPr>
                <w:sz w:val="22"/>
                <w:szCs w:val="22"/>
              </w:rPr>
            </w:pPr>
            <w:r w:rsidRPr="00062D83">
              <w:rPr>
                <w:sz w:val="22"/>
                <w:szCs w:val="22"/>
              </w:rPr>
              <w:t xml:space="preserve">Cycles </w:t>
            </w:r>
          </w:p>
          <w:p w14:paraId="1AC81253" w14:textId="77777777" w:rsidR="005D2569" w:rsidRPr="00062D83" w:rsidRDefault="005D2569" w:rsidP="00EB1206">
            <w:pPr>
              <w:spacing w:after="170" w:line="280" w:lineRule="exact"/>
              <w:rPr>
                <w:sz w:val="22"/>
                <w:szCs w:val="22"/>
                <w:lang w:val="en-GB"/>
              </w:rPr>
            </w:pPr>
            <w:r w:rsidRPr="00062D83">
              <w:rPr>
                <w:sz w:val="22"/>
                <w:szCs w:val="22"/>
              </w:rPr>
              <w:t>2–6 or 2-8</w:t>
            </w:r>
          </w:p>
        </w:tc>
        <w:tc>
          <w:tcPr>
            <w:tcW w:w="2252" w:type="dxa"/>
          </w:tcPr>
          <w:p w14:paraId="0873AD7B" w14:textId="77777777" w:rsidR="005D2569" w:rsidRPr="00062D83" w:rsidRDefault="005D2569" w:rsidP="00EB1206">
            <w:pPr>
              <w:spacing w:after="170" w:line="280" w:lineRule="exact"/>
              <w:rPr>
                <w:sz w:val="22"/>
                <w:szCs w:val="22"/>
              </w:rPr>
            </w:pPr>
            <w:r w:rsidRPr="00062D83">
              <w:rPr>
                <w:sz w:val="22"/>
                <w:szCs w:val="22"/>
              </w:rPr>
              <w:t>Day 1</w:t>
            </w:r>
          </w:p>
        </w:tc>
        <w:tc>
          <w:tcPr>
            <w:tcW w:w="1438" w:type="dxa"/>
            <w:tcBorders>
              <w:right w:val="single" w:sz="4" w:space="0" w:color="auto"/>
            </w:tcBorders>
          </w:tcPr>
          <w:p w14:paraId="58D30B6B" w14:textId="77777777" w:rsidR="005D2569" w:rsidRPr="00062D83" w:rsidRDefault="005D2569" w:rsidP="00EB1206">
            <w:pPr>
              <w:spacing w:after="170" w:line="280" w:lineRule="exact"/>
              <w:rPr>
                <w:sz w:val="22"/>
                <w:szCs w:val="22"/>
                <w:lang w:val="en-GB"/>
              </w:rPr>
            </w:pPr>
            <w:r w:rsidRPr="00062D83">
              <w:rPr>
                <w:sz w:val="22"/>
                <w:szCs w:val="22"/>
                <w:lang w:val="en-GB"/>
              </w:rPr>
              <w:t>1000 mg</w:t>
            </w:r>
          </w:p>
        </w:tc>
        <w:tc>
          <w:tcPr>
            <w:tcW w:w="3240" w:type="dxa"/>
            <w:vMerge w:val="restart"/>
            <w:tcBorders>
              <w:top w:val="single" w:sz="4" w:space="0" w:color="auto"/>
              <w:left w:val="single" w:sz="4" w:space="0" w:color="auto"/>
              <w:right w:val="single" w:sz="4" w:space="0" w:color="auto"/>
            </w:tcBorders>
          </w:tcPr>
          <w:p w14:paraId="3369E981" w14:textId="77777777" w:rsidR="005D2569" w:rsidRPr="008D31D6" w:rsidRDefault="005D2569" w:rsidP="00EB1206">
            <w:pPr>
              <w:rPr>
                <w:rFonts w:cs="Arial"/>
                <w:sz w:val="22"/>
                <w:szCs w:val="22"/>
              </w:rPr>
            </w:pPr>
            <w:r w:rsidRPr="008D31D6">
              <w:rPr>
                <w:rFonts w:cs="Arial"/>
                <w:sz w:val="22"/>
                <w:szCs w:val="22"/>
              </w:rPr>
              <w:t xml:space="preserve">If no IRR of Grade ≥3 occurred during Cycle 1: </w:t>
            </w:r>
          </w:p>
          <w:p w14:paraId="012FC758" w14:textId="77777777" w:rsidR="005D2569" w:rsidRPr="00A41ECE" w:rsidRDefault="005D2569" w:rsidP="00EB1206">
            <w:pPr>
              <w:rPr>
                <w:rFonts w:cs="Arial"/>
                <w:sz w:val="22"/>
                <w:szCs w:val="22"/>
              </w:rPr>
            </w:pPr>
            <w:r w:rsidRPr="00A41ECE">
              <w:rPr>
                <w:rFonts w:cs="Arial"/>
                <w:sz w:val="22"/>
                <w:szCs w:val="22"/>
              </w:rPr>
              <w:t>100 mg/hr for 3</w:t>
            </w:r>
            <w:r>
              <w:rPr>
                <w:rFonts w:cs="Arial"/>
                <w:sz w:val="22"/>
                <w:szCs w:val="22"/>
              </w:rPr>
              <w:t>0 minutes, then 900 mg/hr for approximately 60</w:t>
            </w:r>
            <w:r w:rsidRPr="00A41ECE">
              <w:rPr>
                <w:rFonts w:cs="Arial"/>
                <w:sz w:val="22"/>
                <w:szCs w:val="22"/>
              </w:rPr>
              <w:t xml:space="preserve"> minutes.</w:t>
            </w:r>
          </w:p>
          <w:p w14:paraId="20FF2767" w14:textId="77777777" w:rsidR="005D2569" w:rsidRPr="00AB27C7" w:rsidRDefault="005D2569" w:rsidP="00EB1206">
            <w:pPr>
              <w:rPr>
                <w:rFonts w:cs="Arial"/>
              </w:rPr>
            </w:pPr>
          </w:p>
          <w:p w14:paraId="7797693E" w14:textId="77777777" w:rsidR="005D2569" w:rsidRPr="008D31D6" w:rsidRDefault="005D2569" w:rsidP="00EB1206">
            <w:pPr>
              <w:rPr>
                <w:rFonts w:cs="Arial"/>
                <w:sz w:val="22"/>
                <w:szCs w:val="22"/>
              </w:rPr>
            </w:pPr>
            <w:r w:rsidRPr="008D31D6">
              <w:rPr>
                <w:rFonts w:cs="Arial"/>
                <w:sz w:val="22"/>
                <w:szCs w:val="22"/>
              </w:rPr>
              <w:t>If an IRR of Grade 1-2 with ongoing symptoms or a Grade 3 IRR occurred during the previous SDI infusion, administer obinutuzumab at the standard infusion rate (see Table 3).</w:t>
            </w:r>
          </w:p>
          <w:p w14:paraId="06AD582A" w14:textId="77777777" w:rsidR="005D2569" w:rsidRPr="007C6C11" w:rsidRDefault="005D2569" w:rsidP="00EB1206"/>
        </w:tc>
      </w:tr>
      <w:tr w:rsidR="005D2569" w14:paraId="38C76531" w14:textId="77777777" w:rsidTr="005D2569">
        <w:tc>
          <w:tcPr>
            <w:tcW w:w="1795" w:type="dxa"/>
          </w:tcPr>
          <w:p w14:paraId="23C6D11B" w14:textId="77777777" w:rsidR="005D2569" w:rsidRPr="00106849" w:rsidRDefault="005D2569" w:rsidP="00EB1206">
            <w:pPr>
              <w:spacing w:after="170" w:line="280" w:lineRule="exact"/>
              <w:rPr>
                <w:sz w:val="22"/>
                <w:szCs w:val="22"/>
              </w:rPr>
            </w:pPr>
            <w:r w:rsidRPr="00062D83">
              <w:rPr>
                <w:sz w:val="22"/>
                <w:szCs w:val="22"/>
              </w:rPr>
              <w:t xml:space="preserve">Maintenance </w:t>
            </w:r>
            <w:r>
              <w:rPr>
                <w:sz w:val="22"/>
                <w:szCs w:val="22"/>
              </w:rPr>
              <w:t xml:space="preserve">      </w:t>
            </w:r>
          </w:p>
        </w:tc>
        <w:tc>
          <w:tcPr>
            <w:tcW w:w="2252" w:type="dxa"/>
          </w:tcPr>
          <w:p w14:paraId="1D50D14D" w14:textId="77777777" w:rsidR="005D2569" w:rsidRPr="00062D83" w:rsidRDefault="005D2569" w:rsidP="00EB1206">
            <w:pPr>
              <w:spacing w:after="170" w:line="280" w:lineRule="exact"/>
              <w:rPr>
                <w:sz w:val="22"/>
                <w:szCs w:val="22"/>
                <w:lang w:val="en-GB"/>
              </w:rPr>
            </w:pPr>
            <w:r w:rsidRPr="00062D83">
              <w:rPr>
                <w:sz w:val="22"/>
                <w:szCs w:val="22"/>
              </w:rPr>
              <w:t>Every 2 months until progression or up to 2 years</w:t>
            </w:r>
          </w:p>
        </w:tc>
        <w:tc>
          <w:tcPr>
            <w:tcW w:w="1438" w:type="dxa"/>
            <w:tcBorders>
              <w:right w:val="single" w:sz="4" w:space="0" w:color="auto"/>
            </w:tcBorders>
          </w:tcPr>
          <w:p w14:paraId="407A3E4E" w14:textId="77777777" w:rsidR="005D2569" w:rsidRPr="00062D83" w:rsidRDefault="005D2569" w:rsidP="00EB1206">
            <w:pPr>
              <w:spacing w:after="170" w:line="280" w:lineRule="exact"/>
              <w:rPr>
                <w:sz w:val="22"/>
                <w:szCs w:val="22"/>
                <w:lang w:val="en-GB"/>
              </w:rPr>
            </w:pPr>
            <w:r w:rsidRPr="00062D83">
              <w:rPr>
                <w:sz w:val="22"/>
                <w:szCs w:val="22"/>
              </w:rPr>
              <w:t>1000 mg</w:t>
            </w:r>
          </w:p>
        </w:tc>
        <w:tc>
          <w:tcPr>
            <w:tcW w:w="3240" w:type="dxa"/>
            <w:vMerge/>
            <w:tcBorders>
              <w:left w:val="single" w:sz="4" w:space="0" w:color="auto"/>
              <w:bottom w:val="single" w:sz="4" w:space="0" w:color="auto"/>
              <w:right w:val="single" w:sz="4" w:space="0" w:color="auto"/>
            </w:tcBorders>
          </w:tcPr>
          <w:p w14:paraId="2CB50D2E" w14:textId="77777777" w:rsidR="005D2569" w:rsidRPr="007C6C11" w:rsidRDefault="005D2569" w:rsidP="00EB1206"/>
        </w:tc>
      </w:tr>
    </w:tbl>
    <w:p w14:paraId="13512BC5" w14:textId="77777777" w:rsidR="00F97FEA" w:rsidRPr="00E8637D" w:rsidRDefault="00F97FEA" w:rsidP="00EB1206">
      <w:pPr>
        <w:pStyle w:val="Heading6"/>
        <w:spacing w:before="240"/>
        <w:rPr>
          <w:rFonts w:eastAsia="SimSun"/>
          <w:lang w:val="en-GB" w:eastAsia="zh-CN"/>
        </w:rPr>
      </w:pPr>
      <w:r w:rsidRPr="00E8637D">
        <w:rPr>
          <w:rFonts w:eastAsia="SimSun"/>
          <w:lang w:val="en-GB" w:eastAsia="zh-CN"/>
        </w:rPr>
        <w:t>Delayed or missed doses</w:t>
      </w:r>
      <w:r>
        <w:rPr>
          <w:rFonts w:eastAsia="SimSun"/>
          <w:lang w:val="en-GB" w:eastAsia="zh-CN"/>
        </w:rPr>
        <w:t xml:space="preserve"> (FL)</w:t>
      </w:r>
    </w:p>
    <w:p w14:paraId="2C08EC80" w14:textId="77777777" w:rsidR="00F97FEA" w:rsidRDefault="00F97FEA" w:rsidP="00EB1206">
      <w:pPr>
        <w:spacing w:after="170" w:line="280" w:lineRule="exact"/>
        <w:rPr>
          <w:rFonts w:eastAsia="SimSun"/>
          <w:lang w:val="en-GB" w:eastAsia="zh-CN"/>
        </w:rPr>
      </w:pPr>
      <w:r w:rsidRPr="00E8637D">
        <w:rPr>
          <w:rFonts w:eastAsia="SimSun"/>
          <w:lang w:val="en-GB" w:eastAsia="zh-CN"/>
        </w:rPr>
        <w:t xml:space="preserve">If a planned dose of </w:t>
      </w:r>
      <w:r>
        <w:rPr>
          <w:lang w:val="en-US"/>
        </w:rPr>
        <w:t>Gazyva</w:t>
      </w:r>
      <w:r w:rsidRPr="00E8637D">
        <w:rPr>
          <w:rFonts w:eastAsia="SimSun"/>
          <w:lang w:val="en-GB" w:eastAsia="zh-CN"/>
        </w:rPr>
        <w:t xml:space="preserve"> is missed, it should be administered as soon as possible; do not </w:t>
      </w:r>
      <w:r>
        <w:rPr>
          <w:rFonts w:eastAsia="SimSun"/>
          <w:lang w:val="en-GB" w:eastAsia="zh-CN"/>
        </w:rPr>
        <w:t xml:space="preserve">omit it or </w:t>
      </w:r>
      <w:r w:rsidRPr="00E8637D">
        <w:rPr>
          <w:rFonts w:eastAsia="SimSun"/>
          <w:lang w:val="en-GB" w:eastAsia="zh-CN"/>
        </w:rPr>
        <w:t>wait until the next planned dose.</w:t>
      </w:r>
    </w:p>
    <w:p w14:paraId="6D65AC5C" w14:textId="77777777" w:rsidR="00F97FEA" w:rsidRDefault="00F97FEA" w:rsidP="00EB1206">
      <w:pPr>
        <w:spacing w:after="170" w:line="280" w:lineRule="exact"/>
        <w:rPr>
          <w:rFonts w:eastAsia="SimSun"/>
          <w:lang w:val="en-GB" w:eastAsia="zh-CN"/>
        </w:rPr>
      </w:pPr>
      <w:r>
        <w:rPr>
          <w:rFonts w:eastAsia="SimSun"/>
          <w:lang w:val="en-GB" w:eastAsia="zh-CN"/>
        </w:rPr>
        <w:t xml:space="preserve">If toxicity occurs before Cycle 1 Day 8 or Cycle 1 Day 15 requiring delay of treatment, these doses should be given after resolution of toxicity. In such instances, all subsequent visits and the start of Cycle 2 will be shifted to accommodate for the delay in Cycle 1. </w:t>
      </w:r>
    </w:p>
    <w:p w14:paraId="3E4A43F4" w14:textId="29B338EA" w:rsidR="004566D5" w:rsidRDefault="00F97FEA" w:rsidP="00EB1206">
      <w:pPr>
        <w:spacing w:after="170" w:line="280" w:lineRule="exact"/>
        <w:rPr>
          <w:rFonts w:eastAsia="SimSun"/>
          <w:lang w:val="en-GB" w:eastAsia="zh-CN"/>
        </w:rPr>
      </w:pPr>
      <w:r w:rsidRPr="00E8637D">
        <w:rPr>
          <w:rFonts w:eastAsia="SimSun"/>
          <w:lang w:val="en-GB" w:eastAsia="zh-CN"/>
        </w:rPr>
        <w:t>During maintenance, maintain the original dosing schedule for subsequent doses.</w:t>
      </w:r>
    </w:p>
    <w:p w14:paraId="116CD8DC" w14:textId="649BA39A" w:rsidR="002E624B" w:rsidRPr="008A3DA8" w:rsidRDefault="002E624B" w:rsidP="00EB1206">
      <w:pPr>
        <w:spacing w:after="170" w:line="280" w:lineRule="exact"/>
        <w:rPr>
          <w:rFonts w:cs="Arial"/>
          <w:b/>
          <w:i/>
          <w:u w:val="single"/>
          <w:lang w:val="en-GB"/>
        </w:rPr>
      </w:pPr>
      <w:r w:rsidRPr="008A3DA8">
        <w:rPr>
          <w:rFonts w:cs="Arial"/>
          <w:b/>
          <w:i/>
          <w:u w:val="single"/>
          <w:lang w:val="en-GB"/>
        </w:rPr>
        <w:t>Pre</w:t>
      </w:r>
      <w:r w:rsidR="00097801" w:rsidRPr="008A3DA8">
        <w:rPr>
          <w:rFonts w:cs="Arial"/>
          <w:b/>
          <w:i/>
          <w:u w:val="single"/>
          <w:lang w:val="en-GB"/>
        </w:rPr>
        <w:t>-</w:t>
      </w:r>
      <w:r w:rsidRPr="008A3DA8">
        <w:rPr>
          <w:rFonts w:cs="Arial"/>
          <w:b/>
          <w:i/>
          <w:u w:val="single"/>
          <w:lang w:val="en-GB"/>
        </w:rPr>
        <w:t xml:space="preserve">treatment to reduce the risk of CRS </w:t>
      </w:r>
      <w:bookmarkStart w:id="1" w:name="OLE_LINK3"/>
      <w:bookmarkStart w:id="2" w:name="OLE_LINK4"/>
      <w:r w:rsidRPr="008A3DA8">
        <w:rPr>
          <w:rFonts w:cs="Arial"/>
          <w:b/>
          <w:i/>
          <w:u w:val="single"/>
          <w:lang w:val="en-GB"/>
        </w:rPr>
        <w:t>induced by glofitamab</w:t>
      </w:r>
      <w:bookmarkEnd w:id="1"/>
      <w:bookmarkEnd w:id="2"/>
    </w:p>
    <w:p w14:paraId="17C81FF4" w14:textId="16761385" w:rsidR="002E624B" w:rsidRDefault="002E624B" w:rsidP="00EB1206">
      <w:pPr>
        <w:spacing w:after="170" w:line="280" w:lineRule="exact"/>
        <w:rPr>
          <w:rFonts w:cs="Arial"/>
          <w:lang w:val="en-GB"/>
        </w:rPr>
      </w:pPr>
      <w:r>
        <w:rPr>
          <w:rFonts w:cs="Arial"/>
          <w:lang w:val="en-GB"/>
        </w:rPr>
        <w:t>The recommended dose for pre</w:t>
      </w:r>
      <w:r w:rsidR="00097801">
        <w:rPr>
          <w:rFonts w:cs="Arial"/>
          <w:lang w:val="en-GB"/>
        </w:rPr>
        <w:t>-</w:t>
      </w:r>
      <w:r>
        <w:rPr>
          <w:rFonts w:cs="Arial"/>
          <w:lang w:val="en-GB"/>
        </w:rPr>
        <w:t>treatment is a single 1000 mg dose of Gazyva</w:t>
      </w:r>
      <w:r w:rsidRPr="007E6DAD">
        <w:rPr>
          <w:rFonts w:cs="Arial"/>
          <w:lang w:val="en-GB"/>
        </w:rPr>
        <w:t xml:space="preserve"> </w:t>
      </w:r>
      <w:r>
        <w:rPr>
          <w:rFonts w:cs="Arial"/>
          <w:lang w:val="en-GB"/>
        </w:rPr>
        <w:t xml:space="preserve">administered intravenously, 7 days prior to initiation of glofitamab. </w:t>
      </w:r>
      <w:r w:rsidR="00097801">
        <w:rPr>
          <w:rFonts w:cs="Arial"/>
          <w:lang w:val="en-GB"/>
        </w:rPr>
        <w:t xml:space="preserve">Refer to the glofitamab </w:t>
      </w:r>
      <w:r w:rsidR="00A35457">
        <w:rPr>
          <w:rFonts w:cs="Arial"/>
          <w:lang w:val="en-GB"/>
        </w:rPr>
        <w:t>Product Information</w:t>
      </w:r>
      <w:r w:rsidR="00097801">
        <w:rPr>
          <w:rFonts w:cs="Arial"/>
          <w:lang w:val="en-GB"/>
        </w:rPr>
        <w:t xml:space="preserve"> for more information.</w:t>
      </w:r>
    </w:p>
    <w:p w14:paraId="7BF09925" w14:textId="6B1BD623" w:rsidR="00EE65D9" w:rsidRPr="00A25BB4" w:rsidRDefault="002E624B" w:rsidP="00EB1206">
      <w:pPr>
        <w:spacing w:after="170" w:line="280" w:lineRule="exact"/>
        <w:rPr>
          <w:rFonts w:eastAsia="SimSun"/>
          <w:lang w:val="en-GB" w:eastAsia="zh-CN"/>
        </w:rPr>
      </w:pPr>
      <w:r>
        <w:rPr>
          <w:rFonts w:cs="Arial"/>
          <w:lang w:val="en-GB"/>
        </w:rPr>
        <w:t>Administer Gazyva</w:t>
      </w:r>
      <w:r w:rsidRPr="00B91B29">
        <w:rPr>
          <w:rFonts w:cs="Arial"/>
          <w:lang w:val="en-GB"/>
        </w:rPr>
        <w:t xml:space="preserve"> at 50 mg/hr. The rate of i</w:t>
      </w:r>
      <w:r>
        <w:rPr>
          <w:rFonts w:cs="Arial"/>
          <w:lang w:val="en-GB"/>
        </w:rPr>
        <w:t xml:space="preserve">nfusion can be escalated in 50 </w:t>
      </w:r>
      <w:r w:rsidRPr="00B91B29">
        <w:rPr>
          <w:rFonts w:cs="Arial"/>
          <w:lang w:val="en-GB"/>
        </w:rPr>
        <w:t xml:space="preserve">mg/hr increments every 30 minutes to a maximum of </w:t>
      </w:r>
      <w:r>
        <w:rPr>
          <w:rFonts w:cs="Arial"/>
          <w:lang w:val="en-GB"/>
        </w:rPr>
        <w:t>400 mg/hr.</w:t>
      </w:r>
    </w:p>
    <w:p w14:paraId="34949352" w14:textId="417D3896" w:rsidR="00F97FEA" w:rsidRPr="008A3DA8" w:rsidRDefault="00F97FEA" w:rsidP="00EB1206">
      <w:pPr>
        <w:pStyle w:val="Heading5"/>
        <w:rPr>
          <w:i w:val="0"/>
          <w:u w:val="single"/>
          <w:lang w:eastAsia="ko-KR" w:bidi="he-IL"/>
        </w:rPr>
      </w:pPr>
      <w:r w:rsidRPr="008A3DA8">
        <w:rPr>
          <w:i w:val="0"/>
          <w:u w:val="single"/>
          <w:lang w:eastAsia="ko-KR" w:bidi="he-IL"/>
        </w:rPr>
        <w:t>Dosage modifications during treatment (all indications)</w:t>
      </w:r>
    </w:p>
    <w:p w14:paraId="42E4883B" w14:textId="77777777" w:rsidR="00F97FEA" w:rsidRDefault="00F97FEA" w:rsidP="00EB1206">
      <w:pPr>
        <w:pStyle w:val="TextTi12"/>
        <w:spacing w:line="240" w:lineRule="auto"/>
        <w:jc w:val="left"/>
        <w:rPr>
          <w:rFonts w:cs="Arial"/>
          <w:color w:val="000000"/>
          <w:lang w:eastAsia="ko-KR" w:bidi="he-IL"/>
        </w:rPr>
      </w:pPr>
      <w:r>
        <w:rPr>
          <w:rFonts w:cs="Arial"/>
          <w:color w:val="000000"/>
          <w:lang w:eastAsia="ko-KR" w:bidi="he-IL"/>
        </w:rPr>
        <w:t xml:space="preserve">No dose reductions of </w:t>
      </w:r>
      <w:r>
        <w:t>Gazyva</w:t>
      </w:r>
      <w:r>
        <w:rPr>
          <w:rFonts w:cs="Arial"/>
          <w:color w:val="000000"/>
          <w:lang w:eastAsia="ko-KR" w:bidi="he-IL"/>
        </w:rPr>
        <w:t xml:space="preserve"> are recommended.</w:t>
      </w:r>
    </w:p>
    <w:p w14:paraId="544B184C" w14:textId="2C74CFAE" w:rsidR="00F97FEA" w:rsidRDefault="00F97FEA" w:rsidP="00EB1206">
      <w:pPr>
        <w:pStyle w:val="TextTi12"/>
        <w:spacing w:line="280" w:lineRule="exact"/>
        <w:jc w:val="left"/>
        <w:rPr>
          <w:rFonts w:cs="Arial"/>
          <w:color w:val="000000"/>
          <w:lang w:eastAsia="ko-KR" w:bidi="he-IL"/>
        </w:rPr>
      </w:pPr>
      <w:r>
        <w:rPr>
          <w:rFonts w:cs="Arial"/>
          <w:color w:val="000000"/>
          <w:lang w:eastAsia="ko-KR" w:bidi="he-IL"/>
        </w:rPr>
        <w:t xml:space="preserve">For management of symptomatic adverse events (including IRRs), see Table </w:t>
      </w:r>
      <w:r w:rsidR="005D2569">
        <w:rPr>
          <w:rFonts w:cs="Arial"/>
          <w:color w:val="000000"/>
          <w:lang w:eastAsia="ko-KR" w:bidi="he-IL"/>
        </w:rPr>
        <w:t>5</w:t>
      </w:r>
      <w:r>
        <w:rPr>
          <w:rFonts w:cs="Arial"/>
          <w:color w:val="000000"/>
          <w:lang w:eastAsia="ko-KR" w:bidi="he-IL"/>
        </w:rPr>
        <w:t xml:space="preserve"> below and </w:t>
      </w:r>
      <w:r w:rsidR="002A10A0">
        <w:rPr>
          <w:rFonts w:cs="Arial"/>
          <w:color w:val="000000"/>
          <w:lang w:eastAsia="ko-KR" w:bidi="he-IL"/>
        </w:rPr>
        <w:t>section 4.4 Special warnings and precautions for use</w:t>
      </w:r>
      <w:r>
        <w:rPr>
          <w:rFonts w:cs="Arial"/>
          <w:color w:val="000000"/>
          <w:lang w:eastAsia="ko-KR" w:bidi="he-IL"/>
        </w:rPr>
        <w:t>.</w:t>
      </w:r>
    </w:p>
    <w:p w14:paraId="5FF005C8" w14:textId="77777777" w:rsidR="002A10A0" w:rsidRDefault="002A10A0" w:rsidP="00EB1206">
      <w:pPr>
        <w:rPr>
          <w:rFonts w:eastAsia="SimSun"/>
          <w:b/>
          <w:lang w:val="en-GB" w:eastAsia="zh-CN"/>
        </w:rPr>
      </w:pPr>
      <w:r>
        <w:rPr>
          <w:b/>
        </w:rPr>
        <w:br w:type="page"/>
      </w:r>
    </w:p>
    <w:p w14:paraId="161AB242" w14:textId="18501AA8" w:rsidR="00F97FEA" w:rsidRPr="007A6027" w:rsidRDefault="00F97FEA" w:rsidP="00EB1206">
      <w:pPr>
        <w:pStyle w:val="Paragraph"/>
        <w:spacing w:before="240" w:after="120" w:line="240" w:lineRule="auto"/>
        <w:rPr>
          <w:rFonts w:ascii="Times New Roman" w:hAnsi="Times New Roman"/>
          <w:color w:val="000000"/>
        </w:rPr>
      </w:pPr>
      <w:r w:rsidRPr="007A6027">
        <w:rPr>
          <w:rFonts w:ascii="Times New Roman" w:hAnsi="Times New Roman"/>
          <w:b/>
          <w:color w:val="000000"/>
        </w:rPr>
        <w:lastRenderedPageBreak/>
        <w:t xml:space="preserve">Table </w:t>
      </w:r>
      <w:r w:rsidR="005D2569" w:rsidRPr="003376FD">
        <w:rPr>
          <w:rFonts w:ascii="Times New Roman" w:hAnsi="Times New Roman"/>
          <w:b/>
          <w:color w:val="000000"/>
        </w:rPr>
        <w:t>5</w:t>
      </w:r>
      <w:r w:rsidRPr="007A6027">
        <w:rPr>
          <w:rFonts w:ascii="Times New Roman" w:hAnsi="Times New Roman"/>
          <w:b/>
          <w:color w:val="000000"/>
        </w:rPr>
        <w:t xml:space="preserve"> </w:t>
      </w:r>
      <w:r>
        <w:rPr>
          <w:rFonts w:ascii="Times New Roman" w:hAnsi="Times New Roman"/>
          <w:b/>
          <w:color w:val="000000"/>
        </w:rPr>
        <w:t xml:space="preserve">Infusion Rate Modification Guidelines for Infusion Related Reactions </w:t>
      </w:r>
      <w:r w:rsidR="002A10A0" w:rsidRPr="002A10A0">
        <w:rPr>
          <w:rFonts w:ascii="Times New Roman" w:hAnsi="Times New Roman"/>
          <w:b/>
          <w:color w:val="000000"/>
        </w:rPr>
        <w:t>(see section 4.4 Special warnings and precautions for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5739"/>
      </w:tblGrid>
      <w:tr w:rsidR="00F97FEA" w:rsidRPr="00FC4B62" w14:paraId="53D45D06" w14:textId="77777777" w:rsidTr="00616FE6">
        <w:tc>
          <w:tcPr>
            <w:tcW w:w="3369" w:type="dxa"/>
            <w:shd w:val="clear" w:color="auto" w:fill="auto"/>
          </w:tcPr>
          <w:p w14:paraId="19355756" w14:textId="77777777" w:rsidR="00F97FEA" w:rsidRPr="00FC4B62" w:rsidRDefault="00F97FEA" w:rsidP="00EB1206">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4 (life-threatening)</w:t>
            </w:r>
          </w:p>
        </w:tc>
        <w:tc>
          <w:tcPr>
            <w:tcW w:w="5918" w:type="dxa"/>
            <w:shd w:val="clear" w:color="auto" w:fill="auto"/>
            <w:vAlign w:val="center"/>
          </w:tcPr>
          <w:p w14:paraId="2E642B0D" w14:textId="541B6DB4" w:rsidR="00F97FEA" w:rsidRPr="00FC4B62" w:rsidRDefault="00F97FEA" w:rsidP="00EB1206">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 xml:space="preserve">Stop infusion and </w:t>
            </w:r>
            <w:r>
              <w:rPr>
                <w:rFonts w:ascii="Times New Roman" w:hAnsi="Times New Roman"/>
                <w:color w:val="000000"/>
                <w:sz w:val="22"/>
                <w:szCs w:val="22"/>
              </w:rPr>
              <w:t xml:space="preserve">permanently </w:t>
            </w:r>
            <w:r w:rsidRPr="00FC4B62">
              <w:rPr>
                <w:rFonts w:ascii="Times New Roman" w:hAnsi="Times New Roman"/>
                <w:color w:val="000000"/>
                <w:sz w:val="22"/>
                <w:szCs w:val="22"/>
              </w:rPr>
              <w:t>discontinue therapy</w:t>
            </w:r>
            <w:r>
              <w:rPr>
                <w:rFonts w:ascii="Times New Roman" w:hAnsi="Times New Roman"/>
                <w:color w:val="000000"/>
                <w:sz w:val="22"/>
                <w:szCs w:val="22"/>
              </w:rPr>
              <w:t>.</w:t>
            </w:r>
          </w:p>
        </w:tc>
      </w:tr>
      <w:tr w:rsidR="00F97FEA" w:rsidRPr="00FC4B62" w14:paraId="4446058B" w14:textId="77777777" w:rsidTr="00616FE6">
        <w:trPr>
          <w:trHeight w:val="841"/>
        </w:trPr>
        <w:tc>
          <w:tcPr>
            <w:tcW w:w="3369" w:type="dxa"/>
            <w:shd w:val="clear" w:color="auto" w:fill="auto"/>
            <w:vAlign w:val="center"/>
          </w:tcPr>
          <w:p w14:paraId="15019E14" w14:textId="77777777" w:rsidR="00F97FEA" w:rsidRPr="00FC4B62" w:rsidRDefault="00F97FEA" w:rsidP="00EB1206">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3 (severe)</w:t>
            </w:r>
          </w:p>
        </w:tc>
        <w:tc>
          <w:tcPr>
            <w:tcW w:w="5918" w:type="dxa"/>
            <w:shd w:val="clear" w:color="auto" w:fill="auto"/>
            <w:vAlign w:val="center"/>
          </w:tcPr>
          <w:p w14:paraId="7A1A1225" w14:textId="77777777" w:rsidR="00F97FEA" w:rsidRPr="00FC4B62" w:rsidRDefault="00F97FEA" w:rsidP="00EB1206">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Temporarily interrupt infusion and treat symptoms.</w:t>
            </w:r>
          </w:p>
          <w:p w14:paraId="003EECE2" w14:textId="77777777" w:rsidR="00A35D48" w:rsidRDefault="00A35D48" w:rsidP="00EB1206">
            <w:pPr>
              <w:pStyle w:val="Paragraph"/>
              <w:spacing w:before="60" w:after="60" w:line="240" w:lineRule="auto"/>
              <w:rPr>
                <w:rFonts w:ascii="Times New Roman" w:hAnsi="Times New Roman"/>
                <w:color w:val="000000"/>
                <w:sz w:val="22"/>
                <w:szCs w:val="22"/>
              </w:rPr>
            </w:pPr>
          </w:p>
          <w:p w14:paraId="267BE5C0" w14:textId="77777777" w:rsidR="00A35D48" w:rsidRDefault="003376FD" w:rsidP="00EB1206">
            <w:pPr>
              <w:pStyle w:val="Paragraph"/>
              <w:spacing w:before="60" w:after="60" w:line="240" w:lineRule="auto"/>
              <w:rPr>
                <w:rFonts w:ascii="Times New Roman" w:hAnsi="Times New Roman"/>
                <w:color w:val="000000"/>
                <w:sz w:val="22"/>
                <w:szCs w:val="22"/>
              </w:rPr>
            </w:pPr>
            <w:r w:rsidRPr="0077434F">
              <w:rPr>
                <w:rFonts w:ascii="Times New Roman" w:hAnsi="Times New Roman"/>
                <w:b/>
                <w:color w:val="000000"/>
                <w:sz w:val="22"/>
                <w:szCs w:val="22"/>
                <w:u w:val="single"/>
              </w:rPr>
              <w:t xml:space="preserve">For </w:t>
            </w:r>
            <w:r w:rsidR="00A35D48">
              <w:rPr>
                <w:rFonts w:ascii="Times New Roman" w:hAnsi="Times New Roman"/>
                <w:b/>
                <w:color w:val="000000"/>
                <w:sz w:val="22"/>
                <w:szCs w:val="22"/>
                <w:u w:val="single"/>
              </w:rPr>
              <w:t xml:space="preserve">FL </w:t>
            </w:r>
            <w:r w:rsidRPr="0077434F">
              <w:rPr>
                <w:rFonts w:ascii="Times New Roman" w:hAnsi="Times New Roman"/>
                <w:b/>
                <w:color w:val="000000"/>
                <w:sz w:val="22"/>
                <w:szCs w:val="22"/>
                <w:u w:val="single"/>
              </w:rPr>
              <w:t xml:space="preserve">patients who experience Grade 3 IRRs during standard </w:t>
            </w:r>
            <w:proofErr w:type="gramStart"/>
            <w:r w:rsidRPr="0077434F">
              <w:rPr>
                <w:rFonts w:ascii="Times New Roman" w:hAnsi="Times New Roman"/>
                <w:b/>
                <w:color w:val="000000"/>
                <w:sz w:val="22"/>
                <w:szCs w:val="22"/>
                <w:u w:val="single"/>
              </w:rPr>
              <w:t>infusion</w:t>
            </w:r>
            <w:r w:rsidR="00A35D48" w:rsidRPr="0077434F">
              <w:rPr>
                <w:rFonts w:ascii="Times New Roman" w:hAnsi="Times New Roman"/>
                <w:b/>
                <w:color w:val="000000"/>
                <w:sz w:val="22"/>
                <w:szCs w:val="22"/>
                <w:u w:val="single"/>
              </w:rPr>
              <w:t>;</w:t>
            </w:r>
            <w:proofErr w:type="gramEnd"/>
            <w:r w:rsidRPr="0077434F">
              <w:rPr>
                <w:rFonts w:ascii="Times New Roman" w:hAnsi="Times New Roman"/>
                <w:b/>
                <w:color w:val="000000"/>
                <w:sz w:val="22"/>
                <w:szCs w:val="22"/>
                <w:u w:val="single"/>
              </w:rPr>
              <w:t xml:space="preserve"> </w:t>
            </w:r>
          </w:p>
          <w:p w14:paraId="2D35AEDD" w14:textId="77777777" w:rsidR="00A35D48" w:rsidRDefault="00F97FEA" w:rsidP="00EB1206">
            <w:pPr>
              <w:pStyle w:val="Paragraph"/>
              <w:numPr>
                <w:ilvl w:val="0"/>
                <w:numId w:val="12"/>
              </w:numPr>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Upon resolution of symptoms, restart infusion at no more than half the previous rate (the rate being used at the time that the IRR occurred)</w:t>
            </w:r>
            <w:r>
              <w:rPr>
                <w:rFonts w:ascii="Times New Roman" w:hAnsi="Times New Roman"/>
                <w:color w:val="000000"/>
                <w:sz w:val="22"/>
                <w:szCs w:val="22"/>
              </w:rPr>
              <w:t>.</w:t>
            </w:r>
            <w:r w:rsidR="003376FD" w:rsidRPr="003376FD">
              <w:rPr>
                <w:rFonts w:ascii="Times New Roman" w:hAnsi="Times New Roman"/>
                <w:color w:val="000000"/>
                <w:sz w:val="22"/>
                <w:szCs w:val="22"/>
              </w:rPr>
              <w:t xml:space="preserve"> </w:t>
            </w:r>
          </w:p>
          <w:p w14:paraId="55370E13" w14:textId="77777777" w:rsidR="00F97FEA" w:rsidRDefault="003376FD" w:rsidP="00EB1206">
            <w:pPr>
              <w:pStyle w:val="Paragraph"/>
              <w:numPr>
                <w:ilvl w:val="0"/>
                <w:numId w:val="12"/>
              </w:numPr>
              <w:spacing w:before="60" w:after="60" w:line="240" w:lineRule="auto"/>
              <w:rPr>
                <w:rFonts w:ascii="Times New Roman" w:hAnsi="Times New Roman"/>
                <w:color w:val="000000"/>
                <w:sz w:val="22"/>
                <w:szCs w:val="22"/>
              </w:rPr>
            </w:pPr>
            <w:r w:rsidRPr="003376FD">
              <w:rPr>
                <w:rFonts w:ascii="Times New Roman" w:hAnsi="Times New Roman"/>
                <w:color w:val="000000"/>
                <w:sz w:val="22"/>
                <w:szCs w:val="22"/>
              </w:rPr>
              <w:t>If the patient does not experience any further IRR symptoms, infusion rate escalation may resume at the increments and intervals as</w:t>
            </w:r>
            <w:r>
              <w:rPr>
                <w:rFonts w:ascii="Times New Roman" w:hAnsi="Times New Roman"/>
                <w:color w:val="000000"/>
                <w:sz w:val="22"/>
                <w:szCs w:val="22"/>
              </w:rPr>
              <w:t xml:space="preserve"> </w:t>
            </w:r>
            <w:r w:rsidRPr="003376FD">
              <w:rPr>
                <w:rFonts w:ascii="Times New Roman" w:hAnsi="Times New Roman"/>
                <w:color w:val="000000"/>
                <w:sz w:val="22"/>
                <w:szCs w:val="22"/>
              </w:rPr>
              <w:t>appropriate for the treatment dose (see Tables 2 and 3).</w:t>
            </w:r>
          </w:p>
          <w:p w14:paraId="32844D85" w14:textId="45AAD187" w:rsidR="0077434F" w:rsidRPr="0077434F" w:rsidRDefault="00F97FEA" w:rsidP="00EB1206">
            <w:pPr>
              <w:pStyle w:val="Paragraph"/>
              <w:numPr>
                <w:ilvl w:val="0"/>
                <w:numId w:val="12"/>
              </w:numPr>
              <w:spacing w:before="60" w:after="60" w:line="240" w:lineRule="auto"/>
              <w:rPr>
                <w:rFonts w:ascii="Times New Roman" w:hAnsi="Times New Roman"/>
                <w:color w:val="000000"/>
                <w:sz w:val="22"/>
                <w:szCs w:val="22"/>
              </w:rPr>
            </w:pPr>
            <w:r>
              <w:rPr>
                <w:rFonts w:ascii="Times New Roman" w:hAnsi="Times New Roman"/>
                <w:color w:val="000000"/>
                <w:sz w:val="22"/>
                <w:szCs w:val="22"/>
              </w:rPr>
              <w:t>I</w:t>
            </w:r>
            <w:r w:rsidRPr="00FC4B62">
              <w:rPr>
                <w:rFonts w:ascii="Times New Roman" w:hAnsi="Times New Roman"/>
                <w:color w:val="000000"/>
                <w:sz w:val="22"/>
                <w:szCs w:val="22"/>
              </w:rPr>
              <w:t xml:space="preserve">f </w:t>
            </w:r>
            <w:r>
              <w:rPr>
                <w:rFonts w:ascii="Times New Roman" w:hAnsi="Times New Roman"/>
                <w:color w:val="000000"/>
                <w:sz w:val="22"/>
                <w:szCs w:val="22"/>
              </w:rPr>
              <w:t xml:space="preserve">the </w:t>
            </w:r>
            <w:r w:rsidRPr="00FC4B62">
              <w:rPr>
                <w:rFonts w:ascii="Times New Roman" w:hAnsi="Times New Roman"/>
                <w:color w:val="000000"/>
                <w:sz w:val="22"/>
                <w:szCs w:val="22"/>
              </w:rPr>
              <w:t xml:space="preserve">patient </w:t>
            </w:r>
            <w:r w:rsidR="0077434F" w:rsidRPr="0077434F">
              <w:rPr>
                <w:rFonts w:ascii="Times New Roman" w:hAnsi="Times New Roman"/>
                <w:color w:val="000000"/>
                <w:sz w:val="22"/>
                <w:szCs w:val="22"/>
              </w:rPr>
              <w:t>experiences a second occurrence of a Grade 3 IRR, stop infusion and permanently discontinue therapy.</w:t>
            </w:r>
          </w:p>
          <w:p w14:paraId="27EC51DC" w14:textId="77777777" w:rsidR="00A35D48" w:rsidRDefault="00A35D48" w:rsidP="00EB1206">
            <w:pPr>
              <w:pStyle w:val="Paragraph"/>
              <w:spacing w:before="60" w:after="60" w:line="240" w:lineRule="auto"/>
              <w:rPr>
                <w:rFonts w:ascii="Times New Roman" w:hAnsi="Times New Roman"/>
                <w:b/>
                <w:color w:val="000000"/>
                <w:sz w:val="22"/>
                <w:szCs w:val="22"/>
                <w:u w:val="single"/>
              </w:rPr>
            </w:pPr>
          </w:p>
          <w:p w14:paraId="7013D445" w14:textId="3B4C87F4" w:rsidR="00A35D48" w:rsidRPr="0077434F" w:rsidRDefault="003376FD" w:rsidP="00EB1206">
            <w:pPr>
              <w:pStyle w:val="Paragraph"/>
              <w:spacing w:before="60" w:after="60" w:line="240" w:lineRule="auto"/>
              <w:rPr>
                <w:rFonts w:ascii="Times New Roman" w:hAnsi="Times New Roman"/>
                <w:color w:val="000000"/>
                <w:sz w:val="22"/>
                <w:szCs w:val="22"/>
              </w:rPr>
            </w:pPr>
            <w:r w:rsidRPr="0077434F">
              <w:rPr>
                <w:rFonts w:ascii="Times New Roman" w:hAnsi="Times New Roman"/>
                <w:b/>
                <w:color w:val="000000"/>
                <w:sz w:val="22"/>
                <w:szCs w:val="22"/>
                <w:u w:val="single"/>
              </w:rPr>
              <w:t xml:space="preserve">For FL patients who </w:t>
            </w:r>
            <w:r w:rsidR="00F97FEA" w:rsidRPr="001345FD">
              <w:rPr>
                <w:rFonts w:ascii="Times New Roman" w:hAnsi="Times New Roman"/>
                <w:b/>
                <w:color w:val="000000"/>
                <w:sz w:val="22"/>
                <w:u w:val="single"/>
              </w:rPr>
              <w:t xml:space="preserve">experience </w:t>
            </w:r>
            <w:r w:rsidR="00A35D48" w:rsidRPr="0077434F">
              <w:rPr>
                <w:rFonts w:ascii="Times New Roman" w:hAnsi="Times New Roman"/>
                <w:b/>
                <w:color w:val="000000"/>
                <w:sz w:val="22"/>
                <w:szCs w:val="22"/>
                <w:u w:val="single"/>
              </w:rPr>
              <w:t xml:space="preserve">Grade 3 IRRs during </w:t>
            </w:r>
            <w:proofErr w:type="gramStart"/>
            <w:r w:rsidR="00A35D48" w:rsidRPr="0077434F">
              <w:rPr>
                <w:rFonts w:ascii="Times New Roman" w:hAnsi="Times New Roman"/>
                <w:b/>
                <w:color w:val="000000"/>
                <w:sz w:val="22"/>
                <w:szCs w:val="22"/>
                <w:u w:val="single"/>
              </w:rPr>
              <w:t>SDI;</w:t>
            </w:r>
            <w:proofErr w:type="gramEnd"/>
            <w:r w:rsidRPr="0077434F">
              <w:rPr>
                <w:rFonts w:ascii="Times New Roman" w:hAnsi="Times New Roman"/>
                <w:b/>
                <w:color w:val="000000"/>
                <w:sz w:val="22"/>
                <w:szCs w:val="22"/>
                <w:u w:val="single"/>
              </w:rPr>
              <w:t xml:space="preserve"> </w:t>
            </w:r>
          </w:p>
          <w:p w14:paraId="3C23D9D3" w14:textId="7925DFDC" w:rsidR="00F97FEA" w:rsidRDefault="00A35D48" w:rsidP="00EB1206">
            <w:pPr>
              <w:pStyle w:val="Paragraph"/>
              <w:numPr>
                <w:ilvl w:val="0"/>
                <w:numId w:val="12"/>
              </w:numPr>
              <w:spacing w:before="60" w:after="60" w:line="240" w:lineRule="auto"/>
              <w:rPr>
                <w:rFonts w:ascii="Times New Roman" w:hAnsi="Times New Roman"/>
                <w:color w:val="000000"/>
                <w:sz w:val="22"/>
                <w:szCs w:val="22"/>
              </w:rPr>
            </w:pPr>
            <w:r>
              <w:rPr>
                <w:rFonts w:ascii="Times New Roman" w:hAnsi="Times New Roman"/>
                <w:color w:val="000000"/>
                <w:sz w:val="22"/>
                <w:szCs w:val="22"/>
              </w:rPr>
              <w:t>U</w:t>
            </w:r>
            <w:r w:rsidR="003376FD" w:rsidRPr="003376FD">
              <w:rPr>
                <w:rFonts w:ascii="Times New Roman" w:hAnsi="Times New Roman"/>
                <w:color w:val="000000"/>
                <w:sz w:val="22"/>
                <w:szCs w:val="22"/>
              </w:rPr>
              <w:t>pon resolution of</w:t>
            </w:r>
            <w:r w:rsidR="00F97FEA" w:rsidRPr="00FC4B62">
              <w:rPr>
                <w:rFonts w:ascii="Times New Roman" w:hAnsi="Times New Roman"/>
                <w:color w:val="000000"/>
                <w:sz w:val="22"/>
                <w:szCs w:val="22"/>
              </w:rPr>
              <w:t xml:space="preserve"> symptoms, </w:t>
            </w:r>
            <w:r w:rsidR="003376FD" w:rsidRPr="003376FD">
              <w:rPr>
                <w:rFonts w:ascii="Times New Roman" w:hAnsi="Times New Roman"/>
                <w:color w:val="000000"/>
                <w:sz w:val="22"/>
                <w:szCs w:val="22"/>
              </w:rPr>
              <w:t xml:space="preserve">the </w:t>
            </w:r>
            <w:r w:rsidR="00F97FEA" w:rsidRPr="00FC4B62">
              <w:rPr>
                <w:rFonts w:ascii="Times New Roman" w:hAnsi="Times New Roman"/>
                <w:color w:val="000000"/>
                <w:sz w:val="22"/>
                <w:szCs w:val="22"/>
              </w:rPr>
              <w:t xml:space="preserve">infusion </w:t>
            </w:r>
            <w:r w:rsidR="003376FD" w:rsidRPr="003376FD">
              <w:rPr>
                <w:rFonts w:ascii="Times New Roman" w:hAnsi="Times New Roman"/>
                <w:color w:val="000000"/>
                <w:sz w:val="22"/>
                <w:szCs w:val="22"/>
              </w:rPr>
              <w:t>can be restarted</w:t>
            </w:r>
            <w:r w:rsidR="00F97FEA" w:rsidRPr="00FC4B62">
              <w:rPr>
                <w:rFonts w:ascii="Times New Roman" w:hAnsi="Times New Roman"/>
                <w:color w:val="000000"/>
                <w:sz w:val="22"/>
                <w:szCs w:val="22"/>
              </w:rPr>
              <w:t xml:space="preserve"> at </w:t>
            </w:r>
            <w:r w:rsidR="003376FD" w:rsidRPr="003376FD">
              <w:rPr>
                <w:rFonts w:ascii="Times New Roman" w:hAnsi="Times New Roman"/>
                <w:color w:val="000000"/>
                <w:sz w:val="22"/>
                <w:szCs w:val="22"/>
              </w:rPr>
              <w:t>no more than half</w:t>
            </w:r>
            <w:r w:rsidR="00F97FEA">
              <w:rPr>
                <w:rFonts w:ascii="Times New Roman" w:hAnsi="Times New Roman"/>
                <w:color w:val="000000"/>
                <w:sz w:val="22"/>
                <w:szCs w:val="22"/>
              </w:rPr>
              <w:t xml:space="preserve"> the </w:t>
            </w:r>
            <w:r w:rsidR="003376FD" w:rsidRPr="003376FD">
              <w:rPr>
                <w:rFonts w:ascii="Times New Roman" w:hAnsi="Times New Roman"/>
                <w:color w:val="000000"/>
                <w:sz w:val="22"/>
                <w:szCs w:val="22"/>
              </w:rPr>
              <w:t xml:space="preserve">previous rate (the rate being used at the time that the IRR occurred) </w:t>
            </w:r>
            <w:r w:rsidR="00F97FEA">
              <w:rPr>
                <w:rFonts w:ascii="Times New Roman" w:hAnsi="Times New Roman"/>
                <w:color w:val="000000"/>
                <w:sz w:val="22"/>
                <w:szCs w:val="22"/>
              </w:rPr>
              <w:t xml:space="preserve">and </w:t>
            </w:r>
            <w:r w:rsidR="003376FD" w:rsidRPr="003376FD">
              <w:rPr>
                <w:rFonts w:ascii="Times New Roman" w:hAnsi="Times New Roman"/>
                <w:color w:val="000000"/>
                <w:sz w:val="22"/>
                <w:szCs w:val="22"/>
              </w:rPr>
              <w:t>not greater than 400 mg/hr.</w:t>
            </w:r>
          </w:p>
          <w:p w14:paraId="00D5E144" w14:textId="77777777" w:rsidR="0077434F" w:rsidRDefault="0077434F" w:rsidP="00EB1206">
            <w:pPr>
              <w:pStyle w:val="Paragraph"/>
              <w:numPr>
                <w:ilvl w:val="0"/>
                <w:numId w:val="12"/>
              </w:numPr>
              <w:spacing w:before="60" w:after="60" w:line="240" w:lineRule="auto"/>
              <w:rPr>
                <w:rFonts w:ascii="Times New Roman" w:hAnsi="Times New Roman"/>
                <w:color w:val="000000"/>
                <w:sz w:val="22"/>
                <w:szCs w:val="22"/>
              </w:rPr>
            </w:pPr>
            <w:r w:rsidRPr="003376FD">
              <w:rPr>
                <w:rFonts w:ascii="Times New Roman" w:hAnsi="Times New Roman"/>
                <w:color w:val="000000"/>
                <w:sz w:val="22"/>
                <w:szCs w:val="22"/>
              </w:rPr>
              <w:t xml:space="preserve">If the patient </w:t>
            </w:r>
            <w:proofErr w:type="gramStart"/>
            <w:r w:rsidRPr="003376FD">
              <w:rPr>
                <w:rFonts w:ascii="Times New Roman" w:hAnsi="Times New Roman"/>
                <w:color w:val="000000"/>
                <w:sz w:val="22"/>
                <w:szCs w:val="22"/>
              </w:rPr>
              <w:t>is able to</w:t>
            </w:r>
            <w:proofErr w:type="gramEnd"/>
            <w:r w:rsidRPr="003376FD">
              <w:rPr>
                <w:rFonts w:ascii="Times New Roman" w:hAnsi="Times New Roman"/>
                <w:color w:val="000000"/>
                <w:sz w:val="22"/>
                <w:szCs w:val="22"/>
              </w:rPr>
              <w:t xml:space="preserve"> complete the infusion without further Grade 3 IRRs, the next infusion must be given at the</w:t>
            </w:r>
            <w:r>
              <w:rPr>
                <w:rFonts w:ascii="Times New Roman" w:hAnsi="Times New Roman"/>
                <w:color w:val="000000"/>
                <w:sz w:val="22"/>
                <w:szCs w:val="22"/>
              </w:rPr>
              <w:t xml:space="preserve"> </w:t>
            </w:r>
            <w:r w:rsidRPr="003376FD">
              <w:rPr>
                <w:rFonts w:ascii="Times New Roman" w:hAnsi="Times New Roman"/>
                <w:color w:val="000000"/>
                <w:sz w:val="22"/>
                <w:szCs w:val="22"/>
              </w:rPr>
              <w:t>standard rate.</w:t>
            </w:r>
            <w:r w:rsidRPr="0077434F">
              <w:rPr>
                <w:rFonts w:ascii="Times New Roman" w:hAnsi="Times New Roman"/>
                <w:color w:val="000000"/>
                <w:sz w:val="22"/>
                <w:szCs w:val="22"/>
              </w:rPr>
              <w:t xml:space="preserve"> </w:t>
            </w:r>
          </w:p>
          <w:p w14:paraId="0D2D24AF" w14:textId="465EE721" w:rsidR="0077434F" w:rsidRDefault="00F97FEA" w:rsidP="00EB1206">
            <w:pPr>
              <w:pStyle w:val="Paragraph"/>
              <w:numPr>
                <w:ilvl w:val="0"/>
                <w:numId w:val="12"/>
              </w:numPr>
              <w:spacing w:before="60" w:after="60" w:line="240" w:lineRule="auto"/>
              <w:rPr>
                <w:rFonts w:ascii="Times New Roman" w:hAnsi="Times New Roman"/>
                <w:color w:val="000000"/>
                <w:sz w:val="22"/>
                <w:szCs w:val="22"/>
              </w:rPr>
            </w:pPr>
            <w:r>
              <w:rPr>
                <w:rFonts w:ascii="Times New Roman" w:hAnsi="Times New Roman"/>
                <w:color w:val="000000"/>
                <w:sz w:val="22"/>
                <w:szCs w:val="22"/>
              </w:rPr>
              <w:t>If the patient experiences a second occurrence of a Grade 3 IRR, stop infusion and permanently discontinue therapy.</w:t>
            </w:r>
            <w:r w:rsidR="0077434F" w:rsidRPr="003376FD">
              <w:rPr>
                <w:rFonts w:ascii="Times New Roman" w:hAnsi="Times New Roman"/>
                <w:color w:val="000000"/>
                <w:sz w:val="22"/>
                <w:szCs w:val="22"/>
              </w:rPr>
              <w:t xml:space="preserve"> </w:t>
            </w:r>
          </w:p>
          <w:p w14:paraId="41D5B807" w14:textId="77777777" w:rsidR="0077434F" w:rsidRPr="0077434F" w:rsidRDefault="0077434F" w:rsidP="00EB1206">
            <w:pPr>
              <w:pStyle w:val="Paragraph"/>
              <w:spacing w:before="60" w:after="60" w:line="240" w:lineRule="auto"/>
              <w:ind w:left="720"/>
              <w:rPr>
                <w:rFonts w:ascii="Times New Roman" w:hAnsi="Times New Roman"/>
                <w:color w:val="000000"/>
                <w:sz w:val="22"/>
                <w:szCs w:val="22"/>
              </w:rPr>
            </w:pPr>
          </w:p>
          <w:p w14:paraId="5A5E06AB" w14:textId="77777777" w:rsidR="0077434F" w:rsidRPr="0077434F" w:rsidRDefault="00F97FEA" w:rsidP="00EB1206">
            <w:pPr>
              <w:pStyle w:val="Paragraph"/>
              <w:spacing w:before="60" w:after="60" w:line="240" w:lineRule="auto"/>
              <w:rPr>
                <w:rFonts w:ascii="Times New Roman" w:hAnsi="Times New Roman"/>
                <w:b/>
                <w:color w:val="000000"/>
                <w:sz w:val="22"/>
                <w:szCs w:val="22"/>
                <w:u w:val="single"/>
              </w:rPr>
            </w:pPr>
            <w:r w:rsidRPr="001345FD">
              <w:rPr>
                <w:rFonts w:ascii="Times New Roman" w:hAnsi="Times New Roman"/>
                <w:b/>
                <w:color w:val="000000"/>
                <w:sz w:val="22"/>
                <w:u w:val="single"/>
              </w:rPr>
              <w:t xml:space="preserve">For CLL patients receiving the Cycle 1, Day 1 dose split over 2 </w:t>
            </w:r>
            <w:proofErr w:type="gramStart"/>
            <w:r w:rsidRPr="001345FD">
              <w:rPr>
                <w:rFonts w:ascii="Times New Roman" w:hAnsi="Times New Roman"/>
                <w:b/>
                <w:color w:val="000000"/>
                <w:sz w:val="22"/>
                <w:u w:val="single"/>
              </w:rPr>
              <w:t>days</w:t>
            </w:r>
            <w:r w:rsidR="0077434F" w:rsidRPr="0077434F">
              <w:rPr>
                <w:rFonts w:ascii="Times New Roman" w:hAnsi="Times New Roman"/>
                <w:b/>
                <w:color w:val="000000"/>
                <w:sz w:val="22"/>
                <w:szCs w:val="22"/>
                <w:u w:val="single"/>
              </w:rPr>
              <w:t>;</w:t>
            </w:r>
            <w:proofErr w:type="gramEnd"/>
          </w:p>
          <w:p w14:paraId="1C7412EC" w14:textId="739000DB" w:rsidR="002E624B" w:rsidRDefault="00A35D48" w:rsidP="00EB1206">
            <w:pPr>
              <w:pStyle w:val="Paragraph"/>
              <w:numPr>
                <w:ilvl w:val="0"/>
                <w:numId w:val="12"/>
              </w:numPr>
              <w:spacing w:before="60" w:after="0" w:line="240" w:lineRule="auto"/>
              <w:rPr>
                <w:rFonts w:ascii="Times New Roman" w:hAnsi="Times New Roman"/>
                <w:color w:val="000000"/>
                <w:sz w:val="22"/>
                <w:szCs w:val="22"/>
              </w:rPr>
            </w:pPr>
            <w:r w:rsidRPr="0077434F">
              <w:rPr>
                <w:rFonts w:ascii="Times New Roman" w:hAnsi="Times New Roman"/>
                <w:color w:val="000000"/>
                <w:sz w:val="22"/>
                <w:szCs w:val="22"/>
              </w:rPr>
              <w:t>Upon resolution of symptoms</w:t>
            </w:r>
            <w:r w:rsidR="00F97FEA">
              <w:rPr>
                <w:rFonts w:ascii="Times New Roman" w:hAnsi="Times New Roman"/>
                <w:color w:val="000000"/>
                <w:sz w:val="22"/>
                <w:szCs w:val="22"/>
              </w:rPr>
              <w:t xml:space="preserve">, </w:t>
            </w:r>
            <w:r w:rsidR="00F97FEA" w:rsidRPr="00A0097B">
              <w:rPr>
                <w:rFonts w:ascii="Times New Roman" w:hAnsi="Times New Roman"/>
                <w:color w:val="000000"/>
                <w:sz w:val="22"/>
                <w:szCs w:val="22"/>
              </w:rPr>
              <w:t>t</w:t>
            </w:r>
            <w:r w:rsidR="00F97FEA">
              <w:rPr>
                <w:rFonts w:ascii="Times New Roman" w:hAnsi="Times New Roman"/>
                <w:color w:val="000000"/>
                <w:sz w:val="22"/>
                <w:szCs w:val="22"/>
              </w:rPr>
              <w:t>h</w:t>
            </w:r>
            <w:r w:rsidR="00F97FEA" w:rsidRPr="00A0097B">
              <w:rPr>
                <w:rFonts w:ascii="Times New Roman" w:hAnsi="Times New Roman"/>
                <w:color w:val="000000"/>
                <w:sz w:val="22"/>
                <w:szCs w:val="22"/>
              </w:rPr>
              <w:t>e</w:t>
            </w:r>
            <w:r w:rsidR="00F97FEA">
              <w:rPr>
                <w:rFonts w:ascii="Times New Roman" w:hAnsi="Times New Roman"/>
                <w:color w:val="000000"/>
                <w:sz w:val="22"/>
                <w:szCs w:val="22"/>
              </w:rPr>
              <w:t xml:space="preserve"> Day 1 infusion rate may be increased back to 25 mg/hr after 60 </w:t>
            </w:r>
            <w:proofErr w:type="gramStart"/>
            <w:r w:rsidR="00F97FEA">
              <w:rPr>
                <w:rFonts w:ascii="Times New Roman" w:hAnsi="Times New Roman"/>
                <w:color w:val="000000"/>
                <w:sz w:val="22"/>
                <w:szCs w:val="22"/>
              </w:rPr>
              <w:t>minutes, but</w:t>
            </w:r>
            <w:proofErr w:type="gramEnd"/>
            <w:r w:rsidR="00F97FEA">
              <w:rPr>
                <w:rFonts w:ascii="Times New Roman" w:hAnsi="Times New Roman"/>
                <w:color w:val="000000"/>
                <w:sz w:val="22"/>
                <w:szCs w:val="22"/>
              </w:rPr>
              <w:t xml:space="preserve"> not increased further. </w:t>
            </w:r>
          </w:p>
          <w:p w14:paraId="7117C1F5" w14:textId="77777777" w:rsidR="00133F14" w:rsidRDefault="00133F14" w:rsidP="00EB1206">
            <w:pPr>
              <w:pStyle w:val="Paragraph"/>
              <w:numPr>
                <w:ilvl w:val="0"/>
                <w:numId w:val="12"/>
              </w:numPr>
              <w:spacing w:before="60" w:after="60" w:line="240" w:lineRule="auto"/>
              <w:rPr>
                <w:rFonts w:ascii="Times New Roman" w:hAnsi="Times New Roman"/>
                <w:color w:val="000000"/>
                <w:sz w:val="22"/>
                <w:szCs w:val="22"/>
              </w:rPr>
            </w:pPr>
            <w:r>
              <w:rPr>
                <w:rFonts w:ascii="Times New Roman" w:hAnsi="Times New Roman"/>
                <w:color w:val="000000"/>
                <w:sz w:val="22"/>
                <w:szCs w:val="22"/>
              </w:rPr>
              <w:t>If the patient experiences a second occurrence of a Grade 3 IRR, stop infusion and permanently discontinue therapy.</w:t>
            </w:r>
            <w:r w:rsidRPr="003376FD">
              <w:rPr>
                <w:rFonts w:ascii="Times New Roman" w:hAnsi="Times New Roman"/>
                <w:color w:val="000000"/>
                <w:sz w:val="22"/>
                <w:szCs w:val="22"/>
              </w:rPr>
              <w:t xml:space="preserve"> </w:t>
            </w:r>
          </w:p>
          <w:p w14:paraId="767DCA44" w14:textId="77777777" w:rsidR="00133F14" w:rsidRDefault="00133F14" w:rsidP="00EB1206">
            <w:pPr>
              <w:pStyle w:val="Paragraph"/>
              <w:spacing w:before="60" w:after="0" w:line="240" w:lineRule="auto"/>
              <w:rPr>
                <w:rFonts w:ascii="Times New Roman" w:hAnsi="Times New Roman"/>
                <w:color w:val="000000"/>
                <w:sz w:val="22"/>
                <w:szCs w:val="22"/>
              </w:rPr>
            </w:pPr>
          </w:p>
          <w:p w14:paraId="6C839D6C" w14:textId="7850C030" w:rsidR="002E624B" w:rsidRPr="00AD5A4D" w:rsidRDefault="002E624B" w:rsidP="00EB1206">
            <w:pPr>
              <w:pStyle w:val="Paragraph"/>
              <w:spacing w:before="60" w:after="60" w:line="240" w:lineRule="auto"/>
              <w:rPr>
                <w:rFonts w:ascii="Times New Roman" w:hAnsi="Times New Roman"/>
                <w:b/>
                <w:color w:val="000000"/>
                <w:sz w:val="22"/>
                <w:szCs w:val="22"/>
                <w:u w:val="single"/>
              </w:rPr>
            </w:pPr>
            <w:r>
              <w:rPr>
                <w:rFonts w:ascii="Times New Roman" w:hAnsi="Times New Roman"/>
                <w:b/>
                <w:color w:val="000000"/>
                <w:sz w:val="22"/>
                <w:szCs w:val="22"/>
                <w:u w:val="single"/>
              </w:rPr>
              <w:t xml:space="preserve">For patients receiving </w:t>
            </w:r>
            <w:proofErr w:type="spellStart"/>
            <w:r>
              <w:rPr>
                <w:rFonts w:ascii="Times New Roman" w:hAnsi="Times New Roman"/>
                <w:b/>
                <w:color w:val="000000"/>
                <w:sz w:val="22"/>
                <w:szCs w:val="22"/>
                <w:u w:val="single"/>
              </w:rPr>
              <w:t>Gazyvva</w:t>
            </w:r>
            <w:proofErr w:type="spellEnd"/>
            <w:r>
              <w:rPr>
                <w:rFonts w:ascii="Times New Roman" w:hAnsi="Times New Roman"/>
                <w:b/>
                <w:color w:val="000000"/>
                <w:sz w:val="22"/>
                <w:szCs w:val="22"/>
                <w:u w:val="single"/>
              </w:rPr>
              <w:t xml:space="preserve"> as a pre</w:t>
            </w:r>
            <w:r w:rsidR="00097801">
              <w:rPr>
                <w:rFonts w:ascii="Times New Roman" w:hAnsi="Times New Roman"/>
                <w:b/>
                <w:color w:val="000000"/>
                <w:sz w:val="22"/>
                <w:szCs w:val="22"/>
                <w:u w:val="single"/>
              </w:rPr>
              <w:t>-</w:t>
            </w:r>
            <w:r>
              <w:rPr>
                <w:rFonts w:ascii="Times New Roman" w:hAnsi="Times New Roman"/>
                <w:b/>
                <w:color w:val="000000"/>
                <w:sz w:val="22"/>
                <w:szCs w:val="22"/>
                <w:u w:val="single"/>
              </w:rPr>
              <w:t xml:space="preserve">treatment for </w:t>
            </w:r>
            <w:proofErr w:type="gramStart"/>
            <w:r>
              <w:rPr>
                <w:rFonts w:ascii="Times New Roman" w:hAnsi="Times New Roman"/>
                <w:b/>
                <w:color w:val="000000"/>
                <w:sz w:val="22"/>
                <w:szCs w:val="22"/>
                <w:u w:val="single"/>
              </w:rPr>
              <w:t>glofitamab;</w:t>
            </w:r>
            <w:proofErr w:type="gramEnd"/>
          </w:p>
          <w:p w14:paraId="2B99BF20" w14:textId="02837589" w:rsidR="00F97FEA" w:rsidRPr="00133F14" w:rsidRDefault="00133F14" w:rsidP="00EB1206">
            <w:pPr>
              <w:pStyle w:val="Paragraph"/>
              <w:numPr>
                <w:ilvl w:val="0"/>
                <w:numId w:val="12"/>
              </w:numPr>
              <w:spacing w:before="60" w:after="60" w:line="240" w:lineRule="auto"/>
              <w:rPr>
                <w:rFonts w:ascii="Times New Roman" w:hAnsi="Times New Roman"/>
                <w:color w:val="000000"/>
                <w:sz w:val="22"/>
                <w:szCs w:val="22"/>
              </w:rPr>
            </w:pPr>
            <w:r w:rsidRPr="0077434F">
              <w:rPr>
                <w:rFonts w:ascii="Times New Roman" w:hAnsi="Times New Roman"/>
                <w:color w:val="000000"/>
                <w:sz w:val="22"/>
                <w:szCs w:val="22"/>
              </w:rPr>
              <w:t>Upon resolution of symptoms</w:t>
            </w:r>
            <w:r>
              <w:rPr>
                <w:rFonts w:ascii="Times New Roman" w:hAnsi="Times New Roman"/>
                <w:color w:val="000000"/>
                <w:sz w:val="22"/>
                <w:szCs w:val="22"/>
              </w:rPr>
              <w:t>, e</w:t>
            </w:r>
            <w:r w:rsidR="002E624B" w:rsidRPr="002E624B">
              <w:rPr>
                <w:rFonts w:ascii="Times New Roman" w:hAnsi="Times New Roman"/>
                <w:color w:val="000000"/>
                <w:sz w:val="22"/>
                <w:szCs w:val="22"/>
              </w:rPr>
              <w:t>scalation may resume at increments of 50mg/hr every 30 min</w:t>
            </w:r>
            <w:r w:rsidR="00097801">
              <w:rPr>
                <w:rFonts w:ascii="Times New Roman" w:hAnsi="Times New Roman"/>
                <w:color w:val="000000"/>
                <w:sz w:val="22"/>
                <w:szCs w:val="22"/>
              </w:rPr>
              <w:t>ute</w:t>
            </w:r>
            <w:r w:rsidR="002E624B" w:rsidRPr="002E624B">
              <w:rPr>
                <w:rFonts w:ascii="Times New Roman" w:hAnsi="Times New Roman"/>
                <w:color w:val="000000"/>
                <w:sz w:val="22"/>
                <w:szCs w:val="22"/>
              </w:rPr>
              <w:t xml:space="preserve">s without exceeding 400mg/hr.    </w:t>
            </w:r>
          </w:p>
        </w:tc>
      </w:tr>
      <w:tr w:rsidR="00F97FEA" w:rsidRPr="00FC4B62" w14:paraId="257D8FAE" w14:textId="77777777" w:rsidTr="00616FE6">
        <w:tc>
          <w:tcPr>
            <w:tcW w:w="3369" w:type="dxa"/>
            <w:shd w:val="clear" w:color="auto" w:fill="auto"/>
            <w:vAlign w:val="center"/>
          </w:tcPr>
          <w:p w14:paraId="4D4F73F2" w14:textId="77777777" w:rsidR="00F97FEA" w:rsidRPr="00FC4B62" w:rsidRDefault="00F97FEA" w:rsidP="00EB1206">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1-2 (mild and moderate)</w:t>
            </w:r>
          </w:p>
        </w:tc>
        <w:tc>
          <w:tcPr>
            <w:tcW w:w="5918" w:type="dxa"/>
            <w:shd w:val="clear" w:color="auto" w:fill="auto"/>
            <w:vAlign w:val="center"/>
          </w:tcPr>
          <w:p w14:paraId="7C1FEB91" w14:textId="77777777" w:rsidR="00F97FEA" w:rsidRPr="00FC4B62" w:rsidRDefault="00F97FEA" w:rsidP="00EB1206">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Reduce infusion rate and treat symptoms.</w:t>
            </w:r>
          </w:p>
          <w:p w14:paraId="6F9D2604" w14:textId="77777777" w:rsidR="00F97FEA" w:rsidRDefault="00F97FEA" w:rsidP="00EB1206">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Upon resolution of symptoms, continue infusion</w:t>
            </w:r>
            <w:r>
              <w:rPr>
                <w:rFonts w:ascii="Times New Roman" w:hAnsi="Times New Roman"/>
                <w:color w:val="000000"/>
                <w:sz w:val="22"/>
                <w:szCs w:val="22"/>
              </w:rPr>
              <w:t>.</w:t>
            </w:r>
            <w:r w:rsidRPr="00FC4B62">
              <w:rPr>
                <w:rFonts w:ascii="Times New Roman" w:hAnsi="Times New Roman"/>
                <w:color w:val="000000"/>
                <w:sz w:val="22"/>
                <w:szCs w:val="22"/>
              </w:rPr>
              <w:t xml:space="preserve"> </w:t>
            </w:r>
          </w:p>
          <w:p w14:paraId="7AC84988" w14:textId="7A678252" w:rsidR="00F97FEA" w:rsidRDefault="00F97FEA" w:rsidP="00EB1206">
            <w:pPr>
              <w:pStyle w:val="Paragraph"/>
              <w:spacing w:before="60" w:after="60" w:line="240" w:lineRule="auto"/>
              <w:rPr>
                <w:rFonts w:ascii="Times New Roman" w:hAnsi="Times New Roman"/>
                <w:color w:val="000000"/>
                <w:sz w:val="22"/>
                <w:szCs w:val="22"/>
              </w:rPr>
            </w:pPr>
            <w:r>
              <w:rPr>
                <w:rFonts w:ascii="Times New Roman" w:hAnsi="Times New Roman"/>
                <w:color w:val="000000"/>
                <w:sz w:val="22"/>
                <w:szCs w:val="22"/>
              </w:rPr>
              <w:lastRenderedPageBreak/>
              <w:t>I</w:t>
            </w:r>
            <w:r w:rsidRPr="00FC4B62">
              <w:rPr>
                <w:rFonts w:ascii="Times New Roman" w:hAnsi="Times New Roman"/>
                <w:color w:val="000000"/>
                <w:sz w:val="22"/>
                <w:szCs w:val="22"/>
              </w:rPr>
              <w:t>f patient does not experience any IRR symptoms, infusion rate escalation may resume at the increments and intervals as appropriate for</w:t>
            </w:r>
            <w:r>
              <w:rPr>
                <w:rFonts w:ascii="Times New Roman" w:hAnsi="Times New Roman"/>
                <w:color w:val="000000"/>
                <w:sz w:val="22"/>
                <w:szCs w:val="22"/>
              </w:rPr>
              <w:t xml:space="preserve"> the treatment dose (see </w:t>
            </w:r>
            <w:r w:rsidRPr="00B9782C">
              <w:rPr>
                <w:rFonts w:ascii="Times New Roman" w:hAnsi="Times New Roman"/>
                <w:color w:val="000000"/>
                <w:sz w:val="22"/>
                <w:szCs w:val="22"/>
              </w:rPr>
              <w:t xml:space="preserve">Tables </w:t>
            </w:r>
            <w:r w:rsidR="00770C11" w:rsidRPr="00B9782C">
              <w:rPr>
                <w:rFonts w:ascii="Times New Roman" w:hAnsi="Times New Roman"/>
                <w:color w:val="000000"/>
                <w:sz w:val="22"/>
                <w:szCs w:val="22"/>
              </w:rPr>
              <w:t>2</w:t>
            </w:r>
            <w:r w:rsidR="0077434F" w:rsidRPr="0077434F">
              <w:rPr>
                <w:rFonts w:ascii="Times New Roman" w:hAnsi="Times New Roman"/>
                <w:color w:val="000000"/>
                <w:sz w:val="22"/>
                <w:szCs w:val="22"/>
              </w:rPr>
              <w:t>, 3</w:t>
            </w:r>
            <w:r w:rsidR="00770C11" w:rsidRPr="00B9782C">
              <w:rPr>
                <w:rFonts w:ascii="Times New Roman" w:hAnsi="Times New Roman"/>
                <w:color w:val="000000"/>
                <w:sz w:val="22"/>
                <w:szCs w:val="22"/>
              </w:rPr>
              <w:t xml:space="preserve"> </w:t>
            </w:r>
            <w:r w:rsidRPr="00B9782C">
              <w:rPr>
                <w:rFonts w:ascii="Times New Roman" w:hAnsi="Times New Roman"/>
                <w:color w:val="000000"/>
                <w:sz w:val="22"/>
                <w:szCs w:val="22"/>
              </w:rPr>
              <w:t xml:space="preserve">and </w:t>
            </w:r>
            <w:r w:rsidR="0077434F" w:rsidRPr="0077434F">
              <w:rPr>
                <w:rFonts w:ascii="Times New Roman" w:hAnsi="Times New Roman"/>
                <w:color w:val="000000"/>
                <w:sz w:val="22"/>
                <w:szCs w:val="22"/>
              </w:rPr>
              <w:t>4</w:t>
            </w:r>
            <w:r w:rsidRPr="00FC4B62">
              <w:rPr>
                <w:rFonts w:ascii="Times New Roman" w:hAnsi="Times New Roman"/>
                <w:color w:val="000000"/>
                <w:sz w:val="22"/>
                <w:szCs w:val="22"/>
              </w:rPr>
              <w:t>).</w:t>
            </w:r>
            <w:r>
              <w:rPr>
                <w:rFonts w:ascii="Times New Roman" w:hAnsi="Times New Roman"/>
                <w:color w:val="000000"/>
                <w:sz w:val="22"/>
                <w:szCs w:val="22"/>
              </w:rPr>
              <w:t xml:space="preserve"> </w:t>
            </w:r>
          </w:p>
          <w:p w14:paraId="2F0333D9" w14:textId="27B80389" w:rsidR="002E624B" w:rsidRDefault="002E624B" w:rsidP="00EB1206">
            <w:pPr>
              <w:pStyle w:val="Paragraph"/>
              <w:spacing w:before="60" w:after="60" w:line="240" w:lineRule="auto"/>
              <w:rPr>
                <w:rFonts w:ascii="Times New Roman" w:hAnsi="Times New Roman"/>
                <w:color w:val="000000"/>
                <w:sz w:val="22"/>
                <w:szCs w:val="22"/>
              </w:rPr>
            </w:pPr>
            <w:r w:rsidRPr="00AD5A4D">
              <w:rPr>
                <w:rFonts w:ascii="Times New Roman" w:hAnsi="Times New Roman"/>
                <w:b/>
                <w:color w:val="000000"/>
                <w:sz w:val="22"/>
                <w:szCs w:val="22"/>
                <w:u w:val="single"/>
              </w:rPr>
              <w:t>For patients receiving G</w:t>
            </w:r>
            <w:r>
              <w:rPr>
                <w:rFonts w:ascii="Times New Roman" w:hAnsi="Times New Roman"/>
                <w:b/>
                <w:color w:val="000000"/>
                <w:sz w:val="22"/>
                <w:szCs w:val="22"/>
                <w:u w:val="single"/>
              </w:rPr>
              <w:t>azyva</w:t>
            </w:r>
            <w:r w:rsidRPr="00AD5A4D">
              <w:rPr>
                <w:rFonts w:ascii="Times New Roman" w:hAnsi="Times New Roman"/>
                <w:b/>
                <w:color w:val="000000"/>
                <w:sz w:val="22"/>
                <w:szCs w:val="22"/>
                <w:u w:val="single"/>
              </w:rPr>
              <w:t xml:space="preserve"> as a pre</w:t>
            </w:r>
            <w:r w:rsidR="00097801">
              <w:rPr>
                <w:rFonts w:ascii="Times New Roman" w:hAnsi="Times New Roman"/>
                <w:b/>
                <w:color w:val="000000"/>
                <w:sz w:val="22"/>
                <w:szCs w:val="22"/>
                <w:u w:val="single"/>
              </w:rPr>
              <w:t>-</w:t>
            </w:r>
            <w:r w:rsidRPr="00AD5A4D">
              <w:rPr>
                <w:rFonts w:ascii="Times New Roman" w:hAnsi="Times New Roman"/>
                <w:b/>
                <w:color w:val="000000"/>
                <w:sz w:val="22"/>
                <w:szCs w:val="22"/>
                <w:u w:val="single"/>
              </w:rPr>
              <w:t xml:space="preserve">treatment for </w:t>
            </w:r>
            <w:proofErr w:type="gramStart"/>
            <w:r w:rsidRPr="00AD5A4D">
              <w:rPr>
                <w:rFonts w:ascii="Times New Roman" w:hAnsi="Times New Roman"/>
                <w:b/>
                <w:color w:val="000000"/>
                <w:sz w:val="22"/>
                <w:szCs w:val="22"/>
                <w:u w:val="single"/>
              </w:rPr>
              <w:t>glofitamab</w:t>
            </w:r>
            <w:r>
              <w:rPr>
                <w:rFonts w:ascii="Times New Roman" w:hAnsi="Times New Roman"/>
                <w:b/>
                <w:color w:val="000000"/>
                <w:sz w:val="22"/>
                <w:szCs w:val="22"/>
                <w:u w:val="single"/>
              </w:rPr>
              <w:t>;</w:t>
            </w:r>
            <w:proofErr w:type="gramEnd"/>
            <w:r w:rsidRPr="002E624B">
              <w:rPr>
                <w:rFonts w:ascii="Times New Roman" w:hAnsi="Times New Roman"/>
                <w:color w:val="000000"/>
                <w:sz w:val="22"/>
                <w:szCs w:val="22"/>
              </w:rPr>
              <w:t xml:space="preserve"> </w:t>
            </w:r>
          </w:p>
          <w:p w14:paraId="6FFF7DB2" w14:textId="3BFA02BA" w:rsidR="002E624B" w:rsidRDefault="00133F14" w:rsidP="00EB1206">
            <w:pPr>
              <w:pStyle w:val="Paragraph"/>
              <w:numPr>
                <w:ilvl w:val="0"/>
                <w:numId w:val="13"/>
              </w:numPr>
              <w:spacing w:before="60" w:after="60" w:line="240" w:lineRule="auto"/>
              <w:rPr>
                <w:rFonts w:ascii="Times New Roman" w:hAnsi="Times New Roman"/>
                <w:color w:val="000000"/>
                <w:sz w:val="22"/>
                <w:szCs w:val="22"/>
              </w:rPr>
            </w:pPr>
            <w:r w:rsidRPr="0077434F">
              <w:rPr>
                <w:rFonts w:ascii="Times New Roman" w:hAnsi="Times New Roman"/>
                <w:color w:val="000000"/>
                <w:sz w:val="22"/>
                <w:szCs w:val="22"/>
              </w:rPr>
              <w:t>Upon resolution of symptoms</w:t>
            </w:r>
            <w:r>
              <w:rPr>
                <w:rFonts w:ascii="Times New Roman" w:hAnsi="Times New Roman"/>
                <w:color w:val="000000"/>
                <w:sz w:val="22"/>
                <w:szCs w:val="22"/>
              </w:rPr>
              <w:t>, e</w:t>
            </w:r>
            <w:r w:rsidR="002E624B" w:rsidRPr="002E624B">
              <w:rPr>
                <w:rFonts w:ascii="Times New Roman" w:hAnsi="Times New Roman"/>
                <w:color w:val="000000"/>
                <w:sz w:val="22"/>
                <w:szCs w:val="22"/>
              </w:rPr>
              <w:t>scalation may resume at increments of 50mg/hr every 30 min</w:t>
            </w:r>
            <w:r w:rsidR="00097801">
              <w:rPr>
                <w:rFonts w:ascii="Times New Roman" w:hAnsi="Times New Roman"/>
                <w:color w:val="000000"/>
                <w:sz w:val="22"/>
                <w:szCs w:val="22"/>
              </w:rPr>
              <w:t>ute</w:t>
            </w:r>
            <w:r w:rsidR="002E624B" w:rsidRPr="002E624B">
              <w:rPr>
                <w:rFonts w:ascii="Times New Roman" w:hAnsi="Times New Roman"/>
                <w:color w:val="000000"/>
                <w:sz w:val="22"/>
                <w:szCs w:val="22"/>
              </w:rPr>
              <w:t>s without exceeding 400mg/hr</w:t>
            </w:r>
          </w:p>
          <w:p w14:paraId="41C6583A" w14:textId="77777777" w:rsidR="00A35D48" w:rsidRPr="003376FD" w:rsidRDefault="00A35D48" w:rsidP="00EB1206">
            <w:pPr>
              <w:pStyle w:val="Paragraph"/>
              <w:spacing w:before="60" w:after="60" w:line="240" w:lineRule="auto"/>
              <w:rPr>
                <w:rFonts w:ascii="Times New Roman" w:hAnsi="Times New Roman"/>
                <w:color w:val="000000"/>
                <w:sz w:val="22"/>
                <w:szCs w:val="22"/>
              </w:rPr>
            </w:pPr>
          </w:p>
          <w:p w14:paraId="15271FD9" w14:textId="77777777" w:rsidR="00A35D48" w:rsidRPr="00693E34" w:rsidRDefault="00F97FEA" w:rsidP="00EB1206">
            <w:pPr>
              <w:pStyle w:val="Paragraph"/>
              <w:spacing w:before="60" w:after="60" w:line="240" w:lineRule="auto"/>
              <w:rPr>
                <w:rFonts w:ascii="Times New Roman" w:hAnsi="Times New Roman"/>
                <w:b/>
                <w:color w:val="000000"/>
                <w:sz w:val="22"/>
                <w:szCs w:val="22"/>
                <w:u w:val="single"/>
              </w:rPr>
            </w:pPr>
            <w:r w:rsidRPr="001345FD">
              <w:rPr>
                <w:rFonts w:ascii="Times New Roman" w:hAnsi="Times New Roman"/>
                <w:b/>
                <w:color w:val="000000"/>
                <w:sz w:val="22"/>
                <w:u w:val="single"/>
              </w:rPr>
              <w:t xml:space="preserve">For CLL patients receiving the Cycle 1, Day 1 dose split over 2 </w:t>
            </w:r>
            <w:proofErr w:type="gramStart"/>
            <w:r w:rsidRPr="001345FD">
              <w:rPr>
                <w:rFonts w:ascii="Times New Roman" w:hAnsi="Times New Roman"/>
                <w:b/>
                <w:color w:val="000000"/>
                <w:sz w:val="22"/>
                <w:u w:val="single"/>
              </w:rPr>
              <w:t>days</w:t>
            </w:r>
            <w:r w:rsidR="00A35D48" w:rsidRPr="00693E34">
              <w:rPr>
                <w:rFonts w:ascii="Times New Roman" w:hAnsi="Times New Roman"/>
                <w:b/>
                <w:color w:val="000000"/>
                <w:sz w:val="22"/>
                <w:szCs w:val="22"/>
                <w:u w:val="single"/>
              </w:rPr>
              <w:t>;</w:t>
            </w:r>
            <w:proofErr w:type="gramEnd"/>
          </w:p>
          <w:p w14:paraId="70B9DDC4" w14:textId="17E385DD" w:rsidR="00F97FEA" w:rsidRPr="00FC4B62" w:rsidRDefault="00A35D48" w:rsidP="00EB1206">
            <w:pPr>
              <w:pStyle w:val="Paragraph"/>
              <w:numPr>
                <w:ilvl w:val="0"/>
                <w:numId w:val="6"/>
              </w:numPr>
              <w:spacing w:before="60" w:after="60" w:line="240" w:lineRule="auto"/>
              <w:rPr>
                <w:rFonts w:ascii="Times New Roman" w:hAnsi="Times New Roman"/>
                <w:color w:val="000000"/>
                <w:sz w:val="22"/>
                <w:szCs w:val="22"/>
              </w:rPr>
            </w:pPr>
            <w:r>
              <w:rPr>
                <w:rFonts w:ascii="Times New Roman" w:hAnsi="Times New Roman"/>
                <w:color w:val="000000"/>
                <w:sz w:val="22"/>
                <w:szCs w:val="22"/>
              </w:rPr>
              <w:t>Upon resolution of symptoms</w:t>
            </w:r>
            <w:r w:rsidR="00F97FEA">
              <w:rPr>
                <w:rFonts w:ascii="Times New Roman" w:hAnsi="Times New Roman"/>
                <w:color w:val="000000"/>
                <w:sz w:val="22"/>
                <w:szCs w:val="22"/>
              </w:rPr>
              <w:t>, t</w:t>
            </w:r>
            <w:r w:rsidR="00F97FEA" w:rsidRPr="00D957D0">
              <w:rPr>
                <w:rFonts w:ascii="Times New Roman" w:hAnsi="Times New Roman"/>
                <w:color w:val="000000"/>
                <w:sz w:val="22"/>
                <w:szCs w:val="22"/>
              </w:rPr>
              <w:t xml:space="preserve">he Day 1 infusion rate may be increased back up to 25 mg/hr after </w:t>
            </w:r>
            <w:r w:rsidR="008907E5">
              <w:rPr>
                <w:rFonts w:ascii="Times New Roman" w:hAnsi="Times New Roman"/>
                <w:color w:val="000000"/>
                <w:sz w:val="22"/>
                <w:szCs w:val="22"/>
              </w:rPr>
              <w:t xml:space="preserve">60 </w:t>
            </w:r>
            <w:proofErr w:type="gramStart"/>
            <w:r w:rsidR="008907E5">
              <w:rPr>
                <w:rFonts w:ascii="Times New Roman" w:hAnsi="Times New Roman"/>
                <w:color w:val="000000"/>
                <w:sz w:val="22"/>
                <w:szCs w:val="22"/>
              </w:rPr>
              <w:t>minutes</w:t>
            </w:r>
            <w:r w:rsidR="00F97FEA" w:rsidRPr="00D957D0">
              <w:rPr>
                <w:rFonts w:ascii="Times New Roman" w:hAnsi="Times New Roman"/>
                <w:color w:val="000000"/>
                <w:sz w:val="22"/>
                <w:szCs w:val="22"/>
              </w:rPr>
              <w:t>, but</w:t>
            </w:r>
            <w:proofErr w:type="gramEnd"/>
            <w:r w:rsidR="00F97FEA" w:rsidRPr="00D957D0">
              <w:rPr>
                <w:rFonts w:ascii="Times New Roman" w:hAnsi="Times New Roman"/>
                <w:color w:val="000000"/>
                <w:sz w:val="22"/>
                <w:szCs w:val="22"/>
              </w:rPr>
              <w:t xml:space="preserve"> not increased further.</w:t>
            </w:r>
          </w:p>
        </w:tc>
      </w:tr>
    </w:tbl>
    <w:p w14:paraId="5CFDDA34" w14:textId="77777777" w:rsidR="00F97FEA" w:rsidRDefault="00F97FEA" w:rsidP="00EB1206">
      <w:pPr>
        <w:pStyle w:val="Heading4"/>
        <w:spacing w:after="240"/>
        <w:rPr>
          <w:lang w:eastAsia="ko-KR" w:bidi="he-IL"/>
        </w:rPr>
      </w:pPr>
      <w:r>
        <w:rPr>
          <w:lang w:eastAsia="ko-KR" w:bidi="he-IL"/>
        </w:rPr>
        <w:lastRenderedPageBreak/>
        <w:t>Special Populations</w:t>
      </w:r>
    </w:p>
    <w:p w14:paraId="11A8EE7C" w14:textId="77777777" w:rsidR="00F97FEA" w:rsidRDefault="00F97FEA" w:rsidP="00EB1206">
      <w:pPr>
        <w:pStyle w:val="Heading5"/>
        <w:spacing w:before="0"/>
        <w:rPr>
          <w:lang w:eastAsia="ko-KR" w:bidi="he-IL"/>
        </w:rPr>
      </w:pPr>
      <w:r w:rsidRPr="004922C3">
        <w:rPr>
          <w:lang w:eastAsia="ko-KR" w:bidi="he-IL"/>
        </w:rPr>
        <w:t>Children</w:t>
      </w:r>
    </w:p>
    <w:p w14:paraId="18D1CC9D" w14:textId="77777777" w:rsidR="00F97FEA" w:rsidRPr="00F97FEA" w:rsidRDefault="00F97FEA" w:rsidP="00EB1206">
      <w:pPr>
        <w:pStyle w:val="TextTi12"/>
        <w:spacing w:after="0" w:line="240" w:lineRule="auto"/>
        <w:jc w:val="left"/>
        <w:rPr>
          <w:rFonts w:cs="Arial"/>
          <w:i/>
          <w:color w:val="000000"/>
          <w:lang w:eastAsia="ko-KR" w:bidi="he-IL"/>
        </w:rPr>
      </w:pPr>
      <w:r>
        <w:rPr>
          <w:rFonts w:cs="Arial"/>
          <w:color w:val="000000"/>
          <w:lang w:eastAsia="ko-KR" w:bidi="he-IL"/>
        </w:rPr>
        <w:t xml:space="preserve">The safety and efficacy of </w:t>
      </w:r>
      <w:r>
        <w:t>Gazyva</w:t>
      </w:r>
      <w:r>
        <w:rPr>
          <w:rFonts w:cs="Arial"/>
          <w:color w:val="000000"/>
          <w:lang w:eastAsia="ko-KR" w:bidi="he-IL"/>
        </w:rPr>
        <w:t xml:space="preserve"> in children below 18 years of age have not been established.</w:t>
      </w:r>
    </w:p>
    <w:p w14:paraId="43A3540A" w14:textId="77777777" w:rsidR="00F97FEA" w:rsidRDefault="00F97FEA" w:rsidP="00EB1206">
      <w:pPr>
        <w:pStyle w:val="Heading5"/>
        <w:rPr>
          <w:lang w:eastAsia="ko-KR" w:bidi="he-IL"/>
        </w:rPr>
      </w:pPr>
      <w:r w:rsidRPr="004922C3">
        <w:rPr>
          <w:lang w:eastAsia="ko-KR" w:bidi="he-IL"/>
        </w:rPr>
        <w:t>Elderly</w:t>
      </w:r>
    </w:p>
    <w:p w14:paraId="6BDBD587" w14:textId="77777777" w:rsidR="00F97FEA" w:rsidRDefault="00F97FEA" w:rsidP="00EB1206">
      <w:pPr>
        <w:pStyle w:val="TextTi12"/>
        <w:spacing w:after="0" w:line="240" w:lineRule="auto"/>
        <w:jc w:val="left"/>
        <w:rPr>
          <w:rFonts w:cs="Arial"/>
          <w:color w:val="000000"/>
          <w:lang w:eastAsia="ko-KR" w:bidi="he-IL"/>
        </w:rPr>
      </w:pPr>
      <w:r>
        <w:rPr>
          <w:rFonts w:cs="Arial"/>
          <w:color w:val="000000"/>
          <w:lang w:eastAsia="ko-KR" w:bidi="he-IL"/>
        </w:rPr>
        <w:t xml:space="preserve">No dose adjustment is required in elderly patients </w:t>
      </w:r>
      <w:r w:rsidR="002A10A0" w:rsidRPr="00E312BE">
        <w:rPr>
          <w:rFonts w:cs="Arial"/>
          <w:color w:val="000000"/>
          <w:lang w:eastAsia="ko-KR" w:bidi="he-IL"/>
        </w:rPr>
        <w:t>(see</w:t>
      </w:r>
      <w:r w:rsidR="002A10A0">
        <w:rPr>
          <w:rFonts w:cs="Arial"/>
          <w:color w:val="000000"/>
          <w:lang w:eastAsia="ko-KR" w:bidi="he-IL"/>
        </w:rPr>
        <w:t xml:space="preserve"> section 4.4 Special warnings and precautions for use)</w:t>
      </w:r>
      <w:r>
        <w:rPr>
          <w:rFonts w:cs="Arial"/>
          <w:color w:val="000000"/>
          <w:lang w:eastAsia="ko-KR" w:bidi="he-IL"/>
        </w:rPr>
        <w:t>.</w:t>
      </w:r>
    </w:p>
    <w:p w14:paraId="6B9B8A56" w14:textId="77777777" w:rsidR="00F97FEA" w:rsidRDefault="00F97FEA" w:rsidP="00EB1206">
      <w:pPr>
        <w:pStyle w:val="Heading5"/>
        <w:rPr>
          <w:lang w:eastAsia="ko-KR" w:bidi="he-IL"/>
        </w:rPr>
      </w:pPr>
      <w:r w:rsidRPr="004922C3">
        <w:rPr>
          <w:lang w:eastAsia="ko-KR" w:bidi="he-IL"/>
        </w:rPr>
        <w:t>Renal Impairment</w:t>
      </w:r>
    </w:p>
    <w:p w14:paraId="4916ED78" w14:textId="02867371" w:rsidR="00F97FEA" w:rsidRDefault="00F97FEA" w:rsidP="00EB1206">
      <w:pPr>
        <w:pStyle w:val="TextTi12"/>
        <w:spacing w:after="0" w:line="240" w:lineRule="auto"/>
        <w:jc w:val="left"/>
        <w:rPr>
          <w:rFonts w:cs="Arial"/>
          <w:color w:val="000000"/>
          <w:lang w:eastAsia="ko-KR" w:bidi="he-IL"/>
        </w:rPr>
      </w:pPr>
      <w:r w:rsidRPr="004922C3">
        <w:rPr>
          <w:rFonts w:cs="Arial"/>
          <w:color w:val="000000"/>
          <w:lang w:eastAsia="ko-KR" w:bidi="he-IL"/>
        </w:rPr>
        <w:t xml:space="preserve">No dose adjustment is required in </w:t>
      </w:r>
      <w:r>
        <w:rPr>
          <w:rFonts w:cs="Arial"/>
          <w:color w:val="000000"/>
          <w:lang w:eastAsia="ko-KR" w:bidi="he-IL"/>
        </w:rPr>
        <w:t>patients</w:t>
      </w:r>
      <w:r w:rsidR="001C2730">
        <w:rPr>
          <w:rFonts w:cs="Arial"/>
          <w:color w:val="000000"/>
          <w:lang w:eastAsia="ko-KR" w:bidi="he-IL"/>
        </w:rPr>
        <w:t xml:space="preserve"> </w:t>
      </w:r>
      <w:r>
        <w:rPr>
          <w:rFonts w:cs="Arial"/>
          <w:color w:val="000000"/>
          <w:lang w:eastAsia="ko-KR" w:bidi="he-IL"/>
        </w:rPr>
        <w:t>with mild or moderate renal impairment</w:t>
      </w:r>
      <w:r w:rsidRPr="004922C3">
        <w:rPr>
          <w:rFonts w:cs="Arial"/>
          <w:color w:val="000000"/>
          <w:lang w:eastAsia="ko-KR" w:bidi="he-IL"/>
        </w:rPr>
        <w:t xml:space="preserve">. </w:t>
      </w:r>
      <w:r>
        <w:t>Gazyva</w:t>
      </w:r>
      <w:r w:rsidRPr="004922C3">
        <w:rPr>
          <w:rFonts w:cs="Arial"/>
          <w:color w:val="000000"/>
          <w:lang w:eastAsia="ko-KR" w:bidi="he-IL"/>
        </w:rPr>
        <w:t xml:space="preserve"> has not </w:t>
      </w:r>
      <w:r>
        <w:rPr>
          <w:rFonts w:cs="Arial"/>
          <w:color w:val="000000"/>
          <w:lang w:eastAsia="ko-KR" w:bidi="he-IL"/>
        </w:rPr>
        <w:t xml:space="preserve">been studied in patients with a </w:t>
      </w:r>
      <w:proofErr w:type="spellStart"/>
      <w:r>
        <w:rPr>
          <w:rFonts w:cs="Arial"/>
          <w:color w:val="000000"/>
          <w:lang w:eastAsia="ko-KR" w:bidi="he-IL"/>
        </w:rPr>
        <w:t>CrCl</w:t>
      </w:r>
      <w:proofErr w:type="spellEnd"/>
      <w:r>
        <w:rPr>
          <w:rFonts w:cs="Arial"/>
          <w:color w:val="000000"/>
          <w:lang w:eastAsia="ko-KR" w:bidi="he-IL"/>
        </w:rPr>
        <w:t xml:space="preserve"> &lt; </w:t>
      </w:r>
      <w:r w:rsidRPr="004922C3">
        <w:rPr>
          <w:rFonts w:cs="Arial"/>
          <w:color w:val="000000"/>
          <w:lang w:eastAsia="ko-KR" w:bidi="he-IL"/>
        </w:rPr>
        <w:t>30mL/min</w:t>
      </w:r>
      <w:r w:rsidR="00690B6B">
        <w:rPr>
          <w:rFonts w:cs="Arial"/>
          <w:color w:val="000000"/>
          <w:lang w:eastAsia="ko-KR" w:bidi="he-IL"/>
        </w:rPr>
        <w:t xml:space="preserve"> </w:t>
      </w:r>
      <w:r w:rsidR="002A10A0" w:rsidRPr="00E312BE">
        <w:rPr>
          <w:rFonts w:cs="Arial"/>
          <w:color w:val="000000"/>
          <w:lang w:eastAsia="ko-KR" w:bidi="he-IL"/>
        </w:rPr>
        <w:t>(see</w:t>
      </w:r>
      <w:r w:rsidR="002A10A0">
        <w:rPr>
          <w:rFonts w:cs="Arial"/>
          <w:color w:val="000000"/>
          <w:lang w:eastAsia="ko-KR" w:bidi="he-IL"/>
        </w:rPr>
        <w:t xml:space="preserve"> sections 4.4 Special warnings and precautions for use and 5.2 Pharmacokinetic properties</w:t>
      </w:r>
      <w:r>
        <w:rPr>
          <w:rFonts w:cs="Arial"/>
          <w:color w:val="000000"/>
          <w:lang w:eastAsia="ko-KR" w:bidi="he-IL"/>
        </w:rPr>
        <w:t>).</w:t>
      </w:r>
    </w:p>
    <w:p w14:paraId="0FA0E18C" w14:textId="77777777" w:rsidR="00F97FEA" w:rsidRDefault="00F97FEA" w:rsidP="00EB1206">
      <w:pPr>
        <w:pStyle w:val="Heading5"/>
        <w:rPr>
          <w:lang w:eastAsia="ko-KR" w:bidi="he-IL"/>
        </w:rPr>
      </w:pPr>
      <w:r w:rsidRPr="004922C3">
        <w:rPr>
          <w:lang w:eastAsia="ko-KR" w:bidi="he-IL"/>
        </w:rPr>
        <w:t>Hepatic Impairment</w:t>
      </w:r>
    </w:p>
    <w:p w14:paraId="19FDDC91" w14:textId="0BCD71FA" w:rsidR="004566D5" w:rsidRPr="00A25BB4" w:rsidRDefault="00F97FEA" w:rsidP="00EB1206">
      <w:pPr>
        <w:pStyle w:val="TextTi12"/>
        <w:spacing w:line="280" w:lineRule="exact"/>
        <w:jc w:val="left"/>
        <w:rPr>
          <w:rFonts w:cs="Arial"/>
          <w:color w:val="000000"/>
          <w:lang w:eastAsia="ko-KR" w:bidi="he-IL"/>
        </w:rPr>
      </w:pPr>
      <w:r>
        <w:rPr>
          <w:rFonts w:cs="Arial"/>
          <w:color w:val="000000"/>
          <w:lang w:eastAsia="ko-KR" w:bidi="he-IL"/>
        </w:rPr>
        <w:t xml:space="preserve">The safety and efficacy of </w:t>
      </w:r>
      <w:r>
        <w:t>Gazyva</w:t>
      </w:r>
      <w:r>
        <w:rPr>
          <w:rFonts w:cs="Arial"/>
          <w:color w:val="000000"/>
          <w:lang w:eastAsia="ko-KR" w:bidi="he-IL"/>
        </w:rPr>
        <w:t xml:space="preserve"> in patients with hepatic impairment have not been established.</w:t>
      </w:r>
    </w:p>
    <w:p w14:paraId="63B98FD5" w14:textId="77777777" w:rsidR="00D52399" w:rsidRDefault="00615052" w:rsidP="00EB1206">
      <w:pPr>
        <w:pStyle w:val="Heading3"/>
      </w:pPr>
      <w:r>
        <w:t>Method of Administration</w:t>
      </w:r>
    </w:p>
    <w:p w14:paraId="60CFB8E4" w14:textId="77777777" w:rsidR="00F97FEA" w:rsidRPr="003B3FC5" w:rsidRDefault="00F97FEA" w:rsidP="00EB1206">
      <w:pPr>
        <w:pStyle w:val="Heading4"/>
        <w:spacing w:before="0"/>
        <w:rPr>
          <w:lang w:eastAsia="ko-KR" w:bidi="he-IL"/>
        </w:rPr>
      </w:pPr>
      <w:r w:rsidRPr="003B3FC5">
        <w:rPr>
          <w:lang w:eastAsia="ko-KR" w:bidi="he-IL"/>
        </w:rPr>
        <w:t>Instructions for dilution</w:t>
      </w:r>
    </w:p>
    <w:p w14:paraId="1BF4ECDB" w14:textId="28FDBCD5" w:rsidR="00F97FEA" w:rsidRDefault="00F97FEA" w:rsidP="00EB1206">
      <w:pPr>
        <w:pStyle w:val="TextTi12"/>
        <w:spacing w:after="0" w:line="240" w:lineRule="auto"/>
        <w:jc w:val="left"/>
        <w:rPr>
          <w:rFonts w:cs="Arial"/>
          <w:color w:val="000000"/>
          <w:lang w:eastAsia="ko-KR" w:bidi="he-IL"/>
        </w:rPr>
      </w:pPr>
      <w:r>
        <w:rPr>
          <w:rFonts w:cs="Arial"/>
          <w:color w:val="000000"/>
          <w:lang w:eastAsia="ko-KR" w:bidi="he-IL"/>
        </w:rPr>
        <w:t>Gazyva should be prepared by a healthcare professional using aseptic technique.</w:t>
      </w:r>
      <w:r w:rsidR="006871C4">
        <w:rPr>
          <w:rFonts w:cs="Arial"/>
          <w:color w:val="000000"/>
          <w:lang w:eastAsia="ko-KR" w:bidi="he-IL"/>
        </w:rPr>
        <w:t xml:space="preserve"> </w:t>
      </w:r>
      <w:r w:rsidR="006871C4" w:rsidRPr="006871C4">
        <w:rPr>
          <w:rFonts w:cs="Arial"/>
          <w:color w:val="000000"/>
          <w:lang w:eastAsia="ko-KR" w:bidi="he-IL"/>
        </w:rPr>
        <w:t>Use a sterile needle and syringe to prepare Gazyva.</w:t>
      </w:r>
    </w:p>
    <w:p w14:paraId="1E2F41DC" w14:textId="519CDBE8" w:rsidR="00F97FEA" w:rsidRPr="00FE7A26" w:rsidRDefault="00F97FEA" w:rsidP="00EB1206">
      <w:pPr>
        <w:pStyle w:val="Heading5"/>
        <w:rPr>
          <w:lang w:eastAsia="ko-KR" w:bidi="he-IL"/>
        </w:rPr>
      </w:pPr>
      <w:r w:rsidRPr="00FE7A26">
        <w:rPr>
          <w:lang w:eastAsia="ko-KR" w:bidi="he-IL"/>
        </w:rPr>
        <w:t xml:space="preserve">For </w:t>
      </w:r>
      <w:r w:rsidR="00F04BC5">
        <w:rPr>
          <w:lang w:eastAsia="ko-KR" w:bidi="he-IL"/>
        </w:rPr>
        <w:t xml:space="preserve">CLL cycles 2-6, </w:t>
      </w:r>
      <w:r>
        <w:rPr>
          <w:lang w:eastAsia="ko-KR" w:bidi="he-IL"/>
        </w:rPr>
        <w:t xml:space="preserve">all FL </w:t>
      </w:r>
      <w:r w:rsidRPr="009D44F7">
        <w:rPr>
          <w:lang w:eastAsia="ko-KR" w:bidi="he-IL"/>
        </w:rPr>
        <w:t>cycles</w:t>
      </w:r>
      <w:r w:rsidR="00097801">
        <w:rPr>
          <w:lang w:eastAsia="ko-KR" w:bidi="he-IL"/>
        </w:rPr>
        <w:t xml:space="preserve"> </w:t>
      </w:r>
      <w:r w:rsidR="00AD5A4D">
        <w:rPr>
          <w:lang w:eastAsia="ko-KR" w:bidi="he-IL"/>
        </w:rPr>
        <w:t xml:space="preserve">and as a </w:t>
      </w:r>
      <w:r w:rsidR="00133F14">
        <w:rPr>
          <w:lang w:eastAsia="ko-KR" w:bidi="he-IL"/>
        </w:rPr>
        <w:t>p</w:t>
      </w:r>
      <w:r w:rsidR="00AD5A4D">
        <w:rPr>
          <w:lang w:eastAsia="ko-KR" w:bidi="he-IL"/>
        </w:rPr>
        <w:t>re</w:t>
      </w:r>
      <w:r w:rsidR="00097801">
        <w:rPr>
          <w:lang w:eastAsia="ko-KR" w:bidi="he-IL"/>
        </w:rPr>
        <w:t>-</w:t>
      </w:r>
      <w:r w:rsidR="00AD5A4D">
        <w:rPr>
          <w:lang w:eastAsia="ko-KR" w:bidi="he-IL"/>
        </w:rPr>
        <w:t>treatment to reduce the risk of CRS induced by glofitamab</w:t>
      </w:r>
    </w:p>
    <w:p w14:paraId="15FE6686" w14:textId="77777777" w:rsidR="00F97FEA" w:rsidRDefault="00F97FEA" w:rsidP="00EB1206">
      <w:pPr>
        <w:pStyle w:val="TextTi12"/>
        <w:spacing w:after="0" w:line="240" w:lineRule="auto"/>
        <w:jc w:val="left"/>
        <w:rPr>
          <w:rFonts w:cs="Arial"/>
          <w:color w:val="000000"/>
          <w:lang w:eastAsia="ko-KR" w:bidi="he-IL"/>
        </w:rPr>
      </w:pPr>
      <w:r>
        <w:rPr>
          <w:rFonts w:cs="Arial"/>
          <w:color w:val="000000"/>
          <w:lang w:eastAsia="ko-KR" w:bidi="he-IL"/>
        </w:rPr>
        <w:t xml:space="preserve">Withdraw the required amount of </w:t>
      </w:r>
      <w:r>
        <w:t>Gazyva</w:t>
      </w:r>
      <w:r>
        <w:rPr>
          <w:rFonts w:cs="Arial"/>
          <w:color w:val="000000"/>
          <w:lang w:eastAsia="ko-KR" w:bidi="he-IL"/>
        </w:rPr>
        <w:t xml:space="preserve"> liquid concentrate from the vial and dilute in a PVC or non-PVC polyolefin infusion bag containing the appropriate volume of sterile, non-pyrogenic 0.9% aqueous sodium chloride solution. Do not use dextrose-containing solutions</w:t>
      </w:r>
      <w:r w:rsidRPr="008A08AD">
        <w:rPr>
          <w:rFonts w:cs="Arial"/>
          <w:strike/>
          <w:color w:val="000000"/>
          <w:lang w:eastAsia="ko-KR" w:bidi="he-IL"/>
        </w:rPr>
        <w:t xml:space="preserve"> </w:t>
      </w:r>
      <w:r>
        <w:rPr>
          <w:rFonts w:cs="Arial"/>
          <w:color w:val="000000"/>
          <w:lang w:eastAsia="ko-KR" w:bidi="he-IL"/>
        </w:rPr>
        <w:t>or other diluents</w:t>
      </w:r>
      <w:r w:rsidRPr="002A10A0">
        <w:rPr>
          <w:rFonts w:cs="Arial"/>
          <w:color w:val="000000"/>
          <w:lang w:eastAsia="ko-KR" w:bidi="he-IL"/>
        </w:rPr>
        <w:t xml:space="preserve"> (see</w:t>
      </w:r>
      <w:r w:rsidR="002A10A0" w:rsidRPr="002A10A0">
        <w:rPr>
          <w:rFonts w:cs="Arial"/>
          <w:color w:val="000000"/>
          <w:lang w:eastAsia="ko-KR" w:bidi="he-IL"/>
        </w:rPr>
        <w:t xml:space="preserve"> section 6.2</w:t>
      </w:r>
      <w:r w:rsidRPr="002A10A0">
        <w:rPr>
          <w:rFonts w:cs="Arial"/>
          <w:color w:val="000000"/>
          <w:lang w:eastAsia="ko-KR" w:bidi="he-IL"/>
        </w:rPr>
        <w:t xml:space="preserve"> Incompatibilities).</w:t>
      </w:r>
    </w:p>
    <w:p w14:paraId="5BAFCEBC" w14:textId="77777777" w:rsidR="00F97FEA" w:rsidRPr="00FE7A26" w:rsidRDefault="00F97FEA" w:rsidP="00EB1206">
      <w:pPr>
        <w:pStyle w:val="Heading5"/>
        <w:rPr>
          <w:lang w:eastAsia="ko-KR" w:bidi="he-IL"/>
        </w:rPr>
      </w:pPr>
      <w:r>
        <w:rPr>
          <w:lang w:eastAsia="ko-KR" w:bidi="he-IL"/>
        </w:rPr>
        <w:t>For CLL cycle 1, Day 1 only: P</w:t>
      </w:r>
      <w:r w:rsidRPr="00FE7A26">
        <w:rPr>
          <w:lang w:eastAsia="ko-KR" w:bidi="he-IL"/>
        </w:rPr>
        <w:t>reparation of infusion bags for</w:t>
      </w:r>
      <w:r>
        <w:rPr>
          <w:lang w:eastAsia="ko-KR" w:bidi="he-IL"/>
        </w:rPr>
        <w:t xml:space="preserve"> </w:t>
      </w:r>
      <w:r w:rsidRPr="00FE7A26">
        <w:rPr>
          <w:lang w:eastAsia="ko-KR" w:bidi="he-IL"/>
        </w:rPr>
        <w:t>dose administered over 2 days</w:t>
      </w:r>
    </w:p>
    <w:p w14:paraId="029AFB03" w14:textId="77777777" w:rsidR="00F97FEA" w:rsidRPr="002A10A0" w:rsidRDefault="00F97FEA" w:rsidP="00EB1206">
      <w:pPr>
        <w:pStyle w:val="TextTi12"/>
        <w:spacing w:after="0" w:line="240" w:lineRule="auto"/>
        <w:jc w:val="left"/>
        <w:rPr>
          <w:rFonts w:cs="Arial"/>
          <w:color w:val="000000"/>
          <w:lang w:eastAsia="ko-KR" w:bidi="he-IL"/>
        </w:rPr>
      </w:pPr>
      <w:r>
        <w:rPr>
          <w:rFonts w:cs="Arial"/>
          <w:color w:val="000000"/>
          <w:lang w:eastAsia="ko-KR" w:bidi="he-IL"/>
        </w:rPr>
        <w:t xml:space="preserve">The table below provides guidance on the volume of </w:t>
      </w:r>
      <w:r>
        <w:t>Gazyva</w:t>
      </w:r>
      <w:r>
        <w:rPr>
          <w:rFonts w:cs="Arial"/>
          <w:color w:val="000000"/>
          <w:lang w:eastAsia="ko-KR" w:bidi="he-IL"/>
        </w:rPr>
        <w:t xml:space="preserve"> liquid concentrate to be diluted and the volume of sterile 0.9% sodium chloride solution it is to be diluted in. Withdraw the required amount of </w:t>
      </w:r>
      <w:r>
        <w:t>Gazyva</w:t>
      </w:r>
      <w:r>
        <w:rPr>
          <w:rFonts w:cs="Arial"/>
          <w:color w:val="000000"/>
          <w:lang w:eastAsia="ko-KR" w:bidi="he-IL"/>
        </w:rPr>
        <w:t xml:space="preserve"> liquid concentrate from the vial and dilute in a PVC or non-PVC polyolefin infusion bag containing the appropriate volume of sterile, non-pyrogenic 0.9% </w:t>
      </w:r>
      <w:r>
        <w:rPr>
          <w:rFonts w:cs="Arial"/>
          <w:color w:val="000000"/>
          <w:lang w:eastAsia="ko-KR" w:bidi="he-IL"/>
        </w:rPr>
        <w:lastRenderedPageBreak/>
        <w:t>aqueous sodium chloride solution. Do not use dextrose-containing solutions</w:t>
      </w:r>
      <w:r w:rsidRPr="008A08AD">
        <w:rPr>
          <w:rFonts w:cs="Arial"/>
          <w:strike/>
          <w:color w:val="000000"/>
          <w:lang w:eastAsia="ko-KR" w:bidi="he-IL"/>
        </w:rPr>
        <w:t xml:space="preserve"> </w:t>
      </w:r>
      <w:r>
        <w:rPr>
          <w:rFonts w:cs="Arial"/>
          <w:color w:val="000000"/>
          <w:lang w:eastAsia="ko-KR" w:bidi="he-IL"/>
        </w:rPr>
        <w:t>or other diluents</w:t>
      </w:r>
      <w:r w:rsidRPr="00AC5E24">
        <w:rPr>
          <w:rFonts w:cs="Arial"/>
          <w:color w:val="000000"/>
          <w:lang w:eastAsia="ko-KR" w:bidi="he-IL"/>
        </w:rPr>
        <w:t xml:space="preserve"> </w:t>
      </w:r>
      <w:r w:rsidRPr="002A10A0">
        <w:rPr>
          <w:rFonts w:cs="Arial"/>
          <w:color w:val="000000"/>
          <w:lang w:eastAsia="ko-KR" w:bidi="he-IL"/>
        </w:rPr>
        <w:t>(see</w:t>
      </w:r>
      <w:r w:rsidR="002A10A0" w:rsidRPr="002A10A0">
        <w:rPr>
          <w:rFonts w:cs="Arial"/>
          <w:color w:val="000000"/>
          <w:lang w:eastAsia="ko-KR" w:bidi="he-IL"/>
        </w:rPr>
        <w:t xml:space="preserve"> section 6.2 </w:t>
      </w:r>
      <w:r w:rsidRPr="002A10A0">
        <w:rPr>
          <w:rFonts w:cs="Arial"/>
          <w:color w:val="000000"/>
          <w:lang w:eastAsia="ko-KR" w:bidi="he-IL"/>
        </w:rPr>
        <w:t>Incompatibilities).</w:t>
      </w:r>
    </w:p>
    <w:p w14:paraId="0E9C471C" w14:textId="77777777" w:rsidR="00F97FEA" w:rsidRDefault="00F97FEA" w:rsidP="00EB1206">
      <w:pPr>
        <w:pStyle w:val="TextTi12"/>
        <w:spacing w:before="240" w:after="0" w:line="240" w:lineRule="auto"/>
        <w:jc w:val="left"/>
        <w:rPr>
          <w:rFonts w:cs="Arial"/>
          <w:color w:val="000000"/>
          <w:lang w:eastAsia="ko-KR" w:bidi="he-IL"/>
        </w:rPr>
      </w:pPr>
      <w:r w:rsidRPr="001A4EA1">
        <w:rPr>
          <w:rFonts w:cs="Arial"/>
          <w:color w:val="000000"/>
          <w:lang w:eastAsia="ko-KR" w:bidi="he-IL"/>
        </w:rPr>
        <w:t xml:space="preserve">To ensure differentiation of the two infusion bags for the initial 1000 mg dose, the recommendation is to </w:t>
      </w:r>
      <w:proofErr w:type="spellStart"/>
      <w:r w:rsidRPr="001A4EA1">
        <w:rPr>
          <w:rFonts w:cs="Arial"/>
          <w:color w:val="000000"/>
          <w:lang w:eastAsia="ko-KR" w:bidi="he-IL"/>
        </w:rPr>
        <w:t>utilise</w:t>
      </w:r>
      <w:proofErr w:type="spellEnd"/>
      <w:r w:rsidRPr="001A4EA1">
        <w:rPr>
          <w:rFonts w:cs="Arial"/>
          <w:color w:val="000000"/>
          <w:lang w:eastAsia="ko-KR" w:bidi="he-IL"/>
        </w:rPr>
        <w:t xml:space="preserve"> bags of different sizes to distinguish between the 100 mg dose for Cycle 1 Day 1 and the 900 mg dose for Cycle</w:t>
      </w:r>
      <w:r>
        <w:rPr>
          <w:rFonts w:cs="Arial"/>
          <w:color w:val="000000"/>
          <w:lang w:eastAsia="ko-KR" w:bidi="he-IL"/>
        </w:rPr>
        <w:t xml:space="preserve"> 1 Day 1 (continued) or Day 2. </w:t>
      </w:r>
      <w:r w:rsidRPr="001A4EA1">
        <w:rPr>
          <w:rFonts w:cs="Arial"/>
          <w:color w:val="000000"/>
          <w:lang w:eastAsia="ko-KR" w:bidi="he-IL"/>
        </w:rPr>
        <w:t xml:space="preserve">To prepare the 2 infusion bags, withdraw 40 mL of </w:t>
      </w:r>
      <w:r>
        <w:t>Gazyva</w:t>
      </w:r>
      <w:r w:rsidRPr="001A4EA1">
        <w:rPr>
          <w:rFonts w:cs="Arial"/>
          <w:color w:val="000000"/>
          <w:lang w:eastAsia="ko-KR" w:bidi="he-IL"/>
        </w:rPr>
        <w:t xml:space="preserve"> liquid concentrate from </w:t>
      </w:r>
      <w:r>
        <w:rPr>
          <w:rFonts w:cs="Arial"/>
          <w:color w:val="000000"/>
          <w:lang w:eastAsia="ko-KR" w:bidi="he-IL"/>
        </w:rPr>
        <w:t xml:space="preserve">the </w:t>
      </w:r>
      <w:r w:rsidRPr="001A4EA1">
        <w:rPr>
          <w:rFonts w:cs="Arial"/>
          <w:color w:val="000000"/>
          <w:lang w:eastAsia="ko-KR" w:bidi="he-IL"/>
        </w:rPr>
        <w:t>vial and dilute 4</w:t>
      </w:r>
      <w:r>
        <w:rPr>
          <w:rFonts w:cs="Arial"/>
          <w:color w:val="000000"/>
          <w:lang w:eastAsia="ko-KR" w:bidi="he-IL"/>
        </w:rPr>
        <w:t xml:space="preserve"> </w:t>
      </w:r>
      <w:r w:rsidRPr="001A4EA1">
        <w:rPr>
          <w:rFonts w:cs="Arial"/>
          <w:color w:val="000000"/>
          <w:lang w:eastAsia="ko-KR" w:bidi="he-IL"/>
        </w:rPr>
        <w:t>mL into a 100 mL infusion bag and the remaining 36</w:t>
      </w:r>
      <w:r>
        <w:rPr>
          <w:rFonts w:cs="Arial"/>
          <w:color w:val="000000"/>
          <w:lang w:eastAsia="ko-KR" w:bidi="he-IL"/>
        </w:rPr>
        <w:t xml:space="preserve"> </w:t>
      </w:r>
      <w:r w:rsidRPr="001A4EA1">
        <w:rPr>
          <w:rFonts w:cs="Arial"/>
          <w:color w:val="000000"/>
          <w:lang w:eastAsia="ko-KR" w:bidi="he-IL"/>
        </w:rPr>
        <w:t>mL in</w:t>
      </w:r>
      <w:r>
        <w:rPr>
          <w:rFonts w:cs="Arial"/>
          <w:color w:val="000000"/>
          <w:lang w:eastAsia="ko-KR" w:bidi="he-IL"/>
        </w:rPr>
        <w:t>to</w:t>
      </w:r>
      <w:r w:rsidRPr="001A4EA1">
        <w:rPr>
          <w:rFonts w:cs="Arial"/>
          <w:color w:val="000000"/>
          <w:lang w:eastAsia="ko-KR" w:bidi="he-IL"/>
        </w:rPr>
        <w:t xml:space="preserve"> a 250 mL PVC or non-PVC polyolefin infus</w:t>
      </w:r>
      <w:r>
        <w:rPr>
          <w:rFonts w:cs="Arial"/>
          <w:color w:val="000000"/>
          <w:lang w:eastAsia="ko-KR" w:bidi="he-IL"/>
        </w:rPr>
        <w:t>ion bag</w:t>
      </w:r>
      <w:r w:rsidRPr="001A4EA1">
        <w:rPr>
          <w:rFonts w:cs="Arial"/>
          <w:color w:val="000000"/>
          <w:lang w:eastAsia="ko-KR" w:bidi="he-IL"/>
        </w:rPr>
        <w:t xml:space="preserve"> containing sterile, </w:t>
      </w:r>
      <w:proofErr w:type="spellStart"/>
      <w:r w:rsidRPr="001A4EA1">
        <w:rPr>
          <w:rFonts w:cs="Arial"/>
          <w:color w:val="000000"/>
          <w:lang w:eastAsia="ko-KR" w:bidi="he-IL"/>
        </w:rPr>
        <w:t>non pyrogenic</w:t>
      </w:r>
      <w:proofErr w:type="spellEnd"/>
      <w:r w:rsidRPr="001A4EA1">
        <w:rPr>
          <w:rFonts w:cs="Arial"/>
          <w:color w:val="000000"/>
          <w:lang w:eastAsia="ko-KR" w:bidi="he-IL"/>
        </w:rPr>
        <w:t xml:space="preserve"> 0.9% aqueous sodium chloride solution. Clearly label each infusion bag.</w:t>
      </w:r>
    </w:p>
    <w:p w14:paraId="1C60A650" w14:textId="77777777" w:rsidR="00F97FEA" w:rsidRDefault="00F97FEA" w:rsidP="00EB1206">
      <w:pPr>
        <w:pStyle w:val="TextTi12"/>
        <w:spacing w:before="240" w:line="240" w:lineRule="auto"/>
        <w:jc w:val="left"/>
        <w:rPr>
          <w:rFonts w:cs="Arial"/>
          <w:color w:val="000000"/>
          <w:lang w:eastAsia="ko-KR" w:bidi="he-IL"/>
        </w:rPr>
      </w:pPr>
      <w:r>
        <w:rPr>
          <w:rFonts w:cs="Arial"/>
          <w:color w:val="000000"/>
          <w:lang w:eastAsia="ko-KR" w:bidi="he-IL"/>
        </w:rPr>
        <w:t>Each</w:t>
      </w:r>
      <w:r w:rsidRPr="004B50F8">
        <w:rPr>
          <w:rFonts w:cs="Arial"/>
          <w:color w:val="000000"/>
          <w:lang w:eastAsia="ko-KR" w:bidi="he-IL"/>
        </w:rPr>
        <w:t xml:space="preserve"> bag should be gently inverted to mix the solu</w:t>
      </w:r>
      <w:r>
        <w:rPr>
          <w:rFonts w:cs="Arial"/>
          <w:color w:val="000000"/>
          <w:lang w:eastAsia="ko-KR" w:bidi="he-IL"/>
        </w:rPr>
        <w:t xml:space="preserve">tion </w:t>
      </w:r>
      <w:proofErr w:type="gramStart"/>
      <w:r>
        <w:rPr>
          <w:rFonts w:cs="Arial"/>
          <w:color w:val="000000"/>
          <w:lang w:eastAsia="ko-KR" w:bidi="he-IL"/>
        </w:rPr>
        <w:t>in order to</w:t>
      </w:r>
      <w:proofErr w:type="gramEnd"/>
      <w:r>
        <w:rPr>
          <w:rFonts w:cs="Arial"/>
          <w:color w:val="000000"/>
          <w:lang w:eastAsia="ko-KR" w:bidi="he-IL"/>
        </w:rPr>
        <w:t xml:space="preserve"> avoid foaming.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339"/>
        <w:gridCol w:w="2861"/>
      </w:tblGrid>
      <w:tr w:rsidR="00F97FEA" w:rsidRPr="0038770B" w14:paraId="0BE7658D" w14:textId="77777777" w:rsidTr="00B9782C">
        <w:tc>
          <w:tcPr>
            <w:tcW w:w="2876" w:type="dxa"/>
            <w:shd w:val="clear" w:color="auto" w:fill="auto"/>
            <w:vAlign w:val="center"/>
          </w:tcPr>
          <w:p w14:paraId="42D90AD4" w14:textId="77777777" w:rsidR="00F97FEA" w:rsidRPr="0038770B" w:rsidRDefault="00F97FEA" w:rsidP="00EB1206">
            <w:pPr>
              <w:pStyle w:val="TextTi12"/>
              <w:spacing w:before="40" w:after="40" w:line="240" w:lineRule="auto"/>
              <w:jc w:val="left"/>
              <w:rPr>
                <w:rFonts w:cs="Arial"/>
                <w:b/>
                <w:color w:val="000000"/>
                <w:sz w:val="22"/>
                <w:szCs w:val="22"/>
                <w:lang w:eastAsia="ko-KR" w:bidi="he-IL"/>
              </w:rPr>
            </w:pPr>
            <w:r w:rsidRPr="0038770B">
              <w:rPr>
                <w:rFonts w:cs="Arial"/>
                <w:b/>
                <w:color w:val="000000"/>
                <w:sz w:val="22"/>
                <w:szCs w:val="22"/>
                <w:lang w:eastAsia="ko-KR" w:bidi="he-IL"/>
              </w:rPr>
              <w:t xml:space="preserve">Dose of </w:t>
            </w:r>
            <w:r>
              <w:rPr>
                <w:rFonts w:cs="Arial"/>
                <w:b/>
                <w:color w:val="000000"/>
                <w:sz w:val="22"/>
                <w:szCs w:val="22"/>
                <w:lang w:eastAsia="ko-KR" w:bidi="he-IL"/>
              </w:rPr>
              <w:t>Gazyva</w:t>
            </w:r>
            <w:r w:rsidRPr="0038770B">
              <w:rPr>
                <w:rFonts w:cs="Arial"/>
                <w:b/>
                <w:color w:val="000000"/>
                <w:sz w:val="22"/>
                <w:szCs w:val="22"/>
                <w:lang w:eastAsia="ko-KR" w:bidi="he-IL"/>
              </w:rPr>
              <w:t xml:space="preserve"> to be administered</w:t>
            </w:r>
          </w:p>
        </w:tc>
        <w:tc>
          <w:tcPr>
            <w:tcW w:w="3429" w:type="dxa"/>
            <w:shd w:val="clear" w:color="auto" w:fill="auto"/>
            <w:vAlign w:val="center"/>
          </w:tcPr>
          <w:p w14:paraId="1B813099" w14:textId="77777777" w:rsidR="00F97FEA" w:rsidRPr="0038770B" w:rsidRDefault="00F97FEA" w:rsidP="00EB1206">
            <w:pPr>
              <w:pStyle w:val="TextTi12"/>
              <w:spacing w:before="40" w:after="40" w:line="240" w:lineRule="auto"/>
              <w:jc w:val="left"/>
              <w:rPr>
                <w:rFonts w:cs="Arial"/>
                <w:b/>
                <w:color w:val="000000"/>
                <w:sz w:val="22"/>
                <w:szCs w:val="22"/>
                <w:lang w:eastAsia="ko-KR" w:bidi="he-IL"/>
              </w:rPr>
            </w:pPr>
            <w:r w:rsidRPr="0038770B">
              <w:rPr>
                <w:rFonts w:cs="Arial"/>
                <w:b/>
                <w:color w:val="000000"/>
                <w:sz w:val="22"/>
                <w:szCs w:val="22"/>
                <w:lang w:eastAsia="ko-KR" w:bidi="he-IL"/>
              </w:rPr>
              <w:t xml:space="preserve">Required amount of </w:t>
            </w:r>
            <w:r>
              <w:rPr>
                <w:rFonts w:cs="Arial"/>
                <w:b/>
                <w:color w:val="000000"/>
                <w:sz w:val="22"/>
                <w:szCs w:val="22"/>
                <w:lang w:eastAsia="ko-KR" w:bidi="he-IL"/>
              </w:rPr>
              <w:t>Gazyva</w:t>
            </w:r>
            <w:r w:rsidRPr="0038770B">
              <w:rPr>
                <w:rFonts w:cs="Arial"/>
                <w:b/>
                <w:color w:val="000000"/>
                <w:sz w:val="22"/>
                <w:szCs w:val="22"/>
                <w:lang w:eastAsia="ko-KR" w:bidi="he-IL"/>
              </w:rPr>
              <w:t xml:space="preserve"> liquid concentrate</w:t>
            </w:r>
          </w:p>
        </w:tc>
        <w:tc>
          <w:tcPr>
            <w:tcW w:w="2937" w:type="dxa"/>
            <w:tcBorders>
              <w:right w:val="single" w:sz="4" w:space="0" w:color="auto"/>
            </w:tcBorders>
            <w:vAlign w:val="center"/>
          </w:tcPr>
          <w:p w14:paraId="46321F4B" w14:textId="77777777" w:rsidR="00F97FEA" w:rsidRPr="0038770B" w:rsidRDefault="00F97FEA" w:rsidP="00EB1206">
            <w:pPr>
              <w:pStyle w:val="TextTi12"/>
              <w:spacing w:before="40" w:after="40" w:line="240" w:lineRule="auto"/>
              <w:jc w:val="left"/>
              <w:rPr>
                <w:rFonts w:cs="Arial"/>
                <w:b/>
                <w:color w:val="000000"/>
                <w:sz w:val="22"/>
                <w:szCs w:val="22"/>
                <w:lang w:eastAsia="ko-KR" w:bidi="he-IL"/>
              </w:rPr>
            </w:pPr>
            <w:r>
              <w:rPr>
                <w:rFonts w:cs="Arial"/>
                <w:b/>
                <w:color w:val="000000"/>
                <w:sz w:val="22"/>
                <w:szCs w:val="22"/>
                <w:lang w:eastAsia="ko-KR" w:bidi="he-IL"/>
              </w:rPr>
              <w:t>Volume of PVC or non-PVC polyolefin infusion bag</w:t>
            </w:r>
          </w:p>
        </w:tc>
      </w:tr>
      <w:tr w:rsidR="00F97FEA" w:rsidRPr="0038770B" w14:paraId="41546C1E" w14:textId="77777777" w:rsidTr="001C2730">
        <w:tc>
          <w:tcPr>
            <w:tcW w:w="2876" w:type="dxa"/>
            <w:shd w:val="clear" w:color="auto" w:fill="auto"/>
            <w:vAlign w:val="center"/>
          </w:tcPr>
          <w:p w14:paraId="472F9BE1"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sidRPr="0038770B">
              <w:rPr>
                <w:rFonts w:cs="Arial"/>
                <w:color w:val="000000"/>
                <w:sz w:val="22"/>
                <w:szCs w:val="22"/>
                <w:lang w:eastAsia="ko-KR" w:bidi="he-IL"/>
              </w:rPr>
              <w:t>100 mg</w:t>
            </w:r>
          </w:p>
        </w:tc>
        <w:tc>
          <w:tcPr>
            <w:tcW w:w="3429" w:type="dxa"/>
            <w:shd w:val="clear" w:color="auto" w:fill="auto"/>
            <w:vAlign w:val="center"/>
          </w:tcPr>
          <w:p w14:paraId="087BCF6C"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sidRPr="0038770B">
              <w:rPr>
                <w:rFonts w:cs="Arial"/>
                <w:color w:val="000000"/>
                <w:sz w:val="22"/>
                <w:szCs w:val="22"/>
                <w:lang w:eastAsia="ko-KR" w:bidi="he-IL"/>
              </w:rPr>
              <w:t>4 mL</w:t>
            </w:r>
          </w:p>
        </w:tc>
        <w:tc>
          <w:tcPr>
            <w:tcW w:w="2937" w:type="dxa"/>
            <w:vAlign w:val="center"/>
          </w:tcPr>
          <w:p w14:paraId="10D11D0E"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Pr>
                <w:rFonts w:cs="Arial"/>
                <w:color w:val="000000"/>
                <w:sz w:val="22"/>
                <w:szCs w:val="22"/>
                <w:lang w:eastAsia="ko-KR" w:bidi="he-IL"/>
              </w:rPr>
              <w:t>100 mL</w:t>
            </w:r>
          </w:p>
        </w:tc>
      </w:tr>
      <w:tr w:rsidR="00F97FEA" w:rsidRPr="0038770B" w14:paraId="29B85354" w14:textId="77777777" w:rsidTr="001C2730">
        <w:tc>
          <w:tcPr>
            <w:tcW w:w="2876" w:type="dxa"/>
            <w:shd w:val="clear" w:color="auto" w:fill="auto"/>
            <w:vAlign w:val="center"/>
          </w:tcPr>
          <w:p w14:paraId="5EC4800E"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sidRPr="0038770B">
              <w:rPr>
                <w:rFonts w:cs="Arial"/>
                <w:color w:val="000000"/>
                <w:sz w:val="22"/>
                <w:szCs w:val="22"/>
                <w:lang w:eastAsia="ko-KR" w:bidi="he-IL"/>
              </w:rPr>
              <w:t>900 mg</w:t>
            </w:r>
          </w:p>
        </w:tc>
        <w:tc>
          <w:tcPr>
            <w:tcW w:w="3429" w:type="dxa"/>
            <w:shd w:val="clear" w:color="auto" w:fill="auto"/>
            <w:vAlign w:val="center"/>
          </w:tcPr>
          <w:p w14:paraId="33718C07"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sidRPr="0038770B">
              <w:rPr>
                <w:rFonts w:cs="Arial"/>
                <w:color w:val="000000"/>
                <w:sz w:val="22"/>
                <w:szCs w:val="22"/>
                <w:lang w:eastAsia="ko-KR" w:bidi="he-IL"/>
              </w:rPr>
              <w:t>36 mL</w:t>
            </w:r>
          </w:p>
        </w:tc>
        <w:tc>
          <w:tcPr>
            <w:tcW w:w="2937" w:type="dxa"/>
            <w:vAlign w:val="center"/>
          </w:tcPr>
          <w:p w14:paraId="2615B472"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Pr>
                <w:rFonts w:cs="Arial"/>
                <w:color w:val="000000"/>
                <w:sz w:val="22"/>
                <w:szCs w:val="22"/>
                <w:lang w:eastAsia="ko-KR" w:bidi="he-IL"/>
              </w:rPr>
              <w:t>250 mL</w:t>
            </w:r>
          </w:p>
        </w:tc>
      </w:tr>
      <w:tr w:rsidR="00F97FEA" w:rsidRPr="0038770B" w14:paraId="00904536" w14:textId="77777777" w:rsidTr="001C2730">
        <w:tc>
          <w:tcPr>
            <w:tcW w:w="2876" w:type="dxa"/>
            <w:shd w:val="clear" w:color="auto" w:fill="auto"/>
            <w:vAlign w:val="center"/>
          </w:tcPr>
          <w:p w14:paraId="1F619628"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sidRPr="0038770B">
              <w:rPr>
                <w:rFonts w:cs="Arial"/>
                <w:color w:val="000000"/>
                <w:sz w:val="22"/>
                <w:szCs w:val="22"/>
                <w:lang w:eastAsia="ko-KR" w:bidi="he-IL"/>
              </w:rPr>
              <w:t>1000 mg</w:t>
            </w:r>
          </w:p>
        </w:tc>
        <w:tc>
          <w:tcPr>
            <w:tcW w:w="3429" w:type="dxa"/>
            <w:shd w:val="clear" w:color="auto" w:fill="auto"/>
            <w:vAlign w:val="center"/>
          </w:tcPr>
          <w:p w14:paraId="7DCA51CC"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sidRPr="0038770B">
              <w:rPr>
                <w:rFonts w:cs="Arial"/>
                <w:color w:val="000000"/>
                <w:sz w:val="22"/>
                <w:szCs w:val="22"/>
                <w:lang w:eastAsia="ko-KR" w:bidi="he-IL"/>
              </w:rPr>
              <w:t>40 mL</w:t>
            </w:r>
          </w:p>
        </w:tc>
        <w:tc>
          <w:tcPr>
            <w:tcW w:w="2937" w:type="dxa"/>
            <w:vAlign w:val="center"/>
          </w:tcPr>
          <w:p w14:paraId="55B0F412" w14:textId="77777777" w:rsidR="00F97FEA" w:rsidRPr="0038770B" w:rsidRDefault="00F97FEA" w:rsidP="00EB1206">
            <w:pPr>
              <w:pStyle w:val="TextTi12"/>
              <w:spacing w:before="40" w:after="40" w:line="240" w:lineRule="auto"/>
              <w:jc w:val="left"/>
              <w:rPr>
                <w:rFonts w:cs="Arial"/>
                <w:color w:val="000000"/>
                <w:sz w:val="22"/>
                <w:szCs w:val="22"/>
                <w:lang w:eastAsia="ko-KR" w:bidi="he-IL"/>
              </w:rPr>
            </w:pPr>
            <w:r>
              <w:rPr>
                <w:rFonts w:cs="Arial"/>
                <w:color w:val="000000"/>
                <w:sz w:val="22"/>
                <w:szCs w:val="22"/>
                <w:lang w:eastAsia="ko-KR" w:bidi="he-IL"/>
              </w:rPr>
              <w:t>250 mL</w:t>
            </w:r>
          </w:p>
        </w:tc>
      </w:tr>
    </w:tbl>
    <w:p w14:paraId="39BBE6F5" w14:textId="77777777" w:rsidR="00F97FEA" w:rsidRDefault="00F97FEA" w:rsidP="00EB1206">
      <w:pPr>
        <w:pStyle w:val="TextTi12"/>
        <w:spacing w:before="240" w:after="0" w:line="240" w:lineRule="auto"/>
        <w:jc w:val="left"/>
        <w:rPr>
          <w:rFonts w:cs="Arial"/>
          <w:color w:val="000000"/>
          <w:lang w:eastAsia="ko-KR" w:bidi="he-IL"/>
        </w:rPr>
      </w:pPr>
      <w:r w:rsidRPr="004B50F8">
        <w:rPr>
          <w:rFonts w:cs="Arial"/>
          <w:color w:val="000000"/>
          <w:lang w:eastAsia="ko-KR" w:bidi="he-IL"/>
        </w:rPr>
        <w:t xml:space="preserve">Parenteral drug products should be inspected visually for particulates and </w:t>
      </w:r>
      <w:proofErr w:type="spellStart"/>
      <w:r w:rsidRPr="004B50F8">
        <w:rPr>
          <w:rFonts w:cs="Arial"/>
          <w:color w:val="000000"/>
          <w:lang w:eastAsia="ko-KR" w:bidi="he-IL"/>
        </w:rPr>
        <w:t>discolouration</w:t>
      </w:r>
      <w:proofErr w:type="spellEnd"/>
      <w:r w:rsidRPr="004B50F8">
        <w:rPr>
          <w:rFonts w:cs="Arial"/>
          <w:color w:val="000000"/>
          <w:lang w:eastAsia="ko-KR" w:bidi="he-IL"/>
        </w:rPr>
        <w:t xml:space="preserve"> prior to administration.</w:t>
      </w:r>
    </w:p>
    <w:p w14:paraId="789823A3" w14:textId="77777777" w:rsidR="00D52399" w:rsidRDefault="00F97FEA" w:rsidP="00EB1206">
      <w:pPr>
        <w:pStyle w:val="TextTi12"/>
        <w:spacing w:before="240" w:line="280" w:lineRule="exact"/>
        <w:jc w:val="left"/>
        <w:rPr>
          <w:i/>
        </w:rPr>
      </w:pPr>
      <w:r>
        <w:t>Gazyva</w:t>
      </w:r>
      <w:r w:rsidRPr="004B50F8">
        <w:rPr>
          <w:rFonts w:cs="Arial"/>
          <w:color w:val="000000"/>
          <w:lang w:eastAsia="ko-KR" w:bidi="he-IL"/>
        </w:rPr>
        <w:t xml:space="preserve"> is for single use in one patient only. Once the infusion is prepared it should be administered immediately (see </w:t>
      </w:r>
      <w:r w:rsidR="002A10A0">
        <w:rPr>
          <w:rFonts w:cs="Arial"/>
          <w:color w:val="000000"/>
          <w:lang w:eastAsia="ko-KR" w:bidi="he-IL"/>
        </w:rPr>
        <w:t>section 6.4 Special precautions for storage</w:t>
      </w:r>
      <w:r w:rsidRPr="004B50F8">
        <w:rPr>
          <w:rFonts w:cs="Arial"/>
          <w:color w:val="000000"/>
          <w:lang w:eastAsia="ko-KR" w:bidi="he-IL"/>
        </w:rPr>
        <w:t>).</w:t>
      </w:r>
    </w:p>
    <w:p w14:paraId="7F9C1953" w14:textId="77777777" w:rsidR="00D52399" w:rsidRDefault="00902EBE" w:rsidP="00EB1206">
      <w:pPr>
        <w:pStyle w:val="Heading2"/>
        <w:numPr>
          <w:ilvl w:val="1"/>
          <w:numId w:val="2"/>
        </w:numPr>
        <w:ind w:left="0" w:firstLine="0"/>
      </w:pPr>
      <w:r>
        <w:t>CONTRAINDICATIONS</w:t>
      </w:r>
    </w:p>
    <w:p w14:paraId="228481C3" w14:textId="7FDD2C6E" w:rsidR="001A3849" w:rsidRPr="001A3849" w:rsidRDefault="001A3849" w:rsidP="00EB1206">
      <w:r w:rsidRPr="001A3849">
        <w:t>Gazyva is contraindicated in patients with a known hypersensitivity to obinutuzumab, murine proteins or to any of the excipients.</w:t>
      </w:r>
    </w:p>
    <w:p w14:paraId="5072CC03" w14:textId="77777777" w:rsidR="00D52399" w:rsidRDefault="00902EBE" w:rsidP="00EB1206">
      <w:pPr>
        <w:pStyle w:val="Heading2"/>
      </w:pPr>
      <w:r>
        <w:t>4.4</w:t>
      </w:r>
      <w:r>
        <w:tab/>
        <w:t>SPECIAL WARNINGS AND PRECAUTIONS FOR USE</w:t>
      </w:r>
    </w:p>
    <w:p w14:paraId="5F097571" w14:textId="77777777" w:rsidR="001A3849" w:rsidRDefault="001A3849" w:rsidP="00EB1206">
      <w:proofErr w:type="gramStart"/>
      <w:r w:rsidRPr="00A72BEF">
        <w:t>In order to</w:t>
      </w:r>
      <w:proofErr w:type="gramEnd"/>
      <w:r w:rsidRPr="00A72BEF">
        <w:t xml:space="preserve"> improve traceability of biological medicinal products, the trade name </w:t>
      </w:r>
      <w:r>
        <w:t xml:space="preserve">and batch number </w:t>
      </w:r>
      <w:r w:rsidRPr="00A72BEF">
        <w:t>of the administered product should be clearly recorded in the patient medical record.</w:t>
      </w:r>
    </w:p>
    <w:p w14:paraId="08EB4E8A" w14:textId="77777777" w:rsidR="001A3849" w:rsidRPr="00A72BEF" w:rsidRDefault="001A3849" w:rsidP="00EB1206">
      <w:pPr>
        <w:spacing w:before="240"/>
      </w:pPr>
      <w:r w:rsidRPr="00803EC6">
        <w:t>I</w:t>
      </w:r>
      <w:r>
        <w:t>n s</w:t>
      </w:r>
      <w:r w:rsidRPr="00803EC6">
        <w:t>tudy BO21223</w:t>
      </w:r>
      <w:r>
        <w:t xml:space="preserve"> of patients with previously untreated follicular lymphoma (FL)</w:t>
      </w:r>
      <w:r w:rsidRPr="00803EC6">
        <w:t>, G</w:t>
      </w:r>
      <w:r>
        <w:t>azyva</w:t>
      </w:r>
      <w:r w:rsidRPr="00803EC6">
        <w:t xml:space="preserve"> plus chemotherapy compared with rituximab plus chemotherapy demonstrated a higher incidence of adverse events</w:t>
      </w:r>
      <w:r>
        <w:t xml:space="preserve"> (AEs)</w:t>
      </w:r>
      <w:r w:rsidRPr="00803EC6">
        <w:t>, in particular serious AEs, Grade 3-5 AEs and infections. Prescribers should consider this when choosing to prescribe G</w:t>
      </w:r>
      <w:r>
        <w:t>azyva for patients with previously untreated FL</w:t>
      </w:r>
      <w:r w:rsidRPr="00803EC6">
        <w:t xml:space="preserve">, particularly for patients </w:t>
      </w:r>
      <w:r>
        <w:t xml:space="preserve">who are </w:t>
      </w:r>
      <w:r w:rsidRPr="00803EC6">
        <w:t>older age (65 years a</w:t>
      </w:r>
      <w:r>
        <w:t>nd over)</w:t>
      </w:r>
      <w:r w:rsidRPr="00803EC6">
        <w:t>, or</w:t>
      </w:r>
      <w:r>
        <w:t xml:space="preserve"> have</w:t>
      </w:r>
      <w:r w:rsidRPr="00803EC6">
        <w:t xml:space="preserve"> reduced renal function.</w:t>
      </w:r>
    </w:p>
    <w:p w14:paraId="4630B97B" w14:textId="77777777" w:rsidR="001A3849" w:rsidRDefault="001A3849" w:rsidP="00EB1206">
      <w:pPr>
        <w:pStyle w:val="Heading3"/>
        <w:rPr>
          <w:lang w:val="en-GB"/>
        </w:rPr>
      </w:pPr>
      <w:r>
        <w:rPr>
          <w:lang w:val="en-GB"/>
        </w:rPr>
        <w:t>Infusion Related Reactions (IRRs)</w:t>
      </w:r>
    </w:p>
    <w:p w14:paraId="56488A1C" w14:textId="77777777" w:rsidR="001A3849" w:rsidRDefault="001A3849" w:rsidP="00EB1206">
      <w:pPr>
        <w:spacing w:after="240"/>
        <w:rPr>
          <w:lang w:val="en-GB"/>
        </w:rPr>
      </w:pPr>
      <w:r w:rsidRPr="00A72BEF">
        <w:rPr>
          <w:lang w:val="en-GB"/>
        </w:rPr>
        <w:t xml:space="preserve">The most frequently observed adverse drug reactions (ADRs) in patients receiving </w:t>
      </w:r>
      <w:r>
        <w:rPr>
          <w:lang w:val="en-US"/>
        </w:rPr>
        <w:t>Gazyva</w:t>
      </w:r>
      <w:r w:rsidRPr="00A72BEF">
        <w:rPr>
          <w:lang w:val="en-GB"/>
        </w:rPr>
        <w:t xml:space="preserve"> were infusion related reactions (IRR</w:t>
      </w:r>
      <w:r>
        <w:rPr>
          <w:lang w:val="en-GB"/>
        </w:rPr>
        <w:t>s</w:t>
      </w:r>
      <w:r w:rsidRPr="00A72BEF">
        <w:rPr>
          <w:lang w:val="en-GB"/>
        </w:rPr>
        <w:t xml:space="preserve">) which occurred predominantly during </w:t>
      </w:r>
      <w:r>
        <w:rPr>
          <w:lang w:val="en-GB"/>
        </w:rPr>
        <w:t xml:space="preserve">infusion of </w:t>
      </w:r>
      <w:r w:rsidRPr="00A72BEF">
        <w:rPr>
          <w:lang w:val="en-GB"/>
        </w:rPr>
        <w:t xml:space="preserve">the first </w:t>
      </w:r>
      <w:r>
        <w:rPr>
          <w:lang w:val="en-GB"/>
        </w:rPr>
        <w:t>1000 mg</w:t>
      </w:r>
      <w:r w:rsidRPr="00A72BEF">
        <w:rPr>
          <w:lang w:val="en-GB"/>
        </w:rPr>
        <w:t xml:space="preserve">. </w:t>
      </w:r>
    </w:p>
    <w:p w14:paraId="37E739A0" w14:textId="36CB1FB9" w:rsidR="001A3849" w:rsidRPr="00A72BEF" w:rsidRDefault="001A3849" w:rsidP="00EB1206">
      <w:pPr>
        <w:spacing w:after="240"/>
        <w:rPr>
          <w:lang w:val="en-GB"/>
        </w:rPr>
      </w:pPr>
      <w:r w:rsidRPr="00A72BEF">
        <w:rPr>
          <w:lang w:val="en-GB"/>
        </w:rPr>
        <w:t xml:space="preserve">In </w:t>
      </w:r>
      <w:r>
        <w:rPr>
          <w:lang w:val="en-GB"/>
        </w:rPr>
        <w:t xml:space="preserve">CLL </w:t>
      </w:r>
      <w:r w:rsidRPr="00A72BEF">
        <w:rPr>
          <w:lang w:val="en-GB"/>
        </w:rPr>
        <w:t xml:space="preserve">patients who received the </w:t>
      </w:r>
      <w:r>
        <w:rPr>
          <w:lang w:val="en-GB"/>
        </w:rPr>
        <w:t>combined measures for prevention of IRRs (corticosteroid; oral analgesic/</w:t>
      </w:r>
      <w:proofErr w:type="gramStart"/>
      <w:r>
        <w:rPr>
          <w:lang w:val="en-GB"/>
        </w:rPr>
        <w:t>anti-histamine</w:t>
      </w:r>
      <w:proofErr w:type="gramEnd"/>
      <w:r>
        <w:rPr>
          <w:lang w:val="en-GB"/>
        </w:rPr>
        <w:t xml:space="preserve"> (H1 histamine receptor blockade); omission of antihypertensive medication in the morning of the first infusion; Cycle 1 Day 1 dose administered over 1 or 2 days; see </w:t>
      </w:r>
      <w:r w:rsidR="002A10A0">
        <w:rPr>
          <w:lang w:val="en-GB"/>
        </w:rPr>
        <w:t>section 4.2 Dose and method of administration</w:t>
      </w:r>
      <w:r>
        <w:rPr>
          <w:lang w:val="en-GB"/>
        </w:rPr>
        <w:t xml:space="preserve">) </w:t>
      </w:r>
      <w:r w:rsidRPr="00A72BEF">
        <w:rPr>
          <w:lang w:val="en-GB"/>
        </w:rPr>
        <w:t xml:space="preserve">decreased incidence of IRRs </w:t>
      </w:r>
      <w:r>
        <w:rPr>
          <w:lang w:val="en-GB"/>
        </w:rPr>
        <w:t xml:space="preserve">of all </w:t>
      </w:r>
      <w:r>
        <w:rPr>
          <w:lang w:val="en-GB"/>
        </w:rPr>
        <w:lastRenderedPageBreak/>
        <w:t xml:space="preserve">Grades </w:t>
      </w:r>
      <w:r w:rsidRPr="00A72BEF">
        <w:rPr>
          <w:lang w:val="en-GB"/>
        </w:rPr>
        <w:t>was observed.</w:t>
      </w:r>
      <w:r>
        <w:rPr>
          <w:lang w:val="en-GB"/>
        </w:rPr>
        <w:t xml:space="preserve"> The incidence of IRRs was independent of the corticosteroid pre-medication given (</w:t>
      </w:r>
      <w:r w:rsidRPr="009427F1">
        <w:rPr>
          <w:lang w:val="en-GB"/>
        </w:rPr>
        <w:t>prednisone/prednisolone or methylprednisolone/</w:t>
      </w:r>
      <w:r>
        <w:rPr>
          <w:lang w:val="en-GB"/>
        </w:rPr>
        <w:t xml:space="preserve"> </w:t>
      </w:r>
      <w:r w:rsidRPr="009427F1">
        <w:rPr>
          <w:lang w:val="en-GB"/>
        </w:rPr>
        <w:t>dexamethasone</w:t>
      </w:r>
      <w:r>
        <w:rPr>
          <w:lang w:val="en-GB"/>
        </w:rPr>
        <w:t xml:space="preserve">). </w:t>
      </w:r>
      <w:r w:rsidRPr="008340DA">
        <w:rPr>
          <w:lang w:val="en-GB"/>
        </w:rPr>
        <w:t xml:space="preserve">The </w:t>
      </w:r>
      <w:r>
        <w:rPr>
          <w:lang w:val="en-GB"/>
        </w:rPr>
        <w:t xml:space="preserve">incidence </w:t>
      </w:r>
      <w:r w:rsidRPr="008340DA">
        <w:rPr>
          <w:lang w:val="en-GB"/>
        </w:rPr>
        <w:t xml:space="preserve">of Grade 3-4 IRRs </w:t>
      </w:r>
      <w:r>
        <w:rPr>
          <w:lang w:val="en-GB"/>
        </w:rPr>
        <w:t xml:space="preserve">(which were based on a relatively small number of patients) </w:t>
      </w:r>
      <w:r w:rsidRPr="008340DA">
        <w:rPr>
          <w:lang w:val="en-GB"/>
        </w:rPr>
        <w:t>were similar before and after mitig</w:t>
      </w:r>
      <w:r>
        <w:rPr>
          <w:lang w:val="en-GB"/>
        </w:rPr>
        <w:t xml:space="preserve">ation measures were implemented. Mitigation measures to reduce IRRs should be followed (see </w:t>
      </w:r>
      <w:r w:rsidR="002A10A0">
        <w:rPr>
          <w:lang w:val="en-GB"/>
        </w:rPr>
        <w:t>section 4.2 Dose and method of administration</w:t>
      </w:r>
      <w:r>
        <w:rPr>
          <w:lang w:val="en-GB"/>
        </w:rPr>
        <w:t>).</w:t>
      </w:r>
      <w:r w:rsidRPr="00A72BEF">
        <w:rPr>
          <w:lang w:val="en-GB"/>
        </w:rPr>
        <w:t xml:space="preserve"> The incidence and severity of infusion-related symptoms decreased substantially </w:t>
      </w:r>
      <w:r>
        <w:rPr>
          <w:lang w:val="en-GB"/>
        </w:rPr>
        <w:t>after the first 1000 mg was infused</w:t>
      </w:r>
      <w:r w:rsidRPr="00A72BEF">
        <w:rPr>
          <w:lang w:val="en-GB"/>
        </w:rPr>
        <w:t>, with most patients having no IRRs d</w:t>
      </w:r>
      <w:r>
        <w:rPr>
          <w:lang w:val="en-GB"/>
        </w:rPr>
        <w:t xml:space="preserve">uring </w:t>
      </w:r>
      <w:r w:rsidRPr="00A72BEF">
        <w:rPr>
          <w:lang w:val="en-GB"/>
        </w:rPr>
        <w:t xml:space="preserve">subsequent administrations of </w:t>
      </w:r>
      <w:r>
        <w:rPr>
          <w:lang w:val="en-US"/>
        </w:rPr>
        <w:t>Gazyva</w:t>
      </w:r>
      <w:r w:rsidRPr="00A72BEF">
        <w:rPr>
          <w:lang w:val="en-GB"/>
        </w:rPr>
        <w:t xml:space="preserve"> (see </w:t>
      </w:r>
      <w:r w:rsidR="002A10A0">
        <w:rPr>
          <w:lang w:val="en-GB"/>
        </w:rPr>
        <w:t xml:space="preserve">section 4.8 </w:t>
      </w:r>
      <w:r w:rsidR="002A10A0" w:rsidRPr="00A72BEF">
        <w:rPr>
          <w:lang w:val="en-GB"/>
        </w:rPr>
        <w:t>Adverse Effects</w:t>
      </w:r>
      <w:r w:rsidR="00616FE6">
        <w:rPr>
          <w:lang w:val="en-GB"/>
        </w:rPr>
        <w:t xml:space="preserve"> </w:t>
      </w:r>
      <w:r w:rsidR="002A10A0">
        <w:rPr>
          <w:lang w:val="en-GB"/>
        </w:rPr>
        <w:t>(Undesirable Effects</w:t>
      </w:r>
      <w:r w:rsidRPr="00A72BEF">
        <w:rPr>
          <w:lang w:val="en-GB"/>
        </w:rPr>
        <w:t>)</w:t>
      </w:r>
      <w:r w:rsidR="002204E5">
        <w:rPr>
          <w:lang w:val="en-GB"/>
        </w:rPr>
        <w:t>)</w:t>
      </w:r>
      <w:r w:rsidRPr="00A72BEF">
        <w:rPr>
          <w:lang w:val="en-GB"/>
        </w:rPr>
        <w:t>.</w:t>
      </w:r>
    </w:p>
    <w:p w14:paraId="3C9A86B7" w14:textId="2F8A7D27" w:rsidR="001A3849" w:rsidRPr="00A72BEF" w:rsidRDefault="001A3849" w:rsidP="00EB1206">
      <w:pPr>
        <w:spacing w:after="240"/>
        <w:rPr>
          <w:lang w:val="en-GB"/>
        </w:rPr>
      </w:pPr>
      <w:r w:rsidRPr="00A72BEF">
        <w:rPr>
          <w:lang w:val="en-GB"/>
        </w:rPr>
        <w:t xml:space="preserve">In </w:t>
      </w:r>
      <w:proofErr w:type="gramStart"/>
      <w:r w:rsidRPr="00A72BEF">
        <w:rPr>
          <w:lang w:val="en-GB"/>
        </w:rPr>
        <w:t>the majority of</w:t>
      </w:r>
      <w:proofErr w:type="gramEnd"/>
      <w:r w:rsidRPr="00A72BEF">
        <w:rPr>
          <w:lang w:val="en-GB"/>
        </w:rPr>
        <w:t xml:space="preserve"> patients,</w:t>
      </w:r>
      <w:r>
        <w:rPr>
          <w:lang w:val="en-GB"/>
        </w:rPr>
        <w:t xml:space="preserve"> irrespective of indication,</w:t>
      </w:r>
      <w:r w:rsidRPr="00A72BEF">
        <w:rPr>
          <w:lang w:val="en-GB"/>
        </w:rPr>
        <w:t xml:space="preserve"> IRRs were mild to moderate and could be managed by the slowing or temporary halting of the first infusion, but severe and life-threatening IRRs requiring symptomatic treatment have also been reported. IRRs may be clinically indistinguishable from </w:t>
      </w:r>
      <w:proofErr w:type="spellStart"/>
      <w:r w:rsidRPr="00A72BEF">
        <w:rPr>
          <w:lang w:val="en-GB"/>
        </w:rPr>
        <w:t>IgE</w:t>
      </w:r>
      <w:proofErr w:type="spellEnd"/>
      <w:r w:rsidRPr="00A72BEF">
        <w:rPr>
          <w:lang w:val="en-GB"/>
        </w:rPr>
        <w:t xml:space="preserve"> mediated allergic reactions (e.g. anaphylaxis). Patients with a high tumour burden </w:t>
      </w:r>
      <w:r>
        <w:rPr>
          <w:lang w:val="en-GB"/>
        </w:rPr>
        <w:t xml:space="preserve">and/or </w:t>
      </w:r>
      <w:r w:rsidRPr="00A72BEF">
        <w:rPr>
          <w:lang w:val="en-GB"/>
        </w:rPr>
        <w:t xml:space="preserve">high </w:t>
      </w:r>
      <w:r>
        <w:rPr>
          <w:lang w:val="en-GB"/>
        </w:rPr>
        <w:t>circulating</w:t>
      </w:r>
      <w:r w:rsidRPr="00A72BEF">
        <w:rPr>
          <w:lang w:val="en-GB"/>
        </w:rPr>
        <w:t xml:space="preserve"> lymphocyte count in CLL (&gt; 25 x 10</w:t>
      </w:r>
      <w:r w:rsidRPr="006E79C7">
        <w:rPr>
          <w:vertAlign w:val="superscript"/>
          <w:lang w:val="en-GB"/>
        </w:rPr>
        <w:t>9</w:t>
      </w:r>
      <w:r w:rsidRPr="00A72BEF">
        <w:rPr>
          <w:lang w:val="en-GB"/>
        </w:rPr>
        <w:t xml:space="preserve">/L) may be at increased risk of severe IRR. See </w:t>
      </w:r>
      <w:r w:rsidR="002A10A0">
        <w:rPr>
          <w:lang w:val="en-GB"/>
        </w:rPr>
        <w:t>section 4.2 Dose and method of administration</w:t>
      </w:r>
      <w:r w:rsidRPr="00A72BEF">
        <w:rPr>
          <w:lang w:val="en-GB"/>
        </w:rPr>
        <w:t xml:space="preserve"> for information on prophylaxis</w:t>
      </w:r>
      <w:r>
        <w:rPr>
          <w:lang w:val="en-GB"/>
        </w:rPr>
        <w:t xml:space="preserve"> and Table </w:t>
      </w:r>
      <w:r w:rsidR="005D2569">
        <w:rPr>
          <w:lang w:val="en-GB"/>
        </w:rPr>
        <w:t>5</w:t>
      </w:r>
      <w:r w:rsidR="00770C11">
        <w:rPr>
          <w:lang w:val="en-GB"/>
        </w:rPr>
        <w:t xml:space="preserve"> </w:t>
      </w:r>
      <w:r>
        <w:rPr>
          <w:lang w:val="en-GB"/>
        </w:rPr>
        <w:t>for advice on how to manage IRRs based on Grade of reaction</w:t>
      </w:r>
      <w:r w:rsidRPr="00A72BEF">
        <w:rPr>
          <w:lang w:val="en-GB"/>
        </w:rPr>
        <w:t>.</w:t>
      </w:r>
    </w:p>
    <w:p w14:paraId="0F2F0149" w14:textId="77777777" w:rsidR="001A3849" w:rsidRDefault="001A3849" w:rsidP="00EB1206">
      <w:pPr>
        <w:rPr>
          <w:lang w:val="en-GB"/>
        </w:rPr>
      </w:pPr>
      <w:r w:rsidRPr="00A72BEF">
        <w:rPr>
          <w:lang w:val="en-GB"/>
        </w:rPr>
        <w:t xml:space="preserve">Patients should not receive further </w:t>
      </w:r>
      <w:r>
        <w:rPr>
          <w:lang w:val="en-US"/>
        </w:rPr>
        <w:t>Gazyva</w:t>
      </w:r>
      <w:r>
        <w:rPr>
          <w:lang w:val="en-GB"/>
        </w:rPr>
        <w:t xml:space="preserve"> infusions if they experience:</w:t>
      </w:r>
    </w:p>
    <w:p w14:paraId="19510917" w14:textId="77777777" w:rsidR="001A3849" w:rsidRDefault="001A3849" w:rsidP="00EB1206">
      <w:pPr>
        <w:numPr>
          <w:ilvl w:val="0"/>
          <w:numId w:val="8"/>
        </w:numPr>
        <w:pBdr>
          <w:top w:val="none" w:sz="0" w:space="0" w:color="auto"/>
          <w:left w:val="none" w:sz="0" w:space="0" w:color="auto"/>
          <w:bottom w:val="none" w:sz="0" w:space="0" w:color="auto"/>
          <w:right w:val="none" w:sz="0" w:space="0" w:color="auto"/>
          <w:between w:val="none" w:sz="0" w:space="0" w:color="auto"/>
        </w:pBdr>
        <w:rPr>
          <w:lang w:val="en-GB"/>
        </w:rPr>
      </w:pPr>
      <w:r w:rsidRPr="00A72BEF">
        <w:rPr>
          <w:lang w:val="en-GB"/>
        </w:rPr>
        <w:t>acute life-threatening respiratory symptoms,</w:t>
      </w:r>
    </w:p>
    <w:p w14:paraId="54D67A57" w14:textId="77777777" w:rsidR="001A3849" w:rsidRDefault="001A3849" w:rsidP="00EB1206">
      <w:pPr>
        <w:numPr>
          <w:ilvl w:val="0"/>
          <w:numId w:val="8"/>
        </w:numPr>
        <w:pBdr>
          <w:top w:val="none" w:sz="0" w:space="0" w:color="auto"/>
          <w:left w:val="none" w:sz="0" w:space="0" w:color="auto"/>
          <w:bottom w:val="none" w:sz="0" w:space="0" w:color="auto"/>
          <w:right w:val="none" w:sz="0" w:space="0" w:color="auto"/>
          <w:between w:val="none" w:sz="0" w:space="0" w:color="auto"/>
        </w:pBdr>
        <w:rPr>
          <w:lang w:val="en-GB"/>
        </w:rPr>
      </w:pPr>
      <w:r>
        <w:rPr>
          <w:lang w:val="en-GB"/>
        </w:rPr>
        <w:t xml:space="preserve">other life-threatening anaphylactoid symptoms, </w:t>
      </w:r>
    </w:p>
    <w:p w14:paraId="43204448" w14:textId="77777777" w:rsidR="001A3849" w:rsidRDefault="001A3849" w:rsidP="00EB1206">
      <w:pPr>
        <w:numPr>
          <w:ilvl w:val="0"/>
          <w:numId w:val="8"/>
        </w:numPr>
        <w:pBdr>
          <w:top w:val="none" w:sz="0" w:space="0" w:color="auto"/>
          <w:left w:val="none" w:sz="0" w:space="0" w:color="auto"/>
          <w:bottom w:val="none" w:sz="0" w:space="0" w:color="auto"/>
          <w:right w:val="none" w:sz="0" w:space="0" w:color="auto"/>
          <w:between w:val="none" w:sz="0" w:space="0" w:color="auto"/>
        </w:pBdr>
        <w:rPr>
          <w:lang w:val="en-GB"/>
        </w:rPr>
      </w:pPr>
      <w:r w:rsidRPr="00861B43">
        <w:rPr>
          <w:lang w:val="en-GB"/>
        </w:rPr>
        <w:t>a Grade 4 (i.e. life-threatening) IRR or,</w:t>
      </w:r>
    </w:p>
    <w:p w14:paraId="47E84E7B" w14:textId="77777777" w:rsidR="001A3849" w:rsidRPr="00861B43" w:rsidRDefault="001A3849" w:rsidP="00EB1206">
      <w:pPr>
        <w:numPr>
          <w:ilvl w:val="0"/>
          <w:numId w:val="8"/>
        </w:numPr>
        <w:pBdr>
          <w:top w:val="none" w:sz="0" w:space="0" w:color="auto"/>
          <w:left w:val="none" w:sz="0" w:space="0" w:color="auto"/>
          <w:bottom w:val="none" w:sz="0" w:space="0" w:color="auto"/>
          <w:right w:val="none" w:sz="0" w:space="0" w:color="auto"/>
          <w:between w:val="none" w:sz="0" w:space="0" w:color="auto"/>
        </w:pBdr>
        <w:spacing w:after="240"/>
        <w:rPr>
          <w:lang w:val="en-GB"/>
        </w:rPr>
      </w:pPr>
      <w:r w:rsidRPr="00861B43">
        <w:rPr>
          <w:lang w:val="en-GB"/>
        </w:rPr>
        <w:t>a second occurrence of a Grade 3 (prolonged/recurrent) IRR (after resuming the first infusion or during a subsequent infusion)</w:t>
      </w:r>
    </w:p>
    <w:p w14:paraId="361793BC" w14:textId="77777777" w:rsidR="001A3849" w:rsidRPr="00A72BEF" w:rsidRDefault="001A3849" w:rsidP="00EB1206">
      <w:pPr>
        <w:rPr>
          <w:lang w:val="en-GB"/>
        </w:rPr>
      </w:pPr>
      <w:r w:rsidRPr="00A72BEF">
        <w:rPr>
          <w:lang w:val="en-GB"/>
        </w:rPr>
        <w:t xml:space="preserve">Patients who have pre-existing cardiac or pulmonary conditions should be monitored carefully throughout the infusion and the post-infusion period. Hypotension may occur during </w:t>
      </w:r>
      <w:r>
        <w:rPr>
          <w:lang w:val="en-US"/>
        </w:rPr>
        <w:t>Gazyva</w:t>
      </w:r>
      <w:r w:rsidRPr="00A72BEF">
        <w:rPr>
          <w:lang w:val="en-GB"/>
        </w:rPr>
        <w:t xml:space="preserve"> intravenous infusions. Therefore, withholding of antihypertensive treatments should be considered for 12 hours prior to and throughout each </w:t>
      </w:r>
      <w:r>
        <w:rPr>
          <w:lang w:val="en-US"/>
        </w:rPr>
        <w:t>Gazyva</w:t>
      </w:r>
      <w:r w:rsidRPr="00A72BEF">
        <w:rPr>
          <w:lang w:val="en-GB"/>
        </w:rPr>
        <w:t xml:space="preserve"> infusion, and for the first hour after administration. Patients at acute risk of hypertensive crisis should be evaluated for the benefits and risks of withholding th</w:t>
      </w:r>
      <w:r>
        <w:rPr>
          <w:lang w:val="en-GB"/>
        </w:rPr>
        <w:t>eir anti-hypertensive medication</w:t>
      </w:r>
      <w:r w:rsidRPr="00A72BEF">
        <w:rPr>
          <w:lang w:val="en-GB"/>
        </w:rPr>
        <w:t>.</w:t>
      </w:r>
    </w:p>
    <w:p w14:paraId="418B5EFA" w14:textId="77777777" w:rsidR="001A3849" w:rsidRDefault="001A3849" w:rsidP="00EB1206">
      <w:pPr>
        <w:pStyle w:val="Heading3"/>
        <w:rPr>
          <w:lang w:val="en-GB"/>
        </w:rPr>
      </w:pPr>
      <w:r>
        <w:rPr>
          <w:lang w:val="en-GB"/>
        </w:rPr>
        <w:t>Hypersensitivity reactions</w:t>
      </w:r>
    </w:p>
    <w:p w14:paraId="1AC761D5" w14:textId="77777777" w:rsidR="001A3849" w:rsidRDefault="001A3849" w:rsidP="00EB1206">
      <w:pPr>
        <w:spacing w:after="240"/>
        <w:rPr>
          <w:lang w:val="en-GB"/>
        </w:rPr>
      </w:pPr>
      <w:r w:rsidRPr="00E21CD1">
        <w:rPr>
          <w:lang w:val="en-GB"/>
        </w:rPr>
        <w:t xml:space="preserve">Hypersensitivity </w:t>
      </w:r>
      <w:r>
        <w:rPr>
          <w:lang w:val="en-GB"/>
        </w:rPr>
        <w:t xml:space="preserve">reactions with immediate (e.g. anaphylaxis) and delayed onset (e.g. serum sickness) </w:t>
      </w:r>
      <w:r w:rsidRPr="00E21CD1">
        <w:rPr>
          <w:lang w:val="en-GB"/>
        </w:rPr>
        <w:t>ha</w:t>
      </w:r>
      <w:r>
        <w:rPr>
          <w:lang w:val="en-GB"/>
        </w:rPr>
        <w:t>ve</w:t>
      </w:r>
      <w:r w:rsidRPr="00E21CD1">
        <w:rPr>
          <w:lang w:val="en-GB"/>
        </w:rPr>
        <w:t xml:space="preserve"> been reported in patients treated with </w:t>
      </w:r>
      <w:r>
        <w:rPr>
          <w:lang w:val="en-US"/>
        </w:rPr>
        <w:t>Gazyva</w:t>
      </w:r>
      <w:r w:rsidRPr="00E21CD1">
        <w:rPr>
          <w:lang w:val="en-GB"/>
        </w:rPr>
        <w:t>. If a hypersensitivity reaction is suspected during</w:t>
      </w:r>
      <w:r>
        <w:rPr>
          <w:lang w:val="en-GB"/>
        </w:rPr>
        <w:t xml:space="preserve"> or after an</w:t>
      </w:r>
      <w:r w:rsidRPr="00E21CD1">
        <w:rPr>
          <w:lang w:val="en-GB"/>
        </w:rPr>
        <w:t xml:space="preserve"> infusion (e.g. symptoms typically occurring after previous exposure and very rarely with the first infusion), the infusion should be stopped</w:t>
      </w:r>
      <w:r>
        <w:rPr>
          <w:lang w:val="en-GB"/>
        </w:rPr>
        <w:t>, appropriate treatment of the hypersensitivity reaction should be commenced,</w:t>
      </w:r>
      <w:r w:rsidRPr="00E21CD1">
        <w:rPr>
          <w:lang w:val="en-GB"/>
        </w:rPr>
        <w:t xml:space="preserve"> and </w:t>
      </w:r>
      <w:r>
        <w:rPr>
          <w:lang w:val="en-US"/>
        </w:rPr>
        <w:t>Gazyva</w:t>
      </w:r>
      <w:r>
        <w:rPr>
          <w:lang w:val="en-GB"/>
        </w:rPr>
        <w:t xml:space="preserve"> </w:t>
      </w:r>
      <w:r w:rsidRPr="00E21CD1">
        <w:rPr>
          <w:lang w:val="en-GB"/>
        </w:rPr>
        <w:t xml:space="preserve">treatment permanently discontinued. Patients with known hypersensitivity to </w:t>
      </w:r>
      <w:r>
        <w:rPr>
          <w:lang w:val="en-US"/>
        </w:rPr>
        <w:t>Gazyva</w:t>
      </w:r>
      <w:r w:rsidRPr="00E21CD1">
        <w:rPr>
          <w:lang w:val="en-GB"/>
        </w:rPr>
        <w:t xml:space="preserve"> </w:t>
      </w:r>
      <w:r>
        <w:rPr>
          <w:lang w:val="en-GB"/>
        </w:rPr>
        <w:t>must</w:t>
      </w:r>
      <w:r w:rsidRPr="00E21CD1">
        <w:rPr>
          <w:lang w:val="en-GB"/>
        </w:rPr>
        <w:t xml:space="preserve"> not be treated (see </w:t>
      </w:r>
      <w:r w:rsidR="00616FE6">
        <w:rPr>
          <w:lang w:val="en-GB"/>
        </w:rPr>
        <w:t xml:space="preserve">section 4.3 </w:t>
      </w:r>
      <w:r w:rsidR="00616FE6" w:rsidRPr="00E21CD1">
        <w:rPr>
          <w:lang w:val="en-GB"/>
        </w:rPr>
        <w:t>Contraindications</w:t>
      </w:r>
      <w:r w:rsidRPr="00E21CD1">
        <w:rPr>
          <w:lang w:val="en-GB"/>
        </w:rPr>
        <w:t>).</w:t>
      </w:r>
      <w:r>
        <w:rPr>
          <w:lang w:val="en-GB"/>
        </w:rPr>
        <w:t xml:space="preserve"> Hypersensitivity may be clinically difficult to distinguish from IRRs.</w:t>
      </w:r>
    </w:p>
    <w:p w14:paraId="6E00E704" w14:textId="77777777" w:rsidR="001A3849" w:rsidRPr="00E21CD1" w:rsidRDefault="001A3849" w:rsidP="00EB1206">
      <w:pPr>
        <w:rPr>
          <w:lang w:val="en-GB"/>
        </w:rPr>
      </w:pPr>
      <w:r w:rsidRPr="0003515E">
        <w:rPr>
          <w:lang w:val="en-GB"/>
        </w:rPr>
        <w:t>In a 26-week cynomolgus monkey study, hypers</w:t>
      </w:r>
      <w:r>
        <w:rPr>
          <w:lang w:val="en-GB"/>
        </w:rPr>
        <w:t xml:space="preserve">ensitivity reactions were noted and attributed </w:t>
      </w:r>
      <w:r w:rsidRPr="0003515E">
        <w:rPr>
          <w:lang w:val="en-GB"/>
        </w:rPr>
        <w:t>to the foreign recogniti</w:t>
      </w:r>
      <w:r>
        <w:rPr>
          <w:lang w:val="en-GB"/>
        </w:rPr>
        <w:t>on of the humanised antibody in cynomolgus monkeys [</w:t>
      </w:r>
      <w:proofErr w:type="spellStart"/>
      <w:r>
        <w:rPr>
          <w:lang w:val="en-GB"/>
        </w:rPr>
        <w:t>C</w:t>
      </w:r>
      <w:r w:rsidRPr="0003515E">
        <w:rPr>
          <w:vertAlign w:val="subscript"/>
          <w:lang w:val="en-GB"/>
        </w:rPr>
        <w:t>max</w:t>
      </w:r>
      <w:proofErr w:type="spellEnd"/>
      <w:r>
        <w:rPr>
          <w:lang w:val="en-GB"/>
        </w:rPr>
        <w:t xml:space="preserve"> and </w:t>
      </w:r>
      <w:r w:rsidRPr="0003515E">
        <w:rPr>
          <w:lang w:val="en-GB"/>
        </w:rPr>
        <w:t>AUC</w:t>
      </w:r>
      <w:r w:rsidRPr="0003515E">
        <w:rPr>
          <w:vertAlign w:val="subscript"/>
          <w:lang w:val="en-GB"/>
        </w:rPr>
        <w:t>0-168 h</w:t>
      </w:r>
      <w:r w:rsidRPr="0003515E">
        <w:rPr>
          <w:lang w:val="en-GB"/>
        </w:rPr>
        <w:t xml:space="preserve"> at stea</w:t>
      </w:r>
      <w:r>
        <w:rPr>
          <w:lang w:val="en-GB"/>
        </w:rPr>
        <w:t xml:space="preserve">dy state (Day 176) after weekly </w:t>
      </w:r>
      <w:r w:rsidRPr="0003515E">
        <w:rPr>
          <w:lang w:val="en-GB"/>
        </w:rPr>
        <w:t xml:space="preserve">administration of 5, </w:t>
      </w:r>
      <w:r>
        <w:rPr>
          <w:lang w:val="en-GB"/>
        </w:rPr>
        <w:t xml:space="preserve">25, and 50 mg/kg, </w:t>
      </w:r>
      <w:r w:rsidRPr="0003515E">
        <w:rPr>
          <w:lang w:val="en-GB"/>
        </w:rPr>
        <w:t xml:space="preserve">were </w:t>
      </w:r>
      <w:r>
        <w:rPr>
          <w:lang w:val="en-GB"/>
        </w:rPr>
        <w:t xml:space="preserve">377, 1,530, and 2,920 </w:t>
      </w:r>
      <w:proofErr w:type="spellStart"/>
      <w:r>
        <w:rPr>
          <w:lang w:val="en-GB"/>
        </w:rPr>
        <w:t>μg</w:t>
      </w:r>
      <w:proofErr w:type="spellEnd"/>
      <w:r>
        <w:rPr>
          <w:lang w:val="en-GB"/>
        </w:rPr>
        <w:t>/mL and 39,</w:t>
      </w:r>
      <w:r w:rsidRPr="0003515E">
        <w:rPr>
          <w:lang w:val="en-GB"/>
        </w:rPr>
        <w:t xml:space="preserve">800, </w:t>
      </w:r>
      <w:r>
        <w:rPr>
          <w:lang w:val="en-GB"/>
        </w:rPr>
        <w:t>183,000, and 344,000 (</w:t>
      </w:r>
      <w:proofErr w:type="spellStart"/>
      <w:r>
        <w:rPr>
          <w:lang w:val="en-GB"/>
        </w:rPr>
        <w:t>μg•h</w:t>
      </w:r>
      <w:proofErr w:type="spellEnd"/>
      <w:r>
        <w:rPr>
          <w:lang w:val="en-GB"/>
        </w:rPr>
        <w:t xml:space="preserve">)/mL, </w:t>
      </w:r>
      <w:r w:rsidRPr="0003515E">
        <w:rPr>
          <w:lang w:val="en-GB"/>
        </w:rPr>
        <w:t>respect</w:t>
      </w:r>
      <w:r>
        <w:rPr>
          <w:lang w:val="en-GB"/>
        </w:rPr>
        <w:t xml:space="preserve">ively]. Findings included acute </w:t>
      </w:r>
      <w:r w:rsidRPr="0003515E">
        <w:rPr>
          <w:lang w:val="en-GB"/>
        </w:rPr>
        <w:t>anaphylactic or anaphylactoid reactions and an increased prevalence of systemic</w:t>
      </w:r>
      <w:r>
        <w:rPr>
          <w:lang w:val="en-GB"/>
        </w:rPr>
        <w:t xml:space="preserve"> </w:t>
      </w:r>
      <w:r w:rsidRPr="0003515E">
        <w:rPr>
          <w:lang w:val="en-GB"/>
        </w:rPr>
        <w:t>inflammation and infiltrates consiste</w:t>
      </w:r>
      <w:r>
        <w:rPr>
          <w:lang w:val="en-GB"/>
        </w:rPr>
        <w:t xml:space="preserve">nt with immune-complex mediated </w:t>
      </w:r>
      <w:r w:rsidRPr="0003515E">
        <w:rPr>
          <w:lang w:val="en-GB"/>
        </w:rPr>
        <w:t>hypersensitivity reactions, such as arteritis/per</w:t>
      </w:r>
      <w:r>
        <w:rPr>
          <w:lang w:val="en-GB"/>
        </w:rPr>
        <w:t xml:space="preserve">iarteritis, glomerulonephritis, and </w:t>
      </w:r>
      <w:proofErr w:type="spellStart"/>
      <w:r w:rsidRPr="0003515E">
        <w:rPr>
          <w:lang w:val="en-GB"/>
        </w:rPr>
        <w:t>serosal</w:t>
      </w:r>
      <w:proofErr w:type="spellEnd"/>
      <w:r w:rsidRPr="0003515E">
        <w:rPr>
          <w:lang w:val="en-GB"/>
        </w:rPr>
        <w:t>/adventitial inflammation. These reactions</w:t>
      </w:r>
      <w:r>
        <w:rPr>
          <w:lang w:val="en-GB"/>
        </w:rPr>
        <w:t xml:space="preserve"> led to unscheduled termination of 6/36 </w:t>
      </w:r>
      <w:r w:rsidRPr="0003515E">
        <w:rPr>
          <w:lang w:val="en-GB"/>
        </w:rPr>
        <w:lastRenderedPageBreak/>
        <w:t xml:space="preserve">animals treated with </w:t>
      </w:r>
      <w:r>
        <w:rPr>
          <w:lang w:val="en-US"/>
        </w:rPr>
        <w:t>Gazyva</w:t>
      </w:r>
      <w:r w:rsidRPr="0003515E">
        <w:rPr>
          <w:lang w:val="en-GB"/>
        </w:rPr>
        <w:t xml:space="preserve"> dur</w:t>
      </w:r>
      <w:r>
        <w:rPr>
          <w:lang w:val="en-GB"/>
        </w:rPr>
        <w:t xml:space="preserve">ing dosing and recovery phases; these changes were </w:t>
      </w:r>
      <w:r w:rsidRPr="0003515E">
        <w:rPr>
          <w:lang w:val="en-GB"/>
        </w:rPr>
        <w:t xml:space="preserve">partially reversible. No renal </w:t>
      </w:r>
      <w:r>
        <w:rPr>
          <w:lang w:val="en-GB"/>
        </w:rPr>
        <w:t xml:space="preserve">toxicity with a causal </w:t>
      </w:r>
      <w:r w:rsidRPr="0003515E">
        <w:rPr>
          <w:lang w:val="en-GB"/>
        </w:rPr>
        <w:t>relat</w:t>
      </w:r>
      <w:r>
        <w:rPr>
          <w:lang w:val="en-GB"/>
        </w:rPr>
        <w:t xml:space="preserve">ionship to </w:t>
      </w:r>
      <w:r>
        <w:rPr>
          <w:lang w:val="en-US"/>
        </w:rPr>
        <w:t>Gazyva</w:t>
      </w:r>
      <w:r>
        <w:rPr>
          <w:lang w:val="en-GB"/>
        </w:rPr>
        <w:t xml:space="preserve"> has been </w:t>
      </w:r>
      <w:r w:rsidRPr="0003515E">
        <w:rPr>
          <w:lang w:val="en-GB"/>
        </w:rPr>
        <w:t>observed in humans.</w:t>
      </w:r>
    </w:p>
    <w:p w14:paraId="33AB7EF6" w14:textId="77777777" w:rsidR="001A3849" w:rsidRDefault="001A3849" w:rsidP="00EB1206">
      <w:pPr>
        <w:pStyle w:val="Heading3"/>
        <w:rPr>
          <w:lang w:val="en-GB"/>
        </w:rPr>
      </w:pPr>
      <w:r>
        <w:rPr>
          <w:lang w:val="en-GB"/>
        </w:rPr>
        <w:t>Tumour Lysis Syndrome</w:t>
      </w:r>
    </w:p>
    <w:p w14:paraId="55327C9B" w14:textId="7E4D64D8" w:rsidR="001A3849" w:rsidRPr="00C8528C" w:rsidRDefault="001A3849" w:rsidP="00EB1206">
      <w:pPr>
        <w:rPr>
          <w:lang w:val="en-GB"/>
        </w:rPr>
      </w:pPr>
      <w:r w:rsidRPr="00C5563D">
        <w:rPr>
          <w:lang w:val="en-GB"/>
        </w:rPr>
        <w:t xml:space="preserve">Tumour lysis syndrome (TLS) has been reported with </w:t>
      </w:r>
      <w:r>
        <w:rPr>
          <w:lang w:val="en-US"/>
        </w:rPr>
        <w:t>Gazyva</w:t>
      </w:r>
      <w:r>
        <w:rPr>
          <w:lang w:val="en-GB"/>
        </w:rPr>
        <w:t xml:space="preserve">. Patients who </w:t>
      </w:r>
      <w:proofErr w:type="gramStart"/>
      <w:r>
        <w:rPr>
          <w:lang w:val="en-GB"/>
        </w:rPr>
        <w:t xml:space="preserve">are </w:t>
      </w:r>
      <w:r w:rsidRPr="00C5563D">
        <w:rPr>
          <w:lang w:val="en-GB"/>
        </w:rPr>
        <w:t>considered to be</w:t>
      </w:r>
      <w:proofErr w:type="gramEnd"/>
      <w:r w:rsidRPr="00C5563D">
        <w:rPr>
          <w:lang w:val="en-GB"/>
        </w:rPr>
        <w:t xml:space="preserve"> at risk of TLS [e.g. patients</w:t>
      </w:r>
      <w:r>
        <w:rPr>
          <w:lang w:val="en-GB"/>
        </w:rPr>
        <w:t xml:space="preserve"> with a high tumour burden and/or a high circulating </w:t>
      </w:r>
      <w:r w:rsidRPr="00C5563D">
        <w:rPr>
          <w:lang w:val="en-GB"/>
        </w:rPr>
        <w:t>lymphocyte count (&gt; 25 x 10</w:t>
      </w:r>
      <w:r w:rsidRPr="00C5563D">
        <w:rPr>
          <w:vertAlign w:val="superscript"/>
          <w:lang w:val="en-GB"/>
        </w:rPr>
        <w:t>9</w:t>
      </w:r>
      <w:r w:rsidRPr="00C5563D">
        <w:rPr>
          <w:lang w:val="en-GB"/>
        </w:rPr>
        <w:t>/L)</w:t>
      </w:r>
      <w:r>
        <w:rPr>
          <w:lang w:val="en-GB"/>
        </w:rPr>
        <w:t xml:space="preserve"> and/or renal impairment (</w:t>
      </w:r>
      <w:proofErr w:type="spellStart"/>
      <w:r>
        <w:rPr>
          <w:lang w:val="en-GB"/>
        </w:rPr>
        <w:t>CrCl</w:t>
      </w:r>
      <w:proofErr w:type="spellEnd"/>
      <w:r>
        <w:rPr>
          <w:lang w:val="en-GB"/>
        </w:rPr>
        <w:t xml:space="preserve"> &lt; 70 mL/min)</w:t>
      </w:r>
      <w:r w:rsidRPr="00C5563D">
        <w:rPr>
          <w:lang w:val="en-GB"/>
        </w:rPr>
        <w:t>]</w:t>
      </w:r>
      <w:r>
        <w:rPr>
          <w:lang w:val="en-GB"/>
        </w:rPr>
        <w:t xml:space="preserve"> should receive prophylaxis. Prophylaxis should consist of adequate hydration and administration of </w:t>
      </w:r>
      <w:proofErr w:type="spellStart"/>
      <w:r w:rsidRPr="00C5563D">
        <w:rPr>
          <w:lang w:val="en-GB"/>
        </w:rPr>
        <w:t>uricostatics</w:t>
      </w:r>
      <w:proofErr w:type="spellEnd"/>
      <w:r w:rsidRPr="00C5563D">
        <w:rPr>
          <w:lang w:val="en-GB"/>
        </w:rPr>
        <w:t xml:space="preserve"> (e.g. allopurinol)</w:t>
      </w:r>
      <w:r>
        <w:rPr>
          <w:lang w:val="en-GB"/>
        </w:rPr>
        <w:t xml:space="preserve">, or a suitable alternative such as a urate oxidase (e.g. </w:t>
      </w:r>
      <w:proofErr w:type="spellStart"/>
      <w:r>
        <w:rPr>
          <w:lang w:val="en-GB"/>
        </w:rPr>
        <w:t>rasburicase</w:t>
      </w:r>
      <w:proofErr w:type="spellEnd"/>
      <w:r>
        <w:rPr>
          <w:lang w:val="en-GB"/>
        </w:rPr>
        <w:t>),</w:t>
      </w:r>
      <w:r w:rsidRPr="00C5563D">
        <w:rPr>
          <w:lang w:val="en-GB"/>
        </w:rPr>
        <w:t xml:space="preserve"> </w:t>
      </w:r>
      <w:r>
        <w:rPr>
          <w:lang w:val="en-GB"/>
        </w:rPr>
        <w:t xml:space="preserve">prior to the infusion of </w:t>
      </w:r>
      <w:r>
        <w:rPr>
          <w:lang w:val="en-US"/>
        </w:rPr>
        <w:t>Gazyva</w:t>
      </w:r>
      <w:r>
        <w:rPr>
          <w:lang w:val="en-GB"/>
        </w:rPr>
        <w:t xml:space="preserve"> as described </w:t>
      </w:r>
      <w:r w:rsidR="00616FE6">
        <w:rPr>
          <w:lang w:val="en-GB"/>
        </w:rPr>
        <w:t>in section 4.2 Dose and method of administration</w:t>
      </w:r>
      <w:r w:rsidRPr="00C5563D">
        <w:rPr>
          <w:lang w:val="en-GB"/>
        </w:rPr>
        <w:t xml:space="preserve">. </w:t>
      </w:r>
      <w:r>
        <w:rPr>
          <w:lang w:val="en-GB"/>
        </w:rPr>
        <w:t xml:space="preserve">All patients considered at risk should be carefully monitored during the initial days of treatment with a special focus on renal function, potassium, and uric acid values. Any additional guidelines should also be followed, according to standard practice. </w:t>
      </w:r>
      <w:r w:rsidRPr="00C5563D">
        <w:rPr>
          <w:lang w:val="en-GB"/>
        </w:rPr>
        <w:t>For treatm</w:t>
      </w:r>
      <w:r>
        <w:rPr>
          <w:lang w:val="en-GB"/>
        </w:rPr>
        <w:t xml:space="preserve">ent of TLS, correct electrolyte </w:t>
      </w:r>
      <w:r w:rsidRPr="00C5563D">
        <w:rPr>
          <w:lang w:val="en-GB"/>
        </w:rPr>
        <w:t>abnormalities, monitor renal function an</w:t>
      </w:r>
      <w:r>
        <w:rPr>
          <w:lang w:val="en-GB"/>
        </w:rPr>
        <w:t xml:space="preserve">d fluid balance, and administer supportive </w:t>
      </w:r>
      <w:r w:rsidRPr="00C5563D">
        <w:rPr>
          <w:lang w:val="en-GB"/>
        </w:rPr>
        <w:t>care, including dialysis as indicated</w:t>
      </w:r>
      <w:r w:rsidR="004E5CBD">
        <w:rPr>
          <w:lang w:val="en-GB"/>
        </w:rPr>
        <w:t xml:space="preserve"> </w:t>
      </w:r>
      <w:r w:rsidR="00616FE6" w:rsidRPr="00E312BE">
        <w:rPr>
          <w:rFonts w:cs="Arial"/>
          <w:lang w:eastAsia="ko-KR" w:bidi="he-IL"/>
        </w:rPr>
        <w:t>(see</w:t>
      </w:r>
      <w:r w:rsidR="00616FE6">
        <w:rPr>
          <w:rFonts w:cs="Arial"/>
          <w:lang w:eastAsia="ko-KR" w:bidi="he-IL"/>
        </w:rPr>
        <w:t xml:space="preserve"> section 4.4 Special warnings and precautions for use)</w:t>
      </w:r>
      <w:r w:rsidRPr="00C5563D">
        <w:rPr>
          <w:lang w:val="en-GB"/>
        </w:rPr>
        <w:t>.</w:t>
      </w:r>
    </w:p>
    <w:p w14:paraId="0CE32CF7" w14:textId="77777777" w:rsidR="001A3849" w:rsidRDefault="001A3849" w:rsidP="00EB1206">
      <w:pPr>
        <w:pStyle w:val="Heading3"/>
        <w:rPr>
          <w:lang w:val="en-GB"/>
        </w:rPr>
      </w:pPr>
      <w:r>
        <w:rPr>
          <w:lang w:val="en-GB"/>
        </w:rPr>
        <w:t>Neutropenia</w:t>
      </w:r>
    </w:p>
    <w:p w14:paraId="0240AD5E" w14:textId="77777777" w:rsidR="001A3849" w:rsidRPr="00022B28" w:rsidRDefault="001A3849" w:rsidP="00EB1206">
      <w:pPr>
        <w:rPr>
          <w:i/>
          <w:lang w:val="en-GB"/>
        </w:rPr>
      </w:pPr>
      <w:r>
        <w:rPr>
          <w:lang w:val="en-GB"/>
        </w:rPr>
        <w:t xml:space="preserve">Severe and life-threatening </w:t>
      </w:r>
      <w:r w:rsidRPr="000E69D4">
        <w:rPr>
          <w:lang w:val="en-GB"/>
        </w:rPr>
        <w:t>neutropenia including febrile neutropenia ha</w:t>
      </w:r>
      <w:r>
        <w:rPr>
          <w:lang w:val="en-GB"/>
        </w:rPr>
        <w:t xml:space="preserve">s been reported during treatment with </w:t>
      </w:r>
      <w:r>
        <w:rPr>
          <w:lang w:val="en-US"/>
        </w:rPr>
        <w:t>Gazyva</w:t>
      </w:r>
      <w:r w:rsidRPr="000E69D4">
        <w:rPr>
          <w:lang w:val="en-GB"/>
        </w:rPr>
        <w:t>. Patients who e</w:t>
      </w:r>
      <w:r>
        <w:rPr>
          <w:lang w:val="en-GB"/>
        </w:rPr>
        <w:t xml:space="preserve">xperience neutropenia should be closely monitored </w:t>
      </w:r>
      <w:r w:rsidRPr="000E69D4">
        <w:rPr>
          <w:lang w:val="en-GB"/>
        </w:rPr>
        <w:t>with regular labora</w:t>
      </w:r>
      <w:r>
        <w:rPr>
          <w:lang w:val="en-GB"/>
        </w:rPr>
        <w:t xml:space="preserve">tory tests until resolution. Concomitant infection should be treated as </w:t>
      </w:r>
      <w:r w:rsidRPr="00E8637D">
        <w:rPr>
          <w:lang w:val="en-GB"/>
        </w:rPr>
        <w:t xml:space="preserve">appropriate. Dose delays should be considered in case of severe or </w:t>
      </w:r>
      <w:proofErr w:type="gramStart"/>
      <w:r w:rsidRPr="00E8637D">
        <w:rPr>
          <w:lang w:val="en-GB"/>
        </w:rPr>
        <w:t>life threatening</w:t>
      </w:r>
      <w:proofErr w:type="gramEnd"/>
      <w:r w:rsidRPr="00E8637D">
        <w:rPr>
          <w:lang w:val="en-GB"/>
        </w:rPr>
        <w:t xml:space="preserve"> neutropenia. It is strongly recommended that patients with severe neutropenia lasting more than 1 week receive antimicrobial prophylaxis throughout the treatment period until resolution to Grade 1 or 2. Antiviral and antifungal prophylaxis should also be considered. If treatment is necessary, it should be administered in accordance with local guidelines, and administration of granulocyte colony-stimulating factors (G-CSF) should be considered. </w:t>
      </w:r>
      <w:r>
        <w:rPr>
          <w:lang w:val="en-GB"/>
        </w:rPr>
        <w:t>L</w:t>
      </w:r>
      <w:r w:rsidRPr="00E8637D">
        <w:rPr>
          <w:lang w:val="en-GB"/>
        </w:rPr>
        <w:t xml:space="preserve">ate onset neutropenia (occurring 28 days after the end of treatment) or prolonged neutropenia (lasting more than 28 days after treatment has been completed/stopped) </w:t>
      </w:r>
      <w:r>
        <w:rPr>
          <w:lang w:val="en-GB"/>
        </w:rPr>
        <w:t>may occur</w:t>
      </w:r>
      <w:r w:rsidRPr="00E8637D">
        <w:rPr>
          <w:lang w:val="en-GB"/>
        </w:rPr>
        <w:t>. Patients with renal impairment (</w:t>
      </w:r>
      <w:proofErr w:type="spellStart"/>
      <w:r w:rsidRPr="00E8637D">
        <w:rPr>
          <w:lang w:val="en-GB"/>
        </w:rPr>
        <w:t>CrCl</w:t>
      </w:r>
      <w:proofErr w:type="spellEnd"/>
      <w:r w:rsidRPr="00E8637D">
        <w:rPr>
          <w:lang w:val="en-GB"/>
        </w:rPr>
        <w:t xml:space="preserve"> &lt; 50 mL/min) are more at risk of neutropenia.</w:t>
      </w:r>
    </w:p>
    <w:p w14:paraId="06479404" w14:textId="77777777" w:rsidR="001A3849" w:rsidRDefault="001A3849" w:rsidP="00EB1206">
      <w:pPr>
        <w:pStyle w:val="Heading3"/>
        <w:rPr>
          <w:lang w:val="en-GB"/>
        </w:rPr>
      </w:pPr>
      <w:r>
        <w:rPr>
          <w:lang w:val="en-GB"/>
        </w:rPr>
        <w:t>Thrombocytopenia</w:t>
      </w:r>
    </w:p>
    <w:p w14:paraId="03061F06" w14:textId="77777777" w:rsidR="001A3849" w:rsidRPr="004A2E15" w:rsidRDefault="001A3849" w:rsidP="00EB1206">
      <w:pPr>
        <w:rPr>
          <w:lang w:val="en-GB"/>
        </w:rPr>
      </w:pPr>
      <w:r>
        <w:rPr>
          <w:lang w:val="en-GB"/>
        </w:rPr>
        <w:t>Severe and life-threatening</w:t>
      </w:r>
      <w:r w:rsidRPr="004A2E15">
        <w:rPr>
          <w:lang w:val="en-GB"/>
        </w:rPr>
        <w:t xml:space="preserve"> </w:t>
      </w:r>
      <w:r w:rsidRPr="00ED5D37">
        <w:rPr>
          <w:lang w:val="en-GB"/>
        </w:rPr>
        <w:t>thrombocytopenia including a</w:t>
      </w:r>
      <w:r>
        <w:rPr>
          <w:lang w:val="en-GB"/>
        </w:rPr>
        <w:t xml:space="preserve">cute thrombocytopenia (occurring within </w:t>
      </w:r>
      <w:r w:rsidRPr="00ED5D37">
        <w:rPr>
          <w:lang w:val="en-GB"/>
        </w:rPr>
        <w:t>24 hours after the infusion) has been obser</w:t>
      </w:r>
      <w:r>
        <w:rPr>
          <w:lang w:val="en-GB"/>
        </w:rPr>
        <w:t xml:space="preserve">ved during treatment </w:t>
      </w:r>
      <w:r w:rsidRPr="00ED5D37">
        <w:rPr>
          <w:lang w:val="en-GB"/>
        </w:rPr>
        <w:t xml:space="preserve">with </w:t>
      </w:r>
      <w:r>
        <w:rPr>
          <w:lang w:val="en-US"/>
        </w:rPr>
        <w:t>Gazyva</w:t>
      </w:r>
      <w:r w:rsidRPr="00ED5D37">
        <w:rPr>
          <w:lang w:val="en-GB"/>
        </w:rPr>
        <w:t>.</w:t>
      </w:r>
      <w:r>
        <w:rPr>
          <w:lang w:val="en-GB"/>
        </w:rPr>
        <w:t xml:space="preserve"> Fatal haemorrhagic events have also been reported in Cycle 1 in patients treated with </w:t>
      </w:r>
      <w:r>
        <w:rPr>
          <w:lang w:val="en-US"/>
        </w:rPr>
        <w:t>Gazyva</w:t>
      </w:r>
      <w:r>
        <w:rPr>
          <w:lang w:val="en-GB"/>
        </w:rPr>
        <w:t xml:space="preserve">. A clear relationship between thrombocytopenia and haemorrhagic events has not been established. </w:t>
      </w:r>
    </w:p>
    <w:p w14:paraId="1CE0CAD1" w14:textId="77777777" w:rsidR="001A3849" w:rsidRDefault="001A3849" w:rsidP="00EB1206">
      <w:pPr>
        <w:spacing w:before="240"/>
        <w:rPr>
          <w:lang w:val="en-GB"/>
        </w:rPr>
      </w:pPr>
      <w:r w:rsidRPr="00ED5D37">
        <w:rPr>
          <w:lang w:val="en-GB"/>
        </w:rPr>
        <w:t xml:space="preserve">Patients </w:t>
      </w:r>
      <w:r>
        <w:rPr>
          <w:lang w:val="en-GB"/>
        </w:rPr>
        <w:t xml:space="preserve">should be closely monitored for thrombocytopenia, especially during the first cycle; </w:t>
      </w:r>
      <w:r w:rsidRPr="00ED5D37">
        <w:rPr>
          <w:lang w:val="en-GB"/>
        </w:rPr>
        <w:t xml:space="preserve">regular laboratory tests </w:t>
      </w:r>
      <w:r>
        <w:rPr>
          <w:lang w:val="en-GB"/>
        </w:rPr>
        <w:t xml:space="preserve">should be performed </w:t>
      </w:r>
      <w:r w:rsidRPr="00ED5D37">
        <w:rPr>
          <w:lang w:val="en-GB"/>
        </w:rPr>
        <w:t xml:space="preserve">until </w:t>
      </w:r>
      <w:r>
        <w:rPr>
          <w:lang w:val="en-GB"/>
        </w:rPr>
        <w:t xml:space="preserve">the event resolves, and dose delays should be considered in case of severe or life-threatening thrombocytopenia. Transfusion of blood products (i.e. platelet </w:t>
      </w:r>
      <w:r w:rsidRPr="00ED5D37">
        <w:rPr>
          <w:lang w:val="en-GB"/>
        </w:rPr>
        <w:t xml:space="preserve">transfusion) according to institutional </w:t>
      </w:r>
      <w:r>
        <w:rPr>
          <w:lang w:val="en-GB"/>
        </w:rPr>
        <w:t xml:space="preserve">practice is at the </w:t>
      </w:r>
      <w:r w:rsidRPr="00ED5D37">
        <w:rPr>
          <w:lang w:val="en-GB"/>
        </w:rPr>
        <w:t>discr</w:t>
      </w:r>
      <w:r>
        <w:rPr>
          <w:lang w:val="en-GB"/>
        </w:rPr>
        <w:t>etion of the treating physician</w:t>
      </w:r>
      <w:r w:rsidRPr="00ED5D37">
        <w:rPr>
          <w:lang w:val="en-GB"/>
        </w:rPr>
        <w:t>.</w:t>
      </w:r>
    </w:p>
    <w:p w14:paraId="76D16D80" w14:textId="77777777" w:rsidR="001A3849" w:rsidRDefault="001A3849" w:rsidP="00EB1206">
      <w:pPr>
        <w:spacing w:before="240"/>
        <w:rPr>
          <w:lang w:val="en-GB"/>
        </w:rPr>
      </w:pPr>
      <w:r>
        <w:rPr>
          <w:lang w:val="en-GB"/>
        </w:rPr>
        <w:t>Use of any concomitant therapies which could possibly worsen thrombocytopenia-related events, such as platelet inhibitors and anticoagulants, should also be taken into consideration, especially during the first cycle.</w:t>
      </w:r>
    </w:p>
    <w:p w14:paraId="330B8AE7" w14:textId="77777777" w:rsidR="000A0774" w:rsidRPr="000A0774" w:rsidRDefault="000A0774" w:rsidP="00EB1206">
      <w:pPr>
        <w:pStyle w:val="Heading3"/>
        <w:rPr>
          <w:lang w:val="en-GB"/>
        </w:rPr>
      </w:pPr>
      <w:r w:rsidRPr="000A0774">
        <w:rPr>
          <w:lang w:val="en-GB"/>
        </w:rPr>
        <w:t>Coagulation abnormalities including disseminated intravascular coagulation (DIC)</w:t>
      </w:r>
    </w:p>
    <w:p w14:paraId="35B633F8" w14:textId="63AEF9A5" w:rsidR="000A0774" w:rsidRPr="000A0774" w:rsidRDefault="000A0774" w:rsidP="00EB1206">
      <w:pPr>
        <w:rPr>
          <w:lang w:val="en-GB"/>
        </w:rPr>
      </w:pPr>
      <w:r w:rsidRPr="000A0774">
        <w:rPr>
          <w:lang w:val="en-GB"/>
        </w:rPr>
        <w:lastRenderedPageBreak/>
        <w:t>Disseminated intravascular coagulation (DIC) has been reported in patients receiving obinutuzumab for treatment of follicular lymphoma and chronic lymphocytic leuk</w:t>
      </w:r>
      <w:r w:rsidR="00AD5A4D">
        <w:rPr>
          <w:lang w:val="en-GB"/>
        </w:rPr>
        <w:t>a</w:t>
      </w:r>
      <w:r w:rsidRPr="000A0774">
        <w:rPr>
          <w:lang w:val="en-GB"/>
        </w:rPr>
        <w:t xml:space="preserve">emia. In </w:t>
      </w:r>
      <w:proofErr w:type="gramStart"/>
      <w:r w:rsidRPr="000A0774">
        <w:rPr>
          <w:lang w:val="en-GB"/>
        </w:rPr>
        <w:t>the majority of</w:t>
      </w:r>
      <w:proofErr w:type="gramEnd"/>
      <w:r w:rsidRPr="000A0774">
        <w:rPr>
          <w:lang w:val="en-GB"/>
        </w:rPr>
        <w:t xml:space="preserve"> cases, the events have involved subclinical (asymptomatic) changes in platelets and laboratory coagulation parameters following the first infusion, with spontaneous resolution usually occurring </w:t>
      </w:r>
      <w:r w:rsidR="00660E78">
        <w:rPr>
          <w:lang w:val="en-GB"/>
        </w:rPr>
        <w:t>within one to two weeks</w:t>
      </w:r>
      <w:r w:rsidRPr="000A0774">
        <w:rPr>
          <w:lang w:val="en-GB"/>
        </w:rPr>
        <w:t xml:space="preserve">. In some cases, the events were associated with IRRs and/or TLS. No specific baseline risk factors for DIC have been identified </w:t>
      </w:r>
      <w:r w:rsidRPr="00A72BEF">
        <w:rPr>
          <w:lang w:val="en-GB"/>
        </w:rPr>
        <w:t xml:space="preserve">(see </w:t>
      </w:r>
      <w:r>
        <w:rPr>
          <w:lang w:val="en-GB"/>
        </w:rPr>
        <w:t xml:space="preserve">section 4.8 </w:t>
      </w:r>
      <w:r w:rsidRPr="00A72BEF">
        <w:rPr>
          <w:lang w:val="en-GB"/>
        </w:rPr>
        <w:t>Adverse Effects</w:t>
      </w:r>
      <w:r>
        <w:rPr>
          <w:lang w:val="en-GB"/>
        </w:rPr>
        <w:t xml:space="preserve"> (Undesirable Effects</w:t>
      </w:r>
      <w:r w:rsidRPr="00A72BEF">
        <w:rPr>
          <w:lang w:val="en-GB"/>
        </w:rPr>
        <w:t>)</w:t>
      </w:r>
      <w:r>
        <w:rPr>
          <w:lang w:val="en-GB"/>
        </w:rPr>
        <w:t>).</w:t>
      </w:r>
    </w:p>
    <w:p w14:paraId="5B62AC94" w14:textId="429A54DB" w:rsidR="001A3849" w:rsidRDefault="001A3849" w:rsidP="00EB1206">
      <w:pPr>
        <w:pStyle w:val="Heading3"/>
        <w:rPr>
          <w:lang w:val="en-GB"/>
        </w:rPr>
      </w:pPr>
      <w:r>
        <w:rPr>
          <w:lang w:val="en-GB"/>
        </w:rPr>
        <w:t>Worsening of Pre-existing Cardiac Conditions</w:t>
      </w:r>
    </w:p>
    <w:p w14:paraId="738384F3" w14:textId="1B3B0426" w:rsidR="001A3849" w:rsidRPr="00287F31" w:rsidRDefault="001A3849" w:rsidP="00EB1206">
      <w:pPr>
        <w:rPr>
          <w:lang w:val="en-GB"/>
        </w:rPr>
      </w:pPr>
      <w:r w:rsidRPr="004D0336">
        <w:rPr>
          <w:lang w:val="en-GB"/>
        </w:rPr>
        <w:t>In patients with underlying cardiac disease, arrhythmi</w:t>
      </w:r>
      <w:r>
        <w:rPr>
          <w:lang w:val="en-GB"/>
        </w:rPr>
        <w:t xml:space="preserve">as (such as atrial fibrillation and </w:t>
      </w:r>
      <w:r w:rsidRPr="004D0336">
        <w:rPr>
          <w:lang w:val="en-GB"/>
        </w:rPr>
        <w:t>tachyarrhythmia</w:t>
      </w:r>
      <w:r>
        <w:rPr>
          <w:lang w:val="en-GB"/>
        </w:rPr>
        <w:t>)</w:t>
      </w:r>
      <w:r w:rsidRPr="004D0336">
        <w:rPr>
          <w:lang w:val="en-GB"/>
        </w:rPr>
        <w:t>, angina pectoris, acut</w:t>
      </w:r>
      <w:r>
        <w:rPr>
          <w:lang w:val="en-GB"/>
        </w:rPr>
        <w:t xml:space="preserve">e coronary syndrome, myocardial infarction and heart </w:t>
      </w:r>
      <w:r w:rsidRPr="004D0336">
        <w:rPr>
          <w:lang w:val="en-GB"/>
        </w:rPr>
        <w:t>failure have occurred whe</w:t>
      </w:r>
      <w:r>
        <w:rPr>
          <w:lang w:val="en-GB"/>
        </w:rPr>
        <w:t xml:space="preserve">n treated with </w:t>
      </w:r>
      <w:r>
        <w:rPr>
          <w:lang w:val="en-US"/>
        </w:rPr>
        <w:t>Gazyva</w:t>
      </w:r>
      <w:r>
        <w:rPr>
          <w:lang w:val="en-GB"/>
        </w:rPr>
        <w:t xml:space="preserve"> (see </w:t>
      </w:r>
      <w:r w:rsidR="00616FE6">
        <w:rPr>
          <w:lang w:val="en-GB"/>
        </w:rPr>
        <w:t>section 4.8 Adverse Effects (Undesirable Effects)</w:t>
      </w:r>
      <w:r>
        <w:rPr>
          <w:lang w:val="en-GB"/>
        </w:rPr>
        <w:t xml:space="preserve">). </w:t>
      </w:r>
      <w:r w:rsidRPr="004D0336">
        <w:rPr>
          <w:lang w:val="en-GB"/>
        </w:rPr>
        <w:t xml:space="preserve">These events </w:t>
      </w:r>
      <w:r>
        <w:rPr>
          <w:lang w:val="en-GB"/>
        </w:rPr>
        <w:t xml:space="preserve">may occur as part of an IRR and </w:t>
      </w:r>
      <w:r w:rsidRPr="004D0336">
        <w:rPr>
          <w:lang w:val="en-GB"/>
        </w:rPr>
        <w:t xml:space="preserve">can be fatal. </w:t>
      </w:r>
      <w:proofErr w:type="gramStart"/>
      <w:r w:rsidR="004E5CBD" w:rsidRPr="004D0336">
        <w:rPr>
          <w:lang w:val="en-GB"/>
        </w:rPr>
        <w:t>Th</w:t>
      </w:r>
      <w:r w:rsidR="004E5CBD">
        <w:rPr>
          <w:lang w:val="en-GB"/>
        </w:rPr>
        <w:t>erefore</w:t>
      </w:r>
      <w:proofErr w:type="gramEnd"/>
      <w:r w:rsidR="004E5CBD">
        <w:rPr>
          <w:lang w:val="en-GB"/>
        </w:rPr>
        <w:t xml:space="preserve"> patients</w:t>
      </w:r>
      <w:r>
        <w:rPr>
          <w:lang w:val="en-GB"/>
        </w:rPr>
        <w:t xml:space="preserve"> with a history of cardiac disease should be </w:t>
      </w:r>
      <w:r w:rsidRPr="004D0336">
        <w:rPr>
          <w:lang w:val="en-GB"/>
        </w:rPr>
        <w:t xml:space="preserve">monitored closely. In </w:t>
      </w:r>
      <w:proofErr w:type="gramStart"/>
      <w:r w:rsidRPr="004D0336">
        <w:rPr>
          <w:lang w:val="en-GB"/>
        </w:rPr>
        <w:t>addition</w:t>
      </w:r>
      <w:proofErr w:type="gramEnd"/>
      <w:r w:rsidRPr="004D0336">
        <w:rPr>
          <w:lang w:val="en-GB"/>
        </w:rPr>
        <w:t xml:space="preserve"> these patients</w:t>
      </w:r>
      <w:r>
        <w:rPr>
          <w:lang w:val="en-GB"/>
        </w:rPr>
        <w:t xml:space="preserve"> should be hydrated with caution in </w:t>
      </w:r>
      <w:r w:rsidRPr="004D0336">
        <w:rPr>
          <w:lang w:val="en-GB"/>
        </w:rPr>
        <w:t>order to pre</w:t>
      </w:r>
      <w:r>
        <w:rPr>
          <w:lang w:val="en-GB"/>
        </w:rPr>
        <w:t>vent a potential fluid overload</w:t>
      </w:r>
      <w:r w:rsidRPr="004D0336">
        <w:rPr>
          <w:lang w:val="en-GB"/>
        </w:rPr>
        <w:t>.</w:t>
      </w:r>
    </w:p>
    <w:p w14:paraId="179060A8" w14:textId="77777777" w:rsidR="001A3849" w:rsidRDefault="001A3849" w:rsidP="00EB1206">
      <w:pPr>
        <w:pStyle w:val="Heading3"/>
        <w:rPr>
          <w:lang w:val="en-GB"/>
        </w:rPr>
      </w:pPr>
      <w:r>
        <w:rPr>
          <w:lang w:val="en-GB"/>
        </w:rPr>
        <w:t>Infections</w:t>
      </w:r>
    </w:p>
    <w:p w14:paraId="18D8C29C" w14:textId="77777777" w:rsidR="001A3849" w:rsidRDefault="001A3849" w:rsidP="00EB1206">
      <w:pPr>
        <w:spacing w:after="240"/>
        <w:rPr>
          <w:lang w:val="en-GB"/>
        </w:rPr>
      </w:pPr>
      <w:r>
        <w:rPr>
          <w:lang w:val="en-US"/>
        </w:rPr>
        <w:t>Gazyva</w:t>
      </w:r>
      <w:r w:rsidRPr="002F425C">
        <w:rPr>
          <w:lang w:val="en-GB"/>
        </w:rPr>
        <w:t xml:space="preserve"> should not be administered in the presence</w:t>
      </w:r>
      <w:r>
        <w:rPr>
          <w:lang w:val="en-GB"/>
        </w:rPr>
        <w:t xml:space="preserve"> of an active infection and caution </w:t>
      </w:r>
      <w:r w:rsidRPr="002F425C">
        <w:rPr>
          <w:lang w:val="en-GB"/>
        </w:rPr>
        <w:t>should be exercised when consid</w:t>
      </w:r>
      <w:r>
        <w:rPr>
          <w:lang w:val="en-GB"/>
        </w:rPr>
        <w:t xml:space="preserve">ering the use of </w:t>
      </w:r>
      <w:r>
        <w:rPr>
          <w:lang w:val="en-US"/>
        </w:rPr>
        <w:t>Gazyva</w:t>
      </w:r>
      <w:r>
        <w:rPr>
          <w:lang w:val="en-GB"/>
        </w:rPr>
        <w:t xml:space="preserve"> in patients with a history of </w:t>
      </w:r>
      <w:r w:rsidRPr="002F425C">
        <w:rPr>
          <w:lang w:val="en-GB"/>
        </w:rPr>
        <w:t>recurring or chronic infectio</w:t>
      </w:r>
      <w:r>
        <w:rPr>
          <w:lang w:val="en-GB"/>
        </w:rPr>
        <w:t xml:space="preserve">ns. Serious, bacterial, fungal, and new or reactivated viral </w:t>
      </w:r>
      <w:r w:rsidRPr="002F425C">
        <w:rPr>
          <w:lang w:val="en-GB"/>
        </w:rPr>
        <w:t>infections can occur during and followin</w:t>
      </w:r>
      <w:r>
        <w:rPr>
          <w:lang w:val="en-GB"/>
        </w:rPr>
        <w:t xml:space="preserve">g the </w:t>
      </w:r>
      <w:r w:rsidRPr="002F425C">
        <w:rPr>
          <w:lang w:val="en-GB"/>
        </w:rPr>
        <w:t xml:space="preserve">completion of </w:t>
      </w:r>
      <w:r>
        <w:rPr>
          <w:lang w:val="en-US"/>
        </w:rPr>
        <w:t>Gazyva</w:t>
      </w:r>
      <w:r w:rsidRPr="002F425C">
        <w:rPr>
          <w:lang w:val="en-GB"/>
        </w:rPr>
        <w:t xml:space="preserve"> therapy.</w:t>
      </w:r>
      <w:r>
        <w:rPr>
          <w:lang w:val="en-GB"/>
        </w:rPr>
        <w:t xml:space="preserve"> Fatal infections have been reported. </w:t>
      </w:r>
      <w:r w:rsidRPr="00E8637D">
        <w:rPr>
          <w:lang w:val="en-GB"/>
        </w:rPr>
        <w:t xml:space="preserve">Patients with both CIRS &gt; 6 and </w:t>
      </w:r>
      <w:proofErr w:type="spellStart"/>
      <w:r w:rsidRPr="00E8637D">
        <w:rPr>
          <w:lang w:val="en-GB"/>
        </w:rPr>
        <w:t>CrCl</w:t>
      </w:r>
      <w:proofErr w:type="spellEnd"/>
      <w:r w:rsidRPr="00E8637D">
        <w:rPr>
          <w:lang w:val="en-GB"/>
        </w:rPr>
        <w:t xml:space="preserve"> &lt; 70 mL/min are more at risk of infections, including severe infections.</w:t>
      </w:r>
    </w:p>
    <w:p w14:paraId="4EAE8947" w14:textId="77777777" w:rsidR="001A3849" w:rsidRDefault="001A3849" w:rsidP="00EB1206">
      <w:pPr>
        <w:rPr>
          <w:i/>
          <w:lang w:val="en-GB"/>
        </w:rPr>
      </w:pPr>
      <w:r>
        <w:rPr>
          <w:lang w:val="en-GB"/>
        </w:rPr>
        <w:t xml:space="preserve">In the FL studies, a high incidence of infections was observed in all phases of the studies, including follow-up, with the highest incidence seen in maintenance. During the follow-up phase, Grade 3-5 infections are observed more in patients who received Gazyva plus </w:t>
      </w:r>
      <w:proofErr w:type="spellStart"/>
      <w:r>
        <w:rPr>
          <w:lang w:val="en-GB"/>
        </w:rPr>
        <w:t>bendamustine</w:t>
      </w:r>
      <w:proofErr w:type="spellEnd"/>
      <w:r>
        <w:rPr>
          <w:lang w:val="en-GB"/>
        </w:rPr>
        <w:t xml:space="preserve"> in the induction phase. </w:t>
      </w:r>
    </w:p>
    <w:p w14:paraId="18D541E3" w14:textId="77777777" w:rsidR="001A3849" w:rsidRDefault="001A3849" w:rsidP="00EB1206">
      <w:pPr>
        <w:pStyle w:val="Heading3"/>
        <w:rPr>
          <w:lang w:val="en-GB"/>
        </w:rPr>
      </w:pPr>
      <w:r>
        <w:rPr>
          <w:lang w:val="en-GB"/>
        </w:rPr>
        <w:t>Hepatitis B reactivation</w:t>
      </w:r>
    </w:p>
    <w:p w14:paraId="484D53D1" w14:textId="13B98124" w:rsidR="001A3849" w:rsidRDefault="001A3849" w:rsidP="00EB1206">
      <w:pPr>
        <w:spacing w:after="240"/>
        <w:rPr>
          <w:lang w:val="en-GB"/>
        </w:rPr>
      </w:pPr>
      <w:r w:rsidRPr="00E32F68">
        <w:rPr>
          <w:lang w:val="en-GB"/>
        </w:rPr>
        <w:t xml:space="preserve">Hepatitis B virus (HBV) reactivation, in some cases resulting in fulminant hepatitis, hepatic failure and death, can occur in patients treated with anti-CD20 antibodies </w:t>
      </w:r>
      <w:r>
        <w:rPr>
          <w:lang w:val="en-GB"/>
        </w:rPr>
        <w:t>including</w:t>
      </w:r>
      <w:r w:rsidRPr="00E32F68">
        <w:rPr>
          <w:lang w:val="en-GB"/>
        </w:rPr>
        <w:t xml:space="preserve"> </w:t>
      </w:r>
      <w:r>
        <w:rPr>
          <w:lang w:val="en-GB"/>
        </w:rPr>
        <w:t xml:space="preserve">Gazyva </w:t>
      </w:r>
      <w:r w:rsidR="00616FE6">
        <w:rPr>
          <w:lang w:val="en-GB"/>
        </w:rPr>
        <w:t>(see section 4.8 Adverse Effects (Undesirable Effects))</w:t>
      </w:r>
      <w:r w:rsidRPr="00E32F68">
        <w:rPr>
          <w:lang w:val="en-GB"/>
        </w:rPr>
        <w:t xml:space="preserve">. HBV reactivation has been reported in patients who are hepatitis B surface antigen (HBsAg) positive </w:t>
      </w:r>
      <w:proofErr w:type="gramStart"/>
      <w:r w:rsidRPr="00E32F68">
        <w:rPr>
          <w:lang w:val="en-GB"/>
        </w:rPr>
        <w:t>and also</w:t>
      </w:r>
      <w:proofErr w:type="gramEnd"/>
      <w:r w:rsidRPr="00E32F68">
        <w:rPr>
          <w:lang w:val="en-GB"/>
        </w:rPr>
        <w:t xml:space="preserve"> in patients who are HBsAg negative but are hepatitis B core antibody (anti-HBc) positive. Reactivation has also occurred in patients who appear to have resolved hepa</w:t>
      </w:r>
      <w:r>
        <w:rPr>
          <w:lang w:val="en-GB"/>
        </w:rPr>
        <w:t>titis B infection (i.e.</w:t>
      </w:r>
      <w:r w:rsidRPr="00E32F68">
        <w:rPr>
          <w:lang w:val="en-GB"/>
        </w:rPr>
        <w:t xml:space="preserve"> HBsAg negative, anti-HBc positive, and hepatitis B surface antibody [anti HBs] positive).</w:t>
      </w:r>
    </w:p>
    <w:p w14:paraId="59955529" w14:textId="77777777" w:rsidR="001A3849" w:rsidRDefault="001A3849" w:rsidP="00EB1206">
      <w:pPr>
        <w:spacing w:after="240"/>
        <w:rPr>
          <w:lang w:val="en-GB"/>
        </w:rPr>
      </w:pPr>
      <w:r w:rsidRPr="00E32F68">
        <w:rPr>
          <w:lang w:val="en-GB"/>
        </w:rPr>
        <w:t>Screen all patients for HBV infection by measuring HBsAg and anti-HBc</w:t>
      </w:r>
      <w:r>
        <w:rPr>
          <w:lang w:val="en-GB"/>
        </w:rPr>
        <w:t>. The results of HBsAg and anti-HBc testing should be known in all patients</w:t>
      </w:r>
      <w:r w:rsidRPr="00E32F68">
        <w:rPr>
          <w:lang w:val="en-GB"/>
        </w:rPr>
        <w:t xml:space="preserve"> before initiating treatment with</w:t>
      </w:r>
      <w:r>
        <w:rPr>
          <w:lang w:val="en-GB"/>
        </w:rPr>
        <w:t xml:space="preserve"> Gazyva</w:t>
      </w:r>
      <w:r w:rsidRPr="00E32F68">
        <w:rPr>
          <w:lang w:val="en-GB"/>
        </w:rPr>
        <w:t>. For patients who show evidence of hepatitis B infection (HBsAg positive [regardless of antibody status] or HBsAg negative but anti-HBc positive), consult physicians with expertise in managing hepatitis B regarding monitoring and considera</w:t>
      </w:r>
      <w:r>
        <w:rPr>
          <w:lang w:val="en-GB"/>
        </w:rPr>
        <w:t>tion for HBV antiviral therapy.</w:t>
      </w:r>
    </w:p>
    <w:p w14:paraId="50F0F6BC" w14:textId="77777777" w:rsidR="001A3849" w:rsidRDefault="001A3849" w:rsidP="00EB1206">
      <w:pPr>
        <w:spacing w:after="240"/>
        <w:rPr>
          <w:lang w:val="en-GB"/>
        </w:rPr>
      </w:pPr>
      <w:r w:rsidRPr="00E32F68">
        <w:rPr>
          <w:lang w:val="en-GB"/>
        </w:rPr>
        <w:t xml:space="preserve">Monitor patients with evidence of current or prior HBV infection for clinical and laboratory signs of hepatitis or HBV reactivation during and for at least 12 months following treatment with </w:t>
      </w:r>
      <w:r>
        <w:rPr>
          <w:lang w:val="en-US"/>
        </w:rPr>
        <w:t>Gazyva</w:t>
      </w:r>
      <w:r w:rsidRPr="00E32F68">
        <w:rPr>
          <w:lang w:val="en-GB"/>
        </w:rPr>
        <w:t>. HBV reactivation has been reported for other CD20-directed cytolytic antibodies following completion of therapy.</w:t>
      </w:r>
    </w:p>
    <w:p w14:paraId="47367944" w14:textId="77777777" w:rsidR="001A3849" w:rsidRPr="004A2E15" w:rsidRDefault="001A3849" w:rsidP="00EB1206">
      <w:pPr>
        <w:rPr>
          <w:lang w:val="en-GB"/>
        </w:rPr>
      </w:pPr>
      <w:r w:rsidRPr="00E32F68">
        <w:rPr>
          <w:lang w:val="en-GB"/>
        </w:rPr>
        <w:lastRenderedPageBreak/>
        <w:t xml:space="preserve">In patients who develop reactivation of HBV while receiving </w:t>
      </w:r>
      <w:r>
        <w:rPr>
          <w:lang w:val="en-US"/>
        </w:rPr>
        <w:t>Gazyva</w:t>
      </w:r>
      <w:r w:rsidRPr="00E32F68">
        <w:rPr>
          <w:lang w:val="en-GB"/>
        </w:rPr>
        <w:t xml:space="preserve">, immediately discontinue </w:t>
      </w:r>
      <w:r>
        <w:rPr>
          <w:lang w:val="en-US"/>
        </w:rPr>
        <w:t>Gazyva</w:t>
      </w:r>
      <w:r w:rsidRPr="00E32F68">
        <w:rPr>
          <w:lang w:val="en-GB"/>
        </w:rPr>
        <w:t xml:space="preserve"> and any concomitant chemotherapy, and institute appropriate treatment and refer the patient to a gastroenterologist. Resumption of </w:t>
      </w:r>
      <w:r>
        <w:rPr>
          <w:lang w:val="en-US"/>
        </w:rPr>
        <w:t>Gazyva</w:t>
      </w:r>
      <w:r w:rsidRPr="00E32F68">
        <w:rPr>
          <w:lang w:val="en-GB"/>
        </w:rPr>
        <w:t xml:space="preserve"> in patients whose HBV reactivation resolves should be discussed with physicians with expertise in managing hepatitis B. Insufficient data exist regarding the safety of resuming </w:t>
      </w:r>
      <w:r>
        <w:rPr>
          <w:lang w:val="en-US"/>
        </w:rPr>
        <w:t>Gazyva</w:t>
      </w:r>
      <w:r w:rsidRPr="00E32F68">
        <w:rPr>
          <w:lang w:val="en-GB"/>
        </w:rPr>
        <w:t xml:space="preserve"> in patients who developed HBV reactivation.</w:t>
      </w:r>
    </w:p>
    <w:p w14:paraId="0FD6FFEC" w14:textId="77777777" w:rsidR="001A3849" w:rsidRDefault="001A3849" w:rsidP="00EB1206">
      <w:pPr>
        <w:pStyle w:val="Heading3"/>
        <w:rPr>
          <w:lang w:val="en-GB"/>
        </w:rPr>
      </w:pPr>
      <w:r>
        <w:rPr>
          <w:lang w:val="en-GB"/>
        </w:rPr>
        <w:t>Progressive Multifocal Leukoencephalopathy</w:t>
      </w:r>
    </w:p>
    <w:p w14:paraId="4624A885" w14:textId="77777777" w:rsidR="001A3849" w:rsidRPr="00A74D00" w:rsidRDefault="001A3849" w:rsidP="00EB1206">
      <w:pPr>
        <w:rPr>
          <w:lang w:val="en-GB"/>
        </w:rPr>
      </w:pPr>
      <w:r>
        <w:rPr>
          <w:lang w:val="en-GB"/>
        </w:rPr>
        <w:t>Progressive multifocal l</w:t>
      </w:r>
      <w:r w:rsidRPr="002D4C5B">
        <w:rPr>
          <w:lang w:val="en-GB"/>
        </w:rPr>
        <w:t xml:space="preserve">eukoencephalopathy </w:t>
      </w:r>
      <w:r>
        <w:rPr>
          <w:lang w:val="en-GB"/>
        </w:rPr>
        <w:t>(</w:t>
      </w:r>
      <w:r w:rsidRPr="002D4C5B">
        <w:rPr>
          <w:lang w:val="en-GB"/>
        </w:rPr>
        <w:t>PML</w:t>
      </w:r>
      <w:r>
        <w:rPr>
          <w:lang w:val="en-GB"/>
        </w:rPr>
        <w:t>)</w:t>
      </w:r>
      <w:r w:rsidRPr="002D4C5B">
        <w:rPr>
          <w:lang w:val="en-GB"/>
        </w:rPr>
        <w:t xml:space="preserve"> </w:t>
      </w:r>
      <w:r>
        <w:rPr>
          <w:lang w:val="en-GB"/>
        </w:rPr>
        <w:t>has</w:t>
      </w:r>
      <w:r w:rsidRPr="002D4C5B">
        <w:rPr>
          <w:lang w:val="en-GB"/>
        </w:rPr>
        <w:t xml:space="preserve"> been reported in patients tr</w:t>
      </w:r>
      <w:r>
        <w:rPr>
          <w:lang w:val="en-GB"/>
        </w:rPr>
        <w:t xml:space="preserve">eated with </w:t>
      </w:r>
      <w:r>
        <w:rPr>
          <w:lang w:val="en-US"/>
        </w:rPr>
        <w:t>Gazyva</w:t>
      </w:r>
      <w:r w:rsidRPr="002D4C5B">
        <w:rPr>
          <w:lang w:val="en-GB"/>
        </w:rPr>
        <w:t xml:space="preserve"> (see </w:t>
      </w:r>
      <w:r w:rsidR="00616FE6">
        <w:rPr>
          <w:lang w:val="en-GB"/>
        </w:rPr>
        <w:t>Boxed Warning and section 4.8 Adverse Effects (Undesirable Effects))</w:t>
      </w:r>
      <w:r>
        <w:rPr>
          <w:lang w:val="en-GB"/>
        </w:rPr>
        <w:t xml:space="preserve">. The diagnosis of PML should be </w:t>
      </w:r>
      <w:r w:rsidRPr="002D4C5B">
        <w:rPr>
          <w:lang w:val="en-GB"/>
        </w:rPr>
        <w:t>considered in any patient presenting with new-onset</w:t>
      </w:r>
      <w:r>
        <w:rPr>
          <w:lang w:val="en-GB"/>
        </w:rPr>
        <w:t xml:space="preserve"> or changes to pre-existing</w:t>
      </w:r>
      <w:r w:rsidRPr="002D4C5B">
        <w:rPr>
          <w:lang w:val="en-GB"/>
        </w:rPr>
        <w:t xml:space="preserve"> neurologic</w:t>
      </w:r>
      <w:r>
        <w:rPr>
          <w:lang w:val="en-GB"/>
        </w:rPr>
        <w:t xml:space="preserve"> manifestations. The </w:t>
      </w:r>
      <w:r w:rsidRPr="002D4C5B">
        <w:rPr>
          <w:lang w:val="en-GB"/>
        </w:rPr>
        <w:t xml:space="preserve">symptoms of PML are </w:t>
      </w:r>
      <w:r>
        <w:rPr>
          <w:lang w:val="en-GB"/>
        </w:rPr>
        <w:t>non-</w:t>
      </w:r>
      <w:r w:rsidRPr="002D4C5B">
        <w:rPr>
          <w:lang w:val="en-GB"/>
        </w:rPr>
        <w:t>spe</w:t>
      </w:r>
      <w:r>
        <w:rPr>
          <w:lang w:val="en-GB"/>
        </w:rPr>
        <w:t xml:space="preserve">cific and can vary depending on </w:t>
      </w:r>
      <w:r w:rsidRPr="002D4C5B">
        <w:rPr>
          <w:lang w:val="en-GB"/>
        </w:rPr>
        <w:t>the affected region of t</w:t>
      </w:r>
      <w:r>
        <w:rPr>
          <w:lang w:val="en-GB"/>
        </w:rPr>
        <w:t xml:space="preserve">he brain. </w:t>
      </w:r>
      <w:r w:rsidRPr="002D4C5B">
        <w:rPr>
          <w:lang w:val="en-GB"/>
        </w:rPr>
        <w:t>Motor symptoms wi</w:t>
      </w:r>
      <w:r>
        <w:rPr>
          <w:lang w:val="en-GB"/>
        </w:rPr>
        <w:t xml:space="preserve">th corticospinal tract findings </w:t>
      </w:r>
      <w:r w:rsidRPr="002D4C5B">
        <w:rPr>
          <w:lang w:val="en-GB"/>
        </w:rPr>
        <w:t>(e.g. mu</w:t>
      </w:r>
      <w:r>
        <w:rPr>
          <w:lang w:val="en-GB"/>
        </w:rPr>
        <w:t xml:space="preserve">scular weakness, paralysis, and sensory disturbances), sensory </w:t>
      </w:r>
      <w:r w:rsidRPr="002D4C5B">
        <w:rPr>
          <w:lang w:val="en-GB"/>
        </w:rPr>
        <w:t>abnormalities, cerebellar sym</w:t>
      </w:r>
      <w:r>
        <w:rPr>
          <w:lang w:val="en-GB"/>
        </w:rPr>
        <w:t xml:space="preserve">ptoms, and visual field defects are common. Some </w:t>
      </w:r>
      <w:r w:rsidRPr="002D4C5B">
        <w:rPr>
          <w:lang w:val="en-GB"/>
        </w:rPr>
        <w:t>signs/symptoms regarded as “cortical” (e.g. apha</w:t>
      </w:r>
      <w:r>
        <w:rPr>
          <w:lang w:val="en-GB"/>
        </w:rPr>
        <w:t xml:space="preserve">sia or visual-spatial </w:t>
      </w:r>
      <w:r w:rsidRPr="002D4C5B">
        <w:rPr>
          <w:lang w:val="en-GB"/>
        </w:rPr>
        <w:t>disorientation) may occur. Evaluation of PML i</w:t>
      </w:r>
      <w:r>
        <w:rPr>
          <w:lang w:val="en-GB"/>
        </w:rPr>
        <w:t xml:space="preserve">ncludes, but is not limited to, consultation </w:t>
      </w:r>
      <w:r w:rsidRPr="002D4C5B">
        <w:rPr>
          <w:lang w:val="en-GB"/>
        </w:rPr>
        <w:t>with a neurologist, brain magnet</w:t>
      </w:r>
      <w:r>
        <w:rPr>
          <w:lang w:val="en-GB"/>
        </w:rPr>
        <w:t xml:space="preserve">ic resonance imaging (MRI), and lumbar puncture (CSF </w:t>
      </w:r>
      <w:r w:rsidRPr="002D4C5B">
        <w:rPr>
          <w:lang w:val="en-GB"/>
        </w:rPr>
        <w:t>testing for JC viral</w:t>
      </w:r>
      <w:r>
        <w:rPr>
          <w:lang w:val="en-GB"/>
        </w:rPr>
        <w:t xml:space="preserve"> DNA). Therapy with </w:t>
      </w:r>
      <w:r>
        <w:rPr>
          <w:lang w:val="en-US"/>
        </w:rPr>
        <w:t>Gazyva</w:t>
      </w:r>
      <w:r>
        <w:rPr>
          <w:lang w:val="en-GB"/>
        </w:rPr>
        <w:t xml:space="preserve"> </w:t>
      </w:r>
      <w:r w:rsidRPr="002D4C5B">
        <w:rPr>
          <w:lang w:val="en-GB"/>
        </w:rPr>
        <w:t>should</w:t>
      </w:r>
      <w:r>
        <w:rPr>
          <w:lang w:val="en-GB"/>
        </w:rPr>
        <w:t xml:space="preserve"> be withheld during the </w:t>
      </w:r>
      <w:r w:rsidRPr="002D4C5B">
        <w:rPr>
          <w:lang w:val="en-GB"/>
        </w:rPr>
        <w:t>investigation o</w:t>
      </w:r>
      <w:r>
        <w:rPr>
          <w:lang w:val="en-GB"/>
        </w:rPr>
        <w:t xml:space="preserve">f potential PML and permanently </w:t>
      </w:r>
      <w:r w:rsidRPr="002D4C5B">
        <w:rPr>
          <w:lang w:val="en-GB"/>
        </w:rPr>
        <w:t>discont</w:t>
      </w:r>
      <w:r>
        <w:rPr>
          <w:lang w:val="en-GB"/>
        </w:rPr>
        <w:t xml:space="preserve">inued in case of confirmed PML. </w:t>
      </w:r>
      <w:r w:rsidRPr="002D4C5B">
        <w:rPr>
          <w:lang w:val="en-GB"/>
        </w:rPr>
        <w:t>Disc</w:t>
      </w:r>
      <w:r>
        <w:rPr>
          <w:lang w:val="en-GB"/>
        </w:rPr>
        <w:t xml:space="preserve">ontinuation or reduction of any </w:t>
      </w:r>
      <w:r w:rsidRPr="002D4C5B">
        <w:rPr>
          <w:lang w:val="en-GB"/>
        </w:rPr>
        <w:t>concomitant ch</w:t>
      </w:r>
      <w:r>
        <w:rPr>
          <w:lang w:val="en-GB"/>
        </w:rPr>
        <w:t xml:space="preserve">emotherapy or immunosuppressive therapy should also be </w:t>
      </w:r>
      <w:r w:rsidRPr="002D4C5B">
        <w:rPr>
          <w:lang w:val="en-GB"/>
        </w:rPr>
        <w:t>considered. The patient should be referre</w:t>
      </w:r>
      <w:r>
        <w:rPr>
          <w:lang w:val="en-GB"/>
        </w:rPr>
        <w:t xml:space="preserve">d to a neurologist for the evaluation and </w:t>
      </w:r>
      <w:r w:rsidRPr="002D4C5B">
        <w:rPr>
          <w:lang w:val="en-GB"/>
        </w:rPr>
        <w:t>treatment of PML.</w:t>
      </w:r>
    </w:p>
    <w:p w14:paraId="0761E178" w14:textId="77777777" w:rsidR="001A3849" w:rsidRDefault="001A3849" w:rsidP="00EB1206">
      <w:pPr>
        <w:pStyle w:val="Heading3"/>
        <w:rPr>
          <w:lang w:val="en-GB"/>
        </w:rPr>
      </w:pPr>
      <w:r>
        <w:rPr>
          <w:lang w:val="en-GB"/>
        </w:rPr>
        <w:t>Immunisation</w:t>
      </w:r>
    </w:p>
    <w:p w14:paraId="51136254" w14:textId="77777777" w:rsidR="001A3849" w:rsidRDefault="001A3849" w:rsidP="00EB1206">
      <w:pPr>
        <w:rPr>
          <w:lang w:val="en-GB"/>
        </w:rPr>
      </w:pPr>
      <w:r>
        <w:rPr>
          <w:lang w:val="en-GB"/>
        </w:rPr>
        <w:t xml:space="preserve">The safety of immunisation with live or attenuated viral vaccines, during or following </w:t>
      </w:r>
      <w:r>
        <w:rPr>
          <w:lang w:val="en-US"/>
        </w:rPr>
        <w:t>Gazyva</w:t>
      </w:r>
      <w:r>
        <w:rPr>
          <w:lang w:val="en-GB"/>
        </w:rPr>
        <w:t xml:space="preserve"> therapy has not been studied. Vaccination with live virus vaccines is not recommended during treatment and until B-cell recovery. Treatment with </w:t>
      </w:r>
      <w:r>
        <w:rPr>
          <w:lang w:val="en-US"/>
        </w:rPr>
        <w:t>Gazyva</w:t>
      </w:r>
      <w:r>
        <w:rPr>
          <w:lang w:val="en-GB"/>
        </w:rPr>
        <w:t xml:space="preserve"> following vaccination should only commence once protective antibody titres have been reached.</w:t>
      </w:r>
    </w:p>
    <w:p w14:paraId="6FB01105" w14:textId="77777777" w:rsidR="001A3849" w:rsidRDefault="001A3849" w:rsidP="00EB1206">
      <w:pPr>
        <w:pStyle w:val="Heading4"/>
        <w:rPr>
          <w:lang w:val="en-GB"/>
        </w:rPr>
      </w:pPr>
      <w:r w:rsidRPr="00421F12">
        <w:rPr>
          <w:lang w:val="en-GB"/>
        </w:rPr>
        <w:t>Exposure in utero to G</w:t>
      </w:r>
      <w:r>
        <w:rPr>
          <w:lang w:val="en-GB"/>
        </w:rPr>
        <w:t>azyva</w:t>
      </w:r>
      <w:r w:rsidRPr="00421F12">
        <w:rPr>
          <w:lang w:val="en-GB"/>
        </w:rPr>
        <w:t xml:space="preserve"> and vaccination of infants with live virus vaccines</w:t>
      </w:r>
    </w:p>
    <w:p w14:paraId="5089EB38" w14:textId="77777777" w:rsidR="001A3849" w:rsidRPr="00414BFC" w:rsidRDefault="001A3849" w:rsidP="00EB1206">
      <w:pPr>
        <w:rPr>
          <w:lang w:val="en-GB"/>
        </w:rPr>
      </w:pPr>
      <w:r w:rsidRPr="00BA4FAC">
        <w:rPr>
          <w:lang w:val="en-GB"/>
        </w:rPr>
        <w:t xml:space="preserve">Due to the potential depletion of B cells in infants of mothers who have been exposed to </w:t>
      </w:r>
      <w:r>
        <w:rPr>
          <w:lang w:val="en-US"/>
        </w:rPr>
        <w:t>Gazyva</w:t>
      </w:r>
      <w:r w:rsidRPr="00BA4FAC">
        <w:rPr>
          <w:lang w:val="en-GB"/>
        </w:rPr>
        <w:t xml:space="preserve"> during pregnancy, the safety and timing of vaccinations with live virus vaccines should be discussed with the child’s healthcare provider. Postponing vaccination with live vaccines should be considered for infants born to mothers who have been exposed to </w:t>
      </w:r>
      <w:r>
        <w:rPr>
          <w:lang w:val="en-US"/>
        </w:rPr>
        <w:t>Gazyva</w:t>
      </w:r>
      <w:r w:rsidRPr="00BA4FAC">
        <w:rPr>
          <w:lang w:val="en-GB"/>
        </w:rPr>
        <w:t xml:space="preserve"> during pregnancy until the infants’ B cell levels are within normal ranges (see </w:t>
      </w:r>
      <w:r w:rsidR="00616FE6">
        <w:rPr>
          <w:lang w:val="en-GB"/>
        </w:rPr>
        <w:t>section 4.6 Fertility, Pregnancy and Lactation</w:t>
      </w:r>
      <w:r>
        <w:rPr>
          <w:lang w:val="en-GB"/>
        </w:rPr>
        <w:t>)</w:t>
      </w:r>
      <w:r w:rsidRPr="00BA4FAC">
        <w:rPr>
          <w:lang w:val="en-GB"/>
        </w:rPr>
        <w:t>.</w:t>
      </w:r>
    </w:p>
    <w:p w14:paraId="5611ADAA" w14:textId="77777777" w:rsidR="001A3849" w:rsidRPr="00AD52E8" w:rsidRDefault="001A3849" w:rsidP="00EB1206">
      <w:pPr>
        <w:pStyle w:val="Heading3"/>
      </w:pPr>
      <w:r w:rsidRPr="00AD52E8">
        <w:t>Use in renal impairment</w:t>
      </w:r>
    </w:p>
    <w:p w14:paraId="7F40494A" w14:textId="77777777" w:rsidR="001A3849" w:rsidRPr="00F068A0" w:rsidRDefault="001A3849" w:rsidP="00EB1206">
      <w:pPr>
        <w:pStyle w:val="Heading4"/>
        <w:spacing w:before="0"/>
      </w:pPr>
      <w:r w:rsidRPr="00F068A0">
        <w:t>Chronic Lymphocytic Leukaemia</w:t>
      </w:r>
    </w:p>
    <w:p w14:paraId="6048A9B8" w14:textId="77777777" w:rsidR="001A3849" w:rsidRDefault="001A3849" w:rsidP="00EB1206">
      <w:pPr>
        <w:spacing w:after="120"/>
      </w:pPr>
      <w:r>
        <w:t xml:space="preserve">In the pivotal study in CLL, 27% (90 out of 336) of patients treated with </w:t>
      </w:r>
      <w:r>
        <w:rPr>
          <w:lang w:val="en-US"/>
        </w:rPr>
        <w:t>Gazyva</w:t>
      </w:r>
      <w:r>
        <w:t xml:space="preserve"> plus chlorambucil had moderate renal impairment (</w:t>
      </w:r>
      <w:proofErr w:type="spellStart"/>
      <w:r>
        <w:t>CrCl</w:t>
      </w:r>
      <w:proofErr w:type="spellEnd"/>
      <w:r>
        <w:t xml:space="preserve"> &lt; 50 mL/min). These patients experienced more serious adverse events and adverse events leading to death than those associated with </w:t>
      </w:r>
      <w:proofErr w:type="spellStart"/>
      <w:r>
        <w:t>CrCl</w:t>
      </w:r>
      <w:proofErr w:type="spellEnd"/>
      <w:r>
        <w:t xml:space="preserve"> ≥ 50 mL/min</w:t>
      </w:r>
      <w:r w:rsidRPr="004A2E15">
        <w:t xml:space="preserve"> </w:t>
      </w:r>
      <w:r>
        <w:t xml:space="preserve">(see </w:t>
      </w:r>
      <w:r w:rsidR="00616FE6">
        <w:t>sections 4.2 Dose and method of administration and 5.2 Pharmacokinetic properties</w:t>
      </w:r>
      <w:r>
        <w:t xml:space="preserve">). No significant differences in efficacy were observed between patients with </w:t>
      </w:r>
      <w:proofErr w:type="spellStart"/>
      <w:r>
        <w:t>CrCl</w:t>
      </w:r>
      <w:proofErr w:type="spellEnd"/>
      <w:r>
        <w:t xml:space="preserve"> &lt; 50 mL/min and those with </w:t>
      </w:r>
      <w:proofErr w:type="spellStart"/>
      <w:r>
        <w:t>CrCl</w:t>
      </w:r>
      <w:proofErr w:type="spellEnd"/>
      <w:r>
        <w:t xml:space="preserve"> ≥ 50 mL/min. Patients with </w:t>
      </w:r>
      <w:proofErr w:type="spellStart"/>
      <w:r>
        <w:t>CrCl</w:t>
      </w:r>
      <w:proofErr w:type="spellEnd"/>
      <w:r>
        <w:t xml:space="preserve"> &lt; 30 mL/min were excluded from the study (see</w:t>
      </w:r>
      <w:r w:rsidR="00616FE6">
        <w:t xml:space="preserve"> section 5.1 Pharmacodynamic properties</w:t>
      </w:r>
      <w:r>
        <w:t>).</w:t>
      </w:r>
    </w:p>
    <w:p w14:paraId="5EA3F233" w14:textId="3FBF5E8B" w:rsidR="001A3849" w:rsidRPr="00F068A0" w:rsidRDefault="001A3849" w:rsidP="00EB1206">
      <w:pPr>
        <w:pStyle w:val="Heading4"/>
      </w:pPr>
      <w:r w:rsidRPr="00F068A0">
        <w:t>Non-Hodgkin Lymphoma</w:t>
      </w:r>
      <w:r w:rsidR="00660E78">
        <w:t xml:space="preserve"> (NHL)</w:t>
      </w:r>
    </w:p>
    <w:p w14:paraId="528F801E" w14:textId="790EE013" w:rsidR="001A3849" w:rsidRDefault="001A3849" w:rsidP="00EB1206">
      <w:pPr>
        <w:spacing w:after="120"/>
      </w:pPr>
      <w:r w:rsidRPr="00475599">
        <w:lastRenderedPageBreak/>
        <w:t>In the pivotal stud</w:t>
      </w:r>
      <w:r>
        <w:t>ies</w:t>
      </w:r>
      <w:r w:rsidRPr="00475599">
        <w:t xml:space="preserve"> in </w:t>
      </w:r>
      <w:proofErr w:type="spellStart"/>
      <w:r w:rsidRPr="00475599">
        <w:t>iNHL</w:t>
      </w:r>
      <w:proofErr w:type="spellEnd"/>
      <w:r w:rsidRPr="00475599">
        <w:t xml:space="preserve">, </w:t>
      </w:r>
      <w:r w:rsidR="00B46FB2">
        <w:t>6.9%</w:t>
      </w:r>
      <w:r>
        <w:t xml:space="preserve"> of patients (</w:t>
      </w:r>
      <w:r w:rsidR="00B46FB2">
        <w:t>14 of 204</w:t>
      </w:r>
      <w:r>
        <w:t xml:space="preserve">) in study GAO4753g and 5% of patients (35 of 698) in study BO21223 had </w:t>
      </w:r>
      <w:r w:rsidRPr="00475599">
        <w:t>moderate renal impairment (</w:t>
      </w:r>
      <w:proofErr w:type="spellStart"/>
      <w:r w:rsidRPr="00475599">
        <w:t>CrCl</w:t>
      </w:r>
      <w:proofErr w:type="spellEnd"/>
      <w:r w:rsidRPr="00475599">
        <w:t xml:space="preserve"> &lt;</w:t>
      </w:r>
      <w:r>
        <w:t xml:space="preserve"> </w:t>
      </w:r>
      <w:r w:rsidRPr="00475599">
        <w:t>50 mL/min). These patients experienced more serious adverse events</w:t>
      </w:r>
      <w:r>
        <w:t>,</w:t>
      </w:r>
      <w:r w:rsidRPr="00475599">
        <w:t xml:space="preserve"> </w:t>
      </w:r>
      <w:r w:rsidR="008D0E55">
        <w:t xml:space="preserve">grade 3 to 5 </w:t>
      </w:r>
      <w:r w:rsidRPr="00475599">
        <w:t xml:space="preserve">adverse events </w:t>
      </w:r>
      <w:r>
        <w:t xml:space="preserve">and adverse events leading to treatment withdrawal </w:t>
      </w:r>
      <w:r w:rsidR="008D0E55" w:rsidRPr="008D0E55">
        <w:t>(patients in Study BO21223 only</w:t>
      </w:r>
      <w:r w:rsidR="008D0E55">
        <w:t xml:space="preserve">) </w:t>
      </w:r>
      <w:r w:rsidRPr="00475599">
        <w:t xml:space="preserve">than those associated with </w:t>
      </w:r>
      <w:proofErr w:type="spellStart"/>
      <w:r w:rsidRPr="00475599">
        <w:t>CrCl</w:t>
      </w:r>
      <w:proofErr w:type="spellEnd"/>
      <w:r w:rsidRPr="00475599">
        <w:t xml:space="preserve"> ≥</w:t>
      </w:r>
      <w:r>
        <w:t xml:space="preserve"> </w:t>
      </w:r>
      <w:r w:rsidRPr="00475599">
        <w:t xml:space="preserve">50 mL/min (see </w:t>
      </w:r>
      <w:r w:rsidR="00616FE6">
        <w:t>section 4.2 Dose and method of administration</w:t>
      </w:r>
      <w:r w:rsidRPr="00475599">
        <w:t xml:space="preserve"> and </w:t>
      </w:r>
      <w:r w:rsidR="00616FE6">
        <w:t>5.2 Pharmacokinetic properties</w:t>
      </w:r>
      <w:r w:rsidRPr="00475599">
        <w:t xml:space="preserve">). Patients with </w:t>
      </w:r>
      <w:proofErr w:type="spellStart"/>
      <w:r w:rsidRPr="00475599">
        <w:t>CrCl</w:t>
      </w:r>
      <w:proofErr w:type="spellEnd"/>
      <w:r w:rsidRPr="00475599">
        <w:t xml:space="preserve"> &lt;</w:t>
      </w:r>
      <w:r>
        <w:t xml:space="preserve"> </w:t>
      </w:r>
      <w:r w:rsidRPr="00475599">
        <w:t>40 mL/min were excluded from the stud</w:t>
      </w:r>
      <w:r>
        <w:t>ies</w:t>
      </w:r>
      <w:r w:rsidRPr="00475599">
        <w:t xml:space="preserve"> (see </w:t>
      </w:r>
      <w:r w:rsidR="00616FE6">
        <w:t>section 5.1 Pharmacodynamic properties</w:t>
      </w:r>
      <w:r w:rsidRPr="00475599">
        <w:t>).</w:t>
      </w:r>
    </w:p>
    <w:p w14:paraId="6632E6D2" w14:textId="77777777" w:rsidR="001A3849" w:rsidRPr="00385F31" w:rsidRDefault="001A3849" w:rsidP="00EB1206">
      <w:pPr>
        <w:pStyle w:val="Heading3"/>
      </w:pPr>
      <w:r w:rsidRPr="00385F31">
        <w:t>Use in hepatic impairment</w:t>
      </w:r>
    </w:p>
    <w:p w14:paraId="49CE0405" w14:textId="77777777" w:rsidR="001A3849" w:rsidRPr="00995C08" w:rsidRDefault="001A3849" w:rsidP="00EB1206">
      <w:pPr>
        <w:spacing w:after="120"/>
        <w:rPr>
          <w:lang w:val="en"/>
        </w:rPr>
      </w:pPr>
      <w:r>
        <w:t xml:space="preserve">The safety and efficacy of </w:t>
      </w:r>
      <w:r>
        <w:rPr>
          <w:lang w:val="en-US"/>
        </w:rPr>
        <w:t>Gazyva</w:t>
      </w:r>
      <w:r>
        <w:t xml:space="preserve"> in patients with hepatic impairment have not been established.</w:t>
      </w:r>
    </w:p>
    <w:p w14:paraId="7F7D05B6" w14:textId="77777777" w:rsidR="001A3849" w:rsidRDefault="001A3849" w:rsidP="00EB1206">
      <w:pPr>
        <w:pStyle w:val="Heading3"/>
      </w:pPr>
      <w:r>
        <w:t>Paediatric use</w:t>
      </w:r>
    </w:p>
    <w:p w14:paraId="7A510569" w14:textId="77777777" w:rsidR="001A3849" w:rsidRDefault="001A3849" w:rsidP="00EB1206">
      <w:pPr>
        <w:spacing w:after="120"/>
      </w:pPr>
      <w:r>
        <w:t xml:space="preserve">The safety and efficacy of </w:t>
      </w:r>
      <w:r>
        <w:rPr>
          <w:lang w:val="en-US"/>
        </w:rPr>
        <w:t>Gazyva</w:t>
      </w:r>
      <w:r>
        <w:t xml:space="preserve"> in children below 18 years of age have not been established.</w:t>
      </w:r>
    </w:p>
    <w:p w14:paraId="1149755F" w14:textId="77777777" w:rsidR="001A3849" w:rsidRDefault="001A3849" w:rsidP="00EB1206">
      <w:pPr>
        <w:pStyle w:val="Heading3"/>
      </w:pPr>
      <w:r>
        <w:t>Use in the elderly</w:t>
      </w:r>
    </w:p>
    <w:p w14:paraId="4A288A76" w14:textId="77777777" w:rsidR="001A3849" w:rsidRPr="00F068A0" w:rsidRDefault="001A3849" w:rsidP="00EB1206">
      <w:pPr>
        <w:pStyle w:val="Heading4"/>
        <w:spacing w:before="0"/>
      </w:pPr>
      <w:r w:rsidRPr="00F068A0">
        <w:t>Chronic Lymphocytic Leukaemia</w:t>
      </w:r>
    </w:p>
    <w:p w14:paraId="1054BF9D" w14:textId="0B81ABA0" w:rsidR="001A3849" w:rsidRDefault="001A3849" w:rsidP="00EB1206">
      <w:pPr>
        <w:spacing w:after="120"/>
      </w:pPr>
      <w:r>
        <w:t xml:space="preserve">In the pivotal study in CLL, 46% (156 out of 336) of patients treated with </w:t>
      </w:r>
      <w:r>
        <w:rPr>
          <w:lang w:val="en-US"/>
        </w:rPr>
        <w:t>Gazyva</w:t>
      </w:r>
      <w:r>
        <w:t xml:space="preserve"> plus chlorambucil were 75 years old or older (median age was 74 years). These patients experienced more serious adverse events and adverse events leading to death than patients &lt; 75 years of age. No significant differences in efficacy were observed between patients ≥ 75 years of age and those &lt; 75 years of age </w:t>
      </w:r>
      <w:r w:rsidR="00616FE6" w:rsidRPr="00475599">
        <w:t xml:space="preserve">(see </w:t>
      </w:r>
      <w:r w:rsidR="00616FE6">
        <w:t>section 5.1 Pharmacodynamic properties</w:t>
      </w:r>
      <w:r w:rsidR="00616FE6" w:rsidRPr="00475599">
        <w:t>).</w:t>
      </w:r>
    </w:p>
    <w:p w14:paraId="1E47AF59" w14:textId="77777777" w:rsidR="001A3849" w:rsidRPr="00F068A0" w:rsidRDefault="001A3849" w:rsidP="00EB1206">
      <w:pPr>
        <w:pStyle w:val="Heading4"/>
      </w:pPr>
      <w:r w:rsidRPr="00F068A0">
        <w:t>Non-Hodgkin Lymphoma</w:t>
      </w:r>
    </w:p>
    <w:p w14:paraId="3F1E9D7C" w14:textId="6EF008CC" w:rsidR="001A3849" w:rsidRDefault="001A3849" w:rsidP="00EB1206">
      <w:pPr>
        <w:spacing w:after="120"/>
      </w:pPr>
      <w:r w:rsidRPr="00E027C8">
        <w:t>In the pivotal stud</w:t>
      </w:r>
      <w:r>
        <w:t>ies</w:t>
      </w:r>
      <w:r w:rsidRPr="00E027C8">
        <w:t xml:space="preserve"> in </w:t>
      </w:r>
      <w:proofErr w:type="spellStart"/>
      <w:r w:rsidRPr="00E027C8">
        <w:t>iNHL</w:t>
      </w:r>
      <w:proofErr w:type="spellEnd"/>
      <w:r w:rsidRPr="00E027C8">
        <w:t>,</w:t>
      </w:r>
      <w:r>
        <w:t xml:space="preserve"> patients ≥ 65 years of age experienced more serious adverse events and adverse events leading to withdrawal or death than patients &lt; 65 years of age</w:t>
      </w:r>
      <w:r w:rsidRPr="00E027C8">
        <w:t>. No clinically meaningful differences in efficacy were observed.</w:t>
      </w:r>
      <w:r>
        <w:t xml:space="preserve"> Table </w:t>
      </w:r>
      <w:r w:rsidR="005D2569">
        <w:t>6</w:t>
      </w:r>
      <w:r>
        <w:t xml:space="preserve"> outlines treatment-related AEs by age group for patients enrolled in study BO21223.</w:t>
      </w:r>
    </w:p>
    <w:p w14:paraId="148C61B6" w14:textId="098E6CD4" w:rsidR="001A3849" w:rsidRPr="00CE03AC" w:rsidRDefault="001A3849" w:rsidP="00EB1206">
      <w:pPr>
        <w:spacing w:after="120"/>
        <w:rPr>
          <w:b/>
        </w:rPr>
      </w:pPr>
      <w:r w:rsidRPr="00CE03AC">
        <w:rPr>
          <w:b/>
        </w:rPr>
        <w:t xml:space="preserve">Table </w:t>
      </w:r>
      <w:r w:rsidR="005D2569">
        <w:rPr>
          <w:b/>
        </w:rPr>
        <w:t>6</w:t>
      </w:r>
      <w:r w:rsidRPr="00CE03AC">
        <w:rPr>
          <w:b/>
        </w:rPr>
        <w:t xml:space="preserve"> Gazyva treatment-related Adverse Events by age group in patients receiving Gazyva plus chemotherapy vs rituximab plus chemotherapy followed by Gazyva or rituximab maintenance in study BO21223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404"/>
        <w:gridCol w:w="1404"/>
        <w:gridCol w:w="1295"/>
        <w:gridCol w:w="1295"/>
      </w:tblGrid>
      <w:tr w:rsidR="001A3849" w:rsidRPr="00422C9A" w14:paraId="77257ECC" w14:textId="77777777" w:rsidTr="00CE03AC">
        <w:tc>
          <w:tcPr>
            <w:tcW w:w="0" w:type="auto"/>
            <w:shd w:val="clear" w:color="auto" w:fill="auto"/>
          </w:tcPr>
          <w:p w14:paraId="688D376A" w14:textId="77777777" w:rsidR="001A3849" w:rsidRPr="00422C9A" w:rsidRDefault="001A3849" w:rsidP="00EB1206"/>
        </w:tc>
        <w:tc>
          <w:tcPr>
            <w:tcW w:w="0" w:type="auto"/>
            <w:gridSpan w:val="2"/>
            <w:shd w:val="clear" w:color="auto" w:fill="auto"/>
          </w:tcPr>
          <w:p w14:paraId="0C93D579" w14:textId="77777777" w:rsidR="001A3849" w:rsidRPr="00422C9A" w:rsidRDefault="001A3849" w:rsidP="00EB1206">
            <w:pPr>
              <w:spacing w:before="40" w:after="40"/>
              <w:rPr>
                <w:b/>
              </w:rPr>
            </w:pPr>
            <w:r w:rsidRPr="00422C9A">
              <w:rPr>
                <w:b/>
              </w:rPr>
              <w:t>Rituximab plus chemotherapy</w:t>
            </w:r>
          </w:p>
        </w:tc>
        <w:tc>
          <w:tcPr>
            <w:tcW w:w="0" w:type="auto"/>
            <w:gridSpan w:val="2"/>
            <w:shd w:val="clear" w:color="auto" w:fill="auto"/>
          </w:tcPr>
          <w:p w14:paraId="1E712F04" w14:textId="77777777" w:rsidR="001A3849" w:rsidRPr="00422C9A" w:rsidRDefault="001A3849" w:rsidP="00EB1206">
            <w:pPr>
              <w:spacing w:before="40" w:after="40"/>
              <w:rPr>
                <w:b/>
              </w:rPr>
            </w:pPr>
            <w:r w:rsidRPr="00422C9A">
              <w:rPr>
                <w:b/>
              </w:rPr>
              <w:t>G</w:t>
            </w:r>
            <w:r>
              <w:rPr>
                <w:b/>
              </w:rPr>
              <w:t>azyva</w:t>
            </w:r>
            <w:r w:rsidRPr="00422C9A">
              <w:rPr>
                <w:b/>
              </w:rPr>
              <w:t xml:space="preserve"> plus chemotherapy</w:t>
            </w:r>
          </w:p>
        </w:tc>
      </w:tr>
      <w:tr w:rsidR="001A3849" w:rsidRPr="00422C9A" w14:paraId="5EC34480" w14:textId="77777777" w:rsidTr="00CE03AC">
        <w:tc>
          <w:tcPr>
            <w:tcW w:w="0" w:type="auto"/>
            <w:shd w:val="clear" w:color="auto" w:fill="auto"/>
          </w:tcPr>
          <w:p w14:paraId="747E49D9" w14:textId="77777777" w:rsidR="001A3849" w:rsidRPr="00422C9A" w:rsidRDefault="001A3849" w:rsidP="00EB1206">
            <w:r w:rsidRPr="00422C9A">
              <w:t>Number of patients</w:t>
            </w:r>
          </w:p>
        </w:tc>
        <w:tc>
          <w:tcPr>
            <w:tcW w:w="0" w:type="auto"/>
            <w:shd w:val="clear" w:color="auto" w:fill="auto"/>
          </w:tcPr>
          <w:p w14:paraId="2BE3FFD8" w14:textId="2DAB59AF" w:rsidR="001A3849" w:rsidRPr="00422C9A" w:rsidRDefault="001A3849" w:rsidP="00EB1206">
            <w:r w:rsidRPr="00422C9A">
              <w:t>&lt;65</w:t>
            </w:r>
          </w:p>
          <w:p w14:paraId="64DADE9A" w14:textId="77777777" w:rsidR="001A3849" w:rsidRPr="00422C9A" w:rsidRDefault="001A3849" w:rsidP="00EB1206">
            <w:r w:rsidRPr="00422C9A">
              <w:t>n=467</w:t>
            </w:r>
          </w:p>
        </w:tc>
        <w:tc>
          <w:tcPr>
            <w:tcW w:w="0" w:type="auto"/>
            <w:shd w:val="clear" w:color="auto" w:fill="auto"/>
          </w:tcPr>
          <w:p w14:paraId="3B9AB1AE" w14:textId="77777777" w:rsidR="001A3849" w:rsidRDefault="001A3849" w:rsidP="00EB1206">
            <w:r>
              <w:t>&gt;=65</w:t>
            </w:r>
          </w:p>
          <w:p w14:paraId="389F4417" w14:textId="77777777" w:rsidR="001A3849" w:rsidRPr="00422C9A" w:rsidRDefault="001A3849" w:rsidP="00EB1206">
            <w:r w:rsidRPr="00422C9A">
              <w:t>n=225</w:t>
            </w:r>
          </w:p>
        </w:tc>
        <w:tc>
          <w:tcPr>
            <w:tcW w:w="0" w:type="auto"/>
            <w:shd w:val="clear" w:color="auto" w:fill="auto"/>
          </w:tcPr>
          <w:p w14:paraId="51040510" w14:textId="77777777" w:rsidR="001A3849" w:rsidRPr="00422C9A" w:rsidRDefault="001A3849" w:rsidP="00EB1206">
            <w:r w:rsidRPr="00422C9A">
              <w:t>&lt;65</w:t>
            </w:r>
          </w:p>
          <w:p w14:paraId="2243276F" w14:textId="77777777" w:rsidR="001A3849" w:rsidRPr="00422C9A" w:rsidRDefault="001A3849" w:rsidP="00EB1206">
            <w:r w:rsidRPr="00422C9A">
              <w:t>n=465</w:t>
            </w:r>
          </w:p>
        </w:tc>
        <w:tc>
          <w:tcPr>
            <w:tcW w:w="0" w:type="auto"/>
            <w:shd w:val="clear" w:color="auto" w:fill="auto"/>
          </w:tcPr>
          <w:p w14:paraId="054C8107" w14:textId="77777777" w:rsidR="001A3849" w:rsidRPr="00422C9A" w:rsidRDefault="001A3849" w:rsidP="00EB1206">
            <w:r w:rsidRPr="00422C9A">
              <w:t>&gt;=65</w:t>
            </w:r>
          </w:p>
          <w:p w14:paraId="62FEA9C1" w14:textId="77777777" w:rsidR="001A3849" w:rsidRPr="00422C9A" w:rsidRDefault="001A3849" w:rsidP="00EB1206">
            <w:r w:rsidRPr="00422C9A">
              <w:t>n=233</w:t>
            </w:r>
          </w:p>
        </w:tc>
      </w:tr>
      <w:tr w:rsidR="001A3849" w:rsidRPr="00422C9A" w14:paraId="33306EBF" w14:textId="77777777" w:rsidTr="00CE03AC">
        <w:tc>
          <w:tcPr>
            <w:tcW w:w="0" w:type="auto"/>
            <w:shd w:val="clear" w:color="auto" w:fill="auto"/>
          </w:tcPr>
          <w:p w14:paraId="0427D837" w14:textId="77777777" w:rsidR="001A3849" w:rsidRPr="00422C9A" w:rsidRDefault="001A3849" w:rsidP="00EB1206">
            <w:r w:rsidRPr="00422C9A">
              <w:t>Serious AEs</w:t>
            </w:r>
          </w:p>
        </w:tc>
        <w:tc>
          <w:tcPr>
            <w:tcW w:w="0" w:type="auto"/>
            <w:shd w:val="clear" w:color="auto" w:fill="auto"/>
            <w:vAlign w:val="center"/>
          </w:tcPr>
          <w:p w14:paraId="079E772C" w14:textId="77777777" w:rsidR="001A3849" w:rsidRPr="00422C9A" w:rsidRDefault="001A3849" w:rsidP="00EB1206">
            <w:r w:rsidRPr="00422C9A">
              <w:t>36.8%</w:t>
            </w:r>
          </w:p>
        </w:tc>
        <w:tc>
          <w:tcPr>
            <w:tcW w:w="0" w:type="auto"/>
            <w:shd w:val="clear" w:color="auto" w:fill="auto"/>
            <w:vAlign w:val="center"/>
          </w:tcPr>
          <w:p w14:paraId="654E8782" w14:textId="77777777" w:rsidR="001A3849" w:rsidRPr="00422C9A" w:rsidRDefault="001A3849" w:rsidP="00EB1206">
            <w:r w:rsidRPr="00422C9A">
              <w:t>50.7%</w:t>
            </w:r>
          </w:p>
        </w:tc>
        <w:tc>
          <w:tcPr>
            <w:tcW w:w="0" w:type="auto"/>
            <w:shd w:val="clear" w:color="auto" w:fill="auto"/>
            <w:vAlign w:val="center"/>
          </w:tcPr>
          <w:p w14:paraId="10B16CBB" w14:textId="77777777" w:rsidR="001A3849" w:rsidRPr="00422C9A" w:rsidRDefault="001A3849" w:rsidP="00EB1206">
            <w:r w:rsidRPr="00422C9A">
              <w:t>42.6%</w:t>
            </w:r>
          </w:p>
        </w:tc>
        <w:tc>
          <w:tcPr>
            <w:tcW w:w="0" w:type="auto"/>
            <w:shd w:val="clear" w:color="auto" w:fill="auto"/>
            <w:vAlign w:val="center"/>
          </w:tcPr>
          <w:p w14:paraId="01A507FF" w14:textId="77777777" w:rsidR="001A3849" w:rsidRPr="00422C9A" w:rsidRDefault="001A3849" w:rsidP="00EB1206">
            <w:r w:rsidRPr="00422C9A">
              <w:t>62.2%</w:t>
            </w:r>
          </w:p>
        </w:tc>
      </w:tr>
      <w:tr w:rsidR="001A3849" w:rsidRPr="00422C9A" w14:paraId="58B115DC" w14:textId="77777777" w:rsidTr="00CE03AC">
        <w:tc>
          <w:tcPr>
            <w:tcW w:w="0" w:type="auto"/>
            <w:shd w:val="clear" w:color="auto" w:fill="auto"/>
          </w:tcPr>
          <w:p w14:paraId="64155633" w14:textId="77777777" w:rsidR="001A3849" w:rsidRPr="00422C9A" w:rsidRDefault="001A3849" w:rsidP="00EB1206">
            <w:r w:rsidRPr="00422C9A">
              <w:t>AEs leading to withdrawal from any treatment</w:t>
            </w:r>
          </w:p>
        </w:tc>
        <w:tc>
          <w:tcPr>
            <w:tcW w:w="0" w:type="auto"/>
            <w:shd w:val="clear" w:color="auto" w:fill="auto"/>
            <w:vAlign w:val="center"/>
          </w:tcPr>
          <w:p w14:paraId="2198CC71" w14:textId="77777777" w:rsidR="001A3849" w:rsidRPr="00422C9A" w:rsidRDefault="001A3849" w:rsidP="00EB1206">
            <w:r w:rsidRPr="00422C9A">
              <w:t>13.9%</w:t>
            </w:r>
          </w:p>
        </w:tc>
        <w:tc>
          <w:tcPr>
            <w:tcW w:w="0" w:type="auto"/>
            <w:shd w:val="clear" w:color="auto" w:fill="auto"/>
            <w:vAlign w:val="center"/>
          </w:tcPr>
          <w:p w14:paraId="7DE7C80A" w14:textId="77777777" w:rsidR="001A3849" w:rsidRPr="00422C9A" w:rsidRDefault="001A3849" w:rsidP="00EB1206">
            <w:r w:rsidRPr="00422C9A">
              <w:t>18.2%</w:t>
            </w:r>
          </w:p>
        </w:tc>
        <w:tc>
          <w:tcPr>
            <w:tcW w:w="0" w:type="auto"/>
            <w:shd w:val="clear" w:color="auto" w:fill="auto"/>
            <w:vAlign w:val="center"/>
          </w:tcPr>
          <w:p w14:paraId="3FF2224A" w14:textId="77777777" w:rsidR="001A3849" w:rsidRPr="00422C9A" w:rsidRDefault="001A3849" w:rsidP="00EB1206">
            <w:r w:rsidRPr="00422C9A">
              <w:t>13.1%</w:t>
            </w:r>
          </w:p>
        </w:tc>
        <w:tc>
          <w:tcPr>
            <w:tcW w:w="0" w:type="auto"/>
            <w:shd w:val="clear" w:color="auto" w:fill="auto"/>
            <w:vAlign w:val="center"/>
          </w:tcPr>
          <w:p w14:paraId="471A580F" w14:textId="77777777" w:rsidR="001A3849" w:rsidRPr="00422C9A" w:rsidRDefault="001A3849" w:rsidP="00EB1206">
            <w:r w:rsidRPr="00422C9A">
              <w:t>26.2%</w:t>
            </w:r>
          </w:p>
        </w:tc>
      </w:tr>
      <w:tr w:rsidR="001A3849" w:rsidRPr="00422C9A" w14:paraId="7A8DA1E4" w14:textId="77777777" w:rsidTr="00CE03AC">
        <w:tc>
          <w:tcPr>
            <w:tcW w:w="0" w:type="auto"/>
            <w:shd w:val="clear" w:color="auto" w:fill="auto"/>
          </w:tcPr>
          <w:p w14:paraId="1CA06DAB" w14:textId="77777777" w:rsidR="001A3849" w:rsidRPr="00422C9A" w:rsidRDefault="001A3849" w:rsidP="00EB1206">
            <w:r w:rsidRPr="00422C9A">
              <w:t>AEs leading to death</w:t>
            </w:r>
          </w:p>
        </w:tc>
        <w:tc>
          <w:tcPr>
            <w:tcW w:w="0" w:type="auto"/>
            <w:shd w:val="clear" w:color="auto" w:fill="auto"/>
            <w:vAlign w:val="center"/>
          </w:tcPr>
          <w:p w14:paraId="519BFD4E" w14:textId="77777777" w:rsidR="001A3849" w:rsidRPr="00422C9A" w:rsidRDefault="001A3849" w:rsidP="00EB1206">
            <w:r w:rsidRPr="00422C9A">
              <w:t>2.4%</w:t>
            </w:r>
          </w:p>
        </w:tc>
        <w:tc>
          <w:tcPr>
            <w:tcW w:w="0" w:type="auto"/>
            <w:shd w:val="clear" w:color="auto" w:fill="auto"/>
            <w:vAlign w:val="center"/>
          </w:tcPr>
          <w:p w14:paraId="68517E69" w14:textId="77777777" w:rsidR="001A3849" w:rsidRPr="00422C9A" w:rsidRDefault="001A3849" w:rsidP="00EB1206">
            <w:r w:rsidRPr="00422C9A">
              <w:t>7.1%</w:t>
            </w:r>
          </w:p>
        </w:tc>
        <w:tc>
          <w:tcPr>
            <w:tcW w:w="0" w:type="auto"/>
            <w:shd w:val="clear" w:color="auto" w:fill="auto"/>
            <w:vAlign w:val="center"/>
          </w:tcPr>
          <w:p w14:paraId="196B83A0" w14:textId="77777777" w:rsidR="001A3849" w:rsidRPr="00422C9A" w:rsidRDefault="001A3849" w:rsidP="00EB1206">
            <w:r w:rsidRPr="00422C9A">
              <w:t>2.6%</w:t>
            </w:r>
          </w:p>
        </w:tc>
        <w:tc>
          <w:tcPr>
            <w:tcW w:w="0" w:type="auto"/>
            <w:shd w:val="clear" w:color="auto" w:fill="auto"/>
            <w:vAlign w:val="center"/>
          </w:tcPr>
          <w:p w14:paraId="4CA53FCE" w14:textId="77777777" w:rsidR="001A3849" w:rsidRPr="00422C9A" w:rsidRDefault="001A3849" w:rsidP="00EB1206">
            <w:r w:rsidRPr="00422C9A">
              <w:t>10.3%</w:t>
            </w:r>
          </w:p>
        </w:tc>
      </w:tr>
    </w:tbl>
    <w:p w14:paraId="2688A2CA" w14:textId="77777777" w:rsidR="00C514E0" w:rsidRDefault="00C514E0" w:rsidP="00EB1206">
      <w:pPr>
        <w:pStyle w:val="Heading3"/>
      </w:pPr>
      <w:r>
        <w:t>Effect on laboratory tests</w:t>
      </w:r>
    </w:p>
    <w:p w14:paraId="0A6D1946" w14:textId="2D5F1D2B" w:rsidR="004566D5" w:rsidRDefault="00C514E0" w:rsidP="00EB1206">
      <w:pPr>
        <w:spacing w:after="120"/>
      </w:pPr>
      <w:r w:rsidRPr="00C11534">
        <w:t xml:space="preserve">See </w:t>
      </w:r>
      <w:r w:rsidR="00CE03AC">
        <w:t>section 4.4 Special warnings and precautions</w:t>
      </w:r>
      <w:r w:rsidRPr="00C11534">
        <w:t>.</w:t>
      </w:r>
    </w:p>
    <w:p w14:paraId="59E84EAE" w14:textId="2B338DFB" w:rsidR="00D52399" w:rsidRDefault="00902EBE" w:rsidP="00EB1206">
      <w:pPr>
        <w:pStyle w:val="Heading2"/>
      </w:pPr>
      <w:r>
        <w:t>4.5</w:t>
      </w:r>
      <w:r>
        <w:tab/>
        <w:t>INTERACTION</w:t>
      </w:r>
      <w:r w:rsidR="009C4A91">
        <w:t>S</w:t>
      </w:r>
      <w:r>
        <w:t xml:space="preserve"> WITH OTHER MEDICINES AND OTHER FORMS OF INTERACTION</w:t>
      </w:r>
      <w:r w:rsidR="009C4A91">
        <w:t>S</w:t>
      </w:r>
    </w:p>
    <w:p w14:paraId="401F3F74" w14:textId="77777777" w:rsidR="00D52399" w:rsidRDefault="008861D1" w:rsidP="00EB1206">
      <w:r>
        <w:t>No formal drug-drug interaction studies have been performed</w:t>
      </w:r>
      <w:r w:rsidRPr="00A93831">
        <w:t xml:space="preserve">, although limited drug interaction sub-studies have been undertaken for </w:t>
      </w:r>
      <w:r>
        <w:rPr>
          <w:lang w:val="en-US"/>
        </w:rPr>
        <w:t>Gazyva</w:t>
      </w:r>
      <w:r w:rsidRPr="00A93831">
        <w:t xml:space="preserve"> with </w:t>
      </w:r>
      <w:proofErr w:type="spellStart"/>
      <w:r w:rsidRPr="00A93831">
        <w:t>bendamustine</w:t>
      </w:r>
      <w:proofErr w:type="spellEnd"/>
      <w:r w:rsidRPr="00A93831">
        <w:t xml:space="preserve">, CHOP (cyclophosphamide, doxorubicin, vincristine, prednisolone), FC (fludarabine, </w:t>
      </w:r>
      <w:r w:rsidRPr="00A93831">
        <w:lastRenderedPageBreak/>
        <w:t xml:space="preserve">cyclophosphamide) and chlorambucil. Co-administration with </w:t>
      </w:r>
      <w:r>
        <w:rPr>
          <w:lang w:val="en-US"/>
        </w:rPr>
        <w:t>Gazyva</w:t>
      </w:r>
      <w:r w:rsidRPr="00A93831">
        <w:t xml:space="preserve"> had no effect on the pharmacokinetics of </w:t>
      </w:r>
      <w:proofErr w:type="spellStart"/>
      <w:r w:rsidRPr="00A93831">
        <w:t>bendamustine</w:t>
      </w:r>
      <w:proofErr w:type="spellEnd"/>
      <w:r w:rsidRPr="00A93831">
        <w:t xml:space="preserve">, FC or the individual components of CHOP; in addition, there were no apparent effects of </w:t>
      </w:r>
      <w:proofErr w:type="spellStart"/>
      <w:r w:rsidRPr="00A93831">
        <w:t>bendamustine</w:t>
      </w:r>
      <w:proofErr w:type="spellEnd"/>
      <w:r w:rsidRPr="00A93831">
        <w:t xml:space="preserve">, FC, chlorambucil or CHOP on the pharmacokinetics of </w:t>
      </w:r>
      <w:r>
        <w:rPr>
          <w:lang w:val="en-US"/>
        </w:rPr>
        <w:t>Gazyva</w:t>
      </w:r>
      <w:r>
        <w:t>. A risk for interactions with concomitantly used medicinal products cannot be excluded.</w:t>
      </w:r>
    </w:p>
    <w:p w14:paraId="09D2219B" w14:textId="77777777" w:rsidR="00D52399" w:rsidRDefault="00902EBE" w:rsidP="00EB1206">
      <w:pPr>
        <w:pStyle w:val="Heading2"/>
      </w:pPr>
      <w:r>
        <w:t>4.6</w:t>
      </w:r>
      <w:r>
        <w:tab/>
        <w:t>FERTILITY, PREGNANCY AND LACTATION</w:t>
      </w:r>
    </w:p>
    <w:p w14:paraId="5D5FF054" w14:textId="77777777" w:rsidR="001A3849" w:rsidRDefault="001A3849" w:rsidP="00EB1206">
      <w:pPr>
        <w:pStyle w:val="Heading3"/>
      </w:pPr>
      <w:r>
        <w:t>Effects on fertility</w:t>
      </w:r>
    </w:p>
    <w:p w14:paraId="4493A91F" w14:textId="77777777" w:rsidR="001A3849" w:rsidRPr="008A6DAC" w:rsidRDefault="001A3849" w:rsidP="00EB1206">
      <w:pPr>
        <w:spacing w:after="120"/>
      </w:pPr>
      <w:r>
        <w:t xml:space="preserve">No specific studies in animals have been performed to evaluate the effect of </w:t>
      </w:r>
      <w:r>
        <w:rPr>
          <w:lang w:val="en-US"/>
        </w:rPr>
        <w:t>Gazyva</w:t>
      </w:r>
      <w:r>
        <w:t xml:space="preserve"> on fertility. No adverse effects on male and female reproductive organs were observed in repeat dose toxicity studies in cynomolgus monkeys </w:t>
      </w:r>
      <w:r w:rsidRPr="002B55D9">
        <w:t xml:space="preserve">at up to 100 mg/kg/day for 3 months (8 times the clinical exposure based on AUC at the clinical dose of 1000 mg/kg, 3 doses per </w:t>
      </w:r>
      <w:proofErr w:type="gramStart"/>
      <w:r w:rsidRPr="002B55D9">
        <w:t>28 day</w:t>
      </w:r>
      <w:proofErr w:type="gramEnd"/>
      <w:r w:rsidRPr="002B55D9">
        <w:t xml:space="preserve"> cycle) and 50 mg/kg/day for 6 months (6 times the clinical exposure based on AUC)</w:t>
      </w:r>
      <w:r>
        <w:t>.</w:t>
      </w:r>
    </w:p>
    <w:p w14:paraId="6FCBE599" w14:textId="77777777" w:rsidR="001A3849" w:rsidRDefault="001A3849" w:rsidP="00EB1206">
      <w:pPr>
        <w:pStyle w:val="Heading3"/>
      </w:pPr>
      <w:r>
        <w:t>Use in pregnancy – Category C</w:t>
      </w:r>
    </w:p>
    <w:p w14:paraId="7C340887" w14:textId="77777777" w:rsidR="001A3849" w:rsidRDefault="001A3849" w:rsidP="00EB1206">
      <w:pPr>
        <w:spacing w:after="240"/>
      </w:pPr>
      <w:r>
        <w:rPr>
          <w:lang w:val="en-US"/>
        </w:rPr>
        <w:t>Gazyva</w:t>
      </w:r>
      <w:r>
        <w:t xml:space="preserve"> should be avoided during pregnancy unless the potential benefit to the mother outweighs the potential risk to the foetus. Women of child-bearing potential should use effective contraception while receiving </w:t>
      </w:r>
      <w:r>
        <w:rPr>
          <w:lang w:val="en-US"/>
        </w:rPr>
        <w:t>Gazyva</w:t>
      </w:r>
      <w:r>
        <w:t xml:space="preserve"> and for 18 months following treatment with </w:t>
      </w:r>
      <w:r>
        <w:rPr>
          <w:lang w:val="en-US"/>
        </w:rPr>
        <w:t>Gazyva</w:t>
      </w:r>
      <w:r>
        <w:t xml:space="preserve"> (see </w:t>
      </w:r>
      <w:r w:rsidR="00616FE6">
        <w:t>section 5.2 Pharmacokinetic properties</w:t>
      </w:r>
      <w:r>
        <w:t xml:space="preserve">). Postponing vaccination with live vaccines should be considered for infants born to mothers who have been exposed to </w:t>
      </w:r>
      <w:r>
        <w:rPr>
          <w:lang w:val="en-US"/>
        </w:rPr>
        <w:t>Gazyva</w:t>
      </w:r>
      <w:r>
        <w:t xml:space="preserve"> during pregnancy until the infants’ B-cell levels are within normal ranges.</w:t>
      </w:r>
    </w:p>
    <w:p w14:paraId="73381D40" w14:textId="77777777" w:rsidR="001A3849" w:rsidRDefault="001A3849" w:rsidP="00EB1206">
      <w:pPr>
        <w:spacing w:after="120"/>
      </w:pPr>
      <w:r>
        <w:t xml:space="preserve">No studies in pregnant women have been performed. A reproduction study in pregnant cynomolgus monkeys showed no evidence of teratogenic effects. However, </w:t>
      </w:r>
      <w:r w:rsidRPr="009A1A52">
        <w:t xml:space="preserve">weekly </w:t>
      </w:r>
      <w:r w:rsidRPr="00B9782C">
        <w:t>obinutuzumab</w:t>
      </w:r>
      <w:r w:rsidRPr="00DB009E">
        <w:t xml:space="preserve"> </w:t>
      </w:r>
      <w:r w:rsidRPr="009A1A52">
        <w:t xml:space="preserve">dosing from post-coitum day 20 to delivery resulted in complete depletion of B-lymphocytes, opportunistic infections and immune-complex mediated hypersensitivity reactions in infants at weekly intravenous </w:t>
      </w:r>
      <w:r w:rsidRPr="00B9782C">
        <w:t>obinutuzumab</w:t>
      </w:r>
      <w:r w:rsidRPr="009A1A52">
        <w:t xml:space="preserve"> doses of 25 and 50 mg/kg (2-5 times the clinical exposure based on </w:t>
      </w:r>
      <w:proofErr w:type="spellStart"/>
      <w:r w:rsidRPr="009A1A52">
        <w:t>C</w:t>
      </w:r>
      <w:r w:rsidRPr="009A1A52">
        <w:rPr>
          <w:vertAlign w:val="subscript"/>
        </w:rPr>
        <w:t>max</w:t>
      </w:r>
      <w:proofErr w:type="spellEnd"/>
      <w:r w:rsidRPr="009A1A52">
        <w:t xml:space="preserve"> and AUC).</w:t>
      </w:r>
      <w:r>
        <w:t xml:space="preserve"> Offspring exposures on day 28 postpartum </w:t>
      </w:r>
      <w:r w:rsidRPr="009A1A52">
        <w:t xml:space="preserve">(mean </w:t>
      </w:r>
      <w:proofErr w:type="spellStart"/>
      <w:r w:rsidRPr="009A1A52">
        <w:t>C</w:t>
      </w:r>
      <w:r w:rsidRPr="009A1A52">
        <w:rPr>
          <w:vertAlign w:val="subscript"/>
        </w:rPr>
        <w:t>max</w:t>
      </w:r>
      <w:proofErr w:type="spellEnd"/>
      <w:r w:rsidRPr="009A1A52">
        <w:t xml:space="preserve"> 80-240 µg/mL, in the range of concentrations in maternal serum) and very low concentrations in milk </w:t>
      </w:r>
      <w:r>
        <w:t xml:space="preserve">(less than 0.5% of the corresponding maternal serum levels) suggest in utero exposure. B-cell counts returned to normal levels in the infants, and immunologic function was restored within 6 months of birth. Furthermore, the serum concentrations of Gazyva in offspring were </w:t>
      </w:r>
      <w:proofErr w:type="gramStart"/>
      <w:r>
        <w:t>similar to</w:t>
      </w:r>
      <w:proofErr w:type="gramEnd"/>
      <w:r>
        <w:t xml:space="preserve"> those in the mothers on day 28 post-partum, whereas concentrations in milk on the same day were very low, suggesting that </w:t>
      </w:r>
      <w:r>
        <w:rPr>
          <w:lang w:val="en-US"/>
        </w:rPr>
        <w:t>Gazyva</w:t>
      </w:r>
      <w:r>
        <w:t xml:space="preserve"> crosses the placenta.</w:t>
      </w:r>
    </w:p>
    <w:p w14:paraId="4AC703FB" w14:textId="77777777" w:rsidR="001A3849" w:rsidRDefault="001A3849" w:rsidP="00EB1206">
      <w:pPr>
        <w:pStyle w:val="Heading3"/>
      </w:pPr>
      <w:r>
        <w:t>Use in lactation</w:t>
      </w:r>
    </w:p>
    <w:p w14:paraId="4FF08508" w14:textId="77777777" w:rsidR="001A3849" w:rsidRDefault="001A3849" w:rsidP="00EB1206">
      <w:pPr>
        <w:spacing w:after="120"/>
      </w:pPr>
      <w:r>
        <w:t xml:space="preserve">As human IgG is secreted in human milk and the potential for absorption and harm to the infant is unknown, women should be advised to discontinue breast-feeding during </w:t>
      </w:r>
      <w:r>
        <w:rPr>
          <w:lang w:val="en-US"/>
        </w:rPr>
        <w:t>Gazyva</w:t>
      </w:r>
      <w:r>
        <w:t xml:space="preserve"> therapy and for 18 months after the last dose of </w:t>
      </w:r>
      <w:r>
        <w:rPr>
          <w:lang w:val="en-US"/>
        </w:rPr>
        <w:t>Gazyva</w:t>
      </w:r>
      <w:r>
        <w:t xml:space="preserve"> </w:t>
      </w:r>
      <w:r w:rsidR="00616FE6">
        <w:t>(see section 5.2 Pharmacokinetic properties)</w:t>
      </w:r>
      <w:r>
        <w:t xml:space="preserve">. Animal studies have shown excretion of </w:t>
      </w:r>
      <w:r>
        <w:rPr>
          <w:lang w:val="en-US"/>
        </w:rPr>
        <w:t>Gazyva</w:t>
      </w:r>
      <w:r>
        <w:t xml:space="preserve"> in breast milk (see </w:t>
      </w:r>
      <w:r w:rsidR="00616FE6">
        <w:t>section 4.6 Fertility, pregnancy and lactation</w:t>
      </w:r>
      <w:r>
        <w:t>).</w:t>
      </w:r>
    </w:p>
    <w:p w14:paraId="592C5D5F" w14:textId="77777777" w:rsidR="00D52399" w:rsidRDefault="00902EBE" w:rsidP="00EB1206">
      <w:pPr>
        <w:pStyle w:val="Heading2"/>
      </w:pPr>
      <w:r>
        <w:t>4.7</w:t>
      </w:r>
      <w:r>
        <w:tab/>
        <w:t>EFFECTS ON ABILITY TO DRIVE AND USE MACHINES</w:t>
      </w:r>
    </w:p>
    <w:p w14:paraId="1606DAB5" w14:textId="77777777" w:rsidR="008861D1" w:rsidRPr="00C11534" w:rsidRDefault="008861D1" w:rsidP="00EB1206">
      <w:pPr>
        <w:spacing w:before="240" w:after="120"/>
      </w:pPr>
      <w:r>
        <w:t xml:space="preserve">No studies on the effects of </w:t>
      </w:r>
      <w:r>
        <w:rPr>
          <w:lang w:val="en-US"/>
        </w:rPr>
        <w:t>Gazyva</w:t>
      </w:r>
      <w:r>
        <w:t xml:space="preserve"> on the ability to drive and to use machines have been performed. Patients experiencing infusion-related symptoms should be advised not to drive and use machines until symptoms abate.</w:t>
      </w:r>
    </w:p>
    <w:p w14:paraId="20011963" w14:textId="77777777" w:rsidR="00D52399" w:rsidRPr="008861D1" w:rsidRDefault="00902EBE" w:rsidP="00EB1206">
      <w:pPr>
        <w:pStyle w:val="Heading2"/>
      </w:pPr>
      <w:r w:rsidRPr="008861D1">
        <w:t>4.8</w:t>
      </w:r>
      <w:r w:rsidRPr="008861D1">
        <w:tab/>
        <w:t>ADVERSE EFFECTS (UNDESIRABLE EFFECTS)</w:t>
      </w:r>
    </w:p>
    <w:p w14:paraId="6537B751" w14:textId="77777777" w:rsidR="001A6FB0" w:rsidRPr="00A31A69" w:rsidRDefault="001A6FB0" w:rsidP="00EB1206">
      <w:pPr>
        <w:pStyle w:val="Heading3"/>
      </w:pPr>
      <w:r w:rsidRPr="00A31A69">
        <w:lastRenderedPageBreak/>
        <w:t>Chronic Lymphocytic Leukaemia</w:t>
      </w:r>
    </w:p>
    <w:p w14:paraId="25807BCA" w14:textId="1AA4BAA8" w:rsidR="001A6FB0" w:rsidRDefault="001A6FB0" w:rsidP="00EB1206">
      <w:pPr>
        <w:spacing w:after="240"/>
      </w:pPr>
      <w:r w:rsidRPr="004A4A8E">
        <w:t xml:space="preserve">The adverse drug reactions (ADRs) described in this section were identified </w:t>
      </w:r>
      <w:r>
        <w:t xml:space="preserve">during treatment and follow-up </w:t>
      </w:r>
      <w:r w:rsidRPr="004A4A8E">
        <w:t xml:space="preserve">from the pivotal clinical trial, BO21004/CLL11, in which </w:t>
      </w:r>
      <w:r>
        <w:rPr>
          <w:lang w:val="en-US"/>
        </w:rPr>
        <w:t>Gazyva</w:t>
      </w:r>
      <w:r w:rsidRPr="004A4A8E">
        <w:t xml:space="preserve"> was given in combination with chlorambucil </w:t>
      </w:r>
      <w:r>
        <w:t>compared to</w:t>
      </w:r>
      <w:r w:rsidRPr="004A4A8E">
        <w:t xml:space="preserve"> chlorambucil alone</w:t>
      </w:r>
      <w:r>
        <w:t xml:space="preserve"> (Stage 1) or rituximab plus chlora</w:t>
      </w:r>
      <w:r w:rsidR="00CC7747">
        <w:t>m</w:t>
      </w:r>
      <w:r>
        <w:t>bucil (Stage 2)</w:t>
      </w:r>
      <w:r w:rsidRPr="004A4A8E">
        <w:t xml:space="preserve">. </w:t>
      </w:r>
      <w:r>
        <w:t xml:space="preserve">In patients treated with </w:t>
      </w:r>
      <w:r>
        <w:rPr>
          <w:lang w:val="en-US"/>
        </w:rPr>
        <w:t>Gazyva</w:t>
      </w:r>
      <w:r>
        <w:t xml:space="preserve"> in combination with chlorambucil, 81% received all 6 treatment cycles compared to 89% of patients in the rituximab plus chlorambucil arm and 67% of patients in the chlorambucil alone arm.</w:t>
      </w:r>
    </w:p>
    <w:p w14:paraId="4D19B44C" w14:textId="4F30113D" w:rsidR="001A6FB0" w:rsidRDefault="001A6FB0" w:rsidP="00EB1206">
      <w:pPr>
        <w:spacing w:after="240"/>
      </w:pPr>
      <w:r>
        <w:t xml:space="preserve">Tables </w:t>
      </w:r>
      <w:r w:rsidR="001C5E4E">
        <w:t>7</w:t>
      </w:r>
      <w:r w:rsidR="001C2730">
        <w:t xml:space="preserve"> </w:t>
      </w:r>
      <w:r>
        <w:t xml:space="preserve">and </w:t>
      </w:r>
      <w:r w:rsidR="001C5E4E">
        <w:t>8</w:t>
      </w:r>
      <w:r>
        <w:t xml:space="preserve"> summarise the ADRs that occurred at a higher incidence (difference of ≥2%) in patients receiving </w:t>
      </w:r>
      <w:r>
        <w:rPr>
          <w:lang w:val="en-US"/>
        </w:rPr>
        <w:t>Gazyva</w:t>
      </w:r>
      <w:r>
        <w:t xml:space="preserve"> plus chlorambucil as compared to chlorambucil alone or rituximab plus chlorambucil, respectively.</w:t>
      </w:r>
    </w:p>
    <w:p w14:paraId="6E269F20" w14:textId="0212248F" w:rsidR="001A6FB0" w:rsidRDefault="001A6FB0" w:rsidP="00EB1206">
      <w:pPr>
        <w:spacing w:after="120"/>
        <w:rPr>
          <w:rFonts w:cs="Arial"/>
          <w:b/>
          <w:lang w:eastAsia="ko-KR" w:bidi="he-IL"/>
        </w:rPr>
      </w:pPr>
      <w:r w:rsidRPr="00C92F9F">
        <w:rPr>
          <w:rFonts w:cs="Arial"/>
          <w:b/>
          <w:lang w:eastAsia="ko-KR" w:bidi="he-IL"/>
        </w:rPr>
        <w:t>T</w:t>
      </w:r>
      <w:r>
        <w:rPr>
          <w:rFonts w:cs="Arial"/>
          <w:b/>
          <w:lang w:eastAsia="ko-KR" w:bidi="he-IL"/>
        </w:rPr>
        <w:t xml:space="preserve">able </w:t>
      </w:r>
      <w:r w:rsidR="005D2569">
        <w:rPr>
          <w:rFonts w:cs="Arial"/>
          <w:b/>
          <w:lang w:eastAsia="ko-KR" w:bidi="he-IL"/>
        </w:rPr>
        <w:t>7</w:t>
      </w:r>
      <w:r w:rsidRPr="00C92F9F">
        <w:rPr>
          <w:rFonts w:cs="Arial"/>
          <w:b/>
          <w:lang w:eastAsia="ko-KR" w:bidi="he-IL"/>
        </w:rPr>
        <w:t xml:space="preserve"> </w:t>
      </w:r>
      <w:r>
        <w:rPr>
          <w:rFonts w:cs="Arial"/>
          <w:b/>
          <w:lang w:eastAsia="ko-KR" w:bidi="he-IL"/>
        </w:rPr>
        <w:t xml:space="preserve">Adverse Reactions reported with a higher incidence (difference of </w:t>
      </w:r>
      <w:r>
        <w:rPr>
          <w:b/>
          <w:lang w:eastAsia="ko-KR" w:bidi="he-IL"/>
        </w:rPr>
        <w:t>≥</w:t>
      </w:r>
      <w:r>
        <w:rPr>
          <w:rFonts w:cs="Arial"/>
          <w:b/>
          <w:lang w:eastAsia="ko-KR" w:bidi="he-IL"/>
        </w:rPr>
        <w:t xml:space="preserve"> 2% compared to chlorambucil alone [Stage 1]) in patients receiving Gazyva plus chlorambucil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1424"/>
        <w:gridCol w:w="1416"/>
        <w:gridCol w:w="1475"/>
      </w:tblGrid>
      <w:tr w:rsidR="001A6FB0" w:rsidRPr="004362B1" w14:paraId="63C41692" w14:textId="77777777" w:rsidTr="00616FE6">
        <w:trPr>
          <w:tblHeader/>
          <w:jc w:val="center"/>
        </w:trPr>
        <w:tc>
          <w:tcPr>
            <w:tcW w:w="3686" w:type="dxa"/>
            <w:shd w:val="clear" w:color="auto" w:fill="auto"/>
            <w:vAlign w:val="center"/>
          </w:tcPr>
          <w:p w14:paraId="5AB36E75" w14:textId="77777777" w:rsidR="001A6FB0" w:rsidRPr="004362B1" w:rsidRDefault="001A6FB0" w:rsidP="00EB1206">
            <w:pPr>
              <w:rPr>
                <w:b/>
                <w:sz w:val="22"/>
                <w:lang w:val="en-US"/>
              </w:rPr>
            </w:pPr>
            <w:r w:rsidRPr="004362B1">
              <w:rPr>
                <w:b/>
                <w:sz w:val="22"/>
                <w:lang w:val="en-US"/>
              </w:rPr>
              <w:t xml:space="preserve">ADR (MedDRA) </w:t>
            </w:r>
          </w:p>
          <w:p w14:paraId="30A164A2" w14:textId="77777777" w:rsidR="001A6FB0" w:rsidRPr="004362B1" w:rsidRDefault="001A6FB0" w:rsidP="00EB1206">
            <w:pPr>
              <w:rPr>
                <w:b/>
                <w:sz w:val="22"/>
                <w:lang w:val="en-US"/>
              </w:rPr>
            </w:pPr>
            <w:r w:rsidRPr="004362B1">
              <w:rPr>
                <w:b/>
                <w:sz w:val="22"/>
                <w:lang w:val="en-US"/>
              </w:rPr>
              <w:t>System Organ Class</w:t>
            </w:r>
          </w:p>
        </w:tc>
        <w:tc>
          <w:tcPr>
            <w:tcW w:w="2842" w:type="dxa"/>
            <w:gridSpan w:val="2"/>
            <w:shd w:val="clear" w:color="auto" w:fill="auto"/>
            <w:vAlign w:val="center"/>
          </w:tcPr>
          <w:p w14:paraId="3A9E646F" w14:textId="77777777" w:rsidR="001A6FB0" w:rsidRPr="004362B1" w:rsidRDefault="001A6FB0" w:rsidP="00EB1206">
            <w:pPr>
              <w:rPr>
                <w:b/>
                <w:sz w:val="22"/>
                <w:lang w:val="en-US"/>
              </w:rPr>
            </w:pPr>
            <w:r w:rsidRPr="004362B1">
              <w:rPr>
                <w:b/>
                <w:sz w:val="22"/>
                <w:lang w:val="en-US"/>
              </w:rPr>
              <w:t>All Grades %</w:t>
            </w:r>
          </w:p>
        </w:tc>
        <w:tc>
          <w:tcPr>
            <w:tcW w:w="2891" w:type="dxa"/>
            <w:gridSpan w:val="2"/>
            <w:shd w:val="clear" w:color="auto" w:fill="auto"/>
            <w:vAlign w:val="center"/>
          </w:tcPr>
          <w:p w14:paraId="697FB809" w14:textId="77777777" w:rsidR="001A6FB0" w:rsidRPr="004362B1" w:rsidRDefault="001A6FB0" w:rsidP="00EB1206">
            <w:pPr>
              <w:rPr>
                <w:b/>
                <w:sz w:val="22"/>
                <w:lang w:val="en-US"/>
              </w:rPr>
            </w:pPr>
            <w:r w:rsidRPr="004362B1">
              <w:rPr>
                <w:b/>
                <w:sz w:val="22"/>
                <w:lang w:val="en-US"/>
              </w:rPr>
              <w:t>Grades 3-5</w:t>
            </w:r>
            <w:r w:rsidRPr="004362B1">
              <w:rPr>
                <w:b/>
                <w:sz w:val="22"/>
                <w:vertAlign w:val="superscript"/>
                <w:lang w:val="en-US"/>
              </w:rPr>
              <w:t>†</w:t>
            </w:r>
            <w:r w:rsidRPr="004362B1">
              <w:rPr>
                <w:b/>
                <w:sz w:val="22"/>
                <w:lang w:val="en-US"/>
              </w:rPr>
              <w:t xml:space="preserve"> %</w:t>
            </w:r>
          </w:p>
        </w:tc>
      </w:tr>
      <w:tr w:rsidR="001A6FB0" w:rsidRPr="004362B1" w14:paraId="5E8A5617" w14:textId="77777777" w:rsidTr="00616FE6">
        <w:trPr>
          <w:tblHeader/>
          <w:jc w:val="center"/>
        </w:trPr>
        <w:tc>
          <w:tcPr>
            <w:tcW w:w="3686" w:type="dxa"/>
            <w:shd w:val="clear" w:color="auto" w:fill="auto"/>
          </w:tcPr>
          <w:p w14:paraId="74A2CF0E" w14:textId="77777777" w:rsidR="001A6FB0" w:rsidRPr="004362B1" w:rsidRDefault="001A6FB0" w:rsidP="00EB1206">
            <w:pPr>
              <w:rPr>
                <w:sz w:val="22"/>
                <w:lang w:val="en-US"/>
              </w:rPr>
            </w:pPr>
          </w:p>
        </w:tc>
        <w:tc>
          <w:tcPr>
            <w:tcW w:w="1418" w:type="dxa"/>
            <w:shd w:val="clear" w:color="auto" w:fill="auto"/>
            <w:vAlign w:val="center"/>
          </w:tcPr>
          <w:p w14:paraId="24EE3B22" w14:textId="77777777" w:rsidR="001A6FB0" w:rsidRPr="004362B1" w:rsidRDefault="001A6FB0" w:rsidP="00EB1206">
            <w:pPr>
              <w:rPr>
                <w:sz w:val="22"/>
                <w:lang w:val="en-US"/>
              </w:rPr>
            </w:pPr>
            <w:r>
              <w:rPr>
                <w:sz w:val="22"/>
                <w:lang w:val="en-US"/>
              </w:rPr>
              <w:t>chlorambucil n=</w:t>
            </w:r>
            <w:r w:rsidRPr="004362B1">
              <w:rPr>
                <w:sz w:val="22"/>
                <w:lang w:val="en-US"/>
              </w:rPr>
              <w:t>116</w:t>
            </w:r>
          </w:p>
        </w:tc>
        <w:tc>
          <w:tcPr>
            <w:tcW w:w="1424" w:type="dxa"/>
            <w:shd w:val="clear" w:color="auto" w:fill="auto"/>
            <w:vAlign w:val="center"/>
          </w:tcPr>
          <w:p w14:paraId="625F4252" w14:textId="77777777" w:rsidR="001A6FB0" w:rsidRPr="00916A73" w:rsidRDefault="001A6FB0" w:rsidP="00EB1206">
            <w:pPr>
              <w:rPr>
                <w:sz w:val="22"/>
                <w:lang w:val="en-US"/>
              </w:rPr>
            </w:pPr>
            <w:r>
              <w:rPr>
                <w:sz w:val="22"/>
                <w:lang w:val="en-US"/>
              </w:rPr>
              <w:t>Gazyva + chlorambucil n=</w:t>
            </w:r>
            <w:r w:rsidRPr="004362B1">
              <w:rPr>
                <w:sz w:val="22"/>
                <w:lang w:val="en-US"/>
              </w:rPr>
              <w:t>24</w:t>
            </w:r>
            <w:r>
              <w:rPr>
                <w:sz w:val="22"/>
                <w:lang w:val="en-US"/>
              </w:rPr>
              <w:t>1</w:t>
            </w:r>
          </w:p>
        </w:tc>
        <w:tc>
          <w:tcPr>
            <w:tcW w:w="1416" w:type="dxa"/>
            <w:shd w:val="clear" w:color="auto" w:fill="auto"/>
            <w:vAlign w:val="center"/>
          </w:tcPr>
          <w:p w14:paraId="7B801BC0" w14:textId="77777777" w:rsidR="001A6FB0" w:rsidRPr="004362B1" w:rsidRDefault="001A6FB0" w:rsidP="00EB1206">
            <w:pPr>
              <w:rPr>
                <w:sz w:val="22"/>
                <w:lang w:val="en-US"/>
              </w:rPr>
            </w:pPr>
            <w:r>
              <w:rPr>
                <w:sz w:val="22"/>
                <w:lang w:val="en-US"/>
              </w:rPr>
              <w:t>chlorambucil n=</w:t>
            </w:r>
            <w:r w:rsidRPr="004362B1">
              <w:rPr>
                <w:sz w:val="22"/>
                <w:lang w:val="en-US"/>
              </w:rPr>
              <w:t>116</w:t>
            </w:r>
          </w:p>
        </w:tc>
        <w:tc>
          <w:tcPr>
            <w:tcW w:w="1475" w:type="dxa"/>
            <w:shd w:val="clear" w:color="auto" w:fill="auto"/>
            <w:vAlign w:val="center"/>
          </w:tcPr>
          <w:p w14:paraId="7CB59E64" w14:textId="77777777" w:rsidR="001A6FB0" w:rsidRPr="00916A73" w:rsidRDefault="001A6FB0" w:rsidP="00EB1206">
            <w:pPr>
              <w:rPr>
                <w:sz w:val="22"/>
                <w:lang w:val="en-US"/>
              </w:rPr>
            </w:pPr>
            <w:r>
              <w:rPr>
                <w:sz w:val="22"/>
                <w:lang w:val="en-US"/>
              </w:rPr>
              <w:t>Gazyva</w:t>
            </w:r>
            <w:r w:rsidRPr="004362B1">
              <w:rPr>
                <w:sz w:val="22"/>
                <w:lang w:val="en-US"/>
              </w:rPr>
              <w:t xml:space="preserve"> + chlorambuci</w:t>
            </w:r>
            <w:r>
              <w:rPr>
                <w:sz w:val="22"/>
                <w:lang w:val="en-US"/>
              </w:rPr>
              <w:t>l n=</w:t>
            </w:r>
            <w:r w:rsidRPr="004362B1">
              <w:rPr>
                <w:sz w:val="22"/>
                <w:lang w:val="en-US"/>
              </w:rPr>
              <w:t>24</w:t>
            </w:r>
            <w:r>
              <w:rPr>
                <w:sz w:val="22"/>
                <w:lang w:val="en-US"/>
              </w:rPr>
              <w:t>1</w:t>
            </w:r>
          </w:p>
        </w:tc>
      </w:tr>
      <w:tr w:rsidR="001A6FB0" w:rsidRPr="004362B1" w14:paraId="2CBDD07D" w14:textId="77777777" w:rsidTr="00616FE6">
        <w:trPr>
          <w:jc w:val="center"/>
        </w:trPr>
        <w:tc>
          <w:tcPr>
            <w:tcW w:w="3686" w:type="dxa"/>
            <w:shd w:val="clear" w:color="auto" w:fill="auto"/>
          </w:tcPr>
          <w:p w14:paraId="7C15A29E" w14:textId="77777777" w:rsidR="001A6FB0" w:rsidRPr="004362B1" w:rsidRDefault="001A6FB0" w:rsidP="00EB1206">
            <w:pPr>
              <w:rPr>
                <w:b/>
                <w:sz w:val="22"/>
                <w:lang w:val="en-US"/>
              </w:rPr>
            </w:pPr>
            <w:r w:rsidRPr="004362B1">
              <w:rPr>
                <w:b/>
                <w:sz w:val="22"/>
                <w:lang w:val="en-US"/>
              </w:rPr>
              <w:t>Injury, Poisoning and Procedural Complications</w:t>
            </w:r>
          </w:p>
        </w:tc>
        <w:tc>
          <w:tcPr>
            <w:tcW w:w="5733" w:type="dxa"/>
            <w:gridSpan w:val="4"/>
            <w:shd w:val="clear" w:color="auto" w:fill="auto"/>
          </w:tcPr>
          <w:p w14:paraId="650C87AC" w14:textId="77777777" w:rsidR="001A6FB0" w:rsidRPr="004362B1" w:rsidRDefault="001A6FB0" w:rsidP="00EB1206">
            <w:pPr>
              <w:rPr>
                <w:sz w:val="22"/>
                <w:lang w:val="en-US"/>
              </w:rPr>
            </w:pPr>
          </w:p>
        </w:tc>
      </w:tr>
      <w:tr w:rsidR="001A6FB0" w:rsidRPr="004362B1" w14:paraId="43DF7FF6" w14:textId="77777777" w:rsidTr="00616FE6">
        <w:trPr>
          <w:jc w:val="center"/>
        </w:trPr>
        <w:tc>
          <w:tcPr>
            <w:tcW w:w="3686" w:type="dxa"/>
            <w:shd w:val="clear" w:color="auto" w:fill="auto"/>
          </w:tcPr>
          <w:p w14:paraId="08F420AF" w14:textId="77777777" w:rsidR="001A6FB0" w:rsidRPr="004362B1" w:rsidRDefault="001A6FB0" w:rsidP="00EB1206">
            <w:pPr>
              <w:rPr>
                <w:sz w:val="22"/>
                <w:lang w:val="en-US"/>
              </w:rPr>
            </w:pPr>
            <w:r w:rsidRPr="004362B1">
              <w:rPr>
                <w:sz w:val="22"/>
                <w:lang w:val="en-US"/>
              </w:rPr>
              <w:t>Infusion related reactions</w:t>
            </w:r>
          </w:p>
        </w:tc>
        <w:tc>
          <w:tcPr>
            <w:tcW w:w="1418" w:type="dxa"/>
            <w:shd w:val="clear" w:color="auto" w:fill="auto"/>
            <w:vAlign w:val="center"/>
          </w:tcPr>
          <w:p w14:paraId="189681D0" w14:textId="77777777" w:rsidR="001A6FB0" w:rsidRPr="004362B1" w:rsidRDefault="001A6FB0" w:rsidP="00EB1206">
            <w:pPr>
              <w:rPr>
                <w:sz w:val="22"/>
                <w:lang w:val="en-US"/>
              </w:rPr>
            </w:pPr>
            <w:r w:rsidRPr="004362B1">
              <w:rPr>
                <w:sz w:val="22"/>
                <w:lang w:val="en-US"/>
              </w:rPr>
              <w:t>N/A</w:t>
            </w:r>
          </w:p>
        </w:tc>
        <w:tc>
          <w:tcPr>
            <w:tcW w:w="1424" w:type="dxa"/>
            <w:shd w:val="clear" w:color="auto" w:fill="auto"/>
            <w:vAlign w:val="center"/>
          </w:tcPr>
          <w:p w14:paraId="60FED0CB" w14:textId="77777777" w:rsidR="001A6FB0" w:rsidRPr="00916A73" w:rsidRDefault="001A6FB0" w:rsidP="00EB1206">
            <w:pPr>
              <w:rPr>
                <w:sz w:val="22"/>
                <w:lang w:val="en-US"/>
              </w:rPr>
            </w:pPr>
            <w:r w:rsidRPr="004362B1">
              <w:rPr>
                <w:sz w:val="22"/>
                <w:lang w:val="en-US"/>
              </w:rPr>
              <w:t>68.</w:t>
            </w:r>
            <w:r>
              <w:rPr>
                <w:sz w:val="22"/>
                <w:lang w:val="en-US"/>
              </w:rPr>
              <w:t>9</w:t>
            </w:r>
          </w:p>
        </w:tc>
        <w:tc>
          <w:tcPr>
            <w:tcW w:w="1416" w:type="dxa"/>
            <w:shd w:val="clear" w:color="auto" w:fill="auto"/>
            <w:vAlign w:val="center"/>
          </w:tcPr>
          <w:p w14:paraId="2A9CD97C" w14:textId="77777777" w:rsidR="001A6FB0" w:rsidRPr="004362B1" w:rsidRDefault="001A6FB0" w:rsidP="00EB1206">
            <w:pPr>
              <w:rPr>
                <w:sz w:val="22"/>
                <w:lang w:val="en-US"/>
              </w:rPr>
            </w:pPr>
            <w:r w:rsidRPr="004362B1">
              <w:rPr>
                <w:sz w:val="22"/>
                <w:lang w:val="en-US"/>
              </w:rPr>
              <w:t>N/A</w:t>
            </w:r>
          </w:p>
        </w:tc>
        <w:tc>
          <w:tcPr>
            <w:tcW w:w="1475" w:type="dxa"/>
            <w:shd w:val="clear" w:color="auto" w:fill="auto"/>
            <w:vAlign w:val="center"/>
          </w:tcPr>
          <w:p w14:paraId="5E502670" w14:textId="77777777" w:rsidR="001A6FB0" w:rsidRPr="00916A73" w:rsidRDefault="001A6FB0" w:rsidP="00EB1206">
            <w:pPr>
              <w:rPr>
                <w:sz w:val="22"/>
                <w:lang w:val="en-US"/>
              </w:rPr>
            </w:pPr>
            <w:r w:rsidRPr="004362B1">
              <w:rPr>
                <w:sz w:val="22"/>
                <w:lang w:val="en-US"/>
              </w:rPr>
              <w:t>21.</w:t>
            </w:r>
            <w:r>
              <w:rPr>
                <w:sz w:val="22"/>
                <w:lang w:val="en-US"/>
              </w:rPr>
              <w:t>2</w:t>
            </w:r>
          </w:p>
        </w:tc>
      </w:tr>
      <w:tr w:rsidR="001A6FB0" w:rsidRPr="004362B1" w14:paraId="74217014" w14:textId="77777777" w:rsidTr="00616FE6">
        <w:trPr>
          <w:jc w:val="center"/>
        </w:trPr>
        <w:tc>
          <w:tcPr>
            <w:tcW w:w="3686" w:type="dxa"/>
            <w:shd w:val="clear" w:color="auto" w:fill="auto"/>
          </w:tcPr>
          <w:p w14:paraId="703CE212" w14:textId="77777777" w:rsidR="001A6FB0" w:rsidRPr="004362B1" w:rsidRDefault="001A6FB0" w:rsidP="00EB1206">
            <w:pPr>
              <w:rPr>
                <w:b/>
                <w:sz w:val="22"/>
                <w:lang w:val="en-US"/>
              </w:rPr>
            </w:pPr>
            <w:r w:rsidRPr="004362B1">
              <w:rPr>
                <w:b/>
                <w:sz w:val="22"/>
                <w:lang w:val="en-US"/>
              </w:rPr>
              <w:t>Blood and lymphatic system disorders</w:t>
            </w:r>
          </w:p>
        </w:tc>
        <w:tc>
          <w:tcPr>
            <w:tcW w:w="5733" w:type="dxa"/>
            <w:gridSpan w:val="4"/>
            <w:shd w:val="clear" w:color="auto" w:fill="auto"/>
          </w:tcPr>
          <w:p w14:paraId="6AB9C758" w14:textId="77777777" w:rsidR="001A6FB0" w:rsidRPr="004362B1" w:rsidRDefault="001A6FB0" w:rsidP="00EB1206">
            <w:pPr>
              <w:rPr>
                <w:sz w:val="22"/>
                <w:lang w:val="en-US"/>
              </w:rPr>
            </w:pPr>
          </w:p>
        </w:tc>
      </w:tr>
      <w:tr w:rsidR="001A6FB0" w:rsidRPr="004362B1" w14:paraId="2A4D474B" w14:textId="77777777" w:rsidTr="00616FE6">
        <w:trPr>
          <w:jc w:val="center"/>
        </w:trPr>
        <w:tc>
          <w:tcPr>
            <w:tcW w:w="3686" w:type="dxa"/>
            <w:shd w:val="clear" w:color="auto" w:fill="auto"/>
          </w:tcPr>
          <w:p w14:paraId="41D5ABCC" w14:textId="77777777" w:rsidR="001A6FB0" w:rsidRPr="004362B1" w:rsidRDefault="001A6FB0" w:rsidP="00EB1206">
            <w:pPr>
              <w:rPr>
                <w:sz w:val="22"/>
                <w:lang w:val="en-US"/>
              </w:rPr>
            </w:pPr>
            <w:r w:rsidRPr="004362B1">
              <w:rPr>
                <w:sz w:val="22"/>
                <w:lang w:val="en-US"/>
              </w:rPr>
              <w:t>Neutropenia</w:t>
            </w:r>
          </w:p>
        </w:tc>
        <w:tc>
          <w:tcPr>
            <w:tcW w:w="1418" w:type="dxa"/>
            <w:shd w:val="clear" w:color="auto" w:fill="auto"/>
            <w:vAlign w:val="center"/>
          </w:tcPr>
          <w:p w14:paraId="3D2C86C1" w14:textId="77777777" w:rsidR="001A6FB0" w:rsidRPr="004362B1" w:rsidRDefault="001A6FB0" w:rsidP="00EB1206">
            <w:pPr>
              <w:rPr>
                <w:sz w:val="22"/>
                <w:lang w:val="en-US"/>
              </w:rPr>
            </w:pPr>
            <w:r w:rsidRPr="004362B1">
              <w:rPr>
                <w:sz w:val="22"/>
                <w:lang w:val="en-US"/>
              </w:rPr>
              <w:t>18.1</w:t>
            </w:r>
          </w:p>
        </w:tc>
        <w:tc>
          <w:tcPr>
            <w:tcW w:w="1424" w:type="dxa"/>
            <w:shd w:val="clear" w:color="auto" w:fill="auto"/>
            <w:vAlign w:val="center"/>
          </w:tcPr>
          <w:p w14:paraId="703A6530" w14:textId="77777777" w:rsidR="001A6FB0" w:rsidRPr="00916A73" w:rsidRDefault="001A6FB0" w:rsidP="00EB1206">
            <w:pPr>
              <w:rPr>
                <w:sz w:val="22"/>
                <w:lang w:val="en-US"/>
              </w:rPr>
            </w:pPr>
            <w:r w:rsidRPr="004362B1">
              <w:rPr>
                <w:sz w:val="22"/>
                <w:lang w:val="en-US"/>
              </w:rPr>
              <w:t>40.</w:t>
            </w:r>
            <w:r>
              <w:rPr>
                <w:sz w:val="22"/>
                <w:lang w:val="en-US"/>
              </w:rPr>
              <w:t>7</w:t>
            </w:r>
          </w:p>
        </w:tc>
        <w:tc>
          <w:tcPr>
            <w:tcW w:w="1416" w:type="dxa"/>
            <w:shd w:val="clear" w:color="auto" w:fill="auto"/>
            <w:vAlign w:val="center"/>
          </w:tcPr>
          <w:p w14:paraId="0B48E2CB" w14:textId="77777777" w:rsidR="001A6FB0" w:rsidRPr="004362B1" w:rsidRDefault="001A6FB0" w:rsidP="00EB1206">
            <w:pPr>
              <w:rPr>
                <w:sz w:val="22"/>
                <w:lang w:val="en-US"/>
              </w:rPr>
            </w:pPr>
            <w:r w:rsidRPr="004362B1">
              <w:rPr>
                <w:sz w:val="22"/>
                <w:lang w:val="en-US"/>
              </w:rPr>
              <w:t>15.5</w:t>
            </w:r>
          </w:p>
        </w:tc>
        <w:tc>
          <w:tcPr>
            <w:tcW w:w="1475" w:type="dxa"/>
            <w:shd w:val="clear" w:color="auto" w:fill="auto"/>
            <w:vAlign w:val="center"/>
          </w:tcPr>
          <w:p w14:paraId="06313F12" w14:textId="77777777" w:rsidR="001A6FB0" w:rsidRPr="00916A73" w:rsidRDefault="001A6FB0" w:rsidP="00EB1206">
            <w:pPr>
              <w:rPr>
                <w:sz w:val="22"/>
                <w:lang w:val="en-US"/>
              </w:rPr>
            </w:pPr>
            <w:r w:rsidRPr="004362B1">
              <w:rPr>
                <w:sz w:val="22"/>
                <w:lang w:val="en-US"/>
              </w:rPr>
              <w:t>34.</w:t>
            </w:r>
            <w:r>
              <w:rPr>
                <w:sz w:val="22"/>
                <w:lang w:val="en-US"/>
              </w:rPr>
              <w:t>9</w:t>
            </w:r>
          </w:p>
        </w:tc>
      </w:tr>
      <w:tr w:rsidR="001A6FB0" w:rsidRPr="004362B1" w14:paraId="2F81C67E" w14:textId="77777777" w:rsidTr="00616FE6">
        <w:trPr>
          <w:jc w:val="center"/>
        </w:trPr>
        <w:tc>
          <w:tcPr>
            <w:tcW w:w="3686" w:type="dxa"/>
            <w:shd w:val="clear" w:color="auto" w:fill="auto"/>
          </w:tcPr>
          <w:p w14:paraId="71B4D319" w14:textId="77777777" w:rsidR="001A6FB0" w:rsidRPr="004362B1" w:rsidRDefault="001A6FB0" w:rsidP="00EB1206">
            <w:pPr>
              <w:rPr>
                <w:sz w:val="22"/>
                <w:lang w:val="en-US"/>
              </w:rPr>
            </w:pPr>
            <w:r w:rsidRPr="004362B1">
              <w:rPr>
                <w:sz w:val="22"/>
                <w:lang w:val="en-US"/>
              </w:rPr>
              <w:t>Thrombocytopenia</w:t>
            </w:r>
          </w:p>
        </w:tc>
        <w:tc>
          <w:tcPr>
            <w:tcW w:w="1418" w:type="dxa"/>
            <w:shd w:val="clear" w:color="auto" w:fill="auto"/>
            <w:vAlign w:val="center"/>
          </w:tcPr>
          <w:p w14:paraId="41135188" w14:textId="77777777" w:rsidR="001A6FB0" w:rsidRPr="00916A73" w:rsidRDefault="001A6FB0" w:rsidP="00EB1206">
            <w:pPr>
              <w:rPr>
                <w:sz w:val="22"/>
                <w:lang w:val="en-US"/>
              </w:rPr>
            </w:pPr>
            <w:r>
              <w:rPr>
                <w:sz w:val="22"/>
                <w:lang w:val="en-US"/>
              </w:rPr>
              <w:t>7.8</w:t>
            </w:r>
          </w:p>
        </w:tc>
        <w:tc>
          <w:tcPr>
            <w:tcW w:w="1424" w:type="dxa"/>
            <w:shd w:val="clear" w:color="auto" w:fill="auto"/>
            <w:vAlign w:val="center"/>
          </w:tcPr>
          <w:p w14:paraId="1D2B942B" w14:textId="77777777" w:rsidR="001A6FB0" w:rsidRPr="00916A73" w:rsidRDefault="001A6FB0" w:rsidP="00EB1206">
            <w:pPr>
              <w:rPr>
                <w:sz w:val="22"/>
                <w:lang w:val="en-US"/>
              </w:rPr>
            </w:pPr>
            <w:r w:rsidRPr="004362B1">
              <w:rPr>
                <w:sz w:val="22"/>
                <w:lang w:val="en-US"/>
              </w:rPr>
              <w:t>15.</w:t>
            </w:r>
            <w:r>
              <w:rPr>
                <w:sz w:val="22"/>
                <w:lang w:val="en-US"/>
              </w:rPr>
              <w:t>4</w:t>
            </w:r>
          </w:p>
        </w:tc>
        <w:tc>
          <w:tcPr>
            <w:tcW w:w="1416" w:type="dxa"/>
            <w:shd w:val="clear" w:color="auto" w:fill="auto"/>
            <w:vAlign w:val="center"/>
          </w:tcPr>
          <w:p w14:paraId="2BDFED38" w14:textId="77777777" w:rsidR="001A6FB0" w:rsidRPr="00916A73" w:rsidRDefault="001A6FB0" w:rsidP="00EB1206">
            <w:pPr>
              <w:rPr>
                <w:sz w:val="22"/>
                <w:lang w:val="en-US"/>
              </w:rPr>
            </w:pPr>
            <w:r>
              <w:rPr>
                <w:sz w:val="22"/>
                <w:lang w:val="en-US"/>
              </w:rPr>
              <w:t>4.3</w:t>
            </w:r>
          </w:p>
        </w:tc>
        <w:tc>
          <w:tcPr>
            <w:tcW w:w="1475" w:type="dxa"/>
            <w:shd w:val="clear" w:color="auto" w:fill="auto"/>
            <w:vAlign w:val="center"/>
          </w:tcPr>
          <w:p w14:paraId="489C4EA4" w14:textId="77777777" w:rsidR="001A6FB0" w:rsidRPr="00916A73" w:rsidRDefault="001A6FB0" w:rsidP="00EB1206">
            <w:pPr>
              <w:rPr>
                <w:sz w:val="22"/>
                <w:lang w:val="en-US"/>
              </w:rPr>
            </w:pPr>
            <w:r>
              <w:rPr>
                <w:sz w:val="22"/>
                <w:lang w:val="en-US"/>
              </w:rPr>
              <w:t>11.2</w:t>
            </w:r>
          </w:p>
        </w:tc>
      </w:tr>
      <w:tr w:rsidR="001A6FB0" w:rsidRPr="004362B1" w14:paraId="2D763DEB" w14:textId="77777777" w:rsidTr="00616FE6">
        <w:trPr>
          <w:jc w:val="center"/>
        </w:trPr>
        <w:tc>
          <w:tcPr>
            <w:tcW w:w="3686" w:type="dxa"/>
            <w:shd w:val="clear" w:color="auto" w:fill="auto"/>
          </w:tcPr>
          <w:p w14:paraId="20A88C3E" w14:textId="77777777" w:rsidR="001A6FB0" w:rsidRPr="004362B1" w:rsidRDefault="001A6FB0" w:rsidP="00EB1206">
            <w:pPr>
              <w:rPr>
                <w:sz w:val="22"/>
                <w:lang w:val="en-US"/>
              </w:rPr>
            </w:pPr>
            <w:proofErr w:type="spellStart"/>
            <w:r>
              <w:rPr>
                <w:sz w:val="22"/>
                <w:lang w:val="en-US"/>
              </w:rPr>
              <w:t>Anaemia</w:t>
            </w:r>
            <w:proofErr w:type="spellEnd"/>
          </w:p>
        </w:tc>
        <w:tc>
          <w:tcPr>
            <w:tcW w:w="1418" w:type="dxa"/>
            <w:shd w:val="clear" w:color="auto" w:fill="auto"/>
            <w:vAlign w:val="center"/>
          </w:tcPr>
          <w:p w14:paraId="7D18F066" w14:textId="77777777" w:rsidR="001A6FB0" w:rsidRPr="004362B1" w:rsidRDefault="001A6FB0" w:rsidP="00EB1206">
            <w:pPr>
              <w:rPr>
                <w:sz w:val="22"/>
                <w:lang w:val="en-US"/>
              </w:rPr>
            </w:pPr>
            <w:r>
              <w:rPr>
                <w:sz w:val="22"/>
                <w:lang w:val="en-US"/>
              </w:rPr>
              <w:t>10.3</w:t>
            </w:r>
          </w:p>
        </w:tc>
        <w:tc>
          <w:tcPr>
            <w:tcW w:w="1424" w:type="dxa"/>
            <w:shd w:val="clear" w:color="auto" w:fill="auto"/>
            <w:vAlign w:val="center"/>
          </w:tcPr>
          <w:p w14:paraId="40CB7D01" w14:textId="77777777" w:rsidR="001A6FB0" w:rsidRPr="004362B1" w:rsidRDefault="001A6FB0" w:rsidP="00EB1206">
            <w:pPr>
              <w:rPr>
                <w:sz w:val="22"/>
                <w:lang w:val="en-US"/>
              </w:rPr>
            </w:pPr>
            <w:r>
              <w:rPr>
                <w:sz w:val="22"/>
                <w:lang w:val="en-US"/>
              </w:rPr>
              <w:t>12.4</w:t>
            </w:r>
          </w:p>
        </w:tc>
        <w:tc>
          <w:tcPr>
            <w:tcW w:w="1416" w:type="dxa"/>
            <w:shd w:val="clear" w:color="auto" w:fill="auto"/>
            <w:vAlign w:val="center"/>
          </w:tcPr>
          <w:p w14:paraId="59876441" w14:textId="77777777" w:rsidR="001A6FB0" w:rsidRPr="004362B1" w:rsidRDefault="001A6FB0" w:rsidP="00EB1206">
            <w:pPr>
              <w:rPr>
                <w:sz w:val="22"/>
                <w:lang w:val="en-US"/>
              </w:rPr>
            </w:pPr>
            <w:r>
              <w:rPr>
                <w:sz w:val="22"/>
                <w:lang w:val="en-US"/>
              </w:rPr>
              <w:t>4.3</w:t>
            </w:r>
          </w:p>
        </w:tc>
        <w:tc>
          <w:tcPr>
            <w:tcW w:w="1475" w:type="dxa"/>
            <w:shd w:val="clear" w:color="auto" w:fill="auto"/>
            <w:vAlign w:val="center"/>
          </w:tcPr>
          <w:p w14:paraId="3A1E0A19" w14:textId="77777777" w:rsidR="001A6FB0" w:rsidRPr="004362B1" w:rsidRDefault="001A6FB0" w:rsidP="00EB1206">
            <w:pPr>
              <w:rPr>
                <w:sz w:val="22"/>
                <w:lang w:val="en-US"/>
              </w:rPr>
            </w:pPr>
            <w:r>
              <w:rPr>
                <w:sz w:val="22"/>
                <w:lang w:val="en-US"/>
              </w:rPr>
              <w:t>4.6</w:t>
            </w:r>
          </w:p>
        </w:tc>
      </w:tr>
      <w:tr w:rsidR="001A6FB0" w:rsidRPr="004362B1" w14:paraId="14188F79" w14:textId="77777777" w:rsidTr="00616FE6">
        <w:trPr>
          <w:jc w:val="center"/>
        </w:trPr>
        <w:tc>
          <w:tcPr>
            <w:tcW w:w="3686" w:type="dxa"/>
            <w:shd w:val="clear" w:color="auto" w:fill="auto"/>
          </w:tcPr>
          <w:p w14:paraId="2C323C3C" w14:textId="77777777" w:rsidR="001A6FB0" w:rsidRPr="004362B1" w:rsidRDefault="001A6FB0" w:rsidP="00EB1206">
            <w:pPr>
              <w:rPr>
                <w:sz w:val="22"/>
                <w:lang w:val="en-US"/>
              </w:rPr>
            </w:pPr>
            <w:r w:rsidRPr="004362B1">
              <w:rPr>
                <w:sz w:val="22"/>
                <w:lang w:val="en-US"/>
              </w:rPr>
              <w:t>Leucopenia</w:t>
            </w:r>
          </w:p>
        </w:tc>
        <w:tc>
          <w:tcPr>
            <w:tcW w:w="1418" w:type="dxa"/>
            <w:shd w:val="clear" w:color="auto" w:fill="auto"/>
            <w:vAlign w:val="center"/>
          </w:tcPr>
          <w:p w14:paraId="1E3D97CD" w14:textId="77777777" w:rsidR="001A6FB0" w:rsidRPr="004362B1" w:rsidRDefault="001A6FB0" w:rsidP="00EB1206">
            <w:pPr>
              <w:rPr>
                <w:sz w:val="22"/>
                <w:lang w:val="en-US"/>
              </w:rPr>
            </w:pPr>
            <w:r w:rsidRPr="004362B1">
              <w:rPr>
                <w:sz w:val="22"/>
                <w:lang w:val="en-US"/>
              </w:rPr>
              <w:t>0</w:t>
            </w:r>
          </w:p>
        </w:tc>
        <w:tc>
          <w:tcPr>
            <w:tcW w:w="1424" w:type="dxa"/>
            <w:shd w:val="clear" w:color="auto" w:fill="auto"/>
            <w:vAlign w:val="center"/>
          </w:tcPr>
          <w:p w14:paraId="3BF54A52" w14:textId="77777777" w:rsidR="001A6FB0" w:rsidRPr="00916A73" w:rsidRDefault="001A6FB0" w:rsidP="00EB1206">
            <w:pPr>
              <w:rPr>
                <w:sz w:val="22"/>
                <w:lang w:val="en-US"/>
              </w:rPr>
            </w:pPr>
            <w:r>
              <w:rPr>
                <w:sz w:val="22"/>
                <w:lang w:val="en-US"/>
              </w:rPr>
              <w:t>7.1</w:t>
            </w:r>
          </w:p>
        </w:tc>
        <w:tc>
          <w:tcPr>
            <w:tcW w:w="1416" w:type="dxa"/>
            <w:shd w:val="clear" w:color="auto" w:fill="auto"/>
            <w:vAlign w:val="center"/>
          </w:tcPr>
          <w:p w14:paraId="4C310421" w14:textId="77777777" w:rsidR="001A6FB0" w:rsidRPr="004362B1" w:rsidRDefault="001A6FB0" w:rsidP="00EB1206">
            <w:pPr>
              <w:rPr>
                <w:sz w:val="22"/>
                <w:lang w:val="en-US"/>
              </w:rPr>
            </w:pPr>
            <w:r w:rsidRPr="004362B1">
              <w:rPr>
                <w:sz w:val="22"/>
                <w:lang w:val="en-US"/>
              </w:rPr>
              <w:t>0</w:t>
            </w:r>
          </w:p>
        </w:tc>
        <w:tc>
          <w:tcPr>
            <w:tcW w:w="1475" w:type="dxa"/>
            <w:shd w:val="clear" w:color="auto" w:fill="auto"/>
            <w:vAlign w:val="center"/>
          </w:tcPr>
          <w:p w14:paraId="0F7845C0" w14:textId="77777777" w:rsidR="001A6FB0" w:rsidRPr="004362B1" w:rsidRDefault="001A6FB0" w:rsidP="00EB1206">
            <w:pPr>
              <w:rPr>
                <w:sz w:val="22"/>
                <w:lang w:val="en-US"/>
              </w:rPr>
            </w:pPr>
            <w:r w:rsidRPr="004362B1">
              <w:rPr>
                <w:sz w:val="22"/>
                <w:lang w:val="en-US"/>
              </w:rPr>
              <w:t>5.4</w:t>
            </w:r>
          </w:p>
        </w:tc>
      </w:tr>
      <w:tr w:rsidR="001A6FB0" w:rsidRPr="004362B1" w14:paraId="73512CEC" w14:textId="77777777" w:rsidTr="00616FE6">
        <w:trPr>
          <w:jc w:val="center"/>
        </w:trPr>
        <w:tc>
          <w:tcPr>
            <w:tcW w:w="3686" w:type="dxa"/>
            <w:shd w:val="clear" w:color="auto" w:fill="auto"/>
          </w:tcPr>
          <w:p w14:paraId="0D44DBB1" w14:textId="77777777" w:rsidR="001A6FB0" w:rsidRPr="00780839" w:rsidRDefault="001A6FB0" w:rsidP="00EB1206">
            <w:pPr>
              <w:rPr>
                <w:b/>
                <w:sz w:val="22"/>
                <w:lang w:val="en-US"/>
              </w:rPr>
            </w:pPr>
            <w:r w:rsidRPr="00780839">
              <w:rPr>
                <w:b/>
                <w:sz w:val="22"/>
                <w:lang w:val="en-US"/>
              </w:rPr>
              <w:t>Infections and Infestations</w:t>
            </w:r>
          </w:p>
        </w:tc>
        <w:tc>
          <w:tcPr>
            <w:tcW w:w="5733" w:type="dxa"/>
            <w:gridSpan w:val="4"/>
            <w:shd w:val="clear" w:color="auto" w:fill="auto"/>
          </w:tcPr>
          <w:p w14:paraId="25ACDAC3" w14:textId="77777777" w:rsidR="001A6FB0" w:rsidRPr="004362B1" w:rsidRDefault="001A6FB0" w:rsidP="00EB1206">
            <w:pPr>
              <w:rPr>
                <w:sz w:val="22"/>
                <w:lang w:val="en-US"/>
              </w:rPr>
            </w:pPr>
          </w:p>
        </w:tc>
      </w:tr>
      <w:tr w:rsidR="001A6FB0" w:rsidRPr="004362B1" w14:paraId="6AE503CB" w14:textId="77777777" w:rsidTr="00616FE6">
        <w:trPr>
          <w:jc w:val="center"/>
        </w:trPr>
        <w:tc>
          <w:tcPr>
            <w:tcW w:w="3686" w:type="dxa"/>
            <w:shd w:val="clear" w:color="auto" w:fill="auto"/>
          </w:tcPr>
          <w:p w14:paraId="0C3561E2" w14:textId="77777777" w:rsidR="001A6FB0" w:rsidRPr="004362B1" w:rsidRDefault="001A6FB0" w:rsidP="00EB1206">
            <w:pPr>
              <w:rPr>
                <w:sz w:val="22"/>
                <w:lang w:val="en-US"/>
              </w:rPr>
            </w:pPr>
            <w:r w:rsidRPr="004362B1">
              <w:rPr>
                <w:sz w:val="22"/>
                <w:lang w:val="en-US"/>
              </w:rPr>
              <w:t>Urinary tract infection</w:t>
            </w:r>
          </w:p>
        </w:tc>
        <w:tc>
          <w:tcPr>
            <w:tcW w:w="1418" w:type="dxa"/>
            <w:shd w:val="clear" w:color="auto" w:fill="auto"/>
            <w:vAlign w:val="center"/>
          </w:tcPr>
          <w:p w14:paraId="76F8D039" w14:textId="77777777" w:rsidR="001A6FB0" w:rsidRPr="004362B1" w:rsidRDefault="001A6FB0" w:rsidP="00EB1206">
            <w:pPr>
              <w:rPr>
                <w:sz w:val="22"/>
                <w:lang w:val="en-US"/>
              </w:rPr>
            </w:pPr>
            <w:r w:rsidRPr="004362B1">
              <w:rPr>
                <w:sz w:val="22"/>
                <w:lang w:val="en-US"/>
              </w:rPr>
              <w:t>2.6</w:t>
            </w:r>
          </w:p>
        </w:tc>
        <w:tc>
          <w:tcPr>
            <w:tcW w:w="1424" w:type="dxa"/>
            <w:shd w:val="clear" w:color="auto" w:fill="auto"/>
            <w:vAlign w:val="center"/>
          </w:tcPr>
          <w:p w14:paraId="42591298" w14:textId="77777777" w:rsidR="001A6FB0" w:rsidRPr="00916A73" w:rsidRDefault="001A6FB0" w:rsidP="00EB1206">
            <w:pPr>
              <w:rPr>
                <w:sz w:val="22"/>
                <w:lang w:val="en-US"/>
              </w:rPr>
            </w:pPr>
            <w:r>
              <w:rPr>
                <w:sz w:val="22"/>
                <w:lang w:val="en-US"/>
              </w:rPr>
              <w:t>6.2</w:t>
            </w:r>
          </w:p>
        </w:tc>
        <w:tc>
          <w:tcPr>
            <w:tcW w:w="1416" w:type="dxa"/>
            <w:shd w:val="clear" w:color="auto" w:fill="auto"/>
            <w:vAlign w:val="center"/>
          </w:tcPr>
          <w:p w14:paraId="6E2B1CAB" w14:textId="77777777" w:rsidR="001A6FB0" w:rsidRPr="004362B1" w:rsidRDefault="001A6FB0" w:rsidP="00EB1206">
            <w:pPr>
              <w:rPr>
                <w:sz w:val="22"/>
                <w:lang w:val="en-US"/>
              </w:rPr>
            </w:pPr>
            <w:r w:rsidRPr="004362B1">
              <w:rPr>
                <w:sz w:val="22"/>
                <w:lang w:val="en-US"/>
              </w:rPr>
              <w:t>&lt; 1</w:t>
            </w:r>
          </w:p>
        </w:tc>
        <w:tc>
          <w:tcPr>
            <w:tcW w:w="1475" w:type="dxa"/>
            <w:shd w:val="clear" w:color="auto" w:fill="auto"/>
            <w:vAlign w:val="center"/>
          </w:tcPr>
          <w:p w14:paraId="06F7C8F5" w14:textId="77777777" w:rsidR="001A6FB0" w:rsidRPr="00916A73" w:rsidRDefault="001A6FB0" w:rsidP="00EB1206">
            <w:pPr>
              <w:rPr>
                <w:sz w:val="22"/>
                <w:lang w:val="en-US"/>
              </w:rPr>
            </w:pPr>
            <w:r w:rsidRPr="004362B1">
              <w:rPr>
                <w:sz w:val="22"/>
                <w:lang w:val="en-US"/>
              </w:rPr>
              <w:t>1.</w:t>
            </w:r>
            <w:r>
              <w:rPr>
                <w:sz w:val="22"/>
                <w:lang w:val="en-US"/>
              </w:rPr>
              <w:t>7</w:t>
            </w:r>
          </w:p>
        </w:tc>
      </w:tr>
      <w:tr w:rsidR="001A6FB0" w:rsidRPr="004362B1" w14:paraId="2DC7A700" w14:textId="77777777" w:rsidTr="00616FE6">
        <w:trPr>
          <w:jc w:val="center"/>
        </w:trPr>
        <w:tc>
          <w:tcPr>
            <w:tcW w:w="3686" w:type="dxa"/>
            <w:shd w:val="clear" w:color="auto" w:fill="auto"/>
          </w:tcPr>
          <w:p w14:paraId="6ECF63B3" w14:textId="77777777" w:rsidR="001A6FB0" w:rsidRPr="004362B1" w:rsidRDefault="001A6FB0" w:rsidP="00EB1206">
            <w:pPr>
              <w:rPr>
                <w:sz w:val="22"/>
                <w:lang w:val="en-US"/>
              </w:rPr>
            </w:pPr>
            <w:r w:rsidRPr="004362B1">
              <w:rPr>
                <w:sz w:val="22"/>
                <w:lang w:val="en-US"/>
              </w:rPr>
              <w:t>Oral herpes</w:t>
            </w:r>
          </w:p>
        </w:tc>
        <w:tc>
          <w:tcPr>
            <w:tcW w:w="1418" w:type="dxa"/>
            <w:shd w:val="clear" w:color="auto" w:fill="auto"/>
            <w:vAlign w:val="center"/>
          </w:tcPr>
          <w:p w14:paraId="2530CC08" w14:textId="77777777" w:rsidR="001A6FB0" w:rsidRPr="004362B1" w:rsidRDefault="001A6FB0" w:rsidP="00EB1206">
            <w:pPr>
              <w:rPr>
                <w:sz w:val="22"/>
                <w:lang w:val="en-US"/>
              </w:rPr>
            </w:pPr>
            <w:r w:rsidRPr="004362B1">
              <w:rPr>
                <w:sz w:val="22"/>
                <w:lang w:val="en-US"/>
              </w:rPr>
              <w:t>&lt; 1</w:t>
            </w:r>
          </w:p>
        </w:tc>
        <w:tc>
          <w:tcPr>
            <w:tcW w:w="1424" w:type="dxa"/>
            <w:shd w:val="clear" w:color="auto" w:fill="auto"/>
            <w:vAlign w:val="center"/>
          </w:tcPr>
          <w:p w14:paraId="5C100813" w14:textId="77777777" w:rsidR="001A6FB0" w:rsidRPr="00916A73" w:rsidRDefault="001A6FB0" w:rsidP="00EB1206">
            <w:pPr>
              <w:rPr>
                <w:sz w:val="22"/>
                <w:lang w:val="en-US"/>
              </w:rPr>
            </w:pPr>
            <w:r w:rsidRPr="004362B1">
              <w:rPr>
                <w:sz w:val="22"/>
                <w:lang w:val="en-US"/>
              </w:rPr>
              <w:t>3.</w:t>
            </w:r>
            <w:r>
              <w:rPr>
                <w:sz w:val="22"/>
                <w:lang w:val="en-US"/>
              </w:rPr>
              <w:t>7</w:t>
            </w:r>
          </w:p>
        </w:tc>
        <w:tc>
          <w:tcPr>
            <w:tcW w:w="1416" w:type="dxa"/>
            <w:shd w:val="clear" w:color="auto" w:fill="auto"/>
            <w:vAlign w:val="center"/>
          </w:tcPr>
          <w:p w14:paraId="6E12B171" w14:textId="77777777" w:rsidR="001A6FB0" w:rsidRPr="004362B1" w:rsidRDefault="001A6FB0" w:rsidP="00EB1206">
            <w:pPr>
              <w:rPr>
                <w:sz w:val="22"/>
                <w:lang w:val="en-US"/>
              </w:rPr>
            </w:pPr>
            <w:r w:rsidRPr="004362B1">
              <w:rPr>
                <w:sz w:val="22"/>
                <w:lang w:val="en-US"/>
              </w:rPr>
              <w:t>0</w:t>
            </w:r>
          </w:p>
        </w:tc>
        <w:tc>
          <w:tcPr>
            <w:tcW w:w="1475" w:type="dxa"/>
            <w:shd w:val="clear" w:color="auto" w:fill="auto"/>
            <w:vAlign w:val="center"/>
          </w:tcPr>
          <w:p w14:paraId="5E2E3582" w14:textId="77777777" w:rsidR="001A6FB0" w:rsidRPr="004362B1" w:rsidRDefault="001A6FB0" w:rsidP="00EB1206">
            <w:pPr>
              <w:rPr>
                <w:sz w:val="22"/>
                <w:lang w:val="en-US"/>
              </w:rPr>
            </w:pPr>
            <w:r w:rsidRPr="004362B1">
              <w:rPr>
                <w:sz w:val="22"/>
                <w:lang w:val="en-US"/>
              </w:rPr>
              <w:t>0</w:t>
            </w:r>
          </w:p>
        </w:tc>
      </w:tr>
      <w:tr w:rsidR="001A6FB0" w:rsidRPr="004362B1" w14:paraId="796522CF" w14:textId="77777777" w:rsidTr="00616FE6">
        <w:trPr>
          <w:jc w:val="center"/>
        </w:trPr>
        <w:tc>
          <w:tcPr>
            <w:tcW w:w="3686" w:type="dxa"/>
            <w:shd w:val="clear" w:color="auto" w:fill="auto"/>
          </w:tcPr>
          <w:p w14:paraId="5F5E7E9E" w14:textId="77777777" w:rsidR="001A6FB0" w:rsidRPr="004362B1" w:rsidRDefault="001A6FB0" w:rsidP="00EB1206">
            <w:pPr>
              <w:rPr>
                <w:sz w:val="22"/>
                <w:lang w:val="en-US"/>
              </w:rPr>
            </w:pPr>
            <w:r w:rsidRPr="004362B1">
              <w:rPr>
                <w:sz w:val="22"/>
                <w:lang w:val="en-US"/>
              </w:rPr>
              <w:t>Rhinitis</w:t>
            </w:r>
            <w:r w:rsidRPr="0055536F">
              <w:rPr>
                <w:sz w:val="22"/>
                <w:lang w:val="en-US"/>
              </w:rPr>
              <w:t>‡</w:t>
            </w:r>
          </w:p>
        </w:tc>
        <w:tc>
          <w:tcPr>
            <w:tcW w:w="1418" w:type="dxa"/>
            <w:shd w:val="clear" w:color="auto" w:fill="auto"/>
            <w:vAlign w:val="center"/>
          </w:tcPr>
          <w:p w14:paraId="472C6883" w14:textId="77777777" w:rsidR="001A6FB0" w:rsidRPr="004362B1" w:rsidRDefault="001A6FB0" w:rsidP="00EB1206">
            <w:pPr>
              <w:rPr>
                <w:sz w:val="22"/>
                <w:lang w:val="en-US"/>
              </w:rPr>
            </w:pPr>
            <w:r w:rsidRPr="004362B1">
              <w:rPr>
                <w:sz w:val="22"/>
                <w:lang w:val="en-US"/>
              </w:rPr>
              <w:t>&lt; 1</w:t>
            </w:r>
          </w:p>
        </w:tc>
        <w:tc>
          <w:tcPr>
            <w:tcW w:w="1424" w:type="dxa"/>
            <w:shd w:val="clear" w:color="auto" w:fill="auto"/>
            <w:vAlign w:val="center"/>
          </w:tcPr>
          <w:p w14:paraId="0DB23FC3" w14:textId="77777777" w:rsidR="001A6FB0" w:rsidRPr="004362B1" w:rsidRDefault="001A6FB0" w:rsidP="00EB1206">
            <w:pPr>
              <w:rPr>
                <w:sz w:val="22"/>
                <w:lang w:val="en-US"/>
              </w:rPr>
            </w:pPr>
            <w:r w:rsidRPr="004362B1">
              <w:rPr>
                <w:sz w:val="22"/>
                <w:lang w:val="en-US"/>
              </w:rPr>
              <w:t>2.1</w:t>
            </w:r>
          </w:p>
        </w:tc>
        <w:tc>
          <w:tcPr>
            <w:tcW w:w="1416" w:type="dxa"/>
            <w:shd w:val="clear" w:color="auto" w:fill="auto"/>
            <w:vAlign w:val="center"/>
          </w:tcPr>
          <w:p w14:paraId="0A44CAF9" w14:textId="77777777" w:rsidR="001A6FB0" w:rsidRPr="004362B1" w:rsidRDefault="001A6FB0" w:rsidP="00EB1206">
            <w:pPr>
              <w:rPr>
                <w:sz w:val="22"/>
                <w:lang w:val="en-US"/>
              </w:rPr>
            </w:pPr>
            <w:r w:rsidRPr="004362B1">
              <w:rPr>
                <w:sz w:val="22"/>
                <w:lang w:val="en-US"/>
              </w:rPr>
              <w:t>0</w:t>
            </w:r>
          </w:p>
        </w:tc>
        <w:tc>
          <w:tcPr>
            <w:tcW w:w="1475" w:type="dxa"/>
            <w:shd w:val="clear" w:color="auto" w:fill="auto"/>
            <w:vAlign w:val="center"/>
          </w:tcPr>
          <w:p w14:paraId="0C2B6F9A" w14:textId="77777777" w:rsidR="001A6FB0" w:rsidRPr="004362B1" w:rsidRDefault="001A6FB0" w:rsidP="00EB1206">
            <w:pPr>
              <w:rPr>
                <w:sz w:val="22"/>
                <w:lang w:val="en-US"/>
              </w:rPr>
            </w:pPr>
            <w:r w:rsidRPr="004362B1">
              <w:rPr>
                <w:sz w:val="22"/>
                <w:lang w:val="en-US"/>
              </w:rPr>
              <w:t>0</w:t>
            </w:r>
          </w:p>
        </w:tc>
      </w:tr>
      <w:tr w:rsidR="001A6FB0" w:rsidRPr="004362B1" w14:paraId="5C9EFCB3" w14:textId="77777777" w:rsidTr="00616FE6">
        <w:trPr>
          <w:jc w:val="center"/>
        </w:trPr>
        <w:tc>
          <w:tcPr>
            <w:tcW w:w="3686" w:type="dxa"/>
            <w:shd w:val="clear" w:color="auto" w:fill="auto"/>
          </w:tcPr>
          <w:p w14:paraId="37F5646C" w14:textId="77777777" w:rsidR="001A6FB0" w:rsidRPr="004362B1" w:rsidRDefault="001A6FB0" w:rsidP="00EB1206">
            <w:pPr>
              <w:rPr>
                <w:sz w:val="22"/>
                <w:lang w:val="en-US"/>
              </w:rPr>
            </w:pPr>
            <w:r>
              <w:rPr>
                <w:sz w:val="22"/>
                <w:lang w:val="en-US"/>
              </w:rPr>
              <w:t>Pharyngitis</w:t>
            </w:r>
          </w:p>
        </w:tc>
        <w:tc>
          <w:tcPr>
            <w:tcW w:w="1418" w:type="dxa"/>
            <w:shd w:val="clear" w:color="auto" w:fill="auto"/>
            <w:vAlign w:val="center"/>
          </w:tcPr>
          <w:p w14:paraId="5C1A5B93" w14:textId="77777777" w:rsidR="001A6FB0" w:rsidRPr="004362B1" w:rsidRDefault="001A6FB0" w:rsidP="00EB1206">
            <w:pPr>
              <w:rPr>
                <w:sz w:val="22"/>
                <w:lang w:val="en-US"/>
              </w:rPr>
            </w:pPr>
            <w:r>
              <w:rPr>
                <w:sz w:val="22"/>
                <w:lang w:val="en-US"/>
              </w:rPr>
              <w:t>0</w:t>
            </w:r>
          </w:p>
        </w:tc>
        <w:tc>
          <w:tcPr>
            <w:tcW w:w="1424" w:type="dxa"/>
            <w:shd w:val="clear" w:color="auto" w:fill="auto"/>
            <w:vAlign w:val="center"/>
          </w:tcPr>
          <w:p w14:paraId="7A37F628" w14:textId="77777777" w:rsidR="001A6FB0" w:rsidRPr="004362B1" w:rsidRDefault="001A6FB0" w:rsidP="00EB1206">
            <w:pPr>
              <w:rPr>
                <w:sz w:val="22"/>
                <w:lang w:val="en-US"/>
              </w:rPr>
            </w:pPr>
            <w:r>
              <w:rPr>
                <w:sz w:val="22"/>
                <w:lang w:val="en-US"/>
              </w:rPr>
              <w:t>2.1</w:t>
            </w:r>
          </w:p>
        </w:tc>
        <w:tc>
          <w:tcPr>
            <w:tcW w:w="1416" w:type="dxa"/>
            <w:shd w:val="clear" w:color="auto" w:fill="auto"/>
            <w:vAlign w:val="center"/>
          </w:tcPr>
          <w:p w14:paraId="4FEB61FA" w14:textId="77777777" w:rsidR="001A6FB0" w:rsidRPr="004362B1" w:rsidRDefault="001A6FB0" w:rsidP="00EB1206">
            <w:pPr>
              <w:rPr>
                <w:sz w:val="22"/>
                <w:lang w:val="en-US"/>
              </w:rPr>
            </w:pPr>
            <w:r>
              <w:rPr>
                <w:sz w:val="22"/>
                <w:lang w:val="en-US"/>
              </w:rPr>
              <w:t>0</w:t>
            </w:r>
          </w:p>
        </w:tc>
        <w:tc>
          <w:tcPr>
            <w:tcW w:w="1475" w:type="dxa"/>
            <w:shd w:val="clear" w:color="auto" w:fill="auto"/>
            <w:vAlign w:val="center"/>
          </w:tcPr>
          <w:p w14:paraId="141AA0FE" w14:textId="77777777" w:rsidR="001A6FB0" w:rsidRPr="004362B1" w:rsidRDefault="001A6FB0" w:rsidP="00EB1206">
            <w:pPr>
              <w:rPr>
                <w:sz w:val="22"/>
                <w:lang w:val="en-US"/>
              </w:rPr>
            </w:pPr>
            <w:r>
              <w:rPr>
                <w:sz w:val="22"/>
                <w:lang w:val="en-US"/>
              </w:rPr>
              <w:t>0</w:t>
            </w:r>
          </w:p>
        </w:tc>
      </w:tr>
      <w:tr w:rsidR="001A6FB0" w:rsidRPr="004362B1" w14:paraId="48BA01DF" w14:textId="77777777" w:rsidTr="00616FE6">
        <w:trPr>
          <w:jc w:val="center"/>
        </w:trPr>
        <w:tc>
          <w:tcPr>
            <w:tcW w:w="3686" w:type="dxa"/>
            <w:shd w:val="clear" w:color="auto" w:fill="auto"/>
          </w:tcPr>
          <w:p w14:paraId="5A51435B" w14:textId="77777777" w:rsidR="001A6FB0" w:rsidRPr="004362B1" w:rsidRDefault="001A6FB0" w:rsidP="00EB1206">
            <w:pPr>
              <w:rPr>
                <w:b/>
                <w:sz w:val="22"/>
                <w:lang w:val="en-US"/>
              </w:rPr>
            </w:pPr>
            <w:r w:rsidRPr="004362B1">
              <w:rPr>
                <w:b/>
                <w:sz w:val="22"/>
                <w:lang w:val="en-US"/>
              </w:rPr>
              <w:t>General disorders and administration site conditions</w:t>
            </w:r>
          </w:p>
        </w:tc>
        <w:tc>
          <w:tcPr>
            <w:tcW w:w="5733" w:type="dxa"/>
            <w:gridSpan w:val="4"/>
            <w:shd w:val="clear" w:color="auto" w:fill="auto"/>
          </w:tcPr>
          <w:p w14:paraId="7A91DC36" w14:textId="77777777" w:rsidR="001A6FB0" w:rsidRPr="004362B1" w:rsidRDefault="001A6FB0" w:rsidP="00EB1206">
            <w:pPr>
              <w:rPr>
                <w:sz w:val="22"/>
                <w:lang w:val="en-US"/>
              </w:rPr>
            </w:pPr>
          </w:p>
        </w:tc>
      </w:tr>
      <w:tr w:rsidR="001A6FB0" w:rsidRPr="004362B1" w14:paraId="057CC6A6" w14:textId="77777777" w:rsidTr="00616FE6">
        <w:trPr>
          <w:jc w:val="center"/>
        </w:trPr>
        <w:tc>
          <w:tcPr>
            <w:tcW w:w="3686" w:type="dxa"/>
            <w:shd w:val="clear" w:color="auto" w:fill="auto"/>
          </w:tcPr>
          <w:p w14:paraId="22E6A467" w14:textId="77777777" w:rsidR="001A6FB0" w:rsidRPr="004362B1" w:rsidRDefault="001A6FB0" w:rsidP="00EB1206">
            <w:pPr>
              <w:rPr>
                <w:sz w:val="22"/>
                <w:lang w:val="en-US"/>
              </w:rPr>
            </w:pPr>
            <w:r w:rsidRPr="004362B1">
              <w:rPr>
                <w:sz w:val="22"/>
                <w:lang w:val="en-US"/>
              </w:rPr>
              <w:t>Pyrexia</w:t>
            </w:r>
          </w:p>
        </w:tc>
        <w:tc>
          <w:tcPr>
            <w:tcW w:w="1418" w:type="dxa"/>
            <w:shd w:val="clear" w:color="auto" w:fill="auto"/>
            <w:vAlign w:val="center"/>
          </w:tcPr>
          <w:p w14:paraId="053DB579" w14:textId="77777777" w:rsidR="001A6FB0" w:rsidRPr="004362B1" w:rsidRDefault="001A6FB0" w:rsidP="00EB1206">
            <w:pPr>
              <w:rPr>
                <w:sz w:val="22"/>
                <w:lang w:val="en-US"/>
              </w:rPr>
            </w:pPr>
            <w:r w:rsidRPr="004362B1">
              <w:rPr>
                <w:sz w:val="22"/>
                <w:lang w:val="en-US"/>
              </w:rPr>
              <w:t>6.9</w:t>
            </w:r>
          </w:p>
        </w:tc>
        <w:tc>
          <w:tcPr>
            <w:tcW w:w="1424" w:type="dxa"/>
            <w:shd w:val="clear" w:color="auto" w:fill="auto"/>
            <w:vAlign w:val="center"/>
          </w:tcPr>
          <w:p w14:paraId="2B67A352" w14:textId="77777777" w:rsidR="001A6FB0" w:rsidRPr="004362B1" w:rsidRDefault="001A6FB0" w:rsidP="00EB1206">
            <w:pPr>
              <w:rPr>
                <w:sz w:val="22"/>
                <w:lang w:val="en-US"/>
              </w:rPr>
            </w:pPr>
            <w:r w:rsidRPr="004362B1">
              <w:rPr>
                <w:sz w:val="22"/>
                <w:lang w:val="en-US"/>
              </w:rPr>
              <w:t>10.4</w:t>
            </w:r>
          </w:p>
        </w:tc>
        <w:tc>
          <w:tcPr>
            <w:tcW w:w="1416" w:type="dxa"/>
            <w:shd w:val="clear" w:color="auto" w:fill="auto"/>
            <w:vAlign w:val="center"/>
          </w:tcPr>
          <w:p w14:paraId="41F15BC1" w14:textId="77777777" w:rsidR="001A6FB0" w:rsidRPr="004362B1" w:rsidRDefault="001A6FB0" w:rsidP="00EB1206">
            <w:pPr>
              <w:rPr>
                <w:sz w:val="22"/>
                <w:lang w:val="en-US"/>
              </w:rPr>
            </w:pPr>
            <w:r w:rsidRPr="004362B1">
              <w:rPr>
                <w:sz w:val="22"/>
                <w:lang w:val="en-US"/>
              </w:rPr>
              <w:t>0</w:t>
            </w:r>
          </w:p>
        </w:tc>
        <w:tc>
          <w:tcPr>
            <w:tcW w:w="1475" w:type="dxa"/>
            <w:shd w:val="clear" w:color="auto" w:fill="auto"/>
            <w:vAlign w:val="center"/>
          </w:tcPr>
          <w:p w14:paraId="6359C238" w14:textId="77777777" w:rsidR="001A6FB0" w:rsidRPr="004362B1" w:rsidRDefault="001A6FB0" w:rsidP="00EB1206">
            <w:pPr>
              <w:rPr>
                <w:sz w:val="22"/>
                <w:lang w:val="en-US"/>
              </w:rPr>
            </w:pPr>
            <w:r w:rsidRPr="004362B1">
              <w:rPr>
                <w:sz w:val="22"/>
                <w:lang w:val="en-US"/>
              </w:rPr>
              <w:t>&lt; 1</w:t>
            </w:r>
          </w:p>
        </w:tc>
      </w:tr>
      <w:tr w:rsidR="001A6FB0" w:rsidRPr="004362B1" w14:paraId="60C703A6" w14:textId="77777777" w:rsidTr="00616FE6">
        <w:trPr>
          <w:jc w:val="center"/>
        </w:trPr>
        <w:tc>
          <w:tcPr>
            <w:tcW w:w="3686" w:type="dxa"/>
            <w:shd w:val="clear" w:color="auto" w:fill="auto"/>
          </w:tcPr>
          <w:p w14:paraId="1EDD7BCA" w14:textId="77777777" w:rsidR="001A6FB0" w:rsidRPr="004362B1" w:rsidRDefault="001A6FB0" w:rsidP="00EB1206">
            <w:pPr>
              <w:rPr>
                <w:b/>
                <w:sz w:val="22"/>
                <w:lang w:val="en-US"/>
              </w:rPr>
            </w:pPr>
            <w:r w:rsidRPr="004362B1">
              <w:rPr>
                <w:b/>
                <w:sz w:val="22"/>
                <w:lang w:val="en-US"/>
              </w:rPr>
              <w:t>Respiratory, thoracic and mediastinal disorders</w:t>
            </w:r>
          </w:p>
        </w:tc>
        <w:tc>
          <w:tcPr>
            <w:tcW w:w="5733" w:type="dxa"/>
            <w:gridSpan w:val="4"/>
            <w:shd w:val="clear" w:color="auto" w:fill="auto"/>
          </w:tcPr>
          <w:p w14:paraId="31E2B1AD" w14:textId="77777777" w:rsidR="001A6FB0" w:rsidRPr="004362B1" w:rsidRDefault="001A6FB0" w:rsidP="00EB1206">
            <w:pPr>
              <w:rPr>
                <w:sz w:val="22"/>
                <w:lang w:val="en-US"/>
              </w:rPr>
            </w:pPr>
          </w:p>
        </w:tc>
      </w:tr>
      <w:tr w:rsidR="001A6FB0" w:rsidRPr="004362B1" w14:paraId="765D3352" w14:textId="77777777" w:rsidTr="00616FE6">
        <w:trPr>
          <w:jc w:val="center"/>
        </w:trPr>
        <w:tc>
          <w:tcPr>
            <w:tcW w:w="3686" w:type="dxa"/>
            <w:shd w:val="clear" w:color="auto" w:fill="auto"/>
          </w:tcPr>
          <w:p w14:paraId="4DE3F449" w14:textId="77777777" w:rsidR="001A6FB0" w:rsidRPr="004362B1" w:rsidRDefault="001A6FB0" w:rsidP="00EB1206">
            <w:pPr>
              <w:rPr>
                <w:sz w:val="22"/>
                <w:lang w:val="en-US"/>
              </w:rPr>
            </w:pPr>
            <w:r w:rsidRPr="004362B1">
              <w:rPr>
                <w:sz w:val="22"/>
                <w:lang w:val="en-US"/>
              </w:rPr>
              <w:t>Cough</w:t>
            </w:r>
          </w:p>
        </w:tc>
        <w:tc>
          <w:tcPr>
            <w:tcW w:w="1418" w:type="dxa"/>
            <w:shd w:val="clear" w:color="auto" w:fill="auto"/>
            <w:vAlign w:val="center"/>
          </w:tcPr>
          <w:p w14:paraId="3D1F6D76" w14:textId="77777777" w:rsidR="001A6FB0" w:rsidRPr="004362B1" w:rsidRDefault="001A6FB0" w:rsidP="00EB1206">
            <w:pPr>
              <w:rPr>
                <w:sz w:val="22"/>
                <w:lang w:val="en-US"/>
              </w:rPr>
            </w:pPr>
            <w:r w:rsidRPr="004362B1">
              <w:rPr>
                <w:sz w:val="22"/>
                <w:lang w:val="en-US"/>
              </w:rPr>
              <w:t>6.9</w:t>
            </w:r>
          </w:p>
        </w:tc>
        <w:tc>
          <w:tcPr>
            <w:tcW w:w="1424" w:type="dxa"/>
            <w:shd w:val="clear" w:color="auto" w:fill="auto"/>
            <w:vAlign w:val="center"/>
          </w:tcPr>
          <w:p w14:paraId="79B712A4" w14:textId="77777777" w:rsidR="001A6FB0" w:rsidRPr="00916A73" w:rsidRDefault="001A6FB0" w:rsidP="00EB1206">
            <w:pPr>
              <w:rPr>
                <w:sz w:val="22"/>
                <w:lang w:val="en-US"/>
              </w:rPr>
            </w:pPr>
            <w:r w:rsidRPr="004362B1">
              <w:rPr>
                <w:sz w:val="22"/>
                <w:lang w:val="en-US"/>
              </w:rPr>
              <w:t>9.</w:t>
            </w:r>
            <w:r>
              <w:rPr>
                <w:sz w:val="22"/>
                <w:lang w:val="en-US"/>
              </w:rPr>
              <w:t>5</w:t>
            </w:r>
          </w:p>
        </w:tc>
        <w:tc>
          <w:tcPr>
            <w:tcW w:w="1416" w:type="dxa"/>
            <w:shd w:val="clear" w:color="auto" w:fill="auto"/>
            <w:vAlign w:val="center"/>
          </w:tcPr>
          <w:p w14:paraId="7F53286B" w14:textId="77777777" w:rsidR="001A6FB0" w:rsidRPr="004362B1" w:rsidRDefault="001A6FB0" w:rsidP="00EB1206">
            <w:pPr>
              <w:rPr>
                <w:sz w:val="22"/>
                <w:lang w:val="en-US"/>
              </w:rPr>
            </w:pPr>
            <w:r w:rsidRPr="004362B1">
              <w:rPr>
                <w:sz w:val="22"/>
                <w:lang w:val="en-US"/>
              </w:rPr>
              <w:t>&lt; 1</w:t>
            </w:r>
          </w:p>
        </w:tc>
        <w:tc>
          <w:tcPr>
            <w:tcW w:w="1475" w:type="dxa"/>
            <w:shd w:val="clear" w:color="auto" w:fill="auto"/>
            <w:vAlign w:val="center"/>
          </w:tcPr>
          <w:p w14:paraId="3442810A" w14:textId="77777777" w:rsidR="001A6FB0" w:rsidRPr="004362B1" w:rsidRDefault="001A6FB0" w:rsidP="00EB1206">
            <w:pPr>
              <w:rPr>
                <w:sz w:val="22"/>
                <w:lang w:val="en-US"/>
              </w:rPr>
            </w:pPr>
            <w:r w:rsidRPr="004362B1">
              <w:rPr>
                <w:sz w:val="22"/>
                <w:lang w:val="en-US"/>
              </w:rPr>
              <w:t>0</w:t>
            </w:r>
          </w:p>
        </w:tc>
      </w:tr>
      <w:tr w:rsidR="001A6FB0" w:rsidRPr="004362B1" w14:paraId="7FC3AB85" w14:textId="77777777" w:rsidTr="00616FE6">
        <w:trPr>
          <w:jc w:val="center"/>
        </w:trPr>
        <w:tc>
          <w:tcPr>
            <w:tcW w:w="3686" w:type="dxa"/>
            <w:shd w:val="clear" w:color="auto" w:fill="auto"/>
          </w:tcPr>
          <w:p w14:paraId="7086D70F" w14:textId="77777777" w:rsidR="001A6FB0" w:rsidRPr="004362B1" w:rsidRDefault="001A6FB0" w:rsidP="00EB1206">
            <w:pPr>
              <w:rPr>
                <w:b/>
                <w:sz w:val="22"/>
                <w:lang w:val="en-US"/>
              </w:rPr>
            </w:pPr>
            <w:r w:rsidRPr="004362B1">
              <w:rPr>
                <w:b/>
                <w:sz w:val="22"/>
                <w:lang w:val="en-US"/>
              </w:rPr>
              <w:t>Metabolism and nutrition disorders</w:t>
            </w:r>
          </w:p>
        </w:tc>
        <w:tc>
          <w:tcPr>
            <w:tcW w:w="5733" w:type="dxa"/>
            <w:gridSpan w:val="4"/>
            <w:shd w:val="clear" w:color="auto" w:fill="auto"/>
          </w:tcPr>
          <w:p w14:paraId="7FF54777" w14:textId="77777777" w:rsidR="001A6FB0" w:rsidRPr="004362B1" w:rsidRDefault="001A6FB0" w:rsidP="00EB1206">
            <w:pPr>
              <w:rPr>
                <w:sz w:val="22"/>
                <w:lang w:val="en-US"/>
              </w:rPr>
            </w:pPr>
          </w:p>
        </w:tc>
      </w:tr>
      <w:tr w:rsidR="001A6FB0" w:rsidRPr="004362B1" w14:paraId="5CFBF417" w14:textId="77777777" w:rsidTr="00616FE6">
        <w:trPr>
          <w:jc w:val="center"/>
        </w:trPr>
        <w:tc>
          <w:tcPr>
            <w:tcW w:w="3686" w:type="dxa"/>
            <w:shd w:val="clear" w:color="auto" w:fill="auto"/>
          </w:tcPr>
          <w:p w14:paraId="109800EF" w14:textId="77777777" w:rsidR="001A6FB0" w:rsidRPr="004362B1" w:rsidRDefault="001A6FB0" w:rsidP="00EB1206">
            <w:pPr>
              <w:rPr>
                <w:sz w:val="22"/>
                <w:lang w:val="en-US"/>
              </w:rPr>
            </w:pPr>
            <w:proofErr w:type="spellStart"/>
            <w:r w:rsidRPr="004362B1">
              <w:rPr>
                <w:sz w:val="22"/>
                <w:lang w:val="en-US"/>
              </w:rPr>
              <w:t>Tumour</w:t>
            </w:r>
            <w:proofErr w:type="spellEnd"/>
            <w:r w:rsidRPr="004362B1">
              <w:rPr>
                <w:sz w:val="22"/>
                <w:lang w:val="en-US"/>
              </w:rPr>
              <w:t xml:space="preserve"> lysis syndrome</w:t>
            </w:r>
          </w:p>
        </w:tc>
        <w:tc>
          <w:tcPr>
            <w:tcW w:w="1418" w:type="dxa"/>
            <w:shd w:val="clear" w:color="auto" w:fill="auto"/>
          </w:tcPr>
          <w:p w14:paraId="32688ECB" w14:textId="77777777" w:rsidR="001A6FB0" w:rsidRPr="004362B1" w:rsidRDefault="001A6FB0" w:rsidP="00EB1206">
            <w:pPr>
              <w:rPr>
                <w:sz w:val="22"/>
                <w:lang w:val="en-US"/>
              </w:rPr>
            </w:pPr>
            <w:r w:rsidRPr="004362B1">
              <w:rPr>
                <w:sz w:val="22"/>
                <w:lang w:val="en-US"/>
              </w:rPr>
              <w:t>&lt; 1</w:t>
            </w:r>
          </w:p>
        </w:tc>
        <w:tc>
          <w:tcPr>
            <w:tcW w:w="1424" w:type="dxa"/>
            <w:shd w:val="clear" w:color="auto" w:fill="auto"/>
          </w:tcPr>
          <w:p w14:paraId="703ABD89" w14:textId="77777777" w:rsidR="001A6FB0" w:rsidRPr="00916A73" w:rsidRDefault="001A6FB0" w:rsidP="00EB1206">
            <w:pPr>
              <w:rPr>
                <w:sz w:val="22"/>
                <w:lang w:val="en-US"/>
              </w:rPr>
            </w:pPr>
            <w:r w:rsidRPr="004362B1">
              <w:rPr>
                <w:sz w:val="22"/>
                <w:lang w:val="en-US"/>
              </w:rPr>
              <w:t>4.</w:t>
            </w:r>
            <w:r>
              <w:rPr>
                <w:sz w:val="22"/>
                <w:lang w:val="en-US"/>
              </w:rPr>
              <w:t>1</w:t>
            </w:r>
          </w:p>
        </w:tc>
        <w:tc>
          <w:tcPr>
            <w:tcW w:w="1416" w:type="dxa"/>
            <w:shd w:val="clear" w:color="auto" w:fill="auto"/>
          </w:tcPr>
          <w:p w14:paraId="18862F07"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6EC6D590" w14:textId="77777777" w:rsidR="001A6FB0" w:rsidRPr="004362B1" w:rsidRDefault="001A6FB0" w:rsidP="00EB1206">
            <w:pPr>
              <w:rPr>
                <w:sz w:val="22"/>
                <w:lang w:val="en-US"/>
              </w:rPr>
            </w:pPr>
            <w:r w:rsidRPr="004362B1">
              <w:rPr>
                <w:sz w:val="22"/>
                <w:lang w:val="en-US"/>
              </w:rPr>
              <w:t>1.7</w:t>
            </w:r>
          </w:p>
        </w:tc>
      </w:tr>
      <w:tr w:rsidR="001A6FB0" w:rsidRPr="004362B1" w14:paraId="01396919" w14:textId="77777777" w:rsidTr="00616FE6">
        <w:trPr>
          <w:jc w:val="center"/>
        </w:trPr>
        <w:tc>
          <w:tcPr>
            <w:tcW w:w="3686" w:type="dxa"/>
            <w:shd w:val="clear" w:color="auto" w:fill="auto"/>
          </w:tcPr>
          <w:p w14:paraId="48CFFD15" w14:textId="77777777" w:rsidR="001A6FB0" w:rsidRPr="004362B1" w:rsidRDefault="001A6FB0" w:rsidP="00EB1206">
            <w:pPr>
              <w:rPr>
                <w:sz w:val="22"/>
                <w:lang w:val="en-US"/>
              </w:rPr>
            </w:pPr>
            <w:proofErr w:type="spellStart"/>
            <w:r w:rsidRPr="004362B1">
              <w:rPr>
                <w:sz w:val="22"/>
                <w:lang w:val="en-US"/>
              </w:rPr>
              <w:t>Hyperuricaemia</w:t>
            </w:r>
            <w:proofErr w:type="spellEnd"/>
          </w:p>
        </w:tc>
        <w:tc>
          <w:tcPr>
            <w:tcW w:w="1418" w:type="dxa"/>
            <w:shd w:val="clear" w:color="auto" w:fill="auto"/>
          </w:tcPr>
          <w:p w14:paraId="6E2CE997" w14:textId="77777777" w:rsidR="001A6FB0" w:rsidRPr="004362B1" w:rsidRDefault="001A6FB0" w:rsidP="00EB1206">
            <w:pPr>
              <w:rPr>
                <w:sz w:val="22"/>
                <w:lang w:val="en-US"/>
              </w:rPr>
            </w:pPr>
            <w:r w:rsidRPr="004362B1">
              <w:rPr>
                <w:sz w:val="22"/>
                <w:lang w:val="en-US"/>
              </w:rPr>
              <w:t>0</w:t>
            </w:r>
          </w:p>
        </w:tc>
        <w:tc>
          <w:tcPr>
            <w:tcW w:w="1424" w:type="dxa"/>
            <w:shd w:val="clear" w:color="auto" w:fill="auto"/>
          </w:tcPr>
          <w:p w14:paraId="4C0A3353" w14:textId="77777777" w:rsidR="001A6FB0" w:rsidRPr="004362B1" w:rsidRDefault="001A6FB0" w:rsidP="00EB1206">
            <w:pPr>
              <w:rPr>
                <w:sz w:val="22"/>
                <w:lang w:val="en-US"/>
              </w:rPr>
            </w:pPr>
            <w:r w:rsidRPr="004362B1">
              <w:rPr>
                <w:sz w:val="22"/>
                <w:lang w:val="en-US"/>
              </w:rPr>
              <w:t>3.3</w:t>
            </w:r>
          </w:p>
        </w:tc>
        <w:tc>
          <w:tcPr>
            <w:tcW w:w="1416" w:type="dxa"/>
            <w:shd w:val="clear" w:color="auto" w:fill="auto"/>
          </w:tcPr>
          <w:p w14:paraId="3E5FDF87"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7F0F18DA" w14:textId="77777777" w:rsidR="001A6FB0" w:rsidRPr="004362B1" w:rsidRDefault="001A6FB0" w:rsidP="00EB1206">
            <w:pPr>
              <w:rPr>
                <w:sz w:val="22"/>
                <w:lang w:val="en-US"/>
              </w:rPr>
            </w:pPr>
            <w:r w:rsidRPr="004362B1">
              <w:rPr>
                <w:sz w:val="22"/>
                <w:lang w:val="en-US"/>
              </w:rPr>
              <w:t>&lt; 1</w:t>
            </w:r>
          </w:p>
        </w:tc>
      </w:tr>
      <w:tr w:rsidR="001A6FB0" w:rsidRPr="004362B1" w14:paraId="4FF42165" w14:textId="77777777" w:rsidTr="00616FE6">
        <w:trPr>
          <w:jc w:val="center"/>
        </w:trPr>
        <w:tc>
          <w:tcPr>
            <w:tcW w:w="3686" w:type="dxa"/>
            <w:shd w:val="clear" w:color="auto" w:fill="auto"/>
          </w:tcPr>
          <w:p w14:paraId="128187FA" w14:textId="77777777" w:rsidR="001A6FB0" w:rsidRPr="004362B1" w:rsidRDefault="001A6FB0" w:rsidP="00EB1206">
            <w:pPr>
              <w:rPr>
                <w:b/>
                <w:sz w:val="22"/>
                <w:lang w:val="en-US"/>
              </w:rPr>
            </w:pPr>
            <w:r w:rsidRPr="004362B1">
              <w:rPr>
                <w:b/>
                <w:sz w:val="22"/>
                <w:lang w:val="en-US"/>
              </w:rPr>
              <w:t>Musculoskeletal and connective tissue disorders</w:t>
            </w:r>
          </w:p>
        </w:tc>
        <w:tc>
          <w:tcPr>
            <w:tcW w:w="5733" w:type="dxa"/>
            <w:gridSpan w:val="4"/>
            <w:shd w:val="clear" w:color="auto" w:fill="auto"/>
          </w:tcPr>
          <w:p w14:paraId="0E4A3586" w14:textId="77777777" w:rsidR="001A6FB0" w:rsidRPr="004362B1" w:rsidRDefault="001A6FB0" w:rsidP="00EB1206">
            <w:pPr>
              <w:rPr>
                <w:sz w:val="22"/>
                <w:lang w:val="en-US"/>
              </w:rPr>
            </w:pPr>
          </w:p>
        </w:tc>
      </w:tr>
      <w:tr w:rsidR="001A6FB0" w:rsidRPr="004362B1" w14:paraId="6948D36F" w14:textId="77777777" w:rsidTr="00616FE6">
        <w:trPr>
          <w:jc w:val="center"/>
        </w:trPr>
        <w:tc>
          <w:tcPr>
            <w:tcW w:w="3686" w:type="dxa"/>
            <w:shd w:val="clear" w:color="auto" w:fill="auto"/>
          </w:tcPr>
          <w:p w14:paraId="63B1FB5D" w14:textId="77777777" w:rsidR="001A6FB0" w:rsidRPr="004362B1" w:rsidRDefault="001A6FB0" w:rsidP="00EB1206">
            <w:pPr>
              <w:rPr>
                <w:sz w:val="22"/>
                <w:lang w:val="en-US"/>
              </w:rPr>
            </w:pPr>
            <w:r w:rsidRPr="004362B1">
              <w:rPr>
                <w:sz w:val="22"/>
                <w:lang w:val="en-US"/>
              </w:rPr>
              <w:t>Arthralgia</w:t>
            </w:r>
          </w:p>
        </w:tc>
        <w:tc>
          <w:tcPr>
            <w:tcW w:w="1418" w:type="dxa"/>
            <w:shd w:val="clear" w:color="auto" w:fill="auto"/>
          </w:tcPr>
          <w:p w14:paraId="3E0514DF" w14:textId="77777777" w:rsidR="001A6FB0" w:rsidRPr="004362B1" w:rsidRDefault="001A6FB0" w:rsidP="00EB1206">
            <w:pPr>
              <w:rPr>
                <w:sz w:val="22"/>
                <w:lang w:val="en-US"/>
              </w:rPr>
            </w:pPr>
            <w:r w:rsidRPr="004362B1">
              <w:rPr>
                <w:sz w:val="22"/>
                <w:lang w:val="en-US"/>
              </w:rPr>
              <w:t>2.6</w:t>
            </w:r>
          </w:p>
        </w:tc>
        <w:tc>
          <w:tcPr>
            <w:tcW w:w="1424" w:type="dxa"/>
            <w:shd w:val="clear" w:color="auto" w:fill="auto"/>
          </w:tcPr>
          <w:p w14:paraId="63FE930A" w14:textId="77777777" w:rsidR="001A6FB0" w:rsidRPr="004362B1" w:rsidRDefault="001A6FB0" w:rsidP="00EB1206">
            <w:pPr>
              <w:rPr>
                <w:sz w:val="22"/>
                <w:lang w:val="en-US"/>
              </w:rPr>
            </w:pPr>
            <w:r w:rsidRPr="004362B1">
              <w:rPr>
                <w:sz w:val="22"/>
                <w:lang w:val="en-US"/>
              </w:rPr>
              <w:t>4.6</w:t>
            </w:r>
          </w:p>
        </w:tc>
        <w:tc>
          <w:tcPr>
            <w:tcW w:w="1416" w:type="dxa"/>
            <w:shd w:val="clear" w:color="auto" w:fill="auto"/>
          </w:tcPr>
          <w:p w14:paraId="385BD348" w14:textId="77777777" w:rsidR="001A6FB0" w:rsidRPr="004362B1" w:rsidRDefault="001A6FB0" w:rsidP="00EB1206">
            <w:pPr>
              <w:rPr>
                <w:sz w:val="22"/>
                <w:lang w:val="en-US"/>
              </w:rPr>
            </w:pPr>
            <w:r w:rsidRPr="004362B1">
              <w:rPr>
                <w:sz w:val="22"/>
                <w:lang w:val="en-US"/>
              </w:rPr>
              <w:t>&lt; 1</w:t>
            </w:r>
          </w:p>
        </w:tc>
        <w:tc>
          <w:tcPr>
            <w:tcW w:w="1475" w:type="dxa"/>
            <w:shd w:val="clear" w:color="auto" w:fill="auto"/>
          </w:tcPr>
          <w:p w14:paraId="35C5332B" w14:textId="77777777" w:rsidR="001A6FB0" w:rsidRPr="004362B1" w:rsidRDefault="001A6FB0" w:rsidP="00EB1206">
            <w:pPr>
              <w:rPr>
                <w:sz w:val="22"/>
                <w:lang w:val="en-US"/>
              </w:rPr>
            </w:pPr>
            <w:r w:rsidRPr="004362B1">
              <w:rPr>
                <w:sz w:val="22"/>
                <w:lang w:val="en-US"/>
              </w:rPr>
              <w:t>&lt; 1</w:t>
            </w:r>
          </w:p>
        </w:tc>
      </w:tr>
      <w:tr w:rsidR="001A6FB0" w:rsidRPr="004362B1" w14:paraId="3E4B37C7" w14:textId="77777777" w:rsidTr="00616FE6">
        <w:trPr>
          <w:jc w:val="center"/>
        </w:trPr>
        <w:tc>
          <w:tcPr>
            <w:tcW w:w="3686" w:type="dxa"/>
            <w:shd w:val="clear" w:color="auto" w:fill="auto"/>
          </w:tcPr>
          <w:p w14:paraId="29E428DC" w14:textId="77777777" w:rsidR="001A6FB0" w:rsidRPr="004362B1" w:rsidRDefault="001A6FB0" w:rsidP="00EB1206">
            <w:pPr>
              <w:rPr>
                <w:sz w:val="22"/>
                <w:lang w:val="en-US"/>
              </w:rPr>
            </w:pPr>
            <w:r w:rsidRPr="004362B1">
              <w:rPr>
                <w:sz w:val="22"/>
                <w:lang w:val="en-US"/>
              </w:rPr>
              <w:t>Back pain</w:t>
            </w:r>
          </w:p>
        </w:tc>
        <w:tc>
          <w:tcPr>
            <w:tcW w:w="1418" w:type="dxa"/>
            <w:shd w:val="clear" w:color="auto" w:fill="auto"/>
          </w:tcPr>
          <w:p w14:paraId="31004A1A" w14:textId="77777777" w:rsidR="001A6FB0" w:rsidRPr="004362B1" w:rsidRDefault="001A6FB0" w:rsidP="00EB1206">
            <w:pPr>
              <w:rPr>
                <w:sz w:val="22"/>
                <w:lang w:val="en-US"/>
              </w:rPr>
            </w:pPr>
            <w:r w:rsidRPr="004362B1">
              <w:rPr>
                <w:sz w:val="22"/>
                <w:lang w:val="en-US"/>
              </w:rPr>
              <w:t>1</w:t>
            </w:r>
            <w:r>
              <w:rPr>
                <w:sz w:val="22"/>
                <w:lang w:val="en-US"/>
              </w:rPr>
              <w:t>.7</w:t>
            </w:r>
          </w:p>
        </w:tc>
        <w:tc>
          <w:tcPr>
            <w:tcW w:w="1424" w:type="dxa"/>
            <w:shd w:val="clear" w:color="auto" w:fill="auto"/>
          </w:tcPr>
          <w:p w14:paraId="73279A8A" w14:textId="77777777" w:rsidR="001A6FB0" w:rsidRPr="00916A73" w:rsidRDefault="001A6FB0" w:rsidP="00EB1206">
            <w:pPr>
              <w:rPr>
                <w:sz w:val="22"/>
                <w:lang w:val="en-US"/>
              </w:rPr>
            </w:pPr>
            <w:r>
              <w:rPr>
                <w:sz w:val="22"/>
                <w:lang w:val="en-US"/>
              </w:rPr>
              <w:t>5.0</w:t>
            </w:r>
          </w:p>
        </w:tc>
        <w:tc>
          <w:tcPr>
            <w:tcW w:w="1416" w:type="dxa"/>
            <w:shd w:val="clear" w:color="auto" w:fill="auto"/>
          </w:tcPr>
          <w:p w14:paraId="51608AD4"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7FBADA07" w14:textId="77777777" w:rsidR="001A6FB0" w:rsidRPr="004362B1" w:rsidRDefault="001A6FB0" w:rsidP="00EB1206">
            <w:pPr>
              <w:rPr>
                <w:sz w:val="22"/>
                <w:lang w:val="en-US"/>
              </w:rPr>
            </w:pPr>
            <w:r w:rsidRPr="004362B1">
              <w:rPr>
                <w:sz w:val="22"/>
                <w:lang w:val="en-US"/>
              </w:rPr>
              <w:t>&lt; 1</w:t>
            </w:r>
          </w:p>
        </w:tc>
      </w:tr>
      <w:tr w:rsidR="001A6FB0" w:rsidRPr="004362B1" w14:paraId="0BA5106D" w14:textId="77777777" w:rsidTr="00616FE6">
        <w:trPr>
          <w:jc w:val="center"/>
        </w:trPr>
        <w:tc>
          <w:tcPr>
            <w:tcW w:w="3686" w:type="dxa"/>
            <w:shd w:val="clear" w:color="auto" w:fill="auto"/>
          </w:tcPr>
          <w:p w14:paraId="66A7A33C" w14:textId="77777777" w:rsidR="001A6FB0" w:rsidRPr="004362B1" w:rsidRDefault="001A6FB0" w:rsidP="00EB1206">
            <w:pPr>
              <w:rPr>
                <w:sz w:val="22"/>
                <w:lang w:val="en-US"/>
              </w:rPr>
            </w:pPr>
            <w:r w:rsidRPr="004362B1">
              <w:rPr>
                <w:sz w:val="22"/>
                <w:lang w:val="en-US"/>
              </w:rPr>
              <w:t>Musculoskeletal chest pain</w:t>
            </w:r>
          </w:p>
        </w:tc>
        <w:tc>
          <w:tcPr>
            <w:tcW w:w="1418" w:type="dxa"/>
            <w:shd w:val="clear" w:color="auto" w:fill="auto"/>
          </w:tcPr>
          <w:p w14:paraId="482E1BC0" w14:textId="77777777" w:rsidR="001A6FB0" w:rsidRPr="004362B1" w:rsidRDefault="001A6FB0" w:rsidP="00EB1206">
            <w:pPr>
              <w:rPr>
                <w:sz w:val="22"/>
                <w:lang w:val="en-US"/>
              </w:rPr>
            </w:pPr>
            <w:r w:rsidRPr="004362B1">
              <w:rPr>
                <w:sz w:val="22"/>
                <w:lang w:val="en-US"/>
              </w:rPr>
              <w:t>0</w:t>
            </w:r>
          </w:p>
        </w:tc>
        <w:tc>
          <w:tcPr>
            <w:tcW w:w="1424" w:type="dxa"/>
            <w:shd w:val="clear" w:color="auto" w:fill="auto"/>
          </w:tcPr>
          <w:p w14:paraId="2BEB5E42" w14:textId="77777777" w:rsidR="001A6FB0" w:rsidRPr="00916A73" w:rsidRDefault="001A6FB0" w:rsidP="00EB1206">
            <w:pPr>
              <w:rPr>
                <w:sz w:val="22"/>
                <w:lang w:val="en-US"/>
              </w:rPr>
            </w:pPr>
            <w:r w:rsidRPr="004362B1">
              <w:rPr>
                <w:sz w:val="22"/>
                <w:lang w:val="en-US"/>
              </w:rPr>
              <w:t>2.</w:t>
            </w:r>
            <w:r>
              <w:rPr>
                <w:sz w:val="22"/>
                <w:lang w:val="en-US"/>
              </w:rPr>
              <w:t>5</w:t>
            </w:r>
          </w:p>
        </w:tc>
        <w:tc>
          <w:tcPr>
            <w:tcW w:w="1416" w:type="dxa"/>
            <w:shd w:val="clear" w:color="auto" w:fill="auto"/>
          </w:tcPr>
          <w:p w14:paraId="7F8BC4B7"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3006B045" w14:textId="77777777" w:rsidR="001A6FB0" w:rsidRPr="004362B1" w:rsidRDefault="001A6FB0" w:rsidP="00EB1206">
            <w:pPr>
              <w:rPr>
                <w:sz w:val="22"/>
                <w:lang w:val="en-US"/>
              </w:rPr>
            </w:pPr>
            <w:r w:rsidRPr="004362B1">
              <w:rPr>
                <w:sz w:val="22"/>
                <w:lang w:val="en-US"/>
              </w:rPr>
              <w:t>&lt; 1</w:t>
            </w:r>
          </w:p>
        </w:tc>
      </w:tr>
      <w:tr w:rsidR="001A6FB0" w:rsidRPr="004362B1" w14:paraId="3BBF3386" w14:textId="77777777" w:rsidTr="00616FE6">
        <w:trPr>
          <w:jc w:val="center"/>
        </w:trPr>
        <w:tc>
          <w:tcPr>
            <w:tcW w:w="3686" w:type="dxa"/>
            <w:shd w:val="clear" w:color="auto" w:fill="auto"/>
          </w:tcPr>
          <w:p w14:paraId="5673D267" w14:textId="77777777" w:rsidR="001A6FB0" w:rsidRPr="004362B1" w:rsidRDefault="001A6FB0" w:rsidP="00EB1206">
            <w:pPr>
              <w:rPr>
                <w:b/>
                <w:sz w:val="22"/>
                <w:lang w:val="en-US"/>
              </w:rPr>
            </w:pPr>
            <w:r>
              <w:rPr>
                <w:b/>
                <w:sz w:val="22"/>
                <w:lang w:val="en-US"/>
              </w:rPr>
              <w:t>Vascular disorders</w:t>
            </w:r>
          </w:p>
        </w:tc>
        <w:tc>
          <w:tcPr>
            <w:tcW w:w="5733" w:type="dxa"/>
            <w:gridSpan w:val="4"/>
            <w:shd w:val="clear" w:color="auto" w:fill="auto"/>
          </w:tcPr>
          <w:p w14:paraId="345BAB16" w14:textId="77777777" w:rsidR="001A6FB0" w:rsidRPr="004362B1" w:rsidRDefault="001A6FB0" w:rsidP="00EB1206">
            <w:pPr>
              <w:rPr>
                <w:sz w:val="22"/>
                <w:lang w:val="en-US"/>
              </w:rPr>
            </w:pPr>
          </w:p>
        </w:tc>
      </w:tr>
      <w:tr w:rsidR="001A6FB0" w:rsidRPr="004362B1" w14:paraId="46A3D742" w14:textId="77777777" w:rsidTr="00616FE6">
        <w:trPr>
          <w:jc w:val="center"/>
        </w:trPr>
        <w:tc>
          <w:tcPr>
            <w:tcW w:w="3686" w:type="dxa"/>
            <w:shd w:val="clear" w:color="auto" w:fill="auto"/>
          </w:tcPr>
          <w:p w14:paraId="31286EED" w14:textId="77777777" w:rsidR="001A6FB0" w:rsidRPr="001F746C" w:rsidRDefault="001A6FB0" w:rsidP="00EB1206">
            <w:pPr>
              <w:rPr>
                <w:sz w:val="22"/>
                <w:lang w:val="en-US"/>
              </w:rPr>
            </w:pPr>
            <w:r w:rsidRPr="001F746C">
              <w:rPr>
                <w:sz w:val="22"/>
                <w:lang w:val="en-US"/>
              </w:rPr>
              <w:t>Hypertension</w:t>
            </w:r>
          </w:p>
        </w:tc>
        <w:tc>
          <w:tcPr>
            <w:tcW w:w="1418" w:type="dxa"/>
            <w:shd w:val="clear" w:color="auto" w:fill="auto"/>
          </w:tcPr>
          <w:p w14:paraId="77344C5E" w14:textId="77777777" w:rsidR="001A6FB0" w:rsidRPr="004362B1" w:rsidRDefault="001A6FB0" w:rsidP="00EB1206">
            <w:pPr>
              <w:rPr>
                <w:sz w:val="22"/>
                <w:lang w:val="en-US"/>
              </w:rPr>
            </w:pPr>
            <w:r>
              <w:rPr>
                <w:sz w:val="22"/>
                <w:lang w:val="en-US"/>
              </w:rPr>
              <w:t>1.7</w:t>
            </w:r>
          </w:p>
        </w:tc>
        <w:tc>
          <w:tcPr>
            <w:tcW w:w="1424" w:type="dxa"/>
            <w:shd w:val="clear" w:color="auto" w:fill="auto"/>
          </w:tcPr>
          <w:p w14:paraId="2C629CEC" w14:textId="77777777" w:rsidR="001A6FB0" w:rsidRPr="004362B1" w:rsidRDefault="001A6FB0" w:rsidP="00EB1206">
            <w:pPr>
              <w:rPr>
                <w:sz w:val="22"/>
                <w:lang w:val="en-US"/>
              </w:rPr>
            </w:pPr>
            <w:r>
              <w:rPr>
                <w:sz w:val="22"/>
                <w:lang w:val="en-US"/>
              </w:rPr>
              <w:t>3.7</w:t>
            </w:r>
          </w:p>
        </w:tc>
        <w:tc>
          <w:tcPr>
            <w:tcW w:w="1416" w:type="dxa"/>
            <w:shd w:val="clear" w:color="auto" w:fill="auto"/>
          </w:tcPr>
          <w:p w14:paraId="5E2ADD6E" w14:textId="77777777" w:rsidR="001A6FB0" w:rsidRPr="004362B1" w:rsidRDefault="001A6FB0" w:rsidP="00EB1206">
            <w:pPr>
              <w:rPr>
                <w:sz w:val="22"/>
                <w:lang w:val="en-US"/>
              </w:rPr>
            </w:pPr>
            <w:r>
              <w:rPr>
                <w:sz w:val="22"/>
                <w:lang w:val="en-US"/>
              </w:rPr>
              <w:t>1.7</w:t>
            </w:r>
          </w:p>
        </w:tc>
        <w:tc>
          <w:tcPr>
            <w:tcW w:w="1475" w:type="dxa"/>
            <w:shd w:val="clear" w:color="auto" w:fill="auto"/>
          </w:tcPr>
          <w:p w14:paraId="2D7D9AAE" w14:textId="77777777" w:rsidR="001A6FB0" w:rsidRPr="004362B1" w:rsidRDefault="001A6FB0" w:rsidP="00EB1206">
            <w:pPr>
              <w:rPr>
                <w:sz w:val="22"/>
                <w:lang w:val="en-US"/>
              </w:rPr>
            </w:pPr>
            <w:r>
              <w:rPr>
                <w:sz w:val="22"/>
                <w:lang w:val="en-US"/>
              </w:rPr>
              <w:t>1.7</w:t>
            </w:r>
          </w:p>
        </w:tc>
      </w:tr>
      <w:tr w:rsidR="001A6FB0" w:rsidRPr="004362B1" w14:paraId="5A5929C4" w14:textId="77777777" w:rsidTr="00616FE6">
        <w:trPr>
          <w:jc w:val="center"/>
        </w:trPr>
        <w:tc>
          <w:tcPr>
            <w:tcW w:w="3686" w:type="dxa"/>
            <w:shd w:val="clear" w:color="auto" w:fill="auto"/>
          </w:tcPr>
          <w:p w14:paraId="1685D4D9" w14:textId="77777777" w:rsidR="001A6FB0" w:rsidRPr="004362B1" w:rsidRDefault="001A6FB0" w:rsidP="00EB1206">
            <w:pPr>
              <w:rPr>
                <w:b/>
                <w:sz w:val="22"/>
                <w:lang w:val="en-US"/>
              </w:rPr>
            </w:pPr>
            <w:r w:rsidRPr="004362B1">
              <w:rPr>
                <w:b/>
                <w:sz w:val="22"/>
                <w:lang w:val="en-US"/>
              </w:rPr>
              <w:t>Investigations</w:t>
            </w:r>
          </w:p>
        </w:tc>
        <w:tc>
          <w:tcPr>
            <w:tcW w:w="5733" w:type="dxa"/>
            <w:gridSpan w:val="4"/>
            <w:shd w:val="clear" w:color="auto" w:fill="auto"/>
          </w:tcPr>
          <w:p w14:paraId="27434274" w14:textId="77777777" w:rsidR="001A6FB0" w:rsidRPr="004362B1" w:rsidRDefault="001A6FB0" w:rsidP="00EB1206">
            <w:pPr>
              <w:rPr>
                <w:sz w:val="22"/>
                <w:lang w:val="en-US"/>
              </w:rPr>
            </w:pPr>
          </w:p>
        </w:tc>
      </w:tr>
      <w:tr w:rsidR="001A6FB0" w:rsidRPr="004362B1" w14:paraId="2B95E495" w14:textId="77777777" w:rsidTr="00616FE6">
        <w:trPr>
          <w:jc w:val="center"/>
        </w:trPr>
        <w:tc>
          <w:tcPr>
            <w:tcW w:w="3686" w:type="dxa"/>
            <w:shd w:val="clear" w:color="auto" w:fill="auto"/>
          </w:tcPr>
          <w:p w14:paraId="29A424F0" w14:textId="77777777" w:rsidR="001A6FB0" w:rsidRPr="004362B1" w:rsidRDefault="001A6FB0" w:rsidP="00EB1206">
            <w:pPr>
              <w:rPr>
                <w:sz w:val="22"/>
                <w:lang w:val="en-US"/>
              </w:rPr>
            </w:pPr>
            <w:r w:rsidRPr="004362B1">
              <w:rPr>
                <w:sz w:val="22"/>
                <w:lang w:val="en-US"/>
              </w:rPr>
              <w:lastRenderedPageBreak/>
              <w:t xml:space="preserve">White blood cell </w:t>
            </w:r>
            <w:proofErr w:type="gramStart"/>
            <w:r w:rsidRPr="004362B1">
              <w:rPr>
                <w:sz w:val="22"/>
                <w:lang w:val="en-US"/>
              </w:rPr>
              <w:t>count</w:t>
            </w:r>
            <w:proofErr w:type="gramEnd"/>
            <w:r w:rsidRPr="004362B1">
              <w:rPr>
                <w:sz w:val="22"/>
                <w:lang w:val="en-US"/>
              </w:rPr>
              <w:t xml:space="preserve"> decreased</w:t>
            </w:r>
            <w:r w:rsidRPr="0055536F">
              <w:rPr>
                <w:sz w:val="22"/>
                <w:lang w:val="en-US"/>
              </w:rPr>
              <w:t>‡</w:t>
            </w:r>
          </w:p>
        </w:tc>
        <w:tc>
          <w:tcPr>
            <w:tcW w:w="1418" w:type="dxa"/>
            <w:shd w:val="clear" w:color="auto" w:fill="auto"/>
          </w:tcPr>
          <w:p w14:paraId="1929D1C6" w14:textId="77777777" w:rsidR="001A6FB0" w:rsidRPr="004362B1" w:rsidRDefault="001A6FB0" w:rsidP="00EB1206">
            <w:pPr>
              <w:rPr>
                <w:sz w:val="22"/>
                <w:lang w:val="en-US"/>
              </w:rPr>
            </w:pPr>
            <w:r w:rsidRPr="004362B1">
              <w:rPr>
                <w:sz w:val="22"/>
                <w:lang w:val="en-US"/>
              </w:rPr>
              <w:t>&lt; 1</w:t>
            </w:r>
          </w:p>
        </w:tc>
        <w:tc>
          <w:tcPr>
            <w:tcW w:w="1424" w:type="dxa"/>
            <w:shd w:val="clear" w:color="auto" w:fill="auto"/>
          </w:tcPr>
          <w:p w14:paraId="74615073" w14:textId="77777777" w:rsidR="001A6FB0" w:rsidRPr="004362B1" w:rsidRDefault="001A6FB0" w:rsidP="00EB1206">
            <w:pPr>
              <w:rPr>
                <w:sz w:val="22"/>
                <w:lang w:val="en-US"/>
              </w:rPr>
            </w:pPr>
            <w:r w:rsidRPr="004362B1">
              <w:rPr>
                <w:sz w:val="22"/>
                <w:lang w:val="en-US"/>
              </w:rPr>
              <w:t>2.1</w:t>
            </w:r>
          </w:p>
        </w:tc>
        <w:tc>
          <w:tcPr>
            <w:tcW w:w="1416" w:type="dxa"/>
            <w:shd w:val="clear" w:color="auto" w:fill="auto"/>
          </w:tcPr>
          <w:p w14:paraId="54583C78"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5814A8A0" w14:textId="77777777" w:rsidR="001A6FB0" w:rsidRPr="004362B1" w:rsidRDefault="001A6FB0" w:rsidP="00EB1206">
            <w:pPr>
              <w:rPr>
                <w:sz w:val="22"/>
                <w:lang w:val="en-US"/>
              </w:rPr>
            </w:pPr>
            <w:r w:rsidRPr="004362B1">
              <w:rPr>
                <w:sz w:val="22"/>
                <w:lang w:val="en-US"/>
              </w:rPr>
              <w:t>2.1</w:t>
            </w:r>
          </w:p>
        </w:tc>
      </w:tr>
      <w:tr w:rsidR="001A6FB0" w:rsidRPr="004362B1" w14:paraId="15D38522" w14:textId="77777777" w:rsidTr="00616FE6">
        <w:trPr>
          <w:jc w:val="center"/>
        </w:trPr>
        <w:tc>
          <w:tcPr>
            <w:tcW w:w="3686" w:type="dxa"/>
            <w:shd w:val="clear" w:color="auto" w:fill="auto"/>
          </w:tcPr>
          <w:p w14:paraId="306EF588" w14:textId="77777777" w:rsidR="001A6FB0" w:rsidRPr="004362B1" w:rsidRDefault="001A6FB0" w:rsidP="00EB1206">
            <w:pPr>
              <w:rPr>
                <w:sz w:val="22"/>
                <w:lang w:val="en-US"/>
              </w:rPr>
            </w:pPr>
            <w:r w:rsidRPr="004362B1">
              <w:rPr>
                <w:sz w:val="22"/>
                <w:lang w:val="en-US"/>
              </w:rPr>
              <w:t>Neutrophil count decreased</w:t>
            </w:r>
          </w:p>
        </w:tc>
        <w:tc>
          <w:tcPr>
            <w:tcW w:w="1418" w:type="dxa"/>
            <w:shd w:val="clear" w:color="auto" w:fill="auto"/>
          </w:tcPr>
          <w:p w14:paraId="2BCE2E3C" w14:textId="77777777" w:rsidR="001A6FB0" w:rsidRPr="004362B1" w:rsidRDefault="001A6FB0" w:rsidP="00EB1206">
            <w:pPr>
              <w:rPr>
                <w:sz w:val="22"/>
                <w:lang w:val="en-US"/>
              </w:rPr>
            </w:pPr>
            <w:r w:rsidRPr="004362B1">
              <w:rPr>
                <w:sz w:val="22"/>
                <w:lang w:val="en-US"/>
              </w:rPr>
              <w:t>0</w:t>
            </w:r>
          </w:p>
        </w:tc>
        <w:tc>
          <w:tcPr>
            <w:tcW w:w="1424" w:type="dxa"/>
            <w:shd w:val="clear" w:color="auto" w:fill="auto"/>
          </w:tcPr>
          <w:p w14:paraId="1FD086BF" w14:textId="77777777" w:rsidR="001A6FB0" w:rsidRPr="004362B1" w:rsidRDefault="001A6FB0" w:rsidP="00EB1206">
            <w:pPr>
              <w:rPr>
                <w:sz w:val="22"/>
                <w:lang w:val="en-US"/>
              </w:rPr>
            </w:pPr>
            <w:r w:rsidRPr="004362B1">
              <w:rPr>
                <w:sz w:val="22"/>
                <w:lang w:val="en-US"/>
              </w:rPr>
              <w:t>2.1</w:t>
            </w:r>
          </w:p>
        </w:tc>
        <w:tc>
          <w:tcPr>
            <w:tcW w:w="1416" w:type="dxa"/>
            <w:shd w:val="clear" w:color="auto" w:fill="auto"/>
          </w:tcPr>
          <w:p w14:paraId="1DCE03C9"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03740AEB" w14:textId="77777777" w:rsidR="001A6FB0" w:rsidRPr="004362B1" w:rsidRDefault="001A6FB0" w:rsidP="00EB1206">
            <w:pPr>
              <w:rPr>
                <w:sz w:val="22"/>
                <w:lang w:val="en-US"/>
              </w:rPr>
            </w:pPr>
            <w:r w:rsidRPr="004362B1">
              <w:rPr>
                <w:sz w:val="22"/>
                <w:lang w:val="en-US"/>
              </w:rPr>
              <w:t>2.1</w:t>
            </w:r>
          </w:p>
        </w:tc>
      </w:tr>
      <w:tr w:rsidR="001A6FB0" w:rsidRPr="004362B1" w14:paraId="49EE29AD" w14:textId="77777777" w:rsidTr="00616FE6">
        <w:trPr>
          <w:jc w:val="center"/>
        </w:trPr>
        <w:tc>
          <w:tcPr>
            <w:tcW w:w="3686" w:type="dxa"/>
            <w:shd w:val="clear" w:color="auto" w:fill="auto"/>
          </w:tcPr>
          <w:p w14:paraId="6EA71FD2" w14:textId="77777777" w:rsidR="001A6FB0" w:rsidRPr="004362B1" w:rsidRDefault="001A6FB0" w:rsidP="00EB1206">
            <w:pPr>
              <w:rPr>
                <w:sz w:val="22"/>
                <w:lang w:val="en-US"/>
              </w:rPr>
            </w:pPr>
            <w:r w:rsidRPr="004362B1">
              <w:rPr>
                <w:sz w:val="22"/>
                <w:lang w:val="en-US"/>
              </w:rPr>
              <w:t>Weight increased</w:t>
            </w:r>
          </w:p>
        </w:tc>
        <w:tc>
          <w:tcPr>
            <w:tcW w:w="1418" w:type="dxa"/>
            <w:shd w:val="clear" w:color="auto" w:fill="auto"/>
          </w:tcPr>
          <w:p w14:paraId="1C7CBD84" w14:textId="77777777" w:rsidR="001A6FB0" w:rsidRPr="004362B1" w:rsidRDefault="001A6FB0" w:rsidP="00EB1206">
            <w:pPr>
              <w:rPr>
                <w:sz w:val="22"/>
                <w:lang w:val="en-US"/>
              </w:rPr>
            </w:pPr>
            <w:r w:rsidRPr="004362B1">
              <w:rPr>
                <w:sz w:val="22"/>
                <w:lang w:val="en-US"/>
              </w:rPr>
              <w:t>0</w:t>
            </w:r>
          </w:p>
        </w:tc>
        <w:tc>
          <w:tcPr>
            <w:tcW w:w="1424" w:type="dxa"/>
            <w:shd w:val="clear" w:color="auto" w:fill="auto"/>
          </w:tcPr>
          <w:p w14:paraId="787F3F1A" w14:textId="77777777" w:rsidR="001A6FB0" w:rsidRPr="004362B1" w:rsidRDefault="001A6FB0" w:rsidP="00EB1206">
            <w:pPr>
              <w:rPr>
                <w:sz w:val="22"/>
                <w:lang w:val="en-US"/>
              </w:rPr>
            </w:pPr>
            <w:r w:rsidRPr="004362B1">
              <w:rPr>
                <w:sz w:val="22"/>
                <w:lang w:val="en-US"/>
              </w:rPr>
              <w:t>2.1</w:t>
            </w:r>
          </w:p>
        </w:tc>
        <w:tc>
          <w:tcPr>
            <w:tcW w:w="1416" w:type="dxa"/>
            <w:shd w:val="clear" w:color="auto" w:fill="auto"/>
          </w:tcPr>
          <w:p w14:paraId="44A4B398"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7D8A9E77" w14:textId="77777777" w:rsidR="001A6FB0" w:rsidRPr="004362B1" w:rsidRDefault="001A6FB0" w:rsidP="00EB1206">
            <w:pPr>
              <w:rPr>
                <w:sz w:val="22"/>
                <w:lang w:val="en-US"/>
              </w:rPr>
            </w:pPr>
            <w:r w:rsidRPr="004362B1">
              <w:rPr>
                <w:sz w:val="22"/>
                <w:lang w:val="en-US"/>
              </w:rPr>
              <w:t>0</w:t>
            </w:r>
          </w:p>
        </w:tc>
      </w:tr>
      <w:tr w:rsidR="001A6FB0" w:rsidRPr="004362B1" w14:paraId="65A6B07E" w14:textId="77777777" w:rsidTr="00616FE6">
        <w:trPr>
          <w:jc w:val="center"/>
        </w:trPr>
        <w:tc>
          <w:tcPr>
            <w:tcW w:w="3686" w:type="dxa"/>
            <w:shd w:val="clear" w:color="auto" w:fill="auto"/>
          </w:tcPr>
          <w:p w14:paraId="50C1A1CC" w14:textId="77777777" w:rsidR="001A6FB0" w:rsidRPr="00431D19" w:rsidRDefault="001A6FB0" w:rsidP="00EB1206">
            <w:pPr>
              <w:rPr>
                <w:b/>
                <w:sz w:val="22"/>
                <w:lang w:val="en-US"/>
              </w:rPr>
            </w:pPr>
            <w:r w:rsidRPr="00431D19">
              <w:rPr>
                <w:b/>
                <w:sz w:val="22"/>
                <w:lang w:val="en-US"/>
              </w:rPr>
              <w:t>Cardiac disorders</w:t>
            </w:r>
          </w:p>
        </w:tc>
        <w:tc>
          <w:tcPr>
            <w:tcW w:w="5733" w:type="dxa"/>
            <w:gridSpan w:val="4"/>
            <w:shd w:val="clear" w:color="auto" w:fill="auto"/>
          </w:tcPr>
          <w:p w14:paraId="2F68E1AF" w14:textId="77777777" w:rsidR="001A6FB0" w:rsidRPr="004362B1" w:rsidRDefault="001A6FB0" w:rsidP="00EB1206">
            <w:pPr>
              <w:rPr>
                <w:sz w:val="22"/>
                <w:lang w:val="en-US"/>
              </w:rPr>
            </w:pPr>
          </w:p>
        </w:tc>
      </w:tr>
      <w:tr w:rsidR="001A6FB0" w:rsidRPr="004362B1" w14:paraId="10FDC0CD" w14:textId="77777777" w:rsidTr="00616FE6">
        <w:trPr>
          <w:jc w:val="center"/>
        </w:trPr>
        <w:tc>
          <w:tcPr>
            <w:tcW w:w="3686" w:type="dxa"/>
            <w:shd w:val="clear" w:color="auto" w:fill="auto"/>
          </w:tcPr>
          <w:p w14:paraId="46CDBB46" w14:textId="77777777" w:rsidR="001A6FB0" w:rsidRPr="004362B1" w:rsidRDefault="001A6FB0" w:rsidP="00EB1206">
            <w:pPr>
              <w:rPr>
                <w:sz w:val="22"/>
                <w:lang w:val="en-US"/>
              </w:rPr>
            </w:pPr>
            <w:r>
              <w:rPr>
                <w:sz w:val="22"/>
                <w:lang w:val="en-US"/>
              </w:rPr>
              <w:t>Atrial fibrillation</w:t>
            </w:r>
          </w:p>
        </w:tc>
        <w:tc>
          <w:tcPr>
            <w:tcW w:w="1418" w:type="dxa"/>
            <w:shd w:val="clear" w:color="auto" w:fill="auto"/>
          </w:tcPr>
          <w:p w14:paraId="5D963CAD" w14:textId="77777777" w:rsidR="001A6FB0" w:rsidRPr="004362B1" w:rsidRDefault="001A6FB0" w:rsidP="00EB1206">
            <w:pPr>
              <w:rPr>
                <w:sz w:val="22"/>
                <w:lang w:val="en-US"/>
              </w:rPr>
            </w:pPr>
            <w:r>
              <w:rPr>
                <w:sz w:val="22"/>
                <w:lang w:val="en-US"/>
              </w:rPr>
              <w:t>0</w:t>
            </w:r>
          </w:p>
        </w:tc>
        <w:tc>
          <w:tcPr>
            <w:tcW w:w="1424" w:type="dxa"/>
            <w:shd w:val="clear" w:color="auto" w:fill="auto"/>
          </w:tcPr>
          <w:p w14:paraId="67A2A74A" w14:textId="77777777" w:rsidR="001A6FB0" w:rsidRPr="004362B1" w:rsidRDefault="001A6FB0" w:rsidP="00EB1206">
            <w:pPr>
              <w:rPr>
                <w:sz w:val="22"/>
                <w:lang w:val="en-US"/>
              </w:rPr>
            </w:pPr>
            <w:r>
              <w:rPr>
                <w:sz w:val="22"/>
                <w:lang w:val="en-US"/>
              </w:rPr>
              <w:t>2.1</w:t>
            </w:r>
          </w:p>
        </w:tc>
        <w:tc>
          <w:tcPr>
            <w:tcW w:w="1416" w:type="dxa"/>
            <w:shd w:val="clear" w:color="auto" w:fill="auto"/>
          </w:tcPr>
          <w:p w14:paraId="65F8B80B" w14:textId="77777777" w:rsidR="001A6FB0" w:rsidRPr="004362B1" w:rsidRDefault="001A6FB0" w:rsidP="00EB1206">
            <w:pPr>
              <w:rPr>
                <w:sz w:val="22"/>
                <w:lang w:val="en-US"/>
              </w:rPr>
            </w:pPr>
            <w:r>
              <w:rPr>
                <w:sz w:val="22"/>
                <w:lang w:val="en-US"/>
              </w:rPr>
              <w:t>0</w:t>
            </w:r>
          </w:p>
        </w:tc>
        <w:tc>
          <w:tcPr>
            <w:tcW w:w="1475" w:type="dxa"/>
            <w:shd w:val="clear" w:color="auto" w:fill="auto"/>
          </w:tcPr>
          <w:p w14:paraId="11B968FF" w14:textId="77777777" w:rsidR="001A6FB0" w:rsidRPr="004362B1" w:rsidRDefault="001A6FB0" w:rsidP="00EB1206">
            <w:pPr>
              <w:rPr>
                <w:sz w:val="22"/>
                <w:lang w:val="en-US"/>
              </w:rPr>
            </w:pPr>
            <w:r>
              <w:rPr>
                <w:sz w:val="22"/>
                <w:lang w:val="en-US"/>
              </w:rPr>
              <w:t>&lt; 1</w:t>
            </w:r>
          </w:p>
        </w:tc>
      </w:tr>
      <w:tr w:rsidR="001A6FB0" w:rsidRPr="004362B1" w14:paraId="0E9CC5FD" w14:textId="77777777" w:rsidTr="00616FE6">
        <w:trPr>
          <w:jc w:val="center"/>
        </w:trPr>
        <w:tc>
          <w:tcPr>
            <w:tcW w:w="3686" w:type="dxa"/>
            <w:shd w:val="clear" w:color="auto" w:fill="auto"/>
          </w:tcPr>
          <w:p w14:paraId="71DA3ADB" w14:textId="77777777" w:rsidR="001A6FB0" w:rsidRPr="00431D19" w:rsidRDefault="001A6FB0" w:rsidP="00EB1206">
            <w:pPr>
              <w:rPr>
                <w:b/>
                <w:sz w:val="22"/>
                <w:lang w:val="en-US"/>
              </w:rPr>
            </w:pPr>
            <w:r w:rsidRPr="00431D19">
              <w:rPr>
                <w:b/>
                <w:sz w:val="22"/>
                <w:lang w:val="en-US"/>
              </w:rPr>
              <w:t>Neoplasms benign, malignant and unspecified (incl cysts and polyps)</w:t>
            </w:r>
          </w:p>
        </w:tc>
        <w:tc>
          <w:tcPr>
            <w:tcW w:w="5733" w:type="dxa"/>
            <w:gridSpan w:val="4"/>
            <w:shd w:val="clear" w:color="auto" w:fill="auto"/>
          </w:tcPr>
          <w:p w14:paraId="5C10E136" w14:textId="77777777" w:rsidR="001A6FB0" w:rsidRPr="004362B1" w:rsidRDefault="001A6FB0" w:rsidP="00EB1206">
            <w:pPr>
              <w:rPr>
                <w:sz w:val="22"/>
                <w:lang w:val="en-US"/>
              </w:rPr>
            </w:pPr>
          </w:p>
        </w:tc>
      </w:tr>
      <w:tr w:rsidR="001A6FB0" w:rsidRPr="004362B1" w14:paraId="3D1BD22C" w14:textId="77777777" w:rsidTr="00616FE6">
        <w:trPr>
          <w:jc w:val="center"/>
        </w:trPr>
        <w:tc>
          <w:tcPr>
            <w:tcW w:w="3686" w:type="dxa"/>
            <w:shd w:val="clear" w:color="auto" w:fill="auto"/>
          </w:tcPr>
          <w:p w14:paraId="2F642792" w14:textId="77777777" w:rsidR="001A6FB0" w:rsidRPr="004362B1" w:rsidRDefault="001A6FB0" w:rsidP="00EB1206">
            <w:pPr>
              <w:rPr>
                <w:sz w:val="22"/>
                <w:lang w:val="en-US"/>
              </w:rPr>
            </w:pPr>
            <w:r>
              <w:rPr>
                <w:sz w:val="22"/>
                <w:lang w:val="en-US"/>
              </w:rPr>
              <w:t>Squamous cell carcinoma of skin</w:t>
            </w:r>
          </w:p>
        </w:tc>
        <w:tc>
          <w:tcPr>
            <w:tcW w:w="1418" w:type="dxa"/>
            <w:shd w:val="clear" w:color="auto" w:fill="auto"/>
          </w:tcPr>
          <w:p w14:paraId="304EC968" w14:textId="77777777" w:rsidR="001A6FB0" w:rsidRPr="004362B1" w:rsidRDefault="001A6FB0" w:rsidP="00EB1206">
            <w:pPr>
              <w:rPr>
                <w:sz w:val="22"/>
                <w:lang w:val="en-US"/>
              </w:rPr>
            </w:pPr>
            <w:r>
              <w:rPr>
                <w:sz w:val="22"/>
                <w:lang w:val="en-US"/>
              </w:rPr>
              <w:t>0</w:t>
            </w:r>
          </w:p>
        </w:tc>
        <w:tc>
          <w:tcPr>
            <w:tcW w:w="1424" w:type="dxa"/>
            <w:shd w:val="clear" w:color="auto" w:fill="auto"/>
          </w:tcPr>
          <w:p w14:paraId="59916B8D" w14:textId="77777777" w:rsidR="001A6FB0" w:rsidRPr="004362B1" w:rsidRDefault="001A6FB0" w:rsidP="00EB1206">
            <w:pPr>
              <w:rPr>
                <w:sz w:val="22"/>
                <w:lang w:val="en-US"/>
              </w:rPr>
            </w:pPr>
            <w:r>
              <w:rPr>
                <w:sz w:val="22"/>
                <w:lang w:val="en-US"/>
              </w:rPr>
              <w:t>2.1</w:t>
            </w:r>
          </w:p>
        </w:tc>
        <w:tc>
          <w:tcPr>
            <w:tcW w:w="1416" w:type="dxa"/>
            <w:shd w:val="clear" w:color="auto" w:fill="auto"/>
          </w:tcPr>
          <w:p w14:paraId="3AD7F915" w14:textId="77777777" w:rsidR="001A6FB0" w:rsidRPr="004362B1" w:rsidRDefault="001A6FB0" w:rsidP="00EB1206">
            <w:pPr>
              <w:rPr>
                <w:sz w:val="22"/>
                <w:lang w:val="en-US"/>
              </w:rPr>
            </w:pPr>
            <w:r>
              <w:rPr>
                <w:sz w:val="22"/>
                <w:lang w:val="en-US"/>
              </w:rPr>
              <w:t>0</w:t>
            </w:r>
          </w:p>
        </w:tc>
        <w:tc>
          <w:tcPr>
            <w:tcW w:w="1475" w:type="dxa"/>
            <w:shd w:val="clear" w:color="auto" w:fill="auto"/>
          </w:tcPr>
          <w:p w14:paraId="0A7B73F2" w14:textId="77777777" w:rsidR="001A6FB0" w:rsidRPr="004362B1" w:rsidRDefault="001A6FB0" w:rsidP="00EB1206">
            <w:pPr>
              <w:rPr>
                <w:sz w:val="22"/>
                <w:lang w:val="en-US"/>
              </w:rPr>
            </w:pPr>
            <w:r>
              <w:rPr>
                <w:sz w:val="22"/>
                <w:lang w:val="en-US"/>
              </w:rPr>
              <w:t>1.2</w:t>
            </w:r>
          </w:p>
        </w:tc>
      </w:tr>
      <w:tr w:rsidR="001A6FB0" w:rsidRPr="004362B1" w14:paraId="3794C929" w14:textId="77777777" w:rsidTr="00616FE6">
        <w:trPr>
          <w:jc w:val="center"/>
        </w:trPr>
        <w:tc>
          <w:tcPr>
            <w:tcW w:w="3686" w:type="dxa"/>
            <w:shd w:val="clear" w:color="auto" w:fill="auto"/>
          </w:tcPr>
          <w:p w14:paraId="6F5AB1DB" w14:textId="77777777" w:rsidR="001A6FB0" w:rsidRPr="004362B1" w:rsidRDefault="001A6FB0" w:rsidP="00EB1206">
            <w:pPr>
              <w:rPr>
                <w:b/>
                <w:sz w:val="22"/>
                <w:lang w:val="en-US"/>
              </w:rPr>
            </w:pPr>
            <w:r w:rsidRPr="004362B1">
              <w:rPr>
                <w:b/>
                <w:sz w:val="22"/>
                <w:lang w:val="en-US"/>
              </w:rPr>
              <w:t>Gastrointestinal disorders</w:t>
            </w:r>
          </w:p>
        </w:tc>
        <w:tc>
          <w:tcPr>
            <w:tcW w:w="5733" w:type="dxa"/>
            <w:gridSpan w:val="4"/>
            <w:shd w:val="clear" w:color="auto" w:fill="auto"/>
          </w:tcPr>
          <w:p w14:paraId="05661087" w14:textId="77777777" w:rsidR="001A6FB0" w:rsidRPr="004362B1" w:rsidRDefault="001A6FB0" w:rsidP="00EB1206">
            <w:pPr>
              <w:rPr>
                <w:sz w:val="22"/>
                <w:lang w:val="en-US"/>
              </w:rPr>
            </w:pPr>
          </w:p>
        </w:tc>
      </w:tr>
      <w:tr w:rsidR="001A6FB0" w:rsidRPr="004362B1" w14:paraId="30C1492B" w14:textId="77777777" w:rsidTr="00616FE6">
        <w:trPr>
          <w:jc w:val="center"/>
        </w:trPr>
        <w:tc>
          <w:tcPr>
            <w:tcW w:w="3686" w:type="dxa"/>
            <w:shd w:val="clear" w:color="auto" w:fill="auto"/>
          </w:tcPr>
          <w:p w14:paraId="61F5F39F" w14:textId="77777777" w:rsidR="001A6FB0" w:rsidRPr="004362B1" w:rsidRDefault="001A6FB0" w:rsidP="00EB1206">
            <w:pPr>
              <w:rPr>
                <w:sz w:val="22"/>
                <w:lang w:val="en-US"/>
              </w:rPr>
            </w:pPr>
            <w:proofErr w:type="spellStart"/>
            <w:r w:rsidRPr="004362B1">
              <w:rPr>
                <w:sz w:val="22"/>
                <w:lang w:val="en-US"/>
              </w:rPr>
              <w:t>Diarrhoea</w:t>
            </w:r>
            <w:proofErr w:type="spellEnd"/>
            <w:r w:rsidRPr="0055536F">
              <w:rPr>
                <w:sz w:val="22"/>
                <w:lang w:val="en-US"/>
              </w:rPr>
              <w:t>‡</w:t>
            </w:r>
          </w:p>
        </w:tc>
        <w:tc>
          <w:tcPr>
            <w:tcW w:w="1418" w:type="dxa"/>
            <w:shd w:val="clear" w:color="auto" w:fill="auto"/>
          </w:tcPr>
          <w:p w14:paraId="339010C6" w14:textId="77777777" w:rsidR="001A6FB0" w:rsidRPr="004362B1" w:rsidRDefault="001A6FB0" w:rsidP="00EB1206">
            <w:pPr>
              <w:rPr>
                <w:sz w:val="22"/>
                <w:lang w:val="en-US"/>
              </w:rPr>
            </w:pPr>
            <w:r w:rsidRPr="004362B1">
              <w:rPr>
                <w:sz w:val="22"/>
                <w:lang w:val="en-US"/>
              </w:rPr>
              <w:t>11.2</w:t>
            </w:r>
          </w:p>
        </w:tc>
        <w:tc>
          <w:tcPr>
            <w:tcW w:w="1424" w:type="dxa"/>
            <w:shd w:val="clear" w:color="auto" w:fill="auto"/>
          </w:tcPr>
          <w:p w14:paraId="38E058FE" w14:textId="77777777" w:rsidR="001A6FB0" w:rsidRPr="004362B1" w:rsidRDefault="001A6FB0" w:rsidP="00EB1206">
            <w:pPr>
              <w:rPr>
                <w:sz w:val="22"/>
                <w:lang w:val="en-US"/>
              </w:rPr>
            </w:pPr>
            <w:r w:rsidRPr="004362B1">
              <w:rPr>
                <w:sz w:val="22"/>
                <w:lang w:val="en-US"/>
              </w:rPr>
              <w:t>10.4</w:t>
            </w:r>
          </w:p>
        </w:tc>
        <w:tc>
          <w:tcPr>
            <w:tcW w:w="1416" w:type="dxa"/>
            <w:shd w:val="clear" w:color="auto" w:fill="auto"/>
          </w:tcPr>
          <w:p w14:paraId="11C2D2AE" w14:textId="77777777" w:rsidR="001A6FB0" w:rsidRPr="004362B1" w:rsidRDefault="001A6FB0" w:rsidP="00EB1206">
            <w:pPr>
              <w:rPr>
                <w:sz w:val="22"/>
                <w:lang w:val="en-US"/>
              </w:rPr>
            </w:pPr>
            <w:r w:rsidRPr="004362B1">
              <w:rPr>
                <w:sz w:val="22"/>
                <w:lang w:val="en-US"/>
              </w:rPr>
              <w:t>&lt; 1</w:t>
            </w:r>
          </w:p>
        </w:tc>
        <w:tc>
          <w:tcPr>
            <w:tcW w:w="1475" w:type="dxa"/>
            <w:shd w:val="clear" w:color="auto" w:fill="auto"/>
          </w:tcPr>
          <w:p w14:paraId="7A191ED8" w14:textId="77777777" w:rsidR="001A6FB0" w:rsidRPr="004362B1" w:rsidRDefault="001A6FB0" w:rsidP="00EB1206">
            <w:pPr>
              <w:rPr>
                <w:sz w:val="22"/>
                <w:lang w:val="en-US"/>
              </w:rPr>
            </w:pPr>
            <w:r w:rsidRPr="004362B1">
              <w:rPr>
                <w:sz w:val="22"/>
                <w:lang w:val="en-US"/>
              </w:rPr>
              <w:t>2.5</w:t>
            </w:r>
          </w:p>
        </w:tc>
      </w:tr>
      <w:tr w:rsidR="001A6FB0" w:rsidRPr="004362B1" w14:paraId="25872905" w14:textId="77777777" w:rsidTr="00616FE6">
        <w:trPr>
          <w:jc w:val="center"/>
        </w:trPr>
        <w:tc>
          <w:tcPr>
            <w:tcW w:w="3686" w:type="dxa"/>
            <w:shd w:val="clear" w:color="auto" w:fill="auto"/>
          </w:tcPr>
          <w:p w14:paraId="0220C47A" w14:textId="77777777" w:rsidR="001A6FB0" w:rsidRPr="004362B1" w:rsidRDefault="001A6FB0" w:rsidP="00EB1206">
            <w:pPr>
              <w:rPr>
                <w:b/>
                <w:sz w:val="22"/>
                <w:lang w:val="en-US"/>
              </w:rPr>
            </w:pPr>
            <w:r w:rsidRPr="004362B1">
              <w:rPr>
                <w:b/>
                <w:sz w:val="22"/>
                <w:lang w:val="en-US"/>
              </w:rPr>
              <w:t>Skin and subcutaneous tissue disorders</w:t>
            </w:r>
          </w:p>
        </w:tc>
        <w:tc>
          <w:tcPr>
            <w:tcW w:w="5733" w:type="dxa"/>
            <w:gridSpan w:val="4"/>
            <w:shd w:val="clear" w:color="auto" w:fill="auto"/>
          </w:tcPr>
          <w:p w14:paraId="3E1E253B" w14:textId="77777777" w:rsidR="001A6FB0" w:rsidRPr="004362B1" w:rsidRDefault="001A6FB0" w:rsidP="00EB1206">
            <w:pPr>
              <w:rPr>
                <w:sz w:val="22"/>
                <w:lang w:val="en-US"/>
              </w:rPr>
            </w:pPr>
          </w:p>
        </w:tc>
      </w:tr>
      <w:tr w:rsidR="001A6FB0" w:rsidRPr="004362B1" w14:paraId="502A0B42" w14:textId="77777777" w:rsidTr="00616FE6">
        <w:trPr>
          <w:jc w:val="center"/>
        </w:trPr>
        <w:tc>
          <w:tcPr>
            <w:tcW w:w="3686" w:type="dxa"/>
            <w:shd w:val="clear" w:color="auto" w:fill="auto"/>
          </w:tcPr>
          <w:p w14:paraId="4D3D7477" w14:textId="77777777" w:rsidR="001A6FB0" w:rsidRPr="004362B1" w:rsidRDefault="001A6FB0" w:rsidP="00EB1206">
            <w:pPr>
              <w:rPr>
                <w:sz w:val="22"/>
                <w:lang w:val="en-US"/>
              </w:rPr>
            </w:pPr>
            <w:r w:rsidRPr="004362B1">
              <w:rPr>
                <w:sz w:val="22"/>
                <w:lang w:val="en-US"/>
              </w:rPr>
              <w:t>Alopecia</w:t>
            </w:r>
          </w:p>
        </w:tc>
        <w:tc>
          <w:tcPr>
            <w:tcW w:w="1418" w:type="dxa"/>
            <w:shd w:val="clear" w:color="auto" w:fill="auto"/>
          </w:tcPr>
          <w:p w14:paraId="49A9D64B" w14:textId="77777777" w:rsidR="001A6FB0" w:rsidRPr="004362B1" w:rsidRDefault="001A6FB0" w:rsidP="00EB1206">
            <w:pPr>
              <w:rPr>
                <w:sz w:val="22"/>
                <w:lang w:val="en-US"/>
              </w:rPr>
            </w:pPr>
            <w:r w:rsidRPr="004362B1">
              <w:rPr>
                <w:sz w:val="22"/>
                <w:lang w:val="en-US"/>
              </w:rPr>
              <w:t>0</w:t>
            </w:r>
          </w:p>
        </w:tc>
        <w:tc>
          <w:tcPr>
            <w:tcW w:w="1424" w:type="dxa"/>
            <w:shd w:val="clear" w:color="auto" w:fill="auto"/>
          </w:tcPr>
          <w:p w14:paraId="138EC5A7" w14:textId="77777777" w:rsidR="001A6FB0" w:rsidRPr="004362B1" w:rsidRDefault="001A6FB0" w:rsidP="00EB1206">
            <w:pPr>
              <w:rPr>
                <w:sz w:val="22"/>
                <w:lang w:val="en-US"/>
              </w:rPr>
            </w:pPr>
            <w:r w:rsidRPr="004362B1">
              <w:rPr>
                <w:sz w:val="22"/>
                <w:lang w:val="en-US"/>
              </w:rPr>
              <w:t>2.1</w:t>
            </w:r>
          </w:p>
        </w:tc>
        <w:tc>
          <w:tcPr>
            <w:tcW w:w="1416" w:type="dxa"/>
            <w:shd w:val="clear" w:color="auto" w:fill="auto"/>
          </w:tcPr>
          <w:p w14:paraId="6741594E"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510BE3AC" w14:textId="77777777" w:rsidR="001A6FB0" w:rsidRPr="004362B1" w:rsidRDefault="001A6FB0" w:rsidP="00EB1206">
            <w:pPr>
              <w:rPr>
                <w:sz w:val="22"/>
                <w:lang w:val="en-US"/>
              </w:rPr>
            </w:pPr>
            <w:r w:rsidRPr="004362B1">
              <w:rPr>
                <w:sz w:val="22"/>
                <w:lang w:val="en-US"/>
              </w:rPr>
              <w:t>0</w:t>
            </w:r>
          </w:p>
        </w:tc>
      </w:tr>
    </w:tbl>
    <w:p w14:paraId="77FED1A4" w14:textId="77777777" w:rsidR="001A6FB0" w:rsidRPr="00C8539B" w:rsidRDefault="001A6FB0" w:rsidP="00EB1206">
      <w:pPr>
        <w:rPr>
          <w:rFonts w:cs="Arial"/>
          <w:sz w:val="20"/>
          <w:szCs w:val="20"/>
          <w:lang w:eastAsia="ko-KR" w:bidi="he-IL"/>
        </w:rPr>
      </w:pPr>
      <w:r w:rsidRPr="00C8539B">
        <w:rPr>
          <w:rFonts w:cs="Arial"/>
          <w:sz w:val="20"/>
          <w:szCs w:val="20"/>
          <w:vertAlign w:val="superscript"/>
          <w:lang w:eastAsia="ko-KR" w:bidi="he-IL"/>
        </w:rPr>
        <w:t xml:space="preserve">* </w:t>
      </w:r>
      <w:r w:rsidRPr="00C8539B">
        <w:rPr>
          <w:rFonts w:cs="Arial"/>
          <w:sz w:val="20"/>
          <w:szCs w:val="20"/>
          <w:lang w:eastAsia="ko-KR" w:bidi="he-IL"/>
        </w:rPr>
        <w:t>In all Grades or Grade 3-5</w:t>
      </w:r>
    </w:p>
    <w:p w14:paraId="05BD8BA6" w14:textId="77777777" w:rsidR="001A6FB0" w:rsidRPr="00C8539B" w:rsidRDefault="001A6FB0" w:rsidP="00EB1206">
      <w:pPr>
        <w:rPr>
          <w:rFonts w:cs="Arial"/>
          <w:sz w:val="20"/>
          <w:szCs w:val="20"/>
          <w:lang w:eastAsia="ko-KR" w:bidi="he-IL"/>
        </w:rPr>
      </w:pPr>
      <w:r w:rsidRPr="00C8539B">
        <w:rPr>
          <w:b/>
          <w:sz w:val="20"/>
          <w:szCs w:val="20"/>
          <w:vertAlign w:val="superscript"/>
          <w:lang w:val="en-US"/>
        </w:rPr>
        <w:t>†</w:t>
      </w:r>
      <w:r w:rsidRPr="00C8539B">
        <w:rPr>
          <w:rFonts w:ascii="Times New Roman Bold" w:hAnsi="Times New Roman Bold"/>
          <w:b/>
          <w:sz w:val="20"/>
          <w:szCs w:val="20"/>
          <w:lang w:val="en-US"/>
        </w:rPr>
        <w:t xml:space="preserve"> </w:t>
      </w:r>
      <w:r w:rsidRPr="00C8539B">
        <w:rPr>
          <w:rFonts w:cs="Arial"/>
          <w:sz w:val="20"/>
          <w:szCs w:val="20"/>
          <w:lang w:eastAsia="ko-KR" w:bidi="he-IL"/>
        </w:rPr>
        <w:t xml:space="preserve">No Grade 5 adverse reactions have been observed with a difference of </w:t>
      </w:r>
      <w:r w:rsidRPr="00C8539B">
        <w:rPr>
          <w:sz w:val="20"/>
          <w:szCs w:val="20"/>
          <w:lang w:eastAsia="ko-KR" w:bidi="he-IL"/>
        </w:rPr>
        <w:t>≥</w:t>
      </w:r>
      <w:r w:rsidRPr="00C8539B">
        <w:rPr>
          <w:rFonts w:cs="Arial"/>
          <w:sz w:val="20"/>
          <w:szCs w:val="20"/>
          <w:lang w:eastAsia="ko-KR" w:bidi="he-IL"/>
        </w:rPr>
        <w:t xml:space="preserve"> 2% between the treatment arms</w:t>
      </w:r>
    </w:p>
    <w:p w14:paraId="53A31793" w14:textId="77777777" w:rsidR="001A6FB0" w:rsidRPr="00C8539B" w:rsidRDefault="001A6FB0" w:rsidP="00EB1206">
      <w:pPr>
        <w:rPr>
          <w:rFonts w:cs="Arial"/>
          <w:sz w:val="20"/>
          <w:szCs w:val="20"/>
          <w:lang w:eastAsia="ko-KR" w:bidi="he-IL"/>
        </w:rPr>
      </w:pPr>
      <w:r w:rsidRPr="00C8539B">
        <w:rPr>
          <w:sz w:val="20"/>
          <w:szCs w:val="20"/>
          <w:vertAlign w:val="superscript"/>
          <w:lang w:val="en-US"/>
        </w:rPr>
        <w:t>‡</w:t>
      </w:r>
      <w:r w:rsidRPr="00C8539B">
        <w:rPr>
          <w:rFonts w:ascii="Times New Roman Bold" w:hAnsi="Times New Roman Bold"/>
          <w:b/>
          <w:sz w:val="20"/>
          <w:szCs w:val="20"/>
          <w:lang w:val="en-US"/>
        </w:rPr>
        <w:t xml:space="preserve"> </w:t>
      </w:r>
      <w:r w:rsidRPr="00C8539B">
        <w:rPr>
          <w:rFonts w:cs="Arial"/>
          <w:sz w:val="20"/>
          <w:szCs w:val="20"/>
          <w:lang w:eastAsia="ko-KR" w:bidi="he-IL"/>
        </w:rPr>
        <w:t xml:space="preserve">With Stage 1 update and Stage 2 data, this event was no longer reported with a difference of </w:t>
      </w:r>
      <w:r w:rsidRPr="00C8539B">
        <w:rPr>
          <w:sz w:val="20"/>
          <w:szCs w:val="20"/>
          <w:lang w:eastAsia="ko-KR" w:bidi="he-IL"/>
        </w:rPr>
        <w:t>≥</w:t>
      </w:r>
      <w:r w:rsidRPr="00C8539B">
        <w:rPr>
          <w:rFonts w:cs="Arial"/>
          <w:sz w:val="20"/>
          <w:szCs w:val="20"/>
          <w:lang w:eastAsia="ko-KR" w:bidi="he-IL"/>
        </w:rPr>
        <w:t xml:space="preserve"> 2% between the treatment arms</w:t>
      </w:r>
    </w:p>
    <w:p w14:paraId="32CC4C0D" w14:textId="0D113BCC" w:rsidR="001A6FB0" w:rsidRDefault="001A6FB0" w:rsidP="00EB1206">
      <w:pPr>
        <w:spacing w:before="240" w:after="120"/>
        <w:rPr>
          <w:rFonts w:cs="Arial"/>
          <w:b/>
          <w:lang w:eastAsia="ko-KR" w:bidi="he-IL"/>
        </w:rPr>
      </w:pPr>
      <w:r w:rsidRPr="00C92F9F">
        <w:rPr>
          <w:rFonts w:cs="Arial"/>
          <w:b/>
          <w:lang w:eastAsia="ko-KR" w:bidi="he-IL"/>
        </w:rPr>
        <w:t>T</w:t>
      </w:r>
      <w:r>
        <w:rPr>
          <w:rFonts w:cs="Arial"/>
          <w:b/>
          <w:lang w:eastAsia="ko-KR" w:bidi="he-IL"/>
        </w:rPr>
        <w:t xml:space="preserve">able </w:t>
      </w:r>
      <w:r w:rsidR="005D2569">
        <w:rPr>
          <w:rFonts w:cs="Arial"/>
          <w:b/>
          <w:lang w:eastAsia="ko-KR" w:bidi="he-IL"/>
        </w:rPr>
        <w:t>8</w:t>
      </w:r>
      <w:r w:rsidRPr="00C92F9F">
        <w:rPr>
          <w:rFonts w:cs="Arial"/>
          <w:b/>
          <w:lang w:eastAsia="ko-KR" w:bidi="he-IL"/>
        </w:rPr>
        <w:t xml:space="preserve"> </w:t>
      </w:r>
      <w:r>
        <w:rPr>
          <w:rFonts w:cs="Arial"/>
          <w:b/>
          <w:lang w:eastAsia="ko-KR" w:bidi="he-IL"/>
        </w:rPr>
        <w:t xml:space="preserve">Adverse Reactions reported with a higher incidence (difference of </w:t>
      </w:r>
      <w:r>
        <w:rPr>
          <w:b/>
          <w:lang w:eastAsia="ko-KR" w:bidi="he-IL"/>
        </w:rPr>
        <w:t>≥</w:t>
      </w:r>
      <w:r>
        <w:rPr>
          <w:rFonts w:cs="Arial"/>
          <w:b/>
          <w:lang w:eastAsia="ko-KR" w:bidi="he-IL"/>
        </w:rPr>
        <w:t xml:space="preserve"> 2%) in patients receiving Gazyva plus chlorambucil vs rituximab plus chlorambucil (Stage </w:t>
      </w:r>
      <w:proofErr w:type="gramStart"/>
      <w:r>
        <w:rPr>
          <w:rFonts w:cs="Arial"/>
          <w:b/>
          <w:lang w:eastAsia="ko-KR" w:bidi="he-IL"/>
        </w:rPr>
        <w:t>2)*</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1424"/>
        <w:gridCol w:w="1416"/>
        <w:gridCol w:w="1475"/>
      </w:tblGrid>
      <w:tr w:rsidR="001A6FB0" w:rsidRPr="004362B1" w14:paraId="3D1A67AA" w14:textId="77777777" w:rsidTr="00616FE6">
        <w:trPr>
          <w:jc w:val="center"/>
        </w:trPr>
        <w:tc>
          <w:tcPr>
            <w:tcW w:w="3686" w:type="dxa"/>
            <w:shd w:val="clear" w:color="auto" w:fill="auto"/>
            <w:vAlign w:val="center"/>
          </w:tcPr>
          <w:p w14:paraId="628E6CE8" w14:textId="375ABC40" w:rsidR="001A6FB0" w:rsidRPr="004362B1" w:rsidRDefault="001A6FB0" w:rsidP="00EB1206">
            <w:pPr>
              <w:rPr>
                <w:b/>
                <w:sz w:val="22"/>
                <w:lang w:val="en-US"/>
              </w:rPr>
            </w:pPr>
            <w:r w:rsidRPr="004362B1">
              <w:rPr>
                <w:b/>
                <w:sz w:val="22"/>
                <w:lang w:val="en-US"/>
              </w:rPr>
              <w:t>ADR (MedDRA)</w:t>
            </w:r>
          </w:p>
          <w:p w14:paraId="0CF4E67D" w14:textId="77777777" w:rsidR="001A6FB0" w:rsidRPr="004362B1" w:rsidRDefault="001A6FB0" w:rsidP="00EB1206">
            <w:pPr>
              <w:rPr>
                <w:b/>
                <w:sz w:val="22"/>
                <w:lang w:val="en-US"/>
              </w:rPr>
            </w:pPr>
            <w:r w:rsidRPr="004362B1">
              <w:rPr>
                <w:b/>
                <w:sz w:val="22"/>
                <w:lang w:val="en-US"/>
              </w:rPr>
              <w:t>System Organ Class</w:t>
            </w:r>
          </w:p>
        </w:tc>
        <w:tc>
          <w:tcPr>
            <w:tcW w:w="2842" w:type="dxa"/>
            <w:gridSpan w:val="2"/>
            <w:shd w:val="clear" w:color="auto" w:fill="auto"/>
            <w:vAlign w:val="center"/>
          </w:tcPr>
          <w:p w14:paraId="2A3AF399" w14:textId="77777777" w:rsidR="001A6FB0" w:rsidRPr="004362B1" w:rsidRDefault="001A6FB0" w:rsidP="00EB1206">
            <w:pPr>
              <w:rPr>
                <w:b/>
                <w:sz w:val="22"/>
                <w:lang w:val="en-US"/>
              </w:rPr>
            </w:pPr>
            <w:r w:rsidRPr="004362B1">
              <w:rPr>
                <w:b/>
                <w:sz w:val="22"/>
                <w:lang w:val="en-US"/>
              </w:rPr>
              <w:t>All Grades %</w:t>
            </w:r>
          </w:p>
        </w:tc>
        <w:tc>
          <w:tcPr>
            <w:tcW w:w="2891" w:type="dxa"/>
            <w:gridSpan w:val="2"/>
            <w:shd w:val="clear" w:color="auto" w:fill="auto"/>
            <w:vAlign w:val="center"/>
          </w:tcPr>
          <w:p w14:paraId="329FF22D" w14:textId="77777777" w:rsidR="001A6FB0" w:rsidRPr="004362B1" w:rsidRDefault="001A6FB0" w:rsidP="00EB1206">
            <w:pPr>
              <w:rPr>
                <w:b/>
                <w:sz w:val="22"/>
                <w:lang w:val="en-US"/>
              </w:rPr>
            </w:pPr>
            <w:r w:rsidRPr="004362B1">
              <w:rPr>
                <w:b/>
                <w:sz w:val="22"/>
                <w:lang w:val="en-US"/>
              </w:rPr>
              <w:t>Grades 3-5</w:t>
            </w:r>
            <w:r w:rsidRPr="004362B1">
              <w:rPr>
                <w:b/>
                <w:sz w:val="22"/>
                <w:vertAlign w:val="superscript"/>
                <w:lang w:val="en-US"/>
              </w:rPr>
              <w:t>†</w:t>
            </w:r>
            <w:r w:rsidRPr="004362B1">
              <w:rPr>
                <w:b/>
                <w:sz w:val="22"/>
                <w:lang w:val="en-US"/>
              </w:rPr>
              <w:t xml:space="preserve"> %</w:t>
            </w:r>
          </w:p>
        </w:tc>
      </w:tr>
      <w:tr w:rsidR="001A6FB0" w:rsidRPr="004362B1" w14:paraId="39FBDC0A" w14:textId="77777777" w:rsidTr="00616FE6">
        <w:trPr>
          <w:jc w:val="center"/>
        </w:trPr>
        <w:tc>
          <w:tcPr>
            <w:tcW w:w="3686" w:type="dxa"/>
            <w:shd w:val="clear" w:color="auto" w:fill="auto"/>
          </w:tcPr>
          <w:p w14:paraId="3907AAE4" w14:textId="77777777" w:rsidR="001A6FB0" w:rsidRPr="004362B1" w:rsidRDefault="001A6FB0" w:rsidP="00EB1206">
            <w:pPr>
              <w:rPr>
                <w:sz w:val="22"/>
                <w:lang w:val="en-US"/>
              </w:rPr>
            </w:pPr>
          </w:p>
        </w:tc>
        <w:tc>
          <w:tcPr>
            <w:tcW w:w="1418" w:type="dxa"/>
            <w:shd w:val="clear" w:color="auto" w:fill="auto"/>
            <w:vAlign w:val="center"/>
          </w:tcPr>
          <w:p w14:paraId="7633C743" w14:textId="77777777" w:rsidR="001A6FB0" w:rsidRPr="004362B1" w:rsidRDefault="001A6FB0" w:rsidP="00EB1206">
            <w:pPr>
              <w:rPr>
                <w:sz w:val="22"/>
                <w:lang w:val="en-US"/>
              </w:rPr>
            </w:pPr>
            <w:r>
              <w:rPr>
                <w:sz w:val="22"/>
                <w:lang w:val="en-US"/>
              </w:rPr>
              <w:t>rituximab + chlorambucil n=321</w:t>
            </w:r>
          </w:p>
        </w:tc>
        <w:tc>
          <w:tcPr>
            <w:tcW w:w="1424" w:type="dxa"/>
            <w:shd w:val="clear" w:color="auto" w:fill="auto"/>
            <w:vAlign w:val="center"/>
          </w:tcPr>
          <w:p w14:paraId="3B705EC2" w14:textId="77777777" w:rsidR="001A6FB0" w:rsidRPr="004362B1" w:rsidRDefault="001A6FB0" w:rsidP="00EB1206">
            <w:pPr>
              <w:rPr>
                <w:sz w:val="22"/>
                <w:lang w:val="en-US"/>
              </w:rPr>
            </w:pPr>
            <w:r>
              <w:rPr>
                <w:sz w:val="22"/>
                <w:lang w:val="en-US"/>
              </w:rPr>
              <w:t>Gazyva + chlorambucil n=336</w:t>
            </w:r>
          </w:p>
        </w:tc>
        <w:tc>
          <w:tcPr>
            <w:tcW w:w="1416" w:type="dxa"/>
            <w:shd w:val="clear" w:color="auto" w:fill="auto"/>
            <w:vAlign w:val="center"/>
          </w:tcPr>
          <w:p w14:paraId="60F01769" w14:textId="77777777" w:rsidR="001A6FB0" w:rsidRPr="004362B1" w:rsidRDefault="001A6FB0" w:rsidP="00EB1206">
            <w:pPr>
              <w:rPr>
                <w:sz w:val="22"/>
                <w:lang w:val="en-US"/>
              </w:rPr>
            </w:pPr>
            <w:r>
              <w:rPr>
                <w:sz w:val="22"/>
                <w:lang w:val="en-US"/>
              </w:rPr>
              <w:t>rituximab + chlorambucil n=321</w:t>
            </w:r>
          </w:p>
        </w:tc>
        <w:tc>
          <w:tcPr>
            <w:tcW w:w="1475" w:type="dxa"/>
            <w:shd w:val="clear" w:color="auto" w:fill="auto"/>
            <w:vAlign w:val="center"/>
          </w:tcPr>
          <w:p w14:paraId="75BEF64D" w14:textId="77777777" w:rsidR="001A6FB0" w:rsidRPr="004362B1" w:rsidRDefault="001A6FB0" w:rsidP="00EB1206">
            <w:pPr>
              <w:rPr>
                <w:sz w:val="22"/>
                <w:lang w:val="en-US"/>
              </w:rPr>
            </w:pPr>
            <w:r>
              <w:rPr>
                <w:sz w:val="22"/>
                <w:lang w:val="en-US"/>
              </w:rPr>
              <w:t>Gazyva</w:t>
            </w:r>
            <w:r w:rsidRPr="004362B1">
              <w:rPr>
                <w:sz w:val="22"/>
                <w:lang w:val="en-US"/>
              </w:rPr>
              <w:t xml:space="preserve"> + </w:t>
            </w:r>
            <w:r>
              <w:rPr>
                <w:sz w:val="22"/>
                <w:lang w:val="en-US"/>
              </w:rPr>
              <w:t>chlorambucil n=336</w:t>
            </w:r>
          </w:p>
        </w:tc>
      </w:tr>
      <w:tr w:rsidR="001A6FB0" w:rsidRPr="004362B1" w14:paraId="168E9586" w14:textId="77777777" w:rsidTr="00616FE6">
        <w:trPr>
          <w:jc w:val="center"/>
        </w:trPr>
        <w:tc>
          <w:tcPr>
            <w:tcW w:w="3686" w:type="dxa"/>
            <w:shd w:val="clear" w:color="auto" w:fill="auto"/>
          </w:tcPr>
          <w:p w14:paraId="0E352D0C" w14:textId="77777777" w:rsidR="001A6FB0" w:rsidRPr="004362B1" w:rsidRDefault="001A6FB0" w:rsidP="00EB1206">
            <w:pPr>
              <w:rPr>
                <w:b/>
                <w:sz w:val="22"/>
                <w:lang w:val="en-US"/>
              </w:rPr>
            </w:pPr>
            <w:r w:rsidRPr="004362B1">
              <w:rPr>
                <w:b/>
                <w:sz w:val="22"/>
                <w:lang w:val="en-US"/>
              </w:rPr>
              <w:t>Injury, Poisoning and Procedural Complications</w:t>
            </w:r>
          </w:p>
        </w:tc>
        <w:tc>
          <w:tcPr>
            <w:tcW w:w="5733" w:type="dxa"/>
            <w:gridSpan w:val="4"/>
            <w:shd w:val="clear" w:color="auto" w:fill="auto"/>
          </w:tcPr>
          <w:p w14:paraId="290DEECA" w14:textId="77777777" w:rsidR="001A6FB0" w:rsidRPr="004362B1" w:rsidRDefault="001A6FB0" w:rsidP="00EB1206">
            <w:pPr>
              <w:rPr>
                <w:sz w:val="22"/>
                <w:lang w:val="en-US"/>
              </w:rPr>
            </w:pPr>
          </w:p>
        </w:tc>
      </w:tr>
      <w:tr w:rsidR="001A6FB0" w:rsidRPr="004362B1" w14:paraId="0980A587" w14:textId="77777777" w:rsidTr="00616FE6">
        <w:trPr>
          <w:jc w:val="center"/>
        </w:trPr>
        <w:tc>
          <w:tcPr>
            <w:tcW w:w="3686" w:type="dxa"/>
            <w:shd w:val="clear" w:color="auto" w:fill="auto"/>
          </w:tcPr>
          <w:p w14:paraId="770AFCDC" w14:textId="77777777" w:rsidR="001A6FB0" w:rsidRPr="004362B1" w:rsidRDefault="001A6FB0" w:rsidP="00EB1206">
            <w:pPr>
              <w:rPr>
                <w:sz w:val="22"/>
                <w:lang w:val="en-US"/>
              </w:rPr>
            </w:pPr>
            <w:r w:rsidRPr="004362B1">
              <w:rPr>
                <w:sz w:val="22"/>
                <w:lang w:val="en-US"/>
              </w:rPr>
              <w:t>Infusion related reactions</w:t>
            </w:r>
          </w:p>
        </w:tc>
        <w:tc>
          <w:tcPr>
            <w:tcW w:w="1418" w:type="dxa"/>
            <w:shd w:val="clear" w:color="auto" w:fill="auto"/>
            <w:vAlign w:val="center"/>
          </w:tcPr>
          <w:p w14:paraId="7B937330" w14:textId="77777777" w:rsidR="001A6FB0" w:rsidRPr="004362B1" w:rsidRDefault="001A6FB0" w:rsidP="00EB1206">
            <w:pPr>
              <w:rPr>
                <w:sz w:val="22"/>
                <w:lang w:val="en-US"/>
              </w:rPr>
            </w:pPr>
            <w:r>
              <w:rPr>
                <w:sz w:val="22"/>
                <w:lang w:val="en-US"/>
              </w:rPr>
              <w:t>37.7</w:t>
            </w:r>
          </w:p>
        </w:tc>
        <w:tc>
          <w:tcPr>
            <w:tcW w:w="1424" w:type="dxa"/>
            <w:shd w:val="clear" w:color="auto" w:fill="auto"/>
            <w:vAlign w:val="center"/>
          </w:tcPr>
          <w:p w14:paraId="62B6EE99" w14:textId="77777777" w:rsidR="001A6FB0" w:rsidRPr="004362B1" w:rsidRDefault="001A6FB0" w:rsidP="00EB1206">
            <w:pPr>
              <w:rPr>
                <w:sz w:val="22"/>
                <w:lang w:val="en-US"/>
              </w:rPr>
            </w:pPr>
            <w:r>
              <w:rPr>
                <w:sz w:val="22"/>
                <w:lang w:val="en-US"/>
              </w:rPr>
              <w:t>65.8</w:t>
            </w:r>
          </w:p>
        </w:tc>
        <w:tc>
          <w:tcPr>
            <w:tcW w:w="1416" w:type="dxa"/>
            <w:shd w:val="clear" w:color="auto" w:fill="auto"/>
            <w:vAlign w:val="center"/>
          </w:tcPr>
          <w:p w14:paraId="1EEC4EA8" w14:textId="77777777" w:rsidR="001A6FB0" w:rsidRPr="004362B1" w:rsidRDefault="001A6FB0" w:rsidP="00EB1206">
            <w:pPr>
              <w:rPr>
                <w:sz w:val="22"/>
                <w:lang w:val="en-US"/>
              </w:rPr>
            </w:pPr>
            <w:r>
              <w:rPr>
                <w:sz w:val="22"/>
                <w:lang w:val="en-US"/>
              </w:rPr>
              <w:t>3.7</w:t>
            </w:r>
          </w:p>
        </w:tc>
        <w:tc>
          <w:tcPr>
            <w:tcW w:w="1475" w:type="dxa"/>
            <w:shd w:val="clear" w:color="auto" w:fill="auto"/>
            <w:vAlign w:val="center"/>
          </w:tcPr>
          <w:p w14:paraId="6A924C29" w14:textId="77777777" w:rsidR="001A6FB0" w:rsidRPr="004362B1" w:rsidRDefault="001A6FB0" w:rsidP="00EB1206">
            <w:pPr>
              <w:rPr>
                <w:sz w:val="22"/>
                <w:lang w:val="en-US"/>
              </w:rPr>
            </w:pPr>
            <w:r>
              <w:rPr>
                <w:sz w:val="22"/>
                <w:lang w:val="en-US"/>
              </w:rPr>
              <w:t>19.9</w:t>
            </w:r>
          </w:p>
        </w:tc>
      </w:tr>
      <w:tr w:rsidR="001A6FB0" w:rsidRPr="004362B1" w14:paraId="32743E79" w14:textId="77777777" w:rsidTr="00616FE6">
        <w:trPr>
          <w:jc w:val="center"/>
        </w:trPr>
        <w:tc>
          <w:tcPr>
            <w:tcW w:w="3686" w:type="dxa"/>
            <w:shd w:val="clear" w:color="auto" w:fill="auto"/>
          </w:tcPr>
          <w:p w14:paraId="275ADD59" w14:textId="77777777" w:rsidR="001A6FB0" w:rsidRPr="004362B1" w:rsidRDefault="001A6FB0" w:rsidP="00EB1206">
            <w:pPr>
              <w:rPr>
                <w:b/>
                <w:sz w:val="22"/>
                <w:lang w:val="en-US"/>
              </w:rPr>
            </w:pPr>
            <w:r w:rsidRPr="004362B1">
              <w:rPr>
                <w:b/>
                <w:sz w:val="22"/>
                <w:lang w:val="en-US"/>
              </w:rPr>
              <w:t>Blood and lymphatic system disorders</w:t>
            </w:r>
          </w:p>
        </w:tc>
        <w:tc>
          <w:tcPr>
            <w:tcW w:w="5733" w:type="dxa"/>
            <w:gridSpan w:val="4"/>
            <w:shd w:val="clear" w:color="auto" w:fill="auto"/>
          </w:tcPr>
          <w:p w14:paraId="63EA66BD" w14:textId="77777777" w:rsidR="001A6FB0" w:rsidRPr="004362B1" w:rsidRDefault="001A6FB0" w:rsidP="00EB1206">
            <w:pPr>
              <w:rPr>
                <w:sz w:val="22"/>
                <w:lang w:val="en-US"/>
              </w:rPr>
            </w:pPr>
          </w:p>
        </w:tc>
      </w:tr>
      <w:tr w:rsidR="001A6FB0" w:rsidRPr="004362B1" w14:paraId="688086EE" w14:textId="77777777" w:rsidTr="00616FE6">
        <w:trPr>
          <w:jc w:val="center"/>
        </w:trPr>
        <w:tc>
          <w:tcPr>
            <w:tcW w:w="3686" w:type="dxa"/>
            <w:shd w:val="clear" w:color="auto" w:fill="auto"/>
          </w:tcPr>
          <w:p w14:paraId="308D6B52" w14:textId="77777777" w:rsidR="001A6FB0" w:rsidRPr="004362B1" w:rsidRDefault="001A6FB0" w:rsidP="00EB1206">
            <w:pPr>
              <w:rPr>
                <w:sz w:val="22"/>
                <w:lang w:val="en-US"/>
              </w:rPr>
            </w:pPr>
            <w:r w:rsidRPr="004362B1">
              <w:rPr>
                <w:sz w:val="22"/>
                <w:lang w:val="en-US"/>
              </w:rPr>
              <w:t>Neutropenia</w:t>
            </w:r>
          </w:p>
        </w:tc>
        <w:tc>
          <w:tcPr>
            <w:tcW w:w="1418" w:type="dxa"/>
            <w:shd w:val="clear" w:color="auto" w:fill="auto"/>
            <w:vAlign w:val="center"/>
          </w:tcPr>
          <w:p w14:paraId="3C5AE794" w14:textId="77777777" w:rsidR="001A6FB0" w:rsidRPr="004362B1" w:rsidRDefault="001A6FB0" w:rsidP="00EB1206">
            <w:pPr>
              <w:rPr>
                <w:sz w:val="22"/>
                <w:lang w:val="en-US"/>
              </w:rPr>
            </w:pPr>
            <w:r>
              <w:rPr>
                <w:sz w:val="22"/>
                <w:lang w:val="en-US"/>
              </w:rPr>
              <w:t>32.1</w:t>
            </w:r>
          </w:p>
        </w:tc>
        <w:tc>
          <w:tcPr>
            <w:tcW w:w="1424" w:type="dxa"/>
            <w:shd w:val="clear" w:color="auto" w:fill="auto"/>
            <w:vAlign w:val="center"/>
          </w:tcPr>
          <w:p w14:paraId="0672FADA" w14:textId="77777777" w:rsidR="001A6FB0" w:rsidRPr="004362B1" w:rsidRDefault="001A6FB0" w:rsidP="00EB1206">
            <w:pPr>
              <w:rPr>
                <w:sz w:val="22"/>
                <w:lang w:val="en-US"/>
              </w:rPr>
            </w:pPr>
            <w:r>
              <w:rPr>
                <w:sz w:val="22"/>
                <w:lang w:val="en-US"/>
              </w:rPr>
              <w:t>38.1</w:t>
            </w:r>
          </w:p>
        </w:tc>
        <w:tc>
          <w:tcPr>
            <w:tcW w:w="1416" w:type="dxa"/>
            <w:shd w:val="clear" w:color="auto" w:fill="auto"/>
            <w:vAlign w:val="center"/>
          </w:tcPr>
          <w:p w14:paraId="040E27C2" w14:textId="77777777" w:rsidR="001A6FB0" w:rsidRPr="004362B1" w:rsidRDefault="001A6FB0" w:rsidP="00EB1206">
            <w:pPr>
              <w:rPr>
                <w:sz w:val="22"/>
                <w:lang w:val="en-US"/>
              </w:rPr>
            </w:pPr>
            <w:r>
              <w:rPr>
                <w:sz w:val="22"/>
                <w:lang w:val="en-US"/>
              </w:rPr>
              <w:t>28.3</w:t>
            </w:r>
          </w:p>
        </w:tc>
        <w:tc>
          <w:tcPr>
            <w:tcW w:w="1475" w:type="dxa"/>
            <w:shd w:val="clear" w:color="auto" w:fill="auto"/>
            <w:vAlign w:val="center"/>
          </w:tcPr>
          <w:p w14:paraId="2E17F78C" w14:textId="77777777" w:rsidR="001A6FB0" w:rsidRPr="004362B1" w:rsidRDefault="001A6FB0" w:rsidP="00EB1206">
            <w:pPr>
              <w:rPr>
                <w:sz w:val="22"/>
                <w:lang w:val="en-US"/>
              </w:rPr>
            </w:pPr>
            <w:r>
              <w:rPr>
                <w:sz w:val="22"/>
                <w:lang w:val="en-US"/>
              </w:rPr>
              <w:t>33.0</w:t>
            </w:r>
          </w:p>
        </w:tc>
      </w:tr>
      <w:tr w:rsidR="001A6FB0" w:rsidRPr="004362B1" w14:paraId="60A5AEA7" w14:textId="77777777" w:rsidTr="00616FE6">
        <w:trPr>
          <w:jc w:val="center"/>
        </w:trPr>
        <w:tc>
          <w:tcPr>
            <w:tcW w:w="3686" w:type="dxa"/>
            <w:shd w:val="clear" w:color="auto" w:fill="auto"/>
          </w:tcPr>
          <w:p w14:paraId="25C546D5" w14:textId="77777777" w:rsidR="001A6FB0" w:rsidRPr="004362B1" w:rsidRDefault="001A6FB0" w:rsidP="00EB1206">
            <w:pPr>
              <w:rPr>
                <w:sz w:val="22"/>
                <w:lang w:val="en-US"/>
              </w:rPr>
            </w:pPr>
            <w:r w:rsidRPr="004362B1">
              <w:rPr>
                <w:sz w:val="22"/>
                <w:lang w:val="en-US"/>
              </w:rPr>
              <w:t>Thrombocytopenia</w:t>
            </w:r>
          </w:p>
        </w:tc>
        <w:tc>
          <w:tcPr>
            <w:tcW w:w="1418" w:type="dxa"/>
            <w:shd w:val="clear" w:color="auto" w:fill="auto"/>
            <w:vAlign w:val="center"/>
          </w:tcPr>
          <w:p w14:paraId="1C3B2236" w14:textId="77777777" w:rsidR="001A6FB0" w:rsidRPr="004362B1" w:rsidRDefault="001A6FB0" w:rsidP="00EB1206">
            <w:pPr>
              <w:rPr>
                <w:sz w:val="22"/>
                <w:lang w:val="en-US"/>
              </w:rPr>
            </w:pPr>
            <w:r>
              <w:rPr>
                <w:sz w:val="22"/>
                <w:lang w:val="en-US"/>
              </w:rPr>
              <w:t>6.5</w:t>
            </w:r>
          </w:p>
        </w:tc>
        <w:tc>
          <w:tcPr>
            <w:tcW w:w="1424" w:type="dxa"/>
            <w:shd w:val="clear" w:color="auto" w:fill="auto"/>
            <w:vAlign w:val="center"/>
          </w:tcPr>
          <w:p w14:paraId="239C3A60" w14:textId="77777777" w:rsidR="001A6FB0" w:rsidRPr="004362B1" w:rsidRDefault="001A6FB0" w:rsidP="00EB1206">
            <w:pPr>
              <w:rPr>
                <w:sz w:val="22"/>
                <w:lang w:val="en-US"/>
              </w:rPr>
            </w:pPr>
            <w:r>
              <w:rPr>
                <w:sz w:val="22"/>
                <w:lang w:val="en-US"/>
              </w:rPr>
              <w:t>14.3</w:t>
            </w:r>
          </w:p>
        </w:tc>
        <w:tc>
          <w:tcPr>
            <w:tcW w:w="1416" w:type="dxa"/>
            <w:shd w:val="clear" w:color="auto" w:fill="auto"/>
            <w:vAlign w:val="center"/>
          </w:tcPr>
          <w:p w14:paraId="3B7836AA" w14:textId="77777777" w:rsidR="001A6FB0" w:rsidRPr="004362B1" w:rsidRDefault="001A6FB0" w:rsidP="00EB1206">
            <w:pPr>
              <w:rPr>
                <w:sz w:val="22"/>
                <w:lang w:val="en-US"/>
              </w:rPr>
            </w:pPr>
            <w:r>
              <w:rPr>
                <w:sz w:val="22"/>
                <w:lang w:val="en-US"/>
              </w:rPr>
              <w:t>3.1</w:t>
            </w:r>
          </w:p>
        </w:tc>
        <w:tc>
          <w:tcPr>
            <w:tcW w:w="1475" w:type="dxa"/>
            <w:shd w:val="clear" w:color="auto" w:fill="auto"/>
            <w:vAlign w:val="center"/>
          </w:tcPr>
          <w:p w14:paraId="0DD5DDAB" w14:textId="77777777" w:rsidR="001A6FB0" w:rsidRPr="004362B1" w:rsidRDefault="001A6FB0" w:rsidP="00EB1206">
            <w:pPr>
              <w:rPr>
                <w:sz w:val="22"/>
                <w:lang w:val="en-US"/>
              </w:rPr>
            </w:pPr>
            <w:r>
              <w:rPr>
                <w:sz w:val="22"/>
                <w:lang w:val="en-US"/>
              </w:rPr>
              <w:t>10.4</w:t>
            </w:r>
          </w:p>
        </w:tc>
      </w:tr>
      <w:tr w:rsidR="001A6FB0" w:rsidRPr="004362B1" w14:paraId="51418869" w14:textId="77777777" w:rsidTr="00616FE6">
        <w:trPr>
          <w:jc w:val="center"/>
        </w:trPr>
        <w:tc>
          <w:tcPr>
            <w:tcW w:w="3686" w:type="dxa"/>
            <w:shd w:val="clear" w:color="auto" w:fill="auto"/>
          </w:tcPr>
          <w:p w14:paraId="4F2A2C16" w14:textId="77777777" w:rsidR="001A6FB0" w:rsidRPr="004362B1" w:rsidRDefault="001A6FB0" w:rsidP="00EB1206">
            <w:pPr>
              <w:rPr>
                <w:sz w:val="22"/>
                <w:lang w:val="en-US"/>
              </w:rPr>
            </w:pPr>
            <w:r w:rsidRPr="004362B1">
              <w:rPr>
                <w:sz w:val="22"/>
                <w:lang w:val="en-US"/>
              </w:rPr>
              <w:t>Leucopenia</w:t>
            </w:r>
          </w:p>
        </w:tc>
        <w:tc>
          <w:tcPr>
            <w:tcW w:w="1418" w:type="dxa"/>
            <w:shd w:val="clear" w:color="auto" w:fill="auto"/>
            <w:vAlign w:val="center"/>
          </w:tcPr>
          <w:p w14:paraId="1FEA25A8" w14:textId="77777777" w:rsidR="001A6FB0" w:rsidRPr="004362B1" w:rsidRDefault="001A6FB0" w:rsidP="00EB1206">
            <w:pPr>
              <w:rPr>
                <w:sz w:val="22"/>
                <w:lang w:val="en-US"/>
              </w:rPr>
            </w:pPr>
            <w:r>
              <w:rPr>
                <w:sz w:val="22"/>
                <w:lang w:val="en-US"/>
              </w:rPr>
              <w:t>1.9</w:t>
            </w:r>
          </w:p>
        </w:tc>
        <w:tc>
          <w:tcPr>
            <w:tcW w:w="1424" w:type="dxa"/>
            <w:shd w:val="clear" w:color="auto" w:fill="auto"/>
            <w:vAlign w:val="center"/>
          </w:tcPr>
          <w:p w14:paraId="74B35374" w14:textId="77777777" w:rsidR="001A6FB0" w:rsidRPr="004362B1" w:rsidRDefault="001A6FB0" w:rsidP="00EB1206">
            <w:pPr>
              <w:rPr>
                <w:sz w:val="22"/>
                <w:lang w:val="en-US"/>
              </w:rPr>
            </w:pPr>
            <w:r>
              <w:rPr>
                <w:sz w:val="22"/>
                <w:lang w:val="en-US"/>
              </w:rPr>
              <w:t>6.3</w:t>
            </w:r>
          </w:p>
        </w:tc>
        <w:tc>
          <w:tcPr>
            <w:tcW w:w="1416" w:type="dxa"/>
            <w:shd w:val="clear" w:color="auto" w:fill="auto"/>
            <w:vAlign w:val="center"/>
          </w:tcPr>
          <w:p w14:paraId="1E95768A" w14:textId="77777777" w:rsidR="001A6FB0" w:rsidRPr="004362B1" w:rsidRDefault="001A6FB0" w:rsidP="00EB1206">
            <w:pPr>
              <w:rPr>
                <w:sz w:val="22"/>
                <w:lang w:val="en-US"/>
              </w:rPr>
            </w:pPr>
            <w:r>
              <w:rPr>
                <w:sz w:val="22"/>
                <w:lang w:val="en-US"/>
              </w:rPr>
              <w:t>&lt; 1</w:t>
            </w:r>
          </w:p>
        </w:tc>
        <w:tc>
          <w:tcPr>
            <w:tcW w:w="1475" w:type="dxa"/>
            <w:shd w:val="clear" w:color="auto" w:fill="auto"/>
            <w:vAlign w:val="center"/>
          </w:tcPr>
          <w:p w14:paraId="66F14719" w14:textId="77777777" w:rsidR="001A6FB0" w:rsidRPr="004362B1" w:rsidRDefault="001A6FB0" w:rsidP="00EB1206">
            <w:pPr>
              <w:rPr>
                <w:sz w:val="22"/>
                <w:lang w:val="en-US"/>
              </w:rPr>
            </w:pPr>
            <w:r>
              <w:rPr>
                <w:sz w:val="22"/>
                <w:lang w:val="en-US"/>
              </w:rPr>
              <w:t>4.5</w:t>
            </w:r>
          </w:p>
        </w:tc>
      </w:tr>
      <w:tr w:rsidR="001A6FB0" w:rsidRPr="004362B1" w14:paraId="343521F5" w14:textId="77777777" w:rsidTr="00616FE6">
        <w:trPr>
          <w:jc w:val="center"/>
        </w:trPr>
        <w:tc>
          <w:tcPr>
            <w:tcW w:w="3686" w:type="dxa"/>
            <w:shd w:val="clear" w:color="auto" w:fill="auto"/>
          </w:tcPr>
          <w:p w14:paraId="5A1B076C" w14:textId="77777777" w:rsidR="001A6FB0" w:rsidRPr="004362B1" w:rsidRDefault="001A6FB0" w:rsidP="00EB1206">
            <w:pPr>
              <w:rPr>
                <w:sz w:val="22"/>
                <w:lang w:val="en-US"/>
              </w:rPr>
            </w:pPr>
            <w:r w:rsidRPr="004362B1">
              <w:rPr>
                <w:b/>
                <w:sz w:val="22"/>
                <w:lang w:val="en-US"/>
              </w:rPr>
              <w:t>Gastrointestinal disorders</w:t>
            </w:r>
          </w:p>
        </w:tc>
        <w:tc>
          <w:tcPr>
            <w:tcW w:w="5733" w:type="dxa"/>
            <w:gridSpan w:val="4"/>
            <w:shd w:val="clear" w:color="auto" w:fill="auto"/>
            <w:vAlign w:val="center"/>
          </w:tcPr>
          <w:p w14:paraId="59F8ADEC" w14:textId="77777777" w:rsidR="001A6FB0" w:rsidRDefault="001A6FB0" w:rsidP="00EB1206">
            <w:pPr>
              <w:rPr>
                <w:sz w:val="22"/>
                <w:lang w:val="en-US"/>
              </w:rPr>
            </w:pPr>
          </w:p>
        </w:tc>
      </w:tr>
      <w:tr w:rsidR="001A6FB0" w:rsidRPr="004362B1" w14:paraId="30F28AA4" w14:textId="77777777" w:rsidTr="00616FE6">
        <w:trPr>
          <w:jc w:val="center"/>
        </w:trPr>
        <w:tc>
          <w:tcPr>
            <w:tcW w:w="3686" w:type="dxa"/>
            <w:shd w:val="clear" w:color="auto" w:fill="auto"/>
          </w:tcPr>
          <w:p w14:paraId="75648B11" w14:textId="77777777" w:rsidR="001A6FB0" w:rsidRPr="004362B1" w:rsidRDefault="001A6FB0" w:rsidP="00EB1206">
            <w:pPr>
              <w:rPr>
                <w:sz w:val="22"/>
                <w:lang w:val="en-US"/>
              </w:rPr>
            </w:pPr>
            <w:proofErr w:type="spellStart"/>
            <w:r w:rsidRPr="004362B1">
              <w:rPr>
                <w:sz w:val="22"/>
                <w:lang w:val="en-US"/>
              </w:rPr>
              <w:t>Diarrhoea</w:t>
            </w:r>
            <w:proofErr w:type="spellEnd"/>
          </w:p>
        </w:tc>
        <w:tc>
          <w:tcPr>
            <w:tcW w:w="1418" w:type="dxa"/>
            <w:shd w:val="clear" w:color="auto" w:fill="auto"/>
            <w:vAlign w:val="center"/>
          </w:tcPr>
          <w:p w14:paraId="2D380DED" w14:textId="77777777" w:rsidR="001A6FB0" w:rsidRDefault="001A6FB0" w:rsidP="00EB1206">
            <w:pPr>
              <w:rPr>
                <w:sz w:val="22"/>
                <w:lang w:val="en-US"/>
              </w:rPr>
            </w:pPr>
            <w:r>
              <w:rPr>
                <w:sz w:val="22"/>
                <w:lang w:val="en-US"/>
              </w:rPr>
              <w:t>7.5</w:t>
            </w:r>
          </w:p>
        </w:tc>
        <w:tc>
          <w:tcPr>
            <w:tcW w:w="1424" w:type="dxa"/>
            <w:shd w:val="clear" w:color="auto" w:fill="auto"/>
            <w:vAlign w:val="center"/>
          </w:tcPr>
          <w:p w14:paraId="5A7B1596" w14:textId="77777777" w:rsidR="001A6FB0" w:rsidRDefault="001A6FB0" w:rsidP="00EB1206">
            <w:pPr>
              <w:rPr>
                <w:sz w:val="22"/>
                <w:lang w:val="en-US"/>
              </w:rPr>
            </w:pPr>
            <w:r>
              <w:rPr>
                <w:sz w:val="22"/>
                <w:lang w:val="en-US"/>
              </w:rPr>
              <w:t>10.1</w:t>
            </w:r>
          </w:p>
        </w:tc>
        <w:tc>
          <w:tcPr>
            <w:tcW w:w="1416" w:type="dxa"/>
            <w:shd w:val="clear" w:color="auto" w:fill="auto"/>
            <w:vAlign w:val="center"/>
          </w:tcPr>
          <w:p w14:paraId="3EF80930" w14:textId="77777777" w:rsidR="001A6FB0" w:rsidRDefault="001A6FB0" w:rsidP="00EB1206">
            <w:pPr>
              <w:rPr>
                <w:sz w:val="22"/>
                <w:lang w:val="en-US"/>
              </w:rPr>
            </w:pPr>
            <w:r>
              <w:rPr>
                <w:sz w:val="22"/>
                <w:lang w:val="en-US"/>
              </w:rPr>
              <w:t>0</w:t>
            </w:r>
          </w:p>
        </w:tc>
        <w:tc>
          <w:tcPr>
            <w:tcW w:w="1475" w:type="dxa"/>
            <w:shd w:val="clear" w:color="auto" w:fill="auto"/>
            <w:vAlign w:val="center"/>
          </w:tcPr>
          <w:p w14:paraId="4C854D47" w14:textId="77777777" w:rsidR="001A6FB0" w:rsidRDefault="001A6FB0" w:rsidP="00EB1206">
            <w:pPr>
              <w:rPr>
                <w:sz w:val="22"/>
                <w:lang w:val="en-US"/>
              </w:rPr>
            </w:pPr>
            <w:r>
              <w:rPr>
                <w:sz w:val="22"/>
                <w:lang w:val="en-US"/>
              </w:rPr>
              <w:t>2.1</w:t>
            </w:r>
          </w:p>
        </w:tc>
      </w:tr>
      <w:tr w:rsidR="001A6FB0" w:rsidRPr="004362B1" w14:paraId="7AF91131" w14:textId="77777777" w:rsidTr="00616FE6">
        <w:trPr>
          <w:jc w:val="center"/>
        </w:trPr>
        <w:tc>
          <w:tcPr>
            <w:tcW w:w="3686" w:type="dxa"/>
            <w:shd w:val="clear" w:color="auto" w:fill="auto"/>
          </w:tcPr>
          <w:p w14:paraId="63BD73FE" w14:textId="77777777" w:rsidR="001A6FB0" w:rsidRPr="004362B1" w:rsidRDefault="001A6FB0" w:rsidP="00EB1206">
            <w:pPr>
              <w:rPr>
                <w:sz w:val="22"/>
                <w:lang w:val="en-US"/>
              </w:rPr>
            </w:pPr>
            <w:r>
              <w:rPr>
                <w:sz w:val="22"/>
                <w:lang w:val="en-US"/>
              </w:rPr>
              <w:t>Constipation</w:t>
            </w:r>
          </w:p>
        </w:tc>
        <w:tc>
          <w:tcPr>
            <w:tcW w:w="1418" w:type="dxa"/>
            <w:shd w:val="clear" w:color="auto" w:fill="auto"/>
            <w:vAlign w:val="center"/>
          </w:tcPr>
          <w:p w14:paraId="7617BCE0" w14:textId="77777777" w:rsidR="001A6FB0" w:rsidRDefault="001A6FB0" w:rsidP="00EB1206">
            <w:pPr>
              <w:rPr>
                <w:sz w:val="22"/>
                <w:lang w:val="en-US"/>
              </w:rPr>
            </w:pPr>
            <w:r>
              <w:rPr>
                <w:sz w:val="22"/>
                <w:lang w:val="en-US"/>
              </w:rPr>
              <w:t>5.0</w:t>
            </w:r>
          </w:p>
        </w:tc>
        <w:tc>
          <w:tcPr>
            <w:tcW w:w="1424" w:type="dxa"/>
            <w:shd w:val="clear" w:color="auto" w:fill="auto"/>
            <w:vAlign w:val="center"/>
          </w:tcPr>
          <w:p w14:paraId="07B5C2E8" w14:textId="77777777" w:rsidR="001A6FB0" w:rsidRDefault="001A6FB0" w:rsidP="00EB1206">
            <w:pPr>
              <w:rPr>
                <w:sz w:val="22"/>
                <w:lang w:val="en-US"/>
              </w:rPr>
            </w:pPr>
            <w:r>
              <w:rPr>
                <w:sz w:val="22"/>
                <w:lang w:val="en-US"/>
              </w:rPr>
              <w:t>8.3</w:t>
            </w:r>
          </w:p>
        </w:tc>
        <w:tc>
          <w:tcPr>
            <w:tcW w:w="1416" w:type="dxa"/>
            <w:shd w:val="clear" w:color="auto" w:fill="auto"/>
            <w:vAlign w:val="center"/>
          </w:tcPr>
          <w:p w14:paraId="6302F68D" w14:textId="77777777" w:rsidR="001A6FB0" w:rsidRDefault="001A6FB0" w:rsidP="00EB1206">
            <w:pPr>
              <w:rPr>
                <w:sz w:val="22"/>
                <w:lang w:val="en-US"/>
              </w:rPr>
            </w:pPr>
            <w:r>
              <w:rPr>
                <w:sz w:val="22"/>
                <w:lang w:val="en-US"/>
              </w:rPr>
              <w:t>0</w:t>
            </w:r>
          </w:p>
        </w:tc>
        <w:tc>
          <w:tcPr>
            <w:tcW w:w="1475" w:type="dxa"/>
            <w:shd w:val="clear" w:color="auto" w:fill="auto"/>
            <w:vAlign w:val="center"/>
          </w:tcPr>
          <w:p w14:paraId="03B968E0" w14:textId="77777777" w:rsidR="001A6FB0" w:rsidRDefault="001A6FB0" w:rsidP="00EB1206">
            <w:pPr>
              <w:rPr>
                <w:sz w:val="22"/>
                <w:lang w:val="en-US"/>
              </w:rPr>
            </w:pPr>
            <w:r>
              <w:rPr>
                <w:sz w:val="22"/>
                <w:lang w:val="en-US"/>
              </w:rPr>
              <w:t>0</w:t>
            </w:r>
          </w:p>
        </w:tc>
      </w:tr>
      <w:tr w:rsidR="001A6FB0" w:rsidRPr="004362B1" w14:paraId="5E0CF79E" w14:textId="77777777" w:rsidTr="00616FE6">
        <w:trPr>
          <w:jc w:val="center"/>
        </w:trPr>
        <w:tc>
          <w:tcPr>
            <w:tcW w:w="3686" w:type="dxa"/>
            <w:shd w:val="clear" w:color="auto" w:fill="auto"/>
          </w:tcPr>
          <w:p w14:paraId="4015915E" w14:textId="77777777" w:rsidR="001A6FB0" w:rsidRPr="00780839" w:rsidRDefault="001A6FB0" w:rsidP="00EB1206">
            <w:pPr>
              <w:rPr>
                <w:b/>
                <w:sz w:val="22"/>
                <w:lang w:val="en-US"/>
              </w:rPr>
            </w:pPr>
            <w:r w:rsidRPr="00780839">
              <w:rPr>
                <w:b/>
                <w:sz w:val="22"/>
                <w:lang w:val="en-US"/>
              </w:rPr>
              <w:t>Infections and Infestations</w:t>
            </w:r>
          </w:p>
        </w:tc>
        <w:tc>
          <w:tcPr>
            <w:tcW w:w="5733" w:type="dxa"/>
            <w:gridSpan w:val="4"/>
            <w:shd w:val="clear" w:color="auto" w:fill="auto"/>
          </w:tcPr>
          <w:p w14:paraId="167693B3" w14:textId="77777777" w:rsidR="001A6FB0" w:rsidRPr="004362B1" w:rsidRDefault="001A6FB0" w:rsidP="00EB1206">
            <w:pPr>
              <w:rPr>
                <w:sz w:val="22"/>
                <w:lang w:val="en-US"/>
              </w:rPr>
            </w:pPr>
          </w:p>
        </w:tc>
      </w:tr>
      <w:tr w:rsidR="001A6FB0" w:rsidRPr="004362B1" w14:paraId="74055EB1" w14:textId="77777777" w:rsidTr="00616FE6">
        <w:trPr>
          <w:jc w:val="center"/>
        </w:trPr>
        <w:tc>
          <w:tcPr>
            <w:tcW w:w="3686" w:type="dxa"/>
            <w:shd w:val="clear" w:color="auto" w:fill="auto"/>
          </w:tcPr>
          <w:p w14:paraId="32844E14" w14:textId="77777777" w:rsidR="001A6FB0" w:rsidRPr="004362B1" w:rsidRDefault="001A6FB0" w:rsidP="00EB1206">
            <w:pPr>
              <w:rPr>
                <w:sz w:val="22"/>
                <w:lang w:val="en-US"/>
              </w:rPr>
            </w:pPr>
            <w:r>
              <w:rPr>
                <w:sz w:val="22"/>
                <w:lang w:val="en-US"/>
              </w:rPr>
              <w:t>Nasopharyngitis</w:t>
            </w:r>
          </w:p>
        </w:tc>
        <w:tc>
          <w:tcPr>
            <w:tcW w:w="1418" w:type="dxa"/>
            <w:shd w:val="clear" w:color="auto" w:fill="auto"/>
            <w:vAlign w:val="center"/>
          </w:tcPr>
          <w:p w14:paraId="18B41B67" w14:textId="77777777" w:rsidR="001A6FB0" w:rsidRPr="004362B1" w:rsidRDefault="001A6FB0" w:rsidP="00EB1206">
            <w:pPr>
              <w:rPr>
                <w:sz w:val="22"/>
                <w:lang w:val="en-US"/>
              </w:rPr>
            </w:pPr>
            <w:r>
              <w:rPr>
                <w:sz w:val="22"/>
                <w:lang w:val="en-US"/>
              </w:rPr>
              <w:t>3.1</w:t>
            </w:r>
          </w:p>
        </w:tc>
        <w:tc>
          <w:tcPr>
            <w:tcW w:w="1424" w:type="dxa"/>
            <w:shd w:val="clear" w:color="auto" w:fill="auto"/>
            <w:vAlign w:val="center"/>
          </w:tcPr>
          <w:p w14:paraId="508BF27E" w14:textId="77777777" w:rsidR="001A6FB0" w:rsidRPr="004362B1" w:rsidRDefault="001A6FB0" w:rsidP="00EB1206">
            <w:pPr>
              <w:rPr>
                <w:sz w:val="22"/>
                <w:lang w:val="en-US"/>
              </w:rPr>
            </w:pPr>
            <w:r>
              <w:rPr>
                <w:sz w:val="22"/>
                <w:lang w:val="en-US"/>
              </w:rPr>
              <w:t>5.7</w:t>
            </w:r>
          </w:p>
        </w:tc>
        <w:tc>
          <w:tcPr>
            <w:tcW w:w="1416" w:type="dxa"/>
            <w:shd w:val="clear" w:color="auto" w:fill="auto"/>
            <w:vAlign w:val="center"/>
          </w:tcPr>
          <w:p w14:paraId="23E2AED5" w14:textId="77777777" w:rsidR="001A6FB0" w:rsidRPr="004362B1" w:rsidRDefault="001A6FB0" w:rsidP="00EB1206">
            <w:pPr>
              <w:rPr>
                <w:sz w:val="22"/>
                <w:lang w:val="en-US"/>
              </w:rPr>
            </w:pPr>
            <w:r>
              <w:rPr>
                <w:sz w:val="22"/>
                <w:lang w:val="en-US"/>
              </w:rPr>
              <w:t>0</w:t>
            </w:r>
          </w:p>
        </w:tc>
        <w:tc>
          <w:tcPr>
            <w:tcW w:w="1475" w:type="dxa"/>
            <w:shd w:val="clear" w:color="auto" w:fill="auto"/>
            <w:vAlign w:val="center"/>
          </w:tcPr>
          <w:p w14:paraId="4A59D9CD" w14:textId="77777777" w:rsidR="001A6FB0" w:rsidRPr="004362B1" w:rsidRDefault="001A6FB0" w:rsidP="00EB1206">
            <w:pPr>
              <w:rPr>
                <w:sz w:val="22"/>
                <w:lang w:val="en-US"/>
              </w:rPr>
            </w:pPr>
            <w:r>
              <w:rPr>
                <w:sz w:val="22"/>
                <w:lang w:val="en-US"/>
              </w:rPr>
              <w:t>&lt; 1</w:t>
            </w:r>
          </w:p>
        </w:tc>
      </w:tr>
      <w:tr w:rsidR="001A6FB0" w:rsidRPr="004362B1" w14:paraId="0D29A4AB" w14:textId="77777777" w:rsidTr="00616FE6">
        <w:trPr>
          <w:jc w:val="center"/>
        </w:trPr>
        <w:tc>
          <w:tcPr>
            <w:tcW w:w="3686" w:type="dxa"/>
            <w:shd w:val="clear" w:color="auto" w:fill="auto"/>
          </w:tcPr>
          <w:p w14:paraId="0D0EA89C" w14:textId="77777777" w:rsidR="001A6FB0" w:rsidRPr="004362B1" w:rsidRDefault="001A6FB0" w:rsidP="00EB1206">
            <w:pPr>
              <w:rPr>
                <w:sz w:val="22"/>
                <w:lang w:val="en-US"/>
              </w:rPr>
            </w:pPr>
            <w:r w:rsidRPr="004362B1">
              <w:rPr>
                <w:sz w:val="22"/>
                <w:lang w:val="en-US"/>
              </w:rPr>
              <w:t>Urinary tract infection</w:t>
            </w:r>
          </w:p>
        </w:tc>
        <w:tc>
          <w:tcPr>
            <w:tcW w:w="1418" w:type="dxa"/>
            <w:shd w:val="clear" w:color="auto" w:fill="auto"/>
            <w:vAlign w:val="center"/>
          </w:tcPr>
          <w:p w14:paraId="06672957" w14:textId="77777777" w:rsidR="001A6FB0" w:rsidRPr="004362B1" w:rsidRDefault="001A6FB0" w:rsidP="00EB1206">
            <w:pPr>
              <w:rPr>
                <w:sz w:val="22"/>
                <w:lang w:val="en-US"/>
              </w:rPr>
            </w:pPr>
            <w:r>
              <w:rPr>
                <w:sz w:val="22"/>
                <w:lang w:val="en-US"/>
              </w:rPr>
              <w:t>1.6</w:t>
            </w:r>
          </w:p>
        </w:tc>
        <w:tc>
          <w:tcPr>
            <w:tcW w:w="1424" w:type="dxa"/>
            <w:shd w:val="clear" w:color="auto" w:fill="auto"/>
            <w:vAlign w:val="center"/>
          </w:tcPr>
          <w:p w14:paraId="3EA998B7" w14:textId="77777777" w:rsidR="001A6FB0" w:rsidRDefault="001A6FB0" w:rsidP="00EB1206">
            <w:pPr>
              <w:rPr>
                <w:sz w:val="22"/>
                <w:lang w:val="en-US"/>
              </w:rPr>
            </w:pPr>
            <w:r>
              <w:rPr>
                <w:sz w:val="22"/>
                <w:lang w:val="en-US"/>
              </w:rPr>
              <w:t>5.4</w:t>
            </w:r>
          </w:p>
        </w:tc>
        <w:tc>
          <w:tcPr>
            <w:tcW w:w="1416" w:type="dxa"/>
            <w:shd w:val="clear" w:color="auto" w:fill="auto"/>
            <w:vAlign w:val="center"/>
          </w:tcPr>
          <w:p w14:paraId="0B548178" w14:textId="77777777" w:rsidR="001A6FB0" w:rsidRPr="004362B1" w:rsidRDefault="001A6FB0" w:rsidP="00EB1206">
            <w:pPr>
              <w:rPr>
                <w:sz w:val="22"/>
                <w:lang w:val="en-US"/>
              </w:rPr>
            </w:pPr>
            <w:r>
              <w:rPr>
                <w:sz w:val="22"/>
                <w:lang w:val="en-US"/>
              </w:rPr>
              <w:t>&lt; 1</w:t>
            </w:r>
          </w:p>
        </w:tc>
        <w:tc>
          <w:tcPr>
            <w:tcW w:w="1475" w:type="dxa"/>
            <w:shd w:val="clear" w:color="auto" w:fill="auto"/>
            <w:vAlign w:val="center"/>
          </w:tcPr>
          <w:p w14:paraId="43F79C08" w14:textId="77777777" w:rsidR="001A6FB0" w:rsidRPr="004362B1" w:rsidRDefault="001A6FB0" w:rsidP="00EB1206">
            <w:pPr>
              <w:rPr>
                <w:sz w:val="22"/>
                <w:lang w:val="en-US"/>
              </w:rPr>
            </w:pPr>
            <w:r>
              <w:rPr>
                <w:sz w:val="22"/>
                <w:lang w:val="en-US"/>
              </w:rPr>
              <w:t>1.5</w:t>
            </w:r>
          </w:p>
        </w:tc>
      </w:tr>
      <w:tr w:rsidR="001A6FB0" w:rsidRPr="004362B1" w14:paraId="75DC18FC" w14:textId="77777777" w:rsidTr="00616FE6">
        <w:trPr>
          <w:jc w:val="center"/>
        </w:trPr>
        <w:tc>
          <w:tcPr>
            <w:tcW w:w="3686" w:type="dxa"/>
            <w:shd w:val="clear" w:color="auto" w:fill="auto"/>
          </w:tcPr>
          <w:p w14:paraId="119EEBB9" w14:textId="77777777" w:rsidR="001A6FB0" w:rsidRPr="004362B1" w:rsidRDefault="001A6FB0" w:rsidP="00EB1206">
            <w:pPr>
              <w:rPr>
                <w:b/>
                <w:sz w:val="22"/>
                <w:lang w:val="en-US"/>
              </w:rPr>
            </w:pPr>
            <w:r w:rsidRPr="004362B1">
              <w:rPr>
                <w:b/>
                <w:sz w:val="22"/>
                <w:lang w:val="en-US"/>
              </w:rPr>
              <w:t>Musculoskeletal and connective tissue disorders</w:t>
            </w:r>
          </w:p>
        </w:tc>
        <w:tc>
          <w:tcPr>
            <w:tcW w:w="5733" w:type="dxa"/>
            <w:gridSpan w:val="4"/>
            <w:shd w:val="clear" w:color="auto" w:fill="auto"/>
          </w:tcPr>
          <w:p w14:paraId="18C5C325" w14:textId="77777777" w:rsidR="001A6FB0" w:rsidRPr="004362B1" w:rsidRDefault="001A6FB0" w:rsidP="00EB1206">
            <w:pPr>
              <w:rPr>
                <w:sz w:val="22"/>
                <w:lang w:val="en-US"/>
              </w:rPr>
            </w:pPr>
          </w:p>
        </w:tc>
      </w:tr>
      <w:tr w:rsidR="001A6FB0" w:rsidRPr="004362B1" w14:paraId="40B78DAE" w14:textId="77777777" w:rsidTr="00616FE6">
        <w:trPr>
          <w:jc w:val="center"/>
        </w:trPr>
        <w:tc>
          <w:tcPr>
            <w:tcW w:w="3686" w:type="dxa"/>
            <w:shd w:val="clear" w:color="auto" w:fill="auto"/>
          </w:tcPr>
          <w:p w14:paraId="17B784BE" w14:textId="77777777" w:rsidR="001A6FB0" w:rsidRPr="004362B1" w:rsidRDefault="001A6FB0" w:rsidP="00EB1206">
            <w:pPr>
              <w:rPr>
                <w:sz w:val="22"/>
                <w:lang w:val="en-US"/>
              </w:rPr>
            </w:pPr>
            <w:r w:rsidRPr="004362B1">
              <w:rPr>
                <w:sz w:val="22"/>
                <w:lang w:val="en-US"/>
              </w:rPr>
              <w:t>Back pain</w:t>
            </w:r>
          </w:p>
        </w:tc>
        <w:tc>
          <w:tcPr>
            <w:tcW w:w="1418" w:type="dxa"/>
            <w:shd w:val="clear" w:color="auto" w:fill="auto"/>
          </w:tcPr>
          <w:p w14:paraId="766C36FA" w14:textId="77777777" w:rsidR="001A6FB0" w:rsidRPr="004362B1" w:rsidRDefault="001A6FB0" w:rsidP="00EB1206">
            <w:pPr>
              <w:rPr>
                <w:sz w:val="22"/>
                <w:lang w:val="en-US"/>
              </w:rPr>
            </w:pPr>
            <w:r>
              <w:rPr>
                <w:sz w:val="22"/>
                <w:lang w:val="en-US"/>
              </w:rPr>
              <w:t>2.8</w:t>
            </w:r>
          </w:p>
        </w:tc>
        <w:tc>
          <w:tcPr>
            <w:tcW w:w="1424" w:type="dxa"/>
            <w:shd w:val="clear" w:color="auto" w:fill="auto"/>
          </w:tcPr>
          <w:p w14:paraId="3085F960" w14:textId="77777777" w:rsidR="001A6FB0" w:rsidRPr="004362B1" w:rsidRDefault="001A6FB0" w:rsidP="00EB1206">
            <w:pPr>
              <w:rPr>
                <w:sz w:val="22"/>
                <w:lang w:val="en-US"/>
              </w:rPr>
            </w:pPr>
            <w:r>
              <w:rPr>
                <w:sz w:val="22"/>
                <w:lang w:val="en-US"/>
              </w:rPr>
              <w:t>4.8</w:t>
            </w:r>
          </w:p>
        </w:tc>
        <w:tc>
          <w:tcPr>
            <w:tcW w:w="1416" w:type="dxa"/>
            <w:shd w:val="clear" w:color="auto" w:fill="auto"/>
          </w:tcPr>
          <w:p w14:paraId="1EBCA8BA" w14:textId="77777777" w:rsidR="001A6FB0" w:rsidRPr="004362B1" w:rsidRDefault="001A6FB0" w:rsidP="00EB1206">
            <w:pPr>
              <w:rPr>
                <w:sz w:val="22"/>
                <w:lang w:val="en-US"/>
              </w:rPr>
            </w:pPr>
            <w:r w:rsidRPr="004362B1">
              <w:rPr>
                <w:sz w:val="22"/>
                <w:lang w:val="en-US"/>
              </w:rPr>
              <w:t>&lt; 1</w:t>
            </w:r>
          </w:p>
        </w:tc>
        <w:tc>
          <w:tcPr>
            <w:tcW w:w="1475" w:type="dxa"/>
            <w:shd w:val="clear" w:color="auto" w:fill="auto"/>
          </w:tcPr>
          <w:p w14:paraId="46A19AAC" w14:textId="77777777" w:rsidR="001A6FB0" w:rsidRPr="004362B1" w:rsidRDefault="001A6FB0" w:rsidP="00EB1206">
            <w:pPr>
              <w:rPr>
                <w:sz w:val="22"/>
                <w:lang w:val="en-US"/>
              </w:rPr>
            </w:pPr>
            <w:r w:rsidRPr="004362B1">
              <w:rPr>
                <w:sz w:val="22"/>
                <w:lang w:val="en-US"/>
              </w:rPr>
              <w:t>&lt; 1</w:t>
            </w:r>
          </w:p>
        </w:tc>
      </w:tr>
      <w:tr w:rsidR="001A6FB0" w:rsidRPr="004362B1" w14:paraId="7EBC38C5" w14:textId="77777777" w:rsidTr="00616FE6">
        <w:trPr>
          <w:jc w:val="center"/>
        </w:trPr>
        <w:tc>
          <w:tcPr>
            <w:tcW w:w="3686" w:type="dxa"/>
            <w:shd w:val="clear" w:color="auto" w:fill="auto"/>
          </w:tcPr>
          <w:p w14:paraId="5CC313D7" w14:textId="77777777" w:rsidR="001A6FB0" w:rsidRPr="004362B1" w:rsidRDefault="001A6FB0" w:rsidP="00EB1206">
            <w:pPr>
              <w:rPr>
                <w:sz w:val="22"/>
                <w:lang w:val="en-US"/>
              </w:rPr>
            </w:pPr>
            <w:r w:rsidRPr="004362B1">
              <w:rPr>
                <w:sz w:val="22"/>
                <w:lang w:val="en-US"/>
              </w:rPr>
              <w:t>Arthralgia</w:t>
            </w:r>
          </w:p>
        </w:tc>
        <w:tc>
          <w:tcPr>
            <w:tcW w:w="1418" w:type="dxa"/>
            <w:shd w:val="clear" w:color="auto" w:fill="auto"/>
          </w:tcPr>
          <w:p w14:paraId="42DD11D2" w14:textId="77777777" w:rsidR="001A6FB0" w:rsidRPr="000E59D6" w:rsidRDefault="001A6FB0" w:rsidP="00EB1206">
            <w:pPr>
              <w:rPr>
                <w:sz w:val="22"/>
                <w:lang w:val="en-US"/>
              </w:rPr>
            </w:pPr>
            <w:r w:rsidRPr="000E59D6">
              <w:rPr>
                <w:sz w:val="22"/>
                <w:lang w:val="en-US"/>
              </w:rPr>
              <w:t>2.5</w:t>
            </w:r>
          </w:p>
        </w:tc>
        <w:tc>
          <w:tcPr>
            <w:tcW w:w="1424" w:type="dxa"/>
            <w:shd w:val="clear" w:color="auto" w:fill="auto"/>
          </w:tcPr>
          <w:p w14:paraId="360182A7" w14:textId="77777777" w:rsidR="001A6FB0" w:rsidRPr="004362B1" w:rsidRDefault="001A6FB0" w:rsidP="00EB1206">
            <w:pPr>
              <w:rPr>
                <w:sz w:val="22"/>
                <w:lang w:val="en-US"/>
              </w:rPr>
            </w:pPr>
            <w:r>
              <w:rPr>
                <w:sz w:val="22"/>
                <w:lang w:val="en-US"/>
              </w:rPr>
              <w:t>4.8</w:t>
            </w:r>
          </w:p>
        </w:tc>
        <w:tc>
          <w:tcPr>
            <w:tcW w:w="1416" w:type="dxa"/>
            <w:shd w:val="clear" w:color="auto" w:fill="auto"/>
          </w:tcPr>
          <w:p w14:paraId="72FE0094"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15692BA6" w14:textId="77777777" w:rsidR="001A6FB0" w:rsidRPr="004362B1" w:rsidRDefault="001A6FB0" w:rsidP="00EB1206">
            <w:pPr>
              <w:rPr>
                <w:sz w:val="22"/>
                <w:lang w:val="en-US"/>
              </w:rPr>
            </w:pPr>
            <w:r w:rsidRPr="004362B1">
              <w:rPr>
                <w:sz w:val="22"/>
                <w:lang w:val="en-US"/>
              </w:rPr>
              <w:t>&lt; 1</w:t>
            </w:r>
          </w:p>
        </w:tc>
      </w:tr>
      <w:tr w:rsidR="001A6FB0" w:rsidRPr="004362B1" w14:paraId="3B1C38DF" w14:textId="77777777" w:rsidTr="00616FE6">
        <w:trPr>
          <w:jc w:val="center"/>
        </w:trPr>
        <w:tc>
          <w:tcPr>
            <w:tcW w:w="3686" w:type="dxa"/>
            <w:shd w:val="clear" w:color="auto" w:fill="auto"/>
          </w:tcPr>
          <w:p w14:paraId="15DAE9FC" w14:textId="77777777" w:rsidR="001A6FB0" w:rsidRPr="004362B1" w:rsidRDefault="001A6FB0" w:rsidP="00EB1206">
            <w:pPr>
              <w:rPr>
                <w:b/>
                <w:sz w:val="22"/>
                <w:lang w:val="en-US"/>
              </w:rPr>
            </w:pPr>
            <w:r>
              <w:rPr>
                <w:b/>
                <w:sz w:val="22"/>
                <w:lang w:val="en-US"/>
              </w:rPr>
              <w:t>Metabolism and nutrition</w:t>
            </w:r>
            <w:r w:rsidRPr="004362B1">
              <w:rPr>
                <w:b/>
                <w:sz w:val="22"/>
                <w:lang w:val="en-US"/>
              </w:rPr>
              <w:t xml:space="preserve"> disorders</w:t>
            </w:r>
          </w:p>
        </w:tc>
        <w:tc>
          <w:tcPr>
            <w:tcW w:w="1418" w:type="dxa"/>
            <w:shd w:val="clear" w:color="auto" w:fill="auto"/>
          </w:tcPr>
          <w:p w14:paraId="0A4F2B50" w14:textId="77777777" w:rsidR="001A6FB0" w:rsidRPr="004362B1" w:rsidRDefault="001A6FB0" w:rsidP="00EB1206">
            <w:pPr>
              <w:rPr>
                <w:sz w:val="22"/>
                <w:lang w:val="en-US"/>
              </w:rPr>
            </w:pPr>
          </w:p>
        </w:tc>
        <w:tc>
          <w:tcPr>
            <w:tcW w:w="1424" w:type="dxa"/>
            <w:shd w:val="clear" w:color="auto" w:fill="auto"/>
          </w:tcPr>
          <w:p w14:paraId="1A3D4979" w14:textId="77777777" w:rsidR="001A6FB0" w:rsidRPr="004362B1" w:rsidRDefault="001A6FB0" w:rsidP="00EB1206">
            <w:pPr>
              <w:rPr>
                <w:sz w:val="22"/>
                <w:lang w:val="en-US"/>
              </w:rPr>
            </w:pPr>
          </w:p>
        </w:tc>
        <w:tc>
          <w:tcPr>
            <w:tcW w:w="1416" w:type="dxa"/>
            <w:shd w:val="clear" w:color="auto" w:fill="auto"/>
          </w:tcPr>
          <w:p w14:paraId="3C385D48" w14:textId="77777777" w:rsidR="001A6FB0" w:rsidRPr="004362B1" w:rsidRDefault="001A6FB0" w:rsidP="00EB1206">
            <w:pPr>
              <w:rPr>
                <w:sz w:val="22"/>
                <w:lang w:val="en-US"/>
              </w:rPr>
            </w:pPr>
          </w:p>
        </w:tc>
        <w:tc>
          <w:tcPr>
            <w:tcW w:w="1475" w:type="dxa"/>
            <w:shd w:val="clear" w:color="auto" w:fill="auto"/>
          </w:tcPr>
          <w:p w14:paraId="595F6115" w14:textId="77777777" w:rsidR="001A6FB0" w:rsidRPr="004362B1" w:rsidRDefault="001A6FB0" w:rsidP="00EB1206">
            <w:pPr>
              <w:rPr>
                <w:sz w:val="22"/>
                <w:lang w:val="en-US"/>
              </w:rPr>
            </w:pPr>
          </w:p>
        </w:tc>
      </w:tr>
      <w:tr w:rsidR="001A6FB0" w:rsidRPr="004362B1" w14:paraId="592A688D" w14:textId="77777777" w:rsidTr="00616FE6">
        <w:trPr>
          <w:jc w:val="center"/>
        </w:trPr>
        <w:tc>
          <w:tcPr>
            <w:tcW w:w="3686" w:type="dxa"/>
            <w:shd w:val="clear" w:color="auto" w:fill="auto"/>
          </w:tcPr>
          <w:p w14:paraId="44BE9F79" w14:textId="77777777" w:rsidR="001A6FB0" w:rsidRPr="004362B1" w:rsidRDefault="001A6FB0" w:rsidP="00EB1206">
            <w:pPr>
              <w:rPr>
                <w:sz w:val="22"/>
                <w:lang w:val="en-US"/>
              </w:rPr>
            </w:pPr>
            <w:proofErr w:type="spellStart"/>
            <w:r>
              <w:rPr>
                <w:sz w:val="22"/>
                <w:lang w:val="en-US"/>
              </w:rPr>
              <w:t>Tumour</w:t>
            </w:r>
            <w:proofErr w:type="spellEnd"/>
            <w:r>
              <w:rPr>
                <w:sz w:val="22"/>
                <w:lang w:val="en-US"/>
              </w:rPr>
              <w:t xml:space="preserve"> lysis syndrome</w:t>
            </w:r>
          </w:p>
        </w:tc>
        <w:tc>
          <w:tcPr>
            <w:tcW w:w="1418" w:type="dxa"/>
            <w:shd w:val="clear" w:color="auto" w:fill="auto"/>
          </w:tcPr>
          <w:p w14:paraId="5FF8C457" w14:textId="77777777" w:rsidR="001A6FB0" w:rsidRPr="004362B1" w:rsidRDefault="001A6FB0" w:rsidP="00EB1206">
            <w:pPr>
              <w:rPr>
                <w:sz w:val="22"/>
                <w:lang w:val="en-US"/>
              </w:rPr>
            </w:pPr>
            <w:r w:rsidRPr="004362B1">
              <w:rPr>
                <w:sz w:val="22"/>
                <w:lang w:val="en-US"/>
              </w:rPr>
              <w:t>0</w:t>
            </w:r>
          </w:p>
        </w:tc>
        <w:tc>
          <w:tcPr>
            <w:tcW w:w="1424" w:type="dxa"/>
            <w:shd w:val="clear" w:color="auto" w:fill="auto"/>
          </w:tcPr>
          <w:p w14:paraId="65912036" w14:textId="77777777" w:rsidR="001A6FB0" w:rsidRPr="004362B1" w:rsidRDefault="001A6FB0" w:rsidP="00EB1206">
            <w:pPr>
              <w:rPr>
                <w:sz w:val="22"/>
                <w:lang w:val="en-US"/>
              </w:rPr>
            </w:pPr>
            <w:r>
              <w:rPr>
                <w:sz w:val="22"/>
                <w:lang w:val="en-US"/>
              </w:rPr>
              <w:t>4.2</w:t>
            </w:r>
          </w:p>
        </w:tc>
        <w:tc>
          <w:tcPr>
            <w:tcW w:w="1416" w:type="dxa"/>
            <w:shd w:val="clear" w:color="auto" w:fill="auto"/>
          </w:tcPr>
          <w:p w14:paraId="0B8D92F5" w14:textId="77777777" w:rsidR="001A6FB0" w:rsidRPr="004362B1" w:rsidRDefault="001A6FB0" w:rsidP="00EB1206">
            <w:pPr>
              <w:rPr>
                <w:sz w:val="22"/>
                <w:lang w:val="en-US"/>
              </w:rPr>
            </w:pPr>
            <w:r w:rsidRPr="004362B1">
              <w:rPr>
                <w:sz w:val="22"/>
                <w:lang w:val="en-US"/>
              </w:rPr>
              <w:t>0</w:t>
            </w:r>
          </w:p>
        </w:tc>
        <w:tc>
          <w:tcPr>
            <w:tcW w:w="1475" w:type="dxa"/>
            <w:shd w:val="clear" w:color="auto" w:fill="auto"/>
          </w:tcPr>
          <w:p w14:paraId="514B8497" w14:textId="77777777" w:rsidR="001A6FB0" w:rsidRPr="004362B1" w:rsidRDefault="001A6FB0" w:rsidP="00EB1206">
            <w:pPr>
              <w:rPr>
                <w:sz w:val="22"/>
                <w:lang w:val="en-US"/>
              </w:rPr>
            </w:pPr>
            <w:r>
              <w:rPr>
                <w:sz w:val="22"/>
                <w:lang w:val="en-US"/>
              </w:rPr>
              <w:t>1.8</w:t>
            </w:r>
          </w:p>
        </w:tc>
      </w:tr>
    </w:tbl>
    <w:p w14:paraId="4AF9BEF1" w14:textId="77777777" w:rsidR="001A6FB0" w:rsidRPr="00C8539B" w:rsidRDefault="001A6FB0" w:rsidP="00EB1206">
      <w:pPr>
        <w:rPr>
          <w:rFonts w:cs="Arial"/>
          <w:sz w:val="20"/>
          <w:szCs w:val="20"/>
          <w:lang w:eastAsia="ko-KR" w:bidi="he-IL"/>
        </w:rPr>
      </w:pPr>
      <w:r w:rsidRPr="00C8539B">
        <w:rPr>
          <w:rFonts w:cs="Arial"/>
          <w:sz w:val="20"/>
          <w:szCs w:val="20"/>
          <w:vertAlign w:val="superscript"/>
          <w:lang w:eastAsia="ko-KR" w:bidi="he-IL"/>
        </w:rPr>
        <w:t xml:space="preserve">* </w:t>
      </w:r>
      <w:r w:rsidRPr="00C8539B">
        <w:rPr>
          <w:rFonts w:cs="Arial"/>
          <w:sz w:val="20"/>
          <w:szCs w:val="20"/>
          <w:lang w:eastAsia="ko-KR" w:bidi="he-IL"/>
        </w:rPr>
        <w:t>In all Grades or Grade 3-5</w:t>
      </w:r>
    </w:p>
    <w:p w14:paraId="6A1EF598" w14:textId="77777777" w:rsidR="001A6FB0" w:rsidRDefault="001A6FB0" w:rsidP="00EB1206">
      <w:pPr>
        <w:spacing w:after="240"/>
        <w:rPr>
          <w:rFonts w:cs="Arial"/>
          <w:lang w:eastAsia="ko-KR" w:bidi="he-IL"/>
        </w:rPr>
      </w:pPr>
      <w:r w:rsidRPr="00C8539B">
        <w:rPr>
          <w:b/>
          <w:sz w:val="20"/>
          <w:szCs w:val="20"/>
          <w:vertAlign w:val="superscript"/>
          <w:lang w:val="en-US"/>
        </w:rPr>
        <w:t>†</w:t>
      </w:r>
      <w:r w:rsidRPr="00C8539B">
        <w:rPr>
          <w:rFonts w:ascii="Times New Roman Bold" w:hAnsi="Times New Roman Bold"/>
          <w:b/>
          <w:sz w:val="20"/>
          <w:szCs w:val="20"/>
          <w:lang w:val="en-US"/>
        </w:rPr>
        <w:t xml:space="preserve"> </w:t>
      </w:r>
      <w:r w:rsidRPr="00C8539B">
        <w:rPr>
          <w:rFonts w:cs="Arial"/>
          <w:sz w:val="20"/>
          <w:szCs w:val="20"/>
          <w:lang w:eastAsia="ko-KR" w:bidi="he-IL"/>
        </w:rPr>
        <w:t xml:space="preserve">No Grade 5 adverse reactions have been observed with a difference of </w:t>
      </w:r>
      <w:r w:rsidRPr="00C8539B">
        <w:rPr>
          <w:sz w:val="20"/>
          <w:szCs w:val="20"/>
          <w:lang w:eastAsia="ko-KR" w:bidi="he-IL"/>
        </w:rPr>
        <w:t>≥</w:t>
      </w:r>
      <w:r w:rsidRPr="00C8539B">
        <w:rPr>
          <w:rFonts w:cs="Arial"/>
          <w:sz w:val="20"/>
          <w:szCs w:val="20"/>
          <w:lang w:eastAsia="ko-KR" w:bidi="he-IL"/>
        </w:rPr>
        <w:t xml:space="preserve"> 2% between the treatment arms</w:t>
      </w:r>
    </w:p>
    <w:p w14:paraId="40C0C473" w14:textId="77777777" w:rsidR="001A6FB0" w:rsidRPr="00A31A69" w:rsidRDefault="001A6FB0" w:rsidP="00EB1206">
      <w:pPr>
        <w:pStyle w:val="Heading3"/>
      </w:pPr>
      <w:r>
        <w:lastRenderedPageBreak/>
        <w:t>Non-Hodgkin Lymphoma</w:t>
      </w:r>
    </w:p>
    <w:p w14:paraId="3E3D4FC3" w14:textId="77777777" w:rsidR="001A6FB0" w:rsidRDefault="001A6FB0" w:rsidP="00EB1206">
      <w:pPr>
        <w:spacing w:after="240"/>
      </w:pPr>
      <w:r>
        <w:t xml:space="preserve">In patients with FL, the profile of adverse drug reactions (ADRs) was consistent with the overall </w:t>
      </w:r>
      <w:proofErr w:type="spellStart"/>
      <w:r>
        <w:t>iNHL</w:t>
      </w:r>
      <w:proofErr w:type="spellEnd"/>
      <w:r>
        <w:t xml:space="preserve"> population. </w:t>
      </w:r>
    </w:p>
    <w:p w14:paraId="5129B977" w14:textId="77777777" w:rsidR="001A6FB0" w:rsidRDefault="001A6FB0" w:rsidP="00EB1206">
      <w:pPr>
        <w:spacing w:after="240"/>
      </w:pPr>
      <w:r>
        <w:t xml:space="preserve">ADRs described in this section were identified during induction, maintenance and follow-up in 2 pivotal studies that investigated Gazyva in combination with </w:t>
      </w:r>
      <w:proofErr w:type="spellStart"/>
      <w:r>
        <w:t>bendamustine</w:t>
      </w:r>
      <w:proofErr w:type="spellEnd"/>
      <w:r>
        <w:t>, CHOP, or CVP followed by Gazyva maintenance therapy in:</w:t>
      </w:r>
    </w:p>
    <w:p w14:paraId="48BCEAF6" w14:textId="77777777" w:rsidR="001A6FB0" w:rsidRDefault="001A6FB0" w:rsidP="00EB1206">
      <w:pPr>
        <w:numPr>
          <w:ilvl w:val="0"/>
          <w:numId w:val="5"/>
        </w:numPr>
        <w:pBdr>
          <w:top w:val="none" w:sz="0" w:space="0" w:color="auto"/>
          <w:left w:val="none" w:sz="0" w:space="0" w:color="auto"/>
          <w:bottom w:val="none" w:sz="0" w:space="0" w:color="auto"/>
          <w:right w:val="none" w:sz="0" w:space="0" w:color="auto"/>
          <w:between w:val="none" w:sz="0" w:space="0" w:color="auto"/>
        </w:pBdr>
        <w:spacing w:after="240"/>
      </w:pPr>
      <w:r>
        <w:t xml:space="preserve">Patients with previously untreated </w:t>
      </w:r>
      <w:proofErr w:type="spellStart"/>
      <w:r>
        <w:t>iNHL</w:t>
      </w:r>
      <w:proofErr w:type="spellEnd"/>
      <w:r>
        <w:t xml:space="preserve"> (study BO21223, n=1390; 692 patients in the rituximab plus chemotherapy arm, and 698 patients in the Gazyva plus chemotherapy arm), of whom 86% had FL. Of these patients, 92.7% who were treated with Gazyva plus chemotherapy (induction) received all 6 or 8 treatment cycles (depending on the chemotherapy) of Gazyva.</w:t>
      </w:r>
    </w:p>
    <w:p w14:paraId="128ECC51" w14:textId="7397C139" w:rsidR="001A6FB0" w:rsidRDefault="001A6FB0" w:rsidP="00EB1206">
      <w:pPr>
        <w:numPr>
          <w:ilvl w:val="0"/>
          <w:numId w:val="5"/>
        </w:numPr>
        <w:pBdr>
          <w:top w:val="none" w:sz="0" w:space="0" w:color="auto"/>
          <w:left w:val="none" w:sz="0" w:space="0" w:color="auto"/>
          <w:bottom w:val="none" w:sz="0" w:space="0" w:color="auto"/>
          <w:right w:val="none" w:sz="0" w:space="0" w:color="auto"/>
          <w:between w:val="none" w:sz="0" w:space="0" w:color="auto"/>
        </w:pBdr>
        <w:spacing w:after="240"/>
      </w:pPr>
      <w:r>
        <w:t xml:space="preserve">Patients with relapsed/refractory </w:t>
      </w:r>
      <w:proofErr w:type="spellStart"/>
      <w:r>
        <w:t>iNHL</w:t>
      </w:r>
      <w:proofErr w:type="spellEnd"/>
      <w:r>
        <w:t xml:space="preserve"> (study GAO4753g, n=</w:t>
      </w:r>
      <w:r w:rsidR="002A6485">
        <w:t>407</w:t>
      </w:r>
      <w:r>
        <w:t xml:space="preserve">; </w:t>
      </w:r>
      <w:r w:rsidR="002A6485">
        <w:t>203</w:t>
      </w:r>
      <w:r>
        <w:t xml:space="preserve"> patients in the </w:t>
      </w:r>
      <w:proofErr w:type="spellStart"/>
      <w:r>
        <w:t>bendamustine</w:t>
      </w:r>
      <w:proofErr w:type="spellEnd"/>
      <w:r>
        <w:t xml:space="preserve"> arm, and </w:t>
      </w:r>
      <w:r w:rsidR="002A6485">
        <w:t>204</w:t>
      </w:r>
      <w:r>
        <w:t xml:space="preserve"> in the Gazyva plus </w:t>
      </w:r>
      <w:proofErr w:type="spellStart"/>
      <w:r>
        <w:t>bendamustine</w:t>
      </w:r>
      <w:proofErr w:type="spellEnd"/>
      <w:r>
        <w:t xml:space="preserve"> arm), of whom 81% had FL. Of these patients, 79.4% who were treated with Gazyva plus </w:t>
      </w:r>
      <w:proofErr w:type="spellStart"/>
      <w:r>
        <w:t>bendamustine</w:t>
      </w:r>
      <w:proofErr w:type="spellEnd"/>
      <w:r>
        <w:t xml:space="preserve"> received all 6 treatment cycles of Gazyva.</w:t>
      </w:r>
    </w:p>
    <w:p w14:paraId="0B40F6F4" w14:textId="692FBD47" w:rsidR="001A6FB0" w:rsidRDefault="001A6FB0" w:rsidP="00EB1206">
      <w:pPr>
        <w:spacing w:after="240"/>
      </w:pPr>
      <w:r>
        <w:t xml:space="preserve">The adverse drug reactions (ADRs) described in Table </w:t>
      </w:r>
      <w:r w:rsidR="005D2569">
        <w:t>9</w:t>
      </w:r>
      <w:r>
        <w:t xml:space="preserve"> this section (based on a safety population of </w:t>
      </w:r>
      <w:r w:rsidR="002A6485">
        <w:t>407</w:t>
      </w:r>
      <w:r>
        <w:t xml:space="preserve"> patients with indolent NHL</w:t>
      </w:r>
      <w:r w:rsidRPr="00871BCD">
        <w:t>)</w:t>
      </w:r>
      <w:r>
        <w:t xml:space="preserve"> were identified during induction, maintenance, and follow-up from study GAO4753g, in which </w:t>
      </w:r>
      <w:r>
        <w:rPr>
          <w:lang w:val="en-US"/>
        </w:rPr>
        <w:t>Gazyva</w:t>
      </w:r>
      <w:r>
        <w:t xml:space="preserve"> was given in combination with </w:t>
      </w:r>
      <w:proofErr w:type="spellStart"/>
      <w:r>
        <w:t>bendamustine</w:t>
      </w:r>
      <w:proofErr w:type="spellEnd"/>
      <w:r>
        <w:t xml:space="preserve"> during induction (G+B), and as </w:t>
      </w:r>
      <w:r>
        <w:rPr>
          <w:lang w:val="en-US"/>
        </w:rPr>
        <w:t>Gazyva</w:t>
      </w:r>
      <w:r>
        <w:t xml:space="preserve"> monotherapy in maintenance and compared to </w:t>
      </w:r>
      <w:proofErr w:type="spellStart"/>
      <w:r>
        <w:t>bendamustine</w:t>
      </w:r>
      <w:proofErr w:type="spellEnd"/>
      <w:r>
        <w:t xml:space="preserve"> during induction alone (B). In patients treated with G+B, 79.4% received all 6 treatment cycles of </w:t>
      </w:r>
      <w:r>
        <w:rPr>
          <w:lang w:val="en-US"/>
        </w:rPr>
        <w:t>Gazyva</w:t>
      </w:r>
      <w:r>
        <w:t xml:space="preserve"> and 75.6% received all 6 cycles of B compared to 66.7% of patients in the B arm. </w:t>
      </w:r>
    </w:p>
    <w:p w14:paraId="564E929B" w14:textId="677D3827" w:rsidR="001A6FB0" w:rsidRDefault="001A6FB0" w:rsidP="00EB1206">
      <w:pPr>
        <w:spacing w:after="240"/>
      </w:pPr>
      <w:r>
        <w:t xml:space="preserve">Table </w:t>
      </w:r>
      <w:r w:rsidR="005D2569">
        <w:t>9</w:t>
      </w:r>
      <w:r>
        <w:t xml:space="preserve"> summarises the ADRs that occurred at a higher incidence (difference of ≥ 2%) in patients receiving G+B during induction followed by </w:t>
      </w:r>
      <w:r>
        <w:rPr>
          <w:lang w:val="en-US"/>
        </w:rPr>
        <w:t>Gazyva</w:t>
      </w:r>
      <w:r>
        <w:t xml:space="preserve"> maintenance as compared to B during induction alone.</w:t>
      </w:r>
    </w:p>
    <w:p w14:paraId="1F5B2558" w14:textId="49E02C40" w:rsidR="001A6FB0" w:rsidRPr="001C7C17" w:rsidRDefault="001A6FB0" w:rsidP="00EB1206">
      <w:pPr>
        <w:spacing w:after="120"/>
        <w:rPr>
          <w:b/>
        </w:rPr>
      </w:pPr>
      <w:r w:rsidRPr="001C7C17">
        <w:rPr>
          <w:b/>
        </w:rPr>
        <w:t xml:space="preserve">Table </w:t>
      </w:r>
      <w:r w:rsidR="005D2569">
        <w:rPr>
          <w:b/>
        </w:rPr>
        <w:t>9</w:t>
      </w:r>
      <w:r w:rsidRPr="001C7C17">
        <w:rPr>
          <w:b/>
        </w:rPr>
        <w:t xml:space="preserve"> Adverse Reactions reported with a higher incidence (difference of ≥ 2%) in patients receiving G</w:t>
      </w:r>
      <w:r>
        <w:rPr>
          <w:b/>
        </w:rPr>
        <w:t>azyva</w:t>
      </w:r>
      <w:r w:rsidRPr="001C7C17">
        <w:rPr>
          <w:b/>
        </w:rPr>
        <w:t xml:space="preserve"> plus </w:t>
      </w:r>
      <w:proofErr w:type="spellStart"/>
      <w:r>
        <w:rPr>
          <w:b/>
        </w:rPr>
        <w:t>bendamustine</w:t>
      </w:r>
      <w:proofErr w:type="spellEnd"/>
      <w:r>
        <w:rPr>
          <w:b/>
        </w:rPr>
        <w:t xml:space="preserve"> (induction) followed by Gazyva maintenance vs </w:t>
      </w:r>
      <w:proofErr w:type="spellStart"/>
      <w:r>
        <w:rPr>
          <w:b/>
        </w:rPr>
        <w:t>bendamustine</w:t>
      </w:r>
      <w:proofErr w:type="spellEnd"/>
      <w:r>
        <w:rPr>
          <w:b/>
        </w:rPr>
        <w:t xml:space="preserve"> (induction) alone</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1559"/>
        <w:gridCol w:w="1701"/>
        <w:gridCol w:w="1657"/>
        <w:gridCol w:w="1710"/>
      </w:tblGrid>
      <w:tr w:rsidR="001A6FB0" w:rsidRPr="001C7C17" w14:paraId="1907DD35" w14:textId="77777777" w:rsidTr="00616FE6">
        <w:trPr>
          <w:trHeight w:val="20"/>
          <w:tblHeader/>
          <w:jc w:val="center"/>
        </w:trPr>
        <w:tc>
          <w:tcPr>
            <w:tcW w:w="2661" w:type="dxa"/>
            <w:shd w:val="clear" w:color="auto" w:fill="auto"/>
            <w:vAlign w:val="center"/>
          </w:tcPr>
          <w:p w14:paraId="06B45D11" w14:textId="77777777" w:rsidR="001A6FB0" w:rsidRPr="001C7C17" w:rsidRDefault="001A6FB0" w:rsidP="00EB1206">
            <w:pPr>
              <w:rPr>
                <w:b/>
                <w:sz w:val="22"/>
                <w:lang w:val="en-GB"/>
              </w:rPr>
            </w:pPr>
            <w:r w:rsidRPr="001C7C17">
              <w:rPr>
                <w:b/>
                <w:sz w:val="22"/>
                <w:lang w:val="en-GB"/>
              </w:rPr>
              <w:t xml:space="preserve">ADR </w:t>
            </w:r>
            <w:r w:rsidRPr="001C7C17">
              <w:rPr>
                <w:b/>
                <w:bCs/>
                <w:sz w:val="22"/>
                <w:lang w:val="en-GB"/>
              </w:rPr>
              <w:t>(</w:t>
            </w:r>
            <w:proofErr w:type="spellStart"/>
            <w:r w:rsidRPr="001C7C17">
              <w:rPr>
                <w:b/>
                <w:bCs/>
                <w:sz w:val="22"/>
                <w:lang w:val="en-GB"/>
              </w:rPr>
              <w:t>MedDRA</w:t>
            </w:r>
            <w:r w:rsidRPr="001C7C17">
              <w:rPr>
                <w:b/>
                <w:bCs/>
                <w:sz w:val="22"/>
                <w:vertAlign w:val="superscript"/>
                <w:lang w:val="en-GB"/>
              </w:rPr>
              <w:t>a</w:t>
            </w:r>
            <w:proofErr w:type="spellEnd"/>
            <w:r w:rsidRPr="001C7C17">
              <w:rPr>
                <w:b/>
                <w:bCs/>
                <w:sz w:val="22"/>
                <w:lang w:val="en-GB"/>
              </w:rPr>
              <w:t>)</w:t>
            </w:r>
          </w:p>
          <w:p w14:paraId="5062FC36" w14:textId="77777777" w:rsidR="001A6FB0" w:rsidRPr="001C7C17" w:rsidRDefault="001A6FB0" w:rsidP="00EB1206">
            <w:pPr>
              <w:rPr>
                <w:b/>
                <w:bCs/>
                <w:sz w:val="22"/>
                <w:lang w:val="en-GB"/>
              </w:rPr>
            </w:pPr>
            <w:r w:rsidRPr="001C7C17">
              <w:rPr>
                <w:b/>
                <w:bCs/>
                <w:sz w:val="22"/>
                <w:lang w:val="en-GB"/>
              </w:rPr>
              <w:t>System Organ Class</w:t>
            </w:r>
          </w:p>
        </w:tc>
        <w:tc>
          <w:tcPr>
            <w:tcW w:w="3260" w:type="dxa"/>
            <w:gridSpan w:val="2"/>
            <w:shd w:val="clear" w:color="auto" w:fill="auto"/>
            <w:vAlign w:val="center"/>
          </w:tcPr>
          <w:p w14:paraId="007295D0" w14:textId="77777777" w:rsidR="001A6FB0" w:rsidRPr="001C7C17" w:rsidRDefault="001A6FB0" w:rsidP="00EB1206">
            <w:pPr>
              <w:rPr>
                <w:b/>
                <w:bCs/>
                <w:sz w:val="22"/>
                <w:lang w:val="en-GB"/>
              </w:rPr>
            </w:pPr>
            <w:r w:rsidRPr="001C7C17">
              <w:rPr>
                <w:b/>
                <w:sz w:val="22"/>
                <w:lang w:val="en-GB"/>
              </w:rPr>
              <w:t>All Grades %</w:t>
            </w:r>
          </w:p>
        </w:tc>
        <w:tc>
          <w:tcPr>
            <w:tcW w:w="3367" w:type="dxa"/>
            <w:gridSpan w:val="2"/>
            <w:vAlign w:val="center"/>
          </w:tcPr>
          <w:p w14:paraId="46E9F925" w14:textId="77777777" w:rsidR="001A6FB0" w:rsidRPr="001C7C17" w:rsidRDefault="001A6FB0" w:rsidP="00EB1206">
            <w:pPr>
              <w:rPr>
                <w:b/>
                <w:sz w:val="22"/>
                <w:lang w:val="en-GB"/>
              </w:rPr>
            </w:pPr>
            <w:r w:rsidRPr="001C7C17">
              <w:rPr>
                <w:b/>
                <w:sz w:val="22"/>
                <w:lang w:val="en-GB"/>
              </w:rPr>
              <w:t>Grades 3-5</w:t>
            </w:r>
            <w:r w:rsidRPr="001C7C17">
              <w:rPr>
                <w:b/>
                <w:sz w:val="22"/>
                <w:vertAlign w:val="superscript"/>
                <w:lang w:val="en-GB"/>
              </w:rPr>
              <w:t>†</w:t>
            </w:r>
            <w:r w:rsidRPr="001C7C17">
              <w:rPr>
                <w:b/>
                <w:sz w:val="22"/>
                <w:lang w:val="en-GB"/>
              </w:rPr>
              <w:t xml:space="preserve"> %</w:t>
            </w:r>
          </w:p>
        </w:tc>
      </w:tr>
      <w:tr w:rsidR="001A6FB0" w:rsidRPr="001C7C17" w14:paraId="79B806EC" w14:textId="77777777" w:rsidTr="00616FE6">
        <w:trPr>
          <w:trHeight w:val="20"/>
          <w:tblHeader/>
          <w:jc w:val="center"/>
        </w:trPr>
        <w:tc>
          <w:tcPr>
            <w:tcW w:w="2661" w:type="dxa"/>
            <w:shd w:val="clear" w:color="auto" w:fill="auto"/>
            <w:vAlign w:val="center"/>
          </w:tcPr>
          <w:p w14:paraId="5DBDF43F" w14:textId="77777777" w:rsidR="001A6FB0" w:rsidRPr="001C7C17" w:rsidRDefault="001A6FB0" w:rsidP="00EB1206">
            <w:pPr>
              <w:rPr>
                <w:b/>
                <w:sz w:val="22"/>
                <w:lang w:val="en-GB"/>
              </w:rPr>
            </w:pPr>
          </w:p>
        </w:tc>
        <w:tc>
          <w:tcPr>
            <w:tcW w:w="1559" w:type="dxa"/>
            <w:shd w:val="clear" w:color="auto" w:fill="auto"/>
            <w:vAlign w:val="center"/>
          </w:tcPr>
          <w:p w14:paraId="5B50055A" w14:textId="77777777" w:rsidR="001A6FB0" w:rsidRPr="001C7C17" w:rsidRDefault="001A6FB0" w:rsidP="00EB1206">
            <w:pPr>
              <w:rPr>
                <w:b/>
                <w:bCs/>
                <w:sz w:val="22"/>
                <w:lang w:val="en-GB"/>
              </w:rPr>
            </w:pPr>
            <w:proofErr w:type="spellStart"/>
            <w:r>
              <w:rPr>
                <w:b/>
                <w:bCs/>
                <w:sz w:val="22"/>
                <w:lang w:val="en-GB"/>
              </w:rPr>
              <w:t>b</w:t>
            </w:r>
            <w:r w:rsidRPr="001C7C17">
              <w:rPr>
                <w:b/>
                <w:bCs/>
                <w:sz w:val="22"/>
                <w:lang w:val="en-GB"/>
              </w:rPr>
              <w:t>endamustine</w:t>
            </w:r>
            <w:proofErr w:type="spellEnd"/>
          </w:p>
          <w:p w14:paraId="27EA4030" w14:textId="396C0336" w:rsidR="001A6FB0" w:rsidRPr="001C7C17" w:rsidRDefault="001A6FB0" w:rsidP="00EB1206">
            <w:pPr>
              <w:rPr>
                <w:b/>
                <w:sz w:val="22"/>
                <w:lang w:val="en-GB"/>
              </w:rPr>
            </w:pPr>
            <w:r w:rsidRPr="001C7C17">
              <w:rPr>
                <w:b/>
                <w:bCs/>
                <w:sz w:val="22"/>
                <w:lang w:val="en-GB"/>
              </w:rPr>
              <w:t>n=</w:t>
            </w:r>
            <w:r w:rsidR="002A6485">
              <w:rPr>
                <w:b/>
                <w:bCs/>
                <w:sz w:val="22"/>
                <w:lang w:val="en-GB"/>
              </w:rPr>
              <w:t>203</w:t>
            </w:r>
          </w:p>
        </w:tc>
        <w:tc>
          <w:tcPr>
            <w:tcW w:w="1701" w:type="dxa"/>
            <w:shd w:val="clear" w:color="auto" w:fill="auto"/>
            <w:vAlign w:val="center"/>
          </w:tcPr>
          <w:p w14:paraId="60AD39E4" w14:textId="0E009A79" w:rsidR="001A6FB0" w:rsidRPr="00FD505F" w:rsidRDefault="001A6FB0" w:rsidP="00EB1206">
            <w:pPr>
              <w:rPr>
                <w:b/>
                <w:bCs/>
                <w:sz w:val="22"/>
                <w:lang w:val="en-GB"/>
              </w:rPr>
            </w:pPr>
            <w:r>
              <w:rPr>
                <w:b/>
                <w:bCs/>
                <w:sz w:val="22"/>
                <w:lang w:val="en-GB"/>
              </w:rPr>
              <w:t xml:space="preserve">Gazyva + </w:t>
            </w:r>
            <w:proofErr w:type="spellStart"/>
            <w:r>
              <w:rPr>
                <w:b/>
                <w:bCs/>
                <w:sz w:val="22"/>
                <w:lang w:val="en-GB"/>
              </w:rPr>
              <w:t>b</w:t>
            </w:r>
            <w:r w:rsidRPr="001C7C17">
              <w:rPr>
                <w:b/>
                <w:bCs/>
                <w:sz w:val="22"/>
                <w:lang w:val="en-GB"/>
              </w:rPr>
              <w:t>endamustine</w:t>
            </w:r>
            <w:proofErr w:type="spellEnd"/>
            <w:r w:rsidRPr="001C7C17">
              <w:rPr>
                <w:b/>
                <w:bCs/>
                <w:sz w:val="22"/>
                <w:lang w:val="en-GB"/>
              </w:rPr>
              <w:t>*</w:t>
            </w:r>
            <w:r w:rsidRPr="001C7C17">
              <w:rPr>
                <w:b/>
                <w:bCs/>
                <w:sz w:val="22"/>
                <w:lang w:val="en-GB"/>
              </w:rPr>
              <w:br/>
            </w:r>
            <w:r w:rsidRPr="001C7C17">
              <w:rPr>
                <w:b/>
                <w:sz w:val="22"/>
                <w:lang w:val="en-GB"/>
              </w:rPr>
              <w:t>n=</w:t>
            </w:r>
            <w:r w:rsidR="002A6485">
              <w:rPr>
                <w:b/>
                <w:sz w:val="22"/>
                <w:lang w:val="en-GB"/>
              </w:rPr>
              <w:t>204</w:t>
            </w:r>
          </w:p>
        </w:tc>
        <w:tc>
          <w:tcPr>
            <w:tcW w:w="1657" w:type="dxa"/>
            <w:vAlign w:val="center"/>
          </w:tcPr>
          <w:p w14:paraId="7092D277" w14:textId="77777777" w:rsidR="001A6FB0" w:rsidRPr="001C7C17" w:rsidRDefault="001A6FB0" w:rsidP="00EB1206">
            <w:pPr>
              <w:rPr>
                <w:b/>
                <w:bCs/>
                <w:sz w:val="22"/>
                <w:lang w:val="en-GB"/>
              </w:rPr>
            </w:pPr>
            <w:proofErr w:type="spellStart"/>
            <w:r>
              <w:rPr>
                <w:b/>
                <w:bCs/>
                <w:sz w:val="22"/>
                <w:lang w:val="en-GB"/>
              </w:rPr>
              <w:t>b</w:t>
            </w:r>
            <w:r w:rsidRPr="001C7C17">
              <w:rPr>
                <w:b/>
                <w:bCs/>
                <w:sz w:val="22"/>
                <w:lang w:val="en-GB"/>
              </w:rPr>
              <w:t>endamustine</w:t>
            </w:r>
            <w:proofErr w:type="spellEnd"/>
          </w:p>
          <w:p w14:paraId="4BA11BFC" w14:textId="24366B90" w:rsidR="001A6FB0" w:rsidRPr="001C7C17" w:rsidRDefault="001A6FB0" w:rsidP="00EB1206">
            <w:pPr>
              <w:rPr>
                <w:b/>
                <w:sz w:val="22"/>
                <w:lang w:val="en-GB"/>
              </w:rPr>
            </w:pPr>
            <w:r w:rsidRPr="001C7C17">
              <w:rPr>
                <w:b/>
                <w:bCs/>
                <w:sz w:val="22"/>
                <w:lang w:val="en-GB"/>
              </w:rPr>
              <w:t>n=</w:t>
            </w:r>
            <w:r w:rsidR="002A6485">
              <w:rPr>
                <w:b/>
                <w:bCs/>
                <w:sz w:val="22"/>
                <w:lang w:val="en-GB"/>
              </w:rPr>
              <w:t>203</w:t>
            </w:r>
          </w:p>
        </w:tc>
        <w:tc>
          <w:tcPr>
            <w:tcW w:w="1710" w:type="dxa"/>
            <w:shd w:val="clear" w:color="auto" w:fill="auto"/>
            <w:vAlign w:val="center"/>
          </w:tcPr>
          <w:p w14:paraId="7EBB7D04" w14:textId="1C9D1C06" w:rsidR="001A6FB0" w:rsidRPr="001C7C17" w:rsidRDefault="001A6FB0" w:rsidP="00EB1206">
            <w:pPr>
              <w:rPr>
                <w:b/>
                <w:sz w:val="22"/>
                <w:lang w:val="en-GB"/>
              </w:rPr>
            </w:pPr>
            <w:r>
              <w:rPr>
                <w:b/>
                <w:bCs/>
                <w:sz w:val="22"/>
                <w:lang w:val="en-GB"/>
              </w:rPr>
              <w:t xml:space="preserve">Gazyva + </w:t>
            </w:r>
            <w:proofErr w:type="spellStart"/>
            <w:r>
              <w:rPr>
                <w:b/>
                <w:bCs/>
                <w:sz w:val="22"/>
                <w:lang w:val="en-GB"/>
              </w:rPr>
              <w:t>b</w:t>
            </w:r>
            <w:r w:rsidRPr="001C7C17">
              <w:rPr>
                <w:b/>
                <w:bCs/>
                <w:sz w:val="22"/>
                <w:lang w:val="en-GB"/>
              </w:rPr>
              <w:t>endamustine</w:t>
            </w:r>
            <w:proofErr w:type="spellEnd"/>
            <w:r w:rsidRPr="001C7C17">
              <w:rPr>
                <w:b/>
                <w:bCs/>
                <w:sz w:val="22"/>
                <w:lang w:val="en-GB"/>
              </w:rPr>
              <w:t>*</w:t>
            </w:r>
            <w:r w:rsidRPr="001C7C17">
              <w:rPr>
                <w:b/>
                <w:bCs/>
                <w:sz w:val="22"/>
                <w:lang w:val="en-GB"/>
              </w:rPr>
              <w:br/>
            </w:r>
            <w:r w:rsidRPr="001C7C17">
              <w:rPr>
                <w:b/>
                <w:sz w:val="22"/>
                <w:lang w:val="en-GB"/>
              </w:rPr>
              <w:t>n=</w:t>
            </w:r>
            <w:r w:rsidR="002A6485">
              <w:rPr>
                <w:b/>
                <w:sz w:val="22"/>
                <w:lang w:val="en-GB"/>
              </w:rPr>
              <w:t>204</w:t>
            </w:r>
          </w:p>
        </w:tc>
      </w:tr>
      <w:tr w:rsidR="001A6FB0" w:rsidRPr="001C7C17" w14:paraId="4551444F" w14:textId="77777777" w:rsidTr="00616FE6">
        <w:trPr>
          <w:trHeight w:val="20"/>
          <w:jc w:val="center"/>
        </w:trPr>
        <w:tc>
          <w:tcPr>
            <w:tcW w:w="2661" w:type="dxa"/>
            <w:shd w:val="clear" w:color="auto" w:fill="auto"/>
          </w:tcPr>
          <w:p w14:paraId="23EE9155" w14:textId="77777777" w:rsidR="001A6FB0" w:rsidRPr="001C7C17" w:rsidRDefault="001A6FB0" w:rsidP="00EB1206">
            <w:pPr>
              <w:rPr>
                <w:b/>
                <w:sz w:val="22"/>
                <w:lang w:val="en-GB"/>
              </w:rPr>
            </w:pPr>
            <w:r w:rsidRPr="001C7C17">
              <w:rPr>
                <w:b/>
                <w:sz w:val="22"/>
                <w:lang w:val="en-GB"/>
              </w:rPr>
              <w:t>Injury, Poisoning and Procedural Complications</w:t>
            </w:r>
          </w:p>
        </w:tc>
        <w:tc>
          <w:tcPr>
            <w:tcW w:w="6627" w:type="dxa"/>
            <w:gridSpan w:val="4"/>
            <w:shd w:val="clear" w:color="auto" w:fill="auto"/>
          </w:tcPr>
          <w:p w14:paraId="124A3EA0" w14:textId="77777777" w:rsidR="001A6FB0" w:rsidRPr="001C7C17" w:rsidRDefault="001A6FB0" w:rsidP="00EB1206">
            <w:pPr>
              <w:rPr>
                <w:sz w:val="22"/>
                <w:lang w:val="en-GB"/>
              </w:rPr>
            </w:pPr>
          </w:p>
        </w:tc>
      </w:tr>
      <w:tr w:rsidR="002A6485" w:rsidRPr="001C7C17" w14:paraId="28C394BB" w14:textId="77777777" w:rsidTr="00616FE6">
        <w:trPr>
          <w:trHeight w:val="20"/>
          <w:jc w:val="center"/>
        </w:trPr>
        <w:tc>
          <w:tcPr>
            <w:tcW w:w="2661" w:type="dxa"/>
            <w:shd w:val="clear" w:color="auto" w:fill="auto"/>
          </w:tcPr>
          <w:p w14:paraId="59B66FC7" w14:textId="77777777" w:rsidR="002A6485" w:rsidRPr="001C7C17" w:rsidRDefault="002A6485" w:rsidP="00EB1206">
            <w:pPr>
              <w:rPr>
                <w:sz w:val="22"/>
                <w:lang w:val="en-GB"/>
              </w:rPr>
            </w:pPr>
            <w:r w:rsidRPr="001C7C17">
              <w:rPr>
                <w:sz w:val="22"/>
                <w:lang w:val="en-GB"/>
              </w:rPr>
              <w:t>Infusion related reactions</w:t>
            </w:r>
            <w:r w:rsidRPr="001C7C17">
              <w:rPr>
                <w:sz w:val="22"/>
                <w:vertAlign w:val="superscript"/>
                <w:lang w:val="en-GB"/>
              </w:rPr>
              <w:t>‡</w:t>
            </w:r>
          </w:p>
        </w:tc>
        <w:tc>
          <w:tcPr>
            <w:tcW w:w="1559" w:type="dxa"/>
            <w:shd w:val="clear" w:color="auto" w:fill="auto"/>
          </w:tcPr>
          <w:p w14:paraId="46EB0068" w14:textId="3AB0E9F5" w:rsidR="002A6485" w:rsidRPr="001C7C17" w:rsidRDefault="002A6485" w:rsidP="00EB1206">
            <w:pPr>
              <w:rPr>
                <w:sz w:val="22"/>
                <w:lang w:val="en-GB"/>
              </w:rPr>
            </w:pPr>
            <w:r>
              <w:rPr>
                <w:sz w:val="22"/>
                <w:lang w:val="en-GB"/>
              </w:rPr>
              <w:t>62.6</w:t>
            </w:r>
          </w:p>
        </w:tc>
        <w:tc>
          <w:tcPr>
            <w:tcW w:w="1701" w:type="dxa"/>
            <w:shd w:val="clear" w:color="auto" w:fill="auto"/>
          </w:tcPr>
          <w:p w14:paraId="407B6AD3" w14:textId="3841B249" w:rsidR="002A6485" w:rsidRPr="001C7C17" w:rsidRDefault="002A6485" w:rsidP="00EB1206">
            <w:pPr>
              <w:rPr>
                <w:sz w:val="22"/>
                <w:lang w:val="en-GB"/>
              </w:rPr>
            </w:pPr>
            <w:r>
              <w:rPr>
                <w:sz w:val="22"/>
                <w:lang w:val="en-GB"/>
              </w:rPr>
              <w:t>66.7</w:t>
            </w:r>
          </w:p>
        </w:tc>
        <w:tc>
          <w:tcPr>
            <w:tcW w:w="1657" w:type="dxa"/>
          </w:tcPr>
          <w:p w14:paraId="59BE00B6" w14:textId="2B6ACF59" w:rsidR="002A6485" w:rsidRPr="001C7C17" w:rsidRDefault="002A6485" w:rsidP="00EB1206">
            <w:pPr>
              <w:rPr>
                <w:sz w:val="22"/>
                <w:lang w:val="en-GB"/>
              </w:rPr>
            </w:pPr>
            <w:r>
              <w:rPr>
                <w:sz w:val="22"/>
                <w:lang w:val="en-GB"/>
              </w:rPr>
              <w:t>5.4</w:t>
            </w:r>
          </w:p>
        </w:tc>
        <w:tc>
          <w:tcPr>
            <w:tcW w:w="1710" w:type="dxa"/>
            <w:shd w:val="clear" w:color="auto" w:fill="auto"/>
          </w:tcPr>
          <w:p w14:paraId="692E1AB6" w14:textId="0F7153C8" w:rsidR="002A6485" w:rsidRPr="001C7C17" w:rsidRDefault="002A6485" w:rsidP="00EB1206">
            <w:pPr>
              <w:rPr>
                <w:sz w:val="22"/>
                <w:lang w:val="en-GB"/>
              </w:rPr>
            </w:pPr>
            <w:r>
              <w:rPr>
                <w:sz w:val="22"/>
                <w:lang w:val="en-GB"/>
              </w:rPr>
              <w:t>11.3</w:t>
            </w:r>
          </w:p>
        </w:tc>
      </w:tr>
      <w:tr w:rsidR="001A6FB0" w:rsidRPr="001C7C17" w14:paraId="2EFD150A" w14:textId="77777777" w:rsidTr="00616FE6">
        <w:trPr>
          <w:trHeight w:val="20"/>
          <w:jc w:val="center"/>
        </w:trPr>
        <w:tc>
          <w:tcPr>
            <w:tcW w:w="2661" w:type="dxa"/>
            <w:shd w:val="clear" w:color="auto" w:fill="auto"/>
          </w:tcPr>
          <w:p w14:paraId="722D90E3" w14:textId="77777777" w:rsidR="001A6FB0" w:rsidRPr="001C7C17" w:rsidRDefault="001A6FB0" w:rsidP="00EB1206">
            <w:pPr>
              <w:rPr>
                <w:b/>
                <w:sz w:val="22"/>
                <w:lang w:val="en-GB"/>
              </w:rPr>
            </w:pPr>
            <w:r w:rsidRPr="001C7C17">
              <w:rPr>
                <w:b/>
                <w:sz w:val="22"/>
                <w:lang w:val="en-GB"/>
              </w:rPr>
              <w:t>Blood and Lymphatic System Disorders</w:t>
            </w:r>
          </w:p>
        </w:tc>
        <w:tc>
          <w:tcPr>
            <w:tcW w:w="6627" w:type="dxa"/>
            <w:gridSpan w:val="4"/>
            <w:shd w:val="clear" w:color="auto" w:fill="auto"/>
          </w:tcPr>
          <w:p w14:paraId="591C5531" w14:textId="77777777" w:rsidR="001A6FB0" w:rsidRPr="001C7C17" w:rsidRDefault="001A6FB0" w:rsidP="00EB1206">
            <w:pPr>
              <w:rPr>
                <w:sz w:val="22"/>
                <w:lang w:val="en-GB"/>
              </w:rPr>
            </w:pPr>
          </w:p>
        </w:tc>
      </w:tr>
      <w:tr w:rsidR="002A6485" w:rsidRPr="001C7C17" w14:paraId="237DFF14" w14:textId="77777777" w:rsidTr="00616FE6">
        <w:trPr>
          <w:trHeight w:val="20"/>
          <w:jc w:val="center"/>
        </w:trPr>
        <w:tc>
          <w:tcPr>
            <w:tcW w:w="2661" w:type="dxa"/>
            <w:shd w:val="clear" w:color="auto" w:fill="auto"/>
          </w:tcPr>
          <w:p w14:paraId="3E1CEB1D" w14:textId="77777777" w:rsidR="002A6485" w:rsidRPr="001C7C17" w:rsidRDefault="002A6485" w:rsidP="00EB1206">
            <w:pPr>
              <w:rPr>
                <w:sz w:val="22"/>
                <w:lang w:val="en-GB"/>
              </w:rPr>
            </w:pPr>
            <w:r w:rsidRPr="001C7C17">
              <w:rPr>
                <w:sz w:val="22"/>
                <w:lang w:val="en-GB"/>
              </w:rPr>
              <w:t>Neutropenia</w:t>
            </w:r>
          </w:p>
        </w:tc>
        <w:tc>
          <w:tcPr>
            <w:tcW w:w="1559" w:type="dxa"/>
            <w:shd w:val="clear" w:color="auto" w:fill="auto"/>
          </w:tcPr>
          <w:p w14:paraId="76748023" w14:textId="0BE8131D" w:rsidR="002A6485" w:rsidRPr="001C7C17" w:rsidRDefault="002A6485" w:rsidP="00EB1206">
            <w:pPr>
              <w:rPr>
                <w:sz w:val="22"/>
                <w:lang w:val="en-GB"/>
              </w:rPr>
            </w:pPr>
            <w:r>
              <w:rPr>
                <w:sz w:val="22"/>
                <w:lang w:val="en-GB"/>
              </w:rPr>
              <w:t>29.6</w:t>
            </w:r>
          </w:p>
        </w:tc>
        <w:tc>
          <w:tcPr>
            <w:tcW w:w="1701" w:type="dxa"/>
            <w:shd w:val="clear" w:color="auto" w:fill="auto"/>
          </w:tcPr>
          <w:p w14:paraId="6E64BF4A" w14:textId="3E277311" w:rsidR="002A6485" w:rsidRPr="001C7C17" w:rsidRDefault="002A6485" w:rsidP="00EB1206">
            <w:pPr>
              <w:rPr>
                <w:sz w:val="22"/>
                <w:lang w:val="en-GB"/>
              </w:rPr>
            </w:pPr>
            <w:r>
              <w:rPr>
                <w:sz w:val="22"/>
                <w:lang w:val="en-GB"/>
              </w:rPr>
              <w:t>37.3</w:t>
            </w:r>
          </w:p>
        </w:tc>
        <w:tc>
          <w:tcPr>
            <w:tcW w:w="1657" w:type="dxa"/>
          </w:tcPr>
          <w:p w14:paraId="2A0B6E66" w14:textId="6214C8D9" w:rsidR="002A6485" w:rsidRPr="001C7C17" w:rsidRDefault="002A6485" w:rsidP="00EB1206">
            <w:pPr>
              <w:rPr>
                <w:sz w:val="22"/>
                <w:lang w:val="en-GB"/>
              </w:rPr>
            </w:pPr>
            <w:r>
              <w:rPr>
                <w:sz w:val="22"/>
                <w:lang w:val="en-GB"/>
              </w:rPr>
              <w:t>27.1</w:t>
            </w:r>
          </w:p>
        </w:tc>
        <w:tc>
          <w:tcPr>
            <w:tcW w:w="1710" w:type="dxa"/>
            <w:shd w:val="clear" w:color="auto" w:fill="auto"/>
          </w:tcPr>
          <w:p w14:paraId="139703EB" w14:textId="35CF029E" w:rsidR="002A6485" w:rsidRPr="001C7C17" w:rsidRDefault="002A6485" w:rsidP="00EB1206">
            <w:pPr>
              <w:rPr>
                <w:sz w:val="22"/>
                <w:lang w:val="en-GB"/>
              </w:rPr>
            </w:pPr>
            <w:r>
              <w:rPr>
                <w:sz w:val="22"/>
                <w:lang w:val="en-GB"/>
              </w:rPr>
              <w:t>34.8</w:t>
            </w:r>
          </w:p>
        </w:tc>
      </w:tr>
      <w:tr w:rsidR="00E11CE3" w:rsidRPr="001C7C17" w14:paraId="0CE3128E" w14:textId="77777777" w:rsidTr="00616FE6">
        <w:trPr>
          <w:trHeight w:val="20"/>
          <w:jc w:val="center"/>
        </w:trPr>
        <w:tc>
          <w:tcPr>
            <w:tcW w:w="2661" w:type="dxa"/>
            <w:shd w:val="clear" w:color="auto" w:fill="auto"/>
          </w:tcPr>
          <w:p w14:paraId="3347E0EC" w14:textId="2E11E6A1" w:rsidR="00E11CE3" w:rsidRPr="001C7C17" w:rsidRDefault="00E11CE3" w:rsidP="00EB1206">
            <w:pPr>
              <w:rPr>
                <w:sz w:val="22"/>
                <w:lang w:val="en-GB"/>
              </w:rPr>
            </w:pPr>
            <w:r>
              <w:rPr>
                <w:sz w:val="22"/>
                <w:lang w:val="en-GB"/>
              </w:rPr>
              <w:t>Febrile Neutropenia</w:t>
            </w:r>
          </w:p>
        </w:tc>
        <w:tc>
          <w:tcPr>
            <w:tcW w:w="1559" w:type="dxa"/>
            <w:shd w:val="clear" w:color="auto" w:fill="auto"/>
          </w:tcPr>
          <w:p w14:paraId="678C9E3D" w14:textId="4D4D373A" w:rsidR="00E11CE3" w:rsidRDefault="00E11CE3" w:rsidP="00EB1206">
            <w:pPr>
              <w:rPr>
                <w:sz w:val="22"/>
                <w:lang w:val="en-GB"/>
              </w:rPr>
            </w:pPr>
            <w:r>
              <w:rPr>
                <w:sz w:val="22"/>
                <w:lang w:val="en-GB"/>
              </w:rPr>
              <w:t>3.4</w:t>
            </w:r>
          </w:p>
        </w:tc>
        <w:tc>
          <w:tcPr>
            <w:tcW w:w="1701" w:type="dxa"/>
            <w:shd w:val="clear" w:color="auto" w:fill="auto"/>
          </w:tcPr>
          <w:p w14:paraId="189F8891" w14:textId="05ADA6D5" w:rsidR="00E11CE3" w:rsidRDefault="00E11CE3" w:rsidP="00EB1206">
            <w:pPr>
              <w:rPr>
                <w:sz w:val="22"/>
                <w:lang w:val="en-GB"/>
              </w:rPr>
            </w:pPr>
            <w:r>
              <w:rPr>
                <w:sz w:val="22"/>
                <w:lang w:val="en-GB"/>
              </w:rPr>
              <w:t>6.4</w:t>
            </w:r>
          </w:p>
        </w:tc>
        <w:tc>
          <w:tcPr>
            <w:tcW w:w="1657" w:type="dxa"/>
          </w:tcPr>
          <w:p w14:paraId="3B46E690" w14:textId="4A6B7079" w:rsidR="00E11CE3" w:rsidRDefault="00E11CE3" w:rsidP="00EB1206">
            <w:pPr>
              <w:rPr>
                <w:sz w:val="22"/>
                <w:lang w:val="en-GB"/>
              </w:rPr>
            </w:pPr>
            <w:r>
              <w:rPr>
                <w:sz w:val="22"/>
                <w:lang w:val="en-GB"/>
              </w:rPr>
              <w:t>3.4</w:t>
            </w:r>
          </w:p>
        </w:tc>
        <w:tc>
          <w:tcPr>
            <w:tcW w:w="1710" w:type="dxa"/>
            <w:shd w:val="clear" w:color="auto" w:fill="auto"/>
          </w:tcPr>
          <w:p w14:paraId="2A07EB85" w14:textId="54640D29" w:rsidR="00E11CE3" w:rsidRDefault="00E11CE3" w:rsidP="00EB1206">
            <w:pPr>
              <w:rPr>
                <w:sz w:val="22"/>
                <w:lang w:val="en-GB"/>
              </w:rPr>
            </w:pPr>
            <w:r>
              <w:rPr>
                <w:sz w:val="22"/>
                <w:lang w:val="en-GB"/>
              </w:rPr>
              <w:t>5.9</w:t>
            </w:r>
          </w:p>
        </w:tc>
      </w:tr>
      <w:tr w:rsidR="001A6FB0" w:rsidRPr="001C7C17" w14:paraId="309978D5"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4F33EEEA" w14:textId="77777777" w:rsidR="001A6FB0" w:rsidRPr="001C7C17" w:rsidRDefault="001A6FB0" w:rsidP="00EB1206">
            <w:pPr>
              <w:rPr>
                <w:b/>
                <w:sz w:val="22"/>
                <w:lang w:val="en-GB"/>
              </w:rPr>
            </w:pPr>
            <w:r w:rsidRPr="001C7C17">
              <w:rPr>
                <w:b/>
                <w:sz w:val="22"/>
                <w:lang w:val="en-GB"/>
              </w:rPr>
              <w:t>Gastrointestinal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16615F80" w14:textId="77777777" w:rsidR="001A6FB0" w:rsidRPr="001C7C17" w:rsidRDefault="001A6FB0" w:rsidP="00EB1206">
            <w:pPr>
              <w:rPr>
                <w:sz w:val="22"/>
                <w:lang w:val="en-GB"/>
              </w:rPr>
            </w:pPr>
          </w:p>
        </w:tc>
      </w:tr>
      <w:tr w:rsidR="002A6485" w:rsidRPr="001C7C17" w14:paraId="2335EDAB"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ABD5A39" w14:textId="77777777" w:rsidR="002A6485" w:rsidRPr="001C7C17" w:rsidRDefault="002A6485" w:rsidP="00EB1206">
            <w:pPr>
              <w:rPr>
                <w:sz w:val="22"/>
                <w:lang w:val="en-GB"/>
              </w:rPr>
            </w:pPr>
            <w:r w:rsidRPr="001C7C17">
              <w:rPr>
                <w:sz w:val="22"/>
                <w:lang w:val="en-GB"/>
              </w:rPr>
              <w:t>Constipation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3B0431" w14:textId="49B7421B" w:rsidR="002A6485" w:rsidRPr="001C7C17" w:rsidRDefault="002A6485" w:rsidP="00EB1206">
            <w:pPr>
              <w:rPr>
                <w:sz w:val="22"/>
                <w:lang w:val="en-GB"/>
              </w:rPr>
            </w:pPr>
            <w:r>
              <w:rPr>
                <w:sz w:val="22"/>
                <w:lang w:val="en-GB"/>
              </w:rPr>
              <w:t>16.3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1C8A36" w14:textId="0879C45F" w:rsidR="002A6485" w:rsidRPr="001C7C17" w:rsidRDefault="002A6485" w:rsidP="00EB1206">
            <w:pPr>
              <w:rPr>
                <w:sz w:val="22"/>
                <w:lang w:val="en-GB"/>
              </w:rPr>
            </w:pPr>
            <w:r>
              <w:rPr>
                <w:sz w:val="22"/>
                <w:lang w:val="en-GB"/>
              </w:rPr>
              <w:t>18.1</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DEF4595"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F4D4AA9" w14:textId="77777777" w:rsidR="002A6485" w:rsidRPr="001C7C17" w:rsidRDefault="002A6485" w:rsidP="00EB1206">
            <w:pPr>
              <w:rPr>
                <w:sz w:val="22"/>
                <w:lang w:val="en-GB"/>
              </w:rPr>
            </w:pPr>
            <w:r w:rsidRPr="001C7C17">
              <w:rPr>
                <w:sz w:val="22"/>
                <w:lang w:val="en-GB"/>
              </w:rPr>
              <w:t>0</w:t>
            </w:r>
          </w:p>
        </w:tc>
      </w:tr>
      <w:tr w:rsidR="002A6485" w:rsidRPr="001C7C17" w14:paraId="5E56FFE8"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66EB7C68" w14:textId="77777777" w:rsidR="002A6485" w:rsidRPr="001C7C17" w:rsidRDefault="002A6485" w:rsidP="00EB1206">
            <w:pPr>
              <w:rPr>
                <w:sz w:val="22"/>
                <w:lang w:val="en-GB"/>
              </w:rPr>
            </w:pPr>
            <w:r w:rsidRPr="001C7C17">
              <w:rPr>
                <w:sz w:val="22"/>
                <w:lang w:val="en-GB"/>
              </w:rPr>
              <w:t>Dyspepsia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107FF7" w14:textId="0F5FECC9" w:rsidR="002A6485" w:rsidRPr="001C7C17" w:rsidRDefault="002A6485" w:rsidP="00EB1206">
            <w:pPr>
              <w:rPr>
                <w:sz w:val="22"/>
                <w:lang w:val="en-GB"/>
              </w:rPr>
            </w:pPr>
            <w:r>
              <w:rPr>
                <w:sz w:val="22"/>
                <w:lang w:val="en-GB"/>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0A0CEE" w14:textId="051D069E" w:rsidR="002A6485" w:rsidRPr="001C7C17" w:rsidRDefault="002A6485" w:rsidP="00EB1206">
            <w:pPr>
              <w:rPr>
                <w:sz w:val="22"/>
                <w:lang w:val="en-GB"/>
              </w:rPr>
            </w:pPr>
            <w:r>
              <w:rPr>
                <w:sz w:val="22"/>
                <w:lang w:val="en-GB"/>
              </w:rPr>
              <w:t>5.4</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2B9EFD60"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D6B0978" w14:textId="77777777" w:rsidR="002A6485" w:rsidRPr="001C7C17" w:rsidRDefault="002A6485" w:rsidP="00EB1206">
            <w:pPr>
              <w:rPr>
                <w:sz w:val="22"/>
                <w:lang w:val="en-GB"/>
              </w:rPr>
            </w:pPr>
            <w:r w:rsidRPr="001C7C17">
              <w:rPr>
                <w:sz w:val="22"/>
                <w:lang w:val="en-GB"/>
              </w:rPr>
              <w:t>0</w:t>
            </w:r>
          </w:p>
        </w:tc>
      </w:tr>
      <w:tr w:rsidR="001A6FB0" w:rsidRPr="001C7C17" w14:paraId="2B0BF1D5"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2B107ABC" w14:textId="77777777" w:rsidR="001A6FB0" w:rsidRPr="001C7C17" w:rsidRDefault="001A6FB0" w:rsidP="00EB1206">
            <w:pPr>
              <w:rPr>
                <w:sz w:val="22"/>
                <w:lang w:val="en-GB"/>
              </w:rPr>
            </w:pPr>
            <w:r w:rsidRPr="001C7C17">
              <w:rPr>
                <w:sz w:val="22"/>
                <w:lang w:val="en-GB"/>
              </w:rPr>
              <w:lastRenderedPageBreak/>
              <w:t>Haemorrhoids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4147CD" w14:textId="77777777" w:rsidR="001A6FB0" w:rsidRPr="001C7C17" w:rsidRDefault="001A6FB0" w:rsidP="00EB1206">
            <w:pPr>
              <w:rPr>
                <w:sz w:val="22"/>
                <w:lang w:val="en-GB"/>
              </w:rPr>
            </w:pPr>
            <w:r w:rsidRPr="001C7C17">
              <w:rPr>
                <w:sz w:val="22"/>
                <w:lang w:val="en-GB"/>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6C6495" w14:textId="5171C82C" w:rsidR="001A6FB0" w:rsidRPr="001C7C17" w:rsidRDefault="002A6485" w:rsidP="00EB1206">
            <w:pPr>
              <w:rPr>
                <w:sz w:val="22"/>
                <w:lang w:val="en-GB"/>
              </w:rPr>
            </w:pPr>
            <w:r>
              <w:rPr>
                <w:sz w:val="22"/>
                <w:lang w:val="en-GB"/>
              </w:rPr>
              <w:t>2.5</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25B6B31" w14:textId="77777777" w:rsidR="001A6FB0" w:rsidRPr="001C7C17" w:rsidRDefault="001A6FB0"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2C0014" w14:textId="77777777" w:rsidR="001A6FB0" w:rsidRPr="001C7C17" w:rsidRDefault="001A6FB0" w:rsidP="00EB1206">
            <w:pPr>
              <w:rPr>
                <w:sz w:val="22"/>
                <w:lang w:val="en-GB"/>
              </w:rPr>
            </w:pPr>
            <w:r w:rsidRPr="001C7C17">
              <w:rPr>
                <w:sz w:val="22"/>
                <w:lang w:val="en-GB"/>
              </w:rPr>
              <w:t>0</w:t>
            </w:r>
          </w:p>
        </w:tc>
      </w:tr>
      <w:tr w:rsidR="001A6FB0" w:rsidRPr="001C7C17" w14:paraId="64A5F40A"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44947CF" w14:textId="77777777" w:rsidR="001A6FB0" w:rsidRPr="001C7C17" w:rsidRDefault="001A6FB0" w:rsidP="00EB1206">
            <w:pPr>
              <w:rPr>
                <w:b/>
                <w:sz w:val="22"/>
                <w:lang w:val="en-GB"/>
              </w:rPr>
            </w:pPr>
            <w:r w:rsidRPr="001C7C17">
              <w:rPr>
                <w:b/>
                <w:sz w:val="22"/>
                <w:lang w:val="en-GB"/>
              </w:rPr>
              <w:t xml:space="preserve">General Disorders </w:t>
            </w:r>
            <w:proofErr w:type="gramStart"/>
            <w:r w:rsidRPr="001C7C17">
              <w:rPr>
                <w:b/>
                <w:sz w:val="22"/>
                <w:lang w:val="en-GB"/>
              </w:rPr>
              <w:t>And</w:t>
            </w:r>
            <w:proofErr w:type="gramEnd"/>
            <w:r w:rsidRPr="001C7C17">
              <w:rPr>
                <w:b/>
                <w:sz w:val="22"/>
                <w:lang w:val="en-GB"/>
              </w:rPr>
              <w:t xml:space="preserve"> Administration Site Conditions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0A5471FF" w14:textId="77777777" w:rsidR="001A6FB0" w:rsidRPr="001C7C17" w:rsidRDefault="001A6FB0" w:rsidP="00EB1206">
            <w:pPr>
              <w:rPr>
                <w:sz w:val="22"/>
                <w:lang w:val="en-GB"/>
              </w:rPr>
            </w:pPr>
          </w:p>
        </w:tc>
      </w:tr>
      <w:tr w:rsidR="00E11CE3" w:rsidRPr="001C7C17" w14:paraId="3026E487"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444FC17A" w14:textId="5F16E0F1" w:rsidR="00E11CE3" w:rsidRPr="001C7C17" w:rsidRDefault="00E11CE3" w:rsidP="00EB1206">
            <w:pPr>
              <w:rPr>
                <w:sz w:val="22"/>
                <w:lang w:val="en-GB"/>
              </w:rPr>
            </w:pPr>
            <w:r>
              <w:rPr>
                <w:sz w:val="22"/>
                <w:lang w:val="en-GB"/>
              </w:rPr>
              <w:t>Fatigue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E441B" w14:textId="6A448824" w:rsidR="00E11CE3" w:rsidRDefault="00E11CE3" w:rsidP="00EB1206">
            <w:pPr>
              <w:rPr>
                <w:sz w:val="22"/>
                <w:lang w:val="en-GB"/>
              </w:rPr>
            </w:pPr>
            <w:r>
              <w:rPr>
                <w:sz w:val="22"/>
                <w:lang w:val="en-GB"/>
              </w:rPr>
              <w:t>27.6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479109" w14:textId="5854E13C" w:rsidR="00E11CE3" w:rsidRDefault="00E11CE3" w:rsidP="00EB1206">
            <w:pPr>
              <w:rPr>
                <w:sz w:val="22"/>
                <w:lang w:val="en-GB"/>
              </w:rPr>
            </w:pPr>
            <w:r>
              <w:rPr>
                <w:sz w:val="22"/>
                <w:lang w:val="en-GB"/>
              </w:rPr>
              <w:t>30.9</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C93B5DA" w14:textId="104258C2" w:rsidR="00E11CE3" w:rsidRPr="001C7C17" w:rsidRDefault="00E11CE3" w:rsidP="00EB1206">
            <w:pPr>
              <w:rPr>
                <w:sz w:val="22"/>
                <w:lang w:val="en-GB"/>
              </w:rPr>
            </w:pPr>
            <w:r>
              <w:rPr>
                <w:sz w:val="22"/>
                <w:lang w:val="en-GB"/>
              </w:rPr>
              <w:t>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9B42CC9" w14:textId="38FB8AF4" w:rsidR="00E11CE3" w:rsidRPr="001C7C17" w:rsidRDefault="00E11CE3" w:rsidP="00EB1206">
            <w:pPr>
              <w:rPr>
                <w:sz w:val="22"/>
                <w:lang w:val="en-GB"/>
              </w:rPr>
            </w:pPr>
            <w:r>
              <w:rPr>
                <w:sz w:val="22"/>
                <w:lang w:val="en-GB"/>
              </w:rPr>
              <w:t>2.5</w:t>
            </w:r>
          </w:p>
        </w:tc>
      </w:tr>
      <w:tr w:rsidR="002A6485" w:rsidRPr="001C7C17" w14:paraId="2093B37D"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4D900A82" w14:textId="77777777" w:rsidR="002A6485" w:rsidRPr="001C7C17" w:rsidRDefault="002A6485" w:rsidP="00EB1206">
            <w:pPr>
              <w:rPr>
                <w:sz w:val="22"/>
                <w:lang w:val="en-GB"/>
              </w:rPr>
            </w:pPr>
            <w:r w:rsidRPr="001C7C17">
              <w:rPr>
                <w:sz w:val="22"/>
                <w:lang w:val="en-GB"/>
              </w:rPr>
              <w:t>Pyrexia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F00621" w14:textId="26544EF4" w:rsidR="002A6485" w:rsidRPr="001C7C17" w:rsidRDefault="002A6485" w:rsidP="00EB1206">
            <w:pPr>
              <w:rPr>
                <w:sz w:val="22"/>
                <w:lang w:val="en-GB"/>
              </w:rPr>
            </w:pPr>
            <w:r>
              <w:rPr>
                <w:sz w:val="22"/>
                <w:lang w:val="en-GB"/>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27DEDA" w14:textId="3AA13EAC" w:rsidR="002A6485" w:rsidRPr="001C7C17" w:rsidRDefault="002A6485" w:rsidP="00EB1206">
            <w:pPr>
              <w:rPr>
                <w:sz w:val="22"/>
                <w:lang w:val="en-GB"/>
              </w:rPr>
            </w:pPr>
            <w:r>
              <w:rPr>
                <w:sz w:val="22"/>
                <w:lang w:val="en-GB"/>
              </w:rPr>
              <w:t>19.1</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2C9D3A3F"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D04FD7" w14:textId="77777777" w:rsidR="002A6485" w:rsidRPr="001C7C17" w:rsidRDefault="002A6485" w:rsidP="00EB1206">
            <w:pPr>
              <w:rPr>
                <w:sz w:val="22"/>
                <w:lang w:val="en-GB"/>
              </w:rPr>
            </w:pPr>
            <w:r w:rsidRPr="001C7C17">
              <w:rPr>
                <w:sz w:val="22"/>
                <w:lang w:val="en-GB"/>
              </w:rPr>
              <w:t>1.0</w:t>
            </w:r>
          </w:p>
        </w:tc>
      </w:tr>
      <w:tr w:rsidR="002A6485" w:rsidRPr="001C7C17" w14:paraId="0E1CFFF8"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D5987B8" w14:textId="77777777" w:rsidR="002A6485" w:rsidRPr="001C7C17" w:rsidRDefault="002A6485" w:rsidP="00EB1206">
            <w:pPr>
              <w:rPr>
                <w:sz w:val="22"/>
                <w:lang w:val="en-GB"/>
              </w:rPr>
            </w:pPr>
            <w:r w:rsidRPr="001C7C17">
              <w:rPr>
                <w:sz w:val="22"/>
                <w:lang w:val="en-GB"/>
              </w:rPr>
              <w:t>Asthenia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B8785B" w14:textId="2B1392EF" w:rsidR="002A6485" w:rsidRPr="001C7C17" w:rsidRDefault="002A6485" w:rsidP="00EB1206">
            <w:pPr>
              <w:rPr>
                <w:sz w:val="22"/>
                <w:lang w:val="en-GB"/>
              </w:rPr>
            </w:pPr>
            <w:r>
              <w:rPr>
                <w:sz w:val="22"/>
                <w:lang w:val="en-GB"/>
              </w:rPr>
              <w:t>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E2516" w14:textId="35BDFB96" w:rsidR="002A6485" w:rsidRPr="001C7C17" w:rsidRDefault="002A6485" w:rsidP="00EB1206">
            <w:pPr>
              <w:rPr>
                <w:sz w:val="22"/>
                <w:lang w:val="en-GB"/>
              </w:rPr>
            </w:pPr>
            <w:r>
              <w:rPr>
                <w:sz w:val="22"/>
                <w:lang w:val="en-GB"/>
              </w:rPr>
              <w:t>11.8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C11714A"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4341BD7" w14:textId="77777777" w:rsidR="002A6485" w:rsidRPr="001C7C17" w:rsidRDefault="002A6485" w:rsidP="00EB1206">
            <w:pPr>
              <w:rPr>
                <w:sz w:val="22"/>
                <w:lang w:val="en-GB"/>
              </w:rPr>
            </w:pPr>
            <w:r w:rsidRPr="001C7C17">
              <w:rPr>
                <w:sz w:val="22"/>
                <w:lang w:val="en-GB"/>
              </w:rPr>
              <w:t>1.0</w:t>
            </w:r>
          </w:p>
        </w:tc>
      </w:tr>
      <w:tr w:rsidR="002A6485" w:rsidRPr="001C7C17" w14:paraId="0D18A2BC"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9948020" w14:textId="77777777" w:rsidR="002A6485" w:rsidRPr="001C7C17" w:rsidRDefault="002A6485" w:rsidP="00EB1206">
            <w:pPr>
              <w:rPr>
                <w:sz w:val="22"/>
                <w:lang w:val="en-GB"/>
              </w:rPr>
            </w:pPr>
            <w:r w:rsidRPr="001C7C17">
              <w:rPr>
                <w:sz w:val="22"/>
                <w:lang w:val="en-GB"/>
              </w:rPr>
              <w:t>Chest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03F37D" w14:textId="61E43533" w:rsidR="002A6485" w:rsidRPr="001C7C17" w:rsidRDefault="002A6485" w:rsidP="00EB1206">
            <w:pPr>
              <w:rPr>
                <w:sz w:val="22"/>
                <w:lang w:val="en-GB"/>
              </w:rPr>
            </w:pPr>
            <w:r>
              <w:rPr>
                <w:sz w:val="22"/>
                <w:lang w:val="en-GB"/>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A0CE2A" w14:textId="4E02EC8C" w:rsidR="002A6485" w:rsidRPr="001C7C17" w:rsidRDefault="002A6485" w:rsidP="00EB1206">
            <w:pPr>
              <w:rPr>
                <w:sz w:val="22"/>
                <w:lang w:val="en-GB"/>
              </w:rPr>
            </w:pPr>
            <w:r>
              <w:rPr>
                <w:sz w:val="22"/>
                <w:lang w:val="en-GB"/>
              </w:rPr>
              <w:t>5.4</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4711ED3C" w14:textId="77777777" w:rsidR="002A6485" w:rsidRPr="001C7C17" w:rsidRDefault="002A6485" w:rsidP="00EB1206">
            <w:pPr>
              <w:rPr>
                <w:sz w:val="22"/>
                <w:lang w:val="en-GB"/>
              </w:rPr>
            </w:pPr>
            <w:r w:rsidRPr="001C7C17">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5C6F7AF" w14:textId="77777777" w:rsidR="002A6485" w:rsidRPr="001C7C17" w:rsidRDefault="002A6485" w:rsidP="00EB1206">
            <w:pPr>
              <w:rPr>
                <w:sz w:val="22"/>
                <w:lang w:val="en-GB"/>
              </w:rPr>
            </w:pPr>
            <w:r w:rsidRPr="001C7C17">
              <w:rPr>
                <w:sz w:val="22"/>
                <w:lang w:val="en-GB"/>
              </w:rPr>
              <w:t>0</w:t>
            </w:r>
          </w:p>
        </w:tc>
      </w:tr>
      <w:tr w:rsidR="001A6FB0" w:rsidRPr="001C7C17" w14:paraId="0F7F6D76"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527B595" w14:textId="77777777" w:rsidR="001A6FB0" w:rsidRPr="001C7C17" w:rsidRDefault="001A6FB0" w:rsidP="00EB1206">
            <w:pPr>
              <w:rPr>
                <w:b/>
                <w:sz w:val="22"/>
                <w:lang w:val="en-GB"/>
              </w:rPr>
            </w:pPr>
            <w:r w:rsidRPr="001C7C17">
              <w:rPr>
                <w:b/>
                <w:sz w:val="22"/>
                <w:lang w:val="en-GB"/>
              </w:rPr>
              <w:t>Infections And Infestations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5F6DB9D8" w14:textId="77777777" w:rsidR="001A6FB0" w:rsidRPr="001C7C17" w:rsidRDefault="001A6FB0" w:rsidP="00EB1206">
            <w:pPr>
              <w:rPr>
                <w:sz w:val="22"/>
                <w:lang w:val="en-GB"/>
              </w:rPr>
            </w:pPr>
          </w:p>
        </w:tc>
      </w:tr>
      <w:tr w:rsidR="002A6485" w:rsidRPr="001C7C17" w14:paraId="6C496544"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2697011D" w14:textId="77777777" w:rsidR="002A6485" w:rsidRPr="001C7C17" w:rsidRDefault="002A6485" w:rsidP="00EB1206">
            <w:pPr>
              <w:rPr>
                <w:sz w:val="22"/>
                <w:lang w:val="en-GB"/>
              </w:rPr>
            </w:pPr>
            <w:r w:rsidRPr="001C7C17">
              <w:rPr>
                <w:sz w:val="22"/>
                <w:lang w:val="en-GB"/>
              </w:rPr>
              <w:t>Upper Respiratory Tract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1286B0" w14:textId="11EB1B02" w:rsidR="002A6485" w:rsidRPr="001C7C17" w:rsidRDefault="002A6485" w:rsidP="00EB1206">
            <w:pPr>
              <w:rPr>
                <w:sz w:val="22"/>
                <w:lang w:val="en-GB"/>
              </w:rPr>
            </w:pPr>
            <w:r>
              <w:rPr>
                <w:sz w:val="22"/>
                <w:lang w:val="en-GB"/>
              </w:rPr>
              <w:t>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5B68D" w14:textId="0E5E7FE0" w:rsidR="002A6485" w:rsidRPr="001C7C17" w:rsidRDefault="002A6485" w:rsidP="00EB1206">
            <w:pPr>
              <w:rPr>
                <w:sz w:val="22"/>
                <w:lang w:val="en-GB"/>
              </w:rPr>
            </w:pPr>
            <w:r>
              <w:rPr>
                <w:sz w:val="22"/>
                <w:lang w:val="en-GB"/>
              </w:rPr>
              <w:t>13.7</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2F903EE" w14:textId="77777777" w:rsidR="002A6485" w:rsidRPr="001C7C17" w:rsidRDefault="002A6485" w:rsidP="00EB1206">
            <w:pPr>
              <w:rPr>
                <w:sz w:val="22"/>
                <w:lang w:val="en-GB"/>
              </w:rPr>
            </w:pPr>
            <w:r w:rsidRPr="001C7C17">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618B0F5" w14:textId="134FC40F" w:rsidR="002A6485" w:rsidRPr="001C7C17" w:rsidRDefault="002A6485" w:rsidP="00EB1206">
            <w:pPr>
              <w:rPr>
                <w:sz w:val="22"/>
                <w:lang w:val="en-GB"/>
              </w:rPr>
            </w:pPr>
            <w:r>
              <w:rPr>
                <w:sz w:val="22"/>
                <w:lang w:val="en-GB"/>
              </w:rPr>
              <w:t>2.0</w:t>
            </w:r>
          </w:p>
        </w:tc>
      </w:tr>
      <w:tr w:rsidR="002A6485" w:rsidRPr="001C7C17" w14:paraId="03E546E5"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6BEDFBB" w14:textId="77777777" w:rsidR="002A6485" w:rsidRPr="001C7C17" w:rsidRDefault="002A6485" w:rsidP="00EB1206">
            <w:pPr>
              <w:rPr>
                <w:sz w:val="22"/>
                <w:lang w:val="en-GB"/>
              </w:rPr>
            </w:pPr>
            <w:r w:rsidRPr="001C7C17">
              <w:rPr>
                <w:sz w:val="22"/>
                <w:lang w:val="en-GB"/>
              </w:rPr>
              <w:t>Sinusitis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99F6DA" w14:textId="734D995B" w:rsidR="002A6485" w:rsidRPr="001C7C17" w:rsidRDefault="002A6485" w:rsidP="00EB1206">
            <w:pPr>
              <w:rPr>
                <w:sz w:val="22"/>
                <w:lang w:val="en-GB"/>
              </w:rPr>
            </w:pPr>
            <w:r>
              <w:rPr>
                <w:sz w:val="22"/>
                <w:lang w:val="en-GB"/>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9FF4F0" w14:textId="34E206A4" w:rsidR="002A6485" w:rsidRPr="001C7C17" w:rsidRDefault="002A6485" w:rsidP="00EB1206">
            <w:pPr>
              <w:rPr>
                <w:sz w:val="22"/>
                <w:lang w:val="en-GB"/>
              </w:rPr>
            </w:pPr>
            <w:r>
              <w:rPr>
                <w:sz w:val="22"/>
                <w:lang w:val="en-GB"/>
              </w:rPr>
              <w:t>12.3</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784A32F" w14:textId="22B87DBB" w:rsidR="002A6485" w:rsidRPr="001C7C17" w:rsidRDefault="002A6485" w:rsidP="00EB1206">
            <w:pPr>
              <w:rPr>
                <w:sz w:val="22"/>
                <w:lang w:val="en-GB"/>
              </w:rPr>
            </w:pPr>
            <w:r>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6750F9F" w14:textId="77777777" w:rsidR="002A6485" w:rsidRPr="001C7C17" w:rsidRDefault="002A6485" w:rsidP="00EB1206">
            <w:pPr>
              <w:rPr>
                <w:sz w:val="22"/>
                <w:lang w:val="en-GB"/>
              </w:rPr>
            </w:pPr>
            <w:r w:rsidRPr="001C7C17">
              <w:rPr>
                <w:sz w:val="22"/>
                <w:lang w:val="en-GB"/>
              </w:rPr>
              <w:t>1.0</w:t>
            </w:r>
          </w:p>
        </w:tc>
      </w:tr>
      <w:tr w:rsidR="002A6485" w:rsidRPr="001C7C17" w14:paraId="20A5181C"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DDD63AF" w14:textId="77777777" w:rsidR="002A6485" w:rsidRPr="001C7C17" w:rsidRDefault="002A6485" w:rsidP="00EB1206">
            <w:pPr>
              <w:rPr>
                <w:sz w:val="22"/>
                <w:lang w:val="en-GB"/>
              </w:rPr>
            </w:pPr>
            <w:r w:rsidRPr="001C7C17">
              <w:rPr>
                <w:sz w:val="22"/>
                <w:lang w:val="en-GB"/>
              </w:rPr>
              <w:t>Urinary Tract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45F5AA" w14:textId="445CBCBE" w:rsidR="002A6485" w:rsidRPr="001C7C17" w:rsidRDefault="002A6485" w:rsidP="00EB1206">
            <w:pPr>
              <w:rPr>
                <w:sz w:val="22"/>
                <w:lang w:val="en-GB"/>
              </w:rPr>
            </w:pPr>
            <w:r>
              <w:rPr>
                <w:sz w:val="22"/>
                <w:lang w:val="en-GB"/>
              </w:rPr>
              <w:t>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E1A00" w14:textId="6F9C4F76" w:rsidR="002A6485" w:rsidRPr="001C7C17" w:rsidRDefault="002A6485" w:rsidP="00EB1206">
            <w:pPr>
              <w:rPr>
                <w:sz w:val="22"/>
                <w:lang w:val="en-GB"/>
              </w:rPr>
            </w:pPr>
            <w:r>
              <w:rPr>
                <w:sz w:val="22"/>
                <w:lang w:val="en-GB"/>
              </w:rPr>
              <w:t>11.8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0686864"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79830C" w14:textId="45CA1702" w:rsidR="002A6485" w:rsidRPr="001C7C17" w:rsidRDefault="002A6485" w:rsidP="00EB1206">
            <w:pPr>
              <w:rPr>
                <w:sz w:val="22"/>
                <w:lang w:val="en-GB"/>
              </w:rPr>
            </w:pPr>
            <w:r>
              <w:rPr>
                <w:sz w:val="22"/>
                <w:lang w:val="en-GB"/>
              </w:rPr>
              <w:t>2.9</w:t>
            </w:r>
          </w:p>
        </w:tc>
      </w:tr>
      <w:tr w:rsidR="002A6485" w:rsidRPr="001C7C17" w14:paraId="16A78641"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789ABF36" w14:textId="77777777" w:rsidR="002A6485" w:rsidRPr="001C7C17" w:rsidRDefault="002A6485" w:rsidP="00EB1206">
            <w:pPr>
              <w:rPr>
                <w:sz w:val="22"/>
                <w:lang w:val="en-GB"/>
              </w:rPr>
            </w:pPr>
            <w:r w:rsidRPr="001C7C17">
              <w:rPr>
                <w:sz w:val="22"/>
                <w:lang w:val="en-GB"/>
              </w:rPr>
              <w:t>Nasopharyngitis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A68109" w14:textId="4BA32F18" w:rsidR="002A6485" w:rsidRPr="001C7C17" w:rsidRDefault="002A6485" w:rsidP="00EB1206">
            <w:pPr>
              <w:rPr>
                <w:sz w:val="22"/>
                <w:lang w:val="en-GB"/>
              </w:rPr>
            </w:pPr>
            <w:r>
              <w:rPr>
                <w:sz w:val="22"/>
                <w:lang w:val="en-GB"/>
              </w:rPr>
              <w:t>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B13161" w14:textId="1DEDE194" w:rsidR="002A6485" w:rsidRPr="001C7C17" w:rsidRDefault="002A6485" w:rsidP="00EB1206">
            <w:pPr>
              <w:rPr>
                <w:sz w:val="22"/>
                <w:lang w:val="en-GB"/>
              </w:rPr>
            </w:pPr>
            <w:r>
              <w:rPr>
                <w:sz w:val="22"/>
                <w:lang w:val="en-GB"/>
              </w:rPr>
              <w:t>10.8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9C01A6B"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9C28650" w14:textId="77777777" w:rsidR="002A6485" w:rsidRPr="001C7C17" w:rsidRDefault="002A6485" w:rsidP="00EB1206">
            <w:pPr>
              <w:rPr>
                <w:sz w:val="22"/>
                <w:lang w:val="en-GB"/>
              </w:rPr>
            </w:pPr>
            <w:r w:rsidRPr="001C7C17">
              <w:rPr>
                <w:sz w:val="22"/>
                <w:lang w:val="en-GB"/>
              </w:rPr>
              <w:t>0</w:t>
            </w:r>
          </w:p>
        </w:tc>
      </w:tr>
      <w:tr w:rsidR="002A6485" w:rsidRPr="001C7C17" w14:paraId="45A33596"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33D62143" w14:textId="77777777" w:rsidR="002A6485" w:rsidRPr="001C7C17" w:rsidRDefault="002A6485" w:rsidP="00EB1206">
            <w:pPr>
              <w:rPr>
                <w:sz w:val="22"/>
                <w:lang w:val="en-GB"/>
              </w:rPr>
            </w:pPr>
            <w:r w:rsidRPr="001C7C17">
              <w:rPr>
                <w:sz w:val="22"/>
                <w:lang w:val="en-GB"/>
              </w:rPr>
              <w:t>Pharyngitis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6E347" w14:textId="6C7DCFEE" w:rsidR="002A6485" w:rsidRPr="001C7C17" w:rsidRDefault="002A6485" w:rsidP="00EB1206">
            <w:pPr>
              <w:rPr>
                <w:sz w:val="22"/>
                <w:lang w:val="en-GB"/>
              </w:rPr>
            </w:pPr>
            <w:r>
              <w:rPr>
                <w:sz w:val="22"/>
                <w:lang w:val="en-GB"/>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09EFC3" w14:textId="70160340" w:rsidR="002A6485" w:rsidRPr="001C7C17" w:rsidRDefault="002A6485" w:rsidP="00EB1206">
            <w:pPr>
              <w:rPr>
                <w:sz w:val="22"/>
                <w:lang w:val="en-GB"/>
              </w:rPr>
            </w:pPr>
            <w:r>
              <w:rPr>
                <w:sz w:val="22"/>
                <w:lang w:val="en-GB"/>
              </w:rPr>
              <w:t>3.9</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53FE4EE"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3E572C" w14:textId="77777777" w:rsidR="002A6485" w:rsidRPr="001C7C17" w:rsidRDefault="002A6485" w:rsidP="00EB1206">
            <w:pPr>
              <w:rPr>
                <w:sz w:val="22"/>
                <w:lang w:val="en-GB"/>
              </w:rPr>
            </w:pPr>
            <w:r w:rsidRPr="001C7C17">
              <w:rPr>
                <w:sz w:val="22"/>
                <w:lang w:val="en-GB"/>
              </w:rPr>
              <w:t>0</w:t>
            </w:r>
          </w:p>
        </w:tc>
      </w:tr>
      <w:tr w:rsidR="001A6FB0" w:rsidRPr="001C7C17" w14:paraId="15484FDC"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214B860C" w14:textId="77777777" w:rsidR="001A6FB0" w:rsidRPr="001C7C17" w:rsidRDefault="001A6FB0" w:rsidP="00EB1206">
            <w:pPr>
              <w:rPr>
                <w:sz w:val="22"/>
                <w:lang w:val="en-GB"/>
              </w:rPr>
            </w:pPr>
            <w:r w:rsidRPr="001C7C17">
              <w:rPr>
                <w:sz w:val="22"/>
                <w:lang w:val="en-GB"/>
              </w:rPr>
              <w:t>Lung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6249EE" w14:textId="77777777" w:rsidR="001A6FB0" w:rsidRPr="001C7C17" w:rsidRDefault="001A6FB0" w:rsidP="00EB1206">
            <w:pPr>
              <w:rPr>
                <w:sz w:val="22"/>
                <w:lang w:val="en-GB"/>
              </w:rPr>
            </w:pPr>
            <w:r w:rsidRPr="001C7C17">
              <w:rPr>
                <w:sz w:val="22"/>
                <w:lang w:val="en-GB"/>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BB2BEA" w14:textId="03CC553D" w:rsidR="001A6FB0" w:rsidRPr="001C7C17" w:rsidRDefault="002A6485" w:rsidP="00EB1206">
            <w:pPr>
              <w:rPr>
                <w:sz w:val="22"/>
                <w:lang w:val="en-GB"/>
              </w:rPr>
            </w:pPr>
            <w:r>
              <w:rPr>
                <w:sz w:val="22"/>
                <w:lang w:val="en-GB"/>
              </w:rPr>
              <w:t>4.4</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990A4E5" w14:textId="77777777" w:rsidR="001A6FB0" w:rsidRPr="001C7C17" w:rsidRDefault="001A6FB0" w:rsidP="00EB1206">
            <w:pPr>
              <w:rPr>
                <w:sz w:val="22"/>
                <w:lang w:val="en-GB"/>
              </w:rPr>
            </w:pPr>
            <w:r w:rsidRPr="001C7C17">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12CCD1" w14:textId="4F33C3D8" w:rsidR="001A6FB0" w:rsidRPr="001C7C17" w:rsidRDefault="002A6485" w:rsidP="00EB1206">
            <w:pPr>
              <w:rPr>
                <w:sz w:val="22"/>
                <w:lang w:val="en-GB"/>
              </w:rPr>
            </w:pPr>
            <w:r>
              <w:rPr>
                <w:sz w:val="22"/>
                <w:lang w:val="en-GB"/>
              </w:rPr>
              <w:t>2.5</w:t>
            </w:r>
          </w:p>
        </w:tc>
      </w:tr>
      <w:tr w:rsidR="001A6FB0" w:rsidRPr="001C7C17" w14:paraId="5FC93AF0"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122C6DE9" w14:textId="77777777" w:rsidR="001A6FB0" w:rsidRPr="001C7C17" w:rsidRDefault="001A6FB0" w:rsidP="00EB1206">
            <w:pPr>
              <w:rPr>
                <w:sz w:val="22"/>
                <w:lang w:val="en-GB"/>
              </w:rPr>
            </w:pPr>
            <w:r w:rsidRPr="001C7C17">
              <w:rPr>
                <w:sz w:val="22"/>
                <w:lang w:val="en-GB"/>
              </w:rPr>
              <w:t>Influenza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8145F5" w14:textId="77777777" w:rsidR="001A6FB0" w:rsidRPr="001C7C17" w:rsidRDefault="001A6FB0" w:rsidP="00EB1206">
            <w:pPr>
              <w:rPr>
                <w:sz w:val="22"/>
                <w:lang w:val="en-GB"/>
              </w:rPr>
            </w:pPr>
            <w:r w:rsidRPr="001C7C17">
              <w:rPr>
                <w:sz w:val="22"/>
                <w:lang w:val="en-GB"/>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659853" w14:textId="5ACB0278" w:rsidR="001A6FB0" w:rsidRPr="001C7C17" w:rsidRDefault="002A6485" w:rsidP="00EB1206">
            <w:pPr>
              <w:rPr>
                <w:sz w:val="22"/>
                <w:lang w:val="en-GB"/>
              </w:rPr>
            </w:pPr>
            <w:r>
              <w:rPr>
                <w:sz w:val="22"/>
                <w:lang w:val="en-GB"/>
              </w:rPr>
              <w:t>3.9</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B919D91" w14:textId="77777777" w:rsidR="001A6FB0" w:rsidRPr="001C7C17" w:rsidRDefault="001A6FB0"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C568F6E" w14:textId="77777777" w:rsidR="001A6FB0" w:rsidRPr="001C7C17" w:rsidRDefault="001A6FB0" w:rsidP="00EB1206">
            <w:pPr>
              <w:rPr>
                <w:sz w:val="22"/>
                <w:lang w:val="en-GB"/>
              </w:rPr>
            </w:pPr>
            <w:r w:rsidRPr="001C7C17">
              <w:rPr>
                <w:sz w:val="22"/>
                <w:lang w:val="en-GB"/>
              </w:rPr>
              <w:t>0</w:t>
            </w:r>
          </w:p>
        </w:tc>
      </w:tr>
      <w:tr w:rsidR="001A6FB0" w:rsidRPr="001C7C17" w14:paraId="30CCDA18"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45E6EA12" w14:textId="77777777" w:rsidR="001A6FB0" w:rsidRPr="001C7C17" w:rsidRDefault="001A6FB0" w:rsidP="00EB1206">
            <w:pPr>
              <w:rPr>
                <w:b/>
                <w:sz w:val="22"/>
                <w:lang w:val="en-GB"/>
              </w:rPr>
            </w:pPr>
            <w:r w:rsidRPr="001C7C17">
              <w:rPr>
                <w:b/>
                <w:sz w:val="22"/>
                <w:lang w:val="en-GB"/>
              </w:rPr>
              <w:t>Musculoskeletal and Connective Tissue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46AE890F" w14:textId="77777777" w:rsidR="001A6FB0" w:rsidRPr="001C7C17" w:rsidRDefault="001A6FB0" w:rsidP="00EB1206">
            <w:pPr>
              <w:rPr>
                <w:sz w:val="22"/>
                <w:lang w:val="en-GB"/>
              </w:rPr>
            </w:pPr>
          </w:p>
        </w:tc>
      </w:tr>
      <w:tr w:rsidR="002A6485" w:rsidRPr="001C7C17" w14:paraId="6C58D4D2"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3DD795CC" w14:textId="77777777" w:rsidR="002A6485" w:rsidRPr="001C7C17" w:rsidRDefault="002A6485" w:rsidP="00EB1206">
            <w:pPr>
              <w:rPr>
                <w:sz w:val="22"/>
                <w:lang w:val="en-GB"/>
              </w:rPr>
            </w:pPr>
            <w:r w:rsidRPr="001C7C17">
              <w:rPr>
                <w:sz w:val="22"/>
                <w:lang w:val="en-GB"/>
              </w:rPr>
              <w:t>Arthralgia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9A8D1A" w14:textId="6C52AB62" w:rsidR="002A6485" w:rsidRPr="001C7C17" w:rsidRDefault="002A6485" w:rsidP="00EB1206">
            <w:pPr>
              <w:rPr>
                <w:sz w:val="22"/>
                <w:lang w:val="en-GB"/>
              </w:rPr>
            </w:pPr>
            <w:r>
              <w:rPr>
                <w:sz w:val="22"/>
                <w:lang w:val="en-GB"/>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7B1" w14:textId="367F4C24" w:rsidR="002A6485" w:rsidRPr="001C7C17" w:rsidRDefault="002A6485" w:rsidP="00EB1206">
            <w:pPr>
              <w:rPr>
                <w:sz w:val="22"/>
                <w:lang w:val="en-GB"/>
              </w:rPr>
            </w:pPr>
            <w:r>
              <w:rPr>
                <w:sz w:val="22"/>
                <w:lang w:val="en-GB"/>
              </w:rPr>
              <w:t>11.8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0167273"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83174C1" w14:textId="77777777" w:rsidR="002A6485" w:rsidRPr="001C7C17" w:rsidRDefault="002A6485" w:rsidP="00EB1206">
            <w:pPr>
              <w:rPr>
                <w:sz w:val="22"/>
                <w:lang w:val="en-GB"/>
              </w:rPr>
            </w:pPr>
            <w:r w:rsidRPr="001C7C17">
              <w:rPr>
                <w:sz w:val="22"/>
                <w:lang w:val="en-GB"/>
              </w:rPr>
              <w:t>0</w:t>
            </w:r>
          </w:p>
        </w:tc>
      </w:tr>
      <w:tr w:rsidR="002A6485" w:rsidRPr="001C7C17" w14:paraId="65807584"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26E96BC9" w14:textId="77777777" w:rsidR="002A6485" w:rsidRPr="001C7C17" w:rsidRDefault="002A6485" w:rsidP="00EB1206">
            <w:pPr>
              <w:rPr>
                <w:sz w:val="22"/>
                <w:lang w:val="en-GB"/>
              </w:rPr>
            </w:pPr>
            <w:r w:rsidRPr="001C7C17">
              <w:rPr>
                <w:sz w:val="22"/>
                <w:lang w:val="en-GB"/>
              </w:rPr>
              <w:t>Pain In Extremity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D8BC48" w14:textId="63E802AF" w:rsidR="002A6485" w:rsidRPr="001C7C17" w:rsidRDefault="002A6485" w:rsidP="00EB1206">
            <w:pPr>
              <w:rPr>
                <w:sz w:val="22"/>
                <w:lang w:val="en-GB"/>
              </w:rPr>
            </w:pPr>
            <w:r>
              <w:rPr>
                <w:sz w:val="22"/>
                <w:lang w:val="en-GB"/>
              </w:rPr>
              <w:t>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BC1430" w14:textId="47BE7D9A" w:rsidR="002A6485" w:rsidRPr="001C7C17" w:rsidRDefault="002A6485" w:rsidP="00EB1206">
            <w:pPr>
              <w:rPr>
                <w:sz w:val="22"/>
                <w:lang w:val="en-GB"/>
              </w:rPr>
            </w:pPr>
            <w:r>
              <w:rPr>
                <w:sz w:val="22"/>
                <w:lang w:val="en-GB"/>
              </w:rPr>
              <w:t>10.8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265F3CD9"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EAE0848" w14:textId="77777777" w:rsidR="002A6485" w:rsidRPr="001C7C17" w:rsidRDefault="002A6485" w:rsidP="00EB1206">
            <w:pPr>
              <w:rPr>
                <w:sz w:val="22"/>
                <w:lang w:val="en-GB"/>
              </w:rPr>
            </w:pPr>
            <w:r w:rsidRPr="001C7C17">
              <w:rPr>
                <w:sz w:val="22"/>
                <w:lang w:val="en-GB"/>
              </w:rPr>
              <w:t>1.0</w:t>
            </w:r>
          </w:p>
        </w:tc>
      </w:tr>
      <w:tr w:rsidR="002A6485" w:rsidRPr="001C7C17" w14:paraId="3A49B5D0"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C292E1C" w14:textId="77777777" w:rsidR="002A6485" w:rsidRPr="001C7C17" w:rsidRDefault="002A6485" w:rsidP="00EB1206">
            <w:pPr>
              <w:rPr>
                <w:sz w:val="22"/>
                <w:lang w:val="en-GB"/>
              </w:rPr>
            </w:pPr>
            <w:r w:rsidRPr="001C7C17">
              <w:rPr>
                <w:sz w:val="22"/>
                <w:lang w:val="en-GB"/>
              </w:rPr>
              <w:t>Bone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DAA3E4" w14:textId="2BE4A5CC" w:rsidR="002A6485" w:rsidRPr="001C7C17" w:rsidRDefault="002A6485" w:rsidP="00EB1206">
            <w:pPr>
              <w:rPr>
                <w:sz w:val="22"/>
                <w:lang w:val="en-GB"/>
              </w:rPr>
            </w:pPr>
            <w:r w:rsidRPr="001C7C17">
              <w:rPr>
                <w:sz w:val="22"/>
                <w:lang w:val="en-GB"/>
              </w:rPr>
              <w:t>1.</w:t>
            </w:r>
            <w:r>
              <w:rPr>
                <w:sz w:val="22"/>
                <w:lang w:val="en-GB"/>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CE32C0" w14:textId="05E882E9" w:rsidR="002A6485" w:rsidRPr="001C7C17" w:rsidRDefault="002A6485" w:rsidP="00EB1206">
            <w:pPr>
              <w:rPr>
                <w:sz w:val="22"/>
                <w:lang w:val="en-GB"/>
              </w:rPr>
            </w:pPr>
            <w:r>
              <w:rPr>
                <w:sz w:val="22"/>
                <w:lang w:val="en-GB"/>
              </w:rPr>
              <w:t>3.4</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97DD02E"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AA86C25" w14:textId="77777777" w:rsidR="002A6485" w:rsidRPr="001C7C17" w:rsidRDefault="002A6485" w:rsidP="00EB1206">
            <w:pPr>
              <w:rPr>
                <w:sz w:val="22"/>
                <w:lang w:val="en-GB"/>
              </w:rPr>
            </w:pPr>
            <w:r w:rsidRPr="001C7C17">
              <w:rPr>
                <w:sz w:val="22"/>
                <w:lang w:val="en-GB"/>
              </w:rPr>
              <w:t>0</w:t>
            </w:r>
          </w:p>
        </w:tc>
      </w:tr>
      <w:tr w:rsidR="00E11CE3" w:rsidRPr="001C7C17" w14:paraId="0389D455" w14:textId="77777777" w:rsidTr="00E11CE3">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38527531" w14:textId="740266EE" w:rsidR="00E11CE3" w:rsidRPr="00AC0D55" w:rsidRDefault="00E11CE3" w:rsidP="00EB1206">
            <w:pPr>
              <w:rPr>
                <w:b/>
                <w:sz w:val="22"/>
                <w:lang w:val="en-GB"/>
              </w:rPr>
            </w:pPr>
            <w:r w:rsidRPr="00AC0D55">
              <w:rPr>
                <w:b/>
                <w:sz w:val="22"/>
                <w:lang w:val="en-GB"/>
              </w:rPr>
              <w:t>Neoplasms benign, malignant and unspecified (</w:t>
            </w:r>
            <w:proofErr w:type="spellStart"/>
            <w:r w:rsidRPr="00AC0D55">
              <w:rPr>
                <w:b/>
                <w:sz w:val="22"/>
                <w:lang w:val="en-GB"/>
              </w:rPr>
              <w:t>incl</w:t>
            </w:r>
            <w:proofErr w:type="spellEnd"/>
            <w:r w:rsidRPr="00AC0D55">
              <w:rPr>
                <w:b/>
                <w:sz w:val="22"/>
                <w:lang w:val="en-GB"/>
              </w:rPr>
              <w:t xml:space="preserve"> cysts and polyps)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0FBA9243" w14:textId="77777777" w:rsidR="00E11CE3" w:rsidRPr="001C7C17" w:rsidRDefault="00E11CE3" w:rsidP="00EB1206">
            <w:pPr>
              <w:rPr>
                <w:sz w:val="22"/>
                <w:lang w:val="en-GB"/>
              </w:rPr>
            </w:pPr>
          </w:p>
        </w:tc>
      </w:tr>
      <w:tr w:rsidR="00E11CE3" w:rsidRPr="001C7C17" w14:paraId="036CA2CF"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40AF4CE3" w14:textId="23B4867A" w:rsidR="00E11CE3" w:rsidRPr="001C7C17" w:rsidRDefault="00E11CE3" w:rsidP="00EB1206">
            <w:pPr>
              <w:rPr>
                <w:sz w:val="22"/>
                <w:lang w:val="en-GB"/>
              </w:rPr>
            </w:pPr>
            <w:r w:rsidRPr="00E11CE3">
              <w:rPr>
                <w:sz w:val="22"/>
                <w:lang w:val="en-GB"/>
              </w:rPr>
              <w:t>Basal Cell Carcinoma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57B35" w14:textId="089E16EE" w:rsidR="00E11CE3" w:rsidRPr="001C7C17" w:rsidRDefault="00E11CE3" w:rsidP="00EB1206">
            <w:pPr>
              <w:rPr>
                <w:sz w:val="22"/>
                <w:lang w:val="en-GB"/>
              </w:rPr>
            </w:pPr>
            <w:r>
              <w:rPr>
                <w:sz w:val="22"/>
                <w:lang w:val="en-GB"/>
              </w:rPr>
              <w:t>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45274" w14:textId="33E25C63" w:rsidR="00E11CE3" w:rsidRDefault="00E11CE3" w:rsidP="00EB1206">
            <w:pPr>
              <w:rPr>
                <w:sz w:val="22"/>
                <w:lang w:val="en-GB"/>
              </w:rPr>
            </w:pPr>
            <w:r>
              <w:rPr>
                <w:sz w:val="22"/>
                <w:lang w:val="en-GB"/>
              </w:rPr>
              <w:t>2.9</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00C20CE" w14:textId="0DFF1716" w:rsidR="00E11CE3" w:rsidRPr="001C7C17" w:rsidRDefault="00E11CE3" w:rsidP="00EB1206">
            <w:pPr>
              <w:rPr>
                <w:sz w:val="22"/>
                <w:lang w:val="en-GB"/>
              </w:rPr>
            </w:pPr>
            <w:r>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C53518E" w14:textId="4C066881" w:rsidR="00E11CE3" w:rsidRPr="001C7C17" w:rsidRDefault="00E11CE3" w:rsidP="00EB1206">
            <w:pPr>
              <w:rPr>
                <w:sz w:val="22"/>
                <w:lang w:val="en-GB"/>
              </w:rPr>
            </w:pPr>
            <w:r>
              <w:rPr>
                <w:sz w:val="22"/>
                <w:lang w:val="en-GB"/>
              </w:rPr>
              <w:t>1.0</w:t>
            </w:r>
          </w:p>
        </w:tc>
      </w:tr>
      <w:tr w:rsidR="001A6FB0" w:rsidRPr="001C7C17" w14:paraId="55A37990" w14:textId="77777777" w:rsidTr="00616FE6">
        <w:trPr>
          <w:trHeight w:val="20"/>
          <w:jc w:val="center"/>
        </w:trPr>
        <w:tc>
          <w:tcPr>
            <w:tcW w:w="2661" w:type="dxa"/>
            <w:shd w:val="clear" w:color="auto" w:fill="auto"/>
          </w:tcPr>
          <w:p w14:paraId="38D0B565" w14:textId="77777777" w:rsidR="001A6FB0" w:rsidRPr="001C7C17" w:rsidRDefault="001A6FB0" w:rsidP="00EB1206">
            <w:pPr>
              <w:rPr>
                <w:b/>
                <w:sz w:val="22"/>
                <w:lang w:val="en-GB"/>
              </w:rPr>
            </w:pPr>
            <w:r w:rsidRPr="001C7C17">
              <w:rPr>
                <w:b/>
                <w:sz w:val="22"/>
                <w:lang w:val="en-GB"/>
              </w:rPr>
              <w:t>Psychiatric Disorders</w:t>
            </w:r>
          </w:p>
        </w:tc>
        <w:tc>
          <w:tcPr>
            <w:tcW w:w="6627" w:type="dxa"/>
            <w:gridSpan w:val="4"/>
            <w:shd w:val="clear" w:color="auto" w:fill="auto"/>
          </w:tcPr>
          <w:p w14:paraId="39CBAC73" w14:textId="77777777" w:rsidR="001A6FB0" w:rsidRPr="001C7C17" w:rsidRDefault="001A6FB0" w:rsidP="00EB1206">
            <w:pPr>
              <w:rPr>
                <w:b/>
                <w:sz w:val="22"/>
                <w:lang w:val="en-GB"/>
              </w:rPr>
            </w:pPr>
          </w:p>
        </w:tc>
      </w:tr>
      <w:tr w:rsidR="001A6FB0" w:rsidRPr="001C7C17" w14:paraId="292DAF19" w14:textId="77777777" w:rsidTr="00616FE6">
        <w:trPr>
          <w:trHeight w:val="20"/>
          <w:jc w:val="center"/>
        </w:trPr>
        <w:tc>
          <w:tcPr>
            <w:tcW w:w="2661" w:type="dxa"/>
            <w:shd w:val="clear" w:color="auto" w:fill="auto"/>
          </w:tcPr>
          <w:p w14:paraId="7B7B7595" w14:textId="77777777" w:rsidR="001A6FB0" w:rsidRPr="001C7C17" w:rsidRDefault="001A6FB0" w:rsidP="00EB1206">
            <w:pPr>
              <w:rPr>
                <w:sz w:val="22"/>
                <w:lang w:val="en-GB"/>
              </w:rPr>
            </w:pPr>
            <w:r w:rsidRPr="001C7C17">
              <w:rPr>
                <w:sz w:val="22"/>
                <w:lang w:val="en-GB"/>
              </w:rPr>
              <w:t>Depression</w:t>
            </w:r>
          </w:p>
        </w:tc>
        <w:tc>
          <w:tcPr>
            <w:tcW w:w="1559" w:type="dxa"/>
            <w:shd w:val="clear" w:color="auto" w:fill="auto"/>
          </w:tcPr>
          <w:p w14:paraId="4A5AC106" w14:textId="77777777" w:rsidR="001A6FB0" w:rsidRPr="001C7C17" w:rsidRDefault="001A6FB0" w:rsidP="00EB1206">
            <w:pPr>
              <w:rPr>
                <w:sz w:val="22"/>
                <w:lang w:val="en-GB"/>
              </w:rPr>
            </w:pPr>
            <w:r w:rsidRPr="001C7C17">
              <w:rPr>
                <w:sz w:val="22"/>
                <w:lang w:val="en-GB"/>
              </w:rPr>
              <w:t>1.5</w:t>
            </w:r>
          </w:p>
        </w:tc>
        <w:tc>
          <w:tcPr>
            <w:tcW w:w="1701" w:type="dxa"/>
            <w:shd w:val="clear" w:color="auto" w:fill="auto"/>
          </w:tcPr>
          <w:p w14:paraId="16ABF29A" w14:textId="243372C8" w:rsidR="001A6FB0" w:rsidRPr="001C7C17" w:rsidRDefault="002A6485" w:rsidP="00EB1206">
            <w:pPr>
              <w:rPr>
                <w:sz w:val="22"/>
                <w:lang w:val="en-GB"/>
              </w:rPr>
            </w:pPr>
            <w:r>
              <w:rPr>
                <w:sz w:val="22"/>
                <w:lang w:val="en-GB"/>
              </w:rPr>
              <w:t>4.4</w:t>
            </w:r>
          </w:p>
        </w:tc>
        <w:tc>
          <w:tcPr>
            <w:tcW w:w="1657" w:type="dxa"/>
          </w:tcPr>
          <w:p w14:paraId="5D86B53E" w14:textId="77777777" w:rsidR="001A6FB0" w:rsidRPr="001C7C17" w:rsidRDefault="001A6FB0" w:rsidP="00EB1206">
            <w:pPr>
              <w:rPr>
                <w:sz w:val="22"/>
                <w:lang w:val="en-GB"/>
              </w:rPr>
            </w:pPr>
            <w:r w:rsidRPr="001C7C17">
              <w:rPr>
                <w:sz w:val="22"/>
                <w:lang w:val="en-GB"/>
              </w:rPr>
              <w:t>0</w:t>
            </w:r>
          </w:p>
        </w:tc>
        <w:tc>
          <w:tcPr>
            <w:tcW w:w="1710" w:type="dxa"/>
            <w:shd w:val="clear" w:color="auto" w:fill="auto"/>
          </w:tcPr>
          <w:p w14:paraId="13E3E750" w14:textId="77777777" w:rsidR="001A6FB0" w:rsidRPr="001C7C17" w:rsidRDefault="001A6FB0" w:rsidP="00EB1206">
            <w:pPr>
              <w:rPr>
                <w:sz w:val="22"/>
                <w:lang w:val="en-GB"/>
              </w:rPr>
            </w:pPr>
            <w:r w:rsidRPr="001C7C17">
              <w:rPr>
                <w:sz w:val="22"/>
                <w:lang w:val="en-GB"/>
              </w:rPr>
              <w:t>0</w:t>
            </w:r>
          </w:p>
        </w:tc>
      </w:tr>
      <w:tr w:rsidR="001A6FB0" w:rsidRPr="001C7C17" w14:paraId="4D20DA38" w14:textId="77777777" w:rsidTr="00616FE6">
        <w:trPr>
          <w:trHeight w:val="20"/>
          <w:jc w:val="center"/>
        </w:trPr>
        <w:tc>
          <w:tcPr>
            <w:tcW w:w="2661" w:type="dxa"/>
            <w:shd w:val="clear" w:color="auto" w:fill="auto"/>
          </w:tcPr>
          <w:p w14:paraId="58A30D0D" w14:textId="77777777" w:rsidR="001A6FB0" w:rsidRPr="001C7C17" w:rsidRDefault="001A6FB0" w:rsidP="00EB1206">
            <w:pPr>
              <w:rPr>
                <w:b/>
                <w:sz w:val="22"/>
                <w:lang w:val="en-GB"/>
              </w:rPr>
            </w:pPr>
            <w:r w:rsidRPr="001C7C17">
              <w:rPr>
                <w:b/>
                <w:sz w:val="22"/>
                <w:lang w:val="en-GB"/>
              </w:rPr>
              <w:t>Renal and Urinary Disorders</w:t>
            </w:r>
          </w:p>
        </w:tc>
        <w:tc>
          <w:tcPr>
            <w:tcW w:w="6627" w:type="dxa"/>
            <w:gridSpan w:val="4"/>
            <w:shd w:val="clear" w:color="auto" w:fill="auto"/>
          </w:tcPr>
          <w:p w14:paraId="023883B1" w14:textId="77777777" w:rsidR="001A6FB0" w:rsidRPr="001C7C17" w:rsidRDefault="001A6FB0" w:rsidP="00EB1206">
            <w:pPr>
              <w:rPr>
                <w:b/>
                <w:sz w:val="22"/>
                <w:lang w:val="en-GB"/>
              </w:rPr>
            </w:pPr>
          </w:p>
        </w:tc>
      </w:tr>
      <w:tr w:rsidR="002A6485" w:rsidRPr="001C7C17" w14:paraId="172B9335" w14:textId="77777777" w:rsidTr="00616FE6">
        <w:trPr>
          <w:trHeight w:val="20"/>
          <w:jc w:val="center"/>
        </w:trPr>
        <w:tc>
          <w:tcPr>
            <w:tcW w:w="2661" w:type="dxa"/>
            <w:shd w:val="clear" w:color="auto" w:fill="auto"/>
          </w:tcPr>
          <w:p w14:paraId="006063AD" w14:textId="77777777" w:rsidR="002A6485" w:rsidRPr="001C7C17" w:rsidRDefault="002A6485" w:rsidP="00EB1206">
            <w:pPr>
              <w:rPr>
                <w:sz w:val="22"/>
                <w:lang w:val="en-GB"/>
              </w:rPr>
            </w:pPr>
            <w:r w:rsidRPr="001C7C17">
              <w:rPr>
                <w:sz w:val="22"/>
                <w:lang w:val="en-GB"/>
              </w:rPr>
              <w:t>Dysuria</w:t>
            </w:r>
          </w:p>
        </w:tc>
        <w:tc>
          <w:tcPr>
            <w:tcW w:w="1559" w:type="dxa"/>
            <w:shd w:val="clear" w:color="auto" w:fill="auto"/>
          </w:tcPr>
          <w:p w14:paraId="0CDC995A" w14:textId="728AC766" w:rsidR="002A6485" w:rsidRPr="001C7C17" w:rsidRDefault="002A6485" w:rsidP="00EB1206">
            <w:pPr>
              <w:rPr>
                <w:sz w:val="22"/>
                <w:lang w:val="en-GB"/>
              </w:rPr>
            </w:pPr>
            <w:r>
              <w:rPr>
                <w:sz w:val="22"/>
                <w:lang w:val="en-GB"/>
              </w:rPr>
              <w:t>1.0</w:t>
            </w:r>
          </w:p>
        </w:tc>
        <w:tc>
          <w:tcPr>
            <w:tcW w:w="1701" w:type="dxa"/>
            <w:shd w:val="clear" w:color="auto" w:fill="auto"/>
          </w:tcPr>
          <w:p w14:paraId="05F3B956" w14:textId="29B88D2E" w:rsidR="002A6485" w:rsidRPr="001C7C17" w:rsidRDefault="002A6485" w:rsidP="00EB1206">
            <w:pPr>
              <w:rPr>
                <w:sz w:val="22"/>
                <w:lang w:val="en-GB"/>
              </w:rPr>
            </w:pPr>
            <w:r>
              <w:rPr>
                <w:sz w:val="22"/>
                <w:lang w:val="en-GB"/>
              </w:rPr>
              <w:t>2.5</w:t>
            </w:r>
          </w:p>
        </w:tc>
        <w:tc>
          <w:tcPr>
            <w:tcW w:w="1657" w:type="dxa"/>
          </w:tcPr>
          <w:p w14:paraId="7219DD77" w14:textId="77777777" w:rsidR="002A6485" w:rsidRPr="001C7C17" w:rsidRDefault="002A6485" w:rsidP="00EB1206">
            <w:pPr>
              <w:rPr>
                <w:sz w:val="22"/>
                <w:lang w:val="en-GB"/>
              </w:rPr>
            </w:pPr>
            <w:r w:rsidRPr="001C7C17">
              <w:rPr>
                <w:sz w:val="22"/>
                <w:lang w:val="en-GB"/>
              </w:rPr>
              <w:t>0</w:t>
            </w:r>
          </w:p>
        </w:tc>
        <w:tc>
          <w:tcPr>
            <w:tcW w:w="1710" w:type="dxa"/>
            <w:shd w:val="clear" w:color="auto" w:fill="auto"/>
          </w:tcPr>
          <w:p w14:paraId="655208E1" w14:textId="77777777" w:rsidR="002A6485" w:rsidRPr="001C7C17" w:rsidRDefault="002A6485" w:rsidP="00EB1206">
            <w:pPr>
              <w:rPr>
                <w:sz w:val="22"/>
                <w:lang w:val="en-GB"/>
              </w:rPr>
            </w:pPr>
            <w:r w:rsidRPr="001C7C17">
              <w:rPr>
                <w:sz w:val="22"/>
                <w:lang w:val="en-GB"/>
              </w:rPr>
              <w:t>0.5</w:t>
            </w:r>
          </w:p>
        </w:tc>
      </w:tr>
      <w:tr w:rsidR="002A6485" w:rsidRPr="001C7C17" w14:paraId="4CC32CBA" w14:textId="77777777" w:rsidTr="00616FE6">
        <w:trPr>
          <w:trHeight w:val="20"/>
          <w:jc w:val="center"/>
        </w:trPr>
        <w:tc>
          <w:tcPr>
            <w:tcW w:w="2661" w:type="dxa"/>
            <w:shd w:val="clear" w:color="auto" w:fill="auto"/>
          </w:tcPr>
          <w:p w14:paraId="7DBB0834" w14:textId="77777777" w:rsidR="002A6485" w:rsidRPr="001C7C17" w:rsidRDefault="002A6485" w:rsidP="00EB1206">
            <w:pPr>
              <w:rPr>
                <w:sz w:val="22"/>
                <w:lang w:val="en-GB"/>
              </w:rPr>
            </w:pPr>
            <w:r w:rsidRPr="001C7C17">
              <w:rPr>
                <w:sz w:val="22"/>
                <w:lang w:val="en-GB"/>
              </w:rPr>
              <w:t>Urinary incontinence</w:t>
            </w:r>
          </w:p>
        </w:tc>
        <w:tc>
          <w:tcPr>
            <w:tcW w:w="1559" w:type="dxa"/>
            <w:shd w:val="clear" w:color="auto" w:fill="auto"/>
          </w:tcPr>
          <w:p w14:paraId="0B36BCB0" w14:textId="693E3426" w:rsidR="002A6485" w:rsidRPr="001C7C17" w:rsidRDefault="002A6485" w:rsidP="00EB1206">
            <w:pPr>
              <w:rPr>
                <w:sz w:val="22"/>
                <w:lang w:val="en-GB"/>
              </w:rPr>
            </w:pPr>
            <w:r>
              <w:rPr>
                <w:sz w:val="22"/>
                <w:lang w:val="en-GB"/>
              </w:rPr>
              <w:t>0.5</w:t>
            </w:r>
          </w:p>
        </w:tc>
        <w:tc>
          <w:tcPr>
            <w:tcW w:w="1701" w:type="dxa"/>
            <w:shd w:val="clear" w:color="auto" w:fill="auto"/>
          </w:tcPr>
          <w:p w14:paraId="4DF160E9" w14:textId="52CDDEE7" w:rsidR="002A6485" w:rsidRPr="001C7C17" w:rsidRDefault="002A6485" w:rsidP="00EB1206">
            <w:pPr>
              <w:rPr>
                <w:sz w:val="22"/>
                <w:lang w:val="en-GB"/>
              </w:rPr>
            </w:pPr>
            <w:r>
              <w:rPr>
                <w:sz w:val="22"/>
                <w:lang w:val="en-GB"/>
              </w:rPr>
              <w:t>2.9</w:t>
            </w:r>
          </w:p>
        </w:tc>
        <w:tc>
          <w:tcPr>
            <w:tcW w:w="1657" w:type="dxa"/>
          </w:tcPr>
          <w:p w14:paraId="401FB498" w14:textId="77777777" w:rsidR="002A6485" w:rsidRPr="001C7C17" w:rsidRDefault="002A6485" w:rsidP="00EB1206">
            <w:pPr>
              <w:rPr>
                <w:sz w:val="22"/>
                <w:lang w:val="en-GB"/>
              </w:rPr>
            </w:pPr>
            <w:r w:rsidRPr="001C7C17">
              <w:rPr>
                <w:sz w:val="22"/>
                <w:lang w:val="en-GB"/>
              </w:rPr>
              <w:t>0</w:t>
            </w:r>
          </w:p>
        </w:tc>
        <w:tc>
          <w:tcPr>
            <w:tcW w:w="1710" w:type="dxa"/>
            <w:shd w:val="clear" w:color="auto" w:fill="auto"/>
          </w:tcPr>
          <w:p w14:paraId="1B5FFEEB" w14:textId="77777777" w:rsidR="002A6485" w:rsidRPr="001C7C17" w:rsidRDefault="002A6485" w:rsidP="00EB1206">
            <w:pPr>
              <w:rPr>
                <w:sz w:val="22"/>
                <w:lang w:val="en-GB"/>
              </w:rPr>
            </w:pPr>
            <w:r w:rsidRPr="001C7C17">
              <w:rPr>
                <w:sz w:val="22"/>
                <w:lang w:val="en-GB"/>
              </w:rPr>
              <w:t>0.5</w:t>
            </w:r>
          </w:p>
        </w:tc>
      </w:tr>
      <w:tr w:rsidR="001A6FB0" w:rsidRPr="001C7C17" w14:paraId="476DF94E"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7697AD9D" w14:textId="77777777" w:rsidR="001A6FB0" w:rsidRPr="001C7C17" w:rsidRDefault="001A6FB0" w:rsidP="00EB1206">
            <w:pPr>
              <w:rPr>
                <w:b/>
                <w:sz w:val="22"/>
                <w:lang w:val="en-GB"/>
              </w:rPr>
            </w:pPr>
            <w:r w:rsidRPr="001C7C17">
              <w:rPr>
                <w:b/>
                <w:sz w:val="22"/>
                <w:lang w:val="en-GB"/>
              </w:rPr>
              <w:t>Respiratory, Thoracic and Mediastinal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33EC5C44" w14:textId="77777777" w:rsidR="001A6FB0" w:rsidRPr="001C7C17" w:rsidRDefault="001A6FB0" w:rsidP="00EB1206">
            <w:pPr>
              <w:rPr>
                <w:sz w:val="22"/>
                <w:lang w:val="en-GB"/>
              </w:rPr>
            </w:pPr>
          </w:p>
          <w:p w14:paraId="0D9C7CD7" w14:textId="77777777" w:rsidR="001A6FB0" w:rsidRPr="001C7C17" w:rsidRDefault="001A6FB0" w:rsidP="00EB1206">
            <w:pPr>
              <w:rPr>
                <w:sz w:val="22"/>
                <w:lang w:val="en-GB"/>
              </w:rPr>
            </w:pPr>
          </w:p>
        </w:tc>
      </w:tr>
      <w:tr w:rsidR="002A6485" w:rsidRPr="001C7C17" w14:paraId="6A05492A"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6101FDD3" w14:textId="77777777" w:rsidR="002A6485" w:rsidRPr="001C7C17" w:rsidRDefault="002A6485" w:rsidP="00EB1206">
            <w:pPr>
              <w:rPr>
                <w:sz w:val="22"/>
                <w:lang w:val="en-GB"/>
              </w:rPr>
            </w:pPr>
            <w:r w:rsidRPr="001C7C17">
              <w:rPr>
                <w:sz w:val="22"/>
                <w:lang w:val="en-GB"/>
              </w:rPr>
              <w:t>Cough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737559" w14:textId="5083F023" w:rsidR="002A6485" w:rsidRPr="001C7C17" w:rsidRDefault="002A6485" w:rsidP="00EB1206">
            <w:pPr>
              <w:rPr>
                <w:sz w:val="22"/>
                <w:lang w:val="en-GB"/>
              </w:rPr>
            </w:pPr>
            <w:r>
              <w:rPr>
                <w:sz w:val="22"/>
                <w:lang w:val="en-GB"/>
              </w:rPr>
              <w:t>19.7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69AE2C" w14:textId="283B071E" w:rsidR="002A6485" w:rsidRPr="001C7C17" w:rsidRDefault="002A6485" w:rsidP="00EB1206">
            <w:pPr>
              <w:rPr>
                <w:sz w:val="22"/>
                <w:lang w:val="en-GB"/>
              </w:rPr>
            </w:pPr>
            <w:r>
              <w:rPr>
                <w:sz w:val="22"/>
                <w:lang w:val="en-GB"/>
              </w:rPr>
              <w:t>31.4</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D4BBBD3"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7198F1" w14:textId="77777777" w:rsidR="002A6485" w:rsidRPr="001C7C17" w:rsidRDefault="002A6485" w:rsidP="00EB1206">
            <w:pPr>
              <w:rPr>
                <w:sz w:val="22"/>
                <w:lang w:val="en-GB"/>
              </w:rPr>
            </w:pPr>
            <w:r w:rsidRPr="001C7C17">
              <w:rPr>
                <w:sz w:val="22"/>
                <w:lang w:val="en-GB"/>
              </w:rPr>
              <w:t>0</w:t>
            </w:r>
          </w:p>
        </w:tc>
      </w:tr>
      <w:tr w:rsidR="002A6485" w:rsidRPr="001C7C17" w14:paraId="6FAC1E24"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67D4B482" w14:textId="77777777" w:rsidR="002A6485" w:rsidRPr="001C7C17" w:rsidRDefault="002A6485" w:rsidP="00EB1206">
            <w:pPr>
              <w:rPr>
                <w:sz w:val="22"/>
                <w:lang w:val="en-GB"/>
              </w:rPr>
            </w:pPr>
            <w:r w:rsidRPr="001C7C17">
              <w:rPr>
                <w:sz w:val="22"/>
                <w:lang w:val="en-GB"/>
              </w:rPr>
              <w:t>Nasal Congestion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1DE0C7" w14:textId="1B5D3738" w:rsidR="002A6485" w:rsidRPr="001C7C17" w:rsidRDefault="002A6485" w:rsidP="00EB1206">
            <w:pPr>
              <w:rPr>
                <w:sz w:val="22"/>
                <w:lang w:val="en-GB"/>
              </w:rPr>
            </w:pPr>
            <w:r>
              <w:rPr>
                <w:sz w:val="22"/>
                <w:lang w:val="en-GB"/>
              </w:rPr>
              <w:t>2</w:t>
            </w:r>
            <w:r w:rsidRPr="001C7C17">
              <w:rPr>
                <w:sz w:val="22"/>
                <w:lang w:val="en-GB"/>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450E4F" w14:textId="4970B8F5" w:rsidR="002A6485" w:rsidRPr="001C7C17" w:rsidRDefault="002A6485" w:rsidP="00EB1206">
            <w:pPr>
              <w:rPr>
                <w:sz w:val="22"/>
                <w:lang w:val="en-GB"/>
              </w:rPr>
            </w:pPr>
            <w:r>
              <w:rPr>
                <w:sz w:val="22"/>
                <w:lang w:val="en-GB"/>
              </w:rPr>
              <w:t>8.3</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2B42A246"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6582C66" w14:textId="77777777" w:rsidR="002A6485" w:rsidRPr="001C7C17" w:rsidRDefault="002A6485" w:rsidP="00EB1206">
            <w:pPr>
              <w:rPr>
                <w:sz w:val="22"/>
                <w:lang w:val="en-GB"/>
              </w:rPr>
            </w:pPr>
            <w:r w:rsidRPr="001C7C17">
              <w:rPr>
                <w:sz w:val="22"/>
                <w:lang w:val="en-GB"/>
              </w:rPr>
              <w:t>0</w:t>
            </w:r>
          </w:p>
        </w:tc>
      </w:tr>
      <w:tr w:rsidR="002A6485" w:rsidRPr="001C7C17" w14:paraId="26E59B11"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390D4A28" w14:textId="77777777" w:rsidR="002A6485" w:rsidRPr="001C7C17" w:rsidRDefault="002A6485" w:rsidP="00EB1206">
            <w:pPr>
              <w:rPr>
                <w:sz w:val="22"/>
                <w:lang w:val="en-GB"/>
              </w:rPr>
            </w:pPr>
            <w:r w:rsidRPr="001C7C17">
              <w:rPr>
                <w:sz w:val="22"/>
                <w:lang w:val="en-GB"/>
              </w:rPr>
              <w:t>Rhinorrhoea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E2BCC4" w14:textId="53F6347E" w:rsidR="002A6485" w:rsidRPr="001C7C17" w:rsidRDefault="002A6485" w:rsidP="00EB1206">
            <w:pPr>
              <w:rPr>
                <w:sz w:val="22"/>
                <w:lang w:val="en-GB"/>
              </w:rPr>
            </w:pPr>
            <w:r w:rsidRPr="001C7C17">
              <w:rPr>
                <w:sz w:val="22"/>
                <w:lang w:val="en-GB"/>
              </w:rPr>
              <w:t>1.</w:t>
            </w:r>
            <w:r>
              <w:rPr>
                <w:sz w:val="22"/>
                <w:lang w:val="en-GB"/>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709C0C" w14:textId="6E2D80FE" w:rsidR="002A6485" w:rsidRPr="001C7C17" w:rsidRDefault="002A6485" w:rsidP="00EB1206">
            <w:pPr>
              <w:rPr>
                <w:sz w:val="22"/>
                <w:lang w:val="en-GB"/>
              </w:rPr>
            </w:pPr>
            <w:r>
              <w:rPr>
                <w:sz w:val="22"/>
                <w:lang w:val="en-GB"/>
              </w:rPr>
              <w:t>5.4</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11F40F8"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70C1DF1" w14:textId="77777777" w:rsidR="002A6485" w:rsidRPr="001C7C17" w:rsidRDefault="002A6485" w:rsidP="00EB1206">
            <w:pPr>
              <w:rPr>
                <w:sz w:val="22"/>
                <w:lang w:val="en-GB"/>
              </w:rPr>
            </w:pPr>
            <w:r w:rsidRPr="001C7C17">
              <w:rPr>
                <w:sz w:val="22"/>
                <w:lang w:val="en-GB"/>
              </w:rPr>
              <w:t>0</w:t>
            </w:r>
          </w:p>
        </w:tc>
      </w:tr>
      <w:tr w:rsidR="001A6FB0" w:rsidRPr="001C7C17" w14:paraId="45C34BE8" w14:textId="77777777" w:rsidTr="00616FE6">
        <w:trPr>
          <w:cantSplit/>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17AA009" w14:textId="77777777" w:rsidR="001A6FB0" w:rsidRPr="001C7C17" w:rsidRDefault="001A6FB0" w:rsidP="00EB1206">
            <w:pPr>
              <w:rPr>
                <w:b/>
                <w:sz w:val="22"/>
                <w:lang w:val="en-GB"/>
              </w:rPr>
            </w:pPr>
            <w:r w:rsidRPr="001C7C17">
              <w:rPr>
                <w:b/>
                <w:sz w:val="22"/>
                <w:lang w:val="en-GB"/>
              </w:rPr>
              <w:t>Skin and Subcutaneous Tissue Disorders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5A5056" w14:textId="77777777" w:rsidR="001A6FB0" w:rsidRPr="001C7C17" w:rsidRDefault="001A6FB0" w:rsidP="00EB1206">
            <w:pPr>
              <w:rPr>
                <w:sz w:val="22"/>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C8CFA0" w14:textId="77777777" w:rsidR="001A6FB0" w:rsidRPr="001C7C17" w:rsidRDefault="001A6FB0" w:rsidP="00EB1206">
            <w:pPr>
              <w:rPr>
                <w:sz w:val="22"/>
                <w:lang w:val="en-GB"/>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1D22BE8" w14:textId="77777777" w:rsidR="001A6FB0" w:rsidRPr="001C7C17" w:rsidRDefault="001A6FB0" w:rsidP="00EB1206">
            <w:pPr>
              <w:rPr>
                <w:sz w:val="22"/>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6EB23A5" w14:textId="77777777" w:rsidR="001A6FB0" w:rsidRPr="001C7C17" w:rsidRDefault="001A6FB0" w:rsidP="00EB1206">
            <w:pPr>
              <w:rPr>
                <w:sz w:val="22"/>
                <w:lang w:val="en-GB"/>
              </w:rPr>
            </w:pPr>
          </w:p>
        </w:tc>
      </w:tr>
      <w:tr w:rsidR="001A6FB0" w:rsidRPr="001C7C17" w14:paraId="071061DC"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7043CA63" w14:textId="77777777" w:rsidR="001A6FB0" w:rsidRPr="001C7C17" w:rsidRDefault="001A6FB0" w:rsidP="00EB1206">
            <w:pPr>
              <w:rPr>
                <w:sz w:val="22"/>
                <w:lang w:val="en-GB"/>
              </w:rPr>
            </w:pPr>
            <w:r w:rsidRPr="001C7C17">
              <w:rPr>
                <w:sz w:val="22"/>
                <w:lang w:val="en-GB"/>
              </w:rPr>
              <w:t>Pruritus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B82043" w14:textId="1FDC9F4B" w:rsidR="001A6FB0" w:rsidRPr="001C7C17" w:rsidRDefault="001A6FB0" w:rsidP="00EB1206">
            <w:pPr>
              <w:rPr>
                <w:sz w:val="22"/>
                <w:lang w:val="en-GB"/>
              </w:rPr>
            </w:pPr>
            <w:r w:rsidRPr="001C7C17">
              <w:rPr>
                <w:sz w:val="22"/>
                <w:lang w:val="en-GB"/>
              </w:rPr>
              <w:t>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BAA48B" w14:textId="6DD7D630" w:rsidR="001A6FB0" w:rsidRPr="001C7C17" w:rsidRDefault="001A6FB0" w:rsidP="00EB1206">
            <w:pPr>
              <w:rPr>
                <w:sz w:val="22"/>
                <w:lang w:val="en-GB"/>
              </w:rPr>
            </w:pPr>
            <w:r w:rsidRPr="001C7C17">
              <w:rPr>
                <w:sz w:val="22"/>
                <w:lang w:val="en-GB"/>
              </w:rPr>
              <w:t>8.8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8477298" w14:textId="77777777" w:rsidR="001A6FB0" w:rsidRPr="001C7C17" w:rsidRDefault="001A6FB0"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803DBB4" w14:textId="77777777" w:rsidR="001A6FB0" w:rsidRPr="001C7C17" w:rsidRDefault="001A6FB0" w:rsidP="00EB1206">
            <w:pPr>
              <w:rPr>
                <w:sz w:val="22"/>
                <w:lang w:val="en-GB"/>
              </w:rPr>
            </w:pPr>
            <w:r w:rsidRPr="001C7C17">
              <w:rPr>
                <w:sz w:val="22"/>
                <w:lang w:val="en-GB"/>
              </w:rPr>
              <w:t>0</w:t>
            </w:r>
          </w:p>
        </w:tc>
      </w:tr>
      <w:tr w:rsidR="002A6485" w:rsidRPr="001C7C17" w14:paraId="3D15C445"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7256E469" w14:textId="77777777" w:rsidR="002A6485" w:rsidRPr="001C7C17" w:rsidRDefault="002A6485" w:rsidP="00EB1206">
            <w:pPr>
              <w:rPr>
                <w:sz w:val="22"/>
                <w:lang w:val="en-GB"/>
              </w:rPr>
            </w:pPr>
            <w:r w:rsidRPr="001C7C17">
              <w:rPr>
                <w:sz w:val="22"/>
                <w:lang w:val="en-GB"/>
              </w:rPr>
              <w:t>Eczema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8576F3" w14:textId="0272799F" w:rsidR="002A6485" w:rsidRPr="001C7C17" w:rsidRDefault="002A6485" w:rsidP="00EB1206">
            <w:pPr>
              <w:rPr>
                <w:sz w:val="22"/>
                <w:lang w:val="en-GB"/>
              </w:rPr>
            </w:pPr>
            <w:r w:rsidRPr="001C7C17">
              <w:rPr>
                <w:sz w:val="22"/>
                <w:lang w:val="en-GB"/>
              </w:rPr>
              <w:t>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3103D9" w14:textId="58D74807" w:rsidR="002A6485" w:rsidRPr="001C7C17" w:rsidRDefault="002A6485" w:rsidP="00EB1206">
            <w:pPr>
              <w:rPr>
                <w:sz w:val="22"/>
                <w:lang w:val="en-GB"/>
              </w:rPr>
            </w:pPr>
            <w:r>
              <w:rPr>
                <w:sz w:val="22"/>
                <w:lang w:val="en-GB"/>
              </w:rPr>
              <w:t>2.9</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C6D5ED2" w14:textId="77777777" w:rsidR="002A6485" w:rsidRPr="001C7C17" w:rsidRDefault="002A6485" w:rsidP="00EB1206">
            <w:pP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DB609A" w14:textId="77777777" w:rsidR="002A6485" w:rsidRPr="001C7C17" w:rsidRDefault="002A6485" w:rsidP="00EB1206">
            <w:pPr>
              <w:rPr>
                <w:sz w:val="22"/>
                <w:lang w:val="en-GB"/>
              </w:rPr>
            </w:pPr>
            <w:r w:rsidRPr="001C7C17">
              <w:rPr>
                <w:sz w:val="22"/>
                <w:lang w:val="en-GB"/>
              </w:rPr>
              <w:t>0</w:t>
            </w:r>
          </w:p>
        </w:tc>
      </w:tr>
    </w:tbl>
    <w:p w14:paraId="07175A1F" w14:textId="77777777" w:rsidR="001A6FB0" w:rsidRPr="00826E4D" w:rsidRDefault="001A6FB0" w:rsidP="00EB1206">
      <w:pPr>
        <w:rPr>
          <w:sz w:val="20"/>
          <w:szCs w:val="20"/>
          <w:lang w:val="en-GB"/>
        </w:rPr>
      </w:pPr>
      <w:r w:rsidRPr="00826E4D">
        <w:rPr>
          <w:sz w:val="20"/>
          <w:szCs w:val="20"/>
          <w:lang w:val="en-GB"/>
        </w:rPr>
        <w:t>*</w:t>
      </w:r>
      <w:proofErr w:type="gramStart"/>
      <w:r w:rsidRPr="00826E4D">
        <w:rPr>
          <w:sz w:val="20"/>
          <w:szCs w:val="20"/>
          <w:lang w:val="en-GB"/>
        </w:rPr>
        <w:t>followed</w:t>
      </w:r>
      <w:proofErr w:type="gramEnd"/>
      <w:r w:rsidRPr="00826E4D">
        <w:rPr>
          <w:sz w:val="20"/>
          <w:szCs w:val="20"/>
          <w:lang w:val="en-GB"/>
        </w:rPr>
        <w:t xml:space="preserve"> by G</w:t>
      </w:r>
      <w:r>
        <w:rPr>
          <w:sz w:val="20"/>
          <w:szCs w:val="20"/>
          <w:lang w:val="en-GB"/>
        </w:rPr>
        <w:t>azyva</w:t>
      </w:r>
      <w:r w:rsidRPr="00826E4D">
        <w:rPr>
          <w:sz w:val="20"/>
          <w:szCs w:val="20"/>
          <w:lang w:val="en-GB"/>
        </w:rPr>
        <w:t xml:space="preserve"> maintenance</w:t>
      </w:r>
    </w:p>
    <w:p w14:paraId="25E8FC94" w14:textId="77777777" w:rsidR="001A6FB0" w:rsidRPr="00826E4D" w:rsidRDefault="001A6FB0" w:rsidP="00EB1206">
      <w:pPr>
        <w:rPr>
          <w:sz w:val="20"/>
          <w:szCs w:val="20"/>
          <w:lang w:val="en-GB"/>
        </w:rPr>
      </w:pPr>
      <w:r w:rsidRPr="00826E4D">
        <w:rPr>
          <w:sz w:val="20"/>
          <w:szCs w:val="20"/>
          <w:vertAlign w:val="superscript"/>
          <w:lang w:val="en-GB"/>
        </w:rPr>
        <w:t>a</w:t>
      </w:r>
      <w:r w:rsidRPr="00826E4D">
        <w:rPr>
          <w:sz w:val="20"/>
          <w:szCs w:val="20"/>
          <w:lang w:val="en-US"/>
        </w:rPr>
        <w:t>MedDRA coded adverse reactions as reported by investigators (excluding IRRs).</w:t>
      </w:r>
    </w:p>
    <w:p w14:paraId="762E7EC6" w14:textId="77777777" w:rsidR="001A6FB0" w:rsidRPr="00826E4D" w:rsidRDefault="001A6FB0" w:rsidP="00EB1206">
      <w:pPr>
        <w:rPr>
          <w:sz w:val="20"/>
          <w:szCs w:val="20"/>
          <w:lang w:val="en-GB"/>
        </w:rPr>
      </w:pPr>
      <w:r w:rsidRPr="00826E4D">
        <w:rPr>
          <w:sz w:val="20"/>
          <w:szCs w:val="20"/>
          <w:vertAlign w:val="superscript"/>
          <w:lang w:val="en-GB"/>
        </w:rPr>
        <w:t xml:space="preserve">† </w:t>
      </w:r>
      <w:r w:rsidRPr="00826E4D">
        <w:rPr>
          <w:sz w:val="20"/>
          <w:szCs w:val="20"/>
          <w:lang w:val="en-GB"/>
        </w:rPr>
        <w:t>No Grade 5 adverse reactions have been observed with a difference of ≥ 2% between the treatment arms</w:t>
      </w:r>
    </w:p>
    <w:p w14:paraId="70C256EE" w14:textId="77777777" w:rsidR="001A6FB0" w:rsidRPr="00826E4D" w:rsidRDefault="001A6FB0" w:rsidP="00EB1206">
      <w:pPr>
        <w:rPr>
          <w:sz w:val="20"/>
          <w:szCs w:val="20"/>
          <w:lang w:val="en-GB"/>
        </w:rPr>
      </w:pPr>
      <w:r w:rsidRPr="00826E4D">
        <w:rPr>
          <w:sz w:val="20"/>
          <w:szCs w:val="20"/>
          <w:vertAlign w:val="superscript"/>
          <w:lang w:val="en-GB"/>
        </w:rPr>
        <w:lastRenderedPageBreak/>
        <w:t>‡</w:t>
      </w:r>
      <w:r w:rsidRPr="00826E4D">
        <w:rPr>
          <w:sz w:val="20"/>
          <w:szCs w:val="20"/>
          <w:vertAlign w:val="superscript"/>
          <w:lang w:val="en-US"/>
        </w:rPr>
        <w:t xml:space="preserve"> </w:t>
      </w:r>
      <w:proofErr w:type="gramStart"/>
      <w:r w:rsidRPr="00826E4D">
        <w:rPr>
          <w:sz w:val="20"/>
          <w:szCs w:val="20"/>
          <w:lang w:val="en-GB"/>
        </w:rPr>
        <w:t>defined</w:t>
      </w:r>
      <w:proofErr w:type="gramEnd"/>
      <w:r w:rsidRPr="00826E4D">
        <w:rPr>
          <w:sz w:val="20"/>
          <w:szCs w:val="20"/>
          <w:lang w:val="en-GB"/>
        </w:rPr>
        <w:t xml:space="preserve"> as any related adverse event that occurred during or within 24 hours of infusion</w:t>
      </w:r>
    </w:p>
    <w:p w14:paraId="6A8DE2F7" w14:textId="312D50EB" w:rsidR="001A6FB0" w:rsidRDefault="001A6FB0" w:rsidP="00EB1206">
      <w:pPr>
        <w:spacing w:before="240"/>
      </w:pPr>
      <w:r>
        <w:t>In study GAO4753g, p</w:t>
      </w:r>
      <w:r w:rsidRPr="00FF262E">
        <w:t xml:space="preserve">atients in the B arm received 6 months of induction treatment only, whereas after the induction period, patients in the G+B arm </w:t>
      </w:r>
      <w:proofErr w:type="gramStart"/>
      <w:r w:rsidRPr="00FF262E">
        <w:t>continued on</w:t>
      </w:r>
      <w:proofErr w:type="gramEnd"/>
      <w:r w:rsidRPr="00FF262E">
        <w:t xml:space="preserve"> with </w:t>
      </w:r>
      <w:r>
        <w:rPr>
          <w:lang w:val="en-US"/>
        </w:rPr>
        <w:t>Gazyva</w:t>
      </w:r>
      <w:r w:rsidRPr="00FF262E">
        <w:t xml:space="preserve"> maintenance treatment. During the maintenance period with </w:t>
      </w:r>
      <w:r>
        <w:rPr>
          <w:lang w:val="en-US"/>
        </w:rPr>
        <w:t>Gazyva</w:t>
      </w:r>
      <w:r w:rsidRPr="00FF262E">
        <w:t>, the most common adverse reactions were cough (</w:t>
      </w:r>
      <w:r w:rsidR="00982910">
        <w:t>20.3</w:t>
      </w:r>
      <w:r w:rsidRPr="00FF262E">
        <w:t xml:space="preserve">%), </w:t>
      </w:r>
      <w:r w:rsidR="00982910" w:rsidRPr="00FF262E">
        <w:t>neutropenia (</w:t>
      </w:r>
      <w:r w:rsidR="00982910">
        <w:t>12.7</w:t>
      </w:r>
      <w:r w:rsidR="00982910" w:rsidRPr="00FF262E">
        <w:t>%),</w:t>
      </w:r>
      <w:r w:rsidR="00982910">
        <w:t xml:space="preserve"> </w:t>
      </w:r>
      <w:r w:rsidRPr="00FF262E">
        <w:t>upper respiratory tract infections (</w:t>
      </w:r>
      <w:r w:rsidR="00982910">
        <w:t>12.0</w:t>
      </w:r>
      <w:r w:rsidRPr="00FF262E">
        <w:t xml:space="preserve">%), </w:t>
      </w:r>
      <w:r w:rsidR="00982910" w:rsidRPr="00FF262E">
        <w:t>diarrhoea (</w:t>
      </w:r>
      <w:r w:rsidR="00982910">
        <w:t>10.1</w:t>
      </w:r>
      <w:r w:rsidR="00982910" w:rsidRPr="00FF262E">
        <w:t>%), bronchitis (</w:t>
      </w:r>
      <w:r w:rsidR="00982910">
        <w:t>9.5</w:t>
      </w:r>
      <w:r w:rsidR="00982910" w:rsidRPr="00FF262E">
        <w:t xml:space="preserve">%), </w:t>
      </w:r>
      <w:r w:rsidRPr="00FF262E">
        <w:t xml:space="preserve"> sinusitis (</w:t>
      </w:r>
      <w:r w:rsidR="00982910">
        <w:t>9.5</w:t>
      </w:r>
      <w:r w:rsidRPr="00FF262E">
        <w:t xml:space="preserve">%),  </w:t>
      </w:r>
      <w:r w:rsidR="00D42C15" w:rsidRPr="00FF262E">
        <w:t>nausea (</w:t>
      </w:r>
      <w:r w:rsidR="00D42C15">
        <w:t>8.9</w:t>
      </w:r>
      <w:r w:rsidR="00D42C15" w:rsidRPr="00FF262E">
        <w:t>%), fatigue (</w:t>
      </w:r>
      <w:r w:rsidR="00D42C15">
        <w:t>8.9</w:t>
      </w:r>
      <w:r w:rsidR="00D42C15" w:rsidRPr="00FF262E">
        <w:t xml:space="preserve">%), </w:t>
      </w:r>
      <w:r>
        <w:t>IRRs</w:t>
      </w:r>
      <w:r w:rsidRPr="00FF262E">
        <w:t xml:space="preserve"> (</w:t>
      </w:r>
      <w:r w:rsidR="00D42C15">
        <w:t>8.2</w:t>
      </w:r>
      <w:r w:rsidRPr="00FF262E">
        <w:t>%),</w:t>
      </w:r>
      <w:r w:rsidR="003C6DDF">
        <w:t xml:space="preserve"> </w:t>
      </w:r>
      <w:r w:rsidRPr="00FF262E">
        <w:t>urinary tract infections (</w:t>
      </w:r>
      <w:r w:rsidR="00A32621">
        <w:t>7</w:t>
      </w:r>
      <w:r w:rsidRPr="00FF262E">
        <w:t>.</w:t>
      </w:r>
      <w:r w:rsidR="00A32621">
        <w:t>0</w:t>
      </w:r>
      <w:r w:rsidRPr="00FF262E">
        <w:t>%)</w:t>
      </w:r>
      <w:r w:rsidR="00D42C15">
        <w:t xml:space="preserve">, </w:t>
      </w:r>
      <w:r w:rsidR="00D42C15" w:rsidRPr="00FF262E">
        <w:t>nasopharyngitis (</w:t>
      </w:r>
      <w:r w:rsidR="00D42C15">
        <w:t>7.0</w:t>
      </w:r>
      <w:r w:rsidR="00D42C15" w:rsidRPr="00FF262E">
        <w:t xml:space="preserve">%), </w:t>
      </w:r>
      <w:r w:rsidRPr="00FF262E">
        <w:t xml:space="preserve"> pyrexia </w:t>
      </w:r>
      <w:r>
        <w:t>(</w:t>
      </w:r>
      <w:r w:rsidR="00D42C15">
        <w:t>7.0</w:t>
      </w:r>
      <w:r>
        <w:t>%)</w:t>
      </w:r>
      <w:r w:rsidR="00A32621">
        <w:t>,</w:t>
      </w:r>
      <w:r w:rsidR="00D42C15">
        <w:t xml:space="preserve"> </w:t>
      </w:r>
      <w:r w:rsidR="00D42C15" w:rsidRPr="00FF262E">
        <w:t>arthralgia (</w:t>
      </w:r>
      <w:r w:rsidR="00D42C15">
        <w:t>6.3</w:t>
      </w:r>
      <w:r w:rsidR="00D42C15" w:rsidRPr="00FF262E">
        <w:t>%),</w:t>
      </w:r>
      <w:r w:rsidR="00D42C15">
        <w:t xml:space="preserve"> vomiting (5.7%), rash (5.7%), pneumonia (5.1%), dyspnoea (5.1%) and pain in extremity (5.1%)</w:t>
      </w:r>
      <w:r>
        <w:t>. The most common grade 3-</w:t>
      </w:r>
      <w:r w:rsidRPr="00FF262E">
        <w:t xml:space="preserve">5 adverse reactions were neutropenia </w:t>
      </w:r>
      <w:r w:rsidR="00A32621">
        <w:t>(</w:t>
      </w:r>
      <w:r w:rsidR="00D42C15">
        <w:t>10.8</w:t>
      </w:r>
      <w:r w:rsidRPr="00FF262E">
        <w:t xml:space="preserve">%), </w:t>
      </w:r>
      <w:r w:rsidR="00D42C15" w:rsidRPr="00FF262E">
        <w:t xml:space="preserve">febrile neutropenia </w:t>
      </w:r>
      <w:r w:rsidR="00D42C15">
        <w:t xml:space="preserve">(1.9%) </w:t>
      </w:r>
      <w:r w:rsidRPr="00FF262E">
        <w:t xml:space="preserve">and anaemia, thrombocytopenia, </w:t>
      </w:r>
      <w:r w:rsidR="00D42C15">
        <w:t xml:space="preserve">pneumonia, </w:t>
      </w:r>
      <w:r w:rsidRPr="00FF262E">
        <w:t xml:space="preserve">sepsis, upper respiratory tract infection, and urinary tract infection (all at </w:t>
      </w:r>
      <w:r w:rsidR="00D42C15">
        <w:t>1.3</w:t>
      </w:r>
      <w:r w:rsidRPr="00FF262E">
        <w:t>%).</w:t>
      </w:r>
    </w:p>
    <w:p w14:paraId="60491D55" w14:textId="380E654C" w:rsidR="001A6FB0" w:rsidRDefault="001A6FB0" w:rsidP="00EB1206">
      <w:pPr>
        <w:spacing w:before="240"/>
      </w:pPr>
      <w:r>
        <w:t xml:space="preserve">The adverse drug reactions (ADRs) described in Table </w:t>
      </w:r>
      <w:r w:rsidR="005D2569">
        <w:t>10</w:t>
      </w:r>
      <w:r>
        <w:t xml:space="preserve"> (based on a safety population of 1390 patients with indolent NHL) were identified during induction, maintenance and follow-up from study BO21223, in which patients were treated with either Gazyva or rituximab in combination with chemotherapy followed by Gazyva or rituximab monotherapy in responding patients, every 2 months until disease progression or for a maximum of 2 years. During combination therapy with chemotherapy, 93% of patients received all treatment cycles of Gazyva and 92% of patients received all treatment cycles of rituximab. Of the responding patients who commenced monotherapy with Gazyva or rituximab, 77% and 73% completed the full course, respectively.</w:t>
      </w:r>
    </w:p>
    <w:p w14:paraId="6FF72C87" w14:textId="1B50EA7B" w:rsidR="001A6FB0" w:rsidRDefault="001A6FB0" w:rsidP="00EB1206">
      <w:pPr>
        <w:spacing w:before="240"/>
      </w:pPr>
      <w:r w:rsidRPr="00A42C1E">
        <w:t xml:space="preserve">Table </w:t>
      </w:r>
      <w:r w:rsidR="005D2569">
        <w:t>10</w:t>
      </w:r>
      <w:r w:rsidRPr="00A42C1E">
        <w:t xml:space="preserve"> summari</w:t>
      </w:r>
      <w:r>
        <w:t>s</w:t>
      </w:r>
      <w:r w:rsidRPr="00A42C1E">
        <w:t>es the ADRs that occurred at a higher incidence (difference of ≥ 2%) in patients receiving G</w:t>
      </w:r>
      <w:r>
        <w:t>azyva</w:t>
      </w:r>
      <w:r w:rsidRPr="00A42C1E">
        <w:t xml:space="preserve"> plus chemotherapy </w:t>
      </w:r>
      <w:r>
        <w:t>during induction followed by Gazyva maintenance as compared to rituximab</w:t>
      </w:r>
      <w:r w:rsidRPr="00A42C1E">
        <w:t xml:space="preserve"> plus chemotherapy</w:t>
      </w:r>
      <w:r>
        <w:t xml:space="preserve"> during induction followed by rituximab maintenance in study BO21223. </w:t>
      </w:r>
    </w:p>
    <w:p w14:paraId="78743166" w14:textId="0A402A4F" w:rsidR="001A6FB0" w:rsidRPr="00A42C1E" w:rsidRDefault="001A6FB0" w:rsidP="00EB1206">
      <w:pPr>
        <w:spacing w:before="240" w:after="120"/>
        <w:rPr>
          <w:b/>
        </w:rPr>
      </w:pPr>
      <w:r w:rsidRPr="00A42C1E">
        <w:rPr>
          <w:b/>
        </w:rPr>
        <w:t xml:space="preserve">Table </w:t>
      </w:r>
      <w:r w:rsidR="005D2569">
        <w:rPr>
          <w:b/>
        </w:rPr>
        <w:t>10</w:t>
      </w:r>
      <w:r w:rsidRPr="00A42C1E">
        <w:rPr>
          <w:b/>
        </w:rPr>
        <w:t xml:space="preserve"> Adverse Reactions reported with a higher incidence (difference of ≥ 2%) in patients receiving G</w:t>
      </w:r>
      <w:r>
        <w:rPr>
          <w:b/>
        </w:rPr>
        <w:t>azyva</w:t>
      </w:r>
      <w:r w:rsidRPr="00A42C1E">
        <w:rPr>
          <w:b/>
        </w:rPr>
        <w:t xml:space="preserve"> plus chemotherapy vs rituximab plus chemotherapy</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1559"/>
        <w:gridCol w:w="1701"/>
        <w:gridCol w:w="1657"/>
        <w:gridCol w:w="1710"/>
      </w:tblGrid>
      <w:tr w:rsidR="001A6FB0" w:rsidRPr="00A42C1E" w14:paraId="401C2333" w14:textId="77777777" w:rsidTr="00616FE6">
        <w:trPr>
          <w:trHeight w:val="20"/>
          <w:tblHeader/>
          <w:jc w:val="center"/>
        </w:trPr>
        <w:tc>
          <w:tcPr>
            <w:tcW w:w="2661" w:type="dxa"/>
            <w:shd w:val="clear" w:color="auto" w:fill="auto"/>
            <w:vAlign w:val="center"/>
          </w:tcPr>
          <w:p w14:paraId="1C9807B9" w14:textId="77777777" w:rsidR="001A6FB0" w:rsidRPr="00A42C1E" w:rsidRDefault="001A6FB0" w:rsidP="00EB1206">
            <w:pPr>
              <w:rPr>
                <w:b/>
                <w:sz w:val="22"/>
                <w:lang w:val="en-GB"/>
              </w:rPr>
            </w:pPr>
            <w:r w:rsidRPr="00A42C1E">
              <w:rPr>
                <w:b/>
                <w:sz w:val="22"/>
                <w:lang w:val="en-GB"/>
              </w:rPr>
              <w:t xml:space="preserve">ADR </w:t>
            </w:r>
            <w:r w:rsidRPr="00A42C1E">
              <w:rPr>
                <w:b/>
                <w:bCs/>
                <w:sz w:val="22"/>
                <w:lang w:val="en-GB"/>
              </w:rPr>
              <w:t>(</w:t>
            </w:r>
            <w:proofErr w:type="spellStart"/>
            <w:r w:rsidRPr="00A42C1E">
              <w:rPr>
                <w:b/>
                <w:bCs/>
                <w:sz w:val="22"/>
                <w:lang w:val="en-GB"/>
              </w:rPr>
              <w:t>MedDRA</w:t>
            </w:r>
            <w:r w:rsidRPr="00A42C1E">
              <w:rPr>
                <w:b/>
                <w:bCs/>
                <w:sz w:val="22"/>
                <w:vertAlign w:val="superscript"/>
                <w:lang w:val="en-GB"/>
              </w:rPr>
              <w:t>a</w:t>
            </w:r>
            <w:proofErr w:type="spellEnd"/>
            <w:r w:rsidRPr="00A42C1E">
              <w:rPr>
                <w:b/>
                <w:bCs/>
                <w:sz w:val="22"/>
                <w:lang w:val="en-GB"/>
              </w:rPr>
              <w:t>)</w:t>
            </w:r>
          </w:p>
          <w:p w14:paraId="0F6D0CD1" w14:textId="77777777" w:rsidR="001A6FB0" w:rsidRPr="00A42C1E" w:rsidRDefault="001A6FB0" w:rsidP="00EB1206">
            <w:pPr>
              <w:rPr>
                <w:b/>
                <w:bCs/>
                <w:sz w:val="22"/>
                <w:lang w:val="en-GB"/>
              </w:rPr>
            </w:pPr>
            <w:r w:rsidRPr="00A42C1E">
              <w:rPr>
                <w:b/>
                <w:bCs/>
                <w:sz w:val="22"/>
                <w:lang w:val="en-GB"/>
              </w:rPr>
              <w:t>System Organ Class</w:t>
            </w:r>
          </w:p>
        </w:tc>
        <w:tc>
          <w:tcPr>
            <w:tcW w:w="3260" w:type="dxa"/>
            <w:gridSpan w:val="2"/>
            <w:shd w:val="clear" w:color="auto" w:fill="auto"/>
            <w:vAlign w:val="center"/>
          </w:tcPr>
          <w:p w14:paraId="659161C6" w14:textId="77777777" w:rsidR="001A6FB0" w:rsidRPr="00A42C1E" w:rsidRDefault="001A6FB0" w:rsidP="00EB1206">
            <w:pPr>
              <w:rPr>
                <w:b/>
                <w:bCs/>
                <w:sz w:val="22"/>
                <w:lang w:val="en-GB"/>
              </w:rPr>
            </w:pPr>
            <w:r w:rsidRPr="00A42C1E">
              <w:rPr>
                <w:b/>
                <w:sz w:val="22"/>
                <w:lang w:val="en-GB"/>
              </w:rPr>
              <w:t>All Grades %</w:t>
            </w:r>
          </w:p>
        </w:tc>
        <w:tc>
          <w:tcPr>
            <w:tcW w:w="3367" w:type="dxa"/>
            <w:gridSpan w:val="2"/>
            <w:vAlign w:val="center"/>
          </w:tcPr>
          <w:p w14:paraId="1560DD72" w14:textId="77777777" w:rsidR="001A6FB0" w:rsidRPr="00A42C1E" w:rsidRDefault="001A6FB0" w:rsidP="00EB1206">
            <w:pPr>
              <w:rPr>
                <w:b/>
                <w:sz w:val="22"/>
                <w:lang w:val="en-GB"/>
              </w:rPr>
            </w:pPr>
            <w:r w:rsidRPr="00A42C1E">
              <w:rPr>
                <w:b/>
                <w:sz w:val="22"/>
                <w:lang w:val="en-GB"/>
              </w:rPr>
              <w:t>Grades 3-5</w:t>
            </w:r>
            <w:r w:rsidRPr="00A42C1E">
              <w:rPr>
                <w:b/>
                <w:sz w:val="22"/>
                <w:vertAlign w:val="superscript"/>
                <w:lang w:val="en-GB"/>
              </w:rPr>
              <w:t>†</w:t>
            </w:r>
            <w:r w:rsidRPr="00A42C1E">
              <w:rPr>
                <w:b/>
                <w:sz w:val="22"/>
                <w:lang w:val="en-GB"/>
              </w:rPr>
              <w:t xml:space="preserve"> %</w:t>
            </w:r>
          </w:p>
        </w:tc>
      </w:tr>
      <w:tr w:rsidR="001A6FB0" w:rsidRPr="00A42C1E" w14:paraId="457A6085" w14:textId="77777777" w:rsidTr="00616FE6">
        <w:trPr>
          <w:trHeight w:val="20"/>
          <w:tblHeader/>
          <w:jc w:val="center"/>
        </w:trPr>
        <w:tc>
          <w:tcPr>
            <w:tcW w:w="2661" w:type="dxa"/>
            <w:shd w:val="clear" w:color="auto" w:fill="auto"/>
            <w:vAlign w:val="center"/>
          </w:tcPr>
          <w:p w14:paraId="127F2BA1" w14:textId="77777777" w:rsidR="001A6FB0" w:rsidRPr="00A42C1E" w:rsidRDefault="001A6FB0" w:rsidP="00EB1206">
            <w:pPr>
              <w:rPr>
                <w:b/>
                <w:sz w:val="22"/>
                <w:lang w:val="en-GB"/>
              </w:rPr>
            </w:pPr>
          </w:p>
        </w:tc>
        <w:tc>
          <w:tcPr>
            <w:tcW w:w="1559" w:type="dxa"/>
            <w:shd w:val="clear" w:color="auto" w:fill="auto"/>
            <w:vAlign w:val="center"/>
          </w:tcPr>
          <w:p w14:paraId="33B979A2" w14:textId="77777777" w:rsidR="001A6FB0" w:rsidRPr="00A42C1E" w:rsidRDefault="001A6FB0" w:rsidP="00EB1206">
            <w:pPr>
              <w:rPr>
                <w:b/>
                <w:bCs/>
                <w:sz w:val="22"/>
                <w:lang w:val="en-GB"/>
              </w:rPr>
            </w:pPr>
            <w:r w:rsidRPr="00A42C1E">
              <w:rPr>
                <w:b/>
                <w:bCs/>
                <w:sz w:val="22"/>
                <w:lang w:val="en-GB"/>
              </w:rPr>
              <w:t>rituximab +</w:t>
            </w:r>
            <w:r>
              <w:rPr>
                <w:b/>
                <w:bCs/>
                <w:sz w:val="22"/>
                <w:lang w:val="en-GB"/>
              </w:rPr>
              <w:t xml:space="preserve"> </w:t>
            </w:r>
            <w:r w:rsidRPr="00A42C1E">
              <w:rPr>
                <w:b/>
                <w:bCs/>
                <w:sz w:val="22"/>
                <w:lang w:val="en-GB"/>
              </w:rPr>
              <w:t>chemo</w:t>
            </w:r>
          </w:p>
          <w:p w14:paraId="6D7C13E4" w14:textId="77777777" w:rsidR="001A6FB0" w:rsidRPr="00A42C1E" w:rsidRDefault="001A6FB0" w:rsidP="00EB1206">
            <w:pPr>
              <w:rPr>
                <w:b/>
                <w:sz w:val="22"/>
                <w:lang w:val="en-GB"/>
              </w:rPr>
            </w:pPr>
            <w:r w:rsidRPr="00A42C1E">
              <w:rPr>
                <w:b/>
                <w:bCs/>
                <w:sz w:val="22"/>
                <w:lang w:val="en-GB"/>
              </w:rPr>
              <w:t>n=692</w:t>
            </w:r>
          </w:p>
        </w:tc>
        <w:tc>
          <w:tcPr>
            <w:tcW w:w="1701" w:type="dxa"/>
            <w:shd w:val="clear" w:color="auto" w:fill="auto"/>
            <w:vAlign w:val="center"/>
          </w:tcPr>
          <w:p w14:paraId="4C13FC13" w14:textId="77777777" w:rsidR="001A6FB0" w:rsidRPr="00A42C1E" w:rsidRDefault="001A6FB0" w:rsidP="00EB1206">
            <w:pPr>
              <w:rPr>
                <w:b/>
                <w:bCs/>
                <w:sz w:val="22"/>
                <w:lang w:val="en-GB"/>
              </w:rPr>
            </w:pPr>
            <w:r w:rsidRPr="00A42C1E">
              <w:rPr>
                <w:b/>
                <w:bCs/>
                <w:sz w:val="22"/>
                <w:lang w:val="en-GB"/>
              </w:rPr>
              <w:t>G</w:t>
            </w:r>
            <w:r>
              <w:rPr>
                <w:b/>
                <w:bCs/>
                <w:sz w:val="22"/>
                <w:lang w:val="en-GB"/>
              </w:rPr>
              <w:t>azyva</w:t>
            </w:r>
            <w:r w:rsidRPr="00A42C1E">
              <w:rPr>
                <w:b/>
                <w:bCs/>
                <w:sz w:val="22"/>
                <w:lang w:val="en-GB"/>
              </w:rPr>
              <w:t xml:space="preserve"> + chemo</w:t>
            </w:r>
            <w:r w:rsidRPr="00A42C1E">
              <w:rPr>
                <w:b/>
                <w:bCs/>
                <w:sz w:val="22"/>
                <w:lang w:val="en-GB"/>
              </w:rPr>
              <w:br/>
            </w:r>
            <w:r w:rsidRPr="00A42C1E">
              <w:rPr>
                <w:b/>
                <w:sz w:val="22"/>
                <w:lang w:val="en-GB"/>
              </w:rPr>
              <w:t>n=698</w:t>
            </w:r>
          </w:p>
        </w:tc>
        <w:tc>
          <w:tcPr>
            <w:tcW w:w="1657" w:type="dxa"/>
            <w:vAlign w:val="center"/>
          </w:tcPr>
          <w:p w14:paraId="35BA549F" w14:textId="77777777" w:rsidR="001A6FB0" w:rsidRPr="00A42C1E" w:rsidRDefault="001A6FB0" w:rsidP="00EB1206">
            <w:pPr>
              <w:rPr>
                <w:b/>
                <w:bCs/>
                <w:sz w:val="22"/>
                <w:lang w:val="en-GB"/>
              </w:rPr>
            </w:pPr>
            <w:r w:rsidRPr="00A42C1E">
              <w:rPr>
                <w:b/>
                <w:bCs/>
                <w:sz w:val="22"/>
                <w:lang w:val="en-GB"/>
              </w:rPr>
              <w:t>rituximab +</w:t>
            </w:r>
            <w:r>
              <w:rPr>
                <w:b/>
                <w:bCs/>
                <w:sz w:val="22"/>
                <w:lang w:val="en-GB"/>
              </w:rPr>
              <w:t xml:space="preserve"> </w:t>
            </w:r>
            <w:r w:rsidRPr="00A42C1E">
              <w:rPr>
                <w:b/>
                <w:bCs/>
                <w:sz w:val="22"/>
                <w:lang w:val="en-GB"/>
              </w:rPr>
              <w:t>chemo</w:t>
            </w:r>
          </w:p>
          <w:p w14:paraId="484D2AEF" w14:textId="77777777" w:rsidR="001A6FB0" w:rsidRPr="00A42C1E" w:rsidRDefault="001A6FB0" w:rsidP="00EB1206">
            <w:pPr>
              <w:rPr>
                <w:b/>
                <w:sz w:val="22"/>
                <w:lang w:val="en-GB"/>
              </w:rPr>
            </w:pPr>
            <w:r w:rsidRPr="00A42C1E">
              <w:rPr>
                <w:b/>
                <w:bCs/>
                <w:sz w:val="22"/>
                <w:lang w:val="en-GB"/>
              </w:rPr>
              <w:t>n=692</w:t>
            </w:r>
          </w:p>
        </w:tc>
        <w:tc>
          <w:tcPr>
            <w:tcW w:w="1710" w:type="dxa"/>
            <w:shd w:val="clear" w:color="auto" w:fill="auto"/>
            <w:vAlign w:val="center"/>
          </w:tcPr>
          <w:p w14:paraId="5374DE20" w14:textId="77777777" w:rsidR="001A6FB0" w:rsidRPr="00A42C1E" w:rsidRDefault="001A6FB0" w:rsidP="00EB1206">
            <w:pPr>
              <w:rPr>
                <w:b/>
                <w:sz w:val="22"/>
                <w:lang w:val="en-GB"/>
              </w:rPr>
            </w:pPr>
            <w:r w:rsidRPr="00A42C1E">
              <w:rPr>
                <w:b/>
                <w:bCs/>
                <w:sz w:val="22"/>
                <w:lang w:val="en-GB"/>
              </w:rPr>
              <w:t>G</w:t>
            </w:r>
            <w:r>
              <w:rPr>
                <w:b/>
                <w:bCs/>
                <w:sz w:val="22"/>
                <w:lang w:val="en-GB"/>
              </w:rPr>
              <w:t>azyva</w:t>
            </w:r>
            <w:r w:rsidRPr="00A42C1E">
              <w:rPr>
                <w:b/>
                <w:bCs/>
                <w:sz w:val="22"/>
                <w:lang w:val="en-GB"/>
              </w:rPr>
              <w:t xml:space="preserve"> + chemo</w:t>
            </w:r>
            <w:r w:rsidRPr="00A42C1E">
              <w:rPr>
                <w:b/>
                <w:bCs/>
                <w:sz w:val="22"/>
                <w:lang w:val="en-GB"/>
              </w:rPr>
              <w:br/>
            </w:r>
            <w:r w:rsidRPr="00A42C1E">
              <w:rPr>
                <w:b/>
                <w:sz w:val="22"/>
                <w:lang w:val="en-GB"/>
              </w:rPr>
              <w:t>n=698</w:t>
            </w:r>
          </w:p>
        </w:tc>
      </w:tr>
      <w:tr w:rsidR="001A6FB0" w:rsidRPr="00A42C1E" w14:paraId="225EB5E8" w14:textId="77777777" w:rsidTr="00616FE6">
        <w:trPr>
          <w:trHeight w:val="20"/>
          <w:jc w:val="center"/>
        </w:trPr>
        <w:tc>
          <w:tcPr>
            <w:tcW w:w="2661" w:type="dxa"/>
            <w:shd w:val="clear" w:color="auto" w:fill="auto"/>
          </w:tcPr>
          <w:p w14:paraId="02D5A191" w14:textId="77777777" w:rsidR="001A6FB0" w:rsidRPr="00A42C1E" w:rsidRDefault="001A6FB0" w:rsidP="00EB1206">
            <w:pPr>
              <w:rPr>
                <w:b/>
                <w:sz w:val="22"/>
                <w:lang w:val="en-GB"/>
              </w:rPr>
            </w:pPr>
            <w:r w:rsidRPr="00A42C1E">
              <w:rPr>
                <w:b/>
                <w:sz w:val="22"/>
                <w:lang w:val="en-GB"/>
              </w:rPr>
              <w:t>Injury, Poisoning and Procedural Complications</w:t>
            </w:r>
          </w:p>
        </w:tc>
        <w:tc>
          <w:tcPr>
            <w:tcW w:w="6627" w:type="dxa"/>
            <w:gridSpan w:val="4"/>
            <w:shd w:val="clear" w:color="auto" w:fill="auto"/>
          </w:tcPr>
          <w:p w14:paraId="58A3E395" w14:textId="77777777" w:rsidR="001A6FB0" w:rsidRPr="00A42C1E" w:rsidRDefault="001A6FB0" w:rsidP="00EB1206">
            <w:pPr>
              <w:rPr>
                <w:sz w:val="22"/>
                <w:lang w:val="en-GB"/>
              </w:rPr>
            </w:pPr>
          </w:p>
        </w:tc>
      </w:tr>
      <w:tr w:rsidR="001A6FB0" w:rsidRPr="00A42C1E" w14:paraId="2B2CED8B" w14:textId="77777777" w:rsidTr="00616FE6">
        <w:trPr>
          <w:trHeight w:val="20"/>
          <w:jc w:val="center"/>
        </w:trPr>
        <w:tc>
          <w:tcPr>
            <w:tcW w:w="2661" w:type="dxa"/>
            <w:shd w:val="clear" w:color="auto" w:fill="auto"/>
          </w:tcPr>
          <w:p w14:paraId="2675498B" w14:textId="77777777" w:rsidR="001A6FB0" w:rsidRPr="00A42C1E" w:rsidRDefault="001A6FB0" w:rsidP="00EB1206">
            <w:pPr>
              <w:rPr>
                <w:sz w:val="22"/>
                <w:lang w:val="en-GB"/>
              </w:rPr>
            </w:pPr>
            <w:r w:rsidRPr="00A42C1E">
              <w:rPr>
                <w:sz w:val="22"/>
                <w:lang w:val="en-GB"/>
              </w:rPr>
              <w:t>Infusion related reactions</w:t>
            </w:r>
            <w:r w:rsidRPr="00A42C1E">
              <w:rPr>
                <w:sz w:val="22"/>
                <w:vertAlign w:val="superscript"/>
                <w:lang w:val="en-GB"/>
              </w:rPr>
              <w:t>‡</w:t>
            </w:r>
          </w:p>
        </w:tc>
        <w:tc>
          <w:tcPr>
            <w:tcW w:w="1559" w:type="dxa"/>
            <w:shd w:val="clear" w:color="auto" w:fill="auto"/>
          </w:tcPr>
          <w:p w14:paraId="7C931F2D" w14:textId="77777777" w:rsidR="001A6FB0" w:rsidRPr="00A42C1E" w:rsidRDefault="001A6FB0" w:rsidP="00EB1206">
            <w:pPr>
              <w:rPr>
                <w:sz w:val="22"/>
                <w:lang w:val="en-GB"/>
              </w:rPr>
            </w:pPr>
            <w:r w:rsidRPr="00A42C1E">
              <w:rPr>
                <w:sz w:val="22"/>
                <w:lang w:val="en-GB"/>
              </w:rPr>
              <w:t>60.1</w:t>
            </w:r>
          </w:p>
        </w:tc>
        <w:tc>
          <w:tcPr>
            <w:tcW w:w="1701" w:type="dxa"/>
            <w:shd w:val="clear" w:color="auto" w:fill="auto"/>
          </w:tcPr>
          <w:p w14:paraId="331FFEB4" w14:textId="77777777" w:rsidR="001A6FB0" w:rsidRPr="00A42C1E" w:rsidRDefault="001A6FB0" w:rsidP="00EB1206">
            <w:pPr>
              <w:rPr>
                <w:sz w:val="22"/>
                <w:lang w:val="en-GB"/>
              </w:rPr>
            </w:pPr>
            <w:r w:rsidRPr="00A42C1E">
              <w:rPr>
                <w:sz w:val="22"/>
                <w:lang w:val="en-GB"/>
              </w:rPr>
              <w:t>71.6</w:t>
            </w:r>
          </w:p>
        </w:tc>
        <w:tc>
          <w:tcPr>
            <w:tcW w:w="1657" w:type="dxa"/>
          </w:tcPr>
          <w:p w14:paraId="6D7B14E2" w14:textId="77777777" w:rsidR="001A6FB0" w:rsidRPr="00A42C1E" w:rsidRDefault="001A6FB0" w:rsidP="00EB1206">
            <w:pPr>
              <w:rPr>
                <w:sz w:val="22"/>
                <w:lang w:val="en-GB"/>
              </w:rPr>
            </w:pPr>
            <w:r w:rsidRPr="00A42C1E">
              <w:rPr>
                <w:sz w:val="22"/>
                <w:lang w:val="en-GB"/>
              </w:rPr>
              <w:t>8.5</w:t>
            </w:r>
          </w:p>
        </w:tc>
        <w:tc>
          <w:tcPr>
            <w:tcW w:w="1710" w:type="dxa"/>
            <w:shd w:val="clear" w:color="auto" w:fill="auto"/>
          </w:tcPr>
          <w:p w14:paraId="25DD059C" w14:textId="77777777" w:rsidR="001A6FB0" w:rsidRPr="00A42C1E" w:rsidRDefault="001A6FB0" w:rsidP="00EB1206">
            <w:pPr>
              <w:rPr>
                <w:sz w:val="22"/>
                <w:lang w:val="en-GB"/>
              </w:rPr>
            </w:pPr>
            <w:r w:rsidRPr="00A42C1E">
              <w:rPr>
                <w:sz w:val="22"/>
                <w:lang w:val="en-GB"/>
              </w:rPr>
              <w:t>12.3</w:t>
            </w:r>
          </w:p>
        </w:tc>
      </w:tr>
      <w:tr w:rsidR="001A6FB0" w:rsidRPr="00A42C1E" w14:paraId="58C87C20" w14:textId="77777777" w:rsidTr="00616FE6">
        <w:trPr>
          <w:trHeight w:val="20"/>
          <w:jc w:val="center"/>
        </w:trPr>
        <w:tc>
          <w:tcPr>
            <w:tcW w:w="2661" w:type="dxa"/>
            <w:shd w:val="clear" w:color="auto" w:fill="auto"/>
          </w:tcPr>
          <w:p w14:paraId="75A1A5FD" w14:textId="77777777" w:rsidR="001A6FB0" w:rsidRPr="00A42C1E" w:rsidRDefault="001A6FB0" w:rsidP="00EB1206">
            <w:pPr>
              <w:rPr>
                <w:b/>
                <w:sz w:val="22"/>
                <w:lang w:val="en-GB"/>
              </w:rPr>
            </w:pPr>
            <w:r w:rsidRPr="00A42C1E">
              <w:rPr>
                <w:b/>
                <w:sz w:val="22"/>
                <w:lang w:val="en-GB"/>
              </w:rPr>
              <w:t>Blood and Lymphatic System Disorders</w:t>
            </w:r>
          </w:p>
        </w:tc>
        <w:tc>
          <w:tcPr>
            <w:tcW w:w="6627" w:type="dxa"/>
            <w:gridSpan w:val="4"/>
            <w:shd w:val="clear" w:color="auto" w:fill="auto"/>
          </w:tcPr>
          <w:p w14:paraId="5569D977" w14:textId="77777777" w:rsidR="001A6FB0" w:rsidRPr="00A42C1E" w:rsidRDefault="001A6FB0" w:rsidP="00EB1206">
            <w:pPr>
              <w:rPr>
                <w:sz w:val="22"/>
                <w:lang w:val="en-GB"/>
              </w:rPr>
            </w:pPr>
          </w:p>
        </w:tc>
      </w:tr>
      <w:tr w:rsidR="001A6FB0" w:rsidRPr="00A42C1E" w14:paraId="4178FDA2" w14:textId="77777777" w:rsidTr="00616FE6">
        <w:trPr>
          <w:trHeight w:val="20"/>
          <w:jc w:val="center"/>
        </w:trPr>
        <w:tc>
          <w:tcPr>
            <w:tcW w:w="2661" w:type="dxa"/>
            <w:shd w:val="clear" w:color="auto" w:fill="auto"/>
          </w:tcPr>
          <w:p w14:paraId="1E4EC5EC" w14:textId="77777777" w:rsidR="001A6FB0" w:rsidRPr="00A42C1E" w:rsidRDefault="001A6FB0" w:rsidP="00EB1206">
            <w:pPr>
              <w:rPr>
                <w:sz w:val="22"/>
                <w:lang w:val="en-GB"/>
              </w:rPr>
            </w:pPr>
            <w:r w:rsidRPr="00A42C1E">
              <w:rPr>
                <w:sz w:val="22"/>
                <w:lang w:val="en-GB"/>
              </w:rPr>
              <w:t>Neutropenia</w:t>
            </w:r>
          </w:p>
        </w:tc>
        <w:tc>
          <w:tcPr>
            <w:tcW w:w="1559" w:type="dxa"/>
            <w:shd w:val="clear" w:color="auto" w:fill="auto"/>
          </w:tcPr>
          <w:p w14:paraId="4F0BB099" w14:textId="77777777" w:rsidR="001A6FB0" w:rsidRPr="00A42C1E" w:rsidRDefault="001A6FB0" w:rsidP="00EB1206">
            <w:pPr>
              <w:rPr>
                <w:sz w:val="22"/>
                <w:lang w:val="en-GB"/>
              </w:rPr>
            </w:pPr>
            <w:r w:rsidRPr="00A42C1E">
              <w:rPr>
                <w:sz w:val="22"/>
                <w:lang w:val="en-GB"/>
              </w:rPr>
              <w:t>44.9</w:t>
            </w:r>
          </w:p>
        </w:tc>
        <w:tc>
          <w:tcPr>
            <w:tcW w:w="1701" w:type="dxa"/>
            <w:shd w:val="clear" w:color="auto" w:fill="auto"/>
          </w:tcPr>
          <w:p w14:paraId="0E82AA76" w14:textId="77777777" w:rsidR="001A6FB0" w:rsidRPr="00A42C1E" w:rsidRDefault="001A6FB0" w:rsidP="00EB1206">
            <w:pPr>
              <w:rPr>
                <w:sz w:val="22"/>
                <w:lang w:val="en-GB"/>
              </w:rPr>
            </w:pPr>
            <w:r w:rsidRPr="00A42C1E">
              <w:rPr>
                <w:sz w:val="22"/>
                <w:lang w:val="en-GB"/>
              </w:rPr>
              <w:t>50.3</w:t>
            </w:r>
          </w:p>
        </w:tc>
        <w:tc>
          <w:tcPr>
            <w:tcW w:w="1657" w:type="dxa"/>
          </w:tcPr>
          <w:p w14:paraId="45D23248" w14:textId="77777777" w:rsidR="001A6FB0" w:rsidRPr="00A42C1E" w:rsidRDefault="001A6FB0" w:rsidP="00EB1206">
            <w:pPr>
              <w:rPr>
                <w:sz w:val="22"/>
                <w:lang w:val="en-GB"/>
              </w:rPr>
            </w:pPr>
            <w:r w:rsidRPr="00A42C1E">
              <w:rPr>
                <w:sz w:val="22"/>
                <w:lang w:val="en-GB"/>
              </w:rPr>
              <w:t>39.6</w:t>
            </w:r>
          </w:p>
        </w:tc>
        <w:tc>
          <w:tcPr>
            <w:tcW w:w="1710" w:type="dxa"/>
            <w:shd w:val="clear" w:color="auto" w:fill="auto"/>
          </w:tcPr>
          <w:p w14:paraId="2BDFBD96" w14:textId="77777777" w:rsidR="001A6FB0" w:rsidRPr="00A42C1E" w:rsidRDefault="001A6FB0" w:rsidP="00EB1206">
            <w:pPr>
              <w:rPr>
                <w:sz w:val="22"/>
                <w:lang w:val="en-GB"/>
              </w:rPr>
            </w:pPr>
            <w:r w:rsidRPr="00A42C1E">
              <w:rPr>
                <w:sz w:val="22"/>
                <w:lang w:val="en-GB"/>
              </w:rPr>
              <w:t>46.4</w:t>
            </w:r>
          </w:p>
        </w:tc>
      </w:tr>
      <w:tr w:rsidR="001A6FB0" w:rsidRPr="00A42C1E" w14:paraId="23F7B609" w14:textId="77777777" w:rsidTr="00616FE6">
        <w:trPr>
          <w:trHeight w:val="20"/>
          <w:jc w:val="center"/>
        </w:trPr>
        <w:tc>
          <w:tcPr>
            <w:tcW w:w="2661" w:type="dxa"/>
            <w:shd w:val="clear" w:color="auto" w:fill="auto"/>
          </w:tcPr>
          <w:p w14:paraId="59A6F708" w14:textId="77777777" w:rsidR="001A6FB0" w:rsidRPr="00A42C1E" w:rsidRDefault="001A6FB0" w:rsidP="00EB1206">
            <w:pPr>
              <w:rPr>
                <w:sz w:val="22"/>
                <w:lang w:val="en-GB"/>
              </w:rPr>
            </w:pPr>
            <w:r w:rsidRPr="00A42C1E">
              <w:rPr>
                <w:sz w:val="22"/>
                <w:lang w:val="en-GB"/>
              </w:rPr>
              <w:t>Thrombocytopenia</w:t>
            </w:r>
          </w:p>
        </w:tc>
        <w:tc>
          <w:tcPr>
            <w:tcW w:w="1559" w:type="dxa"/>
            <w:shd w:val="clear" w:color="auto" w:fill="auto"/>
          </w:tcPr>
          <w:p w14:paraId="755FDD2C" w14:textId="77777777" w:rsidR="001A6FB0" w:rsidRPr="00A42C1E" w:rsidRDefault="001A6FB0" w:rsidP="00EB1206">
            <w:pPr>
              <w:rPr>
                <w:sz w:val="22"/>
                <w:lang w:val="en-GB"/>
              </w:rPr>
            </w:pPr>
            <w:r w:rsidRPr="00A42C1E">
              <w:rPr>
                <w:sz w:val="22"/>
                <w:lang w:val="en-GB"/>
              </w:rPr>
              <w:t>7.5</w:t>
            </w:r>
          </w:p>
        </w:tc>
        <w:tc>
          <w:tcPr>
            <w:tcW w:w="1701" w:type="dxa"/>
            <w:shd w:val="clear" w:color="auto" w:fill="auto"/>
          </w:tcPr>
          <w:p w14:paraId="79B4D711" w14:textId="77777777" w:rsidR="001A6FB0" w:rsidRPr="00A42C1E" w:rsidRDefault="001A6FB0" w:rsidP="00EB1206">
            <w:pPr>
              <w:rPr>
                <w:sz w:val="22"/>
                <w:lang w:val="en-GB"/>
              </w:rPr>
            </w:pPr>
            <w:r w:rsidRPr="00A42C1E">
              <w:rPr>
                <w:sz w:val="22"/>
                <w:lang w:val="en-GB"/>
              </w:rPr>
              <w:t>12.3</w:t>
            </w:r>
          </w:p>
        </w:tc>
        <w:tc>
          <w:tcPr>
            <w:tcW w:w="1657" w:type="dxa"/>
          </w:tcPr>
          <w:p w14:paraId="29ABB192" w14:textId="77777777" w:rsidR="001A6FB0" w:rsidRPr="00A42C1E" w:rsidRDefault="001A6FB0" w:rsidP="00EB1206">
            <w:pPr>
              <w:rPr>
                <w:sz w:val="22"/>
                <w:lang w:val="en-GB"/>
              </w:rPr>
            </w:pPr>
            <w:r w:rsidRPr="00A42C1E">
              <w:rPr>
                <w:sz w:val="22"/>
                <w:lang w:val="en-GB"/>
              </w:rPr>
              <w:t>2.7</w:t>
            </w:r>
          </w:p>
        </w:tc>
        <w:tc>
          <w:tcPr>
            <w:tcW w:w="1710" w:type="dxa"/>
            <w:shd w:val="clear" w:color="auto" w:fill="auto"/>
          </w:tcPr>
          <w:p w14:paraId="3AC7F466" w14:textId="77777777" w:rsidR="001A6FB0" w:rsidRPr="00A42C1E" w:rsidRDefault="001A6FB0" w:rsidP="00EB1206">
            <w:pPr>
              <w:rPr>
                <w:sz w:val="22"/>
                <w:lang w:val="en-GB"/>
              </w:rPr>
            </w:pPr>
            <w:r w:rsidRPr="00A42C1E">
              <w:rPr>
                <w:sz w:val="22"/>
                <w:lang w:val="en-GB"/>
              </w:rPr>
              <w:t>6.3</w:t>
            </w:r>
          </w:p>
        </w:tc>
      </w:tr>
      <w:tr w:rsidR="001A6FB0" w:rsidRPr="00A42C1E" w14:paraId="62138873"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710F4DF5" w14:textId="77777777" w:rsidR="001A6FB0" w:rsidRPr="00A42C1E" w:rsidRDefault="001A6FB0" w:rsidP="00EB1206">
            <w:pPr>
              <w:rPr>
                <w:b/>
                <w:sz w:val="22"/>
                <w:lang w:val="en-GB"/>
              </w:rPr>
            </w:pPr>
            <w:r w:rsidRPr="00A42C1E">
              <w:rPr>
                <w:b/>
                <w:sz w:val="22"/>
                <w:lang w:val="en-GB"/>
              </w:rPr>
              <w:t>Gastrointestinal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732EB646" w14:textId="77777777" w:rsidR="001A6FB0" w:rsidRPr="00A42C1E" w:rsidRDefault="001A6FB0" w:rsidP="00EB1206">
            <w:pPr>
              <w:rPr>
                <w:sz w:val="22"/>
                <w:lang w:val="en-GB"/>
              </w:rPr>
            </w:pPr>
          </w:p>
        </w:tc>
      </w:tr>
      <w:tr w:rsidR="001A6FB0" w:rsidRPr="00A42C1E" w14:paraId="5500F681"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226688B5" w14:textId="77777777" w:rsidR="001A6FB0" w:rsidRPr="00A42C1E" w:rsidRDefault="001A6FB0" w:rsidP="00EB1206">
            <w:pPr>
              <w:rPr>
                <w:sz w:val="22"/>
                <w:lang w:val="en-GB"/>
              </w:rPr>
            </w:pPr>
            <w:r w:rsidRPr="00A42C1E">
              <w:rPr>
                <w:sz w:val="22"/>
                <w:lang w:val="en-GB"/>
              </w:rPr>
              <w:t>Nausea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9754EE" w14:textId="77777777" w:rsidR="001A6FB0" w:rsidRPr="00A42C1E" w:rsidRDefault="001A6FB0" w:rsidP="00EB1206">
            <w:pPr>
              <w:rPr>
                <w:sz w:val="22"/>
                <w:lang w:val="en-GB"/>
              </w:rPr>
            </w:pPr>
            <w:r w:rsidRPr="00A42C1E">
              <w:rPr>
                <w:sz w:val="22"/>
                <w:lang w:val="en-GB"/>
              </w:rPr>
              <w:t>37.9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A20BC0" w14:textId="77777777" w:rsidR="001A6FB0" w:rsidRPr="00A42C1E" w:rsidRDefault="001A6FB0" w:rsidP="00EB1206">
            <w:pPr>
              <w:rPr>
                <w:sz w:val="22"/>
                <w:lang w:val="en-GB"/>
              </w:rPr>
            </w:pPr>
            <w:r w:rsidRPr="00A42C1E">
              <w:rPr>
                <w:sz w:val="22"/>
                <w:lang w:val="en-GB"/>
              </w:rPr>
              <w:t>33.8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DA97DB1" w14:textId="77777777" w:rsidR="001A6FB0" w:rsidRPr="00A42C1E" w:rsidRDefault="001A6FB0" w:rsidP="00EB1206">
            <w:pPr>
              <w:rPr>
                <w:sz w:val="22"/>
                <w:lang w:val="en-GB"/>
              </w:rPr>
            </w:pPr>
            <w:r w:rsidRPr="00A42C1E">
              <w:rPr>
                <w:sz w:val="22"/>
                <w:lang w:val="en-GB"/>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A47F14E" w14:textId="77777777" w:rsidR="001A6FB0" w:rsidRPr="00A42C1E" w:rsidRDefault="001A6FB0" w:rsidP="00EB1206">
            <w:pPr>
              <w:rPr>
                <w:sz w:val="22"/>
                <w:lang w:val="en-GB"/>
              </w:rPr>
            </w:pPr>
            <w:r w:rsidRPr="00A42C1E">
              <w:rPr>
                <w:sz w:val="22"/>
                <w:lang w:val="en-GB"/>
              </w:rPr>
              <w:t>1.0</w:t>
            </w:r>
          </w:p>
        </w:tc>
      </w:tr>
      <w:tr w:rsidR="001A6FB0" w:rsidRPr="00A42C1E" w14:paraId="22CF782B"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20FDA368" w14:textId="77777777" w:rsidR="001A6FB0" w:rsidRPr="00A42C1E" w:rsidRDefault="001A6FB0" w:rsidP="00EB1206">
            <w:pPr>
              <w:rPr>
                <w:sz w:val="22"/>
                <w:lang w:val="en-GB"/>
              </w:rPr>
            </w:pPr>
            <w:r w:rsidRPr="00A42C1E">
              <w:rPr>
                <w:sz w:val="22"/>
                <w:lang w:val="en-GB"/>
              </w:rPr>
              <w:t>Constipation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729FE1" w14:textId="77777777" w:rsidR="001A6FB0" w:rsidRPr="00A42C1E" w:rsidRDefault="001A6FB0" w:rsidP="00EB1206">
            <w:pPr>
              <w:rPr>
                <w:sz w:val="22"/>
                <w:lang w:val="en-GB"/>
              </w:rPr>
            </w:pPr>
            <w:r w:rsidRPr="00A42C1E">
              <w:rPr>
                <w:sz w:val="22"/>
                <w:lang w:val="en-GB"/>
              </w:rPr>
              <w:t>29.2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6C3F12" w14:textId="77777777" w:rsidR="001A6FB0" w:rsidRPr="00A42C1E" w:rsidRDefault="001A6FB0" w:rsidP="00EB1206">
            <w:pPr>
              <w:rPr>
                <w:sz w:val="22"/>
                <w:lang w:val="en-GB"/>
              </w:rPr>
            </w:pPr>
            <w:r w:rsidRPr="00A42C1E">
              <w:rPr>
                <w:sz w:val="22"/>
                <w:lang w:val="en-GB"/>
              </w:rPr>
              <w:t>32.2</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0BC888D" w14:textId="77777777" w:rsidR="001A6FB0" w:rsidRPr="00A42C1E" w:rsidRDefault="001A6FB0" w:rsidP="00EB1206">
            <w:pPr>
              <w:rPr>
                <w:sz w:val="22"/>
                <w:lang w:val="en-GB"/>
              </w:rPr>
            </w:pPr>
            <w:r w:rsidRPr="00A42C1E">
              <w:rPr>
                <w:sz w:val="22"/>
                <w:lang w:val="en-GB"/>
              </w:rPr>
              <w:t>0.4</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BCF8288" w14:textId="77777777" w:rsidR="001A6FB0" w:rsidRPr="00A42C1E" w:rsidRDefault="001A6FB0" w:rsidP="00EB1206">
            <w:pPr>
              <w:rPr>
                <w:sz w:val="22"/>
                <w:lang w:val="en-GB"/>
              </w:rPr>
            </w:pPr>
            <w:r w:rsidRPr="00A42C1E">
              <w:rPr>
                <w:sz w:val="22"/>
                <w:lang w:val="en-GB"/>
              </w:rPr>
              <w:t>0.3</w:t>
            </w:r>
          </w:p>
        </w:tc>
      </w:tr>
      <w:tr w:rsidR="001A6FB0" w:rsidRPr="00A42C1E" w14:paraId="7F3CF16B"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C41DE85" w14:textId="77777777" w:rsidR="001A6FB0" w:rsidRPr="00A42C1E" w:rsidRDefault="001A6FB0" w:rsidP="00EB1206">
            <w:pPr>
              <w:rPr>
                <w:sz w:val="22"/>
                <w:lang w:val="en-GB"/>
              </w:rPr>
            </w:pPr>
            <w:r w:rsidRPr="00A42C1E">
              <w:rPr>
                <w:sz w:val="22"/>
                <w:lang w:val="en-GB"/>
              </w:rPr>
              <w:t>Diarrhoea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024013" w14:textId="77777777" w:rsidR="001A6FB0" w:rsidRPr="00A42C1E" w:rsidRDefault="001A6FB0" w:rsidP="00EB1206">
            <w:pPr>
              <w:rPr>
                <w:sz w:val="22"/>
                <w:lang w:val="en-GB"/>
              </w:rPr>
            </w:pPr>
            <w:r w:rsidRPr="00A42C1E">
              <w:rPr>
                <w:sz w:val="22"/>
                <w:lang w:val="en-GB"/>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60F5BD" w14:textId="77777777" w:rsidR="001A6FB0" w:rsidRPr="00A42C1E" w:rsidRDefault="001A6FB0" w:rsidP="00EB1206">
            <w:pPr>
              <w:rPr>
                <w:sz w:val="22"/>
                <w:lang w:val="en-GB"/>
              </w:rPr>
            </w:pPr>
            <w:r w:rsidRPr="00A42C1E">
              <w:rPr>
                <w:sz w:val="22"/>
                <w:lang w:val="en-GB"/>
              </w:rPr>
              <w:t>27.8</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5C02F86" w14:textId="77777777" w:rsidR="001A6FB0" w:rsidRPr="00A42C1E" w:rsidRDefault="001A6FB0" w:rsidP="00EB1206">
            <w:pPr>
              <w:rPr>
                <w:sz w:val="22"/>
                <w:lang w:val="en-GB"/>
              </w:rPr>
            </w:pPr>
            <w:r w:rsidRPr="00A42C1E">
              <w:rPr>
                <w:sz w:val="22"/>
                <w:lang w:val="en-GB"/>
              </w:rPr>
              <w:t>1.4</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8EBF5AF" w14:textId="77777777" w:rsidR="001A6FB0" w:rsidRPr="00A42C1E" w:rsidRDefault="001A6FB0" w:rsidP="00EB1206">
            <w:pPr>
              <w:rPr>
                <w:sz w:val="22"/>
                <w:lang w:val="en-GB"/>
              </w:rPr>
            </w:pPr>
            <w:r w:rsidRPr="00A42C1E">
              <w:rPr>
                <w:sz w:val="22"/>
                <w:lang w:val="en-GB"/>
              </w:rPr>
              <w:t>1.9</w:t>
            </w:r>
          </w:p>
        </w:tc>
      </w:tr>
      <w:tr w:rsidR="001A6FB0" w:rsidRPr="00A42C1E" w14:paraId="28C5499E"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60069493" w14:textId="77777777" w:rsidR="001A6FB0" w:rsidRPr="00A42C1E" w:rsidRDefault="001A6FB0" w:rsidP="00EB1206">
            <w:pPr>
              <w:rPr>
                <w:sz w:val="22"/>
                <w:lang w:val="en-GB"/>
              </w:rPr>
            </w:pPr>
            <w:r w:rsidRPr="00A42C1E">
              <w:rPr>
                <w:sz w:val="22"/>
                <w:lang w:val="en-GB"/>
              </w:rPr>
              <w:t>Dyspepsia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7EAB3C" w14:textId="77777777" w:rsidR="001A6FB0" w:rsidRPr="00A42C1E" w:rsidRDefault="001A6FB0" w:rsidP="00EB1206">
            <w:pPr>
              <w:rPr>
                <w:sz w:val="22"/>
                <w:lang w:val="en-GB"/>
              </w:rPr>
            </w:pPr>
            <w:r>
              <w:rPr>
                <w:sz w:val="22"/>
                <w:lang w:val="en-GB"/>
              </w:rPr>
              <w:t>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C02D9" w14:textId="77777777" w:rsidR="001A6FB0" w:rsidRPr="00A42C1E" w:rsidRDefault="001A6FB0" w:rsidP="00EB1206">
            <w:pPr>
              <w:rPr>
                <w:sz w:val="22"/>
                <w:lang w:val="en-GB"/>
              </w:rPr>
            </w:pPr>
            <w:r w:rsidRPr="00A42C1E">
              <w:rPr>
                <w:sz w:val="22"/>
                <w:lang w:val="en-GB"/>
              </w:rPr>
              <w:t>8.5</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D8627F5" w14:textId="77777777" w:rsidR="001A6FB0" w:rsidRPr="00A42C1E" w:rsidRDefault="001A6FB0" w:rsidP="00EB1206">
            <w:pP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EB7B5C6" w14:textId="77777777" w:rsidR="001A6FB0" w:rsidRPr="00A42C1E" w:rsidRDefault="001A6FB0" w:rsidP="00EB1206">
            <w:pPr>
              <w:rPr>
                <w:sz w:val="22"/>
                <w:lang w:val="en-GB"/>
              </w:rPr>
            </w:pPr>
            <w:r w:rsidRPr="00A42C1E">
              <w:rPr>
                <w:sz w:val="22"/>
                <w:lang w:val="en-GB"/>
              </w:rPr>
              <w:t>0</w:t>
            </w:r>
          </w:p>
        </w:tc>
      </w:tr>
      <w:tr w:rsidR="001A6FB0" w:rsidRPr="00A42C1E" w14:paraId="4F046D27"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33A60053" w14:textId="77777777" w:rsidR="001A6FB0" w:rsidRPr="00A42C1E" w:rsidRDefault="001A6FB0" w:rsidP="00EB1206">
            <w:pPr>
              <w:rPr>
                <w:b/>
                <w:sz w:val="22"/>
                <w:lang w:val="en-GB"/>
              </w:rPr>
            </w:pPr>
            <w:r w:rsidRPr="00A42C1E">
              <w:rPr>
                <w:b/>
                <w:sz w:val="22"/>
                <w:lang w:val="en-GB"/>
              </w:rPr>
              <w:lastRenderedPageBreak/>
              <w:t xml:space="preserve">General Disorders </w:t>
            </w:r>
            <w:proofErr w:type="gramStart"/>
            <w:r w:rsidRPr="00A42C1E">
              <w:rPr>
                <w:b/>
                <w:sz w:val="22"/>
                <w:lang w:val="en-GB"/>
              </w:rPr>
              <w:t>And</w:t>
            </w:r>
            <w:proofErr w:type="gramEnd"/>
            <w:r w:rsidRPr="00A42C1E">
              <w:rPr>
                <w:b/>
                <w:sz w:val="22"/>
                <w:lang w:val="en-GB"/>
              </w:rPr>
              <w:t xml:space="preserve"> Administration Site Conditions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02674666" w14:textId="77777777" w:rsidR="001A6FB0" w:rsidRPr="00A42C1E" w:rsidRDefault="001A6FB0" w:rsidP="00EB1206">
            <w:pPr>
              <w:rPr>
                <w:sz w:val="22"/>
                <w:lang w:val="en-GB"/>
              </w:rPr>
            </w:pPr>
          </w:p>
        </w:tc>
      </w:tr>
      <w:tr w:rsidR="001A6FB0" w:rsidRPr="00A42C1E" w14:paraId="7C828B28"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77DC508D" w14:textId="77777777" w:rsidR="001A6FB0" w:rsidRPr="00A42C1E" w:rsidRDefault="001A6FB0" w:rsidP="00EB1206">
            <w:pPr>
              <w:rPr>
                <w:sz w:val="22"/>
                <w:lang w:val="en-GB"/>
              </w:rPr>
            </w:pPr>
            <w:r w:rsidRPr="00A42C1E">
              <w:rPr>
                <w:sz w:val="22"/>
                <w:lang w:val="en-GB"/>
              </w:rPr>
              <w:t>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B2AD4" w14:textId="77777777" w:rsidR="001A6FB0" w:rsidRPr="00A42C1E" w:rsidRDefault="001A6FB0" w:rsidP="00EB1206">
            <w:pPr>
              <w:rPr>
                <w:sz w:val="22"/>
                <w:lang w:val="en-GB"/>
              </w:rPr>
            </w:pPr>
            <w:r w:rsidRPr="00A42C1E">
              <w:rPr>
                <w:sz w:val="22"/>
                <w:lang w:val="en-GB"/>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76FFB9" w14:textId="77777777" w:rsidR="001A6FB0" w:rsidRPr="00A42C1E" w:rsidRDefault="001A6FB0" w:rsidP="00EB1206">
            <w:pPr>
              <w:rPr>
                <w:sz w:val="22"/>
                <w:lang w:val="en-GB"/>
              </w:rPr>
            </w:pPr>
            <w:r w:rsidRPr="00A42C1E">
              <w:rPr>
                <w:sz w:val="22"/>
                <w:lang w:val="en-GB"/>
              </w:rPr>
              <w:t>2.9</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53D4DF2" w14:textId="77777777" w:rsidR="001A6FB0" w:rsidRPr="00A42C1E" w:rsidRDefault="001A6FB0" w:rsidP="00EB1206">
            <w:pPr>
              <w:rPr>
                <w:sz w:val="22"/>
                <w:lang w:val="en-GB"/>
              </w:rPr>
            </w:pPr>
            <w:r w:rsidRPr="00A42C1E">
              <w:rPr>
                <w:sz w:val="22"/>
                <w:lang w:val="en-GB"/>
              </w:rPr>
              <w:t>0.4</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BE432EC" w14:textId="77777777" w:rsidR="001A6FB0" w:rsidRPr="00A42C1E" w:rsidRDefault="001A6FB0" w:rsidP="00EB1206">
            <w:pPr>
              <w:rPr>
                <w:sz w:val="22"/>
                <w:lang w:val="en-GB"/>
              </w:rPr>
            </w:pPr>
            <w:r w:rsidRPr="00A42C1E">
              <w:rPr>
                <w:sz w:val="22"/>
                <w:lang w:val="en-GB"/>
              </w:rPr>
              <w:t>0</w:t>
            </w:r>
          </w:p>
        </w:tc>
      </w:tr>
      <w:tr w:rsidR="001A6FB0" w:rsidRPr="00A42C1E" w14:paraId="741E8FA8"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37216E73" w14:textId="77777777" w:rsidR="001A6FB0" w:rsidRPr="00A42C1E" w:rsidRDefault="001A6FB0" w:rsidP="00EB1206">
            <w:pPr>
              <w:rPr>
                <w:b/>
                <w:sz w:val="22"/>
                <w:lang w:val="en-GB"/>
              </w:rPr>
            </w:pPr>
            <w:r w:rsidRPr="00A42C1E">
              <w:rPr>
                <w:b/>
                <w:sz w:val="22"/>
                <w:lang w:val="en-GB"/>
              </w:rPr>
              <w:t>Infections And Infestations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1897016E" w14:textId="77777777" w:rsidR="001A6FB0" w:rsidRPr="00A42C1E" w:rsidRDefault="001A6FB0" w:rsidP="00EB1206">
            <w:pPr>
              <w:rPr>
                <w:sz w:val="22"/>
                <w:lang w:val="en-GB"/>
              </w:rPr>
            </w:pPr>
          </w:p>
        </w:tc>
      </w:tr>
      <w:tr w:rsidR="001A6FB0" w:rsidRPr="00A42C1E" w14:paraId="3E36DD32"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37A10CC" w14:textId="77777777" w:rsidR="001A6FB0" w:rsidRPr="00A42C1E" w:rsidRDefault="001A6FB0" w:rsidP="00EB1206">
            <w:pPr>
              <w:rPr>
                <w:sz w:val="22"/>
                <w:lang w:val="en-GB"/>
              </w:rPr>
            </w:pPr>
            <w:r w:rsidRPr="00A42C1E">
              <w:rPr>
                <w:sz w:val="22"/>
                <w:lang w:val="en-GB"/>
              </w:rPr>
              <w:t>Upper Respiratory Tract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E34A30" w14:textId="77777777" w:rsidR="001A6FB0" w:rsidRPr="00A42C1E" w:rsidRDefault="001A6FB0" w:rsidP="00EB1206">
            <w:pPr>
              <w:rPr>
                <w:sz w:val="22"/>
                <w:lang w:val="en-GB"/>
              </w:rPr>
            </w:pPr>
            <w:r w:rsidRPr="00A42C1E">
              <w:rPr>
                <w:sz w:val="22"/>
                <w:lang w:val="en-GB"/>
              </w:rPr>
              <w:t>19.1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A1D262" w14:textId="77777777" w:rsidR="001A6FB0" w:rsidRPr="00A42C1E" w:rsidRDefault="001A6FB0" w:rsidP="00EB1206">
            <w:pPr>
              <w:rPr>
                <w:sz w:val="22"/>
                <w:lang w:val="en-GB"/>
              </w:rPr>
            </w:pPr>
            <w:r w:rsidRPr="00A42C1E">
              <w:rPr>
                <w:sz w:val="22"/>
                <w:lang w:val="en-GB"/>
              </w:rPr>
              <w:t>21.5</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9109CE5" w14:textId="77777777" w:rsidR="001A6FB0" w:rsidRPr="00A42C1E" w:rsidRDefault="001A6FB0" w:rsidP="00EB1206">
            <w:pPr>
              <w:rPr>
                <w:sz w:val="22"/>
                <w:lang w:val="en-GB"/>
              </w:rPr>
            </w:pPr>
            <w:r w:rsidRPr="00A42C1E">
              <w:rPr>
                <w:sz w:val="22"/>
                <w:lang w:val="en-GB"/>
              </w:rPr>
              <w:t>0.7</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5FC5DF" w14:textId="77777777" w:rsidR="001A6FB0" w:rsidRPr="00A42C1E" w:rsidRDefault="001A6FB0" w:rsidP="00EB1206">
            <w:pPr>
              <w:rPr>
                <w:sz w:val="22"/>
                <w:lang w:val="en-GB"/>
              </w:rPr>
            </w:pPr>
            <w:r w:rsidRPr="00A42C1E">
              <w:rPr>
                <w:sz w:val="22"/>
                <w:lang w:val="en-GB"/>
              </w:rPr>
              <w:t>0.9</w:t>
            </w:r>
          </w:p>
        </w:tc>
      </w:tr>
      <w:tr w:rsidR="001A6FB0" w:rsidRPr="00A42C1E" w14:paraId="3D2299AC"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9D09131" w14:textId="77777777" w:rsidR="001A6FB0" w:rsidRPr="00A42C1E" w:rsidRDefault="001A6FB0" w:rsidP="00EB1206">
            <w:pPr>
              <w:rPr>
                <w:sz w:val="22"/>
                <w:lang w:val="en-GB"/>
              </w:rPr>
            </w:pPr>
            <w:r w:rsidRPr="00A42C1E">
              <w:rPr>
                <w:sz w:val="22"/>
                <w:lang w:val="en-GB"/>
              </w:rPr>
              <w:t>Pneumonia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5EF053" w14:textId="77777777" w:rsidR="001A6FB0" w:rsidRPr="00A42C1E" w:rsidRDefault="001A6FB0" w:rsidP="00EB1206">
            <w:pPr>
              <w:rPr>
                <w:sz w:val="22"/>
                <w:lang w:val="en-GB"/>
              </w:rPr>
            </w:pPr>
            <w:r w:rsidRPr="00A42C1E">
              <w:rPr>
                <w:sz w:val="22"/>
                <w:lang w:val="en-GB"/>
              </w:rPr>
              <w:t>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366CBB" w14:textId="77777777" w:rsidR="001A6FB0" w:rsidRPr="00A42C1E" w:rsidRDefault="001A6FB0" w:rsidP="00EB1206">
            <w:pPr>
              <w:rPr>
                <w:sz w:val="22"/>
                <w:lang w:val="en-GB"/>
              </w:rPr>
            </w:pPr>
            <w:r w:rsidRPr="00A42C1E">
              <w:rPr>
                <w:sz w:val="22"/>
                <w:lang w:val="en-GB"/>
              </w:rPr>
              <w:t>10.2</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CF60DD7" w14:textId="77777777" w:rsidR="001A6FB0" w:rsidRPr="00A42C1E" w:rsidRDefault="001A6FB0" w:rsidP="00EB1206">
            <w:pPr>
              <w:rPr>
                <w:sz w:val="22"/>
                <w:lang w:val="en-GB"/>
              </w:rPr>
            </w:pPr>
            <w:r w:rsidRPr="00A42C1E">
              <w:rPr>
                <w:sz w:val="22"/>
                <w:lang w:val="en-GB"/>
              </w:rPr>
              <w:t>4.2</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7DA4A8" w14:textId="77777777" w:rsidR="001A6FB0" w:rsidRPr="00A42C1E" w:rsidRDefault="001A6FB0" w:rsidP="00EB1206">
            <w:pPr>
              <w:rPr>
                <w:sz w:val="22"/>
                <w:lang w:val="en-GB"/>
              </w:rPr>
            </w:pPr>
            <w:r w:rsidRPr="00A42C1E">
              <w:rPr>
                <w:sz w:val="22"/>
                <w:lang w:val="en-GB"/>
              </w:rPr>
              <w:t>5.4</w:t>
            </w:r>
          </w:p>
        </w:tc>
      </w:tr>
      <w:tr w:rsidR="001A6FB0" w:rsidRPr="00A42C1E" w14:paraId="3DE4A5C1"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736E30C0" w14:textId="77777777" w:rsidR="001A6FB0" w:rsidRPr="00A42C1E" w:rsidRDefault="001A6FB0" w:rsidP="00EB1206">
            <w:pPr>
              <w:rPr>
                <w:sz w:val="22"/>
                <w:lang w:val="en-GB"/>
              </w:rPr>
            </w:pPr>
            <w:r w:rsidRPr="00A42C1E">
              <w:rPr>
                <w:sz w:val="22"/>
                <w:lang w:val="en-GB"/>
              </w:rPr>
              <w:t>Herpes Zoster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512AB6" w14:textId="77777777" w:rsidR="001A6FB0" w:rsidRPr="00A42C1E" w:rsidRDefault="001A6FB0" w:rsidP="00EB1206">
            <w:pPr>
              <w:rPr>
                <w:sz w:val="22"/>
                <w:lang w:val="en-GB"/>
              </w:rPr>
            </w:pPr>
            <w:r w:rsidRPr="00A42C1E">
              <w:rPr>
                <w:sz w:val="22"/>
                <w:lang w:val="en-GB"/>
              </w:rPr>
              <w:t>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076C9" w14:textId="77777777" w:rsidR="001A6FB0" w:rsidRPr="00A42C1E" w:rsidRDefault="001A6FB0" w:rsidP="00EB1206">
            <w:pPr>
              <w:rPr>
                <w:sz w:val="22"/>
                <w:lang w:val="en-GB"/>
              </w:rPr>
            </w:pPr>
            <w:r w:rsidRPr="00A42C1E">
              <w:rPr>
                <w:sz w:val="22"/>
                <w:lang w:val="en-GB"/>
              </w:rPr>
              <w:t>10.6</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F39E1B9" w14:textId="77777777" w:rsidR="001A6FB0" w:rsidRPr="00A42C1E" w:rsidRDefault="001A6FB0" w:rsidP="00EB1206">
            <w:pPr>
              <w:rPr>
                <w:sz w:val="22"/>
                <w:lang w:val="en-GB"/>
              </w:rPr>
            </w:pPr>
            <w:r w:rsidRPr="00A42C1E">
              <w:rPr>
                <w:sz w:val="22"/>
                <w:lang w:val="en-GB"/>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9554D8" w14:textId="77777777" w:rsidR="001A6FB0" w:rsidRPr="00A42C1E" w:rsidRDefault="001A6FB0" w:rsidP="00EB1206">
            <w:pPr>
              <w:rPr>
                <w:sz w:val="22"/>
                <w:lang w:val="en-GB"/>
              </w:rPr>
            </w:pPr>
            <w:r w:rsidRPr="00A42C1E">
              <w:rPr>
                <w:sz w:val="22"/>
                <w:lang w:val="en-GB"/>
              </w:rPr>
              <w:t>1.3</w:t>
            </w:r>
          </w:p>
        </w:tc>
      </w:tr>
      <w:tr w:rsidR="001A6FB0" w:rsidRPr="00A42C1E" w14:paraId="21CEAD8C"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7B7BB4D" w14:textId="77777777" w:rsidR="001A6FB0" w:rsidRPr="00A42C1E" w:rsidRDefault="001A6FB0" w:rsidP="00EB1206">
            <w:pPr>
              <w:rPr>
                <w:sz w:val="22"/>
                <w:lang w:val="en-GB"/>
              </w:rPr>
            </w:pPr>
            <w:r w:rsidRPr="00A42C1E">
              <w:rPr>
                <w:sz w:val="22"/>
                <w:lang w:val="en-GB"/>
              </w:rPr>
              <w:t>Sinusitis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938D0" w14:textId="77777777" w:rsidR="001A6FB0" w:rsidRPr="00A42C1E" w:rsidRDefault="001A6FB0" w:rsidP="00EB1206">
            <w:pPr>
              <w:rPr>
                <w:sz w:val="22"/>
                <w:lang w:val="en-GB"/>
              </w:rPr>
            </w:pPr>
            <w:r w:rsidRPr="00A42C1E">
              <w:rPr>
                <w:sz w:val="22"/>
                <w:lang w:val="en-GB"/>
              </w:rPr>
              <w:t>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25541C" w14:textId="77777777" w:rsidR="001A6FB0" w:rsidRPr="00A42C1E" w:rsidRDefault="001A6FB0" w:rsidP="00EB1206">
            <w:pPr>
              <w:rPr>
                <w:sz w:val="22"/>
                <w:lang w:val="en-GB"/>
              </w:rPr>
            </w:pPr>
            <w:r w:rsidRPr="00A42C1E">
              <w:rPr>
                <w:sz w:val="22"/>
                <w:lang w:val="en-GB"/>
              </w:rPr>
              <w:t>9.3</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E189A1F" w14:textId="77777777" w:rsidR="001A6FB0" w:rsidRPr="00A42C1E" w:rsidRDefault="001A6FB0" w:rsidP="00EB1206">
            <w:pPr>
              <w:rPr>
                <w:sz w:val="22"/>
                <w:lang w:val="en-GB"/>
              </w:rPr>
            </w:pPr>
            <w:r w:rsidRPr="00A42C1E">
              <w:rPr>
                <w:sz w:val="22"/>
                <w:lang w:val="en-GB"/>
              </w:rPr>
              <w:t>0.4</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DDA34E" w14:textId="77777777" w:rsidR="001A6FB0" w:rsidRPr="00A42C1E" w:rsidRDefault="001A6FB0" w:rsidP="00EB1206">
            <w:pPr>
              <w:rPr>
                <w:sz w:val="22"/>
                <w:lang w:val="en-GB"/>
              </w:rPr>
            </w:pPr>
            <w:r w:rsidRPr="00A42C1E">
              <w:rPr>
                <w:sz w:val="22"/>
                <w:lang w:val="en-GB"/>
              </w:rPr>
              <w:t>0.3</w:t>
            </w:r>
          </w:p>
        </w:tc>
      </w:tr>
      <w:tr w:rsidR="001A6FB0" w:rsidRPr="00A42C1E" w14:paraId="371FAD0B"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10E48EE8" w14:textId="77777777" w:rsidR="001A6FB0" w:rsidRPr="00A42C1E" w:rsidRDefault="001A6FB0" w:rsidP="00EB1206">
            <w:pPr>
              <w:rPr>
                <w:sz w:val="22"/>
                <w:lang w:val="en-GB"/>
              </w:rPr>
            </w:pPr>
            <w:r w:rsidRPr="00A42C1E">
              <w:rPr>
                <w:sz w:val="22"/>
                <w:lang w:val="en-GB"/>
              </w:rPr>
              <w:t>Rhinitis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4B12DB" w14:textId="77777777" w:rsidR="001A6FB0" w:rsidRPr="00A42C1E" w:rsidRDefault="001A6FB0" w:rsidP="00EB1206">
            <w:pPr>
              <w:rPr>
                <w:sz w:val="22"/>
                <w:lang w:val="en-GB"/>
              </w:rPr>
            </w:pPr>
            <w:r w:rsidRPr="00A42C1E">
              <w:rPr>
                <w:sz w:val="22"/>
                <w:lang w:val="en-GB"/>
              </w:rPr>
              <w:t>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1F145A" w14:textId="77777777" w:rsidR="001A6FB0" w:rsidRPr="00A42C1E" w:rsidRDefault="001A6FB0" w:rsidP="00EB1206">
            <w:pPr>
              <w:rPr>
                <w:sz w:val="22"/>
                <w:lang w:val="en-GB"/>
              </w:rPr>
            </w:pPr>
            <w:r w:rsidRPr="00A42C1E">
              <w:rPr>
                <w:sz w:val="22"/>
                <w:lang w:val="en-GB"/>
              </w:rPr>
              <w:t>8.0</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55CB4C3" w14:textId="77777777" w:rsidR="001A6FB0" w:rsidRPr="00A42C1E" w:rsidRDefault="001A6FB0" w:rsidP="00EB1206">
            <w:pP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08F5E41" w14:textId="77777777" w:rsidR="001A6FB0" w:rsidRPr="00A42C1E" w:rsidRDefault="001A6FB0" w:rsidP="00EB1206">
            <w:pPr>
              <w:rPr>
                <w:sz w:val="22"/>
                <w:lang w:val="en-GB"/>
              </w:rPr>
            </w:pPr>
            <w:r w:rsidRPr="00A42C1E">
              <w:rPr>
                <w:sz w:val="22"/>
                <w:lang w:val="en-GB"/>
              </w:rPr>
              <w:t>0.3</w:t>
            </w:r>
          </w:p>
        </w:tc>
      </w:tr>
      <w:tr w:rsidR="001A6FB0" w:rsidRPr="00A42C1E" w14:paraId="6A5E66BF"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53E5922" w14:textId="77777777" w:rsidR="001A6FB0" w:rsidRPr="00A42C1E" w:rsidRDefault="001A6FB0" w:rsidP="00EB1206">
            <w:pPr>
              <w:rPr>
                <w:sz w:val="22"/>
                <w:lang w:val="en-GB"/>
              </w:rPr>
            </w:pPr>
            <w:r w:rsidRPr="00A42C1E">
              <w:rPr>
                <w:sz w:val="22"/>
                <w:lang w:val="en-GB"/>
              </w:rPr>
              <w:t>Pharyngitis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EE5AE5" w14:textId="77777777" w:rsidR="001A6FB0" w:rsidRPr="00A42C1E" w:rsidRDefault="001A6FB0" w:rsidP="00EB1206">
            <w:pPr>
              <w:rPr>
                <w:sz w:val="22"/>
                <w:lang w:val="en-GB"/>
              </w:rPr>
            </w:pPr>
            <w:r w:rsidRPr="00A42C1E">
              <w:rPr>
                <w:sz w:val="22"/>
                <w:lang w:val="en-GB"/>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21F275" w14:textId="77777777" w:rsidR="001A6FB0" w:rsidRPr="00A42C1E" w:rsidRDefault="001A6FB0" w:rsidP="00EB1206">
            <w:pPr>
              <w:rPr>
                <w:sz w:val="22"/>
                <w:lang w:val="en-GB"/>
              </w:rPr>
            </w:pPr>
            <w:r w:rsidRPr="00A42C1E">
              <w:rPr>
                <w:sz w:val="22"/>
                <w:lang w:val="en-GB"/>
              </w:rPr>
              <w:t>4.3</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35F6898" w14:textId="77777777" w:rsidR="001A6FB0" w:rsidRPr="00A42C1E" w:rsidRDefault="001A6FB0" w:rsidP="00EB1206">
            <w:pP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E3C4CE2" w14:textId="77777777" w:rsidR="001A6FB0" w:rsidRPr="00A42C1E" w:rsidRDefault="001A6FB0" w:rsidP="00EB1206">
            <w:pPr>
              <w:rPr>
                <w:sz w:val="22"/>
                <w:lang w:val="en-GB"/>
              </w:rPr>
            </w:pPr>
            <w:r w:rsidRPr="00A42C1E">
              <w:rPr>
                <w:sz w:val="22"/>
                <w:lang w:val="en-GB"/>
              </w:rPr>
              <w:t>0</w:t>
            </w:r>
          </w:p>
        </w:tc>
      </w:tr>
      <w:tr w:rsidR="001A6FB0" w:rsidRPr="00A42C1E" w14:paraId="2F9B9DFC"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429895E9" w14:textId="77777777" w:rsidR="001A6FB0" w:rsidRPr="00A42C1E" w:rsidRDefault="001A6FB0" w:rsidP="00EB1206">
            <w:pPr>
              <w:rPr>
                <w:sz w:val="22"/>
                <w:lang w:val="en-GB"/>
              </w:rPr>
            </w:pPr>
            <w:r w:rsidRPr="00A42C1E">
              <w:rPr>
                <w:b/>
                <w:sz w:val="22"/>
                <w:lang w:val="en-GB"/>
              </w:rPr>
              <w:t>Metabolism And Nutrition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72BBF464" w14:textId="77777777" w:rsidR="001A6FB0" w:rsidRPr="00A42C1E" w:rsidRDefault="001A6FB0" w:rsidP="00EB1206">
            <w:pPr>
              <w:rPr>
                <w:sz w:val="22"/>
                <w:lang w:val="en-GB"/>
              </w:rPr>
            </w:pPr>
          </w:p>
        </w:tc>
      </w:tr>
      <w:tr w:rsidR="001A6FB0" w:rsidRPr="00A42C1E" w14:paraId="60D03B48"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008978E" w14:textId="77777777" w:rsidR="001A6FB0" w:rsidRPr="00A42C1E" w:rsidRDefault="001A6FB0" w:rsidP="00EB1206">
            <w:pPr>
              <w:rPr>
                <w:sz w:val="22"/>
                <w:lang w:val="en-GB"/>
              </w:rPr>
            </w:pPr>
            <w:r w:rsidRPr="00A42C1E">
              <w:rPr>
                <w:sz w:val="22"/>
                <w:lang w:val="en-GB"/>
              </w:rPr>
              <w:t>Hypokalaemia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AACF3E" w14:textId="77777777" w:rsidR="001A6FB0" w:rsidRPr="00A42C1E" w:rsidRDefault="001A6FB0" w:rsidP="00EB1206">
            <w:pPr>
              <w:rPr>
                <w:sz w:val="22"/>
                <w:lang w:val="en-GB"/>
              </w:rPr>
            </w:pPr>
            <w:r w:rsidRPr="00A42C1E">
              <w:rPr>
                <w:sz w:val="22"/>
                <w:lang w:val="en-GB"/>
              </w:rPr>
              <w:t>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DD6142" w14:textId="77777777" w:rsidR="001A6FB0" w:rsidRPr="00A42C1E" w:rsidRDefault="001A6FB0" w:rsidP="00EB1206">
            <w:pPr>
              <w:rPr>
                <w:sz w:val="22"/>
                <w:lang w:val="en-GB"/>
              </w:rPr>
            </w:pPr>
            <w:r w:rsidRPr="00A42C1E">
              <w:rPr>
                <w:sz w:val="22"/>
                <w:lang w:val="en-GB"/>
              </w:rPr>
              <w:t>6.4</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2E8D906" w14:textId="77777777" w:rsidR="001A6FB0" w:rsidRPr="00A42C1E" w:rsidRDefault="001A6FB0" w:rsidP="00EB1206">
            <w:pPr>
              <w:rPr>
                <w:sz w:val="22"/>
                <w:lang w:val="en-GB"/>
              </w:rPr>
            </w:pPr>
            <w:r w:rsidRPr="00A42C1E">
              <w:rPr>
                <w:sz w:val="22"/>
                <w:lang w:val="en-GB"/>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9DA8FEC" w14:textId="77777777" w:rsidR="001A6FB0" w:rsidRPr="00A42C1E" w:rsidRDefault="001A6FB0" w:rsidP="00EB1206">
            <w:pPr>
              <w:rPr>
                <w:sz w:val="22"/>
                <w:lang w:val="en-GB"/>
              </w:rPr>
            </w:pPr>
            <w:r w:rsidRPr="00A42C1E">
              <w:rPr>
                <w:sz w:val="22"/>
                <w:lang w:val="en-GB"/>
              </w:rPr>
              <w:t>0.7</w:t>
            </w:r>
          </w:p>
        </w:tc>
      </w:tr>
      <w:tr w:rsidR="001A6FB0" w:rsidRPr="00A42C1E" w14:paraId="3623C5B0"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2F7F1E3C" w14:textId="77777777" w:rsidR="001A6FB0" w:rsidRPr="00A42C1E" w:rsidRDefault="001A6FB0" w:rsidP="00EB1206">
            <w:pPr>
              <w:rPr>
                <w:b/>
                <w:sz w:val="22"/>
                <w:lang w:val="en-GB"/>
              </w:rPr>
            </w:pPr>
            <w:r w:rsidRPr="00A42C1E">
              <w:rPr>
                <w:b/>
                <w:sz w:val="22"/>
                <w:lang w:val="en-GB"/>
              </w:rPr>
              <w:t>Musculoskeletal and Connective Tissue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3AB7BEE9" w14:textId="77777777" w:rsidR="001A6FB0" w:rsidRPr="00A42C1E" w:rsidRDefault="001A6FB0" w:rsidP="00EB1206">
            <w:pPr>
              <w:rPr>
                <w:sz w:val="22"/>
                <w:lang w:val="en-GB"/>
              </w:rPr>
            </w:pPr>
          </w:p>
        </w:tc>
      </w:tr>
      <w:tr w:rsidR="001A6FB0" w:rsidRPr="00A42C1E" w14:paraId="47128478"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1563D100" w14:textId="77777777" w:rsidR="001A6FB0" w:rsidRPr="00A42C1E" w:rsidRDefault="001A6FB0" w:rsidP="00EB1206">
            <w:pPr>
              <w:rPr>
                <w:sz w:val="22"/>
                <w:lang w:val="en-GB"/>
              </w:rPr>
            </w:pPr>
            <w:r w:rsidRPr="00A42C1E">
              <w:rPr>
                <w:sz w:val="22"/>
                <w:lang w:val="en-GB"/>
              </w:rPr>
              <w:t>Back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559B3B" w14:textId="77777777" w:rsidR="001A6FB0" w:rsidRPr="00A42C1E" w:rsidRDefault="001A6FB0" w:rsidP="00EB1206">
            <w:pPr>
              <w:rPr>
                <w:sz w:val="22"/>
                <w:lang w:val="en-GB"/>
              </w:rPr>
            </w:pPr>
            <w:r w:rsidRPr="00A42C1E">
              <w:rPr>
                <w:sz w:val="22"/>
                <w:lang w:val="en-GB"/>
              </w:rPr>
              <w:t>16.2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31030C" w14:textId="77777777" w:rsidR="001A6FB0" w:rsidRPr="00A42C1E" w:rsidRDefault="001A6FB0" w:rsidP="00EB1206">
            <w:pPr>
              <w:rPr>
                <w:sz w:val="22"/>
                <w:lang w:val="en-GB"/>
              </w:rPr>
            </w:pPr>
            <w:r w:rsidRPr="00A42C1E">
              <w:rPr>
                <w:sz w:val="22"/>
                <w:lang w:val="en-GB"/>
              </w:rPr>
              <w:t>13.0</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F4EAA51" w14:textId="77777777" w:rsidR="001A6FB0" w:rsidRPr="00A42C1E" w:rsidRDefault="001A6FB0" w:rsidP="00EB1206">
            <w:pPr>
              <w:rPr>
                <w:sz w:val="22"/>
                <w:lang w:val="en-GB"/>
              </w:rPr>
            </w:pPr>
            <w:r w:rsidRPr="00A42C1E">
              <w:rPr>
                <w:sz w:val="22"/>
                <w:lang w:val="en-GB"/>
              </w:rPr>
              <w:t>0.6</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7E8BFCA" w14:textId="77777777" w:rsidR="001A6FB0" w:rsidRPr="00A42C1E" w:rsidRDefault="001A6FB0" w:rsidP="00EB1206">
            <w:pPr>
              <w:rPr>
                <w:sz w:val="22"/>
                <w:lang w:val="en-GB"/>
              </w:rPr>
            </w:pPr>
            <w:r w:rsidRPr="00A42C1E">
              <w:rPr>
                <w:sz w:val="22"/>
                <w:lang w:val="en-GB"/>
              </w:rPr>
              <w:t>0.4</w:t>
            </w:r>
          </w:p>
        </w:tc>
      </w:tr>
      <w:tr w:rsidR="001A6FB0" w:rsidRPr="00A42C1E" w14:paraId="1332B4CD" w14:textId="77777777" w:rsidTr="00616FE6">
        <w:trPr>
          <w:trHeight w:val="20"/>
          <w:jc w:val="center"/>
        </w:trPr>
        <w:tc>
          <w:tcPr>
            <w:tcW w:w="2661" w:type="dxa"/>
            <w:shd w:val="clear" w:color="auto" w:fill="auto"/>
          </w:tcPr>
          <w:p w14:paraId="2C70D280" w14:textId="77777777" w:rsidR="001A6FB0" w:rsidRPr="00A42C1E" w:rsidRDefault="001A6FB0" w:rsidP="00EB1206">
            <w:pPr>
              <w:rPr>
                <w:b/>
                <w:sz w:val="22"/>
                <w:lang w:val="en-GB"/>
              </w:rPr>
            </w:pPr>
            <w:r w:rsidRPr="00A42C1E">
              <w:rPr>
                <w:b/>
                <w:sz w:val="22"/>
                <w:lang w:val="en-GB"/>
              </w:rPr>
              <w:t>Psychiatric Disorders</w:t>
            </w:r>
          </w:p>
        </w:tc>
        <w:tc>
          <w:tcPr>
            <w:tcW w:w="6627" w:type="dxa"/>
            <w:gridSpan w:val="4"/>
            <w:shd w:val="clear" w:color="auto" w:fill="auto"/>
          </w:tcPr>
          <w:p w14:paraId="7F484958" w14:textId="77777777" w:rsidR="001A6FB0" w:rsidRPr="00A42C1E" w:rsidRDefault="001A6FB0" w:rsidP="00EB1206">
            <w:pPr>
              <w:rPr>
                <w:b/>
                <w:sz w:val="22"/>
                <w:lang w:val="en-GB"/>
              </w:rPr>
            </w:pPr>
          </w:p>
        </w:tc>
      </w:tr>
      <w:tr w:rsidR="001A6FB0" w:rsidRPr="00A42C1E" w14:paraId="183B5597" w14:textId="77777777" w:rsidTr="00616FE6">
        <w:trPr>
          <w:trHeight w:val="20"/>
          <w:jc w:val="center"/>
        </w:trPr>
        <w:tc>
          <w:tcPr>
            <w:tcW w:w="2661" w:type="dxa"/>
            <w:shd w:val="clear" w:color="auto" w:fill="auto"/>
          </w:tcPr>
          <w:p w14:paraId="1B4ECB75" w14:textId="77777777" w:rsidR="001A6FB0" w:rsidRPr="00A42C1E" w:rsidRDefault="001A6FB0" w:rsidP="00EB1206">
            <w:pPr>
              <w:rPr>
                <w:sz w:val="22"/>
                <w:lang w:val="en-GB"/>
              </w:rPr>
            </w:pPr>
            <w:r w:rsidRPr="00A42C1E">
              <w:rPr>
                <w:sz w:val="22"/>
                <w:lang w:val="en-GB"/>
              </w:rPr>
              <w:t>Insomnia</w:t>
            </w:r>
          </w:p>
        </w:tc>
        <w:tc>
          <w:tcPr>
            <w:tcW w:w="1559" w:type="dxa"/>
            <w:shd w:val="clear" w:color="auto" w:fill="auto"/>
          </w:tcPr>
          <w:p w14:paraId="38DFF6B6" w14:textId="77777777" w:rsidR="001A6FB0" w:rsidRPr="00A42C1E" w:rsidRDefault="001A6FB0" w:rsidP="00EB1206">
            <w:pPr>
              <w:rPr>
                <w:sz w:val="22"/>
                <w:lang w:val="en-GB"/>
              </w:rPr>
            </w:pPr>
            <w:r w:rsidRPr="00A42C1E">
              <w:rPr>
                <w:sz w:val="22"/>
                <w:lang w:val="en-GB"/>
              </w:rPr>
              <w:t>11.3</w:t>
            </w:r>
          </w:p>
        </w:tc>
        <w:tc>
          <w:tcPr>
            <w:tcW w:w="1701" w:type="dxa"/>
            <w:shd w:val="clear" w:color="auto" w:fill="auto"/>
          </w:tcPr>
          <w:p w14:paraId="0308683B" w14:textId="77777777" w:rsidR="001A6FB0" w:rsidRPr="00A42C1E" w:rsidRDefault="001A6FB0" w:rsidP="00EB1206">
            <w:pPr>
              <w:rPr>
                <w:sz w:val="22"/>
                <w:lang w:val="en-GB"/>
              </w:rPr>
            </w:pPr>
            <w:r w:rsidRPr="00A42C1E">
              <w:rPr>
                <w:sz w:val="22"/>
                <w:lang w:val="en-GB"/>
              </w:rPr>
              <w:t>14.3</w:t>
            </w:r>
          </w:p>
        </w:tc>
        <w:tc>
          <w:tcPr>
            <w:tcW w:w="1657" w:type="dxa"/>
          </w:tcPr>
          <w:p w14:paraId="7493572D" w14:textId="77777777" w:rsidR="001A6FB0" w:rsidRPr="00A42C1E" w:rsidRDefault="001A6FB0" w:rsidP="00EB1206">
            <w:pPr>
              <w:rPr>
                <w:sz w:val="22"/>
                <w:lang w:val="en-GB"/>
              </w:rPr>
            </w:pPr>
            <w:r w:rsidRPr="00A42C1E">
              <w:rPr>
                <w:sz w:val="22"/>
                <w:lang w:val="en-GB"/>
              </w:rPr>
              <w:t>0.3</w:t>
            </w:r>
          </w:p>
        </w:tc>
        <w:tc>
          <w:tcPr>
            <w:tcW w:w="1710" w:type="dxa"/>
            <w:shd w:val="clear" w:color="auto" w:fill="auto"/>
          </w:tcPr>
          <w:p w14:paraId="53845EF2" w14:textId="77777777" w:rsidR="001A6FB0" w:rsidRPr="00A42C1E" w:rsidRDefault="001A6FB0" w:rsidP="00EB1206">
            <w:pPr>
              <w:rPr>
                <w:sz w:val="22"/>
                <w:lang w:val="en-GB"/>
              </w:rPr>
            </w:pPr>
            <w:r w:rsidRPr="00A42C1E">
              <w:rPr>
                <w:sz w:val="22"/>
                <w:lang w:val="en-GB"/>
              </w:rPr>
              <w:t>0.1</w:t>
            </w:r>
          </w:p>
        </w:tc>
      </w:tr>
      <w:tr w:rsidR="001A6FB0" w:rsidRPr="00A42C1E" w14:paraId="79C5EEA2" w14:textId="77777777" w:rsidTr="00616FE6">
        <w:trPr>
          <w:trHeight w:val="20"/>
          <w:jc w:val="center"/>
        </w:trPr>
        <w:tc>
          <w:tcPr>
            <w:tcW w:w="2661" w:type="dxa"/>
            <w:shd w:val="clear" w:color="auto" w:fill="auto"/>
          </w:tcPr>
          <w:p w14:paraId="374F3602" w14:textId="77777777" w:rsidR="001A6FB0" w:rsidRPr="00A42C1E" w:rsidRDefault="001A6FB0" w:rsidP="00EB1206">
            <w:pPr>
              <w:rPr>
                <w:sz w:val="22"/>
                <w:lang w:val="en-GB"/>
              </w:rPr>
            </w:pPr>
            <w:r w:rsidRPr="00A42C1E">
              <w:rPr>
                <w:sz w:val="22"/>
                <w:lang w:val="en-GB"/>
              </w:rPr>
              <w:t>Anxiety</w:t>
            </w:r>
          </w:p>
        </w:tc>
        <w:tc>
          <w:tcPr>
            <w:tcW w:w="1559" w:type="dxa"/>
            <w:shd w:val="clear" w:color="auto" w:fill="auto"/>
          </w:tcPr>
          <w:p w14:paraId="74D7AE62" w14:textId="77777777" w:rsidR="001A6FB0" w:rsidRPr="00A42C1E" w:rsidRDefault="001A6FB0" w:rsidP="00EB1206">
            <w:pPr>
              <w:rPr>
                <w:sz w:val="22"/>
                <w:lang w:val="en-GB"/>
              </w:rPr>
            </w:pPr>
            <w:r w:rsidRPr="00A42C1E">
              <w:rPr>
                <w:sz w:val="22"/>
                <w:lang w:val="en-GB"/>
              </w:rPr>
              <w:t>3.8</w:t>
            </w:r>
          </w:p>
        </w:tc>
        <w:tc>
          <w:tcPr>
            <w:tcW w:w="1701" w:type="dxa"/>
            <w:shd w:val="clear" w:color="auto" w:fill="auto"/>
          </w:tcPr>
          <w:p w14:paraId="1149E6A2" w14:textId="77777777" w:rsidR="001A6FB0" w:rsidRPr="00A42C1E" w:rsidRDefault="001A6FB0" w:rsidP="00EB1206">
            <w:pPr>
              <w:rPr>
                <w:sz w:val="22"/>
                <w:lang w:val="en-GB"/>
              </w:rPr>
            </w:pPr>
            <w:r w:rsidRPr="00A42C1E">
              <w:rPr>
                <w:sz w:val="22"/>
                <w:lang w:val="en-GB"/>
              </w:rPr>
              <w:t>6.2</w:t>
            </w:r>
          </w:p>
        </w:tc>
        <w:tc>
          <w:tcPr>
            <w:tcW w:w="1657" w:type="dxa"/>
          </w:tcPr>
          <w:p w14:paraId="5B21803C" w14:textId="77777777" w:rsidR="001A6FB0" w:rsidRPr="00A42C1E" w:rsidRDefault="001A6FB0" w:rsidP="00EB1206">
            <w:pPr>
              <w:rPr>
                <w:sz w:val="22"/>
                <w:lang w:val="en-GB"/>
              </w:rPr>
            </w:pPr>
            <w:r w:rsidRPr="00A42C1E">
              <w:rPr>
                <w:sz w:val="22"/>
                <w:lang w:val="en-GB"/>
              </w:rPr>
              <w:t>0.1</w:t>
            </w:r>
          </w:p>
        </w:tc>
        <w:tc>
          <w:tcPr>
            <w:tcW w:w="1710" w:type="dxa"/>
            <w:shd w:val="clear" w:color="auto" w:fill="auto"/>
          </w:tcPr>
          <w:p w14:paraId="2F415E28" w14:textId="77777777" w:rsidR="001A6FB0" w:rsidRPr="00A42C1E" w:rsidRDefault="001A6FB0" w:rsidP="00EB1206">
            <w:pPr>
              <w:rPr>
                <w:sz w:val="22"/>
                <w:lang w:val="en-GB"/>
              </w:rPr>
            </w:pPr>
            <w:r w:rsidRPr="00A42C1E">
              <w:rPr>
                <w:sz w:val="22"/>
                <w:lang w:val="en-GB"/>
              </w:rPr>
              <w:t>0.1</w:t>
            </w:r>
          </w:p>
        </w:tc>
      </w:tr>
      <w:tr w:rsidR="001A6FB0" w:rsidRPr="00A42C1E" w14:paraId="4D78A0E0" w14:textId="77777777" w:rsidTr="00616FE6">
        <w:trPr>
          <w:trHeight w:val="20"/>
          <w:jc w:val="center"/>
        </w:trPr>
        <w:tc>
          <w:tcPr>
            <w:tcW w:w="2661" w:type="dxa"/>
            <w:shd w:val="clear" w:color="auto" w:fill="auto"/>
          </w:tcPr>
          <w:p w14:paraId="3960AF58" w14:textId="77777777" w:rsidR="001A6FB0" w:rsidRPr="00A42C1E" w:rsidRDefault="001A6FB0" w:rsidP="00EB1206">
            <w:pPr>
              <w:rPr>
                <w:b/>
                <w:sz w:val="22"/>
                <w:lang w:val="en-GB"/>
              </w:rPr>
            </w:pPr>
            <w:r w:rsidRPr="00A42C1E">
              <w:rPr>
                <w:b/>
                <w:sz w:val="22"/>
                <w:lang w:val="en-GB"/>
              </w:rPr>
              <w:t>Nervous System Disorders</w:t>
            </w:r>
          </w:p>
        </w:tc>
        <w:tc>
          <w:tcPr>
            <w:tcW w:w="6627" w:type="dxa"/>
            <w:gridSpan w:val="4"/>
            <w:shd w:val="clear" w:color="auto" w:fill="auto"/>
          </w:tcPr>
          <w:p w14:paraId="4D338B6D" w14:textId="77777777" w:rsidR="001A6FB0" w:rsidRPr="00A42C1E" w:rsidRDefault="001A6FB0" w:rsidP="00EB1206">
            <w:pPr>
              <w:rPr>
                <w:sz w:val="22"/>
                <w:lang w:val="en-GB"/>
              </w:rPr>
            </w:pPr>
          </w:p>
        </w:tc>
      </w:tr>
      <w:tr w:rsidR="001A6FB0" w:rsidRPr="00A42C1E" w14:paraId="24DB353A" w14:textId="77777777" w:rsidTr="00616FE6">
        <w:trPr>
          <w:trHeight w:val="20"/>
          <w:jc w:val="center"/>
        </w:trPr>
        <w:tc>
          <w:tcPr>
            <w:tcW w:w="2661" w:type="dxa"/>
            <w:shd w:val="clear" w:color="auto" w:fill="auto"/>
          </w:tcPr>
          <w:p w14:paraId="27C087C5" w14:textId="77777777" w:rsidR="001A6FB0" w:rsidRPr="00A42C1E" w:rsidRDefault="001A6FB0" w:rsidP="00EB1206">
            <w:pPr>
              <w:rPr>
                <w:sz w:val="22"/>
                <w:lang w:val="en-GB"/>
              </w:rPr>
            </w:pPr>
            <w:r w:rsidRPr="00A42C1E">
              <w:rPr>
                <w:sz w:val="22"/>
                <w:lang w:val="en-GB"/>
              </w:rPr>
              <w:t>Headache</w:t>
            </w:r>
          </w:p>
        </w:tc>
        <w:tc>
          <w:tcPr>
            <w:tcW w:w="1559" w:type="dxa"/>
            <w:shd w:val="clear" w:color="auto" w:fill="auto"/>
          </w:tcPr>
          <w:p w14:paraId="2025549B" w14:textId="77777777" w:rsidR="001A6FB0" w:rsidRPr="00A42C1E" w:rsidRDefault="001A6FB0" w:rsidP="00EB1206">
            <w:pPr>
              <w:rPr>
                <w:sz w:val="22"/>
                <w:lang w:val="en-GB"/>
              </w:rPr>
            </w:pPr>
            <w:r w:rsidRPr="00A42C1E">
              <w:rPr>
                <w:sz w:val="22"/>
                <w:lang w:val="en-GB"/>
              </w:rPr>
              <w:t>14.5</w:t>
            </w:r>
          </w:p>
        </w:tc>
        <w:tc>
          <w:tcPr>
            <w:tcW w:w="1701" w:type="dxa"/>
            <w:shd w:val="clear" w:color="auto" w:fill="auto"/>
          </w:tcPr>
          <w:p w14:paraId="532B6F16" w14:textId="77777777" w:rsidR="001A6FB0" w:rsidRPr="00A42C1E" w:rsidRDefault="001A6FB0" w:rsidP="00EB1206">
            <w:pPr>
              <w:rPr>
                <w:sz w:val="22"/>
                <w:lang w:val="en-GB"/>
              </w:rPr>
            </w:pPr>
            <w:r w:rsidRPr="00A42C1E">
              <w:rPr>
                <w:sz w:val="22"/>
                <w:lang w:val="en-GB"/>
              </w:rPr>
              <w:t>16.8</w:t>
            </w:r>
          </w:p>
        </w:tc>
        <w:tc>
          <w:tcPr>
            <w:tcW w:w="1657" w:type="dxa"/>
          </w:tcPr>
          <w:p w14:paraId="44518259" w14:textId="77777777" w:rsidR="001A6FB0" w:rsidRPr="00A42C1E" w:rsidRDefault="001A6FB0" w:rsidP="00EB1206">
            <w:pPr>
              <w:rPr>
                <w:sz w:val="22"/>
                <w:lang w:val="en-GB"/>
              </w:rPr>
            </w:pPr>
            <w:r w:rsidRPr="00A42C1E">
              <w:rPr>
                <w:sz w:val="22"/>
                <w:lang w:val="en-GB"/>
              </w:rPr>
              <w:t>0.1</w:t>
            </w:r>
          </w:p>
        </w:tc>
        <w:tc>
          <w:tcPr>
            <w:tcW w:w="1710" w:type="dxa"/>
            <w:shd w:val="clear" w:color="auto" w:fill="auto"/>
          </w:tcPr>
          <w:p w14:paraId="060264A1" w14:textId="77777777" w:rsidR="001A6FB0" w:rsidRPr="00A42C1E" w:rsidRDefault="001A6FB0" w:rsidP="00EB1206">
            <w:pPr>
              <w:rPr>
                <w:sz w:val="22"/>
                <w:lang w:val="en-GB"/>
              </w:rPr>
            </w:pPr>
            <w:r>
              <w:rPr>
                <w:sz w:val="22"/>
                <w:lang w:val="en-GB"/>
              </w:rPr>
              <w:t>0.1</w:t>
            </w:r>
          </w:p>
        </w:tc>
      </w:tr>
      <w:tr w:rsidR="001A6FB0" w:rsidRPr="00A42C1E" w14:paraId="1BE938BD"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895C984" w14:textId="77777777" w:rsidR="001A6FB0" w:rsidRPr="00A42C1E" w:rsidRDefault="001A6FB0" w:rsidP="00EB1206">
            <w:pPr>
              <w:rPr>
                <w:b/>
                <w:sz w:val="22"/>
                <w:lang w:val="en-GB"/>
              </w:rPr>
            </w:pPr>
            <w:r w:rsidRPr="00A42C1E">
              <w:rPr>
                <w:b/>
                <w:sz w:val="22"/>
                <w:lang w:val="en-GB"/>
              </w:rPr>
              <w:t>Respiratory, Thoracic and Mediastinal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14:paraId="75607F74" w14:textId="77777777" w:rsidR="001A6FB0" w:rsidRPr="00A42C1E" w:rsidRDefault="001A6FB0" w:rsidP="00EB1206">
            <w:pPr>
              <w:rPr>
                <w:sz w:val="22"/>
                <w:lang w:val="en-GB"/>
              </w:rPr>
            </w:pPr>
          </w:p>
          <w:p w14:paraId="12066F51" w14:textId="77777777" w:rsidR="001A6FB0" w:rsidRPr="00A42C1E" w:rsidRDefault="001A6FB0" w:rsidP="00EB1206">
            <w:pPr>
              <w:rPr>
                <w:sz w:val="22"/>
                <w:lang w:val="en-GB"/>
              </w:rPr>
            </w:pPr>
          </w:p>
        </w:tc>
      </w:tr>
      <w:tr w:rsidR="001A6FB0" w:rsidRPr="00A42C1E" w14:paraId="3F43220A"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D327AFB" w14:textId="77777777" w:rsidR="001A6FB0" w:rsidRPr="00A42C1E" w:rsidRDefault="001A6FB0" w:rsidP="00EB1206">
            <w:pPr>
              <w:rPr>
                <w:sz w:val="22"/>
                <w:lang w:val="en-GB"/>
              </w:rPr>
            </w:pPr>
            <w:r w:rsidRPr="00A42C1E">
              <w:rPr>
                <w:sz w:val="22"/>
                <w:lang w:val="en-GB"/>
              </w:rPr>
              <w:t>Cough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A4E498" w14:textId="77777777" w:rsidR="001A6FB0" w:rsidRPr="00A42C1E" w:rsidRDefault="001A6FB0" w:rsidP="00EB1206">
            <w:pPr>
              <w:rPr>
                <w:sz w:val="22"/>
                <w:lang w:val="en-GB"/>
              </w:rPr>
            </w:pPr>
            <w:r w:rsidRPr="00A42C1E">
              <w:rPr>
                <w:sz w:val="22"/>
                <w:lang w:val="en-GB"/>
              </w:rPr>
              <w:t>24.9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E28D42" w14:textId="77777777" w:rsidR="001A6FB0" w:rsidRPr="00A42C1E" w:rsidRDefault="001A6FB0" w:rsidP="00EB1206">
            <w:pPr>
              <w:rPr>
                <w:sz w:val="22"/>
                <w:lang w:val="en-GB"/>
              </w:rPr>
            </w:pPr>
            <w:r w:rsidRPr="00A42C1E">
              <w:rPr>
                <w:sz w:val="22"/>
                <w:lang w:val="en-GB"/>
              </w:rPr>
              <w:t>30.2</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2520880" w14:textId="77777777" w:rsidR="001A6FB0" w:rsidRPr="00A42C1E" w:rsidRDefault="001A6FB0" w:rsidP="00EB1206">
            <w:pPr>
              <w:rPr>
                <w:sz w:val="22"/>
                <w:lang w:val="en-GB"/>
              </w:rPr>
            </w:pPr>
            <w:r w:rsidRPr="00A42C1E">
              <w:rPr>
                <w:sz w:val="22"/>
                <w:lang w:val="en-GB"/>
              </w:rPr>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1CE328" w14:textId="77777777" w:rsidR="001A6FB0" w:rsidRPr="00A42C1E" w:rsidRDefault="001A6FB0" w:rsidP="00EB1206">
            <w:pPr>
              <w:rPr>
                <w:sz w:val="22"/>
                <w:lang w:val="en-GB"/>
              </w:rPr>
            </w:pPr>
            <w:r w:rsidRPr="00A42C1E">
              <w:rPr>
                <w:sz w:val="22"/>
                <w:lang w:val="en-GB"/>
              </w:rPr>
              <w:t>0.1</w:t>
            </w:r>
          </w:p>
        </w:tc>
      </w:tr>
      <w:tr w:rsidR="001A6FB0" w:rsidRPr="00A42C1E" w14:paraId="1A33DB14"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0D7DAF6E" w14:textId="77777777" w:rsidR="001A6FB0" w:rsidRPr="00A42C1E" w:rsidRDefault="001A6FB0" w:rsidP="00EB1206">
            <w:pPr>
              <w:rPr>
                <w:sz w:val="22"/>
                <w:lang w:val="en-GB"/>
              </w:rPr>
            </w:pPr>
            <w:r w:rsidRPr="00A42C1E">
              <w:rPr>
                <w:sz w:val="22"/>
                <w:lang w:val="en-GB"/>
              </w:rPr>
              <w:t>Oropharyngeal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BFC19D" w14:textId="77777777" w:rsidR="001A6FB0" w:rsidRPr="00A42C1E" w:rsidRDefault="001A6FB0" w:rsidP="00EB1206">
            <w:pPr>
              <w:rPr>
                <w:sz w:val="22"/>
                <w:lang w:val="en-GB"/>
              </w:rPr>
            </w:pPr>
            <w:r w:rsidRPr="00A42C1E">
              <w:rPr>
                <w:sz w:val="22"/>
                <w:lang w:val="en-GB"/>
              </w:rPr>
              <w:t>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7375C8" w14:textId="77777777" w:rsidR="001A6FB0" w:rsidRPr="00A42C1E" w:rsidRDefault="001A6FB0" w:rsidP="00EB1206">
            <w:pPr>
              <w:rPr>
                <w:sz w:val="22"/>
                <w:lang w:val="en-GB"/>
              </w:rPr>
            </w:pPr>
            <w:r w:rsidRPr="00A42C1E">
              <w:rPr>
                <w:sz w:val="22"/>
                <w:lang w:val="en-GB"/>
              </w:rPr>
              <w:t>9.5</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47A5A04" w14:textId="77777777" w:rsidR="001A6FB0" w:rsidRPr="00A42C1E" w:rsidRDefault="001A6FB0" w:rsidP="00EB1206">
            <w:pPr>
              <w:rPr>
                <w:sz w:val="22"/>
                <w:lang w:val="en-GB"/>
              </w:rPr>
            </w:pPr>
            <w:r w:rsidRPr="00A42C1E">
              <w:rPr>
                <w:sz w:val="22"/>
                <w:lang w:val="en-GB"/>
              </w:rPr>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4DC158E" w14:textId="77777777" w:rsidR="001A6FB0" w:rsidRPr="00A42C1E" w:rsidRDefault="001A6FB0" w:rsidP="00EB1206">
            <w:pPr>
              <w:rPr>
                <w:sz w:val="22"/>
                <w:lang w:val="en-GB"/>
              </w:rPr>
            </w:pPr>
            <w:r w:rsidRPr="00A42C1E">
              <w:rPr>
                <w:sz w:val="22"/>
                <w:lang w:val="en-GB"/>
              </w:rPr>
              <w:t>0.1</w:t>
            </w:r>
          </w:p>
        </w:tc>
      </w:tr>
      <w:tr w:rsidR="001A6FB0" w:rsidRPr="00A42C1E" w14:paraId="552587B5" w14:textId="77777777" w:rsidTr="00616FE6">
        <w:trPr>
          <w:cantSplit/>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26856B8" w14:textId="77777777" w:rsidR="001A6FB0" w:rsidRPr="00A42C1E" w:rsidRDefault="001A6FB0" w:rsidP="00EB1206">
            <w:pPr>
              <w:rPr>
                <w:b/>
                <w:sz w:val="22"/>
                <w:lang w:val="en-GB"/>
              </w:rPr>
            </w:pPr>
            <w:r w:rsidRPr="00A42C1E">
              <w:rPr>
                <w:b/>
                <w:sz w:val="22"/>
                <w:lang w:val="en-GB"/>
              </w:rPr>
              <w:t>Skin and Subcutaneous Tissue Disorders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D3C37D" w14:textId="77777777" w:rsidR="001A6FB0" w:rsidRPr="00A42C1E" w:rsidRDefault="001A6FB0" w:rsidP="00EB1206">
            <w:pPr>
              <w:rPr>
                <w:sz w:val="22"/>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FF4270" w14:textId="77777777" w:rsidR="001A6FB0" w:rsidRPr="00A42C1E" w:rsidRDefault="001A6FB0" w:rsidP="00EB1206">
            <w:pPr>
              <w:rPr>
                <w:sz w:val="22"/>
                <w:lang w:val="en-GB"/>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8A4AD17" w14:textId="77777777" w:rsidR="001A6FB0" w:rsidRPr="00A42C1E" w:rsidRDefault="001A6FB0" w:rsidP="00EB1206">
            <w:pPr>
              <w:rPr>
                <w:sz w:val="22"/>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090FC23" w14:textId="77777777" w:rsidR="001A6FB0" w:rsidRPr="00A42C1E" w:rsidRDefault="001A6FB0" w:rsidP="00EB1206">
            <w:pPr>
              <w:rPr>
                <w:sz w:val="22"/>
                <w:lang w:val="en-GB"/>
              </w:rPr>
            </w:pPr>
          </w:p>
        </w:tc>
      </w:tr>
      <w:tr w:rsidR="001A6FB0" w:rsidRPr="00A42C1E" w14:paraId="13E5361B" w14:textId="77777777" w:rsidTr="00616FE6">
        <w:trPr>
          <w:trHeight w:val="2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1BD3FF0D" w14:textId="77777777" w:rsidR="001A6FB0" w:rsidRPr="00A42C1E" w:rsidRDefault="001A6FB0" w:rsidP="00EB1206">
            <w:pPr>
              <w:rPr>
                <w:sz w:val="22"/>
                <w:lang w:val="en-GB"/>
              </w:rPr>
            </w:pPr>
            <w:r w:rsidRPr="00A42C1E">
              <w:rPr>
                <w:sz w:val="22"/>
                <w:lang w:val="en-GB"/>
              </w:rPr>
              <w:t>Alopecia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EC61ED" w14:textId="77777777" w:rsidR="001A6FB0" w:rsidRPr="00A42C1E" w:rsidRDefault="001A6FB0" w:rsidP="00EB1206">
            <w:pPr>
              <w:rPr>
                <w:sz w:val="22"/>
                <w:lang w:val="en-GB"/>
              </w:rPr>
            </w:pPr>
            <w:r w:rsidRPr="00A42C1E">
              <w:rPr>
                <w:sz w:val="22"/>
                <w:lang w:val="en-GB"/>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59086" w14:textId="77777777" w:rsidR="001A6FB0" w:rsidRPr="00A42C1E" w:rsidRDefault="001A6FB0" w:rsidP="00EB1206">
            <w:pPr>
              <w:rPr>
                <w:sz w:val="22"/>
                <w:lang w:val="en-GB"/>
              </w:rPr>
            </w:pPr>
            <w:r w:rsidRPr="00A42C1E">
              <w:rPr>
                <w:sz w:val="22"/>
                <w:lang w:val="en-GB"/>
              </w:rPr>
              <w:t>12.6</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2362CD5" w14:textId="77777777" w:rsidR="001A6FB0" w:rsidRPr="00A42C1E" w:rsidRDefault="001A6FB0" w:rsidP="00EB1206">
            <w:pPr>
              <w:rPr>
                <w:sz w:val="22"/>
                <w:lang w:val="en-GB"/>
              </w:rPr>
            </w:pPr>
            <w:r w:rsidRPr="00A42C1E">
              <w:rPr>
                <w:sz w:val="22"/>
                <w:lang w:val="en-GB"/>
              </w:rPr>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362E482" w14:textId="77777777" w:rsidR="001A6FB0" w:rsidRPr="00A42C1E" w:rsidRDefault="001A6FB0" w:rsidP="00EB1206">
            <w:pPr>
              <w:rPr>
                <w:sz w:val="22"/>
                <w:lang w:val="en-GB"/>
              </w:rPr>
            </w:pPr>
            <w:r w:rsidRPr="00A42C1E">
              <w:rPr>
                <w:sz w:val="22"/>
                <w:lang w:val="en-GB"/>
              </w:rPr>
              <w:t>0</w:t>
            </w:r>
          </w:p>
        </w:tc>
      </w:tr>
      <w:tr w:rsidR="001A6FB0" w:rsidRPr="00A42C1E" w14:paraId="588175C8" w14:textId="77777777" w:rsidTr="00616FE6">
        <w:trPr>
          <w:trHeight w:val="80"/>
          <w:jc w:val="center"/>
        </w:trPr>
        <w:tc>
          <w:tcPr>
            <w:tcW w:w="2661" w:type="dxa"/>
            <w:tcBorders>
              <w:top w:val="single" w:sz="4" w:space="0" w:color="auto"/>
              <w:left w:val="single" w:sz="4" w:space="0" w:color="auto"/>
              <w:bottom w:val="single" w:sz="4" w:space="0" w:color="auto"/>
              <w:right w:val="single" w:sz="4" w:space="0" w:color="auto"/>
            </w:tcBorders>
            <w:shd w:val="clear" w:color="auto" w:fill="auto"/>
          </w:tcPr>
          <w:p w14:paraId="5B596C58" w14:textId="77777777" w:rsidR="001A6FB0" w:rsidRPr="00A42C1E" w:rsidRDefault="001A6FB0" w:rsidP="00EB1206">
            <w:pPr>
              <w:rPr>
                <w:sz w:val="22"/>
                <w:lang w:val="en-GB"/>
              </w:rPr>
            </w:pPr>
            <w:r w:rsidRPr="00A42C1E">
              <w:rPr>
                <w:sz w:val="22"/>
                <w:lang w:val="en-GB"/>
              </w:rPr>
              <w:t>Pruritus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9E5133" w14:textId="77777777" w:rsidR="001A6FB0" w:rsidRPr="00A42C1E" w:rsidRDefault="001A6FB0" w:rsidP="00EB1206">
            <w:pPr>
              <w:rPr>
                <w:sz w:val="22"/>
                <w:lang w:val="en-GB"/>
              </w:rPr>
            </w:pPr>
            <w:r w:rsidRPr="00A42C1E">
              <w:rPr>
                <w:sz w:val="22"/>
                <w:lang w:val="en-GB"/>
              </w:rPr>
              <w:t>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9DD437" w14:textId="77777777" w:rsidR="001A6FB0" w:rsidRPr="00A42C1E" w:rsidRDefault="001A6FB0" w:rsidP="00EB1206">
            <w:pPr>
              <w:rPr>
                <w:sz w:val="22"/>
                <w:lang w:val="en-GB"/>
              </w:rPr>
            </w:pPr>
            <w:r w:rsidRPr="00A42C1E">
              <w:rPr>
                <w:sz w:val="22"/>
                <w:lang w:val="en-GB"/>
              </w:rPr>
              <w:t>10.6</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5E30EC8" w14:textId="77777777" w:rsidR="001A6FB0" w:rsidRPr="00A42C1E" w:rsidRDefault="001A6FB0" w:rsidP="00EB1206">
            <w:pP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2BAEF78" w14:textId="77777777" w:rsidR="001A6FB0" w:rsidRPr="00A42C1E" w:rsidRDefault="001A6FB0" w:rsidP="00EB1206">
            <w:pPr>
              <w:rPr>
                <w:sz w:val="22"/>
                <w:lang w:val="en-GB"/>
              </w:rPr>
            </w:pPr>
            <w:r w:rsidRPr="00A42C1E">
              <w:rPr>
                <w:sz w:val="22"/>
                <w:lang w:val="en-GB"/>
              </w:rPr>
              <w:t>0.1</w:t>
            </w:r>
          </w:p>
        </w:tc>
      </w:tr>
    </w:tbl>
    <w:p w14:paraId="7990536B" w14:textId="77777777" w:rsidR="001A6FB0" w:rsidRPr="00A42C1E" w:rsidRDefault="001A6FB0" w:rsidP="00EB1206">
      <w:pPr>
        <w:rPr>
          <w:sz w:val="20"/>
          <w:szCs w:val="20"/>
          <w:lang w:val="en-GB"/>
        </w:rPr>
      </w:pPr>
      <w:r w:rsidRPr="00A42C1E">
        <w:rPr>
          <w:sz w:val="20"/>
          <w:szCs w:val="20"/>
          <w:vertAlign w:val="superscript"/>
          <w:lang w:val="en-GB"/>
        </w:rPr>
        <w:t xml:space="preserve">† </w:t>
      </w:r>
      <w:r w:rsidRPr="00A42C1E">
        <w:rPr>
          <w:sz w:val="20"/>
          <w:szCs w:val="20"/>
          <w:lang w:val="en-GB"/>
        </w:rPr>
        <w:t>No Grade 5 adverse reactions have been observed with a difference of ≥ 2% between the treatment arms</w:t>
      </w:r>
    </w:p>
    <w:p w14:paraId="30DD37F1" w14:textId="77777777" w:rsidR="001A6FB0" w:rsidRDefault="001A6FB0" w:rsidP="00EB1206">
      <w:pPr>
        <w:rPr>
          <w:sz w:val="20"/>
          <w:szCs w:val="20"/>
          <w:lang w:val="en-GB"/>
        </w:rPr>
      </w:pPr>
      <w:r w:rsidRPr="00A42C1E">
        <w:rPr>
          <w:sz w:val="20"/>
          <w:szCs w:val="20"/>
          <w:vertAlign w:val="superscript"/>
          <w:lang w:val="en-GB"/>
        </w:rPr>
        <w:t>‡</w:t>
      </w:r>
      <w:r w:rsidRPr="00A42C1E">
        <w:rPr>
          <w:sz w:val="20"/>
          <w:szCs w:val="20"/>
          <w:vertAlign w:val="superscript"/>
          <w:lang w:val="en-US"/>
        </w:rPr>
        <w:t xml:space="preserve"> </w:t>
      </w:r>
      <w:proofErr w:type="gramStart"/>
      <w:r w:rsidRPr="00A42C1E">
        <w:rPr>
          <w:sz w:val="20"/>
          <w:szCs w:val="20"/>
          <w:lang w:val="en-GB"/>
        </w:rPr>
        <w:t>defined</w:t>
      </w:r>
      <w:proofErr w:type="gramEnd"/>
      <w:r w:rsidRPr="00A42C1E">
        <w:rPr>
          <w:sz w:val="20"/>
          <w:szCs w:val="20"/>
          <w:lang w:val="en-GB"/>
        </w:rPr>
        <w:t xml:space="preserve"> as any related adverse event that occurred during or within 24 hours of infusion</w:t>
      </w:r>
    </w:p>
    <w:p w14:paraId="31B7ECFF" w14:textId="77777777" w:rsidR="001A6FB0" w:rsidRDefault="001A6FB0" w:rsidP="00EB1206">
      <w:pPr>
        <w:spacing w:before="240"/>
      </w:pPr>
      <w:r>
        <w:t xml:space="preserve">During the monotherapy period with Gazyva, the most common adverse events (incidence ≥ 5%) in patients with previously untreated </w:t>
      </w:r>
      <w:proofErr w:type="spellStart"/>
      <w:r>
        <w:t>iNHL</w:t>
      </w:r>
      <w:proofErr w:type="spellEnd"/>
      <w:r>
        <w:t xml:space="preserve"> were cough (20%), neutropenia (19%), upper respiratory tract infection (14%), viral upper respiratory tract infection (15%), diarrhoea (12%), arthralgia (9%), fatigue (9%), sinusitis (9%), infusion reactions (8%), pneumonia (8%), herpes zoster (8%), lower respiratory tract infection (7%), pyrexia (6%), back pain (6%), headache (6%), urinary tract infection (6%), nausea (6%), bronchitis (5%) and vomiting (5%). The most common Grade 3-4 adverse events (incidence ≥ 1%) during the monotherapy period were neutropenia (17%), pneumonia (3%, with 2 deaths due to pneumonia reported in the Gazyva treatment arm) and febrile neutropenia (2%).</w:t>
      </w:r>
    </w:p>
    <w:p w14:paraId="47FAB098" w14:textId="5865DF0D" w:rsidR="007C59E3" w:rsidRDefault="007C59E3" w:rsidP="00EB1206">
      <w:pPr>
        <w:spacing w:before="240"/>
      </w:pPr>
      <w:r>
        <w:lastRenderedPageBreak/>
        <w:t>Hypogammaglobulinemia: uncommon</w:t>
      </w:r>
    </w:p>
    <w:p w14:paraId="780BC14F" w14:textId="77777777" w:rsidR="001A6FB0" w:rsidRPr="001A6FB0" w:rsidRDefault="001A6FB0" w:rsidP="00EB1206">
      <w:pPr>
        <w:pStyle w:val="Heading3"/>
      </w:pPr>
      <w:r w:rsidRPr="001A6FB0">
        <w:t>Further information on selected adverse reactions</w:t>
      </w:r>
    </w:p>
    <w:p w14:paraId="7603E942" w14:textId="77777777" w:rsidR="001A6FB0" w:rsidRDefault="001A6FB0" w:rsidP="00EB1206">
      <w:pPr>
        <w:pStyle w:val="Heading4"/>
        <w:spacing w:before="0"/>
      </w:pPr>
      <w:r w:rsidRPr="001A1DBF">
        <w:t>Infusion related reactions</w:t>
      </w:r>
    </w:p>
    <w:p w14:paraId="0F188908" w14:textId="77777777" w:rsidR="001A6FB0" w:rsidRDefault="001A6FB0" w:rsidP="00EB1206">
      <w:pPr>
        <w:spacing w:after="240"/>
      </w:pPr>
      <w:r w:rsidRPr="00FF262E">
        <w:t>Most frequently reported (</w:t>
      </w:r>
      <w:r>
        <w:t xml:space="preserve">≥ </w:t>
      </w:r>
      <w:r w:rsidRPr="00FF262E">
        <w:t xml:space="preserve">5%) symptoms associated with an IRR were nausea, </w:t>
      </w:r>
      <w:r>
        <w:t xml:space="preserve">vomiting, diarrhoea, headache, dizziness, </w:t>
      </w:r>
      <w:r w:rsidRPr="00FF262E">
        <w:t xml:space="preserve">fatigue, chills, </w:t>
      </w:r>
      <w:r>
        <w:t xml:space="preserve">pyrexia, </w:t>
      </w:r>
      <w:r w:rsidRPr="00FF262E">
        <w:t xml:space="preserve">hypotension, </w:t>
      </w:r>
      <w:r>
        <w:t xml:space="preserve">flushing, hypertension, tachycardia, </w:t>
      </w:r>
      <w:r w:rsidRPr="00FF262E">
        <w:t>dyspnoea,</w:t>
      </w:r>
      <w:r>
        <w:t xml:space="preserve"> and chest discomfort</w:t>
      </w:r>
      <w:r w:rsidRPr="00FF262E">
        <w:t>. Respirato</w:t>
      </w:r>
      <w:r>
        <w:t>ry symptoms such as</w:t>
      </w:r>
      <w:r w:rsidRPr="00FF262E">
        <w:t xml:space="preserve"> bronchospasm, larynx and throat irritation, wheezing, laryngeal oedema and</w:t>
      </w:r>
      <w:r>
        <w:t xml:space="preserve"> cardiac symptoms such as</w:t>
      </w:r>
      <w:r w:rsidRPr="00FF262E">
        <w:t xml:space="preserve"> atrial fibrillation have also been reported (</w:t>
      </w:r>
      <w:r>
        <w:t>s</w:t>
      </w:r>
      <w:r w:rsidRPr="00FF262E">
        <w:t xml:space="preserve">ee </w:t>
      </w:r>
      <w:r w:rsidR="00616FE6">
        <w:t>section 4.4 Special warnings and precautions</w:t>
      </w:r>
      <w:r w:rsidRPr="00FF262E">
        <w:t>).</w:t>
      </w:r>
    </w:p>
    <w:p w14:paraId="3B4DBBB8" w14:textId="353D77F2" w:rsidR="001A6FB0" w:rsidRDefault="001A6FB0" w:rsidP="00EB1206">
      <w:pPr>
        <w:spacing w:after="240"/>
      </w:pPr>
      <w:r>
        <w:t>In study BO21223 t</w:t>
      </w:r>
      <w:r w:rsidRPr="00A35B43">
        <w:t>he most frequent symptoms of IRRs (&gt; 5% occurrence in the G-chemo arm) were as follows (percentages expressed as R-chemo vs. G-chemo): nausea (20.3% vs. 25.7%), chills (7.0% vs. 15.6%), pyrexia (5.5% vs. 14.3%), chest discomfort (3.4% vs.</w:t>
      </w:r>
      <w:r w:rsidR="00AE3353">
        <w:t xml:space="preserve"> </w:t>
      </w:r>
      <w:r w:rsidRPr="00A35B43">
        <w:t>5.0%) vomiting (8.0% vs</w:t>
      </w:r>
      <w:r w:rsidR="00AE3353">
        <w:t>.</w:t>
      </w:r>
      <w:r w:rsidRPr="00A35B43">
        <w:t xml:space="preserve"> 11.1%), fatigue (6.9% vs. 7.2%), dyspn</w:t>
      </w:r>
      <w:r>
        <w:t>o</w:t>
      </w:r>
      <w:r w:rsidRPr="00A35B43">
        <w:t>ea (4.7% vs. 7.6%), throat irritation (5.4% vs. 3.5%), headache (4.4% vs. 8.7%), flushing (3.7% vs. 5.4%), hypotension (1.7% vs. 5.0%), pruritus (6.0% vs. 4.0%), rash (5.9% vs.</w:t>
      </w:r>
      <w:r w:rsidR="00AE3353">
        <w:t xml:space="preserve"> </w:t>
      </w:r>
      <w:r w:rsidRPr="00A35B43">
        <w:t>4.2%) and constipation (3.0% vs. 5.4%).</w:t>
      </w:r>
    </w:p>
    <w:p w14:paraId="30274415" w14:textId="77777777" w:rsidR="001A6FB0" w:rsidRPr="00FF262E" w:rsidRDefault="001A6FB0" w:rsidP="00EB1206">
      <w:pPr>
        <w:pStyle w:val="Heading5"/>
      </w:pPr>
      <w:r>
        <w:t>Chronic Lymphocytic Leukaemia</w:t>
      </w:r>
    </w:p>
    <w:p w14:paraId="6D6BA2FB" w14:textId="77777777" w:rsidR="001A6FB0" w:rsidRDefault="001A6FB0" w:rsidP="00EB1206">
      <w:pPr>
        <w:spacing w:after="240"/>
      </w:pPr>
      <w:r>
        <w:t xml:space="preserve">The incidence of IRRs was 65% with the infusion of the first 1000 mg of </w:t>
      </w:r>
      <w:r>
        <w:rPr>
          <w:lang w:val="en-US"/>
        </w:rPr>
        <w:t>Gazyva</w:t>
      </w:r>
      <w:r>
        <w:t xml:space="preserve"> (20% of patients experiencing a Grade 3-4 IRR). Overall, 7% of patients experienced an IRR leading to discontinuation of </w:t>
      </w:r>
      <w:r>
        <w:rPr>
          <w:lang w:val="en-US"/>
        </w:rPr>
        <w:t>Gazyva</w:t>
      </w:r>
      <w:r>
        <w:t xml:space="preserve">. The incidence of IRR with subsequent infusions was 3% with the second 1000 mg dose and 1% thereafter. No Grade 3-5 IRR were reported beyond the first 1000 mg infusions of Cycle 1. </w:t>
      </w:r>
    </w:p>
    <w:p w14:paraId="555870B7" w14:textId="77777777" w:rsidR="001A6FB0" w:rsidRDefault="001A6FB0" w:rsidP="00EB1206">
      <w:pPr>
        <w:spacing w:after="240"/>
      </w:pPr>
      <w:r>
        <w:t xml:space="preserve">In patients who received the recommended measures for prevention of </w:t>
      </w:r>
      <w:r w:rsidR="00CE03AC">
        <w:t>IRRs as</w:t>
      </w:r>
      <w:r>
        <w:t xml:space="preserve"> described </w:t>
      </w:r>
      <w:r w:rsidR="00CE03AC">
        <w:t>in section 4.2 Dose and method of administration</w:t>
      </w:r>
      <w:r>
        <w:t>, a decreased incidence of all Grades IRRs was observed. The incidence of Grade 3-4 IRRs (which are based on a relatively low number of patients) were similar before and after mitigation measures were implemented.</w:t>
      </w:r>
    </w:p>
    <w:p w14:paraId="3CE90E4C" w14:textId="77777777" w:rsidR="001A6FB0" w:rsidRPr="00374CF0" w:rsidRDefault="001A6FB0" w:rsidP="00EB1206">
      <w:pPr>
        <w:pStyle w:val="Heading5"/>
      </w:pPr>
      <w:r w:rsidRPr="00374CF0">
        <w:t>Non-Hodgkin Lymphoma</w:t>
      </w:r>
    </w:p>
    <w:p w14:paraId="53D65013" w14:textId="77777777" w:rsidR="001A6FB0" w:rsidRDefault="001A6FB0" w:rsidP="00EB1206">
      <w:pPr>
        <w:spacing w:after="240"/>
      </w:pPr>
      <w:r>
        <w:t xml:space="preserve">In Cycle 1, the overall incidence of IRRs was higher in patients receiving </w:t>
      </w:r>
      <w:r>
        <w:rPr>
          <w:lang w:val="en-US"/>
        </w:rPr>
        <w:t>Gazyva</w:t>
      </w:r>
      <w:r>
        <w:t xml:space="preserve"> plus chemotherapy compared to patients in the comparator arm. In patients receiving </w:t>
      </w:r>
      <w:r>
        <w:rPr>
          <w:lang w:val="en-US"/>
        </w:rPr>
        <w:t>Gazyva</w:t>
      </w:r>
      <w:r>
        <w:t xml:space="preserve"> plus chemotherapy, the incidence of IRRs was highest on Day 1 and gradually decreased with subsequent infusions. This decreasing trend continued during maintenance therapy with Gazyva. </w:t>
      </w:r>
    </w:p>
    <w:p w14:paraId="5FCADA44" w14:textId="77777777" w:rsidR="001A6FB0" w:rsidRDefault="001A6FB0" w:rsidP="00EB1206">
      <w:pPr>
        <w:spacing w:after="240"/>
      </w:pPr>
      <w:r>
        <w:t xml:space="preserve">Overall, 3% of patients experienced an IRR leading to discontinuation of </w:t>
      </w:r>
      <w:r>
        <w:rPr>
          <w:lang w:val="en-US"/>
        </w:rPr>
        <w:t>Gazyva</w:t>
      </w:r>
      <w:r>
        <w:t>.</w:t>
      </w:r>
    </w:p>
    <w:p w14:paraId="4F48CC44" w14:textId="11CDEE03" w:rsidR="00473C51" w:rsidRPr="00DF242D" w:rsidRDefault="00473C51" w:rsidP="00EB1206">
      <w:pPr>
        <w:pStyle w:val="Heading5"/>
      </w:pPr>
      <w:r w:rsidRPr="00DF242D">
        <w:t>Short Duration Infusion in patients with Follicular Lymphoma</w:t>
      </w:r>
    </w:p>
    <w:p w14:paraId="36D139F3" w14:textId="77777777" w:rsidR="00473C51" w:rsidRPr="00473C51" w:rsidRDefault="00473C51" w:rsidP="00EB1206">
      <w:pPr>
        <w:spacing w:after="240"/>
        <w:rPr>
          <w:color w:val="auto"/>
        </w:rPr>
      </w:pPr>
      <w:r w:rsidRPr="00473C51">
        <w:rPr>
          <w:color w:val="auto"/>
        </w:rPr>
        <w:t>Study MO40597/GAZELLE was designed to characterise the safety profile of short duration Gazyva infusions (approximately 90 minutes) from Cycle 2 in patients with previously untreated FL.</w:t>
      </w:r>
    </w:p>
    <w:p w14:paraId="5B38808E" w14:textId="7A2E4092" w:rsidR="00473C51" w:rsidRDefault="00473C51" w:rsidP="00EB1206">
      <w:pPr>
        <w:spacing w:after="240"/>
        <w:rPr>
          <w:color w:val="auto"/>
        </w:rPr>
      </w:pPr>
      <w:r w:rsidRPr="00473C51">
        <w:rPr>
          <w:color w:val="auto"/>
        </w:rPr>
        <w:t xml:space="preserve">In study MO40597 a greater proportion of patients experienced any grade IRRs at Cycle 2 compared to the proportion who experienced IRRs after standard infusion at Cycle 2 in study BO21223 (10/99 [10.1%] vs. 23/529 [4.3%] respectively; IRRs attributed by the investigator to any component of study therapy). No patients experienced Grade ≥ 3 IRRs after SDI at Cycle 2 in study MO40597; 3/529 (0.6%) experienced Grade ≥ 3 IRRs at Cycle 2 in study BO21223. IRR symptoms and signs were similar in both studies. Infusion related reactions observed in study MO40597/GAZELLE are summarised in Table </w:t>
      </w:r>
      <w:r w:rsidR="00DF242D">
        <w:rPr>
          <w:color w:val="auto"/>
        </w:rPr>
        <w:t xml:space="preserve">11. </w:t>
      </w:r>
    </w:p>
    <w:p w14:paraId="3DDA13E7" w14:textId="01769459" w:rsidR="00DF242D" w:rsidRDefault="00DF242D" w:rsidP="00EB1206">
      <w:pPr>
        <w:rPr>
          <w:b/>
        </w:rPr>
      </w:pPr>
      <w:r w:rsidRPr="00E60C00">
        <w:rPr>
          <w:b/>
        </w:rPr>
        <w:lastRenderedPageBreak/>
        <w:t>Table </w:t>
      </w:r>
      <w:r>
        <w:rPr>
          <w:b/>
        </w:rPr>
        <w:t xml:space="preserve">11 </w:t>
      </w:r>
      <w:r w:rsidRPr="00E60C00">
        <w:rPr>
          <w:b/>
        </w:rPr>
        <w:t>Study MO40597/GAZELLE Short-Duration Infusion: Infusion Related</w:t>
      </w:r>
      <w:r>
        <w:rPr>
          <w:b/>
        </w:rPr>
        <w:t xml:space="preserve"> </w:t>
      </w:r>
      <w:proofErr w:type="spellStart"/>
      <w:r w:rsidRPr="00E60C00">
        <w:rPr>
          <w:b/>
        </w:rPr>
        <w:t>Reactions</w:t>
      </w:r>
      <w:r w:rsidRPr="00E60C00">
        <w:rPr>
          <w:b/>
          <w:vertAlign w:val="superscript"/>
        </w:rPr>
        <w:t>a</w:t>
      </w:r>
      <w:proofErr w:type="spellEnd"/>
      <w:r>
        <w:rPr>
          <w:b/>
        </w:rPr>
        <w:t xml:space="preserve"> </w:t>
      </w:r>
      <w:r w:rsidRPr="00E60C00">
        <w:rPr>
          <w:b/>
        </w:rPr>
        <w:t>by Cycle (Safety-Evaluable Population)</w:t>
      </w:r>
    </w:p>
    <w:p w14:paraId="723A6B58" w14:textId="77777777" w:rsidR="00DF242D" w:rsidRDefault="00DF242D" w:rsidP="00EB1206">
      <w:pPr>
        <w:rPr>
          <w:b/>
        </w:rPr>
      </w:pPr>
    </w:p>
    <w:tbl>
      <w:tblPr>
        <w:tblW w:w="5264"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15"/>
        <w:gridCol w:w="948"/>
        <w:gridCol w:w="764"/>
        <w:gridCol w:w="681"/>
        <w:gridCol w:w="664"/>
        <w:gridCol w:w="709"/>
        <w:gridCol w:w="764"/>
        <w:gridCol w:w="664"/>
        <w:gridCol w:w="664"/>
        <w:gridCol w:w="664"/>
        <w:gridCol w:w="664"/>
        <w:gridCol w:w="664"/>
        <w:gridCol w:w="926"/>
      </w:tblGrid>
      <w:tr w:rsidR="00DF242D" w14:paraId="4D39E083" w14:textId="77777777" w:rsidTr="00496382">
        <w:trPr>
          <w:cantSplit/>
          <w:trHeight w:val="155"/>
        </w:trPr>
        <w:tc>
          <w:tcPr>
            <w:tcW w:w="453" w:type="pct"/>
            <w:vMerge w:val="restart"/>
            <w:shd w:val="clear" w:color="auto" w:fill="auto"/>
          </w:tcPr>
          <w:p w14:paraId="4634F46C"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CTCAE Grade</w:t>
            </w:r>
          </w:p>
        </w:tc>
        <w:tc>
          <w:tcPr>
            <w:tcW w:w="409" w:type="pct"/>
            <w:vMerge w:val="restart"/>
            <w:shd w:val="clear" w:color="auto" w:fill="auto"/>
          </w:tcPr>
          <w:p w14:paraId="7891AAF9" w14:textId="77777777" w:rsidR="00DF242D" w:rsidRDefault="00DF242D" w:rsidP="00EB1206">
            <w:pPr>
              <w:spacing w:after="250" w:line="300" w:lineRule="atLeast"/>
              <w:rPr>
                <w:rFonts w:eastAsia="SimSun"/>
                <w:b/>
                <w:sz w:val="20"/>
                <w:lang w:eastAsia="zh-CN"/>
              </w:rPr>
            </w:pPr>
            <w:r w:rsidRPr="003442E5">
              <w:rPr>
                <w:rFonts w:eastAsia="SimSun"/>
                <w:b/>
                <w:sz w:val="20"/>
                <w:lang w:eastAsia="zh-CN"/>
              </w:rPr>
              <w:t>C1 Overall</w:t>
            </w:r>
          </w:p>
          <w:p w14:paraId="07590733" w14:textId="77777777" w:rsidR="00DF242D" w:rsidRPr="003442E5" w:rsidRDefault="00DF242D" w:rsidP="00EB1206">
            <w:pPr>
              <w:spacing w:after="250" w:line="300" w:lineRule="atLeast"/>
              <w:rPr>
                <w:rFonts w:eastAsia="SimSun"/>
                <w:b/>
                <w:sz w:val="20"/>
                <w:lang w:eastAsia="zh-CN"/>
              </w:rPr>
            </w:pPr>
            <w:r>
              <w:rPr>
                <w:rFonts w:eastAsia="SimSun"/>
                <w:b/>
                <w:sz w:val="20"/>
                <w:lang w:eastAsia="zh-CN"/>
              </w:rPr>
              <w:t>(standard infusion)</w:t>
            </w:r>
          </w:p>
        </w:tc>
        <w:tc>
          <w:tcPr>
            <w:tcW w:w="1496" w:type="pct"/>
            <w:gridSpan w:val="4"/>
            <w:shd w:val="clear" w:color="auto" w:fill="auto"/>
            <w:vAlign w:val="bottom"/>
          </w:tcPr>
          <w:p w14:paraId="7D75E300"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C1</w:t>
            </w:r>
            <w:r w:rsidRPr="003442E5">
              <w:rPr>
                <w:rFonts w:eastAsia="SimSun"/>
                <w:b/>
                <w:sz w:val="20"/>
                <w:vertAlign w:val="superscript"/>
                <w:lang w:eastAsia="zh-CN"/>
              </w:rPr>
              <w:t>b</w:t>
            </w:r>
            <w:r w:rsidRPr="003442E5">
              <w:rPr>
                <w:rFonts w:eastAsia="SimSun"/>
                <w:b/>
                <w:sz w:val="20"/>
                <w:lang w:eastAsia="zh-CN"/>
              </w:rPr>
              <w:t xml:space="preserve"> by day</w:t>
            </w:r>
          </w:p>
        </w:tc>
        <w:tc>
          <w:tcPr>
            <w:tcW w:w="409" w:type="pct"/>
            <w:vMerge w:val="restart"/>
            <w:shd w:val="clear" w:color="auto" w:fill="auto"/>
          </w:tcPr>
          <w:p w14:paraId="2E926F09"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C2</w:t>
            </w:r>
            <w:r w:rsidRPr="00183B9E">
              <w:rPr>
                <w:rFonts w:eastAsia="SimSun"/>
                <w:b/>
                <w:sz w:val="18"/>
                <w:szCs w:val="18"/>
                <w:vertAlign w:val="superscript"/>
                <w:lang w:eastAsia="zh-CN"/>
              </w:rPr>
              <w:t>C</w:t>
            </w:r>
          </w:p>
        </w:tc>
        <w:tc>
          <w:tcPr>
            <w:tcW w:w="349" w:type="pct"/>
            <w:vMerge w:val="restart"/>
            <w:shd w:val="clear" w:color="auto" w:fill="auto"/>
          </w:tcPr>
          <w:p w14:paraId="42BA85CF"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C3</w:t>
            </w:r>
          </w:p>
        </w:tc>
        <w:tc>
          <w:tcPr>
            <w:tcW w:w="350" w:type="pct"/>
            <w:vMerge w:val="restart"/>
            <w:shd w:val="clear" w:color="auto" w:fill="auto"/>
          </w:tcPr>
          <w:p w14:paraId="08AC325D"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C4</w:t>
            </w:r>
          </w:p>
        </w:tc>
        <w:tc>
          <w:tcPr>
            <w:tcW w:w="350" w:type="pct"/>
            <w:vMerge w:val="restart"/>
            <w:shd w:val="clear" w:color="auto" w:fill="auto"/>
          </w:tcPr>
          <w:p w14:paraId="5114DD4B"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C5</w:t>
            </w:r>
          </w:p>
        </w:tc>
        <w:tc>
          <w:tcPr>
            <w:tcW w:w="350" w:type="pct"/>
            <w:vMerge w:val="restart"/>
            <w:shd w:val="clear" w:color="auto" w:fill="auto"/>
          </w:tcPr>
          <w:p w14:paraId="287A7956"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C6</w:t>
            </w:r>
          </w:p>
        </w:tc>
        <w:tc>
          <w:tcPr>
            <w:tcW w:w="348" w:type="pct"/>
            <w:vMerge w:val="restart"/>
            <w:shd w:val="clear" w:color="auto" w:fill="auto"/>
          </w:tcPr>
          <w:p w14:paraId="7D8DB214"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C7</w:t>
            </w:r>
          </w:p>
        </w:tc>
        <w:tc>
          <w:tcPr>
            <w:tcW w:w="485" w:type="pct"/>
            <w:vMerge w:val="restart"/>
            <w:shd w:val="clear" w:color="auto" w:fill="auto"/>
          </w:tcPr>
          <w:p w14:paraId="3FF5A14D" w14:textId="77777777" w:rsidR="00DF242D" w:rsidRPr="003442E5" w:rsidRDefault="00DF242D" w:rsidP="00EB1206">
            <w:pPr>
              <w:spacing w:after="250" w:line="300" w:lineRule="atLeast"/>
              <w:rPr>
                <w:rFonts w:eastAsia="SimSun"/>
                <w:b/>
                <w:sz w:val="20"/>
                <w:lang w:eastAsia="zh-CN"/>
              </w:rPr>
            </w:pPr>
            <w:proofErr w:type="gramStart"/>
            <w:r w:rsidRPr="003442E5">
              <w:rPr>
                <w:rFonts w:eastAsia="SimSun"/>
                <w:b/>
                <w:sz w:val="20"/>
                <w:lang w:eastAsia="zh-CN"/>
              </w:rPr>
              <w:t>Over all</w:t>
            </w:r>
            <w:proofErr w:type="gramEnd"/>
            <w:r w:rsidRPr="003442E5">
              <w:rPr>
                <w:rFonts w:eastAsia="SimSun"/>
                <w:b/>
                <w:sz w:val="20"/>
                <w:lang w:eastAsia="zh-CN"/>
              </w:rPr>
              <w:t xml:space="preserve"> </w:t>
            </w:r>
            <w:r w:rsidRPr="003442E5">
              <w:rPr>
                <w:rFonts w:eastAsia="SimSun"/>
                <w:b/>
                <w:sz w:val="20"/>
                <w:lang w:eastAsia="zh-CN"/>
              </w:rPr>
              <w:br/>
              <w:t xml:space="preserve">induction </w:t>
            </w:r>
            <w:r w:rsidRPr="003442E5">
              <w:rPr>
                <w:rFonts w:eastAsia="SimSun"/>
                <w:b/>
                <w:sz w:val="20"/>
                <w:lang w:eastAsia="zh-CN"/>
              </w:rPr>
              <w:br/>
              <w:t>cycles</w:t>
            </w:r>
          </w:p>
        </w:tc>
      </w:tr>
      <w:tr w:rsidR="00DF242D" w14:paraId="1C737C88" w14:textId="77777777" w:rsidTr="00496382">
        <w:trPr>
          <w:cantSplit/>
          <w:trHeight w:val="155"/>
        </w:trPr>
        <w:tc>
          <w:tcPr>
            <w:tcW w:w="453" w:type="pct"/>
            <w:vMerge/>
            <w:shd w:val="clear" w:color="auto" w:fill="auto"/>
            <w:vAlign w:val="bottom"/>
          </w:tcPr>
          <w:p w14:paraId="4066DDC0" w14:textId="77777777" w:rsidR="00DF242D" w:rsidRPr="003442E5" w:rsidRDefault="00DF242D" w:rsidP="00EB1206">
            <w:pPr>
              <w:spacing w:after="250" w:line="300" w:lineRule="atLeast"/>
              <w:rPr>
                <w:rFonts w:eastAsia="SimSun"/>
                <w:sz w:val="20"/>
                <w:lang w:eastAsia="zh-CN"/>
              </w:rPr>
            </w:pPr>
          </w:p>
        </w:tc>
        <w:tc>
          <w:tcPr>
            <w:tcW w:w="409" w:type="pct"/>
            <w:vMerge/>
            <w:shd w:val="clear" w:color="auto" w:fill="auto"/>
            <w:vAlign w:val="bottom"/>
          </w:tcPr>
          <w:p w14:paraId="4555F8A0" w14:textId="77777777" w:rsidR="00DF242D" w:rsidRPr="003442E5" w:rsidRDefault="00DF242D" w:rsidP="00EB1206">
            <w:pPr>
              <w:spacing w:after="250" w:line="300" w:lineRule="atLeast"/>
              <w:rPr>
                <w:rFonts w:eastAsia="SimSun"/>
                <w:sz w:val="20"/>
                <w:lang w:eastAsia="zh-CN"/>
              </w:rPr>
            </w:pPr>
          </w:p>
        </w:tc>
        <w:tc>
          <w:tcPr>
            <w:tcW w:w="409" w:type="pct"/>
            <w:vAlign w:val="bottom"/>
          </w:tcPr>
          <w:p w14:paraId="0E2FDEDB"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Day 1</w:t>
            </w:r>
          </w:p>
        </w:tc>
        <w:tc>
          <w:tcPr>
            <w:tcW w:w="361" w:type="pct"/>
            <w:vAlign w:val="bottom"/>
          </w:tcPr>
          <w:p w14:paraId="5D852B08"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Day 2</w:t>
            </w:r>
            <w:r w:rsidRPr="003442E5">
              <w:rPr>
                <w:rFonts w:eastAsia="SimSun"/>
                <w:b/>
                <w:sz w:val="20"/>
                <w:vertAlign w:val="superscript"/>
                <w:lang w:eastAsia="zh-CN"/>
              </w:rPr>
              <w:t>d</w:t>
            </w:r>
          </w:p>
        </w:tc>
        <w:tc>
          <w:tcPr>
            <w:tcW w:w="348" w:type="pct"/>
            <w:vAlign w:val="bottom"/>
          </w:tcPr>
          <w:p w14:paraId="58D0C9F1"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Day 8</w:t>
            </w:r>
          </w:p>
        </w:tc>
        <w:tc>
          <w:tcPr>
            <w:tcW w:w="378" w:type="pct"/>
            <w:vAlign w:val="bottom"/>
          </w:tcPr>
          <w:p w14:paraId="5CDFFBF0" w14:textId="77777777" w:rsidR="00DF242D" w:rsidRPr="003442E5" w:rsidRDefault="00DF242D" w:rsidP="00EB1206">
            <w:pPr>
              <w:spacing w:after="250" w:line="300" w:lineRule="atLeast"/>
              <w:rPr>
                <w:rFonts w:eastAsia="SimSun"/>
                <w:b/>
                <w:sz w:val="20"/>
                <w:lang w:eastAsia="zh-CN"/>
              </w:rPr>
            </w:pPr>
            <w:r w:rsidRPr="003442E5">
              <w:rPr>
                <w:rFonts w:eastAsia="SimSun"/>
                <w:b/>
                <w:sz w:val="20"/>
                <w:lang w:eastAsia="zh-CN"/>
              </w:rPr>
              <w:t>Day 15</w:t>
            </w:r>
          </w:p>
        </w:tc>
        <w:tc>
          <w:tcPr>
            <w:tcW w:w="409" w:type="pct"/>
            <w:vMerge/>
            <w:vAlign w:val="bottom"/>
          </w:tcPr>
          <w:p w14:paraId="17D11AC7" w14:textId="77777777" w:rsidR="00DF242D" w:rsidRPr="003442E5" w:rsidRDefault="00DF242D" w:rsidP="00EB1206">
            <w:pPr>
              <w:spacing w:after="250" w:line="300" w:lineRule="atLeast"/>
              <w:rPr>
                <w:rFonts w:eastAsia="SimSun"/>
                <w:sz w:val="20"/>
                <w:lang w:eastAsia="zh-CN"/>
              </w:rPr>
            </w:pPr>
          </w:p>
        </w:tc>
        <w:tc>
          <w:tcPr>
            <w:tcW w:w="349" w:type="pct"/>
            <w:vMerge/>
            <w:vAlign w:val="bottom"/>
          </w:tcPr>
          <w:p w14:paraId="4BFD100C" w14:textId="77777777" w:rsidR="00DF242D" w:rsidRPr="003442E5" w:rsidRDefault="00DF242D" w:rsidP="00EB1206">
            <w:pPr>
              <w:spacing w:after="250" w:line="300" w:lineRule="atLeast"/>
              <w:rPr>
                <w:rFonts w:eastAsia="SimSun"/>
                <w:sz w:val="20"/>
                <w:lang w:eastAsia="zh-CN"/>
              </w:rPr>
            </w:pPr>
          </w:p>
        </w:tc>
        <w:tc>
          <w:tcPr>
            <w:tcW w:w="350" w:type="pct"/>
            <w:vMerge/>
            <w:vAlign w:val="bottom"/>
          </w:tcPr>
          <w:p w14:paraId="465D6856" w14:textId="77777777" w:rsidR="00DF242D" w:rsidRPr="003442E5" w:rsidRDefault="00DF242D" w:rsidP="00EB1206">
            <w:pPr>
              <w:spacing w:after="250" w:line="300" w:lineRule="atLeast"/>
              <w:rPr>
                <w:rFonts w:eastAsia="SimSun"/>
                <w:sz w:val="20"/>
                <w:lang w:eastAsia="zh-CN"/>
              </w:rPr>
            </w:pPr>
          </w:p>
        </w:tc>
        <w:tc>
          <w:tcPr>
            <w:tcW w:w="350" w:type="pct"/>
            <w:vMerge/>
            <w:vAlign w:val="bottom"/>
          </w:tcPr>
          <w:p w14:paraId="08788C21" w14:textId="77777777" w:rsidR="00DF242D" w:rsidRPr="003442E5" w:rsidRDefault="00DF242D" w:rsidP="00EB1206">
            <w:pPr>
              <w:spacing w:after="250" w:line="300" w:lineRule="atLeast"/>
              <w:rPr>
                <w:rFonts w:eastAsia="SimSun"/>
                <w:sz w:val="20"/>
                <w:lang w:eastAsia="zh-CN"/>
              </w:rPr>
            </w:pPr>
          </w:p>
        </w:tc>
        <w:tc>
          <w:tcPr>
            <w:tcW w:w="350" w:type="pct"/>
            <w:vMerge/>
            <w:vAlign w:val="bottom"/>
          </w:tcPr>
          <w:p w14:paraId="13A47C26" w14:textId="77777777" w:rsidR="00DF242D" w:rsidRPr="003442E5" w:rsidRDefault="00DF242D" w:rsidP="00EB1206">
            <w:pPr>
              <w:spacing w:after="250" w:line="300" w:lineRule="atLeast"/>
              <w:rPr>
                <w:rFonts w:eastAsia="SimSun"/>
                <w:sz w:val="20"/>
                <w:lang w:eastAsia="zh-CN"/>
              </w:rPr>
            </w:pPr>
          </w:p>
        </w:tc>
        <w:tc>
          <w:tcPr>
            <w:tcW w:w="348" w:type="pct"/>
            <w:vMerge/>
            <w:vAlign w:val="bottom"/>
          </w:tcPr>
          <w:p w14:paraId="283B6D16" w14:textId="77777777" w:rsidR="00DF242D" w:rsidRPr="003442E5" w:rsidRDefault="00DF242D" w:rsidP="00EB1206">
            <w:pPr>
              <w:spacing w:after="250" w:line="300" w:lineRule="atLeast"/>
              <w:rPr>
                <w:rFonts w:eastAsia="SimSun"/>
                <w:sz w:val="20"/>
                <w:lang w:eastAsia="zh-CN"/>
              </w:rPr>
            </w:pPr>
          </w:p>
        </w:tc>
        <w:tc>
          <w:tcPr>
            <w:tcW w:w="485" w:type="pct"/>
            <w:vMerge/>
          </w:tcPr>
          <w:p w14:paraId="0AD4B013" w14:textId="77777777" w:rsidR="00DF242D" w:rsidRPr="003442E5" w:rsidRDefault="00DF242D" w:rsidP="00EB1206">
            <w:pPr>
              <w:spacing w:after="250" w:line="300" w:lineRule="atLeast"/>
              <w:rPr>
                <w:rFonts w:eastAsia="SimSun"/>
                <w:sz w:val="20"/>
                <w:lang w:eastAsia="zh-CN"/>
              </w:rPr>
            </w:pPr>
          </w:p>
        </w:tc>
      </w:tr>
      <w:tr w:rsidR="00DF242D" w14:paraId="55C4596D" w14:textId="77777777" w:rsidTr="00496382">
        <w:trPr>
          <w:cantSplit/>
          <w:trHeight w:val="852"/>
        </w:trPr>
        <w:tc>
          <w:tcPr>
            <w:tcW w:w="453" w:type="pct"/>
          </w:tcPr>
          <w:p w14:paraId="157D26A8"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All Grade</w:t>
            </w:r>
          </w:p>
        </w:tc>
        <w:tc>
          <w:tcPr>
            <w:tcW w:w="409" w:type="pct"/>
          </w:tcPr>
          <w:p w14:paraId="7D40A5D0"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65/113 (57.5%)</w:t>
            </w:r>
          </w:p>
        </w:tc>
        <w:tc>
          <w:tcPr>
            <w:tcW w:w="409" w:type="pct"/>
          </w:tcPr>
          <w:p w14:paraId="342611E7"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57/113 (50.4%)</w:t>
            </w:r>
          </w:p>
        </w:tc>
        <w:tc>
          <w:tcPr>
            <w:tcW w:w="361" w:type="pct"/>
          </w:tcPr>
          <w:p w14:paraId="33898FC7"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4/51 (7.8%)</w:t>
            </w:r>
          </w:p>
        </w:tc>
        <w:tc>
          <w:tcPr>
            <w:tcW w:w="348" w:type="pct"/>
          </w:tcPr>
          <w:p w14:paraId="3F5D9C5C"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6/112 (5.4%)</w:t>
            </w:r>
          </w:p>
        </w:tc>
        <w:tc>
          <w:tcPr>
            <w:tcW w:w="378" w:type="pct"/>
          </w:tcPr>
          <w:p w14:paraId="054451D0"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5/111 (4.5%)</w:t>
            </w:r>
          </w:p>
        </w:tc>
        <w:tc>
          <w:tcPr>
            <w:tcW w:w="409" w:type="pct"/>
          </w:tcPr>
          <w:p w14:paraId="29034A9E"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13/110 (11.8%)</w:t>
            </w:r>
          </w:p>
        </w:tc>
        <w:tc>
          <w:tcPr>
            <w:tcW w:w="349" w:type="pct"/>
          </w:tcPr>
          <w:p w14:paraId="7E524FC2"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9/108 (8.3%)</w:t>
            </w:r>
          </w:p>
        </w:tc>
        <w:tc>
          <w:tcPr>
            <w:tcW w:w="350" w:type="pct"/>
          </w:tcPr>
          <w:p w14:paraId="36CAC6CE"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7/108 (6.5%)</w:t>
            </w:r>
          </w:p>
        </w:tc>
        <w:tc>
          <w:tcPr>
            <w:tcW w:w="350" w:type="pct"/>
          </w:tcPr>
          <w:p w14:paraId="1C399418"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6/107 (5.6%)</w:t>
            </w:r>
          </w:p>
        </w:tc>
        <w:tc>
          <w:tcPr>
            <w:tcW w:w="350" w:type="pct"/>
          </w:tcPr>
          <w:p w14:paraId="67F32C97"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5/105 (4.8%)</w:t>
            </w:r>
          </w:p>
        </w:tc>
        <w:tc>
          <w:tcPr>
            <w:tcW w:w="348" w:type="pct"/>
          </w:tcPr>
          <w:p w14:paraId="77028ED2"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2/55 (3.6%)</w:t>
            </w:r>
          </w:p>
        </w:tc>
        <w:tc>
          <w:tcPr>
            <w:tcW w:w="485" w:type="pct"/>
          </w:tcPr>
          <w:p w14:paraId="382DF2B2"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 xml:space="preserve">71/113 </w:t>
            </w:r>
            <w:r w:rsidRPr="003442E5">
              <w:rPr>
                <w:rFonts w:eastAsia="SimSun"/>
                <w:sz w:val="20"/>
                <w:lang w:eastAsia="zh-CN"/>
              </w:rPr>
              <w:br/>
              <w:t>(62.8%)</w:t>
            </w:r>
          </w:p>
        </w:tc>
      </w:tr>
      <w:tr w:rsidR="00DF242D" w14:paraId="0D7CE5A5" w14:textId="77777777" w:rsidTr="00496382">
        <w:trPr>
          <w:cantSplit/>
          <w:trHeight w:val="852"/>
        </w:trPr>
        <w:tc>
          <w:tcPr>
            <w:tcW w:w="453" w:type="pct"/>
          </w:tcPr>
          <w:p w14:paraId="68A77E5E"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 xml:space="preserve">Grade </w:t>
            </w:r>
            <w:r w:rsidRPr="003442E5">
              <w:rPr>
                <w:rFonts w:ascii="Symbol" w:eastAsia="SimSun" w:hAnsi="Symbol"/>
                <w:sz w:val="20"/>
                <w:lang w:eastAsia="zh-CN"/>
              </w:rPr>
              <w:sym w:font="Symbol" w:char="F0B3"/>
            </w:r>
            <w:r w:rsidRPr="003442E5">
              <w:rPr>
                <w:rFonts w:eastAsia="SimSun"/>
                <w:sz w:val="20"/>
                <w:lang w:eastAsia="zh-CN"/>
              </w:rPr>
              <w:t>3</w:t>
            </w:r>
          </w:p>
        </w:tc>
        <w:tc>
          <w:tcPr>
            <w:tcW w:w="409" w:type="pct"/>
          </w:tcPr>
          <w:p w14:paraId="7CA7B8D5"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6/113 (5.3%)</w:t>
            </w:r>
          </w:p>
        </w:tc>
        <w:tc>
          <w:tcPr>
            <w:tcW w:w="409" w:type="pct"/>
          </w:tcPr>
          <w:p w14:paraId="496AB7AB"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5/113 (4.4%)</w:t>
            </w:r>
          </w:p>
        </w:tc>
        <w:tc>
          <w:tcPr>
            <w:tcW w:w="361" w:type="pct"/>
          </w:tcPr>
          <w:p w14:paraId="1E14F15E"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1/51 (2.0%)</w:t>
            </w:r>
          </w:p>
        </w:tc>
        <w:tc>
          <w:tcPr>
            <w:tcW w:w="348" w:type="pct"/>
          </w:tcPr>
          <w:p w14:paraId="247C5940"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0</w:t>
            </w:r>
          </w:p>
        </w:tc>
        <w:tc>
          <w:tcPr>
            <w:tcW w:w="378" w:type="pct"/>
          </w:tcPr>
          <w:p w14:paraId="5178A545"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0</w:t>
            </w:r>
          </w:p>
        </w:tc>
        <w:tc>
          <w:tcPr>
            <w:tcW w:w="409" w:type="pct"/>
          </w:tcPr>
          <w:p w14:paraId="1C692AAD"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0</w:t>
            </w:r>
          </w:p>
        </w:tc>
        <w:tc>
          <w:tcPr>
            <w:tcW w:w="349" w:type="pct"/>
          </w:tcPr>
          <w:p w14:paraId="0996E3D3"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0</w:t>
            </w:r>
          </w:p>
        </w:tc>
        <w:tc>
          <w:tcPr>
            <w:tcW w:w="350" w:type="pct"/>
          </w:tcPr>
          <w:p w14:paraId="7CAED93C"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0</w:t>
            </w:r>
          </w:p>
        </w:tc>
        <w:tc>
          <w:tcPr>
            <w:tcW w:w="350" w:type="pct"/>
          </w:tcPr>
          <w:p w14:paraId="5AD0CCDB"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1/107 (0.9%)</w:t>
            </w:r>
          </w:p>
        </w:tc>
        <w:tc>
          <w:tcPr>
            <w:tcW w:w="350" w:type="pct"/>
          </w:tcPr>
          <w:p w14:paraId="174FC35B"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0</w:t>
            </w:r>
          </w:p>
        </w:tc>
        <w:tc>
          <w:tcPr>
            <w:tcW w:w="348" w:type="pct"/>
          </w:tcPr>
          <w:p w14:paraId="6A062CB5"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0</w:t>
            </w:r>
          </w:p>
        </w:tc>
        <w:tc>
          <w:tcPr>
            <w:tcW w:w="485" w:type="pct"/>
          </w:tcPr>
          <w:p w14:paraId="09EE13DE" w14:textId="77777777" w:rsidR="00DF242D" w:rsidRPr="003442E5" w:rsidRDefault="00DF242D" w:rsidP="00EB1206">
            <w:pPr>
              <w:spacing w:after="250" w:line="300" w:lineRule="atLeast"/>
              <w:rPr>
                <w:rFonts w:eastAsia="SimSun"/>
                <w:sz w:val="20"/>
                <w:lang w:eastAsia="zh-CN"/>
              </w:rPr>
            </w:pPr>
            <w:r w:rsidRPr="003442E5">
              <w:rPr>
                <w:rFonts w:eastAsia="SimSun"/>
                <w:sz w:val="20"/>
                <w:lang w:eastAsia="zh-CN"/>
              </w:rPr>
              <w:t xml:space="preserve">7/113 </w:t>
            </w:r>
            <w:r w:rsidRPr="003442E5">
              <w:rPr>
                <w:rFonts w:eastAsia="SimSun"/>
                <w:sz w:val="20"/>
                <w:lang w:eastAsia="zh-CN"/>
              </w:rPr>
              <w:br/>
              <w:t>(6.2%)</w:t>
            </w:r>
          </w:p>
        </w:tc>
      </w:tr>
    </w:tbl>
    <w:p w14:paraId="0B82B50D" w14:textId="77777777" w:rsidR="00DF242D" w:rsidRPr="00DF242D" w:rsidRDefault="00DF242D" w:rsidP="00EB1206">
      <w:pPr>
        <w:pStyle w:val="TabFigNote"/>
        <w:rPr>
          <w:rFonts w:ascii="Times New Roman" w:hAnsi="Times New Roman"/>
          <w:sz w:val="18"/>
          <w:szCs w:val="18"/>
        </w:rPr>
      </w:pPr>
      <w:r w:rsidRPr="00DF242D">
        <w:rPr>
          <w:rFonts w:ascii="Times New Roman" w:hAnsi="Times New Roman"/>
          <w:sz w:val="18"/>
          <w:szCs w:val="18"/>
        </w:rPr>
        <w:t>C</w:t>
      </w:r>
      <w:r w:rsidRPr="00DF242D">
        <w:rPr>
          <w:rFonts w:ascii="Times New Roman" w:hAnsi="Times New Roman"/>
          <w:sz w:val="18"/>
          <w:szCs w:val="18"/>
        </w:rPr>
        <w:sym w:font="Symbol" w:char="F03D"/>
      </w:r>
      <w:r w:rsidRPr="00DF242D">
        <w:rPr>
          <w:rFonts w:ascii="Times New Roman" w:hAnsi="Times New Roman"/>
          <w:sz w:val="18"/>
          <w:szCs w:val="18"/>
        </w:rPr>
        <w:t>cycle; CTCAE = Common Terminology Criteria for Adverse Events; IRR</w:t>
      </w:r>
      <w:r w:rsidRPr="00DF242D">
        <w:rPr>
          <w:rFonts w:ascii="Times New Roman" w:hAnsi="Times New Roman"/>
          <w:sz w:val="18"/>
          <w:szCs w:val="18"/>
        </w:rPr>
        <w:sym w:font="Symbol" w:char="F03D"/>
      </w:r>
      <w:r w:rsidRPr="00DF242D">
        <w:rPr>
          <w:rFonts w:ascii="Times New Roman" w:hAnsi="Times New Roman"/>
          <w:sz w:val="18"/>
          <w:szCs w:val="18"/>
        </w:rPr>
        <w:t xml:space="preserve">infusion related reaction </w:t>
      </w:r>
    </w:p>
    <w:p w14:paraId="3068597D" w14:textId="77777777" w:rsidR="00DF242D" w:rsidRPr="00DF242D" w:rsidRDefault="00DF242D" w:rsidP="00EB1206">
      <w:pPr>
        <w:pStyle w:val="TabFigNote"/>
        <w:rPr>
          <w:rFonts w:ascii="Times New Roman" w:hAnsi="Times New Roman"/>
          <w:sz w:val="18"/>
          <w:szCs w:val="18"/>
        </w:rPr>
      </w:pPr>
      <w:proofErr w:type="gramStart"/>
      <w:r w:rsidRPr="00DF242D">
        <w:rPr>
          <w:rFonts w:ascii="Times New Roman" w:hAnsi="Times New Roman"/>
          <w:sz w:val="18"/>
          <w:szCs w:val="18"/>
          <w:vertAlign w:val="superscript"/>
        </w:rPr>
        <w:t>a</w:t>
      </w:r>
      <w:proofErr w:type="gramEnd"/>
      <w:r w:rsidRPr="00DF242D">
        <w:rPr>
          <w:rFonts w:ascii="Times New Roman" w:hAnsi="Times New Roman"/>
          <w:sz w:val="18"/>
          <w:szCs w:val="18"/>
        </w:rPr>
        <w:t xml:space="preserve"> Infusion related reaction defined as any event that occurred during or within 24 hours from the end of study treatment infusion that were judged by the investigator to be related to any components of therapy.</w:t>
      </w:r>
    </w:p>
    <w:p w14:paraId="2E3DD8DE" w14:textId="77777777" w:rsidR="00DF242D" w:rsidRPr="00DF242D" w:rsidRDefault="00DF242D" w:rsidP="00EB1206">
      <w:pPr>
        <w:pStyle w:val="TabFigNote"/>
        <w:rPr>
          <w:rFonts w:ascii="Times New Roman" w:hAnsi="Times New Roman"/>
          <w:sz w:val="18"/>
          <w:szCs w:val="18"/>
        </w:rPr>
      </w:pPr>
      <w:r w:rsidRPr="00DF242D">
        <w:rPr>
          <w:rFonts w:ascii="Times New Roman" w:hAnsi="Times New Roman"/>
          <w:sz w:val="18"/>
          <w:szCs w:val="18"/>
          <w:vertAlign w:val="superscript"/>
        </w:rPr>
        <w:t>b</w:t>
      </w:r>
      <w:r w:rsidRPr="00DF242D">
        <w:rPr>
          <w:rFonts w:ascii="Times New Roman" w:hAnsi="Times New Roman"/>
          <w:sz w:val="18"/>
          <w:szCs w:val="18"/>
        </w:rPr>
        <w:t xml:space="preserve"> C1 comprised three infusions at the standard infusion rate, administered at weekly intervals</w:t>
      </w:r>
    </w:p>
    <w:p w14:paraId="15B588EE" w14:textId="77777777" w:rsidR="00DF242D" w:rsidRPr="00DF242D" w:rsidRDefault="00DF242D" w:rsidP="00EB1206">
      <w:pPr>
        <w:pStyle w:val="TabFigNote"/>
        <w:rPr>
          <w:rFonts w:ascii="Times New Roman" w:hAnsi="Times New Roman"/>
          <w:sz w:val="18"/>
          <w:szCs w:val="18"/>
        </w:rPr>
      </w:pPr>
      <w:r w:rsidRPr="00DF242D">
        <w:rPr>
          <w:rFonts w:ascii="Times New Roman" w:hAnsi="Times New Roman"/>
          <w:sz w:val="18"/>
          <w:szCs w:val="18"/>
          <w:vertAlign w:val="superscript"/>
        </w:rPr>
        <w:t>c</w:t>
      </w:r>
      <w:r w:rsidRPr="00DF242D">
        <w:rPr>
          <w:rFonts w:ascii="Times New Roman" w:hAnsi="Times New Roman"/>
          <w:sz w:val="18"/>
          <w:szCs w:val="18"/>
        </w:rPr>
        <w:t xml:space="preserve"> Patients received short-duration infusion from C2 onward. The denominator at C2 and subsequent cycles represents the number of patients who received SDI at that cycle.</w:t>
      </w:r>
    </w:p>
    <w:p w14:paraId="7F0D3C06" w14:textId="639A3FD6" w:rsidR="00DF242D" w:rsidRPr="00A25BB4" w:rsidRDefault="00DF242D" w:rsidP="00EB1206">
      <w:pPr>
        <w:pStyle w:val="TabFigNote"/>
        <w:rPr>
          <w:rFonts w:ascii="Times New Roman" w:hAnsi="Times New Roman"/>
          <w:sz w:val="18"/>
          <w:szCs w:val="18"/>
        </w:rPr>
      </w:pPr>
      <w:r w:rsidRPr="00DF242D">
        <w:rPr>
          <w:rFonts w:ascii="Times New Roman" w:hAnsi="Times New Roman"/>
          <w:sz w:val="18"/>
          <w:szCs w:val="18"/>
          <w:vertAlign w:val="superscript"/>
        </w:rPr>
        <w:t>d</w:t>
      </w:r>
      <w:r w:rsidRPr="00DF242D">
        <w:rPr>
          <w:rFonts w:ascii="Times New Roman" w:hAnsi="Times New Roman"/>
          <w:sz w:val="18"/>
          <w:szCs w:val="18"/>
        </w:rPr>
        <w:t xml:space="preserve"> Patients treated with </w:t>
      </w:r>
      <w:proofErr w:type="spellStart"/>
      <w:r w:rsidRPr="00DF242D">
        <w:rPr>
          <w:rFonts w:ascii="Times New Roman" w:hAnsi="Times New Roman"/>
          <w:sz w:val="18"/>
          <w:szCs w:val="18"/>
        </w:rPr>
        <w:t>bendamustine</w:t>
      </w:r>
      <w:proofErr w:type="spellEnd"/>
      <w:r w:rsidRPr="00DF242D">
        <w:rPr>
          <w:rFonts w:ascii="Times New Roman" w:hAnsi="Times New Roman"/>
          <w:sz w:val="18"/>
          <w:szCs w:val="18"/>
        </w:rPr>
        <w:t xml:space="preserve"> on Cycle 1 Day 2.</w:t>
      </w:r>
    </w:p>
    <w:p w14:paraId="04245C17" w14:textId="77777777" w:rsidR="001A6FB0" w:rsidRPr="001A1DBF" w:rsidRDefault="001A6FB0" w:rsidP="00EB1206">
      <w:pPr>
        <w:pStyle w:val="Heading4"/>
      </w:pPr>
      <w:r w:rsidRPr="001A1DBF">
        <w:t>Neutropenia and infections</w:t>
      </w:r>
    </w:p>
    <w:p w14:paraId="01ED9BBA" w14:textId="77777777" w:rsidR="001A6FB0" w:rsidRDefault="001A6FB0" w:rsidP="00EB1206">
      <w:pPr>
        <w:pStyle w:val="Heading5"/>
        <w:spacing w:before="0"/>
      </w:pPr>
      <w:r>
        <w:t>Chronic Lymphocytic Leukaemia</w:t>
      </w:r>
    </w:p>
    <w:p w14:paraId="137BD8FC" w14:textId="77777777" w:rsidR="001A6FB0" w:rsidRPr="00D07E39" w:rsidRDefault="001A6FB0" w:rsidP="00EB1206">
      <w:pPr>
        <w:spacing w:after="240"/>
      </w:pPr>
      <w:r w:rsidRPr="00D07E39">
        <w:t>The incidence of neutropenia was</w:t>
      </w:r>
      <w:r>
        <w:t xml:space="preserve"> higher</w:t>
      </w:r>
      <w:r w:rsidRPr="00D07E39">
        <w:t xml:space="preserve"> in the </w:t>
      </w:r>
      <w:r>
        <w:rPr>
          <w:lang w:val="en-US"/>
        </w:rPr>
        <w:t>Gazyva</w:t>
      </w:r>
      <w:r w:rsidRPr="00D07E39">
        <w:t xml:space="preserve"> </w:t>
      </w:r>
      <w:r>
        <w:t>plus chlorambucil</w:t>
      </w:r>
      <w:r w:rsidRPr="00D07E39">
        <w:t xml:space="preserve"> arm </w:t>
      </w:r>
      <w:r>
        <w:t xml:space="preserve">compared to </w:t>
      </w:r>
      <w:r w:rsidRPr="00D07E39">
        <w:t xml:space="preserve">the </w:t>
      </w:r>
      <w:r>
        <w:t xml:space="preserve">rituximab plus </w:t>
      </w:r>
      <w:r w:rsidRPr="00D07E39">
        <w:t xml:space="preserve">chlorambucil arm with </w:t>
      </w:r>
      <w:r>
        <w:t xml:space="preserve">the neutropenia resolving spontaneously or with use of granulocyte colony-stimulating factors. The incidence of infection was 38% in the </w:t>
      </w:r>
      <w:r>
        <w:rPr>
          <w:lang w:val="en-US"/>
        </w:rPr>
        <w:t>Gazyva</w:t>
      </w:r>
      <w:r>
        <w:t xml:space="preserve"> plus chlorambucil arm and 37% in the rituximab plus chlorambucil arm (with Grade 3-5 events reported in 12% and </w:t>
      </w:r>
      <w:r w:rsidRPr="00866063">
        <w:t>14</w:t>
      </w:r>
      <w:r>
        <w:t xml:space="preserve">%, respectively and fatal events reported in &lt; 1% in both treatment arms). Cases of prolonged neutropenia (2% in the </w:t>
      </w:r>
      <w:r>
        <w:rPr>
          <w:lang w:val="en-US"/>
        </w:rPr>
        <w:t>Gazyva</w:t>
      </w:r>
      <w:r>
        <w:t xml:space="preserve"> plus chlorambucil arm and 4% in the rituximab plus chlorambucil arm) and late onset neutropenia (16% in the </w:t>
      </w:r>
      <w:r>
        <w:rPr>
          <w:lang w:val="en-US"/>
        </w:rPr>
        <w:t>Gazyva</w:t>
      </w:r>
      <w:r>
        <w:t xml:space="preserve"> plus chlorambucil arm and 12% in the rituximab plus chlorambucil arm) were also reported </w:t>
      </w:r>
      <w:r w:rsidR="00CE03AC" w:rsidRPr="00FF262E">
        <w:t>(</w:t>
      </w:r>
      <w:r w:rsidR="00CE03AC">
        <w:t>s</w:t>
      </w:r>
      <w:r w:rsidR="00CE03AC" w:rsidRPr="00FF262E">
        <w:t xml:space="preserve">ee </w:t>
      </w:r>
      <w:r w:rsidR="00CE03AC">
        <w:t>section 4.4 Special warnings and precautions</w:t>
      </w:r>
      <w:r w:rsidR="00CE03AC" w:rsidRPr="00FF262E">
        <w:t>)</w:t>
      </w:r>
      <w:r>
        <w:t>.</w:t>
      </w:r>
    </w:p>
    <w:p w14:paraId="113FE7AF" w14:textId="77777777" w:rsidR="001A6FB0" w:rsidRPr="00374CF0" w:rsidRDefault="001A6FB0" w:rsidP="00EB1206">
      <w:pPr>
        <w:pStyle w:val="Heading5"/>
      </w:pPr>
      <w:r w:rsidRPr="00374CF0">
        <w:t>Non-Hodgkin Lymphoma</w:t>
      </w:r>
    </w:p>
    <w:p w14:paraId="5BA7EE87" w14:textId="77777777" w:rsidR="001A6FB0" w:rsidRDefault="001A6FB0" w:rsidP="00EB1206">
      <w:pPr>
        <w:spacing w:after="240"/>
      </w:pPr>
      <w:r>
        <w:t xml:space="preserve">In the </w:t>
      </w:r>
      <w:r>
        <w:rPr>
          <w:lang w:val="en-US"/>
        </w:rPr>
        <w:t>Gazyva</w:t>
      </w:r>
      <w:r>
        <w:t xml:space="preserve"> plus chemotherapy arm, the incidence of neutropenia was higher relative to the comparator arm with an increased risk during the induction period. </w:t>
      </w:r>
      <w:r w:rsidRPr="00374CF0">
        <w:t>The incidence of</w:t>
      </w:r>
      <w:r>
        <w:t xml:space="preserve"> prolonged</w:t>
      </w:r>
      <w:r w:rsidRPr="00374CF0">
        <w:t xml:space="preserve"> neutropenia</w:t>
      </w:r>
      <w:r>
        <w:t xml:space="preserve"> and late onset neutropenia</w:t>
      </w:r>
      <w:r w:rsidRPr="00374CF0">
        <w:t xml:space="preserve"> in the </w:t>
      </w:r>
      <w:r>
        <w:rPr>
          <w:lang w:val="en-US"/>
        </w:rPr>
        <w:t>Gazyva</w:t>
      </w:r>
      <w:r>
        <w:t xml:space="preserve"> plus chemotherapy</w:t>
      </w:r>
      <w:r w:rsidRPr="00374CF0">
        <w:t xml:space="preserve"> arm</w:t>
      </w:r>
      <w:r>
        <w:t xml:space="preserve"> were 3% and 7%, respectively.</w:t>
      </w:r>
      <w:r w:rsidRPr="00374CF0">
        <w:t xml:space="preserve"> The incidence of infection was </w:t>
      </w:r>
      <w:r>
        <w:t>81</w:t>
      </w:r>
      <w:r w:rsidRPr="00374CF0">
        <w:t xml:space="preserve">% in the </w:t>
      </w:r>
      <w:r>
        <w:rPr>
          <w:lang w:val="en-US"/>
        </w:rPr>
        <w:t>Gazyva</w:t>
      </w:r>
      <w:r>
        <w:t xml:space="preserve"> plus chemotherapy</w:t>
      </w:r>
      <w:r w:rsidRPr="00374CF0">
        <w:t xml:space="preserve"> arm (with Grade 3-5 events reported in </w:t>
      </w:r>
      <w:r>
        <w:t>22% of patients</w:t>
      </w:r>
      <w:r w:rsidRPr="00374CF0">
        <w:t xml:space="preserve"> and fatal events reported in </w:t>
      </w:r>
      <w:r>
        <w:t>2</w:t>
      </w:r>
      <w:r w:rsidRPr="00374CF0">
        <w:t xml:space="preserve">% </w:t>
      </w:r>
      <w:r>
        <w:t>of patients</w:t>
      </w:r>
      <w:r w:rsidRPr="00374CF0">
        <w:t>).</w:t>
      </w:r>
      <w:r>
        <w:t xml:space="preserve"> The incidence of infection was 72% in the rituximab plus chemotherapy arm (with Grade 3-5 events reported in 17% of patients and fatal events reported in 1% of patients).</w:t>
      </w:r>
      <w:r w:rsidRPr="00374CF0">
        <w:t xml:space="preserve"> </w:t>
      </w:r>
      <w:r>
        <w:t>Patients who received G-CSF prophylaxis had a lower rate of Grade 3-5 infections</w:t>
      </w:r>
      <w:r w:rsidR="00CE03AC">
        <w:t xml:space="preserve"> </w:t>
      </w:r>
      <w:r w:rsidR="00CE03AC" w:rsidRPr="00FF262E">
        <w:t>(</w:t>
      </w:r>
      <w:r w:rsidR="00CE03AC">
        <w:t>s</w:t>
      </w:r>
      <w:r w:rsidR="00CE03AC" w:rsidRPr="00FF262E">
        <w:t xml:space="preserve">ee </w:t>
      </w:r>
      <w:r w:rsidR="00CE03AC">
        <w:t>section 4.4 Special warnings and precautions</w:t>
      </w:r>
      <w:r w:rsidR="00CE03AC" w:rsidRPr="00FF262E">
        <w:t>)</w:t>
      </w:r>
      <w:r w:rsidRPr="00374CF0">
        <w:t>.</w:t>
      </w:r>
    </w:p>
    <w:p w14:paraId="4A0624DC" w14:textId="77777777" w:rsidR="00473C51" w:rsidRDefault="00473C51" w:rsidP="00EB1206">
      <w:pPr>
        <w:pStyle w:val="Heading5"/>
        <w:spacing w:before="0"/>
      </w:pPr>
      <w:r>
        <w:t>Short Duration Infusion in patients with Follicular Lymphoma</w:t>
      </w:r>
    </w:p>
    <w:p w14:paraId="68C0E5AF" w14:textId="77777777" w:rsidR="00473C51" w:rsidRPr="00D07E39" w:rsidRDefault="00473C51" w:rsidP="00EB1206">
      <w:pPr>
        <w:spacing w:after="240"/>
      </w:pPr>
      <w:r>
        <w:t xml:space="preserve">In study MO40597, assessing the safety of SDI, neutropenia was reported as an adverse event in a higher proportion of patients compared to study BO21223 in which patients received standard duration infusion (69/113 [61.1%] vs. 247/595 [41.5%] respectively, throughout </w:t>
      </w:r>
      <w:r>
        <w:lastRenderedPageBreak/>
        <w:t>induction). The median and range of neutrophil count values were similar in both studies at each time point. Febrile neutropenia was reported in a similar proportion of patients in study MO40597 and study BO21223 (6/113 [5.3%] vs. 31/595 [5.2%] respectively). Infection was reported less frequently in study MO40597 than in study BO21223 (45/113 [39.8%] vs. 284/595 [47.7%] respectively).</w:t>
      </w:r>
    </w:p>
    <w:p w14:paraId="54769599" w14:textId="77777777" w:rsidR="001A6FB0" w:rsidRDefault="001A6FB0" w:rsidP="00EB1206">
      <w:pPr>
        <w:pStyle w:val="Heading4"/>
      </w:pPr>
      <w:r>
        <w:t>Thrombocytopenia and haemorrhagic events</w:t>
      </w:r>
    </w:p>
    <w:p w14:paraId="6455DF47" w14:textId="77777777" w:rsidR="001A6FB0" w:rsidRDefault="001A6FB0" w:rsidP="00EB1206">
      <w:pPr>
        <w:pStyle w:val="Heading5"/>
        <w:spacing w:before="0"/>
      </w:pPr>
      <w:r>
        <w:t>Chronic Lymphocytic Leukaemia</w:t>
      </w:r>
    </w:p>
    <w:p w14:paraId="4D6398AF" w14:textId="77777777" w:rsidR="001A6FB0" w:rsidRDefault="001A6FB0" w:rsidP="00EB1206">
      <w:pPr>
        <w:spacing w:after="240"/>
      </w:pPr>
      <w:r w:rsidRPr="00D07E39">
        <w:t>The incidence of thrombocytopenia was</w:t>
      </w:r>
      <w:r>
        <w:t xml:space="preserve"> higher</w:t>
      </w:r>
      <w:r w:rsidRPr="00D07E39">
        <w:t xml:space="preserve"> in the </w:t>
      </w:r>
      <w:r>
        <w:rPr>
          <w:lang w:val="en-US"/>
        </w:rPr>
        <w:t>Gazyva</w:t>
      </w:r>
      <w:r w:rsidRPr="00D07E39">
        <w:t xml:space="preserve"> </w:t>
      </w:r>
      <w:r>
        <w:t xml:space="preserve">plus chlorambucil </w:t>
      </w:r>
      <w:r w:rsidRPr="00D07E39">
        <w:t>arm</w:t>
      </w:r>
      <w:r>
        <w:t xml:space="preserve"> compared to</w:t>
      </w:r>
      <w:r w:rsidRPr="00D07E39">
        <w:t xml:space="preserve"> the </w:t>
      </w:r>
      <w:r>
        <w:t xml:space="preserve">rituximab plus </w:t>
      </w:r>
      <w:r w:rsidRPr="00D07E39">
        <w:t xml:space="preserve">chlorambucil arm </w:t>
      </w:r>
      <w:r>
        <w:t xml:space="preserve">especially during the first cycle. Four </w:t>
      </w:r>
      <w:r w:rsidRPr="00D07E39">
        <w:t>percent of patients</w:t>
      </w:r>
      <w:r>
        <w:t xml:space="preserve"> treated with</w:t>
      </w:r>
      <w:r w:rsidRPr="00D07E39">
        <w:t xml:space="preserve"> </w:t>
      </w:r>
      <w:r>
        <w:rPr>
          <w:lang w:val="en-US"/>
        </w:rPr>
        <w:t>Gazyva</w:t>
      </w:r>
      <w:r w:rsidRPr="00D07E39">
        <w:t xml:space="preserve"> </w:t>
      </w:r>
      <w:r>
        <w:t xml:space="preserve">plus chlorambucil </w:t>
      </w:r>
      <w:r w:rsidRPr="00D07E39">
        <w:t xml:space="preserve">experienced acute thrombocytopenia (occurring within 24 hours after the </w:t>
      </w:r>
      <w:r>
        <w:rPr>
          <w:lang w:val="en-US"/>
        </w:rPr>
        <w:t>Gazyva</w:t>
      </w:r>
      <w:r w:rsidRPr="00D07E39">
        <w:t xml:space="preserve"> infusion) </w:t>
      </w:r>
      <w:r w:rsidR="00CE03AC" w:rsidRPr="00FF262E">
        <w:t>(</w:t>
      </w:r>
      <w:r w:rsidR="00CE03AC">
        <w:t>s</w:t>
      </w:r>
      <w:r w:rsidR="00CE03AC" w:rsidRPr="00FF262E">
        <w:t xml:space="preserve">ee </w:t>
      </w:r>
      <w:r w:rsidR="00CE03AC">
        <w:t>section 4.4 Special warnings and precautions</w:t>
      </w:r>
      <w:r w:rsidR="00CE03AC" w:rsidRPr="00FF262E">
        <w:t>)</w:t>
      </w:r>
      <w:r w:rsidRPr="00D07E39">
        <w:t>.</w:t>
      </w:r>
      <w:r>
        <w:t xml:space="preserve"> The overall incidence of haemorrhagic events was similar in the </w:t>
      </w:r>
      <w:r>
        <w:rPr>
          <w:lang w:val="en-US"/>
        </w:rPr>
        <w:t>Gazyva</w:t>
      </w:r>
      <w:r>
        <w:t xml:space="preserve"> treated arm and in the rituximab treated arm. The number of fatal haemorrhagic events was balanced between the treatment arms; </w:t>
      </w:r>
      <w:proofErr w:type="gramStart"/>
      <w:r>
        <w:t>however</w:t>
      </w:r>
      <w:proofErr w:type="gramEnd"/>
      <w:r>
        <w:t xml:space="preserve"> all of the events in patients treated with </w:t>
      </w:r>
      <w:r>
        <w:rPr>
          <w:lang w:val="en-US"/>
        </w:rPr>
        <w:t>Gazyva</w:t>
      </w:r>
      <w:r>
        <w:t xml:space="preserve"> were reported in Cycle 1. A clear relationship between thrombocytopenia and haemorrhagic events has not been established.</w:t>
      </w:r>
    </w:p>
    <w:p w14:paraId="00E54F04" w14:textId="77777777" w:rsidR="001A6FB0" w:rsidRDefault="001A6FB0" w:rsidP="00EB1206">
      <w:pPr>
        <w:pStyle w:val="Heading5"/>
      </w:pPr>
      <w:r w:rsidRPr="00374CF0">
        <w:t>Non-Hodgkin Lymphoma</w:t>
      </w:r>
    </w:p>
    <w:p w14:paraId="7814ECF8" w14:textId="5D985317" w:rsidR="001A6FB0" w:rsidRDefault="001A6FB0" w:rsidP="00EB1206">
      <w:pPr>
        <w:spacing w:after="240"/>
      </w:pPr>
      <w:r>
        <w:t>T</w:t>
      </w:r>
      <w:r w:rsidRPr="006455FE">
        <w:t>hrombocytopenia</w:t>
      </w:r>
      <w:r>
        <w:t xml:space="preserve"> occurred more frequently during Cycle 1 in the </w:t>
      </w:r>
      <w:r>
        <w:rPr>
          <w:lang w:val="en-US"/>
        </w:rPr>
        <w:t>Gazyva</w:t>
      </w:r>
      <w:r>
        <w:t xml:space="preserve"> plus chemotherapy arm. Thrombocytopenia occurring during or 24 hours from end of infusion (acute thrombocytopenia) was more frequently observed in patients treated with </w:t>
      </w:r>
      <w:r>
        <w:rPr>
          <w:lang w:val="en-US"/>
        </w:rPr>
        <w:t>Gazyva</w:t>
      </w:r>
      <w:r>
        <w:t xml:space="preserve"> plus chemotherapy than in the relevant comparator arm. The incidence of haemorrhagic AEs was similar across all treatment arms. Haemorrhagic events and Grade 3-5 haemorrhagic events occurred in </w:t>
      </w:r>
      <w:r w:rsidR="00B56C79">
        <w:t>12</w:t>
      </w:r>
      <w:r>
        <w:t xml:space="preserve">% and </w:t>
      </w:r>
      <w:r w:rsidR="00B56C79">
        <w:t>4</w:t>
      </w:r>
      <w:r>
        <w:t>% of patients, respectively. While fatal haemorrhagic events occurred in less than 1% of patients, none of these fatal AEs occurred in Cycle 1.</w:t>
      </w:r>
    </w:p>
    <w:p w14:paraId="30BB2BF3" w14:textId="77777777" w:rsidR="00DF242D" w:rsidRDefault="00DF242D" w:rsidP="00EB1206">
      <w:pPr>
        <w:pStyle w:val="Heading5"/>
      </w:pPr>
      <w:r>
        <w:t>Short Duration Infusion in patients with Follicular Lymphoma</w:t>
      </w:r>
    </w:p>
    <w:p w14:paraId="73AD005D" w14:textId="046F3D9F" w:rsidR="00DF242D" w:rsidRDefault="00DF242D" w:rsidP="00EB1206">
      <w:pPr>
        <w:spacing w:after="240"/>
      </w:pPr>
      <w:r>
        <w:t>In study MO40597, assessing the safety of SDI, thrombocytopenia was reported as an adverse event in a higher proportion of patients compared to study BO21223 in which patients received standard duration infusion (21/113 [</w:t>
      </w:r>
      <w:r w:rsidR="001561B3">
        <w:t>1</w:t>
      </w:r>
      <w:r>
        <w:t>8.6%] vs. 63/595 [10.6%] respectively, throughout induction). The median and range of platelet count values were similar in both studies at each time point. No thrombocytopenia events reported in study MO40597 were associated with bleeding.</w:t>
      </w:r>
    </w:p>
    <w:p w14:paraId="5578E75D" w14:textId="77777777" w:rsidR="000A0774" w:rsidRPr="00AD5A4D" w:rsidRDefault="000A0774" w:rsidP="00EB1206">
      <w:pPr>
        <w:pStyle w:val="Heading5"/>
        <w:rPr>
          <w:i w:val="0"/>
          <w:u w:val="single"/>
        </w:rPr>
      </w:pPr>
      <w:r w:rsidRPr="00AD5A4D">
        <w:rPr>
          <w:i w:val="0"/>
          <w:u w:val="single"/>
        </w:rPr>
        <w:t>Coagulation abnormalities including disseminated intravascular coagulation (DIC)</w:t>
      </w:r>
    </w:p>
    <w:p w14:paraId="4F30A4AC" w14:textId="738869ED" w:rsidR="000A0774" w:rsidRPr="000A0774" w:rsidRDefault="000A0774" w:rsidP="00EB1206">
      <w:pPr>
        <w:pStyle w:val="Heading4"/>
        <w:rPr>
          <w:u w:val="none"/>
        </w:rPr>
      </w:pPr>
      <w:r w:rsidRPr="000A0774">
        <w:rPr>
          <w:rStyle w:val="Emphasis"/>
          <w:rFonts w:cs="Arial"/>
          <w:i w:val="0"/>
          <w:u w:val="none"/>
        </w:rPr>
        <w:t xml:space="preserve">DIC has been reported in patients receiving obinutuzumab for treatment of follicular lymphoma and chronic lymphocytic </w:t>
      </w:r>
      <w:proofErr w:type="spellStart"/>
      <w:r w:rsidRPr="000A0774">
        <w:rPr>
          <w:rStyle w:val="Emphasis"/>
          <w:rFonts w:cs="Arial"/>
          <w:i w:val="0"/>
          <w:u w:val="none"/>
        </w:rPr>
        <w:t>leukemia</w:t>
      </w:r>
      <w:proofErr w:type="spellEnd"/>
      <w:r w:rsidRPr="000A0774">
        <w:rPr>
          <w:rStyle w:val="Emphasis"/>
          <w:rFonts w:cs="Arial"/>
          <w:i w:val="0"/>
          <w:u w:val="none"/>
        </w:rPr>
        <w:t>. In some cases, the events were associated with IRRs and/or TLS. No specific baseline risk factors for DIC have been identified.</w:t>
      </w:r>
      <w:r>
        <w:rPr>
          <w:rStyle w:val="Emphasis"/>
          <w:rFonts w:cs="Arial"/>
          <w:i w:val="0"/>
          <w:u w:val="none"/>
        </w:rPr>
        <w:t xml:space="preserve"> </w:t>
      </w:r>
      <w:r w:rsidR="00660E78">
        <w:rPr>
          <w:rStyle w:val="Emphasis"/>
          <w:rFonts w:cs="Arial"/>
          <w:i w:val="0"/>
          <w:u w:val="none"/>
        </w:rPr>
        <w:t xml:space="preserve"> </w:t>
      </w:r>
      <w:r w:rsidR="00660E78" w:rsidRPr="000218AB">
        <w:rPr>
          <w:rStyle w:val="Emphasis"/>
          <w:rFonts w:cs="Arial"/>
          <w:i w:val="0"/>
          <w:u w:val="none"/>
        </w:rPr>
        <w:t>Three patients were reported with DIC (one serious, two non-serious) among a total of 1837 obinutuzumab-treated patients in four major company-sponsored controlled trials in Non-Hodgkin’s Lymphoma.</w:t>
      </w:r>
      <w:r w:rsidR="00660E78" w:rsidRPr="00EB7BB8">
        <w:rPr>
          <w:rStyle w:val="Emphasis"/>
          <w:rFonts w:cs="Arial"/>
          <w:i w:val="0"/>
          <w:u w:val="none"/>
        </w:rPr>
        <w:t xml:space="preserve"> </w:t>
      </w:r>
      <w:r w:rsidRPr="000A0774">
        <w:rPr>
          <w:rStyle w:val="Emphasis"/>
          <w:rFonts w:cs="Arial"/>
          <w:i w:val="0"/>
          <w:u w:val="none"/>
        </w:rPr>
        <w:t xml:space="preserve">All events occurred in the obinutuzumab treatment groups; no cases were reported in the comparator groups. All events occurred within 1-2 days after the first infusion. All patients continued treatment </w:t>
      </w:r>
      <w:r w:rsidRPr="00BA628E">
        <w:rPr>
          <w:rFonts w:cs="Arial"/>
          <w:u w:val="none"/>
          <w:lang w:eastAsia="ko-KR" w:bidi="he-IL"/>
        </w:rPr>
        <w:t>(see section 4.4 Special warnings and precautions for use)</w:t>
      </w:r>
      <w:r w:rsidRPr="00723561">
        <w:rPr>
          <w:rStyle w:val="Emphasis"/>
          <w:rFonts w:cs="Arial"/>
          <w:i w:val="0"/>
          <w:u w:val="none"/>
        </w:rPr>
        <w:t>.</w:t>
      </w:r>
    </w:p>
    <w:p w14:paraId="55D3DFDA" w14:textId="64168672" w:rsidR="001A6FB0" w:rsidRPr="0024043C" w:rsidRDefault="001A6FB0" w:rsidP="00EB1206">
      <w:pPr>
        <w:pStyle w:val="Heading4"/>
      </w:pPr>
      <w:r w:rsidRPr="0024043C">
        <w:t>Progressive multifocal leukoencephalopathy (PML)</w:t>
      </w:r>
    </w:p>
    <w:p w14:paraId="3C3F9A05" w14:textId="77777777" w:rsidR="001A6FB0" w:rsidRDefault="001A6FB0" w:rsidP="00EB1206">
      <w:r>
        <w:t xml:space="preserve">PML has been reported in patients treated with </w:t>
      </w:r>
      <w:r>
        <w:rPr>
          <w:lang w:val="en-US"/>
        </w:rPr>
        <w:t>Gazyva</w:t>
      </w:r>
      <w:r>
        <w:t xml:space="preserve"> (see </w:t>
      </w:r>
      <w:r w:rsidR="00CE03AC">
        <w:t>Boxed Warning and section 4.4 Special warnings and precautions</w:t>
      </w:r>
      <w:r>
        <w:t>).</w:t>
      </w:r>
    </w:p>
    <w:p w14:paraId="6F0473E7" w14:textId="77777777" w:rsidR="001A6FB0" w:rsidRDefault="001A6FB0" w:rsidP="00EB1206">
      <w:pPr>
        <w:pStyle w:val="Heading4"/>
      </w:pPr>
      <w:r w:rsidRPr="006E32D3">
        <w:lastRenderedPageBreak/>
        <w:t>Hepatitis B Reactivation</w:t>
      </w:r>
    </w:p>
    <w:p w14:paraId="18DF46B4" w14:textId="77777777" w:rsidR="001A6FB0" w:rsidRDefault="001A6FB0" w:rsidP="00EB1206">
      <w:r>
        <w:t xml:space="preserve">Cases of hepatitis B reactivation have been reported in patients treated with </w:t>
      </w:r>
      <w:r>
        <w:rPr>
          <w:lang w:val="en-US"/>
        </w:rPr>
        <w:t>Gazyva</w:t>
      </w:r>
      <w:r>
        <w:t xml:space="preserve"> </w:t>
      </w:r>
      <w:r w:rsidR="00CE03AC" w:rsidRPr="00FF262E">
        <w:t>(</w:t>
      </w:r>
      <w:r w:rsidR="00CE03AC">
        <w:t>s</w:t>
      </w:r>
      <w:r w:rsidR="00CE03AC" w:rsidRPr="00FF262E">
        <w:t xml:space="preserve">ee </w:t>
      </w:r>
      <w:r w:rsidR="00CE03AC">
        <w:t>section 4.4 Special warnings and precautions</w:t>
      </w:r>
      <w:r w:rsidR="00CE03AC" w:rsidRPr="00FF262E">
        <w:t>)</w:t>
      </w:r>
      <w:r>
        <w:t>.</w:t>
      </w:r>
    </w:p>
    <w:p w14:paraId="48A81C84" w14:textId="77777777" w:rsidR="001A6FB0" w:rsidRPr="0024043C" w:rsidRDefault="001A6FB0" w:rsidP="00EB1206">
      <w:pPr>
        <w:pStyle w:val="Heading4"/>
      </w:pPr>
      <w:r w:rsidRPr="0024043C">
        <w:t xml:space="preserve">Worsening of Pre-existing Cardiac Conditions </w:t>
      </w:r>
    </w:p>
    <w:p w14:paraId="745AC579" w14:textId="77777777" w:rsidR="001A6FB0" w:rsidRDefault="001A6FB0" w:rsidP="00EB1206">
      <w:r>
        <w:t xml:space="preserve">Cases of fatal cardiac events have been reported in patients treated with </w:t>
      </w:r>
      <w:r>
        <w:rPr>
          <w:lang w:val="en-US"/>
        </w:rPr>
        <w:t>Gazyva</w:t>
      </w:r>
      <w:r>
        <w:t xml:space="preserve"> </w:t>
      </w:r>
      <w:r w:rsidR="00CE03AC" w:rsidRPr="00FF262E">
        <w:t>(</w:t>
      </w:r>
      <w:r w:rsidR="00CE03AC">
        <w:t>s</w:t>
      </w:r>
      <w:r w:rsidR="00CE03AC" w:rsidRPr="00FF262E">
        <w:t xml:space="preserve">ee </w:t>
      </w:r>
      <w:r w:rsidR="00CE03AC">
        <w:t>section 4.4 Special warnings and precautions</w:t>
      </w:r>
      <w:r w:rsidR="00CE03AC" w:rsidRPr="00FF262E">
        <w:t>)</w:t>
      </w:r>
      <w:r>
        <w:t>.</w:t>
      </w:r>
      <w:r w:rsidRPr="00D07E39" w:rsidDel="00D07E39">
        <w:t xml:space="preserve"> </w:t>
      </w:r>
    </w:p>
    <w:p w14:paraId="5956A4C6" w14:textId="77777777" w:rsidR="001A6FB0" w:rsidRDefault="001A6FB0" w:rsidP="00EB1206">
      <w:pPr>
        <w:pStyle w:val="Heading4"/>
      </w:pPr>
      <w:r>
        <w:t>Gastro-Intestinal Perforation</w:t>
      </w:r>
    </w:p>
    <w:p w14:paraId="6BFC1678" w14:textId="77777777" w:rsidR="001A6FB0" w:rsidRDefault="001A6FB0" w:rsidP="00EB1206">
      <w:r w:rsidRPr="006455FE">
        <w:t>Cases of gastro-intestinal perforation have been reported in patients receiving</w:t>
      </w:r>
      <w:r>
        <w:t xml:space="preserve"> </w:t>
      </w:r>
      <w:r>
        <w:rPr>
          <w:lang w:val="en-US"/>
        </w:rPr>
        <w:t>Gazyva</w:t>
      </w:r>
      <w:r>
        <w:t>, mainly in NHL</w:t>
      </w:r>
      <w:r w:rsidRPr="006455FE">
        <w:t>.</w:t>
      </w:r>
    </w:p>
    <w:p w14:paraId="40F6F1EE" w14:textId="77777777" w:rsidR="001A6FB0" w:rsidRDefault="001A6FB0" w:rsidP="00EB1206">
      <w:pPr>
        <w:pStyle w:val="Heading4"/>
      </w:pPr>
      <w:r w:rsidRPr="00BE0264">
        <w:t>Malignancies</w:t>
      </w:r>
    </w:p>
    <w:p w14:paraId="5CAC0682" w14:textId="77777777" w:rsidR="001A6FB0" w:rsidRPr="00D07E39" w:rsidRDefault="001A6FB0" w:rsidP="00EB1206">
      <w:r w:rsidRPr="003172E2">
        <w:t>There is an increased incidence of second malignancies in patients with CLL.</w:t>
      </w:r>
      <w:r w:rsidRPr="007E323A">
        <w:t xml:space="preserve"> Data from the pivotal study in CLL does not demonstrate an increased risk of second malignancies following </w:t>
      </w:r>
      <w:r>
        <w:rPr>
          <w:lang w:val="en-US"/>
        </w:rPr>
        <w:t>Gazyva</w:t>
      </w:r>
      <w:r w:rsidRPr="007E323A">
        <w:t xml:space="preserve"> therapy.</w:t>
      </w:r>
      <w:r w:rsidRPr="003172E2">
        <w:t xml:space="preserve"> </w:t>
      </w:r>
    </w:p>
    <w:p w14:paraId="4E829B44" w14:textId="77777777" w:rsidR="001A6FB0" w:rsidRDefault="001A6FB0" w:rsidP="00EB1206">
      <w:pPr>
        <w:pStyle w:val="Heading4"/>
      </w:pPr>
      <w:r>
        <w:t>Laboratory Abnormalities</w:t>
      </w:r>
    </w:p>
    <w:p w14:paraId="038B6B14" w14:textId="77777777" w:rsidR="001A6FB0" w:rsidRDefault="001A6FB0" w:rsidP="00EB1206">
      <w:pPr>
        <w:spacing w:after="120"/>
      </w:pPr>
      <w:r>
        <w:t xml:space="preserve">Transient elevation in liver enzymes (AST, ALT, ALP) has been observed shortly after the first infusion of </w:t>
      </w:r>
      <w:r>
        <w:rPr>
          <w:lang w:val="en-US"/>
        </w:rPr>
        <w:t>Gazyva</w:t>
      </w:r>
      <w:r>
        <w:t>.</w:t>
      </w:r>
    </w:p>
    <w:p w14:paraId="16979CE9" w14:textId="77777777" w:rsidR="001A6FB0" w:rsidRDefault="001A6FB0" w:rsidP="00EB1206">
      <w:pPr>
        <w:spacing w:after="120"/>
      </w:pPr>
      <w:r>
        <w:t>For additional information s</w:t>
      </w:r>
      <w:r w:rsidRPr="0034261C">
        <w:t xml:space="preserve">ee </w:t>
      </w:r>
      <w:r w:rsidR="00CE03AC" w:rsidRPr="00CE03AC">
        <w:t>section 4.8 A</w:t>
      </w:r>
      <w:r w:rsidR="00CE03AC">
        <w:t>dverse Effects (Undesirable Effects)</w:t>
      </w:r>
      <w:r w:rsidRPr="00CE03AC">
        <w:t>.</w:t>
      </w:r>
    </w:p>
    <w:p w14:paraId="516B446D" w14:textId="77777777" w:rsidR="006F052E" w:rsidRPr="001A6FB0" w:rsidRDefault="006F052E" w:rsidP="00EB1206">
      <w:pPr>
        <w:pStyle w:val="Heading3"/>
      </w:pPr>
      <w:r w:rsidRPr="001A6FB0">
        <w:t>Reporting of suspected adverse reactions</w:t>
      </w:r>
    </w:p>
    <w:p w14:paraId="1B2CE2C4" w14:textId="1EFCE6A6" w:rsidR="00E21CCD" w:rsidRPr="001A6FB0" w:rsidRDefault="00E21CCD" w:rsidP="00EB1206">
      <w:pPr>
        <w:rPr>
          <w:color w:val="auto"/>
          <w:u w:val="single"/>
        </w:rPr>
      </w:pPr>
      <w:r w:rsidRPr="001A6FB0">
        <w:rPr>
          <w:color w:val="auto"/>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001A6FB0" w:rsidRPr="00635E1B">
          <w:rPr>
            <w:rStyle w:val="Hyperlink"/>
          </w:rPr>
          <w:t>www.tga.gov.au/reporting-problems</w:t>
        </w:r>
      </w:hyperlink>
      <w:r w:rsidR="001A6FB0">
        <w:rPr>
          <w:color w:val="auto"/>
        </w:rPr>
        <w:t xml:space="preserve"> </w:t>
      </w:r>
      <w:r w:rsidRPr="001A6FB0">
        <w:rPr>
          <w:color w:val="auto"/>
        </w:rPr>
        <w:t>.</w:t>
      </w:r>
    </w:p>
    <w:p w14:paraId="24043286" w14:textId="77777777" w:rsidR="00D52399" w:rsidRDefault="00902EBE" w:rsidP="00EB1206">
      <w:pPr>
        <w:pStyle w:val="Heading2"/>
      </w:pPr>
      <w:r>
        <w:t>4.9</w:t>
      </w:r>
      <w:r>
        <w:tab/>
        <w:t xml:space="preserve">OVERDOSE </w:t>
      </w:r>
    </w:p>
    <w:p w14:paraId="501316CB" w14:textId="77777777" w:rsidR="007B2F97" w:rsidRDefault="007B2F97" w:rsidP="00EB1206">
      <w:pPr>
        <w:spacing w:after="240"/>
      </w:pPr>
      <w:r w:rsidRPr="000561FA">
        <w:t>No experience with overdosage is available from hum</w:t>
      </w:r>
      <w:r>
        <w:t xml:space="preserve">an clinical trials. In clinical trials with </w:t>
      </w:r>
      <w:r>
        <w:rPr>
          <w:lang w:val="en-US"/>
        </w:rPr>
        <w:t>Gazyva</w:t>
      </w:r>
      <w:r w:rsidRPr="000561FA">
        <w:t>, doses ranging from 50</w:t>
      </w:r>
      <w:r>
        <w:t xml:space="preserve"> mg up to and including 2000 mg per infusion have been </w:t>
      </w:r>
      <w:r w:rsidRPr="000561FA">
        <w:t>administered. The incidence and intensity of adve</w:t>
      </w:r>
      <w:r>
        <w:t xml:space="preserve">rse </w:t>
      </w:r>
      <w:r w:rsidRPr="000561FA">
        <w:t>reactions reported in these studies did not appear to be dose dependent.</w:t>
      </w:r>
      <w:r>
        <w:t xml:space="preserve"> Patients who experience overdose should have immediate interruption or reduction of their infusion and should be closely supervised. Patients should be closely monitored with regular blood cell counts, and for increased risk of infections, while B </w:t>
      </w:r>
      <w:proofErr w:type="gramStart"/>
      <w:r>
        <w:t>cell-depleted</w:t>
      </w:r>
      <w:proofErr w:type="gramEnd"/>
      <w:r>
        <w:t>.</w:t>
      </w:r>
    </w:p>
    <w:p w14:paraId="075E5AF7" w14:textId="77777777" w:rsidR="007B2F97" w:rsidRDefault="007B2F97" w:rsidP="00EB1206">
      <w:pPr>
        <w:spacing w:after="240"/>
      </w:pPr>
      <w:r>
        <w:t>Treatment of overdose should consist of general supportive measures.</w:t>
      </w:r>
    </w:p>
    <w:p w14:paraId="77786988" w14:textId="77777777" w:rsidR="008903F2" w:rsidRPr="007B2F97" w:rsidRDefault="008903F2" w:rsidP="00EB1206">
      <w:pPr>
        <w:spacing w:after="240"/>
        <w:rPr>
          <w:color w:val="auto"/>
        </w:rPr>
      </w:pPr>
      <w:r w:rsidRPr="007B2F97">
        <w:rPr>
          <w:color w:val="auto"/>
        </w:rPr>
        <w:t>For information on the management of overdose, contact the Poisons Information Centre on 13 11 26 (Australia).</w:t>
      </w:r>
      <w:r w:rsidR="00BA0878" w:rsidRPr="007B2F97">
        <w:rPr>
          <w:color w:val="auto"/>
        </w:rPr>
        <w:t xml:space="preserve"> </w:t>
      </w:r>
    </w:p>
    <w:p w14:paraId="61757CCB" w14:textId="77777777" w:rsidR="00D52399" w:rsidRDefault="00615052" w:rsidP="00EB1206">
      <w:pPr>
        <w:pStyle w:val="Heading1"/>
        <w:numPr>
          <w:ilvl w:val="0"/>
          <w:numId w:val="2"/>
        </w:numPr>
        <w:spacing w:before="0"/>
      </w:pPr>
      <w:r>
        <w:t>PHARMACOLOGICAL PROPERTIES</w:t>
      </w:r>
    </w:p>
    <w:p w14:paraId="73415148" w14:textId="77777777" w:rsidR="00D52399" w:rsidRDefault="00CC6729" w:rsidP="00EB1206">
      <w:pPr>
        <w:pStyle w:val="Heading2"/>
      </w:pPr>
      <w:r>
        <w:t xml:space="preserve">5.1 </w:t>
      </w:r>
      <w:r>
        <w:tab/>
      </w:r>
      <w:r w:rsidR="00902EBE">
        <w:t>PHARMACODYNAMIC PROPERTIES</w:t>
      </w:r>
    </w:p>
    <w:p w14:paraId="2BD839AF" w14:textId="09AD42C7" w:rsidR="00D52399" w:rsidRDefault="00615052" w:rsidP="00EB1206">
      <w:r>
        <w:rPr>
          <w:sz w:val="22"/>
          <w:szCs w:val="22"/>
        </w:rPr>
        <w:t>Pharmacotherapeutic group:</w:t>
      </w:r>
      <w:r w:rsidR="009155D4">
        <w:rPr>
          <w:color w:val="008000"/>
          <w:sz w:val="22"/>
          <w:szCs w:val="22"/>
        </w:rPr>
        <w:t xml:space="preserve"> </w:t>
      </w:r>
      <w:r w:rsidR="009155D4" w:rsidRPr="00194ACE">
        <w:t>Antineoplastic agents, monoclonal antibodies</w:t>
      </w:r>
      <w:r>
        <w:rPr>
          <w:sz w:val="22"/>
          <w:szCs w:val="22"/>
        </w:rPr>
        <w:t>, ATC code:</w:t>
      </w:r>
      <w:r w:rsidR="009155D4">
        <w:rPr>
          <w:sz w:val="22"/>
          <w:szCs w:val="22"/>
        </w:rPr>
        <w:t xml:space="preserve"> </w:t>
      </w:r>
      <w:r w:rsidR="009155D4" w:rsidRPr="00194ACE">
        <w:rPr>
          <w:noProof/>
        </w:rPr>
        <w:t>L01</w:t>
      </w:r>
      <w:r w:rsidR="005403FA">
        <w:rPr>
          <w:noProof/>
        </w:rPr>
        <w:t>FA03</w:t>
      </w:r>
      <w:r>
        <w:rPr>
          <w:sz w:val="22"/>
          <w:szCs w:val="22"/>
        </w:rPr>
        <w:t xml:space="preserve"> </w:t>
      </w:r>
    </w:p>
    <w:p w14:paraId="2129B23D" w14:textId="77777777" w:rsidR="00D52399" w:rsidRDefault="00615052" w:rsidP="00EB1206">
      <w:pPr>
        <w:pStyle w:val="Heading3"/>
      </w:pPr>
      <w:r>
        <w:t>Mechanism of Action</w:t>
      </w:r>
    </w:p>
    <w:p w14:paraId="57A78276" w14:textId="77777777" w:rsidR="00A82B12" w:rsidRDefault="00A82B12" w:rsidP="00EB1206">
      <w:pPr>
        <w:spacing w:after="240"/>
      </w:pPr>
      <w:r w:rsidRPr="00B9782C">
        <w:t>Obinutuzumab</w:t>
      </w:r>
      <w:r>
        <w:t xml:space="preserve"> </w:t>
      </w:r>
      <w:r w:rsidRPr="00A83840">
        <w:t>specifically targets the extracellular loop of the CD20 transmembrane antigen on the surface of non</w:t>
      </w:r>
      <w:r>
        <w:t xml:space="preserve">-malignant and malignant </w:t>
      </w:r>
      <w:proofErr w:type="gramStart"/>
      <w:r>
        <w:t>pre B</w:t>
      </w:r>
      <w:proofErr w:type="gramEnd"/>
      <w:r>
        <w:t xml:space="preserve"> </w:t>
      </w:r>
      <w:r w:rsidRPr="00A83840">
        <w:t>and mature B lymphocytes</w:t>
      </w:r>
      <w:r w:rsidRPr="00581C0E">
        <w:t>.</w:t>
      </w:r>
      <w:r>
        <w:t xml:space="preserve"> </w:t>
      </w:r>
      <w:r w:rsidRPr="00581C0E">
        <w:t xml:space="preserve">CD20 is not expressed </w:t>
      </w:r>
      <w:r w:rsidRPr="00A83840">
        <w:t xml:space="preserve">on haemopoietic stem cells, pro B cells, </w:t>
      </w:r>
      <w:r>
        <w:t>or normal plasma cells</w:t>
      </w:r>
      <w:r w:rsidRPr="00581C0E">
        <w:t xml:space="preserve">. </w:t>
      </w:r>
      <w:r w:rsidRPr="00A83840">
        <w:t xml:space="preserve">Glycoengineering </w:t>
      </w:r>
      <w:r w:rsidRPr="00A83840">
        <w:lastRenderedPageBreak/>
        <w:t xml:space="preserve">of the Fc part of </w:t>
      </w:r>
      <w:r w:rsidRPr="00B9782C">
        <w:t>obinutuzumab</w:t>
      </w:r>
      <w:r w:rsidRPr="00A83840">
        <w:t xml:space="preserve"> results in higher affinity for </w:t>
      </w:r>
      <w:proofErr w:type="spellStart"/>
      <w:r w:rsidRPr="00A83840">
        <w:t>Fc</w:t>
      </w:r>
      <w:r>
        <w:t>Ɣ</w:t>
      </w:r>
      <w:r w:rsidRPr="00A83840">
        <w:t>RIII</w:t>
      </w:r>
      <w:proofErr w:type="spellEnd"/>
      <w:r w:rsidRPr="00A83840">
        <w:t xml:space="preserve"> receptors on immune effector cells such as natural killer (NK) cells and macrophages</w:t>
      </w:r>
      <w:r>
        <w:t xml:space="preserve"> and </w:t>
      </w:r>
      <w:r w:rsidRPr="00A83840">
        <w:t>monocytes</w:t>
      </w:r>
      <w:r>
        <w:t xml:space="preserve"> as compared to non-glycoengineered antibodies</w:t>
      </w:r>
      <w:r w:rsidRPr="00A83840">
        <w:t>.</w:t>
      </w:r>
    </w:p>
    <w:p w14:paraId="5044BA77" w14:textId="448AE018" w:rsidR="00A82B12" w:rsidRDefault="00A82B12" w:rsidP="00EB1206">
      <w:pPr>
        <w:spacing w:after="240"/>
      </w:pPr>
      <w:r>
        <w:t xml:space="preserve">In nonclinical studies, </w:t>
      </w:r>
      <w:r w:rsidRPr="00B9782C">
        <w:t>obinutuzumab</w:t>
      </w:r>
      <w:r>
        <w:t xml:space="preserve"> induces direct cell death and mediates antibody dependent cellular cytotoxicity (ADCC) and antibody dependent cellular phagocytosis (ADCP) through recruitment of </w:t>
      </w:r>
      <w:proofErr w:type="spellStart"/>
      <w:r>
        <w:t>FcƔRIII</w:t>
      </w:r>
      <w:proofErr w:type="spellEnd"/>
      <w:r>
        <w:t xml:space="preserve"> positive immune effector cells. In addition, </w:t>
      </w:r>
      <w:r w:rsidRPr="00B9782C">
        <w:t>obinutuzumab</w:t>
      </w:r>
      <w:r>
        <w:t xml:space="preserve"> mediates a low degree of complement dependent cytotoxicity (CDC). In animal models, </w:t>
      </w:r>
      <w:r w:rsidRPr="00B9782C">
        <w:t>obinutuzumab</w:t>
      </w:r>
      <w:r w:rsidRPr="00DB009E">
        <w:t xml:space="preserve"> </w:t>
      </w:r>
      <w:r>
        <w:t xml:space="preserve">mediates potent B cell depletion and anti-tumour efficacy. Compared to Type I CD20 antibodies, </w:t>
      </w:r>
      <w:r w:rsidRPr="00B9782C">
        <w:t>obinutuzumab</w:t>
      </w:r>
      <w:r>
        <w:t xml:space="preserve">, a Type II antibody, is characterised by a direct cell death induction with a concomitant reduction in CDC. Compared to non-glycoengineered CD20 antibodies, </w:t>
      </w:r>
      <w:r w:rsidRPr="00B9782C">
        <w:t>obinutuzumab</w:t>
      </w:r>
      <w:r>
        <w:t xml:space="preserve"> is characterised by greater ADCC and phagocytosis (ADCP) </w:t>
      </w:r>
      <w:proofErr w:type="gramStart"/>
      <w:r>
        <w:t>as a consequence of</w:t>
      </w:r>
      <w:proofErr w:type="gramEnd"/>
      <w:r>
        <w:t xml:space="preserve"> the glycoengineering, but </w:t>
      </w:r>
      <w:r w:rsidRPr="006845DB">
        <w:rPr>
          <w:i/>
        </w:rPr>
        <w:t>in vivo</w:t>
      </w:r>
      <w:r>
        <w:t xml:space="preserve"> studies in xenograft tumour models in SCID mice showed no difference in tumour growth inhibition between </w:t>
      </w:r>
      <w:r w:rsidRPr="00B9782C">
        <w:t>obinutuzumab</w:t>
      </w:r>
      <w:r w:rsidRPr="00DB009E">
        <w:t xml:space="preserve"> </w:t>
      </w:r>
      <w:r>
        <w:t xml:space="preserve">and non-glycoengineered wild type </w:t>
      </w:r>
      <w:r w:rsidRPr="00B9782C">
        <w:t>obinutuzumab</w:t>
      </w:r>
      <w:r>
        <w:t>.</w:t>
      </w:r>
    </w:p>
    <w:p w14:paraId="1EC3E238" w14:textId="75CB004B" w:rsidR="00AE271B" w:rsidRDefault="00AE271B" w:rsidP="00EB1206">
      <w:pPr>
        <w:spacing w:after="240"/>
      </w:pPr>
      <w:r w:rsidRPr="00AE271B">
        <w:t>Pre-treatment with obinutuzumab to deplete peripheral blood and lymphoid tissue B cells was shown to attenuate glofitamab-induced cytokine release and related adverse effects in cynomolgus monkeys and tumour-bearing humanised mice.</w:t>
      </w:r>
    </w:p>
    <w:p w14:paraId="77B239A6" w14:textId="77777777" w:rsidR="00D52399" w:rsidRDefault="00A82B12" w:rsidP="00EB1206">
      <w:r>
        <w:t xml:space="preserve">In the pivotal clinical trial </w:t>
      </w:r>
      <w:r w:rsidR="001C5E4E">
        <w:t>in patients with CLL</w:t>
      </w:r>
      <w:r>
        <w:t xml:space="preserve"> BO21004/CLL11, 91% (40 out of 44) of evaluable patients treated with Gazyva were B cell depleted (defined as CD19+ B-cell counts &lt; 0.07x 10</w:t>
      </w:r>
      <w:r w:rsidRPr="001C5087">
        <w:rPr>
          <w:vertAlign w:val="superscript"/>
        </w:rPr>
        <w:t>9</w:t>
      </w:r>
      <w:r>
        <w:t xml:space="preserve">/L) at the end of treatment period and remained depleted during the first 6 months of follow up. Recovery of B cells was observed within 12 to 18 months of follow up in </w:t>
      </w:r>
      <w:r w:rsidRPr="007122C2">
        <w:t>35% (14 out of 40)</w:t>
      </w:r>
      <w:r>
        <w:t xml:space="preserve"> of patients without progressive disease and 13% (5 out of 40) with progressive disease.</w:t>
      </w:r>
    </w:p>
    <w:p w14:paraId="0B5A8E05" w14:textId="77777777" w:rsidR="00D52399" w:rsidRPr="00A8585F" w:rsidRDefault="00615052" w:rsidP="00EB1206">
      <w:pPr>
        <w:pStyle w:val="Heading3"/>
        <w:rPr>
          <w:color w:val="auto"/>
        </w:rPr>
      </w:pPr>
      <w:r>
        <w:t xml:space="preserve">Clinical </w:t>
      </w:r>
      <w:r w:rsidR="00594C19">
        <w:t>trials</w:t>
      </w:r>
    </w:p>
    <w:p w14:paraId="2C06FAE8" w14:textId="77777777" w:rsidR="00A82B12" w:rsidRDefault="00A82B12" w:rsidP="00EB1206">
      <w:pPr>
        <w:pStyle w:val="Heading4"/>
        <w:spacing w:before="0"/>
      </w:pPr>
      <w:r>
        <w:t>Chronic Lymphocytic Leukaemia (CLL)</w:t>
      </w:r>
    </w:p>
    <w:p w14:paraId="22D46CC0" w14:textId="77777777" w:rsidR="00A82B12" w:rsidRDefault="00A82B12" w:rsidP="00EB1206">
      <w:pPr>
        <w:spacing w:after="240"/>
      </w:pPr>
      <w:r>
        <w:t>A phase III, international, multicentre, open-label, randomised, two-stage, three arm study (BO21004/CLL11) investigating the safety and efficacy profile of Gazyva plus chlorambucil compared to rituximab plus chlorambucil or chlorambucil alone was conducted in patients with previously untreated CLL with comorbidities.</w:t>
      </w:r>
    </w:p>
    <w:p w14:paraId="4A5CCCC1" w14:textId="77777777" w:rsidR="00A82B12" w:rsidRDefault="00A82B12" w:rsidP="00EB1206">
      <w:pPr>
        <w:spacing w:after="240"/>
      </w:pPr>
      <w:r>
        <w:t xml:space="preserve">Prior to enrolment, patients had to have documented CD20+ CLL, and one or both of the following measures of coexisting medical conditions: comorbidity score [total Cumulative Illness Rating Scale (CIRS)] of greater than 6 or reduced renal function as measured by </w:t>
      </w:r>
      <w:proofErr w:type="spellStart"/>
      <w:r>
        <w:t>CrCl</w:t>
      </w:r>
      <w:proofErr w:type="spellEnd"/>
      <w:r>
        <w:t xml:space="preserve"> &lt; 70 mL/min. Patients with inadequate liver function (NCICTC Grade 3 liver function tests (AST, ALT &gt; 5 x ULN for &gt; 2 weeks; bilirubin &gt; 3 x ULN) and renal function (</w:t>
      </w:r>
      <w:proofErr w:type="spellStart"/>
      <w:r>
        <w:t>CrCl</w:t>
      </w:r>
      <w:proofErr w:type="spellEnd"/>
      <w:r>
        <w:t xml:space="preserve"> &lt; 30 mL/min) were excluded.</w:t>
      </w:r>
    </w:p>
    <w:p w14:paraId="6527DB22" w14:textId="5AA3BFF6" w:rsidR="00A82B12" w:rsidRDefault="00A82B12" w:rsidP="00EB1206">
      <w:pPr>
        <w:spacing w:after="240"/>
      </w:pPr>
      <w:r>
        <w:t xml:space="preserve">A total of 781 patients were randomised 2:2:1 to receive Gazyva plus chlorambucil, rituximab plus chlorambucil or chlorambucil alone. </w:t>
      </w:r>
      <w:r w:rsidRPr="00060541">
        <w:t xml:space="preserve">Stage 1 compared </w:t>
      </w:r>
      <w:r>
        <w:t>Gazyva</w:t>
      </w:r>
      <w:r w:rsidRPr="00060541">
        <w:t xml:space="preserve"> plus chlorambucil to chlorambucil alone in 356 patients and Stage 2 compared </w:t>
      </w:r>
      <w:r>
        <w:t>Gazyva</w:t>
      </w:r>
      <w:r w:rsidRPr="00060541">
        <w:t xml:space="preserve"> plus chlorambucil to rituximab plus chlorambucil in 663 patients</w:t>
      </w:r>
      <w:r>
        <w:t>.</w:t>
      </w:r>
      <w:r w:rsidRPr="00060541">
        <w:t xml:space="preserve"> Efficacy results are summari</w:t>
      </w:r>
      <w:r>
        <w:t>s</w:t>
      </w:r>
      <w:r w:rsidRPr="00060541">
        <w:t xml:space="preserve">ed in Table </w:t>
      </w:r>
      <w:r w:rsidR="005D2569">
        <w:t>1</w:t>
      </w:r>
      <w:r w:rsidR="00DF242D">
        <w:t>2</w:t>
      </w:r>
      <w:r w:rsidRPr="00060541">
        <w:t xml:space="preserve"> and in Figures 1-</w:t>
      </w:r>
      <w:r>
        <w:t>3</w:t>
      </w:r>
      <w:r w:rsidRPr="00060541">
        <w:t>.</w:t>
      </w:r>
    </w:p>
    <w:p w14:paraId="450E8B15" w14:textId="77777777" w:rsidR="00A82B12" w:rsidRDefault="00A82B12" w:rsidP="00EB1206">
      <w:pPr>
        <w:spacing w:after="240"/>
      </w:pPr>
      <w:r>
        <w:t xml:space="preserve">In </w:t>
      </w:r>
      <w:proofErr w:type="gramStart"/>
      <w:r>
        <w:t>the majority of</w:t>
      </w:r>
      <w:proofErr w:type="gramEnd"/>
      <w:r>
        <w:t xml:space="preserve"> patients, Gazyva was given intravenously as a 1000 mg initial dose administered on Day 1, Day 8 and Day 15 of the first treatment cycle. In order to reduce the rate of infusion related reactions in patients, an amendment was </w:t>
      </w:r>
      <w:proofErr w:type="gramStart"/>
      <w:r>
        <w:t>implemented</w:t>
      </w:r>
      <w:proofErr w:type="gramEnd"/>
      <w:r>
        <w:t xml:space="preserve"> and 140 </w:t>
      </w:r>
      <w:r>
        <w:lastRenderedPageBreak/>
        <w:t xml:space="preserve">patients received the first Gazyva dose administered over 2 days (Day 1 (100mg) and Day 2 (900mg), see </w:t>
      </w:r>
      <w:r w:rsidR="00CE03AC">
        <w:t>section 4.2 Dose and method of administration</w:t>
      </w:r>
      <w:r>
        <w:t>). For each subsequent treatment cycle (Cycles 2 to 6), patients received Gazyva 1000 mg on Day 1 only. Chlorambucil was given orally at 0.5 mg/kg body weight on Day 1 and Day 15 of all treatment cycles (1 to 6).</w:t>
      </w:r>
    </w:p>
    <w:p w14:paraId="59FA7566" w14:textId="77777777" w:rsidR="00A82B12" w:rsidRDefault="00A82B12" w:rsidP="00EB1206">
      <w:pPr>
        <w:spacing w:after="240"/>
      </w:pPr>
      <w:r>
        <w:t xml:space="preserve">The demographics data and baseline characteristics were well balanced between the treatment groups. </w:t>
      </w:r>
      <w:proofErr w:type="gramStart"/>
      <w:r>
        <w:t>The majority of</w:t>
      </w:r>
      <w:proofErr w:type="gramEnd"/>
      <w:r>
        <w:t xml:space="preserve"> patients enrolled were Caucasian (95%) and male (61%). The median age was 73 years, with 44% being 75 years or older. At baseline, 22% of patients had Binet Stage A, 42% had Binet Stage B and 36% had Binet Stage C. The median comorbidity score was 8 and </w:t>
      </w:r>
      <w:r w:rsidRPr="005B6F85">
        <w:t>76</w:t>
      </w:r>
      <w:r>
        <w:t xml:space="preserve">% of the patients enrolled had a comorbidity score above 6. The median estimated </w:t>
      </w:r>
      <w:proofErr w:type="spellStart"/>
      <w:r>
        <w:t>CrCl</w:t>
      </w:r>
      <w:proofErr w:type="spellEnd"/>
      <w:r>
        <w:t xml:space="preserve"> was 62 mL/min and 66% of all patients had a </w:t>
      </w:r>
      <w:proofErr w:type="spellStart"/>
      <w:r>
        <w:t>CrCl</w:t>
      </w:r>
      <w:proofErr w:type="spellEnd"/>
      <w:r>
        <w:t xml:space="preserve"> &lt; 70 mL/min. </w:t>
      </w:r>
      <w:r w:rsidRPr="00702634">
        <w:t xml:space="preserve">Forty-two percent of patients enrolled had both a </w:t>
      </w:r>
      <w:proofErr w:type="spellStart"/>
      <w:r w:rsidRPr="00702634">
        <w:t>CrCl</w:t>
      </w:r>
      <w:proofErr w:type="spellEnd"/>
      <w:r w:rsidRPr="00702634">
        <w:t xml:space="preserve"> &lt;70 ml/min and a comorbidity score of &gt;6. Thirty-four percent of patients were enrolled on comorbidity score alone, and 23% of patients were enrolled with only impaired renal function. </w:t>
      </w:r>
      <w:r>
        <w:t xml:space="preserve"> </w:t>
      </w:r>
    </w:p>
    <w:p w14:paraId="7876C2E9" w14:textId="77777777" w:rsidR="00A82B12" w:rsidRDefault="00A82B12" w:rsidP="00EB1206">
      <w:pPr>
        <w:spacing w:after="240"/>
      </w:pPr>
      <w:r>
        <w:t xml:space="preserve">The most frequently reported coexisting medical conditions (using a cut </w:t>
      </w:r>
      <w:proofErr w:type="gramStart"/>
      <w:r>
        <w:t>off of</w:t>
      </w:r>
      <w:proofErr w:type="gramEnd"/>
      <w:r>
        <w:t xml:space="preserve"> 30% or higher) in the MedDRA body systems are: Vascular disorders 73%, Cardiac disorders 46%, Gastrointestinal disorders 38%, Metabolism and Nutrition disorders 40%, Renal and Urinary disorders 38%, musculoskeletal and connective tissue disorders 33%.</w:t>
      </w:r>
    </w:p>
    <w:p w14:paraId="7F206452" w14:textId="77777777" w:rsidR="00A82B12" w:rsidRDefault="00A82B12" w:rsidP="00EB1206">
      <w:pPr>
        <w:spacing w:after="240"/>
      </w:pPr>
      <w:r>
        <w:t>The primary endpoint of the study was investigator assessed progression-free survival (PFS-INV). In addition, an independent review committee (IRC) assessed all patients for progression and IRC assessed PFS (PFS-IRC) was evaluated.</w:t>
      </w:r>
    </w:p>
    <w:p w14:paraId="500E7DBD" w14:textId="1CFCBF78" w:rsidR="00B85F84" w:rsidRDefault="00A82B12" w:rsidP="00EB1206">
      <w:pPr>
        <w:spacing w:after="240"/>
      </w:pPr>
      <w:r>
        <w:t>Key secondary efficacy endpoints were end of treatment response, molecular remission at end of treatment (minimal residual disease status) and time to event endpoints (event-free survival, new anti-leukemic therapy). Overall survival for Stage 1 is presented in Figure 2. Overall survival for Stage 2 will continue to be followed and is not yet mature.</w:t>
      </w:r>
    </w:p>
    <w:p w14:paraId="274A2DB8" w14:textId="77777777" w:rsidR="003C3AA7" w:rsidRDefault="003C3AA7" w:rsidP="00EB1206">
      <w:pPr>
        <w:spacing w:after="240"/>
      </w:pPr>
    </w:p>
    <w:p w14:paraId="54606A4A" w14:textId="6DEAA906" w:rsidR="00A82B12" w:rsidRDefault="00A82B12" w:rsidP="00EB1206">
      <w:pPr>
        <w:spacing w:after="120"/>
      </w:pPr>
      <w:r w:rsidRPr="00C92F9F">
        <w:rPr>
          <w:rFonts w:cs="Arial"/>
          <w:b/>
          <w:lang w:eastAsia="ko-KR" w:bidi="he-IL"/>
        </w:rPr>
        <w:t>T</w:t>
      </w:r>
      <w:r>
        <w:rPr>
          <w:rFonts w:cs="Arial"/>
          <w:b/>
          <w:lang w:eastAsia="ko-KR" w:bidi="he-IL"/>
        </w:rPr>
        <w:t xml:space="preserve">able </w:t>
      </w:r>
      <w:r w:rsidR="005D2569">
        <w:rPr>
          <w:rFonts w:cs="Arial"/>
          <w:b/>
          <w:lang w:eastAsia="ko-KR" w:bidi="he-IL"/>
        </w:rPr>
        <w:t>1</w:t>
      </w:r>
      <w:r w:rsidR="00DF242D">
        <w:rPr>
          <w:rFonts w:cs="Arial"/>
          <w:b/>
          <w:lang w:eastAsia="ko-KR" w:bidi="he-IL"/>
        </w:rPr>
        <w:t>2</w:t>
      </w:r>
      <w:r w:rsidRPr="00C92F9F">
        <w:rPr>
          <w:rFonts w:cs="Arial"/>
          <w:b/>
          <w:lang w:eastAsia="ko-KR" w:bidi="he-IL"/>
        </w:rPr>
        <w:t xml:space="preserve"> </w:t>
      </w:r>
      <w:r>
        <w:rPr>
          <w:rFonts w:cs="Arial"/>
          <w:b/>
          <w:lang w:eastAsia="ko-KR" w:bidi="he-IL"/>
        </w:rPr>
        <w:t>Summary of efficacy from BO21004 (CLL11) study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23"/>
        <w:gridCol w:w="236"/>
        <w:gridCol w:w="1560"/>
        <w:gridCol w:w="1445"/>
        <w:gridCol w:w="114"/>
        <w:gridCol w:w="1559"/>
      </w:tblGrid>
      <w:tr w:rsidR="00A82B12" w:rsidRPr="004362B1" w14:paraId="2F2FF2A7" w14:textId="77777777" w:rsidTr="00F60A39">
        <w:trPr>
          <w:trHeight w:val="395"/>
          <w:tblHeader/>
        </w:trPr>
        <w:tc>
          <w:tcPr>
            <w:tcW w:w="3085" w:type="dxa"/>
            <w:tcBorders>
              <w:bottom w:val="single" w:sz="4" w:space="0" w:color="auto"/>
            </w:tcBorders>
            <w:shd w:val="clear" w:color="auto" w:fill="auto"/>
            <w:vAlign w:val="center"/>
          </w:tcPr>
          <w:p w14:paraId="11DA792B" w14:textId="77777777" w:rsidR="00A82B12" w:rsidRPr="004362B1" w:rsidRDefault="00A82B12" w:rsidP="00EB1206">
            <w:pPr>
              <w:spacing w:before="40" w:after="40"/>
              <w:rPr>
                <w:sz w:val="22"/>
                <w:lang w:val="en-US"/>
              </w:rPr>
            </w:pPr>
          </w:p>
        </w:tc>
        <w:tc>
          <w:tcPr>
            <w:tcW w:w="3119" w:type="dxa"/>
            <w:gridSpan w:val="3"/>
            <w:tcBorders>
              <w:bottom w:val="single" w:sz="4" w:space="0" w:color="auto"/>
            </w:tcBorders>
            <w:shd w:val="clear" w:color="auto" w:fill="auto"/>
            <w:vAlign w:val="center"/>
          </w:tcPr>
          <w:p w14:paraId="056729C3" w14:textId="77777777" w:rsidR="00A82B12" w:rsidRDefault="00A82B12" w:rsidP="00EB1206">
            <w:pPr>
              <w:spacing w:before="40" w:after="40"/>
              <w:rPr>
                <w:b/>
                <w:sz w:val="22"/>
                <w:lang w:val="en-US"/>
              </w:rPr>
            </w:pPr>
            <w:r>
              <w:rPr>
                <w:b/>
                <w:sz w:val="22"/>
                <w:lang w:val="en-US"/>
              </w:rPr>
              <w:t>Stage 1</w:t>
            </w:r>
          </w:p>
        </w:tc>
        <w:tc>
          <w:tcPr>
            <w:tcW w:w="3118" w:type="dxa"/>
            <w:gridSpan w:val="3"/>
            <w:tcBorders>
              <w:bottom w:val="single" w:sz="4" w:space="0" w:color="auto"/>
            </w:tcBorders>
            <w:vAlign w:val="center"/>
          </w:tcPr>
          <w:p w14:paraId="61B9C7B9" w14:textId="77777777" w:rsidR="00A82B12" w:rsidRDefault="00A82B12" w:rsidP="00EB1206">
            <w:pPr>
              <w:spacing w:before="40" w:after="40"/>
              <w:rPr>
                <w:b/>
                <w:sz w:val="22"/>
                <w:lang w:val="en-US"/>
              </w:rPr>
            </w:pPr>
            <w:r>
              <w:rPr>
                <w:b/>
                <w:sz w:val="22"/>
                <w:lang w:val="en-US"/>
              </w:rPr>
              <w:t>Stage 2</w:t>
            </w:r>
          </w:p>
        </w:tc>
      </w:tr>
      <w:tr w:rsidR="00A82B12" w:rsidRPr="004362B1" w14:paraId="38408605" w14:textId="77777777" w:rsidTr="00F60A39">
        <w:trPr>
          <w:trHeight w:val="699"/>
          <w:tblHeader/>
        </w:trPr>
        <w:tc>
          <w:tcPr>
            <w:tcW w:w="3085" w:type="dxa"/>
            <w:tcBorders>
              <w:bottom w:val="single" w:sz="4" w:space="0" w:color="auto"/>
            </w:tcBorders>
            <w:shd w:val="clear" w:color="auto" w:fill="auto"/>
            <w:vAlign w:val="center"/>
          </w:tcPr>
          <w:p w14:paraId="5D7CC077" w14:textId="77777777" w:rsidR="00A82B12" w:rsidRPr="004362B1" w:rsidRDefault="00A82B12" w:rsidP="00EB1206">
            <w:pPr>
              <w:spacing w:before="40" w:after="40"/>
              <w:rPr>
                <w:sz w:val="22"/>
                <w:lang w:val="en-US"/>
              </w:rPr>
            </w:pPr>
          </w:p>
        </w:tc>
        <w:tc>
          <w:tcPr>
            <w:tcW w:w="1559" w:type="dxa"/>
            <w:gridSpan w:val="2"/>
            <w:tcBorders>
              <w:bottom w:val="single" w:sz="4" w:space="0" w:color="auto"/>
            </w:tcBorders>
            <w:shd w:val="clear" w:color="auto" w:fill="auto"/>
            <w:vAlign w:val="center"/>
          </w:tcPr>
          <w:p w14:paraId="15F0803B" w14:textId="77777777" w:rsidR="00A82B12" w:rsidRDefault="00A82B12" w:rsidP="00EB1206">
            <w:pPr>
              <w:spacing w:before="40" w:after="40"/>
              <w:rPr>
                <w:b/>
                <w:sz w:val="22"/>
                <w:lang w:val="en-US"/>
              </w:rPr>
            </w:pPr>
            <w:r w:rsidRPr="004362B1">
              <w:rPr>
                <w:b/>
                <w:sz w:val="22"/>
                <w:lang w:val="en-US"/>
              </w:rPr>
              <w:t>Chlorambucil</w:t>
            </w:r>
          </w:p>
          <w:p w14:paraId="46741998" w14:textId="77777777" w:rsidR="00A82B12" w:rsidRPr="004362B1" w:rsidRDefault="00A82B12" w:rsidP="00EB1206">
            <w:pPr>
              <w:spacing w:before="40" w:after="40"/>
              <w:rPr>
                <w:b/>
                <w:sz w:val="22"/>
                <w:lang w:val="en-US"/>
              </w:rPr>
            </w:pPr>
            <w:r>
              <w:rPr>
                <w:b/>
                <w:sz w:val="22"/>
                <w:lang w:val="en-US"/>
              </w:rPr>
              <w:t>n=</w:t>
            </w:r>
            <w:r w:rsidRPr="004362B1">
              <w:rPr>
                <w:b/>
                <w:sz w:val="22"/>
                <w:lang w:val="en-US"/>
              </w:rPr>
              <w:t>118</w:t>
            </w:r>
          </w:p>
        </w:tc>
        <w:tc>
          <w:tcPr>
            <w:tcW w:w="1560" w:type="dxa"/>
            <w:tcBorders>
              <w:bottom w:val="single" w:sz="4" w:space="0" w:color="auto"/>
            </w:tcBorders>
            <w:shd w:val="clear" w:color="auto" w:fill="auto"/>
            <w:vAlign w:val="center"/>
          </w:tcPr>
          <w:p w14:paraId="6F06C4F7" w14:textId="77777777" w:rsidR="00A82B12" w:rsidRDefault="00A82B12" w:rsidP="00EB1206">
            <w:pPr>
              <w:spacing w:before="40" w:after="40"/>
              <w:rPr>
                <w:b/>
                <w:sz w:val="22"/>
                <w:lang w:val="en-US"/>
              </w:rPr>
            </w:pPr>
            <w:r>
              <w:rPr>
                <w:b/>
                <w:sz w:val="22"/>
                <w:lang w:val="en-US"/>
              </w:rPr>
              <w:t>Gazyva</w:t>
            </w:r>
            <w:r w:rsidRPr="004362B1">
              <w:rPr>
                <w:b/>
                <w:sz w:val="22"/>
                <w:lang w:val="en-US"/>
              </w:rPr>
              <w:t xml:space="preserve"> + Chlorambucil</w:t>
            </w:r>
          </w:p>
          <w:p w14:paraId="71BF3562" w14:textId="77777777" w:rsidR="00A82B12" w:rsidRPr="004362B1" w:rsidRDefault="00A82B12" w:rsidP="00EB1206">
            <w:pPr>
              <w:spacing w:before="40" w:after="40"/>
              <w:rPr>
                <w:b/>
                <w:sz w:val="22"/>
                <w:lang w:val="en-US"/>
              </w:rPr>
            </w:pPr>
            <w:r>
              <w:rPr>
                <w:b/>
                <w:sz w:val="22"/>
                <w:lang w:val="en-US"/>
              </w:rPr>
              <w:t>n</w:t>
            </w:r>
            <w:r w:rsidRPr="004362B1">
              <w:rPr>
                <w:b/>
                <w:sz w:val="22"/>
                <w:lang w:val="en-US"/>
              </w:rPr>
              <w:t>=238</w:t>
            </w:r>
          </w:p>
        </w:tc>
        <w:tc>
          <w:tcPr>
            <w:tcW w:w="1559" w:type="dxa"/>
            <w:gridSpan w:val="2"/>
            <w:tcBorders>
              <w:bottom w:val="single" w:sz="4" w:space="0" w:color="auto"/>
            </w:tcBorders>
            <w:vAlign w:val="center"/>
          </w:tcPr>
          <w:p w14:paraId="4F6FE1F8" w14:textId="77777777" w:rsidR="00A82B12" w:rsidRDefault="00A82B12" w:rsidP="00EB1206">
            <w:pPr>
              <w:spacing w:before="40" w:after="40"/>
              <w:rPr>
                <w:b/>
                <w:sz w:val="22"/>
                <w:lang w:val="en-US"/>
              </w:rPr>
            </w:pPr>
            <w:r>
              <w:rPr>
                <w:b/>
                <w:sz w:val="22"/>
                <w:lang w:val="en-US"/>
              </w:rPr>
              <w:t xml:space="preserve">Rituximab + </w:t>
            </w:r>
            <w:r w:rsidRPr="004362B1">
              <w:rPr>
                <w:b/>
                <w:sz w:val="22"/>
                <w:lang w:val="en-US"/>
              </w:rPr>
              <w:t>Chlorambucil</w:t>
            </w:r>
          </w:p>
          <w:p w14:paraId="123CBA31" w14:textId="77777777" w:rsidR="00A82B12" w:rsidRDefault="00A82B12" w:rsidP="00EB1206">
            <w:pPr>
              <w:spacing w:before="40" w:after="40"/>
              <w:rPr>
                <w:b/>
                <w:sz w:val="22"/>
                <w:lang w:val="en-US"/>
              </w:rPr>
            </w:pPr>
            <w:r>
              <w:rPr>
                <w:b/>
                <w:sz w:val="22"/>
                <w:lang w:val="en-US"/>
              </w:rPr>
              <w:t>n=330</w:t>
            </w:r>
          </w:p>
        </w:tc>
        <w:tc>
          <w:tcPr>
            <w:tcW w:w="1559" w:type="dxa"/>
            <w:tcBorders>
              <w:bottom w:val="single" w:sz="4" w:space="0" w:color="auto"/>
            </w:tcBorders>
            <w:vAlign w:val="center"/>
          </w:tcPr>
          <w:p w14:paraId="3EBFAE23" w14:textId="77777777" w:rsidR="00A82B12" w:rsidRDefault="00A82B12" w:rsidP="00EB1206">
            <w:pPr>
              <w:spacing w:before="40" w:after="40"/>
              <w:rPr>
                <w:b/>
                <w:sz w:val="22"/>
                <w:lang w:val="en-US"/>
              </w:rPr>
            </w:pPr>
            <w:r>
              <w:rPr>
                <w:b/>
                <w:sz w:val="22"/>
                <w:lang w:val="en-US"/>
              </w:rPr>
              <w:t>Gazyva</w:t>
            </w:r>
            <w:r w:rsidRPr="004362B1">
              <w:rPr>
                <w:b/>
                <w:sz w:val="22"/>
                <w:lang w:val="en-US"/>
              </w:rPr>
              <w:t xml:space="preserve"> + Chlorambucil</w:t>
            </w:r>
          </w:p>
          <w:p w14:paraId="5A88415D" w14:textId="77777777" w:rsidR="00A82B12" w:rsidRDefault="00A82B12" w:rsidP="00EB1206">
            <w:pPr>
              <w:spacing w:before="40" w:after="40"/>
              <w:rPr>
                <w:b/>
                <w:sz w:val="22"/>
                <w:lang w:val="en-US"/>
              </w:rPr>
            </w:pPr>
            <w:r>
              <w:rPr>
                <w:b/>
                <w:sz w:val="22"/>
                <w:lang w:val="en-US"/>
              </w:rPr>
              <w:t>n</w:t>
            </w:r>
            <w:r w:rsidRPr="004362B1">
              <w:rPr>
                <w:b/>
                <w:sz w:val="22"/>
                <w:lang w:val="en-US"/>
              </w:rPr>
              <w:t>=</w:t>
            </w:r>
            <w:r>
              <w:rPr>
                <w:b/>
                <w:sz w:val="22"/>
                <w:lang w:val="en-US"/>
              </w:rPr>
              <w:t>333</w:t>
            </w:r>
          </w:p>
        </w:tc>
      </w:tr>
      <w:tr w:rsidR="00A82B12" w:rsidRPr="004362B1" w14:paraId="7372F6EE" w14:textId="77777777" w:rsidTr="00F60A39">
        <w:trPr>
          <w:trHeight w:val="699"/>
          <w:tblHeader/>
        </w:trPr>
        <w:tc>
          <w:tcPr>
            <w:tcW w:w="3085" w:type="dxa"/>
            <w:tcBorders>
              <w:bottom w:val="single" w:sz="4" w:space="0" w:color="auto"/>
            </w:tcBorders>
            <w:shd w:val="clear" w:color="auto" w:fill="auto"/>
            <w:vAlign w:val="center"/>
          </w:tcPr>
          <w:p w14:paraId="1E62439D" w14:textId="77777777" w:rsidR="00A82B12" w:rsidRPr="004362B1" w:rsidRDefault="00A82B12" w:rsidP="00EB1206">
            <w:pPr>
              <w:spacing w:before="40" w:after="40"/>
              <w:rPr>
                <w:sz w:val="22"/>
                <w:lang w:val="en-US"/>
              </w:rPr>
            </w:pPr>
          </w:p>
        </w:tc>
        <w:tc>
          <w:tcPr>
            <w:tcW w:w="3119" w:type="dxa"/>
            <w:gridSpan w:val="3"/>
            <w:tcBorders>
              <w:bottom w:val="single" w:sz="4" w:space="0" w:color="auto"/>
            </w:tcBorders>
            <w:shd w:val="clear" w:color="auto" w:fill="auto"/>
            <w:vAlign w:val="center"/>
          </w:tcPr>
          <w:p w14:paraId="3AC890B0" w14:textId="77777777" w:rsidR="00A82B12" w:rsidRDefault="00A82B12" w:rsidP="00EB1206">
            <w:pPr>
              <w:spacing w:before="40" w:after="40"/>
              <w:rPr>
                <w:b/>
                <w:sz w:val="22"/>
                <w:lang w:val="en-US"/>
              </w:rPr>
            </w:pPr>
            <w:r>
              <w:rPr>
                <w:b/>
                <w:sz w:val="22"/>
                <w:lang w:val="en-US"/>
              </w:rPr>
              <w:t>22.8 months median observation time</w:t>
            </w:r>
          </w:p>
        </w:tc>
        <w:tc>
          <w:tcPr>
            <w:tcW w:w="3118" w:type="dxa"/>
            <w:gridSpan w:val="3"/>
            <w:tcBorders>
              <w:bottom w:val="single" w:sz="4" w:space="0" w:color="auto"/>
            </w:tcBorders>
            <w:vAlign w:val="center"/>
          </w:tcPr>
          <w:p w14:paraId="3B6381AF" w14:textId="77777777" w:rsidR="00A82B12" w:rsidRDefault="00A82B12" w:rsidP="00EB1206">
            <w:pPr>
              <w:spacing w:before="40" w:after="40"/>
              <w:rPr>
                <w:b/>
                <w:sz w:val="22"/>
                <w:lang w:val="en-US"/>
              </w:rPr>
            </w:pPr>
            <w:r>
              <w:rPr>
                <w:b/>
                <w:sz w:val="22"/>
                <w:lang w:val="en-US"/>
              </w:rPr>
              <w:t>18.7 months median observation time</w:t>
            </w:r>
          </w:p>
        </w:tc>
      </w:tr>
      <w:tr w:rsidR="00A82B12" w:rsidRPr="004362B1" w14:paraId="0F22C769" w14:textId="77777777" w:rsidTr="00616FE6">
        <w:tc>
          <w:tcPr>
            <w:tcW w:w="3085" w:type="dxa"/>
            <w:tcBorders>
              <w:bottom w:val="nil"/>
            </w:tcBorders>
            <w:shd w:val="clear" w:color="auto" w:fill="auto"/>
          </w:tcPr>
          <w:p w14:paraId="1C77F8EE" w14:textId="77777777" w:rsidR="00A82B12" w:rsidRPr="004362B1" w:rsidRDefault="00A82B12" w:rsidP="00EB1206">
            <w:pPr>
              <w:spacing w:before="40" w:after="40"/>
              <w:rPr>
                <w:sz w:val="22"/>
                <w:lang w:val="en-US"/>
              </w:rPr>
            </w:pPr>
            <w:r w:rsidRPr="004362B1">
              <w:rPr>
                <w:b/>
                <w:i/>
                <w:sz w:val="22"/>
                <w:lang w:val="en-US"/>
              </w:rPr>
              <w:t>Investigator-assessed PFS (PFS-</w:t>
            </w:r>
            <w:proofErr w:type="gramStart"/>
            <w:r w:rsidRPr="004362B1">
              <w:rPr>
                <w:b/>
                <w:i/>
                <w:sz w:val="22"/>
                <w:lang w:val="en-US"/>
              </w:rPr>
              <w:t>INV)</w:t>
            </w:r>
            <w:r w:rsidRPr="004362B1">
              <w:rPr>
                <w:sz w:val="22"/>
                <w:lang w:val="en-US"/>
              </w:rPr>
              <w:t>*</w:t>
            </w:r>
            <w:proofErr w:type="gramEnd"/>
          </w:p>
        </w:tc>
        <w:tc>
          <w:tcPr>
            <w:tcW w:w="1323" w:type="dxa"/>
            <w:tcBorders>
              <w:bottom w:val="nil"/>
              <w:right w:val="nil"/>
            </w:tcBorders>
            <w:shd w:val="clear" w:color="auto" w:fill="auto"/>
          </w:tcPr>
          <w:p w14:paraId="41958EAA" w14:textId="77777777" w:rsidR="00A82B12" w:rsidRPr="004362B1" w:rsidRDefault="00A82B12" w:rsidP="00EB1206">
            <w:pPr>
              <w:spacing w:before="40" w:after="40"/>
              <w:rPr>
                <w:sz w:val="22"/>
                <w:lang w:val="en-US"/>
              </w:rPr>
            </w:pPr>
          </w:p>
        </w:tc>
        <w:tc>
          <w:tcPr>
            <w:tcW w:w="1796" w:type="dxa"/>
            <w:gridSpan w:val="2"/>
            <w:tcBorders>
              <w:left w:val="nil"/>
              <w:bottom w:val="nil"/>
            </w:tcBorders>
            <w:shd w:val="clear" w:color="auto" w:fill="auto"/>
          </w:tcPr>
          <w:p w14:paraId="218EDF2F" w14:textId="77777777" w:rsidR="00A82B12" w:rsidRPr="004362B1" w:rsidRDefault="00A82B12" w:rsidP="00EB1206">
            <w:pPr>
              <w:spacing w:before="40" w:after="40"/>
              <w:rPr>
                <w:sz w:val="22"/>
                <w:lang w:val="en-US"/>
              </w:rPr>
            </w:pPr>
          </w:p>
        </w:tc>
        <w:tc>
          <w:tcPr>
            <w:tcW w:w="1445" w:type="dxa"/>
            <w:tcBorders>
              <w:left w:val="nil"/>
              <w:bottom w:val="nil"/>
              <w:right w:val="nil"/>
            </w:tcBorders>
          </w:tcPr>
          <w:p w14:paraId="0114D63C" w14:textId="77777777" w:rsidR="00A82B12" w:rsidRPr="004362B1" w:rsidRDefault="00A82B12" w:rsidP="00EB1206">
            <w:pPr>
              <w:spacing w:before="40" w:after="40"/>
              <w:rPr>
                <w:sz w:val="22"/>
                <w:lang w:val="en-US"/>
              </w:rPr>
            </w:pPr>
          </w:p>
        </w:tc>
        <w:tc>
          <w:tcPr>
            <w:tcW w:w="1673" w:type="dxa"/>
            <w:gridSpan w:val="2"/>
            <w:tcBorders>
              <w:left w:val="nil"/>
              <w:bottom w:val="nil"/>
            </w:tcBorders>
          </w:tcPr>
          <w:p w14:paraId="176B6C34" w14:textId="77777777" w:rsidR="00A82B12" w:rsidRPr="004362B1" w:rsidRDefault="00A82B12" w:rsidP="00EB1206">
            <w:pPr>
              <w:spacing w:before="40" w:after="40"/>
              <w:rPr>
                <w:sz w:val="22"/>
                <w:lang w:val="en-US"/>
              </w:rPr>
            </w:pPr>
          </w:p>
        </w:tc>
      </w:tr>
      <w:tr w:rsidR="00A82B12" w:rsidRPr="004362B1" w14:paraId="6B8B7CB0" w14:textId="77777777" w:rsidTr="00616FE6">
        <w:tc>
          <w:tcPr>
            <w:tcW w:w="3085" w:type="dxa"/>
            <w:tcBorders>
              <w:top w:val="nil"/>
              <w:bottom w:val="nil"/>
            </w:tcBorders>
            <w:shd w:val="clear" w:color="auto" w:fill="auto"/>
          </w:tcPr>
          <w:p w14:paraId="4448AED2" w14:textId="77777777" w:rsidR="00A82B12" w:rsidRPr="004362B1" w:rsidRDefault="00A82B12" w:rsidP="00EB1206">
            <w:pPr>
              <w:spacing w:before="40" w:after="40"/>
              <w:rPr>
                <w:sz w:val="22"/>
                <w:lang w:val="en-US"/>
              </w:rPr>
            </w:pPr>
            <w:r w:rsidRPr="004362B1">
              <w:rPr>
                <w:sz w:val="22"/>
                <w:lang w:val="en-US"/>
              </w:rPr>
              <w:t>Number (%) of patients with event</w:t>
            </w:r>
          </w:p>
        </w:tc>
        <w:tc>
          <w:tcPr>
            <w:tcW w:w="1323" w:type="dxa"/>
            <w:tcBorders>
              <w:top w:val="nil"/>
              <w:bottom w:val="nil"/>
              <w:right w:val="nil"/>
            </w:tcBorders>
            <w:shd w:val="clear" w:color="auto" w:fill="auto"/>
          </w:tcPr>
          <w:p w14:paraId="33677BCE" w14:textId="1D83E5A0" w:rsidR="00A82B12" w:rsidRPr="004362B1" w:rsidRDefault="00A82B12" w:rsidP="00EB1206">
            <w:pPr>
              <w:spacing w:before="40" w:after="40"/>
              <w:rPr>
                <w:sz w:val="22"/>
                <w:lang w:val="en-US"/>
              </w:rPr>
            </w:pPr>
            <w:r>
              <w:rPr>
                <w:sz w:val="22"/>
                <w:lang w:val="en-US"/>
              </w:rPr>
              <w:t>96 (81.4%)</w:t>
            </w:r>
          </w:p>
        </w:tc>
        <w:tc>
          <w:tcPr>
            <w:tcW w:w="1796" w:type="dxa"/>
            <w:gridSpan w:val="2"/>
            <w:tcBorders>
              <w:top w:val="nil"/>
              <w:left w:val="nil"/>
              <w:bottom w:val="nil"/>
            </w:tcBorders>
            <w:shd w:val="clear" w:color="auto" w:fill="auto"/>
          </w:tcPr>
          <w:p w14:paraId="240550F9" w14:textId="680CEC63" w:rsidR="00A82B12" w:rsidRPr="00581C0E" w:rsidRDefault="00A82B12" w:rsidP="00EB1206">
            <w:pPr>
              <w:spacing w:before="40" w:after="40"/>
              <w:rPr>
                <w:sz w:val="22"/>
                <w:lang w:val="en-US"/>
              </w:rPr>
            </w:pPr>
            <w:r>
              <w:rPr>
                <w:sz w:val="22"/>
                <w:lang w:val="en-US"/>
              </w:rPr>
              <w:t>93 (39.1%)</w:t>
            </w:r>
          </w:p>
        </w:tc>
        <w:tc>
          <w:tcPr>
            <w:tcW w:w="1445" w:type="dxa"/>
            <w:tcBorders>
              <w:top w:val="nil"/>
              <w:left w:val="nil"/>
              <w:bottom w:val="nil"/>
              <w:right w:val="nil"/>
            </w:tcBorders>
          </w:tcPr>
          <w:p w14:paraId="7B0030B4" w14:textId="77777777" w:rsidR="00A82B12" w:rsidRPr="004362B1" w:rsidRDefault="00A82B12" w:rsidP="00EB1206">
            <w:pPr>
              <w:spacing w:before="40" w:after="40"/>
              <w:rPr>
                <w:sz w:val="22"/>
                <w:lang w:val="en-US"/>
              </w:rPr>
            </w:pPr>
            <w:r>
              <w:rPr>
                <w:sz w:val="22"/>
                <w:lang w:val="en-US"/>
              </w:rPr>
              <w:t>199 (60.3%)</w:t>
            </w:r>
          </w:p>
        </w:tc>
        <w:tc>
          <w:tcPr>
            <w:tcW w:w="1673" w:type="dxa"/>
            <w:gridSpan w:val="2"/>
            <w:tcBorders>
              <w:top w:val="nil"/>
              <w:left w:val="nil"/>
              <w:bottom w:val="nil"/>
            </w:tcBorders>
          </w:tcPr>
          <w:p w14:paraId="515957D6" w14:textId="77777777" w:rsidR="00A82B12" w:rsidRPr="004362B1" w:rsidRDefault="00A82B12" w:rsidP="00EB1206">
            <w:pPr>
              <w:spacing w:before="40" w:after="40"/>
              <w:rPr>
                <w:sz w:val="22"/>
                <w:lang w:val="en-US"/>
              </w:rPr>
            </w:pPr>
            <w:r>
              <w:rPr>
                <w:sz w:val="22"/>
                <w:lang w:val="en-US"/>
              </w:rPr>
              <w:t>104 (31.2%)</w:t>
            </w:r>
          </w:p>
        </w:tc>
      </w:tr>
      <w:tr w:rsidR="00A82B12" w:rsidRPr="004362B1" w14:paraId="47C3D725" w14:textId="77777777" w:rsidTr="00616FE6">
        <w:tc>
          <w:tcPr>
            <w:tcW w:w="3085" w:type="dxa"/>
            <w:tcBorders>
              <w:top w:val="nil"/>
              <w:bottom w:val="nil"/>
            </w:tcBorders>
            <w:shd w:val="clear" w:color="auto" w:fill="auto"/>
          </w:tcPr>
          <w:p w14:paraId="613B64DF" w14:textId="77777777" w:rsidR="00A82B12" w:rsidRPr="004362B1" w:rsidRDefault="00A82B12" w:rsidP="00EB1206">
            <w:pPr>
              <w:spacing w:before="40" w:after="40"/>
              <w:rPr>
                <w:sz w:val="22"/>
                <w:lang w:val="en-US"/>
              </w:rPr>
            </w:pPr>
            <w:r w:rsidRPr="004362B1">
              <w:rPr>
                <w:sz w:val="22"/>
                <w:lang w:val="en-US"/>
              </w:rPr>
              <w:t xml:space="preserve">Median </w:t>
            </w:r>
            <w:r>
              <w:rPr>
                <w:sz w:val="22"/>
                <w:lang w:val="en-US"/>
              </w:rPr>
              <w:t>time to event</w:t>
            </w:r>
            <w:r w:rsidRPr="004362B1">
              <w:rPr>
                <w:sz w:val="22"/>
                <w:lang w:val="en-US"/>
              </w:rPr>
              <w:t xml:space="preserve"> (months)</w:t>
            </w:r>
          </w:p>
        </w:tc>
        <w:tc>
          <w:tcPr>
            <w:tcW w:w="1323" w:type="dxa"/>
            <w:tcBorders>
              <w:top w:val="nil"/>
              <w:bottom w:val="nil"/>
              <w:right w:val="nil"/>
            </w:tcBorders>
            <w:shd w:val="clear" w:color="auto" w:fill="auto"/>
          </w:tcPr>
          <w:p w14:paraId="3E999F72" w14:textId="77777777" w:rsidR="00A82B12" w:rsidRPr="00581C0E" w:rsidRDefault="00A82B12" w:rsidP="00EB1206">
            <w:pPr>
              <w:spacing w:before="40" w:after="40"/>
              <w:rPr>
                <w:sz w:val="22"/>
                <w:lang w:val="en-US"/>
              </w:rPr>
            </w:pPr>
            <w:r>
              <w:rPr>
                <w:sz w:val="22"/>
                <w:lang w:val="en-US"/>
              </w:rPr>
              <w:t>11.1</w:t>
            </w:r>
          </w:p>
        </w:tc>
        <w:tc>
          <w:tcPr>
            <w:tcW w:w="1796" w:type="dxa"/>
            <w:gridSpan w:val="2"/>
            <w:tcBorders>
              <w:top w:val="nil"/>
              <w:left w:val="nil"/>
              <w:bottom w:val="nil"/>
            </w:tcBorders>
            <w:shd w:val="clear" w:color="auto" w:fill="auto"/>
          </w:tcPr>
          <w:p w14:paraId="2686A97D" w14:textId="77777777" w:rsidR="00A82B12" w:rsidRPr="00581C0E" w:rsidRDefault="00A82B12" w:rsidP="00EB1206">
            <w:pPr>
              <w:spacing w:before="40" w:after="40"/>
              <w:rPr>
                <w:sz w:val="22"/>
                <w:lang w:val="en-US"/>
              </w:rPr>
            </w:pPr>
            <w:r>
              <w:rPr>
                <w:sz w:val="22"/>
                <w:lang w:val="en-US"/>
              </w:rPr>
              <w:t>26.7</w:t>
            </w:r>
          </w:p>
        </w:tc>
        <w:tc>
          <w:tcPr>
            <w:tcW w:w="1445" w:type="dxa"/>
            <w:tcBorders>
              <w:top w:val="nil"/>
              <w:left w:val="nil"/>
              <w:bottom w:val="nil"/>
              <w:right w:val="nil"/>
            </w:tcBorders>
          </w:tcPr>
          <w:p w14:paraId="1720E86B" w14:textId="77777777" w:rsidR="00A82B12" w:rsidRPr="004362B1" w:rsidRDefault="00A82B12" w:rsidP="00EB1206">
            <w:pPr>
              <w:spacing w:before="40" w:after="40"/>
              <w:rPr>
                <w:sz w:val="22"/>
                <w:lang w:val="en-US"/>
              </w:rPr>
            </w:pPr>
            <w:r>
              <w:rPr>
                <w:sz w:val="22"/>
                <w:lang w:val="en-US"/>
              </w:rPr>
              <w:t>15.2</w:t>
            </w:r>
          </w:p>
        </w:tc>
        <w:tc>
          <w:tcPr>
            <w:tcW w:w="1673" w:type="dxa"/>
            <w:gridSpan w:val="2"/>
            <w:tcBorders>
              <w:top w:val="nil"/>
              <w:left w:val="nil"/>
              <w:bottom w:val="nil"/>
            </w:tcBorders>
          </w:tcPr>
          <w:p w14:paraId="648119B3" w14:textId="77777777" w:rsidR="00A82B12" w:rsidRPr="004362B1" w:rsidRDefault="00A82B12" w:rsidP="00EB1206">
            <w:pPr>
              <w:spacing w:before="40" w:after="40"/>
              <w:rPr>
                <w:sz w:val="22"/>
                <w:lang w:val="en-US"/>
              </w:rPr>
            </w:pPr>
            <w:r>
              <w:rPr>
                <w:sz w:val="22"/>
                <w:lang w:val="en-US"/>
              </w:rPr>
              <w:t>26.7</w:t>
            </w:r>
          </w:p>
        </w:tc>
      </w:tr>
      <w:tr w:rsidR="00A82B12" w:rsidRPr="004362B1" w14:paraId="044BB0F6" w14:textId="77777777" w:rsidTr="00616FE6">
        <w:tc>
          <w:tcPr>
            <w:tcW w:w="3085" w:type="dxa"/>
            <w:tcBorders>
              <w:top w:val="nil"/>
              <w:bottom w:val="nil"/>
            </w:tcBorders>
            <w:shd w:val="clear" w:color="auto" w:fill="auto"/>
          </w:tcPr>
          <w:p w14:paraId="3F218E98" w14:textId="77777777" w:rsidR="00A82B12" w:rsidRPr="004362B1" w:rsidRDefault="00A82B12" w:rsidP="00EB1206">
            <w:pPr>
              <w:spacing w:before="40" w:after="40"/>
              <w:rPr>
                <w:sz w:val="22"/>
                <w:lang w:val="en-US"/>
              </w:rPr>
            </w:pPr>
            <w:r w:rsidRPr="004362B1">
              <w:rPr>
                <w:sz w:val="22"/>
                <w:lang w:val="en-US"/>
              </w:rPr>
              <w:t>HR (95% Cl)</w:t>
            </w:r>
          </w:p>
        </w:tc>
        <w:tc>
          <w:tcPr>
            <w:tcW w:w="3119" w:type="dxa"/>
            <w:gridSpan w:val="3"/>
            <w:tcBorders>
              <w:top w:val="nil"/>
              <w:bottom w:val="nil"/>
            </w:tcBorders>
            <w:shd w:val="clear" w:color="auto" w:fill="auto"/>
          </w:tcPr>
          <w:p w14:paraId="05682321" w14:textId="77777777" w:rsidR="00A82B12" w:rsidRPr="00581C0E" w:rsidRDefault="00A82B12" w:rsidP="00EB1206">
            <w:pPr>
              <w:spacing w:before="40" w:after="40"/>
              <w:rPr>
                <w:sz w:val="22"/>
                <w:lang w:val="en-US"/>
              </w:rPr>
            </w:pPr>
            <w:r>
              <w:rPr>
                <w:sz w:val="22"/>
                <w:lang w:val="en-US"/>
              </w:rPr>
              <w:t>0.18 [0.13; 0.24]</w:t>
            </w:r>
          </w:p>
        </w:tc>
        <w:tc>
          <w:tcPr>
            <w:tcW w:w="3118" w:type="dxa"/>
            <w:gridSpan w:val="3"/>
            <w:vMerge w:val="restart"/>
            <w:tcBorders>
              <w:top w:val="nil"/>
            </w:tcBorders>
          </w:tcPr>
          <w:p w14:paraId="07186E87" w14:textId="77777777" w:rsidR="00A82B12" w:rsidRDefault="00A82B12" w:rsidP="00EB1206">
            <w:pPr>
              <w:spacing w:before="40" w:after="40"/>
              <w:rPr>
                <w:sz w:val="22"/>
                <w:lang w:val="en-US"/>
              </w:rPr>
            </w:pPr>
            <w:r>
              <w:rPr>
                <w:sz w:val="22"/>
                <w:lang w:val="en-US"/>
              </w:rPr>
              <w:t>0.39 [0.31; 0.49]</w:t>
            </w:r>
          </w:p>
          <w:p w14:paraId="4F54D3BC" w14:textId="77777777" w:rsidR="00A82B12" w:rsidRPr="004362B1" w:rsidRDefault="00A82B12" w:rsidP="00EB1206">
            <w:pPr>
              <w:spacing w:before="40" w:after="40"/>
              <w:rPr>
                <w:sz w:val="22"/>
                <w:lang w:val="en-US"/>
              </w:rPr>
            </w:pPr>
            <w:r>
              <w:rPr>
                <w:sz w:val="22"/>
                <w:lang w:val="en-US"/>
              </w:rPr>
              <w:t>&lt; 0.0001</w:t>
            </w:r>
          </w:p>
        </w:tc>
      </w:tr>
      <w:tr w:rsidR="00A82B12" w:rsidRPr="004362B1" w14:paraId="64B0A517" w14:textId="77777777" w:rsidTr="00616FE6">
        <w:tc>
          <w:tcPr>
            <w:tcW w:w="3085" w:type="dxa"/>
            <w:tcBorders>
              <w:top w:val="nil"/>
              <w:bottom w:val="single" w:sz="4" w:space="0" w:color="auto"/>
            </w:tcBorders>
            <w:shd w:val="clear" w:color="auto" w:fill="auto"/>
          </w:tcPr>
          <w:p w14:paraId="66D082CA" w14:textId="77777777" w:rsidR="00A82B12" w:rsidRPr="004362B1" w:rsidRDefault="00A82B12" w:rsidP="00EB1206">
            <w:pPr>
              <w:spacing w:before="40" w:after="40"/>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14:paraId="68366CC7" w14:textId="77777777" w:rsidR="00A82B12" w:rsidRPr="004362B1" w:rsidRDefault="00A82B12" w:rsidP="00EB1206">
            <w:pPr>
              <w:spacing w:before="40" w:after="40"/>
              <w:rPr>
                <w:sz w:val="22"/>
                <w:lang w:val="en-US"/>
              </w:rPr>
            </w:pPr>
            <w:r w:rsidRPr="004362B1">
              <w:rPr>
                <w:sz w:val="22"/>
                <w:lang w:val="en-US"/>
              </w:rPr>
              <w:t>&lt; 0.0001</w:t>
            </w:r>
          </w:p>
        </w:tc>
        <w:tc>
          <w:tcPr>
            <w:tcW w:w="3118" w:type="dxa"/>
            <w:gridSpan w:val="3"/>
            <w:vMerge/>
            <w:tcBorders>
              <w:bottom w:val="single" w:sz="4" w:space="0" w:color="auto"/>
            </w:tcBorders>
          </w:tcPr>
          <w:p w14:paraId="0AF7EFA1" w14:textId="77777777" w:rsidR="00A82B12" w:rsidRPr="004362B1" w:rsidRDefault="00A82B12" w:rsidP="00EB1206">
            <w:pPr>
              <w:spacing w:before="40" w:after="40"/>
              <w:rPr>
                <w:sz w:val="22"/>
                <w:lang w:val="en-US"/>
              </w:rPr>
            </w:pPr>
          </w:p>
        </w:tc>
      </w:tr>
      <w:tr w:rsidR="00A82B12" w:rsidRPr="004362B1" w14:paraId="044EAC66" w14:textId="77777777" w:rsidTr="00616FE6">
        <w:tc>
          <w:tcPr>
            <w:tcW w:w="3085" w:type="dxa"/>
            <w:tcBorders>
              <w:bottom w:val="nil"/>
            </w:tcBorders>
            <w:shd w:val="clear" w:color="auto" w:fill="auto"/>
          </w:tcPr>
          <w:p w14:paraId="67BA46A2" w14:textId="77777777" w:rsidR="00A82B12" w:rsidRPr="004362B1" w:rsidRDefault="00A82B12" w:rsidP="00EB1206">
            <w:pPr>
              <w:spacing w:before="40" w:after="40"/>
              <w:rPr>
                <w:sz w:val="22"/>
                <w:lang w:val="en-US"/>
              </w:rPr>
            </w:pPr>
            <w:r w:rsidRPr="004362B1">
              <w:rPr>
                <w:b/>
                <w:i/>
                <w:sz w:val="22"/>
                <w:lang w:val="en-US"/>
              </w:rPr>
              <w:t>IRC-assessed PFS (PFS-</w:t>
            </w:r>
            <w:proofErr w:type="gramStart"/>
            <w:r w:rsidRPr="004362B1">
              <w:rPr>
                <w:b/>
                <w:i/>
                <w:sz w:val="22"/>
                <w:lang w:val="en-US"/>
              </w:rPr>
              <w:t>IRC)</w:t>
            </w:r>
            <w:r w:rsidRPr="004362B1">
              <w:rPr>
                <w:sz w:val="22"/>
                <w:lang w:val="en-US"/>
              </w:rPr>
              <w:t>*</w:t>
            </w:r>
            <w:proofErr w:type="gramEnd"/>
          </w:p>
        </w:tc>
        <w:tc>
          <w:tcPr>
            <w:tcW w:w="1323" w:type="dxa"/>
            <w:tcBorders>
              <w:bottom w:val="nil"/>
              <w:right w:val="nil"/>
            </w:tcBorders>
            <w:shd w:val="clear" w:color="auto" w:fill="auto"/>
          </w:tcPr>
          <w:p w14:paraId="7034A88A" w14:textId="77777777" w:rsidR="00A82B12" w:rsidRPr="004362B1" w:rsidRDefault="00A82B12" w:rsidP="00EB1206">
            <w:pPr>
              <w:spacing w:before="40" w:after="40"/>
              <w:rPr>
                <w:sz w:val="22"/>
                <w:lang w:val="en-US"/>
              </w:rPr>
            </w:pPr>
          </w:p>
        </w:tc>
        <w:tc>
          <w:tcPr>
            <w:tcW w:w="1796" w:type="dxa"/>
            <w:gridSpan w:val="2"/>
            <w:tcBorders>
              <w:left w:val="nil"/>
              <w:bottom w:val="nil"/>
            </w:tcBorders>
            <w:shd w:val="clear" w:color="auto" w:fill="auto"/>
          </w:tcPr>
          <w:p w14:paraId="2F32A15B" w14:textId="77777777" w:rsidR="00A82B12" w:rsidRPr="004362B1" w:rsidRDefault="00A82B12" w:rsidP="00EB1206">
            <w:pPr>
              <w:spacing w:before="40" w:after="40"/>
              <w:rPr>
                <w:sz w:val="22"/>
                <w:lang w:val="en-US"/>
              </w:rPr>
            </w:pPr>
          </w:p>
        </w:tc>
        <w:tc>
          <w:tcPr>
            <w:tcW w:w="1445" w:type="dxa"/>
            <w:tcBorders>
              <w:left w:val="nil"/>
              <w:bottom w:val="nil"/>
              <w:right w:val="nil"/>
            </w:tcBorders>
          </w:tcPr>
          <w:p w14:paraId="4464F733" w14:textId="77777777" w:rsidR="00A82B12" w:rsidRPr="004362B1" w:rsidRDefault="00A82B12" w:rsidP="00EB1206">
            <w:pPr>
              <w:spacing w:before="40" w:after="40"/>
              <w:rPr>
                <w:sz w:val="22"/>
                <w:lang w:val="en-US"/>
              </w:rPr>
            </w:pPr>
          </w:p>
        </w:tc>
        <w:tc>
          <w:tcPr>
            <w:tcW w:w="1673" w:type="dxa"/>
            <w:gridSpan w:val="2"/>
            <w:tcBorders>
              <w:left w:val="nil"/>
              <w:bottom w:val="nil"/>
            </w:tcBorders>
          </w:tcPr>
          <w:p w14:paraId="706C42E1" w14:textId="77777777" w:rsidR="00A82B12" w:rsidRPr="004362B1" w:rsidRDefault="00A82B12" w:rsidP="00EB1206">
            <w:pPr>
              <w:spacing w:before="40" w:after="40"/>
              <w:rPr>
                <w:sz w:val="22"/>
                <w:lang w:val="en-US"/>
              </w:rPr>
            </w:pPr>
          </w:p>
        </w:tc>
      </w:tr>
      <w:tr w:rsidR="00A82B12" w:rsidRPr="004362B1" w14:paraId="3AB1F042" w14:textId="77777777" w:rsidTr="00616FE6">
        <w:tc>
          <w:tcPr>
            <w:tcW w:w="3085" w:type="dxa"/>
            <w:tcBorders>
              <w:top w:val="nil"/>
              <w:bottom w:val="nil"/>
            </w:tcBorders>
            <w:shd w:val="clear" w:color="auto" w:fill="auto"/>
          </w:tcPr>
          <w:p w14:paraId="593885DE" w14:textId="77777777" w:rsidR="00A82B12" w:rsidRPr="004362B1" w:rsidRDefault="00A82B12" w:rsidP="00EB1206">
            <w:pPr>
              <w:spacing w:before="40" w:after="40"/>
              <w:rPr>
                <w:sz w:val="22"/>
                <w:lang w:val="en-US"/>
              </w:rPr>
            </w:pPr>
            <w:r w:rsidRPr="004362B1">
              <w:rPr>
                <w:sz w:val="22"/>
                <w:lang w:val="en-US"/>
              </w:rPr>
              <w:lastRenderedPageBreak/>
              <w:t>Number (%) of patients with event</w:t>
            </w:r>
          </w:p>
        </w:tc>
        <w:tc>
          <w:tcPr>
            <w:tcW w:w="1323" w:type="dxa"/>
            <w:tcBorders>
              <w:top w:val="nil"/>
              <w:bottom w:val="nil"/>
              <w:right w:val="nil"/>
            </w:tcBorders>
            <w:shd w:val="clear" w:color="auto" w:fill="auto"/>
          </w:tcPr>
          <w:p w14:paraId="6874740E" w14:textId="77777777" w:rsidR="00A82B12" w:rsidRPr="00581C0E" w:rsidRDefault="00A82B12" w:rsidP="00EB1206">
            <w:pPr>
              <w:spacing w:before="40" w:after="40"/>
              <w:rPr>
                <w:sz w:val="22"/>
                <w:lang w:val="en-US"/>
              </w:rPr>
            </w:pPr>
            <w:r>
              <w:rPr>
                <w:sz w:val="22"/>
                <w:lang w:val="en-US"/>
              </w:rPr>
              <w:t>90 (76.3%)</w:t>
            </w:r>
          </w:p>
        </w:tc>
        <w:tc>
          <w:tcPr>
            <w:tcW w:w="1796" w:type="dxa"/>
            <w:gridSpan w:val="2"/>
            <w:tcBorders>
              <w:top w:val="nil"/>
              <w:left w:val="nil"/>
              <w:bottom w:val="nil"/>
            </w:tcBorders>
            <w:shd w:val="clear" w:color="auto" w:fill="auto"/>
          </w:tcPr>
          <w:p w14:paraId="56953831" w14:textId="77777777" w:rsidR="00A82B12" w:rsidRPr="00581C0E" w:rsidRDefault="00A82B12" w:rsidP="00EB1206">
            <w:pPr>
              <w:spacing w:before="40" w:after="40"/>
              <w:rPr>
                <w:sz w:val="22"/>
                <w:lang w:val="en-US"/>
              </w:rPr>
            </w:pPr>
            <w:r>
              <w:rPr>
                <w:sz w:val="22"/>
                <w:lang w:val="en-US"/>
              </w:rPr>
              <w:t>89 (37.4%)</w:t>
            </w:r>
          </w:p>
        </w:tc>
        <w:tc>
          <w:tcPr>
            <w:tcW w:w="1445" w:type="dxa"/>
            <w:tcBorders>
              <w:top w:val="nil"/>
              <w:left w:val="nil"/>
              <w:bottom w:val="nil"/>
              <w:right w:val="nil"/>
            </w:tcBorders>
          </w:tcPr>
          <w:p w14:paraId="35999A5A" w14:textId="77777777" w:rsidR="00A82B12" w:rsidRPr="004362B1" w:rsidRDefault="00A82B12" w:rsidP="00EB1206">
            <w:pPr>
              <w:spacing w:before="40" w:after="40"/>
              <w:rPr>
                <w:sz w:val="22"/>
                <w:lang w:val="en-US"/>
              </w:rPr>
            </w:pPr>
            <w:r>
              <w:rPr>
                <w:sz w:val="22"/>
                <w:lang w:val="en-US"/>
              </w:rPr>
              <w:t>183 (55.5%)</w:t>
            </w:r>
          </w:p>
        </w:tc>
        <w:tc>
          <w:tcPr>
            <w:tcW w:w="1673" w:type="dxa"/>
            <w:gridSpan w:val="2"/>
            <w:tcBorders>
              <w:top w:val="nil"/>
              <w:left w:val="nil"/>
              <w:bottom w:val="nil"/>
            </w:tcBorders>
          </w:tcPr>
          <w:p w14:paraId="60C32D69" w14:textId="77777777" w:rsidR="00A82B12" w:rsidRPr="004362B1" w:rsidRDefault="00A82B12" w:rsidP="00EB1206">
            <w:pPr>
              <w:spacing w:before="40" w:after="40"/>
              <w:rPr>
                <w:sz w:val="22"/>
                <w:lang w:val="en-US"/>
              </w:rPr>
            </w:pPr>
            <w:r>
              <w:rPr>
                <w:sz w:val="22"/>
                <w:lang w:val="en-US"/>
              </w:rPr>
              <w:t>103 (30.9%)</w:t>
            </w:r>
          </w:p>
        </w:tc>
      </w:tr>
      <w:tr w:rsidR="00A82B12" w:rsidRPr="004362B1" w14:paraId="1EACEFDA" w14:textId="77777777" w:rsidTr="00616FE6">
        <w:tc>
          <w:tcPr>
            <w:tcW w:w="3085" w:type="dxa"/>
            <w:tcBorders>
              <w:top w:val="nil"/>
              <w:bottom w:val="nil"/>
            </w:tcBorders>
            <w:shd w:val="clear" w:color="auto" w:fill="auto"/>
          </w:tcPr>
          <w:p w14:paraId="575AE905" w14:textId="77777777" w:rsidR="00A82B12" w:rsidRPr="004362B1" w:rsidRDefault="00A82B12" w:rsidP="00EB1206">
            <w:pPr>
              <w:spacing w:before="40" w:after="40"/>
              <w:rPr>
                <w:sz w:val="22"/>
                <w:lang w:val="en-US"/>
              </w:rPr>
            </w:pPr>
            <w:r w:rsidRPr="004362B1">
              <w:rPr>
                <w:sz w:val="22"/>
                <w:lang w:val="en-US"/>
              </w:rPr>
              <w:t xml:space="preserve">Median </w:t>
            </w:r>
            <w:r>
              <w:rPr>
                <w:sz w:val="22"/>
                <w:lang w:val="en-US"/>
              </w:rPr>
              <w:t>time to event</w:t>
            </w:r>
            <w:r w:rsidRPr="004362B1">
              <w:rPr>
                <w:sz w:val="22"/>
                <w:lang w:val="en-US"/>
              </w:rPr>
              <w:t xml:space="preserve"> (months)</w:t>
            </w:r>
          </w:p>
        </w:tc>
        <w:tc>
          <w:tcPr>
            <w:tcW w:w="1323" w:type="dxa"/>
            <w:tcBorders>
              <w:top w:val="nil"/>
              <w:bottom w:val="nil"/>
              <w:right w:val="nil"/>
            </w:tcBorders>
            <w:shd w:val="clear" w:color="auto" w:fill="auto"/>
          </w:tcPr>
          <w:p w14:paraId="55AA44E0" w14:textId="77777777" w:rsidR="00A82B12" w:rsidRPr="00581C0E" w:rsidRDefault="00A82B12" w:rsidP="00EB1206">
            <w:pPr>
              <w:spacing w:before="40" w:after="40"/>
              <w:rPr>
                <w:sz w:val="22"/>
                <w:lang w:val="en-US"/>
              </w:rPr>
            </w:pPr>
            <w:r w:rsidRPr="004362B1">
              <w:rPr>
                <w:sz w:val="22"/>
                <w:lang w:val="en-US"/>
              </w:rPr>
              <w:t>11.</w:t>
            </w:r>
            <w:r>
              <w:rPr>
                <w:sz w:val="22"/>
                <w:lang w:val="en-US"/>
              </w:rPr>
              <w:t>2</w:t>
            </w:r>
          </w:p>
        </w:tc>
        <w:tc>
          <w:tcPr>
            <w:tcW w:w="1796" w:type="dxa"/>
            <w:gridSpan w:val="2"/>
            <w:tcBorders>
              <w:top w:val="nil"/>
              <w:left w:val="nil"/>
              <w:bottom w:val="nil"/>
            </w:tcBorders>
            <w:shd w:val="clear" w:color="auto" w:fill="auto"/>
          </w:tcPr>
          <w:p w14:paraId="002119F9" w14:textId="77777777" w:rsidR="00A82B12" w:rsidRPr="00581C0E" w:rsidRDefault="00A82B12" w:rsidP="00EB1206">
            <w:pPr>
              <w:spacing w:before="40" w:after="40"/>
              <w:rPr>
                <w:sz w:val="22"/>
                <w:lang w:val="en-US"/>
              </w:rPr>
            </w:pPr>
            <w:r>
              <w:rPr>
                <w:sz w:val="22"/>
                <w:lang w:val="en-US"/>
              </w:rPr>
              <w:t>27.2</w:t>
            </w:r>
          </w:p>
        </w:tc>
        <w:tc>
          <w:tcPr>
            <w:tcW w:w="1445" w:type="dxa"/>
            <w:tcBorders>
              <w:top w:val="nil"/>
              <w:left w:val="nil"/>
              <w:bottom w:val="nil"/>
              <w:right w:val="nil"/>
            </w:tcBorders>
          </w:tcPr>
          <w:p w14:paraId="10EE1BB5" w14:textId="77777777" w:rsidR="00A82B12" w:rsidRPr="004362B1" w:rsidRDefault="00A82B12" w:rsidP="00EB1206">
            <w:pPr>
              <w:spacing w:before="40" w:after="40"/>
              <w:rPr>
                <w:sz w:val="22"/>
                <w:lang w:val="en-US"/>
              </w:rPr>
            </w:pPr>
            <w:r>
              <w:rPr>
                <w:sz w:val="22"/>
                <w:lang w:val="en-US"/>
              </w:rPr>
              <w:t>14.9</w:t>
            </w:r>
          </w:p>
        </w:tc>
        <w:tc>
          <w:tcPr>
            <w:tcW w:w="1673" w:type="dxa"/>
            <w:gridSpan w:val="2"/>
            <w:tcBorders>
              <w:top w:val="nil"/>
              <w:left w:val="nil"/>
              <w:bottom w:val="nil"/>
            </w:tcBorders>
          </w:tcPr>
          <w:p w14:paraId="19A9B5B7" w14:textId="77777777" w:rsidR="00A82B12" w:rsidRPr="004362B1" w:rsidRDefault="00A82B12" w:rsidP="00EB1206">
            <w:pPr>
              <w:spacing w:before="40" w:after="40"/>
              <w:rPr>
                <w:sz w:val="22"/>
                <w:lang w:val="en-US"/>
              </w:rPr>
            </w:pPr>
            <w:r>
              <w:rPr>
                <w:sz w:val="22"/>
                <w:lang w:val="en-US"/>
              </w:rPr>
              <w:t>26.7</w:t>
            </w:r>
          </w:p>
        </w:tc>
      </w:tr>
      <w:tr w:rsidR="00A82B12" w:rsidRPr="004362B1" w14:paraId="4C111885" w14:textId="77777777" w:rsidTr="00616FE6">
        <w:tc>
          <w:tcPr>
            <w:tcW w:w="3085" w:type="dxa"/>
            <w:tcBorders>
              <w:top w:val="nil"/>
              <w:bottom w:val="nil"/>
            </w:tcBorders>
            <w:shd w:val="clear" w:color="auto" w:fill="auto"/>
          </w:tcPr>
          <w:p w14:paraId="6B7A36F8" w14:textId="77777777" w:rsidR="00A82B12" w:rsidRPr="004362B1" w:rsidRDefault="00A82B12" w:rsidP="00EB1206">
            <w:pPr>
              <w:spacing w:before="40" w:after="40"/>
              <w:rPr>
                <w:sz w:val="22"/>
                <w:lang w:val="en-US"/>
              </w:rPr>
            </w:pPr>
            <w:r w:rsidRPr="004362B1">
              <w:rPr>
                <w:sz w:val="22"/>
                <w:lang w:val="en-US"/>
              </w:rPr>
              <w:t>HR (95% Cl)</w:t>
            </w:r>
          </w:p>
        </w:tc>
        <w:tc>
          <w:tcPr>
            <w:tcW w:w="3119" w:type="dxa"/>
            <w:gridSpan w:val="3"/>
            <w:tcBorders>
              <w:top w:val="nil"/>
              <w:bottom w:val="nil"/>
            </w:tcBorders>
            <w:shd w:val="clear" w:color="auto" w:fill="auto"/>
          </w:tcPr>
          <w:p w14:paraId="4A9BC406" w14:textId="77777777" w:rsidR="00A82B12" w:rsidRPr="00581C0E" w:rsidRDefault="00A82B12" w:rsidP="00EB1206">
            <w:pPr>
              <w:spacing w:before="40" w:after="40"/>
              <w:rPr>
                <w:sz w:val="22"/>
                <w:lang w:val="en-US"/>
              </w:rPr>
            </w:pPr>
            <w:r>
              <w:rPr>
                <w:sz w:val="22"/>
                <w:lang w:val="en-US"/>
              </w:rPr>
              <w:t>0.19 [0.14; 0.27]</w:t>
            </w:r>
          </w:p>
        </w:tc>
        <w:tc>
          <w:tcPr>
            <w:tcW w:w="3118" w:type="dxa"/>
            <w:gridSpan w:val="3"/>
            <w:tcBorders>
              <w:top w:val="nil"/>
              <w:bottom w:val="nil"/>
            </w:tcBorders>
          </w:tcPr>
          <w:p w14:paraId="54BC04CD" w14:textId="77777777" w:rsidR="00A82B12" w:rsidRPr="004362B1" w:rsidRDefault="00A82B12" w:rsidP="00EB1206">
            <w:pPr>
              <w:spacing w:before="40" w:after="40"/>
              <w:rPr>
                <w:sz w:val="22"/>
                <w:lang w:val="en-US"/>
              </w:rPr>
            </w:pPr>
            <w:r>
              <w:rPr>
                <w:sz w:val="22"/>
                <w:lang w:val="en-US"/>
              </w:rPr>
              <w:t>0.42 [0.33; 0.54]</w:t>
            </w:r>
          </w:p>
        </w:tc>
      </w:tr>
      <w:tr w:rsidR="00A82B12" w:rsidRPr="004362B1" w14:paraId="507114AD" w14:textId="77777777" w:rsidTr="00616FE6">
        <w:tc>
          <w:tcPr>
            <w:tcW w:w="3085" w:type="dxa"/>
            <w:tcBorders>
              <w:top w:val="nil"/>
              <w:bottom w:val="single" w:sz="4" w:space="0" w:color="auto"/>
            </w:tcBorders>
            <w:shd w:val="clear" w:color="auto" w:fill="auto"/>
          </w:tcPr>
          <w:p w14:paraId="46E67D4F" w14:textId="77777777" w:rsidR="00A82B12" w:rsidRPr="004362B1" w:rsidRDefault="00A82B12" w:rsidP="00EB1206">
            <w:pPr>
              <w:spacing w:before="40" w:after="40"/>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14:paraId="1362151F" w14:textId="77777777" w:rsidR="00A82B12" w:rsidRPr="004362B1" w:rsidRDefault="00A82B12" w:rsidP="00EB1206">
            <w:pPr>
              <w:spacing w:before="40" w:after="40"/>
              <w:rPr>
                <w:sz w:val="22"/>
                <w:lang w:val="en-US"/>
              </w:rPr>
            </w:pPr>
            <w:r w:rsidRPr="004362B1">
              <w:rPr>
                <w:sz w:val="22"/>
                <w:lang w:val="en-US"/>
              </w:rPr>
              <w:t>&lt; 0.0001</w:t>
            </w:r>
          </w:p>
        </w:tc>
        <w:tc>
          <w:tcPr>
            <w:tcW w:w="3118" w:type="dxa"/>
            <w:gridSpan w:val="3"/>
            <w:tcBorders>
              <w:top w:val="nil"/>
              <w:bottom w:val="single" w:sz="4" w:space="0" w:color="auto"/>
            </w:tcBorders>
          </w:tcPr>
          <w:p w14:paraId="34D0FC70" w14:textId="77777777" w:rsidR="00A82B12" w:rsidRPr="004362B1" w:rsidRDefault="00A82B12" w:rsidP="00EB1206">
            <w:pPr>
              <w:spacing w:before="40" w:after="40"/>
              <w:rPr>
                <w:sz w:val="22"/>
                <w:lang w:val="en-US"/>
              </w:rPr>
            </w:pPr>
            <w:r>
              <w:rPr>
                <w:sz w:val="22"/>
                <w:lang w:val="en-US"/>
              </w:rPr>
              <w:t>&lt; 0.0001</w:t>
            </w:r>
          </w:p>
        </w:tc>
      </w:tr>
      <w:tr w:rsidR="00A82B12" w:rsidRPr="004362B1" w14:paraId="5DDA4E24" w14:textId="77777777" w:rsidTr="00616FE6">
        <w:tc>
          <w:tcPr>
            <w:tcW w:w="3085" w:type="dxa"/>
            <w:tcBorders>
              <w:bottom w:val="nil"/>
            </w:tcBorders>
            <w:shd w:val="clear" w:color="auto" w:fill="auto"/>
          </w:tcPr>
          <w:p w14:paraId="1D330F56" w14:textId="77777777" w:rsidR="00A82B12" w:rsidRPr="00581C0E" w:rsidRDefault="00A82B12" w:rsidP="00EB1206">
            <w:pPr>
              <w:spacing w:before="40" w:after="40"/>
              <w:rPr>
                <w:b/>
                <w:i/>
                <w:sz w:val="22"/>
                <w:lang w:val="en-US"/>
              </w:rPr>
            </w:pPr>
            <w:r>
              <w:rPr>
                <w:b/>
                <w:i/>
                <w:sz w:val="22"/>
                <w:lang w:val="en-US"/>
              </w:rPr>
              <w:t>End of Treatment Response</w:t>
            </w:r>
          </w:p>
        </w:tc>
        <w:tc>
          <w:tcPr>
            <w:tcW w:w="1323" w:type="dxa"/>
            <w:tcBorders>
              <w:bottom w:val="nil"/>
              <w:right w:val="nil"/>
            </w:tcBorders>
            <w:shd w:val="clear" w:color="auto" w:fill="auto"/>
          </w:tcPr>
          <w:p w14:paraId="4AE00B97" w14:textId="77777777" w:rsidR="00A82B12" w:rsidRPr="004362B1" w:rsidRDefault="00A82B12" w:rsidP="00EB1206">
            <w:pPr>
              <w:spacing w:before="40" w:after="40"/>
              <w:rPr>
                <w:sz w:val="22"/>
                <w:lang w:val="en-US"/>
              </w:rPr>
            </w:pPr>
          </w:p>
        </w:tc>
        <w:tc>
          <w:tcPr>
            <w:tcW w:w="1796" w:type="dxa"/>
            <w:gridSpan w:val="2"/>
            <w:tcBorders>
              <w:left w:val="nil"/>
              <w:bottom w:val="nil"/>
            </w:tcBorders>
            <w:shd w:val="clear" w:color="auto" w:fill="auto"/>
          </w:tcPr>
          <w:p w14:paraId="10298649" w14:textId="77777777" w:rsidR="00A82B12" w:rsidRPr="004362B1" w:rsidRDefault="00A82B12" w:rsidP="00EB1206">
            <w:pPr>
              <w:spacing w:before="40" w:after="40"/>
              <w:rPr>
                <w:sz w:val="22"/>
                <w:lang w:val="en-US"/>
              </w:rPr>
            </w:pPr>
          </w:p>
        </w:tc>
        <w:tc>
          <w:tcPr>
            <w:tcW w:w="1445" w:type="dxa"/>
            <w:tcBorders>
              <w:left w:val="nil"/>
              <w:bottom w:val="nil"/>
              <w:right w:val="nil"/>
            </w:tcBorders>
          </w:tcPr>
          <w:p w14:paraId="24115D9C" w14:textId="77777777" w:rsidR="00A82B12" w:rsidRPr="004362B1" w:rsidRDefault="00A82B12" w:rsidP="00EB1206">
            <w:pPr>
              <w:spacing w:before="40" w:after="40"/>
              <w:rPr>
                <w:sz w:val="22"/>
                <w:lang w:val="en-US"/>
              </w:rPr>
            </w:pPr>
          </w:p>
        </w:tc>
        <w:tc>
          <w:tcPr>
            <w:tcW w:w="1673" w:type="dxa"/>
            <w:gridSpan w:val="2"/>
            <w:tcBorders>
              <w:left w:val="nil"/>
              <w:bottom w:val="nil"/>
            </w:tcBorders>
          </w:tcPr>
          <w:p w14:paraId="49410143" w14:textId="77777777" w:rsidR="00A82B12" w:rsidRPr="004362B1" w:rsidRDefault="00A82B12" w:rsidP="00EB1206">
            <w:pPr>
              <w:spacing w:before="40" w:after="40"/>
              <w:rPr>
                <w:sz w:val="22"/>
                <w:lang w:val="en-US"/>
              </w:rPr>
            </w:pPr>
          </w:p>
        </w:tc>
      </w:tr>
      <w:tr w:rsidR="00A82B12" w:rsidRPr="004362B1" w14:paraId="5D04A075" w14:textId="77777777" w:rsidTr="00616FE6">
        <w:tc>
          <w:tcPr>
            <w:tcW w:w="3085" w:type="dxa"/>
            <w:tcBorders>
              <w:top w:val="nil"/>
              <w:bottom w:val="nil"/>
            </w:tcBorders>
            <w:shd w:val="clear" w:color="auto" w:fill="auto"/>
          </w:tcPr>
          <w:p w14:paraId="1AF49D03" w14:textId="77777777" w:rsidR="00A82B12" w:rsidRPr="004362B1" w:rsidRDefault="00A82B12" w:rsidP="00EB1206">
            <w:pPr>
              <w:spacing w:before="40" w:after="40"/>
              <w:rPr>
                <w:sz w:val="22"/>
                <w:lang w:val="en-US"/>
              </w:rPr>
            </w:pPr>
            <w:r w:rsidRPr="004362B1">
              <w:rPr>
                <w:sz w:val="22"/>
                <w:lang w:val="en-US"/>
              </w:rPr>
              <w:t>No. of patients included in the analysis</w:t>
            </w:r>
          </w:p>
        </w:tc>
        <w:tc>
          <w:tcPr>
            <w:tcW w:w="1323" w:type="dxa"/>
            <w:tcBorders>
              <w:top w:val="nil"/>
              <w:bottom w:val="nil"/>
              <w:right w:val="nil"/>
            </w:tcBorders>
            <w:shd w:val="clear" w:color="auto" w:fill="auto"/>
          </w:tcPr>
          <w:p w14:paraId="35383F14" w14:textId="77777777" w:rsidR="00A82B12" w:rsidRPr="00581C0E" w:rsidRDefault="00A82B12" w:rsidP="00EB1206">
            <w:pPr>
              <w:spacing w:before="40" w:after="40"/>
              <w:rPr>
                <w:sz w:val="22"/>
                <w:lang w:val="en-US"/>
              </w:rPr>
            </w:pPr>
            <w:r>
              <w:rPr>
                <w:sz w:val="22"/>
                <w:lang w:val="en-US"/>
              </w:rPr>
              <w:t>118</w:t>
            </w:r>
          </w:p>
        </w:tc>
        <w:tc>
          <w:tcPr>
            <w:tcW w:w="1796" w:type="dxa"/>
            <w:gridSpan w:val="2"/>
            <w:tcBorders>
              <w:top w:val="nil"/>
              <w:left w:val="nil"/>
              <w:bottom w:val="nil"/>
            </w:tcBorders>
            <w:shd w:val="clear" w:color="auto" w:fill="auto"/>
          </w:tcPr>
          <w:p w14:paraId="49D8A494" w14:textId="77777777" w:rsidR="00A82B12" w:rsidRPr="00581C0E" w:rsidRDefault="00A82B12" w:rsidP="00EB1206">
            <w:pPr>
              <w:spacing w:before="40" w:after="40"/>
              <w:rPr>
                <w:sz w:val="22"/>
                <w:lang w:val="en-US"/>
              </w:rPr>
            </w:pPr>
            <w:r>
              <w:rPr>
                <w:sz w:val="22"/>
                <w:lang w:val="en-US"/>
              </w:rPr>
              <w:t>238</w:t>
            </w:r>
          </w:p>
        </w:tc>
        <w:tc>
          <w:tcPr>
            <w:tcW w:w="1445" w:type="dxa"/>
            <w:tcBorders>
              <w:top w:val="nil"/>
              <w:left w:val="nil"/>
              <w:bottom w:val="nil"/>
              <w:right w:val="nil"/>
            </w:tcBorders>
          </w:tcPr>
          <w:p w14:paraId="172E9217" w14:textId="77777777" w:rsidR="00A82B12" w:rsidRPr="004362B1" w:rsidRDefault="00A82B12" w:rsidP="00EB1206">
            <w:pPr>
              <w:spacing w:before="40" w:after="40"/>
              <w:rPr>
                <w:sz w:val="22"/>
                <w:lang w:val="en-US"/>
              </w:rPr>
            </w:pPr>
            <w:r>
              <w:rPr>
                <w:sz w:val="22"/>
                <w:lang w:val="en-US"/>
              </w:rPr>
              <w:t>329</w:t>
            </w:r>
          </w:p>
        </w:tc>
        <w:tc>
          <w:tcPr>
            <w:tcW w:w="1673" w:type="dxa"/>
            <w:gridSpan w:val="2"/>
            <w:tcBorders>
              <w:top w:val="nil"/>
              <w:left w:val="nil"/>
              <w:bottom w:val="nil"/>
            </w:tcBorders>
          </w:tcPr>
          <w:p w14:paraId="70A74B67" w14:textId="77777777" w:rsidR="00A82B12" w:rsidRPr="004362B1" w:rsidRDefault="00A82B12" w:rsidP="00EB1206">
            <w:pPr>
              <w:spacing w:before="40" w:after="40"/>
              <w:rPr>
                <w:sz w:val="22"/>
                <w:lang w:val="en-US"/>
              </w:rPr>
            </w:pPr>
            <w:r>
              <w:rPr>
                <w:sz w:val="22"/>
                <w:lang w:val="en-US"/>
              </w:rPr>
              <w:t>333</w:t>
            </w:r>
          </w:p>
        </w:tc>
      </w:tr>
      <w:tr w:rsidR="00A82B12" w:rsidRPr="004362B1" w14:paraId="2E3EEE65" w14:textId="77777777" w:rsidTr="00616FE6">
        <w:tc>
          <w:tcPr>
            <w:tcW w:w="3085" w:type="dxa"/>
            <w:tcBorders>
              <w:top w:val="nil"/>
              <w:bottom w:val="nil"/>
            </w:tcBorders>
            <w:shd w:val="clear" w:color="auto" w:fill="auto"/>
          </w:tcPr>
          <w:p w14:paraId="158C9407" w14:textId="77777777" w:rsidR="00A82B12" w:rsidRPr="004362B1" w:rsidRDefault="00A82B12" w:rsidP="00EB1206">
            <w:pPr>
              <w:spacing w:before="40" w:after="40"/>
              <w:rPr>
                <w:sz w:val="22"/>
                <w:lang w:val="en-US"/>
              </w:rPr>
            </w:pPr>
            <w:r w:rsidRPr="004362B1">
              <w:rPr>
                <w:sz w:val="22"/>
                <w:lang w:val="en-US"/>
              </w:rPr>
              <w:t>Responders (%)</w:t>
            </w:r>
          </w:p>
        </w:tc>
        <w:tc>
          <w:tcPr>
            <w:tcW w:w="1323" w:type="dxa"/>
            <w:tcBorders>
              <w:top w:val="nil"/>
              <w:bottom w:val="nil"/>
              <w:right w:val="nil"/>
            </w:tcBorders>
            <w:shd w:val="clear" w:color="auto" w:fill="auto"/>
          </w:tcPr>
          <w:p w14:paraId="4D179D1F" w14:textId="77777777" w:rsidR="00A82B12" w:rsidRPr="004362B1" w:rsidRDefault="00A82B12" w:rsidP="00EB1206">
            <w:pPr>
              <w:spacing w:before="40" w:after="40"/>
              <w:rPr>
                <w:sz w:val="22"/>
                <w:lang w:val="en-US"/>
              </w:rPr>
            </w:pPr>
            <w:r w:rsidRPr="004362B1">
              <w:rPr>
                <w:sz w:val="22"/>
                <w:lang w:val="en-US"/>
              </w:rPr>
              <w:t>3</w:t>
            </w:r>
            <w:r>
              <w:rPr>
                <w:sz w:val="22"/>
                <w:lang w:val="en-US"/>
              </w:rPr>
              <w:t>7</w:t>
            </w:r>
            <w:r w:rsidRPr="004362B1">
              <w:rPr>
                <w:sz w:val="22"/>
                <w:lang w:val="en-US"/>
              </w:rPr>
              <w:t xml:space="preserve"> (</w:t>
            </w:r>
            <w:r>
              <w:rPr>
                <w:sz w:val="22"/>
                <w:lang w:val="en-US"/>
              </w:rPr>
              <w:t xml:space="preserve">31.4 </w:t>
            </w:r>
            <w:r w:rsidRPr="004362B1">
              <w:rPr>
                <w:sz w:val="22"/>
                <w:lang w:val="en-US"/>
              </w:rPr>
              <w:t>%)</w:t>
            </w:r>
          </w:p>
        </w:tc>
        <w:tc>
          <w:tcPr>
            <w:tcW w:w="1796" w:type="dxa"/>
            <w:gridSpan w:val="2"/>
            <w:tcBorders>
              <w:top w:val="nil"/>
              <w:left w:val="nil"/>
              <w:bottom w:val="nil"/>
            </w:tcBorders>
            <w:shd w:val="clear" w:color="auto" w:fill="auto"/>
          </w:tcPr>
          <w:p w14:paraId="1DF37A2B" w14:textId="77777777" w:rsidR="00A82B12" w:rsidRPr="004362B1" w:rsidRDefault="00A82B12" w:rsidP="00EB1206">
            <w:pPr>
              <w:spacing w:before="40" w:after="40"/>
              <w:rPr>
                <w:sz w:val="22"/>
                <w:lang w:val="en-US"/>
              </w:rPr>
            </w:pPr>
            <w:r>
              <w:rPr>
                <w:sz w:val="22"/>
                <w:lang w:val="en-US"/>
              </w:rPr>
              <w:t>184</w:t>
            </w:r>
            <w:r w:rsidRPr="004362B1">
              <w:rPr>
                <w:sz w:val="22"/>
                <w:lang w:val="en-US"/>
              </w:rPr>
              <w:t xml:space="preserve"> (</w:t>
            </w:r>
            <w:r>
              <w:rPr>
                <w:sz w:val="22"/>
                <w:lang w:val="en-US"/>
              </w:rPr>
              <w:t>77.3</w:t>
            </w:r>
            <w:r w:rsidRPr="004362B1">
              <w:rPr>
                <w:sz w:val="22"/>
                <w:lang w:val="en-US"/>
              </w:rPr>
              <w:t>%)</w:t>
            </w:r>
          </w:p>
        </w:tc>
        <w:tc>
          <w:tcPr>
            <w:tcW w:w="1445" w:type="dxa"/>
            <w:tcBorders>
              <w:top w:val="nil"/>
              <w:left w:val="nil"/>
              <w:bottom w:val="nil"/>
              <w:right w:val="nil"/>
            </w:tcBorders>
          </w:tcPr>
          <w:p w14:paraId="20A2772D" w14:textId="77777777" w:rsidR="00A82B12" w:rsidRPr="004362B1" w:rsidRDefault="00A82B12" w:rsidP="00EB1206">
            <w:pPr>
              <w:spacing w:before="40" w:after="40"/>
              <w:rPr>
                <w:sz w:val="22"/>
                <w:lang w:val="en-US"/>
              </w:rPr>
            </w:pPr>
            <w:r>
              <w:rPr>
                <w:sz w:val="22"/>
                <w:lang w:val="en-US"/>
              </w:rPr>
              <w:t>214 (65.0%)</w:t>
            </w:r>
          </w:p>
        </w:tc>
        <w:tc>
          <w:tcPr>
            <w:tcW w:w="1673" w:type="dxa"/>
            <w:gridSpan w:val="2"/>
            <w:tcBorders>
              <w:top w:val="nil"/>
              <w:left w:val="nil"/>
              <w:bottom w:val="nil"/>
            </w:tcBorders>
          </w:tcPr>
          <w:p w14:paraId="13C2ABA1" w14:textId="77777777" w:rsidR="00A82B12" w:rsidRPr="004362B1" w:rsidRDefault="00A82B12" w:rsidP="00EB1206">
            <w:pPr>
              <w:spacing w:before="40" w:after="40"/>
              <w:rPr>
                <w:sz w:val="22"/>
                <w:lang w:val="en-US"/>
              </w:rPr>
            </w:pPr>
            <w:r>
              <w:rPr>
                <w:sz w:val="22"/>
                <w:lang w:val="en-US"/>
              </w:rPr>
              <w:t>261 (78.4%)</w:t>
            </w:r>
          </w:p>
        </w:tc>
      </w:tr>
      <w:tr w:rsidR="00A82B12" w:rsidRPr="004362B1" w14:paraId="7E0BF2B4" w14:textId="77777777" w:rsidTr="00616FE6">
        <w:tc>
          <w:tcPr>
            <w:tcW w:w="3085" w:type="dxa"/>
            <w:tcBorders>
              <w:top w:val="nil"/>
              <w:bottom w:val="nil"/>
            </w:tcBorders>
            <w:shd w:val="clear" w:color="auto" w:fill="auto"/>
          </w:tcPr>
          <w:p w14:paraId="3F4C674B" w14:textId="77777777" w:rsidR="00A82B12" w:rsidRPr="004362B1" w:rsidRDefault="00A82B12" w:rsidP="00EB1206">
            <w:pPr>
              <w:spacing w:before="40" w:after="40"/>
              <w:rPr>
                <w:sz w:val="22"/>
                <w:lang w:val="en-US"/>
              </w:rPr>
            </w:pPr>
            <w:r w:rsidRPr="004362B1">
              <w:rPr>
                <w:sz w:val="22"/>
                <w:lang w:val="en-US"/>
              </w:rPr>
              <w:t>Non-responders (%)</w:t>
            </w:r>
          </w:p>
        </w:tc>
        <w:tc>
          <w:tcPr>
            <w:tcW w:w="1323" w:type="dxa"/>
            <w:tcBorders>
              <w:top w:val="nil"/>
              <w:bottom w:val="nil"/>
              <w:right w:val="nil"/>
            </w:tcBorders>
            <w:shd w:val="clear" w:color="auto" w:fill="auto"/>
          </w:tcPr>
          <w:p w14:paraId="71237079" w14:textId="77777777" w:rsidR="00A82B12" w:rsidRPr="004362B1" w:rsidRDefault="00A82B12" w:rsidP="00EB1206">
            <w:pPr>
              <w:spacing w:before="40" w:after="40"/>
              <w:rPr>
                <w:sz w:val="22"/>
                <w:lang w:val="en-US"/>
              </w:rPr>
            </w:pPr>
            <w:r>
              <w:rPr>
                <w:sz w:val="22"/>
                <w:lang w:val="en-US"/>
              </w:rPr>
              <w:t>81</w:t>
            </w:r>
            <w:r w:rsidRPr="004362B1">
              <w:rPr>
                <w:sz w:val="22"/>
                <w:lang w:val="en-US"/>
              </w:rPr>
              <w:t xml:space="preserve"> (</w:t>
            </w:r>
            <w:r>
              <w:rPr>
                <w:sz w:val="22"/>
                <w:lang w:val="en-US"/>
              </w:rPr>
              <w:t>68.</w:t>
            </w:r>
            <w:r w:rsidRPr="000813CE">
              <w:rPr>
                <w:sz w:val="22"/>
                <w:lang w:val="en-US"/>
              </w:rPr>
              <w:t>6</w:t>
            </w:r>
            <w:r w:rsidRPr="004362B1">
              <w:rPr>
                <w:sz w:val="22"/>
                <w:lang w:val="en-US"/>
              </w:rPr>
              <w:t>%)</w:t>
            </w:r>
          </w:p>
        </w:tc>
        <w:tc>
          <w:tcPr>
            <w:tcW w:w="1796" w:type="dxa"/>
            <w:gridSpan w:val="2"/>
            <w:tcBorders>
              <w:top w:val="nil"/>
              <w:left w:val="nil"/>
              <w:bottom w:val="nil"/>
            </w:tcBorders>
            <w:shd w:val="clear" w:color="auto" w:fill="auto"/>
          </w:tcPr>
          <w:p w14:paraId="779ED60D" w14:textId="77777777" w:rsidR="00A82B12" w:rsidRPr="004362B1" w:rsidRDefault="00A82B12" w:rsidP="00EB1206">
            <w:pPr>
              <w:spacing w:before="40" w:after="40"/>
              <w:rPr>
                <w:sz w:val="22"/>
                <w:lang w:val="en-US"/>
              </w:rPr>
            </w:pPr>
            <w:r w:rsidRPr="004362B1">
              <w:rPr>
                <w:sz w:val="22"/>
                <w:lang w:val="en-US"/>
              </w:rPr>
              <w:t>5</w:t>
            </w:r>
            <w:r>
              <w:rPr>
                <w:sz w:val="22"/>
                <w:lang w:val="en-US"/>
              </w:rPr>
              <w:t>4</w:t>
            </w:r>
            <w:r w:rsidRPr="004362B1">
              <w:rPr>
                <w:sz w:val="22"/>
                <w:lang w:val="en-US"/>
              </w:rPr>
              <w:t xml:space="preserve"> (</w:t>
            </w:r>
            <w:r>
              <w:rPr>
                <w:sz w:val="22"/>
                <w:lang w:val="en-US"/>
              </w:rPr>
              <w:t>22.7</w:t>
            </w:r>
            <w:r w:rsidRPr="004362B1">
              <w:rPr>
                <w:sz w:val="22"/>
                <w:lang w:val="en-US"/>
              </w:rPr>
              <w:t>%)</w:t>
            </w:r>
          </w:p>
        </w:tc>
        <w:tc>
          <w:tcPr>
            <w:tcW w:w="1445" w:type="dxa"/>
            <w:tcBorders>
              <w:top w:val="nil"/>
              <w:left w:val="nil"/>
              <w:bottom w:val="nil"/>
              <w:right w:val="nil"/>
            </w:tcBorders>
          </w:tcPr>
          <w:p w14:paraId="2386B9EB" w14:textId="77777777" w:rsidR="00A82B12" w:rsidRPr="004362B1" w:rsidRDefault="00A82B12" w:rsidP="00EB1206">
            <w:pPr>
              <w:spacing w:before="40" w:after="40"/>
              <w:rPr>
                <w:sz w:val="22"/>
                <w:lang w:val="en-US"/>
              </w:rPr>
            </w:pPr>
            <w:r>
              <w:rPr>
                <w:sz w:val="22"/>
                <w:lang w:val="en-US"/>
              </w:rPr>
              <w:t>115 (35.0%)</w:t>
            </w:r>
          </w:p>
        </w:tc>
        <w:tc>
          <w:tcPr>
            <w:tcW w:w="1673" w:type="dxa"/>
            <w:gridSpan w:val="2"/>
            <w:tcBorders>
              <w:top w:val="nil"/>
              <w:left w:val="nil"/>
              <w:bottom w:val="nil"/>
            </w:tcBorders>
          </w:tcPr>
          <w:p w14:paraId="02973654" w14:textId="77777777" w:rsidR="00A82B12" w:rsidRPr="004362B1" w:rsidRDefault="00A82B12" w:rsidP="00EB1206">
            <w:pPr>
              <w:spacing w:before="40" w:after="40"/>
              <w:rPr>
                <w:sz w:val="22"/>
                <w:lang w:val="en-US"/>
              </w:rPr>
            </w:pPr>
            <w:r>
              <w:rPr>
                <w:sz w:val="22"/>
                <w:lang w:val="en-US"/>
              </w:rPr>
              <w:t>72 (21.6%)</w:t>
            </w:r>
          </w:p>
        </w:tc>
      </w:tr>
      <w:tr w:rsidR="00A82B12" w:rsidRPr="004362B1" w14:paraId="136D3145" w14:textId="77777777" w:rsidTr="00616FE6">
        <w:tc>
          <w:tcPr>
            <w:tcW w:w="3085" w:type="dxa"/>
            <w:tcBorders>
              <w:top w:val="nil"/>
              <w:bottom w:val="nil"/>
            </w:tcBorders>
            <w:shd w:val="clear" w:color="auto" w:fill="auto"/>
          </w:tcPr>
          <w:p w14:paraId="2B6ADA75" w14:textId="77777777" w:rsidR="00A82B12" w:rsidRPr="004362B1" w:rsidRDefault="00A82B12" w:rsidP="00EB1206">
            <w:pPr>
              <w:spacing w:before="40" w:after="40"/>
              <w:rPr>
                <w:sz w:val="22"/>
                <w:lang w:val="en-US"/>
              </w:rPr>
            </w:pPr>
            <w:r w:rsidRPr="004362B1">
              <w:rPr>
                <w:sz w:val="22"/>
                <w:lang w:val="en-US"/>
              </w:rPr>
              <w:t>Difference in response (95% Cl)</w:t>
            </w:r>
          </w:p>
        </w:tc>
        <w:tc>
          <w:tcPr>
            <w:tcW w:w="3119" w:type="dxa"/>
            <w:gridSpan w:val="3"/>
            <w:tcBorders>
              <w:top w:val="nil"/>
              <w:bottom w:val="nil"/>
            </w:tcBorders>
            <w:shd w:val="clear" w:color="auto" w:fill="auto"/>
          </w:tcPr>
          <w:p w14:paraId="3D4B76AC" w14:textId="77777777" w:rsidR="00A82B12" w:rsidRPr="004362B1" w:rsidRDefault="00A82B12" w:rsidP="00EB1206">
            <w:pPr>
              <w:spacing w:before="40" w:after="40"/>
              <w:rPr>
                <w:sz w:val="22"/>
                <w:lang w:val="en-US"/>
              </w:rPr>
            </w:pPr>
            <w:r w:rsidRPr="004362B1">
              <w:rPr>
                <w:sz w:val="22"/>
                <w:lang w:val="en-US"/>
              </w:rPr>
              <w:t>45.</w:t>
            </w:r>
            <w:r>
              <w:rPr>
                <w:sz w:val="22"/>
                <w:lang w:val="en-US"/>
              </w:rPr>
              <w:t>95</w:t>
            </w:r>
            <w:r w:rsidRPr="004362B1">
              <w:rPr>
                <w:sz w:val="22"/>
                <w:lang w:val="en-US"/>
              </w:rPr>
              <w:t xml:space="preserve"> [</w:t>
            </w:r>
            <w:r>
              <w:rPr>
                <w:sz w:val="22"/>
                <w:lang w:val="en-US"/>
              </w:rPr>
              <w:t>35.6</w:t>
            </w:r>
            <w:r w:rsidRPr="004362B1">
              <w:rPr>
                <w:sz w:val="22"/>
                <w:lang w:val="en-US"/>
              </w:rPr>
              <w:t>; 56.3]</w:t>
            </w:r>
          </w:p>
        </w:tc>
        <w:tc>
          <w:tcPr>
            <w:tcW w:w="3118" w:type="dxa"/>
            <w:gridSpan w:val="3"/>
            <w:tcBorders>
              <w:top w:val="nil"/>
              <w:bottom w:val="nil"/>
            </w:tcBorders>
          </w:tcPr>
          <w:p w14:paraId="131478DB" w14:textId="77777777" w:rsidR="00A82B12" w:rsidRPr="004362B1" w:rsidRDefault="00A82B12" w:rsidP="00EB1206">
            <w:pPr>
              <w:spacing w:before="40" w:after="40"/>
              <w:rPr>
                <w:sz w:val="22"/>
                <w:lang w:val="en-US"/>
              </w:rPr>
            </w:pPr>
            <w:r>
              <w:rPr>
                <w:sz w:val="22"/>
                <w:lang w:val="en-US"/>
              </w:rPr>
              <w:t>13.33 [6.4; 20.3]</w:t>
            </w:r>
          </w:p>
        </w:tc>
      </w:tr>
      <w:tr w:rsidR="00A82B12" w:rsidRPr="004362B1" w14:paraId="5E5AC7AC" w14:textId="77777777" w:rsidTr="00616FE6">
        <w:tc>
          <w:tcPr>
            <w:tcW w:w="3085" w:type="dxa"/>
            <w:tcBorders>
              <w:top w:val="nil"/>
              <w:bottom w:val="nil"/>
            </w:tcBorders>
            <w:shd w:val="clear" w:color="auto" w:fill="auto"/>
          </w:tcPr>
          <w:p w14:paraId="5F07D106" w14:textId="77777777" w:rsidR="00A82B12" w:rsidRPr="004362B1" w:rsidRDefault="00A82B12" w:rsidP="00EB1206">
            <w:pPr>
              <w:spacing w:before="40" w:after="40"/>
              <w:rPr>
                <w:sz w:val="22"/>
                <w:lang w:val="en-US"/>
              </w:rPr>
            </w:pPr>
            <w:r w:rsidRPr="004362B1">
              <w:rPr>
                <w:sz w:val="22"/>
                <w:lang w:val="en-US"/>
              </w:rPr>
              <w:t>p-value (Chi-squared Test)</w:t>
            </w:r>
          </w:p>
        </w:tc>
        <w:tc>
          <w:tcPr>
            <w:tcW w:w="3119" w:type="dxa"/>
            <w:gridSpan w:val="3"/>
            <w:tcBorders>
              <w:top w:val="nil"/>
              <w:bottom w:val="nil"/>
            </w:tcBorders>
            <w:shd w:val="clear" w:color="auto" w:fill="auto"/>
          </w:tcPr>
          <w:p w14:paraId="49EAAC6B" w14:textId="77777777" w:rsidR="00A82B12" w:rsidRPr="004362B1" w:rsidRDefault="00A82B12" w:rsidP="00EB1206">
            <w:pPr>
              <w:spacing w:before="40" w:after="40"/>
              <w:rPr>
                <w:sz w:val="22"/>
                <w:lang w:val="en-US"/>
              </w:rPr>
            </w:pPr>
            <w:r w:rsidRPr="004362B1">
              <w:rPr>
                <w:sz w:val="22"/>
                <w:lang w:val="en-US"/>
              </w:rPr>
              <w:t>&lt; 0.0001</w:t>
            </w:r>
          </w:p>
        </w:tc>
        <w:tc>
          <w:tcPr>
            <w:tcW w:w="3118" w:type="dxa"/>
            <w:gridSpan w:val="3"/>
            <w:tcBorders>
              <w:top w:val="nil"/>
              <w:bottom w:val="nil"/>
            </w:tcBorders>
          </w:tcPr>
          <w:p w14:paraId="4AE56B86" w14:textId="77777777" w:rsidR="00A82B12" w:rsidRPr="004362B1" w:rsidRDefault="00A82B12" w:rsidP="00EB1206">
            <w:pPr>
              <w:spacing w:before="40" w:after="40"/>
              <w:rPr>
                <w:sz w:val="22"/>
                <w:lang w:val="en-US"/>
              </w:rPr>
            </w:pPr>
            <w:r>
              <w:rPr>
                <w:sz w:val="22"/>
                <w:lang w:val="en-US"/>
              </w:rPr>
              <w:t>&lt; 0.0001</w:t>
            </w:r>
          </w:p>
        </w:tc>
      </w:tr>
      <w:tr w:rsidR="00A82B12" w:rsidRPr="004362B1" w14:paraId="6B739E2F" w14:textId="77777777" w:rsidTr="00616FE6">
        <w:tc>
          <w:tcPr>
            <w:tcW w:w="3085" w:type="dxa"/>
            <w:tcBorders>
              <w:top w:val="nil"/>
              <w:bottom w:val="single" w:sz="4" w:space="0" w:color="auto"/>
            </w:tcBorders>
            <w:shd w:val="clear" w:color="auto" w:fill="auto"/>
          </w:tcPr>
          <w:p w14:paraId="5BAB0313" w14:textId="77777777" w:rsidR="00A82B12" w:rsidRPr="004362B1" w:rsidRDefault="00A82B12" w:rsidP="00EB1206">
            <w:pPr>
              <w:spacing w:before="40" w:after="40"/>
              <w:rPr>
                <w:sz w:val="22"/>
                <w:lang w:val="en-US"/>
              </w:rPr>
            </w:pPr>
            <w:r w:rsidRPr="004362B1">
              <w:rPr>
                <w:sz w:val="22"/>
                <w:lang w:val="en-US"/>
              </w:rPr>
              <w:t>No. of complete responders</w:t>
            </w:r>
            <w:r w:rsidRPr="004362B1">
              <w:rPr>
                <w:sz w:val="22"/>
                <w:vertAlign w:val="superscript"/>
                <w:lang w:val="en-US"/>
              </w:rPr>
              <w:t>‡</w:t>
            </w:r>
            <w:r w:rsidRPr="004362B1">
              <w:rPr>
                <w:sz w:val="22"/>
                <w:lang w:val="en-US"/>
              </w:rPr>
              <w:t xml:space="preserve"> (%)</w:t>
            </w:r>
          </w:p>
        </w:tc>
        <w:tc>
          <w:tcPr>
            <w:tcW w:w="1323" w:type="dxa"/>
            <w:tcBorders>
              <w:top w:val="nil"/>
              <w:bottom w:val="single" w:sz="4" w:space="0" w:color="auto"/>
              <w:right w:val="nil"/>
            </w:tcBorders>
            <w:shd w:val="clear" w:color="auto" w:fill="auto"/>
          </w:tcPr>
          <w:p w14:paraId="4AA1D7D4" w14:textId="77777777" w:rsidR="00A82B12" w:rsidRPr="004362B1" w:rsidRDefault="00A82B12" w:rsidP="00EB1206">
            <w:pPr>
              <w:spacing w:before="40" w:after="40"/>
              <w:rPr>
                <w:sz w:val="22"/>
                <w:lang w:val="en-US"/>
              </w:rPr>
            </w:pPr>
            <w:r w:rsidRPr="004362B1">
              <w:rPr>
                <w:sz w:val="22"/>
                <w:lang w:val="en-US"/>
              </w:rPr>
              <w:t>0 (0.0%)</w:t>
            </w:r>
          </w:p>
        </w:tc>
        <w:tc>
          <w:tcPr>
            <w:tcW w:w="1796" w:type="dxa"/>
            <w:gridSpan w:val="2"/>
            <w:tcBorders>
              <w:top w:val="nil"/>
              <w:left w:val="nil"/>
              <w:bottom w:val="single" w:sz="4" w:space="0" w:color="auto"/>
            </w:tcBorders>
            <w:shd w:val="clear" w:color="auto" w:fill="auto"/>
          </w:tcPr>
          <w:p w14:paraId="3DE1B762" w14:textId="77777777" w:rsidR="00A82B12" w:rsidRPr="004362B1" w:rsidRDefault="00A82B12" w:rsidP="00EB1206">
            <w:pPr>
              <w:spacing w:before="40" w:after="40"/>
              <w:rPr>
                <w:sz w:val="22"/>
                <w:lang w:val="en-US"/>
              </w:rPr>
            </w:pPr>
            <w:r>
              <w:rPr>
                <w:sz w:val="22"/>
                <w:lang w:val="en-US"/>
              </w:rPr>
              <w:t>53</w:t>
            </w:r>
            <w:r w:rsidRPr="004362B1">
              <w:rPr>
                <w:sz w:val="22"/>
                <w:lang w:val="en-US"/>
              </w:rPr>
              <w:t xml:space="preserve"> (22.</w:t>
            </w:r>
            <w:r>
              <w:rPr>
                <w:sz w:val="22"/>
                <w:lang w:val="en-US"/>
              </w:rPr>
              <w:t>3</w:t>
            </w:r>
            <w:r w:rsidRPr="004362B1">
              <w:rPr>
                <w:sz w:val="22"/>
                <w:lang w:val="en-US"/>
              </w:rPr>
              <w:t>%)</w:t>
            </w:r>
          </w:p>
        </w:tc>
        <w:tc>
          <w:tcPr>
            <w:tcW w:w="1445" w:type="dxa"/>
            <w:tcBorders>
              <w:top w:val="nil"/>
              <w:left w:val="nil"/>
              <w:bottom w:val="single" w:sz="4" w:space="0" w:color="auto"/>
              <w:right w:val="nil"/>
            </w:tcBorders>
          </w:tcPr>
          <w:p w14:paraId="1744FC80" w14:textId="77777777" w:rsidR="00A82B12" w:rsidRPr="004362B1" w:rsidRDefault="00A82B12" w:rsidP="00EB1206">
            <w:pPr>
              <w:spacing w:before="40" w:after="40"/>
              <w:rPr>
                <w:sz w:val="22"/>
                <w:lang w:val="en-US"/>
              </w:rPr>
            </w:pPr>
            <w:r>
              <w:rPr>
                <w:sz w:val="22"/>
                <w:lang w:val="en-US"/>
              </w:rPr>
              <w:t>23 (7.0%)</w:t>
            </w:r>
          </w:p>
        </w:tc>
        <w:tc>
          <w:tcPr>
            <w:tcW w:w="1673" w:type="dxa"/>
            <w:gridSpan w:val="2"/>
            <w:tcBorders>
              <w:top w:val="nil"/>
              <w:left w:val="nil"/>
              <w:bottom w:val="single" w:sz="4" w:space="0" w:color="auto"/>
            </w:tcBorders>
          </w:tcPr>
          <w:p w14:paraId="4C97826E" w14:textId="77777777" w:rsidR="00A82B12" w:rsidRPr="004362B1" w:rsidRDefault="00A82B12" w:rsidP="00EB1206">
            <w:pPr>
              <w:spacing w:before="40" w:after="40"/>
              <w:rPr>
                <w:sz w:val="22"/>
                <w:lang w:val="en-US"/>
              </w:rPr>
            </w:pPr>
            <w:r>
              <w:rPr>
                <w:sz w:val="22"/>
                <w:lang w:val="en-US"/>
              </w:rPr>
              <w:t>69 (20.7%)</w:t>
            </w:r>
          </w:p>
        </w:tc>
      </w:tr>
      <w:tr w:rsidR="00A82B12" w:rsidRPr="004362B1" w14:paraId="7D456FA8" w14:textId="77777777" w:rsidTr="00616FE6">
        <w:tc>
          <w:tcPr>
            <w:tcW w:w="3085" w:type="dxa"/>
            <w:tcBorders>
              <w:bottom w:val="nil"/>
            </w:tcBorders>
            <w:shd w:val="clear" w:color="auto" w:fill="auto"/>
          </w:tcPr>
          <w:p w14:paraId="4D886450" w14:textId="77777777" w:rsidR="00A82B12" w:rsidRPr="004362B1" w:rsidRDefault="00A82B12" w:rsidP="00EB1206">
            <w:pPr>
              <w:spacing w:before="40" w:after="40"/>
              <w:rPr>
                <w:sz w:val="22"/>
                <w:lang w:val="en-US"/>
              </w:rPr>
            </w:pPr>
            <w:r w:rsidRPr="004362B1">
              <w:rPr>
                <w:b/>
                <w:i/>
                <w:sz w:val="22"/>
                <w:lang w:val="en-US"/>
              </w:rPr>
              <w:t>Molecular Remission at end of treatment</w:t>
            </w:r>
            <w:r w:rsidRPr="004362B1">
              <w:rPr>
                <w:sz w:val="22"/>
                <w:vertAlign w:val="superscript"/>
                <w:lang w:val="en-US"/>
              </w:rPr>
              <w:t>§</w:t>
            </w:r>
          </w:p>
        </w:tc>
        <w:tc>
          <w:tcPr>
            <w:tcW w:w="1323" w:type="dxa"/>
            <w:tcBorders>
              <w:bottom w:val="nil"/>
              <w:right w:val="nil"/>
            </w:tcBorders>
            <w:shd w:val="clear" w:color="auto" w:fill="auto"/>
          </w:tcPr>
          <w:p w14:paraId="047D38FE" w14:textId="77777777" w:rsidR="00A82B12" w:rsidRPr="004362B1" w:rsidRDefault="00A82B12" w:rsidP="00EB1206">
            <w:pPr>
              <w:spacing w:before="40" w:after="40"/>
              <w:rPr>
                <w:sz w:val="22"/>
                <w:lang w:val="en-US"/>
              </w:rPr>
            </w:pPr>
          </w:p>
        </w:tc>
        <w:tc>
          <w:tcPr>
            <w:tcW w:w="1796" w:type="dxa"/>
            <w:gridSpan w:val="2"/>
            <w:tcBorders>
              <w:left w:val="nil"/>
              <w:bottom w:val="nil"/>
            </w:tcBorders>
            <w:shd w:val="clear" w:color="auto" w:fill="auto"/>
          </w:tcPr>
          <w:p w14:paraId="53001947" w14:textId="77777777" w:rsidR="00A82B12" w:rsidRPr="004362B1" w:rsidRDefault="00A82B12" w:rsidP="00EB1206">
            <w:pPr>
              <w:spacing w:before="40" w:after="40"/>
              <w:rPr>
                <w:sz w:val="22"/>
                <w:lang w:val="en-US"/>
              </w:rPr>
            </w:pPr>
          </w:p>
        </w:tc>
        <w:tc>
          <w:tcPr>
            <w:tcW w:w="1445" w:type="dxa"/>
            <w:tcBorders>
              <w:left w:val="nil"/>
              <w:bottom w:val="nil"/>
              <w:right w:val="nil"/>
            </w:tcBorders>
          </w:tcPr>
          <w:p w14:paraId="45D68AB1" w14:textId="77777777" w:rsidR="00A82B12" w:rsidRPr="004362B1" w:rsidRDefault="00A82B12" w:rsidP="00EB1206">
            <w:pPr>
              <w:spacing w:before="40" w:after="40"/>
              <w:rPr>
                <w:sz w:val="22"/>
                <w:lang w:val="en-US"/>
              </w:rPr>
            </w:pPr>
          </w:p>
        </w:tc>
        <w:tc>
          <w:tcPr>
            <w:tcW w:w="1673" w:type="dxa"/>
            <w:gridSpan w:val="2"/>
            <w:tcBorders>
              <w:left w:val="nil"/>
              <w:bottom w:val="nil"/>
            </w:tcBorders>
          </w:tcPr>
          <w:p w14:paraId="5293703B" w14:textId="77777777" w:rsidR="00A82B12" w:rsidRPr="004362B1" w:rsidRDefault="00A82B12" w:rsidP="00EB1206">
            <w:pPr>
              <w:spacing w:before="40" w:after="40"/>
              <w:rPr>
                <w:sz w:val="22"/>
                <w:lang w:val="en-US"/>
              </w:rPr>
            </w:pPr>
          </w:p>
        </w:tc>
      </w:tr>
      <w:tr w:rsidR="00A82B12" w:rsidRPr="004362B1" w14:paraId="781E84AD" w14:textId="77777777" w:rsidTr="00616FE6">
        <w:tc>
          <w:tcPr>
            <w:tcW w:w="3085" w:type="dxa"/>
            <w:tcBorders>
              <w:top w:val="nil"/>
              <w:bottom w:val="nil"/>
            </w:tcBorders>
            <w:shd w:val="clear" w:color="auto" w:fill="auto"/>
          </w:tcPr>
          <w:p w14:paraId="6BD97345" w14:textId="77777777" w:rsidR="00A82B12" w:rsidRPr="004362B1" w:rsidRDefault="00A82B12" w:rsidP="00EB1206">
            <w:pPr>
              <w:spacing w:before="40" w:after="40"/>
              <w:rPr>
                <w:sz w:val="22"/>
                <w:lang w:val="en-US"/>
              </w:rPr>
            </w:pPr>
            <w:r w:rsidRPr="004362B1">
              <w:rPr>
                <w:sz w:val="22"/>
                <w:lang w:val="en-US"/>
              </w:rPr>
              <w:t>No. of patients included in the analysis</w:t>
            </w:r>
          </w:p>
        </w:tc>
        <w:tc>
          <w:tcPr>
            <w:tcW w:w="1323" w:type="dxa"/>
            <w:tcBorders>
              <w:top w:val="nil"/>
              <w:bottom w:val="nil"/>
              <w:right w:val="nil"/>
            </w:tcBorders>
            <w:shd w:val="clear" w:color="auto" w:fill="auto"/>
          </w:tcPr>
          <w:p w14:paraId="102805FF" w14:textId="77777777" w:rsidR="00A82B12" w:rsidRPr="004362B1" w:rsidRDefault="00A82B12" w:rsidP="00EB1206">
            <w:pPr>
              <w:spacing w:before="40" w:after="40"/>
              <w:rPr>
                <w:sz w:val="22"/>
                <w:lang w:val="en-US"/>
              </w:rPr>
            </w:pPr>
            <w:r>
              <w:rPr>
                <w:sz w:val="22"/>
                <w:lang w:val="en-US"/>
              </w:rPr>
              <w:t>9</w:t>
            </w:r>
            <w:r w:rsidRPr="004362B1">
              <w:rPr>
                <w:sz w:val="22"/>
                <w:lang w:val="en-US"/>
              </w:rPr>
              <w:t>0</w:t>
            </w:r>
          </w:p>
        </w:tc>
        <w:tc>
          <w:tcPr>
            <w:tcW w:w="1796" w:type="dxa"/>
            <w:gridSpan w:val="2"/>
            <w:tcBorders>
              <w:top w:val="nil"/>
              <w:left w:val="nil"/>
              <w:bottom w:val="nil"/>
            </w:tcBorders>
            <w:shd w:val="clear" w:color="auto" w:fill="auto"/>
          </w:tcPr>
          <w:p w14:paraId="6A7AB8B6" w14:textId="77777777" w:rsidR="00A82B12" w:rsidRPr="00581C0E" w:rsidRDefault="00A82B12" w:rsidP="00EB1206">
            <w:pPr>
              <w:spacing w:before="40" w:after="40"/>
              <w:rPr>
                <w:sz w:val="22"/>
                <w:lang w:val="en-US"/>
              </w:rPr>
            </w:pPr>
            <w:r>
              <w:rPr>
                <w:sz w:val="22"/>
                <w:lang w:val="en-US"/>
              </w:rPr>
              <w:t>168</w:t>
            </w:r>
          </w:p>
        </w:tc>
        <w:tc>
          <w:tcPr>
            <w:tcW w:w="1445" w:type="dxa"/>
            <w:tcBorders>
              <w:top w:val="nil"/>
              <w:left w:val="nil"/>
              <w:bottom w:val="nil"/>
              <w:right w:val="nil"/>
            </w:tcBorders>
          </w:tcPr>
          <w:p w14:paraId="010D1D59" w14:textId="77777777" w:rsidR="00A82B12" w:rsidRPr="004362B1" w:rsidRDefault="00A82B12" w:rsidP="00EB1206">
            <w:pPr>
              <w:spacing w:before="40" w:after="40"/>
              <w:rPr>
                <w:sz w:val="22"/>
                <w:lang w:val="en-US"/>
              </w:rPr>
            </w:pPr>
            <w:r>
              <w:rPr>
                <w:sz w:val="22"/>
                <w:lang w:val="en-US"/>
              </w:rPr>
              <w:t>244</w:t>
            </w:r>
          </w:p>
        </w:tc>
        <w:tc>
          <w:tcPr>
            <w:tcW w:w="1673" w:type="dxa"/>
            <w:gridSpan w:val="2"/>
            <w:tcBorders>
              <w:top w:val="nil"/>
              <w:left w:val="nil"/>
              <w:bottom w:val="nil"/>
            </w:tcBorders>
          </w:tcPr>
          <w:p w14:paraId="6F2BA324" w14:textId="77777777" w:rsidR="00A82B12" w:rsidRPr="004362B1" w:rsidRDefault="00A82B12" w:rsidP="00EB1206">
            <w:pPr>
              <w:spacing w:before="40" w:after="40"/>
              <w:rPr>
                <w:sz w:val="22"/>
                <w:lang w:val="en-US"/>
              </w:rPr>
            </w:pPr>
            <w:r>
              <w:rPr>
                <w:sz w:val="22"/>
                <w:lang w:val="en-US"/>
              </w:rPr>
              <w:t>239</w:t>
            </w:r>
          </w:p>
        </w:tc>
      </w:tr>
      <w:tr w:rsidR="00A82B12" w:rsidRPr="004362B1" w14:paraId="78CF7195" w14:textId="77777777" w:rsidTr="00616FE6">
        <w:tc>
          <w:tcPr>
            <w:tcW w:w="3085" w:type="dxa"/>
            <w:tcBorders>
              <w:top w:val="nil"/>
              <w:bottom w:val="nil"/>
            </w:tcBorders>
            <w:shd w:val="clear" w:color="auto" w:fill="auto"/>
          </w:tcPr>
          <w:p w14:paraId="45D4DC1B" w14:textId="77777777" w:rsidR="00A82B12" w:rsidRPr="004362B1" w:rsidRDefault="00A82B12" w:rsidP="00EB1206">
            <w:pPr>
              <w:spacing w:before="40" w:after="40"/>
              <w:rPr>
                <w:sz w:val="22"/>
                <w:lang w:val="en-US"/>
              </w:rPr>
            </w:pPr>
            <w:r w:rsidRPr="004362B1">
              <w:rPr>
                <w:sz w:val="22"/>
                <w:lang w:val="en-US"/>
              </w:rPr>
              <w:t>MRD negative</w:t>
            </w:r>
            <w:r w:rsidRPr="004362B1">
              <w:rPr>
                <w:sz w:val="22"/>
                <w:vertAlign w:val="superscript"/>
                <w:lang w:val="en-US"/>
              </w:rPr>
              <w:t>¶</w:t>
            </w:r>
            <w:r w:rsidRPr="004362B1">
              <w:rPr>
                <w:sz w:val="22"/>
                <w:lang w:val="en-US"/>
              </w:rPr>
              <w:t xml:space="preserve"> (%)</w:t>
            </w:r>
          </w:p>
        </w:tc>
        <w:tc>
          <w:tcPr>
            <w:tcW w:w="1323" w:type="dxa"/>
            <w:tcBorders>
              <w:top w:val="nil"/>
              <w:bottom w:val="nil"/>
              <w:right w:val="nil"/>
            </w:tcBorders>
            <w:shd w:val="clear" w:color="auto" w:fill="auto"/>
          </w:tcPr>
          <w:p w14:paraId="120CCA02" w14:textId="77777777" w:rsidR="00A82B12" w:rsidRPr="004362B1" w:rsidRDefault="00A82B12" w:rsidP="00EB1206">
            <w:pPr>
              <w:spacing w:before="40" w:after="40"/>
              <w:rPr>
                <w:sz w:val="22"/>
                <w:lang w:val="en-US"/>
              </w:rPr>
            </w:pPr>
            <w:r w:rsidRPr="004362B1">
              <w:rPr>
                <w:sz w:val="22"/>
                <w:lang w:val="en-US"/>
              </w:rPr>
              <w:t>0 (0%)</w:t>
            </w:r>
          </w:p>
        </w:tc>
        <w:tc>
          <w:tcPr>
            <w:tcW w:w="1796" w:type="dxa"/>
            <w:gridSpan w:val="2"/>
            <w:tcBorders>
              <w:top w:val="nil"/>
              <w:left w:val="nil"/>
              <w:bottom w:val="nil"/>
            </w:tcBorders>
            <w:shd w:val="clear" w:color="auto" w:fill="auto"/>
          </w:tcPr>
          <w:p w14:paraId="0FAE6C2C" w14:textId="77777777" w:rsidR="00A82B12" w:rsidRPr="004362B1" w:rsidRDefault="00A82B12" w:rsidP="00EB1206">
            <w:pPr>
              <w:spacing w:before="40" w:after="40"/>
              <w:rPr>
                <w:sz w:val="22"/>
                <w:lang w:val="en-US"/>
              </w:rPr>
            </w:pPr>
            <w:r>
              <w:rPr>
                <w:sz w:val="22"/>
                <w:lang w:val="en-US"/>
              </w:rPr>
              <w:t>45</w:t>
            </w:r>
            <w:r w:rsidRPr="004362B1">
              <w:rPr>
                <w:sz w:val="22"/>
                <w:lang w:val="en-US"/>
              </w:rPr>
              <w:t xml:space="preserve"> (</w:t>
            </w:r>
            <w:r>
              <w:rPr>
                <w:sz w:val="22"/>
                <w:lang w:val="en-US"/>
              </w:rPr>
              <w:t>26.8</w:t>
            </w:r>
            <w:r w:rsidRPr="004362B1">
              <w:rPr>
                <w:sz w:val="22"/>
                <w:lang w:val="en-US"/>
              </w:rPr>
              <w:t>%)</w:t>
            </w:r>
          </w:p>
        </w:tc>
        <w:tc>
          <w:tcPr>
            <w:tcW w:w="1445" w:type="dxa"/>
            <w:tcBorders>
              <w:top w:val="nil"/>
              <w:left w:val="nil"/>
              <w:bottom w:val="nil"/>
              <w:right w:val="nil"/>
            </w:tcBorders>
          </w:tcPr>
          <w:p w14:paraId="3178855D" w14:textId="77777777" w:rsidR="00A82B12" w:rsidRPr="004362B1" w:rsidRDefault="00A82B12" w:rsidP="00EB1206">
            <w:pPr>
              <w:spacing w:before="40" w:after="40"/>
              <w:rPr>
                <w:sz w:val="22"/>
                <w:lang w:val="en-US"/>
              </w:rPr>
            </w:pPr>
            <w:r>
              <w:rPr>
                <w:sz w:val="22"/>
                <w:lang w:val="en-US"/>
              </w:rPr>
              <w:t>6 (2.5%)</w:t>
            </w:r>
          </w:p>
        </w:tc>
        <w:tc>
          <w:tcPr>
            <w:tcW w:w="1673" w:type="dxa"/>
            <w:gridSpan w:val="2"/>
            <w:tcBorders>
              <w:top w:val="nil"/>
              <w:left w:val="nil"/>
              <w:bottom w:val="nil"/>
            </w:tcBorders>
          </w:tcPr>
          <w:p w14:paraId="77A10F28" w14:textId="77777777" w:rsidR="00A82B12" w:rsidRPr="004362B1" w:rsidRDefault="00A82B12" w:rsidP="00EB1206">
            <w:pPr>
              <w:spacing w:before="40" w:after="40"/>
              <w:rPr>
                <w:sz w:val="22"/>
                <w:lang w:val="en-US"/>
              </w:rPr>
            </w:pPr>
            <w:r>
              <w:rPr>
                <w:sz w:val="22"/>
                <w:lang w:val="en-US"/>
              </w:rPr>
              <w:t>61 (25.5%)</w:t>
            </w:r>
          </w:p>
        </w:tc>
      </w:tr>
      <w:tr w:rsidR="00A82B12" w:rsidRPr="004362B1" w14:paraId="4779F5DE" w14:textId="77777777" w:rsidTr="00616FE6">
        <w:tc>
          <w:tcPr>
            <w:tcW w:w="3085" w:type="dxa"/>
            <w:tcBorders>
              <w:top w:val="nil"/>
              <w:bottom w:val="nil"/>
            </w:tcBorders>
            <w:shd w:val="clear" w:color="auto" w:fill="auto"/>
          </w:tcPr>
          <w:p w14:paraId="49454B4D" w14:textId="77777777" w:rsidR="00A82B12" w:rsidRPr="004362B1" w:rsidRDefault="00A82B12" w:rsidP="00EB1206">
            <w:pPr>
              <w:spacing w:before="40" w:after="40"/>
              <w:rPr>
                <w:sz w:val="22"/>
                <w:lang w:val="en-US"/>
              </w:rPr>
            </w:pPr>
            <w:r w:rsidRPr="004362B1">
              <w:rPr>
                <w:sz w:val="22"/>
                <w:lang w:val="en-US"/>
              </w:rPr>
              <w:t>MRD positive</w:t>
            </w:r>
            <w:r w:rsidRPr="004362B1">
              <w:rPr>
                <w:sz w:val="22"/>
                <w:vertAlign w:val="superscript"/>
                <w:lang w:val="en-US"/>
              </w:rPr>
              <w:t>\\</w:t>
            </w:r>
            <w:r w:rsidRPr="004362B1">
              <w:rPr>
                <w:sz w:val="22"/>
                <w:lang w:val="en-US"/>
              </w:rPr>
              <w:t xml:space="preserve"> (%)</w:t>
            </w:r>
          </w:p>
        </w:tc>
        <w:tc>
          <w:tcPr>
            <w:tcW w:w="1323" w:type="dxa"/>
            <w:tcBorders>
              <w:top w:val="nil"/>
              <w:bottom w:val="nil"/>
              <w:right w:val="nil"/>
            </w:tcBorders>
            <w:shd w:val="clear" w:color="auto" w:fill="auto"/>
          </w:tcPr>
          <w:p w14:paraId="0266B1A7" w14:textId="77777777" w:rsidR="00A82B12" w:rsidRPr="004362B1" w:rsidRDefault="00A82B12" w:rsidP="00EB1206">
            <w:pPr>
              <w:spacing w:before="40" w:after="40"/>
              <w:rPr>
                <w:sz w:val="22"/>
                <w:lang w:val="en-US"/>
              </w:rPr>
            </w:pPr>
            <w:r>
              <w:rPr>
                <w:sz w:val="22"/>
                <w:lang w:val="en-US"/>
              </w:rPr>
              <w:t>9</w:t>
            </w:r>
            <w:r w:rsidRPr="004362B1">
              <w:rPr>
                <w:sz w:val="22"/>
                <w:lang w:val="en-US"/>
              </w:rPr>
              <w:t>0 (100%)</w:t>
            </w:r>
          </w:p>
        </w:tc>
        <w:tc>
          <w:tcPr>
            <w:tcW w:w="1796" w:type="dxa"/>
            <w:gridSpan w:val="2"/>
            <w:tcBorders>
              <w:top w:val="nil"/>
              <w:left w:val="nil"/>
              <w:bottom w:val="nil"/>
            </w:tcBorders>
            <w:shd w:val="clear" w:color="auto" w:fill="auto"/>
          </w:tcPr>
          <w:p w14:paraId="38B9FDA1" w14:textId="77777777" w:rsidR="00A82B12" w:rsidRPr="004362B1" w:rsidRDefault="00A82B12" w:rsidP="00EB1206">
            <w:pPr>
              <w:spacing w:before="40" w:after="40"/>
              <w:rPr>
                <w:sz w:val="22"/>
                <w:lang w:val="en-US"/>
              </w:rPr>
            </w:pPr>
            <w:r>
              <w:rPr>
                <w:sz w:val="22"/>
                <w:lang w:val="en-US"/>
              </w:rPr>
              <w:t>123</w:t>
            </w:r>
            <w:r w:rsidRPr="004362B1">
              <w:rPr>
                <w:sz w:val="22"/>
                <w:lang w:val="en-US"/>
              </w:rPr>
              <w:t xml:space="preserve"> (</w:t>
            </w:r>
            <w:r>
              <w:rPr>
                <w:sz w:val="22"/>
                <w:lang w:val="en-US"/>
              </w:rPr>
              <w:t>73.2</w:t>
            </w:r>
            <w:r w:rsidRPr="004362B1">
              <w:rPr>
                <w:sz w:val="22"/>
                <w:lang w:val="en-US"/>
              </w:rPr>
              <w:t>%)</w:t>
            </w:r>
          </w:p>
        </w:tc>
        <w:tc>
          <w:tcPr>
            <w:tcW w:w="1445" w:type="dxa"/>
            <w:tcBorders>
              <w:top w:val="nil"/>
              <w:left w:val="nil"/>
              <w:bottom w:val="nil"/>
              <w:right w:val="nil"/>
            </w:tcBorders>
          </w:tcPr>
          <w:p w14:paraId="5243D88A" w14:textId="77777777" w:rsidR="00A82B12" w:rsidRPr="004362B1" w:rsidRDefault="00A82B12" w:rsidP="00EB1206">
            <w:pPr>
              <w:spacing w:before="40" w:after="40"/>
              <w:rPr>
                <w:sz w:val="22"/>
                <w:lang w:val="en-US"/>
              </w:rPr>
            </w:pPr>
            <w:r>
              <w:rPr>
                <w:sz w:val="22"/>
                <w:lang w:val="en-US"/>
              </w:rPr>
              <w:t>238 (97.5%)</w:t>
            </w:r>
          </w:p>
        </w:tc>
        <w:tc>
          <w:tcPr>
            <w:tcW w:w="1673" w:type="dxa"/>
            <w:gridSpan w:val="2"/>
            <w:tcBorders>
              <w:top w:val="nil"/>
              <w:left w:val="nil"/>
              <w:bottom w:val="nil"/>
            </w:tcBorders>
          </w:tcPr>
          <w:p w14:paraId="0FD708D1" w14:textId="77777777" w:rsidR="00A82B12" w:rsidRPr="004362B1" w:rsidRDefault="00A82B12" w:rsidP="00EB1206">
            <w:pPr>
              <w:spacing w:before="40" w:after="40"/>
              <w:rPr>
                <w:sz w:val="22"/>
                <w:lang w:val="en-US"/>
              </w:rPr>
            </w:pPr>
            <w:r>
              <w:rPr>
                <w:sz w:val="22"/>
                <w:lang w:val="en-US"/>
              </w:rPr>
              <w:t>178 (74.5%)</w:t>
            </w:r>
          </w:p>
        </w:tc>
      </w:tr>
      <w:tr w:rsidR="00A82B12" w:rsidRPr="004362B1" w14:paraId="7EC2A17B" w14:textId="77777777" w:rsidTr="00616FE6">
        <w:tc>
          <w:tcPr>
            <w:tcW w:w="3085" w:type="dxa"/>
            <w:tcBorders>
              <w:top w:val="nil"/>
              <w:bottom w:val="single" w:sz="4" w:space="0" w:color="auto"/>
            </w:tcBorders>
            <w:shd w:val="clear" w:color="auto" w:fill="auto"/>
          </w:tcPr>
          <w:p w14:paraId="2CDA2B7A" w14:textId="77777777" w:rsidR="00A82B12" w:rsidRPr="004362B1" w:rsidRDefault="00A82B12" w:rsidP="00EB1206">
            <w:pPr>
              <w:spacing w:before="40" w:after="40"/>
              <w:rPr>
                <w:sz w:val="22"/>
                <w:lang w:val="en-US"/>
              </w:rPr>
            </w:pPr>
            <w:r w:rsidRPr="004362B1">
              <w:rPr>
                <w:sz w:val="22"/>
                <w:lang w:val="en-US"/>
              </w:rPr>
              <w:t>Difference in MRD</w:t>
            </w:r>
            <w:r w:rsidRPr="00581C0E">
              <w:rPr>
                <w:sz w:val="22"/>
                <w:lang w:val="en-US"/>
              </w:rPr>
              <w:t xml:space="preserve"> </w:t>
            </w:r>
            <w:r w:rsidRPr="004362B1">
              <w:rPr>
                <w:sz w:val="22"/>
                <w:lang w:val="en-US"/>
              </w:rPr>
              <w:t>(95% Cl)</w:t>
            </w:r>
          </w:p>
        </w:tc>
        <w:tc>
          <w:tcPr>
            <w:tcW w:w="3119" w:type="dxa"/>
            <w:gridSpan w:val="3"/>
            <w:tcBorders>
              <w:top w:val="nil"/>
              <w:bottom w:val="single" w:sz="4" w:space="0" w:color="auto"/>
            </w:tcBorders>
            <w:shd w:val="clear" w:color="auto" w:fill="auto"/>
          </w:tcPr>
          <w:p w14:paraId="48C2BB64" w14:textId="77777777" w:rsidR="00A82B12" w:rsidRPr="00581C0E" w:rsidRDefault="00A82B12" w:rsidP="00EB1206">
            <w:pPr>
              <w:spacing w:before="40" w:after="40"/>
              <w:rPr>
                <w:sz w:val="22"/>
                <w:lang w:val="en-US"/>
              </w:rPr>
            </w:pPr>
            <w:r>
              <w:rPr>
                <w:sz w:val="22"/>
                <w:lang w:val="en-US"/>
              </w:rPr>
              <w:t>26.79 [19.5; 34.1]</w:t>
            </w:r>
          </w:p>
        </w:tc>
        <w:tc>
          <w:tcPr>
            <w:tcW w:w="3118" w:type="dxa"/>
            <w:gridSpan w:val="3"/>
            <w:tcBorders>
              <w:top w:val="nil"/>
              <w:bottom w:val="single" w:sz="4" w:space="0" w:color="auto"/>
            </w:tcBorders>
          </w:tcPr>
          <w:p w14:paraId="719BBD86" w14:textId="77777777" w:rsidR="00A82B12" w:rsidRPr="004362B1" w:rsidRDefault="00A82B12" w:rsidP="00EB1206">
            <w:pPr>
              <w:spacing w:before="40" w:after="40"/>
              <w:rPr>
                <w:sz w:val="22"/>
                <w:lang w:val="en-US"/>
              </w:rPr>
            </w:pPr>
            <w:r>
              <w:rPr>
                <w:sz w:val="22"/>
                <w:lang w:val="en-US"/>
              </w:rPr>
              <w:t>23.06 [17.0; 29.1]</w:t>
            </w:r>
          </w:p>
        </w:tc>
      </w:tr>
      <w:tr w:rsidR="00A82B12" w:rsidRPr="004362B1" w14:paraId="30FE6414" w14:textId="77777777" w:rsidTr="00616FE6">
        <w:tc>
          <w:tcPr>
            <w:tcW w:w="3085" w:type="dxa"/>
            <w:tcBorders>
              <w:bottom w:val="nil"/>
            </w:tcBorders>
            <w:shd w:val="clear" w:color="auto" w:fill="auto"/>
          </w:tcPr>
          <w:p w14:paraId="0BB9E9CB" w14:textId="77777777" w:rsidR="00A82B12" w:rsidRPr="004362B1" w:rsidRDefault="00A82B12" w:rsidP="00EB1206">
            <w:pPr>
              <w:spacing w:before="40" w:after="40"/>
              <w:rPr>
                <w:b/>
                <w:i/>
                <w:sz w:val="22"/>
                <w:lang w:val="en-US"/>
              </w:rPr>
            </w:pPr>
            <w:r w:rsidRPr="004362B1">
              <w:rPr>
                <w:b/>
                <w:i/>
                <w:sz w:val="22"/>
                <w:lang w:val="en-US"/>
              </w:rPr>
              <w:t>Event Free Survival</w:t>
            </w:r>
          </w:p>
        </w:tc>
        <w:tc>
          <w:tcPr>
            <w:tcW w:w="1323" w:type="dxa"/>
            <w:tcBorders>
              <w:bottom w:val="nil"/>
              <w:right w:val="nil"/>
            </w:tcBorders>
            <w:shd w:val="clear" w:color="auto" w:fill="auto"/>
          </w:tcPr>
          <w:p w14:paraId="764AB8D4" w14:textId="77777777" w:rsidR="00A82B12" w:rsidRPr="004362B1" w:rsidRDefault="00A82B12" w:rsidP="00EB1206">
            <w:pPr>
              <w:spacing w:before="40" w:after="40"/>
              <w:rPr>
                <w:sz w:val="22"/>
                <w:lang w:val="en-US"/>
              </w:rPr>
            </w:pPr>
          </w:p>
        </w:tc>
        <w:tc>
          <w:tcPr>
            <w:tcW w:w="1796" w:type="dxa"/>
            <w:gridSpan w:val="2"/>
            <w:tcBorders>
              <w:left w:val="nil"/>
              <w:bottom w:val="nil"/>
            </w:tcBorders>
            <w:shd w:val="clear" w:color="auto" w:fill="auto"/>
          </w:tcPr>
          <w:p w14:paraId="2BA1A40A" w14:textId="77777777" w:rsidR="00A82B12" w:rsidRPr="004362B1" w:rsidRDefault="00A82B12" w:rsidP="00EB1206">
            <w:pPr>
              <w:spacing w:before="40" w:after="40"/>
              <w:rPr>
                <w:sz w:val="22"/>
                <w:lang w:val="en-US"/>
              </w:rPr>
            </w:pPr>
          </w:p>
        </w:tc>
        <w:tc>
          <w:tcPr>
            <w:tcW w:w="1445" w:type="dxa"/>
            <w:tcBorders>
              <w:left w:val="nil"/>
              <w:bottom w:val="nil"/>
              <w:right w:val="nil"/>
            </w:tcBorders>
          </w:tcPr>
          <w:p w14:paraId="731ED365" w14:textId="77777777" w:rsidR="00A82B12" w:rsidRPr="004362B1" w:rsidRDefault="00A82B12" w:rsidP="00EB1206">
            <w:pPr>
              <w:spacing w:before="40" w:after="40"/>
              <w:rPr>
                <w:sz w:val="22"/>
                <w:lang w:val="en-US"/>
              </w:rPr>
            </w:pPr>
          </w:p>
        </w:tc>
        <w:tc>
          <w:tcPr>
            <w:tcW w:w="1673" w:type="dxa"/>
            <w:gridSpan w:val="2"/>
            <w:tcBorders>
              <w:left w:val="nil"/>
              <w:bottom w:val="nil"/>
            </w:tcBorders>
          </w:tcPr>
          <w:p w14:paraId="00A0B9A3" w14:textId="77777777" w:rsidR="00A82B12" w:rsidRPr="004362B1" w:rsidRDefault="00A82B12" w:rsidP="00EB1206">
            <w:pPr>
              <w:spacing w:before="40" w:after="40"/>
              <w:rPr>
                <w:sz w:val="22"/>
                <w:lang w:val="en-US"/>
              </w:rPr>
            </w:pPr>
          </w:p>
        </w:tc>
      </w:tr>
      <w:tr w:rsidR="00A82B12" w:rsidRPr="004362B1" w14:paraId="7440E743" w14:textId="77777777" w:rsidTr="00616FE6">
        <w:tc>
          <w:tcPr>
            <w:tcW w:w="3085" w:type="dxa"/>
            <w:tcBorders>
              <w:top w:val="nil"/>
              <w:bottom w:val="nil"/>
            </w:tcBorders>
            <w:shd w:val="clear" w:color="auto" w:fill="auto"/>
          </w:tcPr>
          <w:p w14:paraId="2A522025" w14:textId="77777777" w:rsidR="00A82B12" w:rsidRPr="004362B1" w:rsidRDefault="00A82B12" w:rsidP="00EB1206">
            <w:pPr>
              <w:spacing w:before="40" w:after="40"/>
              <w:rPr>
                <w:sz w:val="22"/>
                <w:lang w:val="en-US"/>
              </w:rPr>
            </w:pPr>
            <w:r w:rsidRPr="004362B1">
              <w:rPr>
                <w:sz w:val="22"/>
                <w:lang w:val="en-US"/>
              </w:rPr>
              <w:t>No. (%) of patients with event</w:t>
            </w:r>
          </w:p>
        </w:tc>
        <w:tc>
          <w:tcPr>
            <w:tcW w:w="1323" w:type="dxa"/>
            <w:tcBorders>
              <w:top w:val="nil"/>
              <w:bottom w:val="nil"/>
              <w:right w:val="nil"/>
            </w:tcBorders>
            <w:shd w:val="clear" w:color="auto" w:fill="auto"/>
          </w:tcPr>
          <w:p w14:paraId="2BA7F85B" w14:textId="77777777" w:rsidR="00A82B12" w:rsidRPr="004362B1" w:rsidRDefault="00A82B12" w:rsidP="00EB1206">
            <w:pPr>
              <w:spacing w:before="40" w:after="40"/>
              <w:rPr>
                <w:sz w:val="22"/>
                <w:lang w:val="en-US"/>
              </w:rPr>
            </w:pPr>
            <w:r>
              <w:rPr>
                <w:sz w:val="22"/>
                <w:lang w:val="en-US"/>
              </w:rPr>
              <w:t>103</w:t>
            </w:r>
            <w:r w:rsidRPr="004362B1">
              <w:rPr>
                <w:sz w:val="22"/>
                <w:lang w:val="en-US"/>
              </w:rPr>
              <w:t xml:space="preserve"> (</w:t>
            </w:r>
            <w:r>
              <w:rPr>
                <w:sz w:val="22"/>
                <w:lang w:val="en-US"/>
              </w:rPr>
              <w:t>87.3</w:t>
            </w:r>
            <w:r w:rsidRPr="004362B1">
              <w:rPr>
                <w:sz w:val="22"/>
                <w:lang w:val="en-US"/>
              </w:rPr>
              <w:t>%)</w:t>
            </w:r>
          </w:p>
        </w:tc>
        <w:tc>
          <w:tcPr>
            <w:tcW w:w="1796" w:type="dxa"/>
            <w:gridSpan w:val="2"/>
            <w:tcBorders>
              <w:top w:val="nil"/>
              <w:left w:val="nil"/>
              <w:bottom w:val="nil"/>
            </w:tcBorders>
            <w:shd w:val="clear" w:color="auto" w:fill="auto"/>
          </w:tcPr>
          <w:p w14:paraId="65EF9323" w14:textId="77777777" w:rsidR="00A82B12" w:rsidRPr="004362B1" w:rsidRDefault="00A82B12" w:rsidP="00EB1206">
            <w:pPr>
              <w:spacing w:before="40" w:after="40"/>
              <w:rPr>
                <w:sz w:val="22"/>
                <w:lang w:val="en-US"/>
              </w:rPr>
            </w:pPr>
            <w:r>
              <w:rPr>
                <w:sz w:val="22"/>
                <w:lang w:val="en-US"/>
              </w:rPr>
              <w:t>104</w:t>
            </w:r>
            <w:r w:rsidRPr="004362B1">
              <w:rPr>
                <w:sz w:val="22"/>
                <w:lang w:val="en-US"/>
              </w:rPr>
              <w:t xml:space="preserve"> (</w:t>
            </w:r>
            <w:r>
              <w:rPr>
                <w:sz w:val="22"/>
                <w:lang w:val="en-US"/>
              </w:rPr>
              <w:t>43.7</w:t>
            </w:r>
            <w:r w:rsidRPr="004362B1">
              <w:rPr>
                <w:sz w:val="22"/>
                <w:lang w:val="en-US"/>
              </w:rPr>
              <w:t>%)</w:t>
            </w:r>
          </w:p>
        </w:tc>
        <w:tc>
          <w:tcPr>
            <w:tcW w:w="1445" w:type="dxa"/>
            <w:tcBorders>
              <w:top w:val="nil"/>
              <w:left w:val="nil"/>
              <w:bottom w:val="nil"/>
              <w:right w:val="nil"/>
            </w:tcBorders>
          </w:tcPr>
          <w:p w14:paraId="32EC8044" w14:textId="77777777" w:rsidR="00A82B12" w:rsidRPr="004362B1" w:rsidRDefault="00A82B12" w:rsidP="00EB1206">
            <w:pPr>
              <w:spacing w:before="40" w:after="40"/>
              <w:rPr>
                <w:sz w:val="22"/>
                <w:lang w:val="en-US"/>
              </w:rPr>
            </w:pPr>
            <w:r>
              <w:rPr>
                <w:sz w:val="22"/>
                <w:lang w:val="en-US"/>
              </w:rPr>
              <w:t>208 (63.0%)</w:t>
            </w:r>
          </w:p>
        </w:tc>
        <w:tc>
          <w:tcPr>
            <w:tcW w:w="1673" w:type="dxa"/>
            <w:gridSpan w:val="2"/>
            <w:tcBorders>
              <w:top w:val="nil"/>
              <w:left w:val="nil"/>
              <w:bottom w:val="nil"/>
            </w:tcBorders>
          </w:tcPr>
          <w:p w14:paraId="36018B11" w14:textId="77777777" w:rsidR="00A82B12" w:rsidRPr="004362B1" w:rsidRDefault="00A82B12" w:rsidP="00EB1206">
            <w:pPr>
              <w:spacing w:before="40" w:after="40"/>
              <w:rPr>
                <w:sz w:val="22"/>
                <w:lang w:val="en-US"/>
              </w:rPr>
            </w:pPr>
            <w:r>
              <w:rPr>
                <w:sz w:val="22"/>
                <w:lang w:val="en-US"/>
              </w:rPr>
              <w:t>118 (35.4%)</w:t>
            </w:r>
          </w:p>
        </w:tc>
      </w:tr>
      <w:tr w:rsidR="00A82B12" w:rsidRPr="004362B1" w14:paraId="5B0B7A8C" w14:textId="77777777" w:rsidTr="00616FE6">
        <w:tc>
          <w:tcPr>
            <w:tcW w:w="3085" w:type="dxa"/>
            <w:tcBorders>
              <w:top w:val="nil"/>
              <w:bottom w:val="nil"/>
            </w:tcBorders>
            <w:shd w:val="clear" w:color="auto" w:fill="auto"/>
          </w:tcPr>
          <w:p w14:paraId="78F4D83E" w14:textId="77777777" w:rsidR="00A82B12" w:rsidRPr="004362B1" w:rsidRDefault="00A82B12" w:rsidP="00EB1206">
            <w:pPr>
              <w:spacing w:before="40" w:after="40"/>
              <w:rPr>
                <w:sz w:val="22"/>
                <w:lang w:val="en-US"/>
              </w:rPr>
            </w:pPr>
            <w:r w:rsidRPr="004362B1">
              <w:rPr>
                <w:sz w:val="22"/>
                <w:lang w:val="en-US"/>
              </w:rPr>
              <w:t>Median time to event (months)</w:t>
            </w:r>
          </w:p>
        </w:tc>
        <w:tc>
          <w:tcPr>
            <w:tcW w:w="1323" w:type="dxa"/>
            <w:tcBorders>
              <w:top w:val="nil"/>
              <w:bottom w:val="nil"/>
              <w:right w:val="nil"/>
            </w:tcBorders>
            <w:shd w:val="clear" w:color="auto" w:fill="auto"/>
          </w:tcPr>
          <w:p w14:paraId="6418B9BC" w14:textId="77777777" w:rsidR="00A82B12" w:rsidRPr="00581C0E" w:rsidRDefault="00A82B12" w:rsidP="00EB1206">
            <w:pPr>
              <w:spacing w:before="40" w:after="40"/>
              <w:rPr>
                <w:sz w:val="22"/>
                <w:lang w:val="en-US"/>
              </w:rPr>
            </w:pPr>
            <w:r w:rsidRPr="004362B1">
              <w:rPr>
                <w:sz w:val="22"/>
                <w:lang w:val="en-US"/>
              </w:rPr>
              <w:t>10.</w:t>
            </w:r>
            <w:r>
              <w:rPr>
                <w:sz w:val="22"/>
                <w:lang w:val="en-US"/>
              </w:rPr>
              <w:t>8</w:t>
            </w:r>
          </w:p>
        </w:tc>
        <w:tc>
          <w:tcPr>
            <w:tcW w:w="1796" w:type="dxa"/>
            <w:gridSpan w:val="2"/>
            <w:tcBorders>
              <w:top w:val="nil"/>
              <w:left w:val="nil"/>
              <w:bottom w:val="nil"/>
            </w:tcBorders>
            <w:shd w:val="clear" w:color="auto" w:fill="auto"/>
          </w:tcPr>
          <w:p w14:paraId="239A3AD7" w14:textId="77777777" w:rsidR="00A82B12" w:rsidRPr="00581C0E" w:rsidRDefault="00A82B12" w:rsidP="00EB1206">
            <w:pPr>
              <w:spacing w:before="40" w:after="40"/>
              <w:rPr>
                <w:sz w:val="22"/>
                <w:lang w:val="en-US"/>
              </w:rPr>
            </w:pPr>
            <w:r>
              <w:rPr>
                <w:sz w:val="22"/>
                <w:lang w:val="en-US"/>
              </w:rPr>
              <w:t>26.1</w:t>
            </w:r>
          </w:p>
        </w:tc>
        <w:tc>
          <w:tcPr>
            <w:tcW w:w="1445" w:type="dxa"/>
            <w:tcBorders>
              <w:top w:val="nil"/>
              <w:left w:val="nil"/>
              <w:bottom w:val="nil"/>
              <w:right w:val="nil"/>
            </w:tcBorders>
          </w:tcPr>
          <w:p w14:paraId="6ECFFFE7" w14:textId="77777777" w:rsidR="00A82B12" w:rsidRPr="004362B1" w:rsidRDefault="00A82B12" w:rsidP="00EB1206">
            <w:pPr>
              <w:spacing w:before="40" w:after="40"/>
              <w:rPr>
                <w:sz w:val="22"/>
                <w:lang w:val="en-US"/>
              </w:rPr>
            </w:pPr>
            <w:r>
              <w:rPr>
                <w:sz w:val="22"/>
                <w:lang w:val="en-US"/>
              </w:rPr>
              <w:t>14.3</w:t>
            </w:r>
          </w:p>
        </w:tc>
        <w:tc>
          <w:tcPr>
            <w:tcW w:w="1673" w:type="dxa"/>
            <w:gridSpan w:val="2"/>
            <w:tcBorders>
              <w:top w:val="nil"/>
              <w:left w:val="nil"/>
              <w:bottom w:val="nil"/>
            </w:tcBorders>
          </w:tcPr>
          <w:p w14:paraId="3C992ACB" w14:textId="77777777" w:rsidR="00A82B12" w:rsidRPr="004362B1" w:rsidRDefault="00A82B12" w:rsidP="00EB1206">
            <w:pPr>
              <w:spacing w:before="40" w:after="40"/>
              <w:rPr>
                <w:sz w:val="22"/>
                <w:lang w:val="en-US"/>
              </w:rPr>
            </w:pPr>
            <w:r>
              <w:rPr>
                <w:sz w:val="22"/>
                <w:lang w:val="en-US"/>
              </w:rPr>
              <w:t>26.1</w:t>
            </w:r>
          </w:p>
        </w:tc>
      </w:tr>
      <w:tr w:rsidR="00A82B12" w:rsidRPr="004362B1" w14:paraId="64B8F81A" w14:textId="77777777" w:rsidTr="00616FE6">
        <w:tc>
          <w:tcPr>
            <w:tcW w:w="3085" w:type="dxa"/>
            <w:tcBorders>
              <w:top w:val="nil"/>
              <w:bottom w:val="nil"/>
            </w:tcBorders>
            <w:shd w:val="clear" w:color="auto" w:fill="auto"/>
          </w:tcPr>
          <w:p w14:paraId="62692DAA" w14:textId="77777777" w:rsidR="00A82B12" w:rsidRPr="004362B1" w:rsidRDefault="00A82B12" w:rsidP="00EB1206">
            <w:pPr>
              <w:spacing w:before="40" w:after="40"/>
              <w:rPr>
                <w:sz w:val="22"/>
                <w:lang w:val="en-US"/>
              </w:rPr>
            </w:pPr>
            <w:r w:rsidRPr="004362B1">
              <w:rPr>
                <w:sz w:val="22"/>
                <w:lang w:val="en-US"/>
              </w:rPr>
              <w:t>HR (95% Cl)</w:t>
            </w:r>
          </w:p>
        </w:tc>
        <w:tc>
          <w:tcPr>
            <w:tcW w:w="3119" w:type="dxa"/>
            <w:gridSpan w:val="3"/>
            <w:tcBorders>
              <w:top w:val="nil"/>
              <w:bottom w:val="nil"/>
            </w:tcBorders>
            <w:shd w:val="clear" w:color="auto" w:fill="auto"/>
          </w:tcPr>
          <w:p w14:paraId="7809C6AB" w14:textId="77777777" w:rsidR="00A82B12" w:rsidRPr="004362B1" w:rsidRDefault="00A82B12" w:rsidP="00EB1206">
            <w:pPr>
              <w:spacing w:before="40" w:after="40"/>
              <w:rPr>
                <w:sz w:val="22"/>
                <w:lang w:val="en-US"/>
              </w:rPr>
            </w:pPr>
            <w:r w:rsidRPr="004362B1">
              <w:rPr>
                <w:sz w:val="22"/>
                <w:lang w:val="en-US"/>
              </w:rPr>
              <w:t>0.1</w:t>
            </w:r>
            <w:r>
              <w:rPr>
                <w:sz w:val="22"/>
                <w:lang w:val="en-US"/>
              </w:rPr>
              <w:t>9</w:t>
            </w:r>
            <w:r w:rsidRPr="004362B1">
              <w:rPr>
                <w:sz w:val="22"/>
                <w:lang w:val="en-US"/>
              </w:rPr>
              <w:t xml:space="preserve"> [0.1</w:t>
            </w:r>
            <w:r>
              <w:rPr>
                <w:sz w:val="22"/>
                <w:lang w:val="en-US"/>
              </w:rPr>
              <w:t>4</w:t>
            </w:r>
            <w:r w:rsidRPr="004362B1">
              <w:rPr>
                <w:sz w:val="22"/>
                <w:lang w:val="en-US"/>
              </w:rPr>
              <w:t>; 0.2</w:t>
            </w:r>
            <w:r>
              <w:rPr>
                <w:sz w:val="22"/>
                <w:lang w:val="en-US"/>
              </w:rPr>
              <w:t>5</w:t>
            </w:r>
            <w:r w:rsidRPr="004362B1">
              <w:rPr>
                <w:sz w:val="22"/>
                <w:lang w:val="en-US"/>
              </w:rPr>
              <w:t>]</w:t>
            </w:r>
          </w:p>
        </w:tc>
        <w:tc>
          <w:tcPr>
            <w:tcW w:w="3118" w:type="dxa"/>
            <w:gridSpan w:val="3"/>
            <w:tcBorders>
              <w:top w:val="nil"/>
              <w:bottom w:val="nil"/>
            </w:tcBorders>
          </w:tcPr>
          <w:p w14:paraId="2A178E40" w14:textId="77777777" w:rsidR="00A82B12" w:rsidRPr="004362B1" w:rsidRDefault="00A82B12" w:rsidP="00EB1206">
            <w:pPr>
              <w:spacing w:before="40" w:after="40"/>
              <w:rPr>
                <w:sz w:val="22"/>
                <w:lang w:val="en-US"/>
              </w:rPr>
            </w:pPr>
            <w:r>
              <w:rPr>
                <w:sz w:val="22"/>
                <w:lang w:val="en-US"/>
              </w:rPr>
              <w:t>0.43 [0.34; 0.54]</w:t>
            </w:r>
          </w:p>
        </w:tc>
      </w:tr>
      <w:tr w:rsidR="00A82B12" w:rsidRPr="004362B1" w14:paraId="35F517AD" w14:textId="77777777" w:rsidTr="00616FE6">
        <w:tc>
          <w:tcPr>
            <w:tcW w:w="3085" w:type="dxa"/>
            <w:tcBorders>
              <w:top w:val="nil"/>
              <w:bottom w:val="single" w:sz="4" w:space="0" w:color="auto"/>
            </w:tcBorders>
            <w:shd w:val="clear" w:color="auto" w:fill="auto"/>
          </w:tcPr>
          <w:p w14:paraId="2712E8E5" w14:textId="77777777" w:rsidR="00A82B12" w:rsidRPr="004362B1" w:rsidRDefault="00A82B12" w:rsidP="00EB1206">
            <w:pPr>
              <w:spacing w:before="40" w:after="40"/>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14:paraId="1B7D5ECD" w14:textId="77777777" w:rsidR="00A82B12" w:rsidRPr="004362B1" w:rsidRDefault="00A82B12" w:rsidP="00EB1206">
            <w:pPr>
              <w:spacing w:before="40" w:after="40"/>
              <w:rPr>
                <w:sz w:val="22"/>
                <w:lang w:val="en-US"/>
              </w:rPr>
            </w:pPr>
            <w:r w:rsidRPr="004362B1">
              <w:rPr>
                <w:sz w:val="22"/>
                <w:lang w:val="en-US"/>
              </w:rPr>
              <w:t>&lt;0.0001</w:t>
            </w:r>
          </w:p>
        </w:tc>
        <w:tc>
          <w:tcPr>
            <w:tcW w:w="3118" w:type="dxa"/>
            <w:gridSpan w:val="3"/>
            <w:tcBorders>
              <w:top w:val="nil"/>
              <w:bottom w:val="single" w:sz="4" w:space="0" w:color="auto"/>
            </w:tcBorders>
          </w:tcPr>
          <w:p w14:paraId="33AAAE7F" w14:textId="77777777" w:rsidR="00A82B12" w:rsidRPr="004362B1" w:rsidRDefault="00A82B12" w:rsidP="00EB1206">
            <w:pPr>
              <w:spacing w:before="40" w:after="40"/>
              <w:rPr>
                <w:sz w:val="22"/>
                <w:lang w:val="en-US"/>
              </w:rPr>
            </w:pPr>
            <w:r>
              <w:rPr>
                <w:sz w:val="22"/>
                <w:lang w:val="en-US"/>
              </w:rPr>
              <w:t>&lt; 0.0001</w:t>
            </w:r>
          </w:p>
        </w:tc>
      </w:tr>
      <w:tr w:rsidR="00A82B12" w:rsidRPr="004362B1" w14:paraId="54CC7F0A" w14:textId="77777777" w:rsidTr="00616FE6">
        <w:tc>
          <w:tcPr>
            <w:tcW w:w="3085" w:type="dxa"/>
            <w:tcBorders>
              <w:bottom w:val="nil"/>
            </w:tcBorders>
            <w:shd w:val="clear" w:color="auto" w:fill="auto"/>
          </w:tcPr>
          <w:p w14:paraId="169A2403" w14:textId="77777777" w:rsidR="00A82B12" w:rsidRPr="004362B1" w:rsidRDefault="00A82B12" w:rsidP="00EB1206">
            <w:pPr>
              <w:spacing w:before="40" w:after="40"/>
              <w:rPr>
                <w:b/>
                <w:i/>
                <w:sz w:val="22"/>
                <w:lang w:val="en-US"/>
              </w:rPr>
            </w:pPr>
            <w:r w:rsidRPr="004362B1">
              <w:rPr>
                <w:b/>
                <w:i/>
                <w:sz w:val="22"/>
                <w:lang w:val="en-US"/>
              </w:rPr>
              <w:t>Time to new anti-</w:t>
            </w:r>
            <w:proofErr w:type="spellStart"/>
            <w:r w:rsidRPr="004362B1">
              <w:rPr>
                <w:b/>
                <w:i/>
                <w:sz w:val="22"/>
                <w:lang w:val="en-US"/>
              </w:rPr>
              <w:t>leukaemic</w:t>
            </w:r>
            <w:proofErr w:type="spellEnd"/>
            <w:r w:rsidRPr="004362B1">
              <w:rPr>
                <w:b/>
                <w:i/>
                <w:sz w:val="22"/>
                <w:lang w:val="en-US"/>
              </w:rPr>
              <w:t xml:space="preserve"> therapy</w:t>
            </w:r>
          </w:p>
        </w:tc>
        <w:tc>
          <w:tcPr>
            <w:tcW w:w="1323" w:type="dxa"/>
            <w:tcBorders>
              <w:bottom w:val="nil"/>
              <w:right w:val="nil"/>
            </w:tcBorders>
            <w:shd w:val="clear" w:color="auto" w:fill="auto"/>
          </w:tcPr>
          <w:p w14:paraId="32644A9A" w14:textId="77777777" w:rsidR="00A82B12" w:rsidRPr="004362B1" w:rsidRDefault="00A82B12" w:rsidP="00EB1206">
            <w:pPr>
              <w:spacing w:before="40" w:after="40"/>
              <w:rPr>
                <w:sz w:val="22"/>
                <w:lang w:val="en-US"/>
              </w:rPr>
            </w:pPr>
          </w:p>
        </w:tc>
        <w:tc>
          <w:tcPr>
            <w:tcW w:w="1796" w:type="dxa"/>
            <w:gridSpan w:val="2"/>
            <w:tcBorders>
              <w:left w:val="nil"/>
              <w:bottom w:val="nil"/>
            </w:tcBorders>
            <w:shd w:val="clear" w:color="auto" w:fill="auto"/>
          </w:tcPr>
          <w:p w14:paraId="4C8EC2AC" w14:textId="77777777" w:rsidR="00A82B12" w:rsidRPr="004362B1" w:rsidRDefault="00A82B12" w:rsidP="00EB1206">
            <w:pPr>
              <w:spacing w:before="40" w:after="40"/>
              <w:rPr>
                <w:sz w:val="22"/>
                <w:lang w:val="en-US"/>
              </w:rPr>
            </w:pPr>
          </w:p>
        </w:tc>
        <w:tc>
          <w:tcPr>
            <w:tcW w:w="1445" w:type="dxa"/>
            <w:tcBorders>
              <w:left w:val="nil"/>
              <w:bottom w:val="nil"/>
              <w:right w:val="nil"/>
            </w:tcBorders>
          </w:tcPr>
          <w:p w14:paraId="1BCF1A53" w14:textId="77777777" w:rsidR="00A82B12" w:rsidRPr="004362B1" w:rsidRDefault="00A82B12" w:rsidP="00EB1206">
            <w:pPr>
              <w:spacing w:before="40" w:after="40"/>
              <w:rPr>
                <w:sz w:val="22"/>
                <w:lang w:val="en-US"/>
              </w:rPr>
            </w:pPr>
          </w:p>
        </w:tc>
        <w:tc>
          <w:tcPr>
            <w:tcW w:w="1673" w:type="dxa"/>
            <w:gridSpan w:val="2"/>
            <w:tcBorders>
              <w:left w:val="nil"/>
              <w:bottom w:val="nil"/>
            </w:tcBorders>
          </w:tcPr>
          <w:p w14:paraId="7331B3D2" w14:textId="77777777" w:rsidR="00A82B12" w:rsidRPr="004362B1" w:rsidRDefault="00A82B12" w:rsidP="00EB1206">
            <w:pPr>
              <w:spacing w:before="40" w:after="40"/>
              <w:rPr>
                <w:sz w:val="22"/>
                <w:lang w:val="en-US"/>
              </w:rPr>
            </w:pPr>
          </w:p>
        </w:tc>
      </w:tr>
      <w:tr w:rsidR="00A82B12" w:rsidRPr="004362B1" w14:paraId="25C19D9B" w14:textId="77777777" w:rsidTr="00616FE6">
        <w:tc>
          <w:tcPr>
            <w:tcW w:w="3085" w:type="dxa"/>
            <w:tcBorders>
              <w:top w:val="nil"/>
              <w:bottom w:val="nil"/>
            </w:tcBorders>
            <w:shd w:val="clear" w:color="auto" w:fill="auto"/>
          </w:tcPr>
          <w:p w14:paraId="4432974C" w14:textId="77777777" w:rsidR="00A82B12" w:rsidRPr="004362B1" w:rsidRDefault="00A82B12" w:rsidP="00EB1206">
            <w:pPr>
              <w:spacing w:before="40" w:after="40"/>
              <w:rPr>
                <w:sz w:val="22"/>
                <w:lang w:val="en-US"/>
              </w:rPr>
            </w:pPr>
            <w:r w:rsidRPr="004362B1">
              <w:rPr>
                <w:sz w:val="22"/>
                <w:lang w:val="en-US"/>
              </w:rPr>
              <w:t>No. (%) of patients with event</w:t>
            </w:r>
          </w:p>
        </w:tc>
        <w:tc>
          <w:tcPr>
            <w:tcW w:w="1323" w:type="dxa"/>
            <w:tcBorders>
              <w:top w:val="nil"/>
              <w:bottom w:val="nil"/>
              <w:right w:val="nil"/>
            </w:tcBorders>
            <w:shd w:val="clear" w:color="auto" w:fill="auto"/>
          </w:tcPr>
          <w:p w14:paraId="63E31154" w14:textId="77777777" w:rsidR="00A82B12" w:rsidRPr="004362B1" w:rsidRDefault="00A82B12" w:rsidP="00EB1206">
            <w:pPr>
              <w:spacing w:before="40" w:after="40"/>
              <w:rPr>
                <w:sz w:val="22"/>
                <w:lang w:val="en-US"/>
              </w:rPr>
            </w:pPr>
            <w:r>
              <w:rPr>
                <w:sz w:val="22"/>
                <w:lang w:val="en-US"/>
              </w:rPr>
              <w:t>65</w:t>
            </w:r>
            <w:r w:rsidRPr="004362B1">
              <w:rPr>
                <w:sz w:val="22"/>
                <w:lang w:val="en-US"/>
              </w:rPr>
              <w:t xml:space="preserve"> (</w:t>
            </w:r>
            <w:r>
              <w:rPr>
                <w:sz w:val="22"/>
                <w:lang w:val="en-US"/>
              </w:rPr>
              <w:t>55.1</w:t>
            </w:r>
            <w:r w:rsidRPr="004362B1">
              <w:rPr>
                <w:sz w:val="22"/>
                <w:lang w:val="en-US"/>
              </w:rPr>
              <w:t>%)</w:t>
            </w:r>
          </w:p>
        </w:tc>
        <w:tc>
          <w:tcPr>
            <w:tcW w:w="1796" w:type="dxa"/>
            <w:gridSpan w:val="2"/>
            <w:tcBorders>
              <w:top w:val="nil"/>
              <w:left w:val="nil"/>
              <w:bottom w:val="nil"/>
            </w:tcBorders>
            <w:shd w:val="clear" w:color="auto" w:fill="auto"/>
          </w:tcPr>
          <w:p w14:paraId="191CB1BD" w14:textId="77777777" w:rsidR="00A82B12" w:rsidRPr="004362B1" w:rsidRDefault="00A82B12" w:rsidP="00EB1206">
            <w:pPr>
              <w:spacing w:before="40" w:after="40"/>
              <w:rPr>
                <w:sz w:val="22"/>
                <w:lang w:val="en-US"/>
              </w:rPr>
            </w:pPr>
            <w:r>
              <w:rPr>
                <w:sz w:val="22"/>
                <w:lang w:val="en-US"/>
              </w:rPr>
              <w:t>51</w:t>
            </w:r>
            <w:r w:rsidRPr="004362B1">
              <w:rPr>
                <w:sz w:val="22"/>
                <w:lang w:val="en-US"/>
              </w:rPr>
              <w:t xml:space="preserve"> (</w:t>
            </w:r>
            <w:r>
              <w:rPr>
                <w:sz w:val="22"/>
                <w:lang w:val="en-US"/>
              </w:rPr>
              <w:t>21.4</w:t>
            </w:r>
            <w:r w:rsidRPr="004362B1">
              <w:rPr>
                <w:sz w:val="22"/>
                <w:lang w:val="en-US"/>
              </w:rPr>
              <w:t>%)</w:t>
            </w:r>
          </w:p>
        </w:tc>
        <w:tc>
          <w:tcPr>
            <w:tcW w:w="1445" w:type="dxa"/>
            <w:tcBorders>
              <w:top w:val="nil"/>
              <w:left w:val="nil"/>
              <w:bottom w:val="nil"/>
              <w:right w:val="nil"/>
            </w:tcBorders>
          </w:tcPr>
          <w:p w14:paraId="7CDB5A8D" w14:textId="77777777" w:rsidR="00A82B12" w:rsidRPr="004362B1" w:rsidRDefault="00A82B12" w:rsidP="00EB1206">
            <w:pPr>
              <w:spacing w:before="40" w:after="40"/>
              <w:rPr>
                <w:sz w:val="22"/>
                <w:lang w:val="en-US"/>
              </w:rPr>
            </w:pPr>
            <w:r>
              <w:rPr>
                <w:sz w:val="22"/>
                <w:lang w:val="en-US"/>
              </w:rPr>
              <w:t>86 (26.1%)</w:t>
            </w:r>
          </w:p>
        </w:tc>
        <w:tc>
          <w:tcPr>
            <w:tcW w:w="1673" w:type="dxa"/>
            <w:gridSpan w:val="2"/>
            <w:tcBorders>
              <w:top w:val="nil"/>
              <w:left w:val="nil"/>
              <w:bottom w:val="nil"/>
            </w:tcBorders>
          </w:tcPr>
          <w:p w14:paraId="062DCA96" w14:textId="77777777" w:rsidR="00A82B12" w:rsidRPr="004362B1" w:rsidRDefault="00A82B12" w:rsidP="00EB1206">
            <w:pPr>
              <w:spacing w:before="40" w:after="40"/>
              <w:rPr>
                <w:sz w:val="22"/>
                <w:lang w:val="en-US"/>
              </w:rPr>
            </w:pPr>
            <w:r>
              <w:rPr>
                <w:sz w:val="22"/>
                <w:lang w:val="en-US"/>
              </w:rPr>
              <w:t>55 (16.5%)</w:t>
            </w:r>
          </w:p>
        </w:tc>
      </w:tr>
      <w:tr w:rsidR="00A82B12" w:rsidRPr="004362B1" w14:paraId="0D4F1373" w14:textId="77777777" w:rsidTr="00616FE6">
        <w:tc>
          <w:tcPr>
            <w:tcW w:w="3085" w:type="dxa"/>
            <w:tcBorders>
              <w:top w:val="nil"/>
              <w:bottom w:val="nil"/>
            </w:tcBorders>
            <w:shd w:val="clear" w:color="auto" w:fill="auto"/>
          </w:tcPr>
          <w:p w14:paraId="0FC8173B" w14:textId="77777777" w:rsidR="00A82B12" w:rsidRPr="004362B1" w:rsidRDefault="00A82B12" w:rsidP="00EB1206">
            <w:pPr>
              <w:spacing w:before="40" w:after="40"/>
              <w:rPr>
                <w:sz w:val="22"/>
                <w:lang w:val="en-US"/>
              </w:rPr>
            </w:pPr>
            <w:r w:rsidRPr="004362B1">
              <w:rPr>
                <w:sz w:val="22"/>
                <w:lang w:val="en-US"/>
              </w:rPr>
              <w:t xml:space="preserve">Median </w:t>
            </w:r>
            <w:r>
              <w:rPr>
                <w:sz w:val="22"/>
                <w:lang w:val="en-US"/>
              </w:rPr>
              <w:t>time to</w:t>
            </w:r>
            <w:r w:rsidRPr="004362B1">
              <w:rPr>
                <w:sz w:val="22"/>
                <w:lang w:val="en-US"/>
              </w:rPr>
              <w:t xml:space="preserve"> event (months)</w:t>
            </w:r>
          </w:p>
        </w:tc>
        <w:tc>
          <w:tcPr>
            <w:tcW w:w="1323" w:type="dxa"/>
            <w:tcBorders>
              <w:top w:val="nil"/>
              <w:bottom w:val="nil"/>
              <w:right w:val="nil"/>
            </w:tcBorders>
            <w:shd w:val="clear" w:color="auto" w:fill="auto"/>
          </w:tcPr>
          <w:p w14:paraId="0A2FF6B2" w14:textId="77777777" w:rsidR="00A82B12" w:rsidRPr="004362B1" w:rsidRDefault="00A82B12" w:rsidP="00EB1206">
            <w:pPr>
              <w:spacing w:before="40" w:after="40"/>
              <w:rPr>
                <w:sz w:val="22"/>
                <w:lang w:val="en-US"/>
              </w:rPr>
            </w:pPr>
            <w:r w:rsidRPr="004362B1">
              <w:rPr>
                <w:sz w:val="22"/>
                <w:lang w:val="en-US"/>
              </w:rPr>
              <w:t>14.8</w:t>
            </w:r>
          </w:p>
        </w:tc>
        <w:tc>
          <w:tcPr>
            <w:tcW w:w="1796" w:type="dxa"/>
            <w:gridSpan w:val="2"/>
            <w:tcBorders>
              <w:top w:val="nil"/>
              <w:left w:val="nil"/>
              <w:bottom w:val="nil"/>
            </w:tcBorders>
            <w:shd w:val="clear" w:color="auto" w:fill="auto"/>
          </w:tcPr>
          <w:p w14:paraId="6D17D058" w14:textId="77777777" w:rsidR="00A82B12" w:rsidRPr="004362B1" w:rsidRDefault="00A82B12" w:rsidP="00EB1206">
            <w:pPr>
              <w:spacing w:before="40" w:after="40"/>
              <w:rPr>
                <w:sz w:val="22"/>
                <w:lang w:val="en-US"/>
              </w:rPr>
            </w:pPr>
            <w:r w:rsidRPr="004362B1">
              <w:rPr>
                <w:sz w:val="22"/>
                <w:lang w:val="en-US"/>
              </w:rPr>
              <w:t>-</w:t>
            </w:r>
          </w:p>
        </w:tc>
        <w:tc>
          <w:tcPr>
            <w:tcW w:w="1445" w:type="dxa"/>
            <w:tcBorders>
              <w:top w:val="nil"/>
              <w:left w:val="nil"/>
              <w:bottom w:val="nil"/>
              <w:right w:val="nil"/>
            </w:tcBorders>
          </w:tcPr>
          <w:p w14:paraId="45A0BD53" w14:textId="77777777" w:rsidR="00A82B12" w:rsidRPr="004362B1" w:rsidRDefault="00A82B12" w:rsidP="00EB1206">
            <w:pPr>
              <w:spacing w:before="40" w:after="40"/>
              <w:rPr>
                <w:sz w:val="22"/>
                <w:lang w:val="en-US"/>
              </w:rPr>
            </w:pPr>
            <w:r>
              <w:rPr>
                <w:sz w:val="22"/>
                <w:lang w:val="en-US"/>
              </w:rPr>
              <w:t>30.8</w:t>
            </w:r>
          </w:p>
        </w:tc>
        <w:tc>
          <w:tcPr>
            <w:tcW w:w="1673" w:type="dxa"/>
            <w:gridSpan w:val="2"/>
            <w:tcBorders>
              <w:top w:val="nil"/>
              <w:left w:val="nil"/>
              <w:bottom w:val="nil"/>
            </w:tcBorders>
          </w:tcPr>
          <w:p w14:paraId="428BEEA5" w14:textId="77777777" w:rsidR="00A82B12" w:rsidRPr="004362B1" w:rsidRDefault="00A82B12" w:rsidP="00EB1206">
            <w:pPr>
              <w:spacing w:before="40" w:after="40"/>
              <w:rPr>
                <w:sz w:val="22"/>
                <w:lang w:val="en-US"/>
              </w:rPr>
            </w:pPr>
            <w:r>
              <w:rPr>
                <w:sz w:val="22"/>
                <w:lang w:val="en-US"/>
              </w:rPr>
              <w:t>-</w:t>
            </w:r>
          </w:p>
        </w:tc>
      </w:tr>
      <w:tr w:rsidR="00A82B12" w:rsidRPr="004362B1" w14:paraId="7ED74993" w14:textId="77777777" w:rsidTr="00616FE6">
        <w:tc>
          <w:tcPr>
            <w:tcW w:w="3085" w:type="dxa"/>
            <w:tcBorders>
              <w:top w:val="nil"/>
              <w:bottom w:val="nil"/>
            </w:tcBorders>
            <w:shd w:val="clear" w:color="auto" w:fill="auto"/>
          </w:tcPr>
          <w:p w14:paraId="2DA9DEA6" w14:textId="77777777" w:rsidR="00A82B12" w:rsidRPr="004362B1" w:rsidRDefault="00A82B12" w:rsidP="00EB1206">
            <w:pPr>
              <w:spacing w:before="40" w:after="40"/>
              <w:rPr>
                <w:sz w:val="22"/>
                <w:lang w:val="en-US"/>
              </w:rPr>
            </w:pPr>
            <w:r w:rsidRPr="004362B1">
              <w:rPr>
                <w:sz w:val="22"/>
                <w:lang w:val="en-US"/>
              </w:rPr>
              <w:t>HR (95% Cl)</w:t>
            </w:r>
          </w:p>
        </w:tc>
        <w:tc>
          <w:tcPr>
            <w:tcW w:w="3119" w:type="dxa"/>
            <w:gridSpan w:val="3"/>
            <w:tcBorders>
              <w:top w:val="nil"/>
              <w:bottom w:val="nil"/>
            </w:tcBorders>
            <w:shd w:val="clear" w:color="auto" w:fill="auto"/>
          </w:tcPr>
          <w:p w14:paraId="68CF3ECC" w14:textId="77777777" w:rsidR="00A82B12" w:rsidRPr="004362B1" w:rsidRDefault="00A82B12" w:rsidP="00EB1206">
            <w:pPr>
              <w:spacing w:before="40" w:after="40"/>
              <w:rPr>
                <w:sz w:val="22"/>
                <w:lang w:val="en-US"/>
              </w:rPr>
            </w:pPr>
            <w:r w:rsidRPr="004362B1">
              <w:rPr>
                <w:sz w:val="22"/>
                <w:lang w:val="en-US"/>
              </w:rPr>
              <w:t>0.2</w:t>
            </w:r>
            <w:r>
              <w:rPr>
                <w:sz w:val="22"/>
                <w:lang w:val="en-US"/>
              </w:rPr>
              <w:t>4</w:t>
            </w:r>
            <w:r w:rsidRPr="004362B1">
              <w:rPr>
                <w:sz w:val="22"/>
                <w:lang w:val="en-US"/>
              </w:rPr>
              <w:t xml:space="preserve"> [0.16; 0.</w:t>
            </w:r>
            <w:r>
              <w:rPr>
                <w:sz w:val="22"/>
                <w:lang w:val="en-US"/>
              </w:rPr>
              <w:t>35</w:t>
            </w:r>
            <w:r w:rsidRPr="004362B1">
              <w:rPr>
                <w:sz w:val="22"/>
                <w:lang w:val="en-US"/>
              </w:rPr>
              <w:t>]</w:t>
            </w:r>
          </w:p>
        </w:tc>
        <w:tc>
          <w:tcPr>
            <w:tcW w:w="3118" w:type="dxa"/>
            <w:gridSpan w:val="3"/>
            <w:tcBorders>
              <w:top w:val="nil"/>
              <w:bottom w:val="nil"/>
            </w:tcBorders>
          </w:tcPr>
          <w:p w14:paraId="71A916A9" w14:textId="77777777" w:rsidR="00A82B12" w:rsidRPr="004362B1" w:rsidRDefault="00A82B12" w:rsidP="00EB1206">
            <w:pPr>
              <w:spacing w:before="40" w:after="40"/>
              <w:rPr>
                <w:sz w:val="22"/>
                <w:lang w:val="en-US"/>
              </w:rPr>
            </w:pPr>
            <w:r>
              <w:rPr>
                <w:sz w:val="22"/>
                <w:lang w:val="en-US"/>
              </w:rPr>
              <w:t>0.59 [0.42; 0.82]</w:t>
            </w:r>
          </w:p>
        </w:tc>
      </w:tr>
      <w:tr w:rsidR="00A82B12" w:rsidRPr="004362B1" w14:paraId="509EE104" w14:textId="77777777" w:rsidTr="00616FE6">
        <w:tc>
          <w:tcPr>
            <w:tcW w:w="3085" w:type="dxa"/>
            <w:tcBorders>
              <w:top w:val="nil"/>
              <w:bottom w:val="single" w:sz="4" w:space="0" w:color="auto"/>
            </w:tcBorders>
            <w:shd w:val="clear" w:color="auto" w:fill="auto"/>
          </w:tcPr>
          <w:p w14:paraId="242E9A18" w14:textId="77777777" w:rsidR="00A82B12" w:rsidRPr="004362B1" w:rsidRDefault="00A82B12" w:rsidP="00EB1206">
            <w:pPr>
              <w:spacing w:before="40" w:after="40"/>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14:paraId="2ADA50C7" w14:textId="77777777" w:rsidR="00A82B12" w:rsidRPr="004362B1" w:rsidRDefault="00A82B12" w:rsidP="00EB1206">
            <w:pPr>
              <w:spacing w:before="40" w:after="40"/>
              <w:rPr>
                <w:sz w:val="22"/>
                <w:lang w:val="en-US"/>
              </w:rPr>
            </w:pPr>
            <w:r w:rsidRPr="004362B1">
              <w:rPr>
                <w:sz w:val="22"/>
                <w:lang w:val="en-US"/>
              </w:rPr>
              <w:t>&lt;0.0001</w:t>
            </w:r>
          </w:p>
        </w:tc>
        <w:tc>
          <w:tcPr>
            <w:tcW w:w="3118" w:type="dxa"/>
            <w:gridSpan w:val="3"/>
            <w:tcBorders>
              <w:top w:val="nil"/>
              <w:bottom w:val="single" w:sz="4" w:space="0" w:color="auto"/>
            </w:tcBorders>
          </w:tcPr>
          <w:p w14:paraId="1459B5C4" w14:textId="77777777" w:rsidR="00A82B12" w:rsidRPr="004362B1" w:rsidRDefault="00A82B12" w:rsidP="00EB1206">
            <w:pPr>
              <w:spacing w:before="40" w:after="40"/>
              <w:rPr>
                <w:sz w:val="22"/>
                <w:lang w:val="en-US"/>
              </w:rPr>
            </w:pPr>
            <w:r>
              <w:rPr>
                <w:sz w:val="22"/>
                <w:lang w:val="en-US"/>
              </w:rPr>
              <w:t>&lt; 0.0018</w:t>
            </w:r>
          </w:p>
        </w:tc>
      </w:tr>
      <w:tr w:rsidR="00A82B12" w:rsidRPr="004362B1" w14:paraId="5072FFEF" w14:textId="77777777" w:rsidTr="00616FE6">
        <w:tc>
          <w:tcPr>
            <w:tcW w:w="3085" w:type="dxa"/>
            <w:tcBorders>
              <w:top w:val="single" w:sz="4" w:space="0" w:color="auto"/>
              <w:bottom w:val="nil"/>
            </w:tcBorders>
            <w:shd w:val="clear" w:color="auto" w:fill="auto"/>
          </w:tcPr>
          <w:p w14:paraId="7A2B34DC" w14:textId="77777777" w:rsidR="00A82B12" w:rsidRPr="004362B1" w:rsidRDefault="00A82B12" w:rsidP="00EB1206">
            <w:pPr>
              <w:spacing w:before="40" w:after="40"/>
              <w:rPr>
                <w:sz w:val="22"/>
                <w:lang w:val="en-US"/>
              </w:rPr>
            </w:pPr>
            <w:r>
              <w:rPr>
                <w:b/>
                <w:i/>
                <w:sz w:val="22"/>
                <w:lang w:val="en-US"/>
              </w:rPr>
              <w:t>Overall Survival</w:t>
            </w:r>
          </w:p>
        </w:tc>
        <w:tc>
          <w:tcPr>
            <w:tcW w:w="1559" w:type="dxa"/>
            <w:gridSpan w:val="2"/>
            <w:tcBorders>
              <w:top w:val="single" w:sz="4" w:space="0" w:color="auto"/>
              <w:bottom w:val="nil"/>
              <w:right w:val="nil"/>
            </w:tcBorders>
            <w:shd w:val="clear" w:color="auto" w:fill="auto"/>
          </w:tcPr>
          <w:p w14:paraId="6697D707" w14:textId="77777777" w:rsidR="00A82B12" w:rsidRPr="004362B1" w:rsidRDefault="00A82B12" w:rsidP="00EB1206">
            <w:pPr>
              <w:spacing w:before="40" w:after="40"/>
              <w:rPr>
                <w:sz w:val="22"/>
                <w:lang w:val="en-US"/>
              </w:rPr>
            </w:pPr>
          </w:p>
        </w:tc>
        <w:tc>
          <w:tcPr>
            <w:tcW w:w="1560" w:type="dxa"/>
            <w:tcBorders>
              <w:top w:val="single" w:sz="4" w:space="0" w:color="auto"/>
              <w:left w:val="nil"/>
              <w:bottom w:val="nil"/>
            </w:tcBorders>
            <w:shd w:val="clear" w:color="auto" w:fill="auto"/>
          </w:tcPr>
          <w:p w14:paraId="6A21122A" w14:textId="77777777" w:rsidR="00A82B12" w:rsidRPr="004362B1" w:rsidRDefault="00A82B12" w:rsidP="00EB1206">
            <w:pPr>
              <w:spacing w:before="40" w:after="40"/>
              <w:rPr>
                <w:sz w:val="22"/>
                <w:lang w:val="en-US"/>
              </w:rPr>
            </w:pPr>
          </w:p>
        </w:tc>
        <w:tc>
          <w:tcPr>
            <w:tcW w:w="1559" w:type="dxa"/>
            <w:gridSpan w:val="2"/>
            <w:tcBorders>
              <w:top w:val="single" w:sz="4" w:space="0" w:color="auto"/>
              <w:bottom w:val="nil"/>
              <w:right w:val="nil"/>
            </w:tcBorders>
          </w:tcPr>
          <w:p w14:paraId="11C2C14F" w14:textId="77777777" w:rsidR="00A82B12" w:rsidRDefault="00A82B12" w:rsidP="00EB1206">
            <w:pPr>
              <w:spacing w:before="40" w:after="40"/>
              <w:rPr>
                <w:sz w:val="22"/>
                <w:lang w:val="en-US"/>
              </w:rPr>
            </w:pPr>
          </w:p>
        </w:tc>
        <w:tc>
          <w:tcPr>
            <w:tcW w:w="1559" w:type="dxa"/>
            <w:tcBorders>
              <w:top w:val="single" w:sz="4" w:space="0" w:color="auto"/>
              <w:left w:val="nil"/>
              <w:bottom w:val="nil"/>
            </w:tcBorders>
          </w:tcPr>
          <w:p w14:paraId="777EA453" w14:textId="77777777" w:rsidR="00A82B12" w:rsidRDefault="00A82B12" w:rsidP="00EB1206">
            <w:pPr>
              <w:spacing w:before="40" w:after="40"/>
              <w:rPr>
                <w:sz w:val="22"/>
                <w:lang w:val="en-US"/>
              </w:rPr>
            </w:pPr>
          </w:p>
        </w:tc>
      </w:tr>
      <w:tr w:rsidR="00A82B12" w:rsidRPr="004362B1" w14:paraId="64171C04" w14:textId="77777777" w:rsidTr="00616FE6">
        <w:tc>
          <w:tcPr>
            <w:tcW w:w="3085" w:type="dxa"/>
            <w:tcBorders>
              <w:top w:val="nil"/>
              <w:bottom w:val="nil"/>
            </w:tcBorders>
            <w:shd w:val="clear" w:color="auto" w:fill="auto"/>
          </w:tcPr>
          <w:p w14:paraId="66D1505C" w14:textId="77777777" w:rsidR="00A82B12" w:rsidRPr="004362B1" w:rsidRDefault="00A82B12" w:rsidP="00EB1206">
            <w:pPr>
              <w:spacing w:before="40" w:after="40"/>
              <w:rPr>
                <w:sz w:val="22"/>
                <w:lang w:val="en-US"/>
              </w:rPr>
            </w:pPr>
            <w:r w:rsidRPr="004362B1">
              <w:rPr>
                <w:sz w:val="22"/>
                <w:lang w:val="en-US"/>
              </w:rPr>
              <w:t>No. (%) of patients with event</w:t>
            </w:r>
          </w:p>
        </w:tc>
        <w:tc>
          <w:tcPr>
            <w:tcW w:w="1559" w:type="dxa"/>
            <w:gridSpan w:val="2"/>
            <w:tcBorders>
              <w:top w:val="nil"/>
              <w:bottom w:val="nil"/>
              <w:right w:val="nil"/>
            </w:tcBorders>
            <w:shd w:val="clear" w:color="auto" w:fill="auto"/>
          </w:tcPr>
          <w:p w14:paraId="0704BFC7" w14:textId="77777777" w:rsidR="00A82B12" w:rsidRPr="004362B1" w:rsidRDefault="00A82B12" w:rsidP="00EB1206">
            <w:pPr>
              <w:spacing w:before="40" w:after="40"/>
              <w:rPr>
                <w:sz w:val="22"/>
                <w:lang w:val="en-US"/>
              </w:rPr>
            </w:pPr>
            <w:r>
              <w:rPr>
                <w:sz w:val="22"/>
                <w:lang w:val="en-US"/>
              </w:rPr>
              <w:t>24 (20.3%)</w:t>
            </w:r>
          </w:p>
        </w:tc>
        <w:tc>
          <w:tcPr>
            <w:tcW w:w="1560" w:type="dxa"/>
            <w:tcBorders>
              <w:top w:val="nil"/>
              <w:left w:val="nil"/>
              <w:bottom w:val="nil"/>
            </w:tcBorders>
            <w:shd w:val="clear" w:color="auto" w:fill="auto"/>
          </w:tcPr>
          <w:p w14:paraId="5C3DED6A" w14:textId="77777777" w:rsidR="00A82B12" w:rsidRPr="004362B1" w:rsidRDefault="00A82B12" w:rsidP="00EB1206">
            <w:pPr>
              <w:spacing w:before="40" w:after="40"/>
              <w:rPr>
                <w:sz w:val="22"/>
                <w:lang w:val="en-US"/>
              </w:rPr>
            </w:pPr>
            <w:r>
              <w:rPr>
                <w:sz w:val="22"/>
                <w:lang w:val="en-US"/>
              </w:rPr>
              <w:t>22 (9.2%)</w:t>
            </w:r>
          </w:p>
        </w:tc>
        <w:tc>
          <w:tcPr>
            <w:tcW w:w="1559" w:type="dxa"/>
            <w:gridSpan w:val="2"/>
            <w:tcBorders>
              <w:top w:val="nil"/>
              <w:bottom w:val="nil"/>
              <w:right w:val="nil"/>
            </w:tcBorders>
          </w:tcPr>
          <w:p w14:paraId="4EC9D738" w14:textId="77777777" w:rsidR="00A82B12" w:rsidRDefault="00A82B12" w:rsidP="00EB1206">
            <w:pPr>
              <w:spacing w:before="40" w:after="40"/>
              <w:rPr>
                <w:sz w:val="22"/>
                <w:lang w:val="en-US"/>
              </w:rPr>
            </w:pPr>
            <w:r>
              <w:rPr>
                <w:sz w:val="22"/>
                <w:lang w:val="en-US"/>
              </w:rPr>
              <w:t>41 (12.4%)</w:t>
            </w:r>
          </w:p>
        </w:tc>
        <w:tc>
          <w:tcPr>
            <w:tcW w:w="1559" w:type="dxa"/>
            <w:tcBorders>
              <w:top w:val="nil"/>
              <w:left w:val="nil"/>
              <w:bottom w:val="nil"/>
            </w:tcBorders>
          </w:tcPr>
          <w:p w14:paraId="305265C6" w14:textId="77777777" w:rsidR="00A82B12" w:rsidRDefault="00A82B12" w:rsidP="00EB1206">
            <w:pPr>
              <w:spacing w:before="40" w:after="40"/>
              <w:rPr>
                <w:sz w:val="22"/>
                <w:lang w:val="en-US"/>
              </w:rPr>
            </w:pPr>
            <w:r>
              <w:rPr>
                <w:sz w:val="22"/>
                <w:lang w:val="en-US"/>
              </w:rPr>
              <w:t>28 (8.4%)</w:t>
            </w:r>
          </w:p>
        </w:tc>
      </w:tr>
      <w:tr w:rsidR="00A82B12" w:rsidRPr="004362B1" w14:paraId="0946E43D" w14:textId="77777777" w:rsidTr="00616FE6">
        <w:tc>
          <w:tcPr>
            <w:tcW w:w="3085" w:type="dxa"/>
            <w:tcBorders>
              <w:top w:val="nil"/>
              <w:bottom w:val="nil"/>
            </w:tcBorders>
            <w:shd w:val="clear" w:color="auto" w:fill="auto"/>
          </w:tcPr>
          <w:p w14:paraId="659AC368" w14:textId="77777777" w:rsidR="00A82B12" w:rsidRPr="004362B1" w:rsidRDefault="00A82B12" w:rsidP="00EB1206">
            <w:pPr>
              <w:spacing w:before="40" w:after="40"/>
              <w:rPr>
                <w:sz w:val="22"/>
                <w:lang w:val="en-US"/>
              </w:rPr>
            </w:pPr>
            <w:r w:rsidRPr="004362B1">
              <w:rPr>
                <w:sz w:val="22"/>
                <w:lang w:val="en-US"/>
              </w:rPr>
              <w:lastRenderedPageBreak/>
              <w:t xml:space="preserve">Median </w:t>
            </w:r>
            <w:r>
              <w:rPr>
                <w:sz w:val="22"/>
                <w:lang w:val="en-US"/>
              </w:rPr>
              <w:t>time to</w:t>
            </w:r>
            <w:r w:rsidRPr="004362B1">
              <w:rPr>
                <w:sz w:val="22"/>
                <w:lang w:val="en-US"/>
              </w:rPr>
              <w:t xml:space="preserve"> event (months)</w:t>
            </w:r>
          </w:p>
        </w:tc>
        <w:tc>
          <w:tcPr>
            <w:tcW w:w="1559" w:type="dxa"/>
            <w:gridSpan w:val="2"/>
            <w:tcBorders>
              <w:top w:val="nil"/>
              <w:bottom w:val="nil"/>
              <w:right w:val="nil"/>
            </w:tcBorders>
            <w:shd w:val="clear" w:color="auto" w:fill="auto"/>
          </w:tcPr>
          <w:p w14:paraId="7D475394" w14:textId="77777777" w:rsidR="00A82B12" w:rsidRPr="004362B1" w:rsidRDefault="00A82B12" w:rsidP="00EB1206">
            <w:pPr>
              <w:spacing w:before="40" w:after="40"/>
              <w:rPr>
                <w:sz w:val="22"/>
                <w:lang w:val="en-US"/>
              </w:rPr>
            </w:pPr>
            <w:r>
              <w:rPr>
                <w:sz w:val="22"/>
                <w:lang w:val="en-US"/>
              </w:rPr>
              <w:t>NR</w:t>
            </w:r>
          </w:p>
        </w:tc>
        <w:tc>
          <w:tcPr>
            <w:tcW w:w="1560" w:type="dxa"/>
            <w:tcBorders>
              <w:top w:val="nil"/>
              <w:left w:val="nil"/>
              <w:bottom w:val="nil"/>
            </w:tcBorders>
            <w:shd w:val="clear" w:color="auto" w:fill="auto"/>
          </w:tcPr>
          <w:p w14:paraId="345E5D10" w14:textId="77777777" w:rsidR="00A82B12" w:rsidRPr="004362B1" w:rsidRDefault="00A82B12" w:rsidP="00EB1206">
            <w:pPr>
              <w:spacing w:before="40" w:after="40"/>
              <w:rPr>
                <w:sz w:val="22"/>
                <w:lang w:val="en-US"/>
              </w:rPr>
            </w:pPr>
            <w:r>
              <w:rPr>
                <w:sz w:val="22"/>
                <w:lang w:val="en-US"/>
              </w:rPr>
              <w:t>NR</w:t>
            </w:r>
          </w:p>
        </w:tc>
        <w:tc>
          <w:tcPr>
            <w:tcW w:w="1559" w:type="dxa"/>
            <w:gridSpan w:val="2"/>
            <w:tcBorders>
              <w:top w:val="nil"/>
              <w:bottom w:val="nil"/>
              <w:right w:val="nil"/>
            </w:tcBorders>
          </w:tcPr>
          <w:p w14:paraId="2324F1E0" w14:textId="77777777" w:rsidR="00A82B12" w:rsidRDefault="00A82B12" w:rsidP="00EB1206">
            <w:pPr>
              <w:spacing w:before="40" w:after="40"/>
              <w:rPr>
                <w:sz w:val="22"/>
                <w:lang w:val="en-US"/>
              </w:rPr>
            </w:pPr>
            <w:r>
              <w:rPr>
                <w:sz w:val="22"/>
                <w:lang w:val="en-US"/>
              </w:rPr>
              <w:t>NR**</w:t>
            </w:r>
          </w:p>
        </w:tc>
        <w:tc>
          <w:tcPr>
            <w:tcW w:w="1559" w:type="dxa"/>
            <w:tcBorders>
              <w:top w:val="nil"/>
              <w:left w:val="nil"/>
              <w:bottom w:val="nil"/>
            </w:tcBorders>
          </w:tcPr>
          <w:p w14:paraId="5B5FE7A7" w14:textId="77777777" w:rsidR="00A82B12" w:rsidRDefault="00A82B12" w:rsidP="00EB1206">
            <w:pPr>
              <w:spacing w:before="40" w:after="40"/>
              <w:rPr>
                <w:sz w:val="22"/>
                <w:lang w:val="en-US"/>
              </w:rPr>
            </w:pPr>
            <w:r>
              <w:rPr>
                <w:sz w:val="22"/>
                <w:lang w:val="en-US"/>
              </w:rPr>
              <w:t>NR**</w:t>
            </w:r>
          </w:p>
        </w:tc>
      </w:tr>
      <w:tr w:rsidR="00A82B12" w:rsidRPr="004362B1" w14:paraId="1B9A4179" w14:textId="77777777" w:rsidTr="00616FE6">
        <w:tc>
          <w:tcPr>
            <w:tcW w:w="3085" w:type="dxa"/>
            <w:tcBorders>
              <w:top w:val="nil"/>
              <w:bottom w:val="nil"/>
            </w:tcBorders>
            <w:shd w:val="clear" w:color="auto" w:fill="auto"/>
          </w:tcPr>
          <w:p w14:paraId="7FAEA138" w14:textId="77777777" w:rsidR="00A82B12" w:rsidRPr="004362B1" w:rsidRDefault="00A82B12" w:rsidP="00EB1206">
            <w:pPr>
              <w:spacing w:before="40" w:after="40"/>
              <w:rPr>
                <w:sz w:val="22"/>
                <w:lang w:val="en-US"/>
              </w:rPr>
            </w:pPr>
            <w:r>
              <w:rPr>
                <w:sz w:val="22"/>
                <w:lang w:val="en-US"/>
              </w:rPr>
              <w:t>HR (95% Cl)</w:t>
            </w:r>
          </w:p>
        </w:tc>
        <w:tc>
          <w:tcPr>
            <w:tcW w:w="3119" w:type="dxa"/>
            <w:gridSpan w:val="3"/>
            <w:tcBorders>
              <w:top w:val="nil"/>
              <w:bottom w:val="nil"/>
            </w:tcBorders>
            <w:shd w:val="clear" w:color="auto" w:fill="auto"/>
          </w:tcPr>
          <w:p w14:paraId="696BCFDC" w14:textId="77777777" w:rsidR="00A82B12" w:rsidRPr="004362B1" w:rsidRDefault="00A82B12" w:rsidP="00EB1206">
            <w:pPr>
              <w:spacing w:before="40" w:after="40"/>
              <w:rPr>
                <w:sz w:val="22"/>
                <w:lang w:val="en-US"/>
              </w:rPr>
            </w:pPr>
            <w:r>
              <w:rPr>
                <w:sz w:val="22"/>
                <w:lang w:val="en-US"/>
              </w:rPr>
              <w:t>0.41 [0.23; 0.74]</w:t>
            </w:r>
          </w:p>
        </w:tc>
        <w:tc>
          <w:tcPr>
            <w:tcW w:w="3118" w:type="dxa"/>
            <w:gridSpan w:val="3"/>
            <w:tcBorders>
              <w:top w:val="nil"/>
              <w:bottom w:val="nil"/>
            </w:tcBorders>
          </w:tcPr>
          <w:p w14:paraId="68122820" w14:textId="77777777" w:rsidR="00A82B12" w:rsidRDefault="00A82B12" w:rsidP="00EB1206">
            <w:pPr>
              <w:spacing w:before="40" w:after="40"/>
              <w:rPr>
                <w:sz w:val="22"/>
                <w:lang w:val="en-US"/>
              </w:rPr>
            </w:pPr>
            <w:r>
              <w:rPr>
                <w:sz w:val="22"/>
                <w:lang w:val="en-US"/>
              </w:rPr>
              <w:t xml:space="preserve">0.66 [0.41; </w:t>
            </w:r>
            <w:proofErr w:type="gramStart"/>
            <w:r>
              <w:rPr>
                <w:sz w:val="22"/>
                <w:lang w:val="en-US"/>
              </w:rPr>
              <w:t>1.06]*</w:t>
            </w:r>
            <w:proofErr w:type="gramEnd"/>
            <w:r>
              <w:rPr>
                <w:sz w:val="22"/>
                <w:lang w:val="en-US"/>
              </w:rPr>
              <w:t>*</w:t>
            </w:r>
          </w:p>
        </w:tc>
      </w:tr>
      <w:tr w:rsidR="00A82B12" w:rsidRPr="004362B1" w14:paraId="2D9EED60" w14:textId="77777777" w:rsidTr="00616FE6">
        <w:tc>
          <w:tcPr>
            <w:tcW w:w="3085" w:type="dxa"/>
            <w:tcBorders>
              <w:top w:val="nil"/>
            </w:tcBorders>
            <w:shd w:val="clear" w:color="auto" w:fill="auto"/>
          </w:tcPr>
          <w:p w14:paraId="07CE7D60" w14:textId="77777777" w:rsidR="00A82B12" w:rsidRPr="004362B1" w:rsidRDefault="00A82B12" w:rsidP="00EB1206">
            <w:pPr>
              <w:spacing w:before="40" w:after="40"/>
              <w:rPr>
                <w:sz w:val="22"/>
                <w:lang w:val="en-US"/>
              </w:rPr>
            </w:pPr>
            <w:r>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tcBorders>
            <w:shd w:val="clear" w:color="auto" w:fill="auto"/>
          </w:tcPr>
          <w:p w14:paraId="17AC8B1E" w14:textId="77777777" w:rsidR="00A82B12" w:rsidRPr="004362B1" w:rsidRDefault="00A82B12" w:rsidP="00EB1206">
            <w:pPr>
              <w:spacing w:before="40" w:after="40"/>
              <w:rPr>
                <w:sz w:val="22"/>
                <w:lang w:val="en-US"/>
              </w:rPr>
            </w:pPr>
            <w:r>
              <w:rPr>
                <w:sz w:val="22"/>
                <w:lang w:val="en-US"/>
              </w:rPr>
              <w:t>0.0022</w:t>
            </w:r>
          </w:p>
        </w:tc>
        <w:tc>
          <w:tcPr>
            <w:tcW w:w="3118" w:type="dxa"/>
            <w:gridSpan w:val="3"/>
            <w:tcBorders>
              <w:top w:val="nil"/>
            </w:tcBorders>
          </w:tcPr>
          <w:p w14:paraId="5161BD10" w14:textId="77777777" w:rsidR="00A82B12" w:rsidRDefault="00A82B12" w:rsidP="00EB1206">
            <w:pPr>
              <w:spacing w:before="40" w:after="40"/>
              <w:rPr>
                <w:sz w:val="22"/>
                <w:lang w:val="en-US"/>
              </w:rPr>
            </w:pPr>
            <w:r>
              <w:rPr>
                <w:sz w:val="22"/>
                <w:lang w:val="en-US"/>
              </w:rPr>
              <w:t>0.0849**</w:t>
            </w:r>
          </w:p>
        </w:tc>
      </w:tr>
    </w:tbl>
    <w:p w14:paraId="45053831" w14:textId="77777777" w:rsidR="00A82B12" w:rsidRPr="00F068A0" w:rsidRDefault="00A82B12" w:rsidP="00EB1206">
      <w:pPr>
        <w:rPr>
          <w:sz w:val="20"/>
          <w:szCs w:val="20"/>
        </w:rPr>
      </w:pPr>
      <w:r w:rsidRPr="00F068A0">
        <w:rPr>
          <w:sz w:val="20"/>
          <w:szCs w:val="20"/>
        </w:rPr>
        <w:t>IRC: Independent Review Committee; PFS: progression-free survival; HR: hazard ratio; CI: confidence intervals; MRD: minimal residual disease; NR: not reached</w:t>
      </w:r>
    </w:p>
    <w:p w14:paraId="7449921B" w14:textId="77777777" w:rsidR="00A82B12" w:rsidRPr="00F068A0" w:rsidRDefault="00A82B12" w:rsidP="00EB1206">
      <w:pPr>
        <w:rPr>
          <w:sz w:val="20"/>
          <w:szCs w:val="20"/>
        </w:rPr>
      </w:pPr>
      <w:r w:rsidRPr="00F068A0">
        <w:rPr>
          <w:sz w:val="20"/>
          <w:szCs w:val="20"/>
        </w:rPr>
        <w:t>* Defined as the time from randomisation to the first occurrence of progression, relapse or death from any cause as assessed by the investigator</w:t>
      </w:r>
    </w:p>
    <w:p w14:paraId="4576FBA3" w14:textId="77777777" w:rsidR="00A82B12" w:rsidRPr="00F068A0" w:rsidRDefault="00A82B12" w:rsidP="00EB1206">
      <w:pPr>
        <w:rPr>
          <w:sz w:val="20"/>
          <w:szCs w:val="20"/>
        </w:rPr>
      </w:pPr>
      <w:r w:rsidRPr="00F068A0">
        <w:rPr>
          <w:sz w:val="20"/>
          <w:szCs w:val="20"/>
        </w:rPr>
        <w:t>** Data not yet mature</w:t>
      </w:r>
    </w:p>
    <w:p w14:paraId="00A0705D" w14:textId="77777777" w:rsidR="00A82B12" w:rsidRPr="00F068A0" w:rsidRDefault="00A82B12" w:rsidP="00EB1206">
      <w:pPr>
        <w:rPr>
          <w:sz w:val="20"/>
          <w:szCs w:val="20"/>
          <w:lang w:val="en-US"/>
        </w:rPr>
      </w:pPr>
      <w:r w:rsidRPr="00F068A0">
        <w:rPr>
          <w:sz w:val="20"/>
          <w:szCs w:val="20"/>
          <w:lang w:val="en-US"/>
        </w:rPr>
        <w:t xml:space="preserve">† </w:t>
      </w:r>
      <w:proofErr w:type="gramStart"/>
      <w:r w:rsidRPr="00F068A0">
        <w:rPr>
          <w:sz w:val="20"/>
          <w:szCs w:val="20"/>
          <w:lang w:val="en-US"/>
        </w:rPr>
        <w:t>stratified</w:t>
      </w:r>
      <w:proofErr w:type="gramEnd"/>
      <w:r w:rsidRPr="00F068A0">
        <w:rPr>
          <w:sz w:val="20"/>
          <w:szCs w:val="20"/>
          <w:lang w:val="en-US"/>
        </w:rPr>
        <w:t xml:space="preserve"> by Binet stage at baseline</w:t>
      </w:r>
    </w:p>
    <w:p w14:paraId="26035297" w14:textId="77777777" w:rsidR="00A82B12" w:rsidRPr="00F068A0" w:rsidRDefault="00A82B12" w:rsidP="00EB1206">
      <w:pPr>
        <w:rPr>
          <w:sz w:val="20"/>
          <w:szCs w:val="20"/>
          <w:lang w:val="en-US"/>
        </w:rPr>
      </w:pPr>
      <w:r w:rsidRPr="00F068A0">
        <w:rPr>
          <w:sz w:val="20"/>
          <w:szCs w:val="20"/>
          <w:lang w:val="en-US"/>
        </w:rPr>
        <w:t xml:space="preserve">‡ </w:t>
      </w:r>
      <w:proofErr w:type="gramStart"/>
      <w:r w:rsidRPr="00F068A0">
        <w:rPr>
          <w:sz w:val="20"/>
          <w:szCs w:val="20"/>
          <w:lang w:val="en-US"/>
        </w:rPr>
        <w:t>includes</w:t>
      </w:r>
      <w:proofErr w:type="gramEnd"/>
      <w:r w:rsidRPr="00F068A0">
        <w:rPr>
          <w:sz w:val="20"/>
          <w:szCs w:val="20"/>
          <w:lang w:val="en-US"/>
        </w:rPr>
        <w:t xml:space="preserve"> 11 patients in the </w:t>
      </w:r>
      <w:proofErr w:type="spellStart"/>
      <w:r w:rsidRPr="00F068A0">
        <w:rPr>
          <w:sz w:val="20"/>
          <w:szCs w:val="20"/>
          <w:lang w:val="en-US"/>
        </w:rPr>
        <w:t>GClb</w:t>
      </w:r>
      <w:proofErr w:type="spellEnd"/>
      <w:r w:rsidRPr="00F068A0">
        <w:rPr>
          <w:sz w:val="20"/>
          <w:szCs w:val="20"/>
          <w:lang w:val="en-US"/>
        </w:rPr>
        <w:t xml:space="preserve"> arm with a complete response with incomplete marrow recovery</w:t>
      </w:r>
    </w:p>
    <w:p w14:paraId="6884242D" w14:textId="77777777" w:rsidR="00A82B12" w:rsidRPr="00F068A0" w:rsidRDefault="00A82B12" w:rsidP="00EB1206">
      <w:pPr>
        <w:rPr>
          <w:sz w:val="20"/>
          <w:szCs w:val="20"/>
          <w:lang w:val="en-US"/>
        </w:rPr>
      </w:pPr>
      <w:r w:rsidRPr="00F068A0">
        <w:rPr>
          <w:sz w:val="20"/>
          <w:szCs w:val="20"/>
          <w:lang w:val="en-US"/>
        </w:rPr>
        <w:t>§ blood and bone marrow combined</w:t>
      </w:r>
    </w:p>
    <w:p w14:paraId="306CB5F7" w14:textId="77777777" w:rsidR="00A82B12" w:rsidRPr="00F068A0" w:rsidRDefault="00A82B12" w:rsidP="00EB1206">
      <w:pPr>
        <w:rPr>
          <w:sz w:val="20"/>
          <w:szCs w:val="20"/>
          <w:lang w:val="en-US"/>
        </w:rPr>
      </w:pPr>
      <w:r w:rsidRPr="00F068A0">
        <w:rPr>
          <w:sz w:val="20"/>
          <w:szCs w:val="20"/>
          <w:lang w:val="en-US"/>
        </w:rPr>
        <w:t>¶ Minimal Residual Disease (MRD) negativity is defined as &lt;1 CLL cell in 10,000 leucocytes</w:t>
      </w:r>
    </w:p>
    <w:p w14:paraId="558D9E32" w14:textId="49DB6791" w:rsidR="00A82B12" w:rsidRDefault="00A82B12" w:rsidP="00EB1206">
      <w:pPr>
        <w:rPr>
          <w:sz w:val="20"/>
          <w:szCs w:val="20"/>
          <w:lang w:val="en-US"/>
        </w:rPr>
      </w:pPr>
      <w:r w:rsidRPr="00F068A0">
        <w:rPr>
          <w:sz w:val="20"/>
          <w:szCs w:val="20"/>
          <w:lang w:val="en-US"/>
        </w:rPr>
        <w:t>\\ includes MRD positive patients and patients who progressed or died before the end of treatment</w:t>
      </w:r>
    </w:p>
    <w:p w14:paraId="0120F807" w14:textId="77777777" w:rsidR="00CE0181" w:rsidRPr="00F068A0" w:rsidRDefault="00CE0181" w:rsidP="00EB1206">
      <w:pPr>
        <w:rPr>
          <w:sz w:val="20"/>
          <w:szCs w:val="20"/>
          <w:lang w:val="en-US"/>
        </w:rPr>
      </w:pPr>
    </w:p>
    <w:p w14:paraId="34FAB95C" w14:textId="77777777" w:rsidR="00A82B12" w:rsidRDefault="00A82B12" w:rsidP="00EB1206">
      <w:pPr>
        <w:spacing w:after="240"/>
      </w:pPr>
      <w:r>
        <w:t xml:space="preserve">Results of the PFS subgroup analysis (i.e. sex, age, Binet stages, </w:t>
      </w:r>
      <w:proofErr w:type="spellStart"/>
      <w:r>
        <w:t>CrCl</w:t>
      </w:r>
      <w:proofErr w:type="spellEnd"/>
      <w:r>
        <w:t>, CIRS score, beta2-microglobulin, IGVH status, chromosomal abnormalities, lymphocyte count at baseline) were consistent with the results seen in the overall ITT population. The risk of disease progression or death was reduced in the Gazyva plus chlorambucil (</w:t>
      </w:r>
      <w:proofErr w:type="spellStart"/>
      <w:r>
        <w:t>GClb</w:t>
      </w:r>
      <w:proofErr w:type="spellEnd"/>
      <w:r>
        <w:t>) arm compared to the rituximab plus chlorambucil (RClb) arm and the chlorambucil (</w:t>
      </w:r>
      <w:proofErr w:type="spellStart"/>
      <w:r>
        <w:t>Clb</w:t>
      </w:r>
      <w:proofErr w:type="spellEnd"/>
      <w:r>
        <w:t xml:space="preserve">) alone arm in all subgroups. The hazard ratios ranged from 0.08 to 0.42 for </w:t>
      </w:r>
      <w:proofErr w:type="spellStart"/>
      <w:r>
        <w:t>GClb</w:t>
      </w:r>
      <w:proofErr w:type="spellEnd"/>
      <w:r>
        <w:t xml:space="preserve"> vs </w:t>
      </w:r>
      <w:proofErr w:type="spellStart"/>
      <w:r>
        <w:t>Clb</w:t>
      </w:r>
      <w:proofErr w:type="spellEnd"/>
      <w:r>
        <w:t xml:space="preserve"> and 0.28 to 0.71 for </w:t>
      </w:r>
      <w:proofErr w:type="spellStart"/>
      <w:r>
        <w:t>GClb</w:t>
      </w:r>
      <w:proofErr w:type="spellEnd"/>
      <w:r>
        <w:t xml:space="preserve"> vs RClb.</w:t>
      </w:r>
    </w:p>
    <w:p w14:paraId="11A5C60E" w14:textId="77777777" w:rsidR="00A82B12" w:rsidRPr="00525B4D" w:rsidRDefault="00A82B12" w:rsidP="00EB1206">
      <w:pPr>
        <w:pStyle w:val="Heading5"/>
        <w:spacing w:after="240"/>
      </w:pPr>
      <w:r w:rsidRPr="00525B4D">
        <w:t>Patient Reported Outcomes</w:t>
      </w:r>
    </w:p>
    <w:p w14:paraId="1FABD371" w14:textId="77777777" w:rsidR="00A82B12" w:rsidRDefault="00A82B12" w:rsidP="00EB1206">
      <w:pPr>
        <w:spacing w:after="240"/>
      </w:pPr>
      <w:r>
        <w:t>In the QLQC30 and QLQ-CLL-16 questionnaires conducted during the treatment period, no substantial difference in any of the subscales was observed. Data during follow up, especially for the chlorambucil alone arm, is limited. However, no notable differences in quality of life during follow up have been identified to date.</w:t>
      </w:r>
    </w:p>
    <w:p w14:paraId="1DDB4D0D" w14:textId="77777777" w:rsidR="00A82B12" w:rsidRDefault="00A82B12" w:rsidP="00EB1206">
      <w:pPr>
        <w:spacing w:after="240"/>
      </w:pPr>
      <w:r>
        <w:t>Health-related quality of life assessments, specific to fatigue through treatment period, show no statistically significant difference suggesting that the addition of Gazyva to chlorambucil regimen does not increase the experience of fatigue for patients.</w:t>
      </w:r>
    </w:p>
    <w:p w14:paraId="69F063BB" w14:textId="77777777" w:rsidR="00A82B12" w:rsidRPr="00204D70" w:rsidRDefault="00A82B12" w:rsidP="000F4FC3">
      <w:pPr>
        <w:pageBreakBefore/>
        <w:rPr>
          <w:b/>
        </w:rPr>
      </w:pPr>
      <w:r w:rsidRPr="00525B4D">
        <w:rPr>
          <w:b/>
        </w:rPr>
        <w:lastRenderedPageBreak/>
        <w:t>Figure 1 Kaplan-Meier curve of Investigator-assessed PFS</w:t>
      </w:r>
      <w:r>
        <w:rPr>
          <w:b/>
        </w:rPr>
        <w:t xml:space="preserve"> from Stage 1</w:t>
      </w:r>
    </w:p>
    <w:p w14:paraId="462EDCC5" w14:textId="77777777" w:rsidR="00A82B12" w:rsidRDefault="00A82B12" w:rsidP="00EB1206">
      <w:r>
        <w:rPr>
          <w:noProof/>
          <w:lang w:val="en-AU"/>
        </w:rPr>
        <w:drawing>
          <wp:inline distT="0" distB="0" distL="0" distR="0" wp14:anchorId="18FEC258" wp14:editId="00725907">
            <wp:extent cx="4464880" cy="32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4880" cy="3240000"/>
                    </a:xfrm>
                    <a:prstGeom prst="rect">
                      <a:avLst/>
                    </a:prstGeom>
                    <a:noFill/>
                    <a:ln>
                      <a:noFill/>
                    </a:ln>
                  </pic:spPr>
                </pic:pic>
              </a:graphicData>
            </a:graphic>
          </wp:inline>
        </w:drawing>
      </w:r>
    </w:p>
    <w:p w14:paraId="0ED83CB9" w14:textId="77777777" w:rsidR="009155D4" w:rsidRDefault="009155D4" w:rsidP="00EB1206">
      <w:pPr>
        <w:rPr>
          <w:b/>
        </w:rPr>
      </w:pPr>
    </w:p>
    <w:p w14:paraId="189E3FCE" w14:textId="77777777" w:rsidR="00A82B12" w:rsidRDefault="00A82B12" w:rsidP="00EB1206">
      <w:pPr>
        <w:rPr>
          <w:b/>
        </w:rPr>
      </w:pPr>
      <w:r w:rsidRPr="009C2282">
        <w:rPr>
          <w:b/>
        </w:rPr>
        <w:t xml:space="preserve">Figure </w:t>
      </w:r>
      <w:r>
        <w:rPr>
          <w:b/>
        </w:rPr>
        <w:t>2</w:t>
      </w:r>
      <w:r w:rsidRPr="009C2282">
        <w:rPr>
          <w:b/>
        </w:rPr>
        <w:t xml:space="preserve"> Kaplan-Meier curve of </w:t>
      </w:r>
      <w:r>
        <w:rPr>
          <w:b/>
        </w:rPr>
        <w:t>Overall Survival from Stage 1</w:t>
      </w:r>
    </w:p>
    <w:p w14:paraId="0A0276F7" w14:textId="77777777" w:rsidR="00A82B12" w:rsidRPr="00A6330F" w:rsidRDefault="00A82B12" w:rsidP="00EB1206">
      <w:r>
        <w:rPr>
          <w:noProof/>
          <w:lang w:val="en-AU"/>
        </w:rPr>
        <w:drawing>
          <wp:inline distT="0" distB="0" distL="0" distR="0" wp14:anchorId="3DCE17B7" wp14:editId="2229D6E6">
            <wp:extent cx="4316095" cy="3078641"/>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4968"/>
                    <a:stretch/>
                  </pic:blipFill>
                  <pic:spPr bwMode="auto">
                    <a:xfrm>
                      <a:off x="0" y="0"/>
                      <a:ext cx="4316661" cy="3079045"/>
                    </a:xfrm>
                    <a:prstGeom prst="rect">
                      <a:avLst/>
                    </a:prstGeom>
                    <a:noFill/>
                    <a:ln>
                      <a:noFill/>
                    </a:ln>
                    <a:extLst>
                      <a:ext uri="{53640926-AAD7-44D8-BBD7-CCE9431645EC}">
                        <a14:shadowObscured xmlns:a14="http://schemas.microsoft.com/office/drawing/2010/main"/>
                      </a:ext>
                    </a:extLst>
                  </pic:spPr>
                </pic:pic>
              </a:graphicData>
            </a:graphic>
          </wp:inline>
        </w:drawing>
      </w:r>
    </w:p>
    <w:p w14:paraId="2D5EEAA0" w14:textId="5E634F6D" w:rsidR="00A82B12" w:rsidRDefault="009155D4" w:rsidP="00EB1206">
      <w:pPr>
        <w:rPr>
          <w:rFonts w:cs="Arial"/>
          <w:lang w:eastAsia="ko-KR" w:bidi="he-IL"/>
        </w:rPr>
      </w:pPr>
      <w:r>
        <w:rPr>
          <w:b/>
        </w:rPr>
        <w:br w:type="page"/>
      </w:r>
      <w:r w:rsidR="00A82B12" w:rsidRPr="009C2282">
        <w:rPr>
          <w:b/>
        </w:rPr>
        <w:lastRenderedPageBreak/>
        <w:t xml:space="preserve">Figure </w:t>
      </w:r>
      <w:r w:rsidR="00A82B12">
        <w:rPr>
          <w:b/>
        </w:rPr>
        <w:t>3</w:t>
      </w:r>
      <w:r w:rsidR="00A82B12" w:rsidRPr="009C2282">
        <w:rPr>
          <w:b/>
        </w:rPr>
        <w:t xml:space="preserve"> Kaplan-Meier curve of </w:t>
      </w:r>
      <w:r w:rsidR="00A82B12" w:rsidRPr="00525B4D">
        <w:rPr>
          <w:b/>
        </w:rPr>
        <w:t>Investigator-assessed PFS</w:t>
      </w:r>
      <w:r w:rsidR="00A82B12">
        <w:rPr>
          <w:b/>
        </w:rPr>
        <w:t xml:space="preserve"> from Stage 2</w:t>
      </w:r>
    </w:p>
    <w:p w14:paraId="2D5BC721" w14:textId="77777777" w:rsidR="00A82B12" w:rsidRPr="00CD1201" w:rsidRDefault="00A82B12" w:rsidP="00EB1206">
      <w:pPr>
        <w:rPr>
          <w:rFonts w:cs="Arial"/>
          <w:lang w:eastAsia="ko-KR" w:bidi="he-IL"/>
        </w:rPr>
      </w:pPr>
      <w:r>
        <w:rPr>
          <w:rFonts w:cs="Arial"/>
          <w:noProof/>
          <w:lang w:val="en-AU"/>
        </w:rPr>
        <w:drawing>
          <wp:inline distT="0" distB="0" distL="0" distR="0" wp14:anchorId="4BC9AE54" wp14:editId="13C59825">
            <wp:extent cx="4317810" cy="3078836"/>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68"/>
                    <a:stretch/>
                  </pic:blipFill>
                  <pic:spPr bwMode="auto">
                    <a:xfrm>
                      <a:off x="0" y="0"/>
                      <a:ext cx="4318117" cy="3079055"/>
                    </a:xfrm>
                    <a:prstGeom prst="rect">
                      <a:avLst/>
                    </a:prstGeom>
                    <a:noFill/>
                    <a:ln>
                      <a:noFill/>
                    </a:ln>
                    <a:extLst>
                      <a:ext uri="{53640926-AAD7-44D8-BBD7-CCE9431645EC}">
                        <a14:shadowObscured xmlns:a14="http://schemas.microsoft.com/office/drawing/2010/main"/>
                      </a:ext>
                    </a:extLst>
                  </pic:spPr>
                </pic:pic>
              </a:graphicData>
            </a:graphic>
          </wp:inline>
        </w:drawing>
      </w:r>
    </w:p>
    <w:p w14:paraId="34F31003" w14:textId="77777777" w:rsidR="00A82B12" w:rsidRPr="00FF1D63" w:rsidRDefault="00A82B12" w:rsidP="00EB1206">
      <w:pPr>
        <w:pStyle w:val="Heading4"/>
        <w:rPr>
          <w:lang w:val="fr-FR"/>
        </w:rPr>
      </w:pPr>
      <w:r w:rsidRPr="00FF1D63">
        <w:rPr>
          <w:lang w:val="fr-FR"/>
        </w:rPr>
        <w:t xml:space="preserve">Non-Hodgkin </w:t>
      </w:r>
      <w:proofErr w:type="spellStart"/>
      <w:r w:rsidRPr="00FF1D63">
        <w:rPr>
          <w:lang w:val="fr-FR"/>
        </w:rPr>
        <w:t>Lymphoma</w:t>
      </w:r>
      <w:proofErr w:type="spellEnd"/>
      <w:r w:rsidRPr="00FF1D63">
        <w:rPr>
          <w:lang w:val="fr-FR"/>
        </w:rPr>
        <w:t xml:space="preserve"> (</w:t>
      </w:r>
      <w:proofErr w:type="spellStart"/>
      <w:r w:rsidRPr="00FF1D63">
        <w:rPr>
          <w:lang w:val="fr-FR"/>
        </w:rPr>
        <w:t>Follicular</w:t>
      </w:r>
      <w:proofErr w:type="spellEnd"/>
      <w:r w:rsidRPr="00FF1D63">
        <w:rPr>
          <w:lang w:val="fr-FR"/>
        </w:rPr>
        <w:t xml:space="preserve"> </w:t>
      </w:r>
      <w:proofErr w:type="spellStart"/>
      <w:r w:rsidRPr="00FF1D63">
        <w:rPr>
          <w:lang w:val="fr-FR"/>
        </w:rPr>
        <w:t>Lymphoma</w:t>
      </w:r>
      <w:proofErr w:type="spellEnd"/>
      <w:r w:rsidRPr="00FF1D63">
        <w:rPr>
          <w:lang w:val="fr-FR"/>
        </w:rPr>
        <w:t>)</w:t>
      </w:r>
    </w:p>
    <w:p w14:paraId="6BBA0074" w14:textId="77777777" w:rsidR="00A82B12" w:rsidRPr="00151C21" w:rsidRDefault="00A82B12" w:rsidP="00EB1206">
      <w:pPr>
        <w:pStyle w:val="Heading5"/>
        <w:rPr>
          <w:lang w:val="en-US"/>
        </w:rPr>
      </w:pPr>
      <w:r w:rsidRPr="00151C21">
        <w:rPr>
          <w:lang w:val="en-US"/>
        </w:rPr>
        <w:t>Previously Untreated Follicular Lymphoma</w:t>
      </w:r>
    </w:p>
    <w:p w14:paraId="59B05946" w14:textId="77777777" w:rsidR="00A82B12" w:rsidRDefault="00A82B12" w:rsidP="00EB1206">
      <w:pPr>
        <w:spacing w:after="240"/>
        <w:rPr>
          <w:lang w:val="en-US"/>
        </w:rPr>
      </w:pPr>
      <w:r w:rsidRPr="00C601A7">
        <w:rPr>
          <w:lang w:val="en-US"/>
        </w:rPr>
        <w:t xml:space="preserve">In a </w:t>
      </w:r>
      <w:proofErr w:type="spellStart"/>
      <w:r w:rsidRPr="00C601A7">
        <w:rPr>
          <w:lang w:val="en-US"/>
        </w:rPr>
        <w:t>multicentre</w:t>
      </w:r>
      <w:proofErr w:type="spellEnd"/>
      <w:r w:rsidRPr="00C601A7">
        <w:rPr>
          <w:lang w:val="en-US"/>
        </w:rPr>
        <w:t xml:space="preserve"> phase III, open-label, </w:t>
      </w:r>
      <w:proofErr w:type="spellStart"/>
      <w:r w:rsidRPr="00C601A7">
        <w:rPr>
          <w:lang w:val="en-US"/>
        </w:rPr>
        <w:t>randomi</w:t>
      </w:r>
      <w:r>
        <w:rPr>
          <w:lang w:val="en-US"/>
        </w:rPr>
        <w:t>sed</w:t>
      </w:r>
      <w:proofErr w:type="spellEnd"/>
      <w:r>
        <w:rPr>
          <w:lang w:val="en-US"/>
        </w:rPr>
        <w:t xml:space="preserve"> study (BO21223/GALLIUM), 1401 previously untreated patients with either stage II (bulky)/III/IV follicular lymphoma (FL) (n=1202) or marginal zone lymphoma (MZL) (n=199)</w:t>
      </w:r>
      <w:r w:rsidRPr="00C601A7">
        <w:rPr>
          <w:lang w:val="en-US"/>
        </w:rPr>
        <w:t xml:space="preserve"> were </w:t>
      </w:r>
      <w:proofErr w:type="spellStart"/>
      <w:r>
        <w:rPr>
          <w:lang w:val="en-US"/>
        </w:rPr>
        <w:t>randomised</w:t>
      </w:r>
      <w:proofErr w:type="spellEnd"/>
      <w:r>
        <w:rPr>
          <w:lang w:val="en-US"/>
        </w:rPr>
        <w:t xml:space="preserve">. Of the 199 patients </w:t>
      </w:r>
      <w:proofErr w:type="spellStart"/>
      <w:r>
        <w:rPr>
          <w:lang w:val="en-US"/>
        </w:rPr>
        <w:t>randomised</w:t>
      </w:r>
      <w:proofErr w:type="spellEnd"/>
      <w:r>
        <w:rPr>
          <w:lang w:val="en-US"/>
        </w:rPr>
        <w:t xml:space="preserve"> to the MZL cohort, 4 presented with a non-MZL histology</w:t>
      </w:r>
      <w:r w:rsidRPr="00C601A7">
        <w:rPr>
          <w:lang w:val="en-US"/>
        </w:rPr>
        <w:t xml:space="preserve">. Patients were </w:t>
      </w:r>
      <w:proofErr w:type="spellStart"/>
      <w:r w:rsidRPr="00C601A7">
        <w:rPr>
          <w:lang w:val="en-US"/>
        </w:rPr>
        <w:t>randomi</w:t>
      </w:r>
      <w:r>
        <w:rPr>
          <w:lang w:val="en-US"/>
        </w:rPr>
        <w:t>s</w:t>
      </w:r>
      <w:r w:rsidRPr="00C601A7">
        <w:rPr>
          <w:lang w:val="en-US"/>
        </w:rPr>
        <w:t>ed</w:t>
      </w:r>
      <w:proofErr w:type="spellEnd"/>
      <w:r w:rsidRPr="00C601A7">
        <w:rPr>
          <w:lang w:val="en-US"/>
        </w:rPr>
        <w:t xml:space="preserve"> </w:t>
      </w:r>
      <w:r>
        <w:rPr>
          <w:lang w:val="en-US"/>
        </w:rPr>
        <w:t xml:space="preserve">1:1 to receive either Gazyva or </w:t>
      </w:r>
      <w:r w:rsidRPr="00C601A7">
        <w:rPr>
          <w:lang w:val="en-US"/>
        </w:rPr>
        <w:t>rituximab in combination with chemothera</w:t>
      </w:r>
      <w:r>
        <w:rPr>
          <w:lang w:val="en-US"/>
        </w:rPr>
        <w:t xml:space="preserve">py (CHOP, CVP, or </w:t>
      </w:r>
      <w:proofErr w:type="spellStart"/>
      <w:r>
        <w:rPr>
          <w:lang w:val="en-US"/>
        </w:rPr>
        <w:t>bendamustine</w:t>
      </w:r>
      <w:proofErr w:type="spellEnd"/>
      <w:r>
        <w:rPr>
          <w:lang w:val="en-US"/>
        </w:rPr>
        <w:t xml:space="preserve">) </w:t>
      </w:r>
      <w:r w:rsidRPr="00C601A7">
        <w:rPr>
          <w:lang w:val="en-US"/>
        </w:rPr>
        <w:t>followed by G</w:t>
      </w:r>
      <w:r>
        <w:rPr>
          <w:lang w:val="en-US"/>
        </w:rPr>
        <w:t>azyva</w:t>
      </w:r>
      <w:r w:rsidRPr="00C601A7">
        <w:rPr>
          <w:lang w:val="en-US"/>
        </w:rPr>
        <w:t xml:space="preserve"> or rituximab maintenance in patients who achieved a</w:t>
      </w:r>
      <w:r>
        <w:rPr>
          <w:lang w:val="en-US"/>
        </w:rPr>
        <w:t xml:space="preserve"> </w:t>
      </w:r>
      <w:r w:rsidRPr="00C601A7">
        <w:rPr>
          <w:lang w:val="en-US"/>
        </w:rPr>
        <w:t>complete or partial response.</w:t>
      </w:r>
      <w:r>
        <w:rPr>
          <w:lang w:val="en-US"/>
        </w:rPr>
        <w:t xml:space="preserve"> The remainder of the study description focuses on the FL population.</w:t>
      </w:r>
    </w:p>
    <w:p w14:paraId="5D5DCB70" w14:textId="77777777" w:rsidR="00A82B12" w:rsidRDefault="00A82B12" w:rsidP="00EB1206">
      <w:pPr>
        <w:spacing w:after="240"/>
        <w:rPr>
          <w:lang w:val="en-US"/>
        </w:rPr>
      </w:pPr>
      <w:r w:rsidRPr="00C601A7">
        <w:rPr>
          <w:lang w:val="en-US"/>
        </w:rPr>
        <w:t>The demographic data and baseline characteri</w:t>
      </w:r>
      <w:r>
        <w:rPr>
          <w:lang w:val="en-US"/>
        </w:rPr>
        <w:t xml:space="preserve">stics of the FL population were </w:t>
      </w:r>
      <w:r w:rsidRPr="00C601A7">
        <w:rPr>
          <w:lang w:val="en-US"/>
        </w:rPr>
        <w:t>well balanced</w:t>
      </w:r>
      <w:r>
        <w:rPr>
          <w:lang w:val="en-US"/>
        </w:rPr>
        <w:t xml:space="preserve">. The </w:t>
      </w:r>
      <w:r w:rsidRPr="00C601A7">
        <w:rPr>
          <w:lang w:val="en-US"/>
        </w:rPr>
        <w:t>median age was 59 years</w:t>
      </w:r>
      <w:r>
        <w:rPr>
          <w:lang w:val="en-US"/>
        </w:rPr>
        <w:t xml:space="preserve">, </w:t>
      </w:r>
      <w:proofErr w:type="gramStart"/>
      <w:r>
        <w:rPr>
          <w:lang w:val="en-US"/>
        </w:rPr>
        <w:t>the majority of</w:t>
      </w:r>
      <w:proofErr w:type="gramEnd"/>
      <w:r>
        <w:rPr>
          <w:lang w:val="en-US"/>
        </w:rPr>
        <w:t xml:space="preserve"> patients were </w:t>
      </w:r>
      <w:r w:rsidRPr="00C601A7">
        <w:rPr>
          <w:lang w:val="en-US"/>
        </w:rPr>
        <w:t>Caucasian (81%), and female (53%). Seventy-ni</w:t>
      </w:r>
      <w:r>
        <w:rPr>
          <w:lang w:val="en-US"/>
        </w:rPr>
        <w:t xml:space="preserve">ne percent of patients had a FLIPI score of ≥ 2. Seven percent </w:t>
      </w:r>
      <w:r w:rsidRPr="00C601A7">
        <w:rPr>
          <w:lang w:val="en-US"/>
        </w:rPr>
        <w:t>had Stage II (bulky)</w:t>
      </w:r>
      <w:r>
        <w:rPr>
          <w:lang w:val="en-US"/>
        </w:rPr>
        <w:t xml:space="preserve"> disease</w:t>
      </w:r>
      <w:r w:rsidRPr="00C601A7">
        <w:rPr>
          <w:lang w:val="en-US"/>
        </w:rPr>
        <w:t>, 35% had</w:t>
      </w:r>
      <w:r>
        <w:rPr>
          <w:lang w:val="en-US"/>
        </w:rPr>
        <w:t xml:space="preserve"> Stage III disease and 57% had Stage IV </w:t>
      </w:r>
      <w:r w:rsidRPr="00C601A7">
        <w:rPr>
          <w:lang w:val="en-US"/>
        </w:rPr>
        <w:t xml:space="preserve">disease. Fifty-seven percent received </w:t>
      </w:r>
      <w:proofErr w:type="spellStart"/>
      <w:r w:rsidRPr="00C601A7">
        <w:rPr>
          <w:lang w:val="en-US"/>
        </w:rPr>
        <w:t>benda</w:t>
      </w:r>
      <w:r>
        <w:rPr>
          <w:lang w:val="en-US"/>
        </w:rPr>
        <w:t>mustine</w:t>
      </w:r>
      <w:proofErr w:type="spellEnd"/>
      <w:r>
        <w:rPr>
          <w:lang w:val="en-US"/>
        </w:rPr>
        <w:t xml:space="preserve">, 33% received CHOP, and </w:t>
      </w:r>
      <w:r w:rsidRPr="00C601A7">
        <w:rPr>
          <w:lang w:val="en-US"/>
        </w:rPr>
        <w:t>10% received CVP chemotherapy. Forty-four percent had bulky</w:t>
      </w:r>
      <w:r>
        <w:rPr>
          <w:lang w:val="en-US"/>
        </w:rPr>
        <w:t xml:space="preserve"> disease (&gt; 7 cm), </w:t>
      </w:r>
      <w:r w:rsidRPr="00C601A7">
        <w:rPr>
          <w:lang w:val="en-US"/>
        </w:rPr>
        <w:t xml:space="preserve">34% had at least one B-symptom </w:t>
      </w:r>
      <w:r>
        <w:rPr>
          <w:lang w:val="en-US"/>
        </w:rPr>
        <w:t xml:space="preserve">at baseline and 97% had an ECOG </w:t>
      </w:r>
      <w:r w:rsidRPr="00C601A7">
        <w:rPr>
          <w:lang w:val="en-US"/>
        </w:rPr>
        <w:t>performance</w:t>
      </w:r>
      <w:r>
        <w:rPr>
          <w:lang w:val="en-US"/>
        </w:rPr>
        <w:t xml:space="preserve"> status of 0-1 at baseline.</w:t>
      </w:r>
    </w:p>
    <w:p w14:paraId="72526EF0" w14:textId="6A3A2F77" w:rsidR="00A82B12" w:rsidRPr="00C601A7" w:rsidRDefault="00A82B12" w:rsidP="00EB1206">
      <w:pPr>
        <w:spacing w:after="240"/>
        <w:rPr>
          <w:lang w:val="en-US"/>
        </w:rPr>
      </w:pPr>
      <w:r w:rsidRPr="00C601A7">
        <w:rPr>
          <w:lang w:val="en-US"/>
        </w:rPr>
        <w:t>G</w:t>
      </w:r>
      <w:r>
        <w:rPr>
          <w:lang w:val="en-US"/>
        </w:rPr>
        <w:t>azyva</w:t>
      </w:r>
      <w:r w:rsidRPr="00C601A7">
        <w:rPr>
          <w:lang w:val="en-US"/>
        </w:rPr>
        <w:t xml:space="preserve"> (1000 mg) was administered intravenou</w:t>
      </w:r>
      <w:r>
        <w:rPr>
          <w:lang w:val="en-US"/>
        </w:rPr>
        <w:t>sly</w:t>
      </w:r>
      <w:r w:rsidRPr="00C601A7">
        <w:rPr>
          <w:lang w:val="en-US"/>
        </w:rPr>
        <w:t xml:space="preserve"> prior to chemotherapy</w:t>
      </w:r>
      <w:r>
        <w:rPr>
          <w:lang w:val="en-US"/>
        </w:rPr>
        <w:t xml:space="preserve"> as described </w:t>
      </w:r>
      <w:r w:rsidR="00CE03AC">
        <w:rPr>
          <w:lang w:val="en-US"/>
        </w:rPr>
        <w:t>in section 4.2 Dose and method of administration</w:t>
      </w:r>
      <w:r w:rsidR="00CE0181">
        <w:rPr>
          <w:lang w:val="en-US"/>
        </w:rPr>
        <w:t xml:space="preserve"> – Follicular Lymphoma</w:t>
      </w:r>
      <w:r w:rsidR="00CE03AC">
        <w:rPr>
          <w:lang w:val="en-US"/>
        </w:rPr>
        <w:t>.</w:t>
      </w:r>
      <w:r w:rsidRPr="00C601A7">
        <w:rPr>
          <w:lang w:val="en-US"/>
        </w:rPr>
        <w:t xml:space="preserve"> </w:t>
      </w:r>
      <w:proofErr w:type="spellStart"/>
      <w:r w:rsidRPr="00C601A7">
        <w:rPr>
          <w:lang w:val="en-US"/>
        </w:rPr>
        <w:t>Benda</w:t>
      </w:r>
      <w:r>
        <w:rPr>
          <w:lang w:val="en-US"/>
        </w:rPr>
        <w:t>mustine</w:t>
      </w:r>
      <w:proofErr w:type="spellEnd"/>
      <w:r>
        <w:rPr>
          <w:lang w:val="en-US"/>
        </w:rPr>
        <w:t xml:space="preserve"> was given </w:t>
      </w:r>
      <w:r w:rsidRPr="00C601A7">
        <w:rPr>
          <w:lang w:val="en-US"/>
        </w:rPr>
        <w:t>intravenously on Days 1 and 2 for all trea</w:t>
      </w:r>
      <w:r>
        <w:rPr>
          <w:lang w:val="en-US"/>
        </w:rPr>
        <w:t>tment cycles (Cycles 1-6) at 90 mg/m</w:t>
      </w:r>
      <w:r w:rsidRPr="00831183">
        <w:rPr>
          <w:vertAlign w:val="superscript"/>
          <w:lang w:val="en-US"/>
        </w:rPr>
        <w:t>2</w:t>
      </w:r>
      <w:r w:rsidRPr="00C601A7">
        <w:rPr>
          <w:lang w:val="en-US"/>
        </w:rPr>
        <w:t xml:space="preserve">/day when given in combination with </w:t>
      </w:r>
      <w:r>
        <w:rPr>
          <w:lang w:val="en-US"/>
        </w:rPr>
        <w:t xml:space="preserve">Gazyva. Standard dosing of </w:t>
      </w:r>
      <w:r w:rsidRPr="00C601A7">
        <w:rPr>
          <w:lang w:val="en-US"/>
        </w:rPr>
        <w:t xml:space="preserve">CHOP </w:t>
      </w:r>
      <w:r>
        <w:rPr>
          <w:lang w:val="en-US"/>
        </w:rPr>
        <w:t xml:space="preserve">(n=6 cycles) </w:t>
      </w:r>
      <w:r w:rsidRPr="00C601A7">
        <w:rPr>
          <w:lang w:val="en-US"/>
        </w:rPr>
        <w:t>and CVP</w:t>
      </w:r>
      <w:r>
        <w:rPr>
          <w:lang w:val="en-US"/>
        </w:rPr>
        <w:t xml:space="preserve"> (n=8 cycles) </w:t>
      </w:r>
      <w:r w:rsidRPr="00C601A7">
        <w:rPr>
          <w:lang w:val="en-US"/>
        </w:rPr>
        <w:t>was given. Following Cycle</w:t>
      </w:r>
      <w:r>
        <w:rPr>
          <w:lang w:val="en-US"/>
        </w:rPr>
        <w:t xml:space="preserve">s 6-8, when Gazyva was given in </w:t>
      </w:r>
      <w:r w:rsidRPr="00C601A7">
        <w:rPr>
          <w:lang w:val="en-US"/>
        </w:rPr>
        <w:t>combination with chemotherapy, G</w:t>
      </w:r>
      <w:r>
        <w:rPr>
          <w:lang w:val="en-US"/>
        </w:rPr>
        <w:t>azyva</w:t>
      </w:r>
      <w:r w:rsidRPr="00C601A7">
        <w:rPr>
          <w:lang w:val="en-US"/>
        </w:rPr>
        <w:t xml:space="preserve"> main</w:t>
      </w:r>
      <w:r>
        <w:rPr>
          <w:lang w:val="en-US"/>
        </w:rPr>
        <w:t xml:space="preserve">tenance therapy was given every </w:t>
      </w:r>
      <w:r w:rsidRPr="00C601A7">
        <w:rPr>
          <w:lang w:val="en-US"/>
        </w:rPr>
        <w:t>2 months for 2 years for responding patients o</w:t>
      </w:r>
      <w:r>
        <w:rPr>
          <w:lang w:val="en-US"/>
        </w:rPr>
        <w:t>r until disease progression</w:t>
      </w:r>
      <w:r w:rsidRPr="00C601A7">
        <w:rPr>
          <w:lang w:val="en-US"/>
        </w:rPr>
        <w:t>.</w:t>
      </w:r>
    </w:p>
    <w:p w14:paraId="5F76D290" w14:textId="22EAF95E" w:rsidR="00A82B12" w:rsidRDefault="00A82B12" w:rsidP="00EB1206">
      <w:pPr>
        <w:spacing w:after="240"/>
        <w:rPr>
          <w:lang w:val="en-US"/>
        </w:rPr>
      </w:pPr>
      <w:r w:rsidRPr="00C601A7">
        <w:rPr>
          <w:lang w:val="en-US"/>
        </w:rPr>
        <w:t xml:space="preserve">Efficacy results are </w:t>
      </w:r>
      <w:proofErr w:type="spellStart"/>
      <w:r w:rsidRPr="00C601A7">
        <w:rPr>
          <w:lang w:val="en-US"/>
        </w:rPr>
        <w:t>summari</w:t>
      </w:r>
      <w:r>
        <w:rPr>
          <w:lang w:val="en-US"/>
        </w:rPr>
        <w:t>s</w:t>
      </w:r>
      <w:r w:rsidRPr="00C601A7">
        <w:rPr>
          <w:lang w:val="en-US"/>
        </w:rPr>
        <w:t>ed</w:t>
      </w:r>
      <w:proofErr w:type="spellEnd"/>
      <w:r w:rsidRPr="00C601A7">
        <w:rPr>
          <w:lang w:val="en-US"/>
        </w:rPr>
        <w:t xml:space="preserve"> in Table </w:t>
      </w:r>
      <w:r w:rsidR="005D2569">
        <w:rPr>
          <w:lang w:val="en-US"/>
        </w:rPr>
        <w:t>1</w:t>
      </w:r>
      <w:r w:rsidR="00DF242D">
        <w:rPr>
          <w:lang w:val="en-US"/>
        </w:rPr>
        <w:t>3</w:t>
      </w:r>
      <w:r w:rsidRPr="00C601A7">
        <w:rPr>
          <w:lang w:val="en-US"/>
        </w:rPr>
        <w:t xml:space="preserve">. </w:t>
      </w:r>
      <w:r>
        <w:rPr>
          <w:lang w:val="en-US"/>
        </w:rPr>
        <w:t xml:space="preserve">Kaplan-Meier curves for PFS are </w:t>
      </w:r>
      <w:r w:rsidRPr="00C601A7">
        <w:rPr>
          <w:lang w:val="en-US"/>
        </w:rPr>
        <w:t>shown in Figure 4.</w:t>
      </w:r>
    </w:p>
    <w:p w14:paraId="191BB9FB" w14:textId="77777777" w:rsidR="00B85F84" w:rsidRDefault="00B85F84" w:rsidP="00EB1206">
      <w:pPr>
        <w:spacing w:after="240"/>
        <w:rPr>
          <w:lang w:val="en-US"/>
        </w:rPr>
      </w:pPr>
    </w:p>
    <w:p w14:paraId="6C78D55F" w14:textId="2B6D4CCA" w:rsidR="00A82B12" w:rsidRDefault="00A82B12" w:rsidP="00EB1206">
      <w:pPr>
        <w:spacing w:after="120"/>
        <w:rPr>
          <w:lang w:val="en-US"/>
        </w:rPr>
      </w:pPr>
      <w:r w:rsidRPr="005A3916">
        <w:rPr>
          <w:b/>
          <w:lang w:val="en-US"/>
        </w:rPr>
        <w:t xml:space="preserve">Table </w:t>
      </w:r>
      <w:r w:rsidR="005D2569">
        <w:rPr>
          <w:b/>
          <w:lang w:val="en-US"/>
        </w:rPr>
        <w:t>1</w:t>
      </w:r>
      <w:r w:rsidR="00DF242D">
        <w:rPr>
          <w:b/>
          <w:lang w:val="en-US"/>
        </w:rPr>
        <w:t>3</w:t>
      </w:r>
      <w:r w:rsidRPr="005A3916">
        <w:rPr>
          <w:b/>
          <w:lang w:val="en-US"/>
        </w:rPr>
        <w:t xml:space="preserve"> Summary of efficacy in </w:t>
      </w:r>
      <w:r w:rsidRPr="00E8637D">
        <w:rPr>
          <w:b/>
          <w:lang w:val="en-US"/>
        </w:rPr>
        <w:t>FL</w:t>
      </w:r>
      <w:r w:rsidRPr="005A3916">
        <w:rPr>
          <w:b/>
          <w:lang w:val="en-US"/>
        </w:rPr>
        <w:t xml:space="preserve"> patients from </w:t>
      </w:r>
      <w:r>
        <w:rPr>
          <w:b/>
          <w:lang w:val="en-US"/>
        </w:rPr>
        <w:t>BO21223 (GALLIUM)</w:t>
      </w:r>
      <w:r w:rsidRPr="005A3916">
        <w:rPr>
          <w:b/>
          <w:lang w:val="en-US"/>
        </w:rPr>
        <w:t xml:space="preserve"> study</w:t>
      </w:r>
    </w:p>
    <w:tbl>
      <w:tblPr>
        <w:tblW w:w="9078" w:type="dxa"/>
        <w:tblInd w:w="51" w:type="dxa"/>
        <w:tblLayout w:type="fixed"/>
        <w:tblCellMar>
          <w:left w:w="57" w:type="dxa"/>
          <w:right w:w="57" w:type="dxa"/>
        </w:tblCellMar>
        <w:tblLook w:val="00A0" w:firstRow="1" w:lastRow="0" w:firstColumn="1" w:lastColumn="0" w:noHBand="0" w:noVBand="0"/>
      </w:tblPr>
      <w:tblGrid>
        <w:gridCol w:w="3557"/>
        <w:gridCol w:w="2828"/>
        <w:gridCol w:w="2693"/>
      </w:tblGrid>
      <w:tr w:rsidR="00A82B12" w:rsidRPr="00D5102A" w14:paraId="1E68C07F" w14:textId="77777777" w:rsidTr="00616FE6">
        <w:trPr>
          <w:cantSplit/>
          <w:tblHeader/>
        </w:trPr>
        <w:tc>
          <w:tcPr>
            <w:tcW w:w="3557" w:type="dxa"/>
            <w:tcBorders>
              <w:top w:val="single" w:sz="4" w:space="0" w:color="auto"/>
              <w:left w:val="single" w:sz="4" w:space="0" w:color="auto"/>
              <w:bottom w:val="single" w:sz="4" w:space="0" w:color="auto"/>
              <w:right w:val="single" w:sz="4" w:space="0" w:color="auto"/>
            </w:tcBorders>
            <w:vAlign w:val="bottom"/>
          </w:tcPr>
          <w:p w14:paraId="729E8F66" w14:textId="77777777" w:rsidR="00A82B12" w:rsidRPr="00ED6A89" w:rsidRDefault="00A82B12" w:rsidP="00EB1206">
            <w:pPr>
              <w:keepNext/>
              <w:keepLines/>
              <w:spacing w:before="50" w:after="50" w:line="240" w:lineRule="exact"/>
              <w:rPr>
                <w:rFonts w:eastAsia="SimSun"/>
                <w:sz w:val="22"/>
                <w:lang w:val="en-GB" w:eastAsia="zh-CN"/>
              </w:rPr>
            </w:pPr>
          </w:p>
        </w:tc>
        <w:tc>
          <w:tcPr>
            <w:tcW w:w="2828" w:type="dxa"/>
            <w:tcBorders>
              <w:top w:val="single" w:sz="4" w:space="0" w:color="auto"/>
              <w:left w:val="single" w:sz="4" w:space="0" w:color="auto"/>
              <w:bottom w:val="single" w:sz="4" w:space="0" w:color="auto"/>
              <w:right w:val="dashSmallGap" w:sz="4" w:space="0" w:color="auto"/>
            </w:tcBorders>
            <w:vAlign w:val="center"/>
          </w:tcPr>
          <w:p w14:paraId="47F03FDA" w14:textId="77777777" w:rsidR="00A82B12" w:rsidRPr="00ED6A89" w:rsidRDefault="00A82B12" w:rsidP="00EB1206">
            <w:pPr>
              <w:keepNext/>
              <w:keepLines/>
              <w:spacing w:before="50" w:after="50" w:line="240" w:lineRule="exact"/>
              <w:rPr>
                <w:rFonts w:eastAsia="SimSun"/>
                <w:b/>
                <w:sz w:val="22"/>
                <w:lang w:val="en-GB" w:eastAsia="zh-CN"/>
              </w:rPr>
            </w:pPr>
            <w:r w:rsidRPr="00D5102A">
              <w:rPr>
                <w:rFonts w:eastAsia="SimSun"/>
                <w:b/>
                <w:sz w:val="22"/>
                <w:lang w:val="en-GB" w:eastAsia="zh-CN"/>
              </w:rPr>
              <w:t>Rituximab + c</w:t>
            </w:r>
            <w:r w:rsidRPr="00ED6A89">
              <w:rPr>
                <w:rFonts w:eastAsia="SimSun"/>
                <w:b/>
                <w:sz w:val="22"/>
                <w:lang w:val="en-GB" w:eastAsia="zh-CN"/>
              </w:rPr>
              <w:t>hemotherapy followed by rituximab maintenance</w:t>
            </w:r>
          </w:p>
          <w:p w14:paraId="66CE7B83" w14:textId="77777777" w:rsidR="00A82B12" w:rsidRPr="00ED6A89" w:rsidRDefault="00A82B12" w:rsidP="00EB1206">
            <w:pPr>
              <w:keepNext/>
              <w:keepLines/>
              <w:spacing w:before="50" w:after="50" w:line="240" w:lineRule="exact"/>
              <w:rPr>
                <w:rFonts w:eastAsia="SimSun"/>
                <w:b/>
                <w:sz w:val="22"/>
                <w:lang w:val="en-GB" w:eastAsia="zh-CN"/>
              </w:rPr>
            </w:pPr>
            <w:r w:rsidRPr="00D5102A">
              <w:rPr>
                <w:rFonts w:eastAsia="SimSun"/>
                <w:b/>
                <w:sz w:val="22"/>
                <w:lang w:val="en-GB" w:eastAsia="zh-CN"/>
              </w:rPr>
              <w:t>n</w:t>
            </w:r>
            <w:r w:rsidRPr="00ED6A89">
              <w:rPr>
                <w:rFonts w:eastAsia="SimSun"/>
                <w:b/>
                <w:sz w:val="22"/>
                <w:lang w:val="en-GB" w:eastAsia="zh-CN"/>
              </w:rPr>
              <w:t>=601</w:t>
            </w:r>
          </w:p>
        </w:tc>
        <w:tc>
          <w:tcPr>
            <w:tcW w:w="2693" w:type="dxa"/>
            <w:tcBorders>
              <w:top w:val="single" w:sz="4" w:space="0" w:color="auto"/>
              <w:left w:val="dashSmallGap" w:sz="4" w:space="0" w:color="auto"/>
              <w:bottom w:val="single" w:sz="4" w:space="0" w:color="auto"/>
              <w:right w:val="single" w:sz="4" w:space="0" w:color="auto"/>
            </w:tcBorders>
            <w:vAlign w:val="center"/>
          </w:tcPr>
          <w:p w14:paraId="1A655152" w14:textId="77777777" w:rsidR="00A82B12" w:rsidRPr="00ED6A89" w:rsidRDefault="00A82B12" w:rsidP="00EB1206">
            <w:pPr>
              <w:keepNext/>
              <w:keepLines/>
              <w:spacing w:before="50" w:after="50" w:line="240" w:lineRule="exact"/>
              <w:rPr>
                <w:rFonts w:eastAsia="SimSun"/>
                <w:b/>
                <w:sz w:val="22"/>
                <w:lang w:val="en-GB" w:eastAsia="zh-CN"/>
              </w:rPr>
            </w:pPr>
            <w:r w:rsidRPr="00D5102A">
              <w:rPr>
                <w:rFonts w:eastAsia="SimSun"/>
                <w:b/>
                <w:sz w:val="22"/>
                <w:lang w:val="en-GB" w:eastAsia="zh-CN"/>
              </w:rPr>
              <w:t>G</w:t>
            </w:r>
            <w:r>
              <w:rPr>
                <w:rFonts w:eastAsia="SimSun"/>
                <w:b/>
                <w:sz w:val="22"/>
                <w:lang w:val="en-GB" w:eastAsia="zh-CN"/>
              </w:rPr>
              <w:t>azyva</w:t>
            </w:r>
            <w:r w:rsidRPr="00D5102A">
              <w:rPr>
                <w:rFonts w:eastAsia="SimSun"/>
                <w:b/>
                <w:sz w:val="22"/>
                <w:lang w:val="en-GB" w:eastAsia="zh-CN"/>
              </w:rPr>
              <w:t xml:space="preserve"> + c</w:t>
            </w:r>
            <w:r w:rsidRPr="00ED6A89">
              <w:rPr>
                <w:rFonts w:eastAsia="SimSun"/>
                <w:b/>
                <w:sz w:val="22"/>
                <w:lang w:val="en-GB" w:eastAsia="zh-CN"/>
              </w:rPr>
              <w:t>hemotherapy followed by G</w:t>
            </w:r>
            <w:r>
              <w:rPr>
                <w:rFonts w:eastAsia="SimSun"/>
                <w:b/>
                <w:sz w:val="22"/>
                <w:lang w:val="en-GB" w:eastAsia="zh-CN"/>
              </w:rPr>
              <w:t>azyva</w:t>
            </w:r>
            <w:r w:rsidRPr="00ED6A89">
              <w:rPr>
                <w:rFonts w:eastAsia="SimSun"/>
                <w:b/>
                <w:sz w:val="22"/>
                <w:lang w:val="en-GB" w:eastAsia="zh-CN"/>
              </w:rPr>
              <w:t xml:space="preserve"> maintenance</w:t>
            </w:r>
          </w:p>
          <w:p w14:paraId="3BED6C83" w14:textId="77777777" w:rsidR="00A82B12" w:rsidRPr="00ED6A89" w:rsidRDefault="00A82B12" w:rsidP="00EB1206">
            <w:pPr>
              <w:keepNext/>
              <w:keepLines/>
              <w:spacing w:before="50" w:after="50" w:line="240" w:lineRule="exact"/>
              <w:rPr>
                <w:rFonts w:eastAsia="SimSun"/>
                <w:b/>
                <w:sz w:val="22"/>
                <w:lang w:val="en-GB" w:eastAsia="zh-CN"/>
              </w:rPr>
            </w:pPr>
            <w:r w:rsidRPr="00D5102A">
              <w:rPr>
                <w:rFonts w:eastAsia="SimSun"/>
                <w:b/>
                <w:sz w:val="22"/>
                <w:lang w:val="en-GB" w:eastAsia="zh-CN"/>
              </w:rPr>
              <w:t>n</w:t>
            </w:r>
            <w:r w:rsidRPr="00ED6A89">
              <w:rPr>
                <w:rFonts w:eastAsia="SimSun"/>
                <w:b/>
                <w:sz w:val="22"/>
                <w:lang w:val="en-GB" w:eastAsia="zh-CN"/>
              </w:rPr>
              <w:t>=601</w:t>
            </w:r>
          </w:p>
        </w:tc>
      </w:tr>
      <w:tr w:rsidR="00A82B12" w:rsidRPr="00D5102A" w14:paraId="2C651D27" w14:textId="77777777" w:rsidTr="00616FE6">
        <w:trPr>
          <w:cantSplit/>
        </w:trPr>
        <w:tc>
          <w:tcPr>
            <w:tcW w:w="3557" w:type="dxa"/>
            <w:tcBorders>
              <w:top w:val="single" w:sz="4" w:space="0" w:color="auto"/>
              <w:left w:val="single" w:sz="4" w:space="0" w:color="auto"/>
              <w:bottom w:val="single" w:sz="4" w:space="0" w:color="auto"/>
              <w:right w:val="single" w:sz="4" w:space="0" w:color="auto"/>
            </w:tcBorders>
            <w:vAlign w:val="bottom"/>
          </w:tcPr>
          <w:p w14:paraId="33AD98FC" w14:textId="77777777" w:rsidR="00A82B12" w:rsidRPr="00ED6A89" w:rsidRDefault="00A82B12" w:rsidP="00EB1206">
            <w:pPr>
              <w:keepLines/>
              <w:spacing w:before="50" w:after="50" w:line="240" w:lineRule="exact"/>
              <w:rPr>
                <w:rFonts w:eastAsia="SimSun"/>
                <w:b/>
                <w:i/>
                <w:sz w:val="22"/>
                <w:lang w:val="en-GB" w:eastAsia="zh-CN"/>
              </w:rPr>
            </w:pPr>
          </w:p>
        </w:tc>
        <w:tc>
          <w:tcPr>
            <w:tcW w:w="2828" w:type="dxa"/>
            <w:tcBorders>
              <w:top w:val="single" w:sz="4" w:space="0" w:color="auto"/>
              <w:left w:val="single" w:sz="4" w:space="0" w:color="auto"/>
              <w:bottom w:val="single" w:sz="4" w:space="0" w:color="auto"/>
              <w:right w:val="single" w:sz="4" w:space="0" w:color="auto"/>
            </w:tcBorders>
          </w:tcPr>
          <w:p w14:paraId="25D2D503" w14:textId="77777777" w:rsidR="00A82B12" w:rsidRPr="00ED6A89" w:rsidRDefault="00A82B12" w:rsidP="00EB1206">
            <w:pPr>
              <w:keepNext/>
              <w:keepLines/>
              <w:spacing w:before="50" w:after="50" w:line="240" w:lineRule="exact"/>
              <w:rPr>
                <w:rFonts w:eastAsia="SimSun"/>
                <w:b/>
                <w:i/>
                <w:sz w:val="22"/>
                <w:lang w:val="en-GB" w:eastAsia="zh-CN"/>
              </w:rPr>
            </w:pPr>
            <w:r w:rsidRPr="00ED6A89">
              <w:rPr>
                <w:rFonts w:eastAsia="SimSun"/>
                <w:b/>
                <w:sz w:val="22"/>
                <w:lang w:val="en-GB" w:eastAsia="zh-CN"/>
              </w:rPr>
              <w:t>Median observation time 34 months</w:t>
            </w:r>
          </w:p>
        </w:tc>
        <w:tc>
          <w:tcPr>
            <w:tcW w:w="2693" w:type="dxa"/>
            <w:tcBorders>
              <w:top w:val="single" w:sz="4" w:space="0" w:color="auto"/>
              <w:left w:val="single" w:sz="4" w:space="0" w:color="auto"/>
              <w:bottom w:val="single" w:sz="4" w:space="0" w:color="auto"/>
              <w:right w:val="single" w:sz="4" w:space="0" w:color="auto"/>
            </w:tcBorders>
            <w:vAlign w:val="bottom"/>
          </w:tcPr>
          <w:p w14:paraId="2442A949" w14:textId="77777777" w:rsidR="00A82B12" w:rsidRPr="00ED6A89" w:rsidRDefault="00A82B12" w:rsidP="00EB1206">
            <w:pPr>
              <w:keepNext/>
              <w:keepLines/>
              <w:spacing w:before="50" w:after="50" w:line="240" w:lineRule="exact"/>
              <w:rPr>
                <w:rFonts w:eastAsia="SimSun"/>
                <w:b/>
                <w:i/>
                <w:sz w:val="22"/>
                <w:lang w:val="en-GB" w:eastAsia="zh-CN"/>
              </w:rPr>
            </w:pPr>
            <w:r w:rsidRPr="00ED6A89">
              <w:rPr>
                <w:rFonts w:eastAsia="SimSun"/>
                <w:b/>
                <w:sz w:val="22"/>
                <w:lang w:val="en-GB" w:eastAsia="zh-CN"/>
              </w:rPr>
              <w:t>Median observation time 35 months</w:t>
            </w:r>
          </w:p>
        </w:tc>
      </w:tr>
      <w:tr w:rsidR="00A82B12" w:rsidRPr="00D5102A" w14:paraId="788AE71F" w14:textId="77777777" w:rsidTr="00616FE6">
        <w:trPr>
          <w:cantSplit/>
        </w:trPr>
        <w:tc>
          <w:tcPr>
            <w:tcW w:w="3557" w:type="dxa"/>
            <w:tcBorders>
              <w:top w:val="single" w:sz="4" w:space="0" w:color="auto"/>
              <w:left w:val="single" w:sz="4" w:space="0" w:color="auto"/>
              <w:bottom w:val="single" w:sz="4" w:space="0" w:color="auto"/>
              <w:right w:val="single" w:sz="4" w:space="0" w:color="auto"/>
            </w:tcBorders>
            <w:vAlign w:val="bottom"/>
          </w:tcPr>
          <w:p w14:paraId="3E1C2D85" w14:textId="77777777" w:rsidR="00A82B12" w:rsidRPr="00ED6A89" w:rsidRDefault="00A82B12" w:rsidP="00EB1206">
            <w:pPr>
              <w:keepLines/>
              <w:spacing w:before="50" w:after="50" w:line="240" w:lineRule="exact"/>
              <w:rPr>
                <w:rFonts w:eastAsia="SimSun"/>
                <w:b/>
                <w:i/>
                <w:sz w:val="22"/>
                <w:lang w:val="en-GB" w:eastAsia="zh-CN"/>
              </w:rPr>
            </w:pPr>
            <w:r w:rsidRPr="00ED6A89">
              <w:rPr>
                <w:rFonts w:eastAsia="SimSun"/>
                <w:b/>
                <w:i/>
                <w:sz w:val="22"/>
                <w:lang w:val="en-GB" w:eastAsia="zh-CN"/>
              </w:rPr>
              <w:t>Primary Endpoint</w:t>
            </w:r>
          </w:p>
        </w:tc>
        <w:tc>
          <w:tcPr>
            <w:tcW w:w="5521" w:type="dxa"/>
            <w:gridSpan w:val="2"/>
            <w:tcBorders>
              <w:top w:val="single" w:sz="4" w:space="0" w:color="auto"/>
              <w:left w:val="single" w:sz="4" w:space="0" w:color="auto"/>
              <w:bottom w:val="single" w:sz="4" w:space="0" w:color="auto"/>
              <w:right w:val="single" w:sz="4" w:space="0" w:color="auto"/>
            </w:tcBorders>
            <w:vAlign w:val="bottom"/>
          </w:tcPr>
          <w:p w14:paraId="5A0B24AD" w14:textId="77777777" w:rsidR="00A82B12" w:rsidRPr="00ED6A89" w:rsidRDefault="00A82B12" w:rsidP="00EB1206">
            <w:pPr>
              <w:keepNext/>
              <w:keepLines/>
              <w:spacing w:before="50" w:after="50" w:line="240" w:lineRule="exact"/>
              <w:rPr>
                <w:rFonts w:eastAsia="SimSun"/>
                <w:b/>
                <w:i/>
                <w:sz w:val="22"/>
                <w:lang w:val="en-GB" w:eastAsia="zh-CN"/>
              </w:rPr>
            </w:pPr>
          </w:p>
        </w:tc>
      </w:tr>
      <w:tr w:rsidR="00A82B12" w:rsidRPr="00D5102A" w14:paraId="4E4902B2" w14:textId="77777777" w:rsidTr="00616FE6">
        <w:trPr>
          <w:cantSplit/>
        </w:trPr>
        <w:tc>
          <w:tcPr>
            <w:tcW w:w="3557" w:type="dxa"/>
            <w:tcBorders>
              <w:top w:val="single" w:sz="4" w:space="0" w:color="auto"/>
              <w:left w:val="single" w:sz="4" w:space="0" w:color="auto"/>
              <w:bottom w:val="nil"/>
              <w:right w:val="single" w:sz="4" w:space="0" w:color="auto"/>
            </w:tcBorders>
            <w:vAlign w:val="bottom"/>
          </w:tcPr>
          <w:p w14:paraId="03D18E25" w14:textId="77777777" w:rsidR="00A82B12" w:rsidRPr="00ED6A89" w:rsidRDefault="00A82B12" w:rsidP="00EB1206">
            <w:pPr>
              <w:keepLines/>
              <w:spacing w:before="50" w:after="50" w:line="240" w:lineRule="exact"/>
              <w:rPr>
                <w:rFonts w:eastAsia="SimSun"/>
                <w:b/>
                <w:sz w:val="22"/>
                <w:vertAlign w:val="superscript"/>
                <w:lang w:val="en-GB" w:eastAsia="zh-CN"/>
              </w:rPr>
            </w:pPr>
            <w:r w:rsidRPr="00ED6A89">
              <w:rPr>
                <w:rFonts w:eastAsia="SimSun"/>
                <w:b/>
                <w:sz w:val="22"/>
                <w:lang w:val="en-GB" w:eastAsia="zh-CN"/>
              </w:rPr>
              <w:t>Investigator-assessed PFS</w:t>
            </w:r>
            <w:r w:rsidRPr="00ED6A89">
              <w:rPr>
                <w:rFonts w:eastAsia="SimSun"/>
                <w:sz w:val="22"/>
                <w:vertAlign w:val="superscript"/>
                <w:lang w:val="en-US" w:eastAsia="zh-CN"/>
              </w:rPr>
              <w:t>§</w:t>
            </w:r>
            <w:r w:rsidRPr="00ED6A89">
              <w:rPr>
                <w:rFonts w:eastAsia="SimSun"/>
                <w:b/>
                <w:sz w:val="22"/>
                <w:lang w:val="en-GB" w:eastAsia="zh-CN"/>
              </w:rPr>
              <w:t xml:space="preserve"> (PFS-INV)</w:t>
            </w:r>
            <w:r w:rsidRPr="00ED6A89" w:rsidDel="007D3FF6">
              <w:rPr>
                <w:rFonts w:eastAsia="SimSun"/>
                <w:b/>
                <w:sz w:val="22"/>
                <w:vertAlign w:val="superscript"/>
                <w:lang w:val="en-GB" w:eastAsia="zh-CN"/>
              </w:rPr>
              <w:t xml:space="preserve"> </w:t>
            </w:r>
          </w:p>
        </w:tc>
        <w:tc>
          <w:tcPr>
            <w:tcW w:w="5521" w:type="dxa"/>
            <w:gridSpan w:val="2"/>
            <w:tcBorders>
              <w:top w:val="single" w:sz="4" w:space="0" w:color="auto"/>
              <w:left w:val="single" w:sz="4" w:space="0" w:color="auto"/>
              <w:right w:val="single" w:sz="4" w:space="0" w:color="auto"/>
            </w:tcBorders>
            <w:vAlign w:val="bottom"/>
          </w:tcPr>
          <w:p w14:paraId="1946DAEA" w14:textId="77777777" w:rsidR="00A82B12" w:rsidRPr="00ED6A89" w:rsidRDefault="00A82B12" w:rsidP="00EB1206">
            <w:pPr>
              <w:keepNext/>
              <w:keepLines/>
              <w:spacing w:before="50" w:after="50" w:line="240" w:lineRule="exact"/>
              <w:rPr>
                <w:rFonts w:eastAsia="MS Mincho"/>
                <w:sz w:val="22"/>
                <w:lang w:val="en-US" w:eastAsia="ja-JP"/>
              </w:rPr>
            </w:pPr>
          </w:p>
        </w:tc>
      </w:tr>
      <w:tr w:rsidR="00A82B12" w:rsidRPr="00D5102A" w14:paraId="4AFA8F14" w14:textId="77777777" w:rsidTr="00616FE6">
        <w:trPr>
          <w:cantSplit/>
        </w:trPr>
        <w:tc>
          <w:tcPr>
            <w:tcW w:w="3557" w:type="dxa"/>
            <w:tcBorders>
              <w:top w:val="nil"/>
              <w:left w:val="single" w:sz="4" w:space="0" w:color="auto"/>
              <w:bottom w:val="nil"/>
              <w:right w:val="single" w:sz="4" w:space="0" w:color="auto"/>
            </w:tcBorders>
            <w:vAlign w:val="bottom"/>
          </w:tcPr>
          <w:p w14:paraId="61F94FA3"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 xml:space="preserve">Number (%) of patients with event </w:t>
            </w:r>
          </w:p>
        </w:tc>
        <w:tc>
          <w:tcPr>
            <w:tcW w:w="2828" w:type="dxa"/>
            <w:tcBorders>
              <w:left w:val="single" w:sz="4" w:space="0" w:color="auto"/>
            </w:tcBorders>
            <w:vAlign w:val="bottom"/>
          </w:tcPr>
          <w:p w14:paraId="34710C6A" w14:textId="77777777" w:rsidR="00A82B12" w:rsidRPr="00ED6A89" w:rsidRDefault="00A82B12" w:rsidP="00EB1206">
            <w:pPr>
              <w:keepNext/>
              <w:keepLines/>
              <w:tabs>
                <w:tab w:val="left" w:pos="1840"/>
              </w:tabs>
              <w:spacing w:before="50" w:after="50" w:line="240" w:lineRule="exact"/>
              <w:rPr>
                <w:rFonts w:eastAsia="SimSun"/>
                <w:sz w:val="22"/>
                <w:lang w:val="en-GB" w:eastAsia="zh-CN"/>
              </w:rPr>
            </w:pPr>
            <w:r w:rsidRPr="00ED6A89">
              <w:rPr>
                <w:rFonts w:eastAsia="SimSun"/>
                <w:sz w:val="22"/>
                <w:lang w:val="en-GB" w:eastAsia="zh-CN"/>
              </w:rPr>
              <w:t>144 (24.0%)</w:t>
            </w:r>
          </w:p>
        </w:tc>
        <w:tc>
          <w:tcPr>
            <w:tcW w:w="2693" w:type="dxa"/>
            <w:tcBorders>
              <w:left w:val="nil"/>
              <w:right w:val="single" w:sz="4" w:space="0" w:color="auto"/>
            </w:tcBorders>
            <w:vAlign w:val="bottom"/>
          </w:tcPr>
          <w:p w14:paraId="6FF5FD12"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101 (16.8%)</w:t>
            </w:r>
          </w:p>
        </w:tc>
      </w:tr>
      <w:tr w:rsidR="00A82B12" w:rsidRPr="00D5102A" w14:paraId="0B8497D4" w14:textId="77777777" w:rsidTr="00616FE6">
        <w:trPr>
          <w:cantSplit/>
        </w:trPr>
        <w:tc>
          <w:tcPr>
            <w:tcW w:w="3557" w:type="dxa"/>
            <w:tcBorders>
              <w:top w:val="nil"/>
              <w:left w:val="single" w:sz="4" w:space="0" w:color="auto"/>
              <w:bottom w:val="nil"/>
              <w:right w:val="single" w:sz="4" w:space="0" w:color="auto"/>
            </w:tcBorders>
            <w:vAlign w:val="bottom"/>
          </w:tcPr>
          <w:p w14:paraId="094FCFB4"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HR [95% CI]</w:t>
            </w:r>
          </w:p>
        </w:tc>
        <w:tc>
          <w:tcPr>
            <w:tcW w:w="5521" w:type="dxa"/>
            <w:gridSpan w:val="2"/>
            <w:tcBorders>
              <w:left w:val="single" w:sz="4" w:space="0" w:color="auto"/>
              <w:right w:val="single" w:sz="4" w:space="0" w:color="auto"/>
            </w:tcBorders>
            <w:vAlign w:val="bottom"/>
          </w:tcPr>
          <w:p w14:paraId="55DFF346"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0.66 [0.51, 0.85]</w:t>
            </w:r>
          </w:p>
        </w:tc>
      </w:tr>
      <w:tr w:rsidR="00A82B12" w:rsidRPr="00D5102A" w14:paraId="3EA64996" w14:textId="77777777" w:rsidTr="00616FE6">
        <w:trPr>
          <w:cantSplit/>
        </w:trPr>
        <w:tc>
          <w:tcPr>
            <w:tcW w:w="3557" w:type="dxa"/>
            <w:tcBorders>
              <w:top w:val="nil"/>
              <w:left w:val="single" w:sz="4" w:space="0" w:color="auto"/>
              <w:bottom w:val="nil"/>
              <w:right w:val="single" w:sz="4" w:space="0" w:color="auto"/>
            </w:tcBorders>
            <w:vAlign w:val="bottom"/>
          </w:tcPr>
          <w:p w14:paraId="78C159DB"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p-value (Log-Rank test, stratified*)</w:t>
            </w:r>
          </w:p>
        </w:tc>
        <w:tc>
          <w:tcPr>
            <w:tcW w:w="5521" w:type="dxa"/>
            <w:gridSpan w:val="2"/>
            <w:tcBorders>
              <w:left w:val="single" w:sz="4" w:space="0" w:color="auto"/>
              <w:right w:val="single" w:sz="4" w:space="0" w:color="auto"/>
            </w:tcBorders>
            <w:vAlign w:val="bottom"/>
          </w:tcPr>
          <w:p w14:paraId="2CA12F74"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0.0012</w:t>
            </w:r>
          </w:p>
        </w:tc>
      </w:tr>
      <w:tr w:rsidR="00A82B12" w:rsidRPr="00D5102A" w14:paraId="5251E46C" w14:textId="77777777" w:rsidTr="00616FE6">
        <w:trPr>
          <w:cantSplit/>
        </w:trPr>
        <w:tc>
          <w:tcPr>
            <w:tcW w:w="3557" w:type="dxa"/>
            <w:tcBorders>
              <w:top w:val="nil"/>
              <w:left w:val="single" w:sz="4" w:space="0" w:color="auto"/>
              <w:bottom w:val="nil"/>
              <w:right w:val="single" w:sz="4" w:space="0" w:color="auto"/>
            </w:tcBorders>
          </w:tcPr>
          <w:p w14:paraId="0C61CE2C" w14:textId="77777777" w:rsidR="00A82B12" w:rsidRPr="00ED6A89" w:rsidRDefault="00A82B12" w:rsidP="00EB1206">
            <w:pPr>
              <w:keepLines/>
              <w:spacing w:before="50" w:after="50" w:line="240" w:lineRule="exact"/>
              <w:ind w:left="226"/>
              <w:rPr>
                <w:rFonts w:eastAsia="SimSun"/>
                <w:sz w:val="22"/>
                <w:lang w:val="en-GB" w:eastAsia="zh-CN"/>
              </w:rPr>
            </w:pPr>
            <w:proofErr w:type="gramStart"/>
            <w:r w:rsidRPr="00ED6A89">
              <w:rPr>
                <w:rFonts w:eastAsia="SimSun"/>
                <w:sz w:val="22"/>
                <w:lang w:val="en-GB" w:eastAsia="zh-CN"/>
              </w:rPr>
              <w:t>2 year</w:t>
            </w:r>
            <w:proofErr w:type="gramEnd"/>
            <w:r w:rsidRPr="00ED6A89">
              <w:rPr>
                <w:rFonts w:eastAsia="SimSun"/>
                <w:sz w:val="22"/>
                <w:lang w:val="en-GB" w:eastAsia="zh-CN"/>
              </w:rPr>
              <w:t xml:space="preserve"> PFS estimate</w:t>
            </w:r>
          </w:p>
          <w:p w14:paraId="1F2F16D3"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14:paraId="6C8B4FE7" w14:textId="00C1B585"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80.9</w:t>
            </w:r>
          </w:p>
          <w:p w14:paraId="3785340D"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[77.4, 84.0]</w:t>
            </w:r>
          </w:p>
        </w:tc>
        <w:tc>
          <w:tcPr>
            <w:tcW w:w="2693" w:type="dxa"/>
            <w:tcBorders>
              <w:right w:val="single" w:sz="4" w:space="0" w:color="auto"/>
            </w:tcBorders>
            <w:vAlign w:val="bottom"/>
          </w:tcPr>
          <w:p w14:paraId="0C2A9631" w14:textId="225D6B43"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87.7</w:t>
            </w:r>
          </w:p>
          <w:p w14:paraId="58D08381"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[84.6, 90.1]</w:t>
            </w:r>
          </w:p>
        </w:tc>
      </w:tr>
      <w:tr w:rsidR="00A82B12" w:rsidRPr="00D5102A" w14:paraId="30A1EDF1" w14:textId="77777777" w:rsidTr="00616FE6">
        <w:trPr>
          <w:cantSplit/>
        </w:trPr>
        <w:tc>
          <w:tcPr>
            <w:tcW w:w="3557" w:type="dxa"/>
            <w:tcBorders>
              <w:top w:val="nil"/>
              <w:left w:val="single" w:sz="4" w:space="0" w:color="auto"/>
              <w:bottom w:val="nil"/>
              <w:right w:val="single" w:sz="4" w:space="0" w:color="auto"/>
            </w:tcBorders>
          </w:tcPr>
          <w:p w14:paraId="2AB4E70A" w14:textId="77777777" w:rsidR="00A82B12" w:rsidRPr="00ED6A89" w:rsidRDefault="00A82B12" w:rsidP="00EB1206">
            <w:pPr>
              <w:keepLines/>
              <w:spacing w:before="50" w:after="50" w:line="240" w:lineRule="exact"/>
              <w:ind w:left="226"/>
              <w:rPr>
                <w:rFonts w:eastAsia="SimSun"/>
                <w:sz w:val="22"/>
                <w:lang w:val="en-GB" w:eastAsia="zh-CN"/>
              </w:rPr>
            </w:pPr>
            <w:proofErr w:type="gramStart"/>
            <w:r w:rsidRPr="00ED6A89">
              <w:rPr>
                <w:rFonts w:eastAsia="SimSun"/>
                <w:sz w:val="22"/>
                <w:lang w:val="en-GB" w:eastAsia="zh-CN"/>
              </w:rPr>
              <w:t>3 year</w:t>
            </w:r>
            <w:proofErr w:type="gramEnd"/>
            <w:r w:rsidRPr="00ED6A89">
              <w:rPr>
                <w:rFonts w:eastAsia="SimSun"/>
                <w:sz w:val="22"/>
                <w:lang w:val="en-GB" w:eastAsia="zh-CN"/>
              </w:rPr>
              <w:t xml:space="preserve"> PFS estimate </w:t>
            </w:r>
          </w:p>
          <w:p w14:paraId="7910425F"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14:paraId="7FCF2B3F"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73.3</w:t>
            </w:r>
          </w:p>
          <w:p w14:paraId="49BB1017"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[68.8, 77.2]</w:t>
            </w:r>
          </w:p>
        </w:tc>
        <w:tc>
          <w:tcPr>
            <w:tcW w:w="2693" w:type="dxa"/>
            <w:tcBorders>
              <w:right w:val="single" w:sz="4" w:space="0" w:color="auto"/>
            </w:tcBorders>
          </w:tcPr>
          <w:p w14:paraId="2865141B"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80.0</w:t>
            </w:r>
          </w:p>
          <w:p w14:paraId="48C109CE"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[75.9, 83.6]</w:t>
            </w:r>
          </w:p>
        </w:tc>
      </w:tr>
      <w:tr w:rsidR="00A82B12" w:rsidRPr="00D5102A" w14:paraId="54838D66" w14:textId="77777777" w:rsidTr="00616FE6">
        <w:trPr>
          <w:cantSplit/>
        </w:trPr>
        <w:tc>
          <w:tcPr>
            <w:tcW w:w="3557" w:type="dxa"/>
            <w:tcBorders>
              <w:top w:val="single" w:sz="4" w:space="0" w:color="auto"/>
              <w:left w:val="single" w:sz="4" w:space="0" w:color="auto"/>
              <w:bottom w:val="single" w:sz="4" w:space="0" w:color="auto"/>
              <w:right w:val="single" w:sz="4" w:space="0" w:color="auto"/>
            </w:tcBorders>
            <w:vAlign w:val="bottom"/>
          </w:tcPr>
          <w:p w14:paraId="4F3202AD" w14:textId="77777777" w:rsidR="00A82B12" w:rsidRPr="00ED6A89" w:rsidRDefault="00A82B12" w:rsidP="00EB1206">
            <w:pPr>
              <w:keepLines/>
              <w:spacing w:before="50" w:after="50" w:line="240" w:lineRule="exact"/>
              <w:rPr>
                <w:rFonts w:eastAsia="SimSun"/>
                <w:b/>
                <w:i/>
                <w:sz w:val="22"/>
                <w:lang w:val="en-GB" w:eastAsia="zh-CN"/>
              </w:rPr>
            </w:pPr>
            <w:r w:rsidRPr="00ED6A89">
              <w:rPr>
                <w:rFonts w:eastAsia="SimSun"/>
                <w:b/>
                <w:i/>
                <w:sz w:val="22"/>
                <w:lang w:val="en-GB" w:eastAsia="zh-CN"/>
              </w:rPr>
              <w:t>Key Endpoints</w:t>
            </w:r>
          </w:p>
        </w:tc>
        <w:tc>
          <w:tcPr>
            <w:tcW w:w="5521" w:type="dxa"/>
            <w:gridSpan w:val="2"/>
            <w:tcBorders>
              <w:top w:val="single" w:sz="4" w:space="0" w:color="auto"/>
              <w:left w:val="single" w:sz="4" w:space="0" w:color="auto"/>
              <w:bottom w:val="single" w:sz="4" w:space="0" w:color="auto"/>
              <w:right w:val="single" w:sz="4" w:space="0" w:color="auto"/>
            </w:tcBorders>
            <w:vAlign w:val="bottom"/>
          </w:tcPr>
          <w:p w14:paraId="4C9D95AB" w14:textId="77777777" w:rsidR="00A82B12" w:rsidRPr="00ED6A89" w:rsidRDefault="00A82B12" w:rsidP="00EB1206">
            <w:pPr>
              <w:keepNext/>
              <w:keepLines/>
              <w:spacing w:before="50" w:after="50" w:line="240" w:lineRule="exact"/>
              <w:rPr>
                <w:rFonts w:eastAsia="SimSun"/>
                <w:b/>
                <w:i/>
                <w:sz w:val="22"/>
                <w:lang w:val="en-GB" w:eastAsia="zh-CN"/>
              </w:rPr>
            </w:pPr>
          </w:p>
        </w:tc>
      </w:tr>
      <w:tr w:rsidR="00A82B12" w:rsidRPr="00D5102A" w14:paraId="399CBDB4" w14:textId="77777777" w:rsidTr="00616FE6">
        <w:trPr>
          <w:cantSplit/>
        </w:trPr>
        <w:tc>
          <w:tcPr>
            <w:tcW w:w="3557" w:type="dxa"/>
            <w:tcBorders>
              <w:top w:val="single" w:sz="4" w:space="0" w:color="auto"/>
              <w:left w:val="single" w:sz="4" w:space="0" w:color="auto"/>
              <w:bottom w:val="nil"/>
              <w:right w:val="single" w:sz="4" w:space="0" w:color="auto"/>
            </w:tcBorders>
            <w:vAlign w:val="bottom"/>
          </w:tcPr>
          <w:p w14:paraId="55D45872" w14:textId="77777777" w:rsidR="00A82B12" w:rsidRPr="00ED6A89" w:rsidRDefault="00A82B12" w:rsidP="00EB1206">
            <w:pPr>
              <w:keepLines/>
              <w:spacing w:before="50" w:after="50" w:line="240" w:lineRule="exact"/>
              <w:rPr>
                <w:rFonts w:eastAsia="SimSun"/>
                <w:b/>
                <w:sz w:val="22"/>
                <w:vertAlign w:val="superscript"/>
                <w:lang w:val="en-GB" w:eastAsia="zh-CN"/>
              </w:rPr>
            </w:pPr>
            <w:r w:rsidRPr="00ED6A89">
              <w:rPr>
                <w:rFonts w:eastAsia="SimSun"/>
                <w:b/>
                <w:sz w:val="22"/>
                <w:lang w:val="en-GB" w:eastAsia="zh-CN"/>
              </w:rPr>
              <w:t>IRC-assessed PFS</w:t>
            </w:r>
            <w:r w:rsidRPr="00ED6A89">
              <w:rPr>
                <w:rFonts w:eastAsia="SimSun"/>
                <w:sz w:val="22"/>
                <w:vertAlign w:val="superscript"/>
                <w:lang w:val="en-US" w:eastAsia="zh-CN"/>
              </w:rPr>
              <w:t>§</w:t>
            </w:r>
            <w:r w:rsidRPr="00ED6A89">
              <w:rPr>
                <w:rFonts w:eastAsia="SimSun"/>
                <w:b/>
                <w:sz w:val="22"/>
                <w:lang w:val="en-GB" w:eastAsia="zh-CN"/>
              </w:rPr>
              <w:t xml:space="preserve"> (PFS-IRC)</w:t>
            </w:r>
            <w:r w:rsidRPr="00ED6A89">
              <w:rPr>
                <w:rFonts w:eastAsia="SimSun"/>
                <w:sz w:val="22"/>
                <w:vertAlign w:val="superscript"/>
                <w:lang w:val="en-US" w:eastAsia="zh-CN"/>
              </w:rPr>
              <w:t xml:space="preserve"> </w:t>
            </w:r>
            <w:r w:rsidRPr="00ED6A89" w:rsidDel="007D3FF6">
              <w:rPr>
                <w:rFonts w:eastAsia="SimSun"/>
                <w:b/>
                <w:sz w:val="22"/>
                <w:vertAlign w:val="superscript"/>
                <w:lang w:val="en-GB" w:eastAsia="zh-CN"/>
              </w:rPr>
              <w:t xml:space="preserve"> </w:t>
            </w:r>
          </w:p>
        </w:tc>
        <w:tc>
          <w:tcPr>
            <w:tcW w:w="5521" w:type="dxa"/>
            <w:gridSpan w:val="2"/>
            <w:tcBorders>
              <w:top w:val="single" w:sz="4" w:space="0" w:color="auto"/>
              <w:left w:val="single" w:sz="4" w:space="0" w:color="auto"/>
              <w:right w:val="single" w:sz="4" w:space="0" w:color="auto"/>
            </w:tcBorders>
            <w:vAlign w:val="bottom"/>
          </w:tcPr>
          <w:p w14:paraId="4E51F7D0" w14:textId="77777777" w:rsidR="00A82B12" w:rsidRPr="00ED6A89" w:rsidRDefault="00A82B12" w:rsidP="00EB1206">
            <w:pPr>
              <w:keepNext/>
              <w:keepLines/>
              <w:spacing w:before="50" w:after="50" w:line="240" w:lineRule="exact"/>
              <w:rPr>
                <w:rFonts w:eastAsia="MS Mincho"/>
                <w:sz w:val="22"/>
                <w:lang w:val="en-US" w:eastAsia="ja-JP"/>
              </w:rPr>
            </w:pPr>
          </w:p>
        </w:tc>
      </w:tr>
      <w:tr w:rsidR="00A82B12" w:rsidRPr="00D5102A" w14:paraId="34788A81" w14:textId="77777777" w:rsidTr="00616FE6">
        <w:trPr>
          <w:cantSplit/>
        </w:trPr>
        <w:tc>
          <w:tcPr>
            <w:tcW w:w="3557" w:type="dxa"/>
            <w:tcBorders>
              <w:top w:val="nil"/>
              <w:left w:val="single" w:sz="4" w:space="0" w:color="auto"/>
              <w:bottom w:val="nil"/>
              <w:right w:val="single" w:sz="4" w:space="0" w:color="auto"/>
            </w:tcBorders>
            <w:vAlign w:val="bottom"/>
          </w:tcPr>
          <w:p w14:paraId="4D2685BF"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 xml:space="preserve">Number (%) of patients with event </w:t>
            </w:r>
          </w:p>
        </w:tc>
        <w:tc>
          <w:tcPr>
            <w:tcW w:w="2828" w:type="dxa"/>
            <w:tcBorders>
              <w:left w:val="single" w:sz="4" w:space="0" w:color="auto"/>
            </w:tcBorders>
            <w:vAlign w:val="bottom"/>
          </w:tcPr>
          <w:p w14:paraId="59E5C4AE" w14:textId="77777777" w:rsidR="00A82B12" w:rsidRPr="00ED6A89" w:rsidRDefault="00A82B12" w:rsidP="00EB1206">
            <w:pPr>
              <w:keepNext/>
              <w:keepLines/>
              <w:tabs>
                <w:tab w:val="left" w:pos="1840"/>
              </w:tabs>
              <w:spacing w:before="50" w:after="50" w:line="240" w:lineRule="exact"/>
              <w:rPr>
                <w:rFonts w:eastAsia="SimSun"/>
                <w:sz w:val="22"/>
                <w:lang w:val="en-GB" w:eastAsia="zh-CN"/>
              </w:rPr>
            </w:pPr>
            <w:r w:rsidRPr="00ED6A89">
              <w:rPr>
                <w:rFonts w:eastAsia="SimSun"/>
                <w:sz w:val="22"/>
                <w:lang w:val="en-GB" w:eastAsia="zh-CN"/>
              </w:rPr>
              <w:t>125 (20.8%)</w:t>
            </w:r>
          </w:p>
        </w:tc>
        <w:tc>
          <w:tcPr>
            <w:tcW w:w="2693" w:type="dxa"/>
            <w:tcBorders>
              <w:left w:val="nil"/>
              <w:right w:val="single" w:sz="4" w:space="0" w:color="auto"/>
            </w:tcBorders>
            <w:vAlign w:val="bottom"/>
          </w:tcPr>
          <w:p w14:paraId="5EB72E50"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93 (15.5%)</w:t>
            </w:r>
          </w:p>
        </w:tc>
      </w:tr>
      <w:tr w:rsidR="00A82B12" w:rsidRPr="00D5102A" w14:paraId="17776DA0" w14:textId="77777777" w:rsidTr="00616FE6">
        <w:trPr>
          <w:cantSplit/>
        </w:trPr>
        <w:tc>
          <w:tcPr>
            <w:tcW w:w="3557" w:type="dxa"/>
            <w:tcBorders>
              <w:top w:val="nil"/>
              <w:left w:val="single" w:sz="4" w:space="0" w:color="auto"/>
              <w:bottom w:val="nil"/>
              <w:right w:val="single" w:sz="4" w:space="0" w:color="auto"/>
            </w:tcBorders>
            <w:vAlign w:val="bottom"/>
          </w:tcPr>
          <w:p w14:paraId="0F664FBB"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HR [95% CI]</w:t>
            </w:r>
          </w:p>
        </w:tc>
        <w:tc>
          <w:tcPr>
            <w:tcW w:w="5521" w:type="dxa"/>
            <w:gridSpan w:val="2"/>
            <w:tcBorders>
              <w:left w:val="single" w:sz="4" w:space="0" w:color="auto"/>
              <w:right w:val="single" w:sz="4" w:space="0" w:color="auto"/>
            </w:tcBorders>
            <w:vAlign w:val="bottom"/>
          </w:tcPr>
          <w:p w14:paraId="630D7CBE"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0.71 [0.54, 0.93]</w:t>
            </w:r>
          </w:p>
        </w:tc>
      </w:tr>
      <w:tr w:rsidR="00A82B12" w:rsidRPr="00D5102A" w14:paraId="237F75DD" w14:textId="77777777" w:rsidTr="00616FE6">
        <w:trPr>
          <w:cantSplit/>
        </w:trPr>
        <w:tc>
          <w:tcPr>
            <w:tcW w:w="3557" w:type="dxa"/>
            <w:tcBorders>
              <w:top w:val="nil"/>
              <w:left w:val="single" w:sz="4" w:space="0" w:color="auto"/>
              <w:bottom w:val="nil"/>
              <w:right w:val="single" w:sz="4" w:space="0" w:color="auto"/>
            </w:tcBorders>
            <w:vAlign w:val="bottom"/>
          </w:tcPr>
          <w:p w14:paraId="5BB55C7A"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p-value (Log-Rank test, stratified*)</w:t>
            </w:r>
          </w:p>
        </w:tc>
        <w:tc>
          <w:tcPr>
            <w:tcW w:w="5521" w:type="dxa"/>
            <w:gridSpan w:val="2"/>
            <w:tcBorders>
              <w:left w:val="single" w:sz="4" w:space="0" w:color="auto"/>
              <w:right w:val="single" w:sz="4" w:space="0" w:color="auto"/>
            </w:tcBorders>
            <w:vAlign w:val="bottom"/>
          </w:tcPr>
          <w:p w14:paraId="57A9ADDA"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0.0138</w:t>
            </w:r>
          </w:p>
        </w:tc>
      </w:tr>
      <w:tr w:rsidR="00A82B12" w:rsidRPr="00D5102A" w14:paraId="4B01500F" w14:textId="77777777" w:rsidTr="00616FE6">
        <w:trPr>
          <w:cantSplit/>
        </w:trPr>
        <w:tc>
          <w:tcPr>
            <w:tcW w:w="3557" w:type="dxa"/>
            <w:tcBorders>
              <w:top w:val="nil"/>
              <w:left w:val="single" w:sz="4" w:space="0" w:color="auto"/>
              <w:bottom w:val="nil"/>
              <w:right w:val="single" w:sz="4" w:space="0" w:color="auto"/>
            </w:tcBorders>
          </w:tcPr>
          <w:p w14:paraId="6BD967D0" w14:textId="77777777" w:rsidR="00A82B12" w:rsidRPr="00ED6A89" w:rsidRDefault="00A82B12" w:rsidP="00EB1206">
            <w:pPr>
              <w:keepLines/>
              <w:spacing w:before="50" w:after="50" w:line="240" w:lineRule="exact"/>
              <w:ind w:left="226"/>
              <w:rPr>
                <w:rFonts w:eastAsia="SimSun"/>
                <w:sz w:val="22"/>
                <w:lang w:val="en-GB" w:eastAsia="zh-CN"/>
              </w:rPr>
            </w:pPr>
            <w:proofErr w:type="gramStart"/>
            <w:r w:rsidRPr="00ED6A89">
              <w:rPr>
                <w:rFonts w:eastAsia="SimSun"/>
                <w:sz w:val="22"/>
                <w:lang w:val="en-GB" w:eastAsia="zh-CN"/>
              </w:rPr>
              <w:t>2 year</w:t>
            </w:r>
            <w:proofErr w:type="gramEnd"/>
            <w:r w:rsidRPr="00ED6A89">
              <w:rPr>
                <w:rFonts w:eastAsia="SimSun"/>
                <w:sz w:val="22"/>
                <w:lang w:val="en-GB" w:eastAsia="zh-CN"/>
              </w:rPr>
              <w:t xml:space="preserve"> PFS estimate</w:t>
            </w:r>
          </w:p>
          <w:p w14:paraId="0E70902D"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14:paraId="0F57BA55"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82.0</w:t>
            </w:r>
          </w:p>
          <w:p w14:paraId="33941A42"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[78.5, 85.0]</w:t>
            </w:r>
          </w:p>
        </w:tc>
        <w:tc>
          <w:tcPr>
            <w:tcW w:w="2693" w:type="dxa"/>
            <w:tcBorders>
              <w:left w:val="nil"/>
              <w:right w:val="single" w:sz="4" w:space="0" w:color="auto"/>
            </w:tcBorders>
          </w:tcPr>
          <w:p w14:paraId="53C02579"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87.2</w:t>
            </w:r>
          </w:p>
          <w:p w14:paraId="0D6A8873"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[84.1, 89.7]</w:t>
            </w:r>
          </w:p>
        </w:tc>
      </w:tr>
      <w:tr w:rsidR="00A82B12" w:rsidRPr="00D5102A" w14:paraId="4E988C32" w14:textId="77777777" w:rsidTr="00616FE6">
        <w:trPr>
          <w:cantSplit/>
        </w:trPr>
        <w:tc>
          <w:tcPr>
            <w:tcW w:w="3557" w:type="dxa"/>
            <w:tcBorders>
              <w:top w:val="nil"/>
              <w:left w:val="single" w:sz="4" w:space="0" w:color="auto"/>
              <w:bottom w:val="nil"/>
              <w:right w:val="single" w:sz="4" w:space="0" w:color="auto"/>
            </w:tcBorders>
          </w:tcPr>
          <w:p w14:paraId="0C6936B4" w14:textId="77777777" w:rsidR="00A82B12" w:rsidRPr="00ED6A89" w:rsidRDefault="00A82B12" w:rsidP="00EB1206">
            <w:pPr>
              <w:keepLines/>
              <w:spacing w:before="50" w:after="50" w:line="240" w:lineRule="exact"/>
              <w:ind w:left="226"/>
              <w:rPr>
                <w:rFonts w:eastAsia="SimSun"/>
                <w:sz w:val="22"/>
                <w:lang w:val="en-GB" w:eastAsia="zh-CN"/>
              </w:rPr>
            </w:pPr>
            <w:proofErr w:type="gramStart"/>
            <w:r w:rsidRPr="00ED6A89">
              <w:rPr>
                <w:rFonts w:eastAsia="SimSun"/>
                <w:sz w:val="22"/>
                <w:lang w:val="en-GB" w:eastAsia="zh-CN"/>
              </w:rPr>
              <w:t>3 year</w:t>
            </w:r>
            <w:proofErr w:type="gramEnd"/>
            <w:r w:rsidRPr="00ED6A89">
              <w:rPr>
                <w:rFonts w:eastAsia="SimSun"/>
                <w:sz w:val="22"/>
                <w:lang w:val="en-GB" w:eastAsia="zh-CN"/>
              </w:rPr>
              <w:t xml:space="preserve"> PFS estimate</w:t>
            </w:r>
          </w:p>
          <w:p w14:paraId="3B645668"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14:paraId="1353A468"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77.9</w:t>
            </w:r>
          </w:p>
          <w:p w14:paraId="0AD6EE58"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[73.8, 81.4]</w:t>
            </w:r>
          </w:p>
        </w:tc>
        <w:tc>
          <w:tcPr>
            <w:tcW w:w="2693" w:type="dxa"/>
            <w:tcBorders>
              <w:left w:val="nil"/>
              <w:right w:val="single" w:sz="4" w:space="0" w:color="auto"/>
            </w:tcBorders>
          </w:tcPr>
          <w:p w14:paraId="72826129"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81.9</w:t>
            </w:r>
          </w:p>
          <w:p w14:paraId="0ED64EC5"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[77.9, 85.2]</w:t>
            </w:r>
          </w:p>
        </w:tc>
      </w:tr>
      <w:tr w:rsidR="00A82B12" w:rsidRPr="00D5102A" w14:paraId="7BA5B71B" w14:textId="77777777" w:rsidTr="00616FE6">
        <w:trPr>
          <w:cantSplit/>
        </w:trPr>
        <w:tc>
          <w:tcPr>
            <w:tcW w:w="3557" w:type="dxa"/>
            <w:tcBorders>
              <w:top w:val="single" w:sz="4" w:space="0" w:color="auto"/>
              <w:left w:val="single" w:sz="4" w:space="0" w:color="auto"/>
              <w:bottom w:val="nil"/>
              <w:right w:val="single" w:sz="4" w:space="0" w:color="auto"/>
            </w:tcBorders>
            <w:vAlign w:val="bottom"/>
          </w:tcPr>
          <w:p w14:paraId="4D472F95" w14:textId="77777777" w:rsidR="00A82B12" w:rsidRPr="00ED6A89" w:rsidRDefault="00A82B12" w:rsidP="00EB1206">
            <w:pPr>
              <w:keepLines/>
              <w:spacing w:before="50" w:after="50" w:line="240" w:lineRule="exact"/>
              <w:rPr>
                <w:rFonts w:eastAsia="SimSun"/>
                <w:b/>
                <w:sz w:val="22"/>
                <w:vertAlign w:val="superscript"/>
                <w:lang w:val="en-GB" w:eastAsia="zh-CN"/>
              </w:rPr>
            </w:pPr>
            <w:r w:rsidRPr="00ED6A89">
              <w:rPr>
                <w:rFonts w:eastAsia="SimSun"/>
                <w:b/>
                <w:sz w:val="22"/>
                <w:lang w:val="en-GB" w:eastAsia="zh-CN"/>
              </w:rPr>
              <w:t>Time to next anti-lymphoma therapy</w:t>
            </w:r>
            <w:r w:rsidRPr="00ED6A89" w:rsidDel="007D3FF6">
              <w:rPr>
                <w:rFonts w:eastAsia="SimSun"/>
                <w:b/>
                <w:sz w:val="22"/>
                <w:vertAlign w:val="superscript"/>
                <w:lang w:val="en-GB" w:eastAsia="zh-CN"/>
              </w:rPr>
              <w:t xml:space="preserve"> </w:t>
            </w:r>
          </w:p>
        </w:tc>
        <w:tc>
          <w:tcPr>
            <w:tcW w:w="5521" w:type="dxa"/>
            <w:gridSpan w:val="2"/>
            <w:tcBorders>
              <w:top w:val="single" w:sz="4" w:space="0" w:color="auto"/>
              <w:left w:val="single" w:sz="4" w:space="0" w:color="auto"/>
              <w:right w:val="single" w:sz="4" w:space="0" w:color="auto"/>
            </w:tcBorders>
            <w:vAlign w:val="bottom"/>
          </w:tcPr>
          <w:p w14:paraId="3EF943AA" w14:textId="77777777" w:rsidR="00A82B12" w:rsidRPr="00ED6A89" w:rsidRDefault="00A82B12" w:rsidP="00EB1206">
            <w:pPr>
              <w:keepNext/>
              <w:keepLines/>
              <w:spacing w:before="50" w:after="50" w:line="240" w:lineRule="exact"/>
              <w:rPr>
                <w:rFonts w:eastAsia="MS Mincho"/>
                <w:sz w:val="22"/>
                <w:lang w:val="en-US" w:eastAsia="ja-JP"/>
              </w:rPr>
            </w:pPr>
          </w:p>
        </w:tc>
      </w:tr>
      <w:tr w:rsidR="00A82B12" w:rsidRPr="00D5102A" w14:paraId="730B0D1E" w14:textId="77777777" w:rsidTr="00616FE6">
        <w:trPr>
          <w:cantSplit/>
        </w:trPr>
        <w:tc>
          <w:tcPr>
            <w:tcW w:w="3557" w:type="dxa"/>
            <w:tcBorders>
              <w:top w:val="nil"/>
              <w:left w:val="single" w:sz="4" w:space="0" w:color="auto"/>
              <w:bottom w:val="nil"/>
              <w:right w:val="single" w:sz="4" w:space="0" w:color="auto"/>
            </w:tcBorders>
            <w:vAlign w:val="bottom"/>
          </w:tcPr>
          <w:p w14:paraId="1F6E8BA9"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 xml:space="preserve">Number (%) of patients with event </w:t>
            </w:r>
          </w:p>
        </w:tc>
        <w:tc>
          <w:tcPr>
            <w:tcW w:w="2828" w:type="dxa"/>
            <w:tcBorders>
              <w:left w:val="single" w:sz="4" w:space="0" w:color="auto"/>
            </w:tcBorders>
            <w:vAlign w:val="bottom"/>
          </w:tcPr>
          <w:p w14:paraId="6EF087D1" w14:textId="77777777" w:rsidR="00A82B12" w:rsidRPr="00ED6A89" w:rsidRDefault="00A82B12" w:rsidP="00EB1206">
            <w:pPr>
              <w:keepNext/>
              <w:keepLines/>
              <w:tabs>
                <w:tab w:val="left" w:pos="1840"/>
              </w:tabs>
              <w:spacing w:before="50" w:after="50" w:line="240" w:lineRule="exact"/>
              <w:rPr>
                <w:rFonts w:eastAsia="SimSun"/>
                <w:sz w:val="22"/>
                <w:lang w:val="en-GB" w:eastAsia="zh-CN"/>
              </w:rPr>
            </w:pPr>
            <w:r w:rsidRPr="00ED6A89">
              <w:rPr>
                <w:rFonts w:eastAsia="SimSun"/>
                <w:sz w:val="22"/>
                <w:lang w:val="en-GB" w:eastAsia="zh-CN"/>
              </w:rPr>
              <w:t>111 (18.5%)</w:t>
            </w:r>
          </w:p>
        </w:tc>
        <w:tc>
          <w:tcPr>
            <w:tcW w:w="2693" w:type="dxa"/>
            <w:tcBorders>
              <w:left w:val="nil"/>
              <w:right w:val="single" w:sz="4" w:space="0" w:color="auto"/>
            </w:tcBorders>
            <w:vAlign w:val="bottom"/>
          </w:tcPr>
          <w:p w14:paraId="1C974A53"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80 (13.3%)</w:t>
            </w:r>
          </w:p>
        </w:tc>
      </w:tr>
      <w:tr w:rsidR="00A82B12" w:rsidRPr="00D5102A" w14:paraId="2B5233C4" w14:textId="77777777" w:rsidTr="00616FE6">
        <w:trPr>
          <w:cantSplit/>
        </w:trPr>
        <w:tc>
          <w:tcPr>
            <w:tcW w:w="3557" w:type="dxa"/>
            <w:tcBorders>
              <w:top w:val="nil"/>
              <w:left w:val="single" w:sz="4" w:space="0" w:color="auto"/>
              <w:bottom w:val="nil"/>
              <w:right w:val="single" w:sz="4" w:space="0" w:color="auto"/>
            </w:tcBorders>
            <w:vAlign w:val="bottom"/>
          </w:tcPr>
          <w:p w14:paraId="0A03363B"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HR [95% CI]</w:t>
            </w:r>
          </w:p>
        </w:tc>
        <w:tc>
          <w:tcPr>
            <w:tcW w:w="5521" w:type="dxa"/>
            <w:gridSpan w:val="2"/>
            <w:tcBorders>
              <w:left w:val="single" w:sz="4" w:space="0" w:color="auto"/>
              <w:right w:val="single" w:sz="4" w:space="0" w:color="auto"/>
            </w:tcBorders>
            <w:vAlign w:val="bottom"/>
          </w:tcPr>
          <w:p w14:paraId="38443280"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0.68 [0.51, 0.91]</w:t>
            </w:r>
          </w:p>
        </w:tc>
      </w:tr>
      <w:tr w:rsidR="00A82B12" w:rsidRPr="00D5102A" w14:paraId="367B2327" w14:textId="77777777" w:rsidTr="00616FE6">
        <w:trPr>
          <w:cantSplit/>
        </w:trPr>
        <w:tc>
          <w:tcPr>
            <w:tcW w:w="3557" w:type="dxa"/>
            <w:tcBorders>
              <w:top w:val="nil"/>
              <w:left w:val="single" w:sz="4" w:space="0" w:color="auto"/>
              <w:bottom w:val="nil"/>
              <w:right w:val="single" w:sz="4" w:space="0" w:color="auto"/>
            </w:tcBorders>
            <w:vAlign w:val="bottom"/>
          </w:tcPr>
          <w:p w14:paraId="0B98A2D3"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p-value (Log-Rank test, stratified*)</w:t>
            </w:r>
          </w:p>
        </w:tc>
        <w:tc>
          <w:tcPr>
            <w:tcW w:w="5521" w:type="dxa"/>
            <w:gridSpan w:val="2"/>
            <w:tcBorders>
              <w:left w:val="single" w:sz="4" w:space="0" w:color="auto"/>
              <w:right w:val="single" w:sz="4" w:space="0" w:color="auto"/>
            </w:tcBorders>
            <w:vAlign w:val="bottom"/>
          </w:tcPr>
          <w:p w14:paraId="79AB2A1A"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0.0094</w:t>
            </w:r>
          </w:p>
        </w:tc>
      </w:tr>
      <w:tr w:rsidR="00A82B12" w:rsidRPr="00D5102A" w14:paraId="3BC44F91" w14:textId="77777777" w:rsidTr="00616FE6">
        <w:trPr>
          <w:cantSplit/>
        </w:trPr>
        <w:tc>
          <w:tcPr>
            <w:tcW w:w="3557" w:type="dxa"/>
            <w:tcBorders>
              <w:top w:val="single" w:sz="4" w:space="0" w:color="auto"/>
              <w:left w:val="single" w:sz="4" w:space="0" w:color="auto"/>
              <w:bottom w:val="nil"/>
              <w:right w:val="single" w:sz="4" w:space="0" w:color="auto"/>
            </w:tcBorders>
            <w:vAlign w:val="bottom"/>
          </w:tcPr>
          <w:p w14:paraId="2D0064D0" w14:textId="77777777" w:rsidR="00A82B12" w:rsidRPr="00ED6A89" w:rsidRDefault="00A82B12" w:rsidP="00EB1206">
            <w:pPr>
              <w:keepLines/>
              <w:spacing w:before="50" w:after="50" w:line="240" w:lineRule="exact"/>
              <w:rPr>
                <w:rFonts w:eastAsia="SimSun"/>
                <w:b/>
                <w:sz w:val="22"/>
                <w:lang w:val="en-GB" w:eastAsia="zh-CN"/>
              </w:rPr>
            </w:pPr>
            <w:r w:rsidRPr="00ED6A89">
              <w:rPr>
                <w:rFonts w:eastAsia="SimSun"/>
                <w:b/>
                <w:sz w:val="22"/>
                <w:lang w:val="en-GB" w:eastAsia="zh-CN"/>
              </w:rPr>
              <w:t>Overall Survival</w:t>
            </w:r>
          </w:p>
        </w:tc>
        <w:tc>
          <w:tcPr>
            <w:tcW w:w="5521" w:type="dxa"/>
            <w:gridSpan w:val="2"/>
            <w:tcBorders>
              <w:top w:val="single" w:sz="4" w:space="0" w:color="auto"/>
              <w:left w:val="single" w:sz="4" w:space="0" w:color="auto"/>
              <w:bottom w:val="nil"/>
              <w:right w:val="single" w:sz="4" w:space="0" w:color="auto"/>
            </w:tcBorders>
            <w:vAlign w:val="bottom"/>
          </w:tcPr>
          <w:p w14:paraId="03284AA5" w14:textId="77777777" w:rsidR="00A82B12" w:rsidRPr="00ED6A89" w:rsidRDefault="00A82B12" w:rsidP="00EB1206">
            <w:pPr>
              <w:keepNext/>
              <w:keepLines/>
              <w:spacing w:before="50" w:after="50" w:line="240" w:lineRule="exact"/>
              <w:rPr>
                <w:rFonts w:eastAsia="MS Mincho"/>
                <w:sz w:val="22"/>
                <w:lang w:val="en-US" w:eastAsia="ja-JP"/>
              </w:rPr>
            </w:pPr>
          </w:p>
        </w:tc>
      </w:tr>
      <w:tr w:rsidR="00A82B12" w:rsidRPr="00D5102A" w14:paraId="5E259CF7" w14:textId="77777777" w:rsidTr="00616FE6">
        <w:trPr>
          <w:cantSplit/>
        </w:trPr>
        <w:tc>
          <w:tcPr>
            <w:tcW w:w="3557" w:type="dxa"/>
            <w:tcBorders>
              <w:top w:val="nil"/>
              <w:left w:val="single" w:sz="4" w:space="0" w:color="auto"/>
              <w:bottom w:val="nil"/>
              <w:right w:val="single" w:sz="4" w:space="0" w:color="auto"/>
            </w:tcBorders>
            <w:vAlign w:val="bottom"/>
          </w:tcPr>
          <w:p w14:paraId="752D4D49"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Number (%) of patients with event</w:t>
            </w:r>
          </w:p>
        </w:tc>
        <w:tc>
          <w:tcPr>
            <w:tcW w:w="2828" w:type="dxa"/>
            <w:tcBorders>
              <w:top w:val="nil"/>
              <w:left w:val="single" w:sz="4" w:space="0" w:color="auto"/>
              <w:bottom w:val="nil"/>
              <w:right w:val="nil"/>
            </w:tcBorders>
            <w:vAlign w:val="bottom"/>
          </w:tcPr>
          <w:p w14:paraId="65FAD1AB"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46 (7.7%)</w:t>
            </w:r>
          </w:p>
        </w:tc>
        <w:tc>
          <w:tcPr>
            <w:tcW w:w="2693" w:type="dxa"/>
            <w:tcBorders>
              <w:top w:val="nil"/>
              <w:left w:val="nil"/>
              <w:bottom w:val="nil"/>
              <w:right w:val="single" w:sz="4" w:space="0" w:color="auto"/>
            </w:tcBorders>
            <w:vAlign w:val="bottom"/>
          </w:tcPr>
          <w:p w14:paraId="624A798A"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35 (5.8%)</w:t>
            </w:r>
          </w:p>
        </w:tc>
      </w:tr>
      <w:tr w:rsidR="00A82B12" w:rsidRPr="00D5102A" w14:paraId="240FFB0C" w14:textId="77777777" w:rsidTr="00616FE6">
        <w:trPr>
          <w:cantSplit/>
        </w:trPr>
        <w:tc>
          <w:tcPr>
            <w:tcW w:w="3557" w:type="dxa"/>
            <w:tcBorders>
              <w:top w:val="nil"/>
              <w:left w:val="single" w:sz="4" w:space="0" w:color="auto"/>
              <w:right w:val="single" w:sz="4" w:space="0" w:color="auto"/>
            </w:tcBorders>
            <w:vAlign w:val="bottom"/>
          </w:tcPr>
          <w:p w14:paraId="640396E8"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HR [95% CI]</w:t>
            </w:r>
          </w:p>
        </w:tc>
        <w:tc>
          <w:tcPr>
            <w:tcW w:w="5521" w:type="dxa"/>
            <w:gridSpan w:val="2"/>
            <w:tcBorders>
              <w:top w:val="nil"/>
              <w:left w:val="single" w:sz="4" w:space="0" w:color="auto"/>
              <w:right w:val="single" w:sz="4" w:space="0" w:color="auto"/>
            </w:tcBorders>
            <w:vAlign w:val="bottom"/>
          </w:tcPr>
          <w:p w14:paraId="78C120B0"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 xml:space="preserve">0.75 [0.49, </w:t>
            </w:r>
            <w:proofErr w:type="gramStart"/>
            <w:r w:rsidRPr="00ED6A89">
              <w:rPr>
                <w:rFonts w:eastAsia="SimSun"/>
                <w:sz w:val="22"/>
                <w:lang w:val="en-GB" w:eastAsia="zh-CN"/>
              </w:rPr>
              <w:t>1.17]</w:t>
            </w:r>
            <w:r w:rsidRPr="00ED6A89">
              <w:rPr>
                <w:rFonts w:eastAsia="SimSun"/>
                <w:sz w:val="22"/>
                <w:vertAlign w:val="superscript"/>
                <w:lang w:val="en-US" w:eastAsia="zh-CN"/>
              </w:rPr>
              <w:t>¶</w:t>
            </w:r>
            <w:proofErr w:type="gramEnd"/>
          </w:p>
        </w:tc>
      </w:tr>
      <w:tr w:rsidR="00A82B12" w:rsidRPr="00D5102A" w14:paraId="66467867" w14:textId="77777777" w:rsidTr="00616FE6">
        <w:trPr>
          <w:cantSplit/>
        </w:trPr>
        <w:tc>
          <w:tcPr>
            <w:tcW w:w="3557" w:type="dxa"/>
            <w:tcBorders>
              <w:top w:val="nil"/>
              <w:left w:val="single" w:sz="4" w:space="0" w:color="auto"/>
              <w:right w:val="single" w:sz="4" w:space="0" w:color="auto"/>
            </w:tcBorders>
            <w:vAlign w:val="bottom"/>
          </w:tcPr>
          <w:p w14:paraId="141EBF9F" w14:textId="77777777" w:rsidR="00A82B12" w:rsidRPr="00ED6A89" w:rsidRDefault="00A82B12" w:rsidP="00EB1206">
            <w:pPr>
              <w:keepLines/>
              <w:spacing w:before="50" w:after="50" w:line="240" w:lineRule="exact"/>
              <w:ind w:left="226"/>
              <w:rPr>
                <w:rFonts w:eastAsia="SimSun"/>
                <w:sz w:val="22"/>
                <w:lang w:val="en-GB" w:eastAsia="zh-CN"/>
              </w:rPr>
            </w:pPr>
            <w:r w:rsidRPr="00ED6A89">
              <w:rPr>
                <w:rFonts w:eastAsia="SimSun"/>
                <w:sz w:val="22"/>
                <w:lang w:val="en-GB" w:eastAsia="zh-CN"/>
              </w:rPr>
              <w:t>p-value (Log-Rank test, stratified*)</w:t>
            </w:r>
          </w:p>
        </w:tc>
        <w:tc>
          <w:tcPr>
            <w:tcW w:w="5521" w:type="dxa"/>
            <w:gridSpan w:val="2"/>
            <w:tcBorders>
              <w:top w:val="nil"/>
              <w:left w:val="single" w:sz="4" w:space="0" w:color="auto"/>
              <w:right w:val="single" w:sz="4" w:space="0" w:color="auto"/>
            </w:tcBorders>
            <w:vAlign w:val="bottom"/>
          </w:tcPr>
          <w:p w14:paraId="7AA9FC71"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0.21</w:t>
            </w:r>
            <w:r w:rsidRPr="00ED6A89">
              <w:rPr>
                <w:rFonts w:eastAsia="SimSun"/>
                <w:sz w:val="22"/>
                <w:vertAlign w:val="superscript"/>
                <w:lang w:val="en-US" w:eastAsia="zh-CN"/>
              </w:rPr>
              <w:t>¶</w:t>
            </w:r>
          </w:p>
        </w:tc>
      </w:tr>
      <w:tr w:rsidR="00A82B12" w:rsidRPr="00D5102A" w14:paraId="23826DF2" w14:textId="77777777" w:rsidTr="00616FE6">
        <w:trPr>
          <w:cantSplit/>
        </w:trPr>
        <w:tc>
          <w:tcPr>
            <w:tcW w:w="3557" w:type="dxa"/>
            <w:tcBorders>
              <w:top w:val="single" w:sz="4" w:space="0" w:color="auto"/>
              <w:left w:val="single" w:sz="4" w:space="0" w:color="auto"/>
              <w:bottom w:val="nil"/>
              <w:right w:val="single" w:sz="4" w:space="0" w:color="auto"/>
            </w:tcBorders>
            <w:vAlign w:val="bottom"/>
          </w:tcPr>
          <w:p w14:paraId="38860346" w14:textId="77777777" w:rsidR="00A82B12" w:rsidRPr="00ED6A89" w:rsidRDefault="00A82B12" w:rsidP="00EB1206">
            <w:pPr>
              <w:keepNext/>
              <w:keepLines/>
              <w:spacing w:before="50" w:after="50" w:line="240" w:lineRule="exact"/>
              <w:rPr>
                <w:rFonts w:eastAsia="SimSun"/>
                <w:b/>
                <w:sz w:val="22"/>
                <w:highlight w:val="yellow"/>
                <w:vertAlign w:val="superscript"/>
                <w:lang w:val="en-GB" w:eastAsia="zh-CN"/>
              </w:rPr>
            </w:pPr>
            <w:r w:rsidRPr="00ED6A89">
              <w:rPr>
                <w:rFonts w:eastAsia="SimSun"/>
                <w:b/>
                <w:sz w:val="22"/>
                <w:lang w:val="en-GB" w:eastAsia="zh-CN"/>
              </w:rPr>
              <w:t>Overall Response Rate** at End of Induction</w:t>
            </w:r>
            <w:proofErr w:type="gramStart"/>
            <w:r w:rsidRPr="00ED6A89">
              <w:rPr>
                <w:rFonts w:eastAsia="SimSun"/>
                <w:sz w:val="22"/>
                <w:vertAlign w:val="superscript"/>
                <w:lang w:val="en-GB" w:eastAsia="zh-CN"/>
              </w:rPr>
              <w:t>‡</w:t>
            </w:r>
            <w:r w:rsidRPr="00ED6A89">
              <w:rPr>
                <w:rFonts w:eastAsia="SimSun"/>
                <w:sz w:val="22"/>
                <w:vertAlign w:val="superscript"/>
                <w:lang w:val="en-US" w:eastAsia="zh-CN"/>
              </w:rPr>
              <w:t xml:space="preserve"> </w:t>
            </w:r>
            <w:r w:rsidRPr="00ED6A89">
              <w:rPr>
                <w:rFonts w:eastAsia="SimSun"/>
                <w:b/>
                <w:sz w:val="22"/>
                <w:vertAlign w:val="superscript"/>
                <w:lang w:val="en-GB" w:eastAsia="zh-CN"/>
              </w:rPr>
              <w:t xml:space="preserve"> </w:t>
            </w:r>
            <w:r w:rsidRPr="00ED6A89">
              <w:rPr>
                <w:rFonts w:eastAsia="SimSun"/>
                <w:b/>
                <w:sz w:val="22"/>
                <w:lang w:val="en-GB" w:eastAsia="zh-CN"/>
              </w:rPr>
              <w:t>(</w:t>
            </w:r>
            <w:proofErr w:type="gramEnd"/>
            <w:r w:rsidRPr="00ED6A89">
              <w:rPr>
                <w:rFonts w:eastAsia="SimSun"/>
                <w:b/>
                <w:sz w:val="22"/>
                <w:lang w:val="en-GB" w:eastAsia="zh-CN"/>
              </w:rPr>
              <w:t>INV-assessed, CT)</w:t>
            </w:r>
          </w:p>
        </w:tc>
        <w:tc>
          <w:tcPr>
            <w:tcW w:w="5521" w:type="dxa"/>
            <w:gridSpan w:val="2"/>
            <w:tcBorders>
              <w:top w:val="single" w:sz="4" w:space="0" w:color="auto"/>
              <w:left w:val="single" w:sz="4" w:space="0" w:color="auto"/>
              <w:bottom w:val="nil"/>
              <w:right w:val="single" w:sz="4" w:space="0" w:color="auto"/>
            </w:tcBorders>
            <w:vAlign w:val="bottom"/>
          </w:tcPr>
          <w:p w14:paraId="083877F0" w14:textId="77777777" w:rsidR="00A82B12" w:rsidRPr="00ED6A89" w:rsidRDefault="00A82B12" w:rsidP="00EB1206">
            <w:pPr>
              <w:keepNext/>
              <w:keepLines/>
              <w:spacing w:before="50" w:after="50" w:line="240" w:lineRule="exact"/>
              <w:rPr>
                <w:rFonts w:eastAsia="MS Mincho"/>
                <w:sz w:val="22"/>
                <w:lang w:val="en-US" w:eastAsia="ja-JP"/>
              </w:rPr>
            </w:pPr>
          </w:p>
          <w:p w14:paraId="795DEE0D" w14:textId="77777777" w:rsidR="00A82B12" w:rsidRPr="00ED6A89" w:rsidRDefault="00A82B12" w:rsidP="00EB1206">
            <w:pPr>
              <w:keepNext/>
              <w:keepLines/>
              <w:spacing w:before="50" w:after="50" w:line="240" w:lineRule="exact"/>
              <w:rPr>
                <w:rFonts w:eastAsia="MS Mincho"/>
                <w:sz w:val="22"/>
                <w:lang w:val="en-US" w:eastAsia="ja-JP"/>
              </w:rPr>
            </w:pPr>
          </w:p>
        </w:tc>
      </w:tr>
      <w:tr w:rsidR="00A82B12" w:rsidRPr="00D5102A" w14:paraId="24D45151" w14:textId="77777777" w:rsidTr="00616FE6">
        <w:trPr>
          <w:cantSplit/>
        </w:trPr>
        <w:tc>
          <w:tcPr>
            <w:tcW w:w="3557" w:type="dxa"/>
            <w:tcBorders>
              <w:top w:val="nil"/>
              <w:left w:val="single" w:sz="4" w:space="0" w:color="auto"/>
              <w:bottom w:val="nil"/>
              <w:right w:val="single" w:sz="4" w:space="0" w:color="auto"/>
            </w:tcBorders>
          </w:tcPr>
          <w:p w14:paraId="5DC0B541" w14:textId="77777777" w:rsidR="00A82B12" w:rsidRPr="00ED6A89" w:rsidRDefault="00A82B12" w:rsidP="00EB1206">
            <w:pPr>
              <w:keepNext/>
              <w:keepLines/>
              <w:spacing w:before="50" w:after="50" w:line="240" w:lineRule="exact"/>
              <w:ind w:left="213"/>
              <w:rPr>
                <w:rFonts w:eastAsia="SimSun"/>
                <w:sz w:val="22"/>
                <w:lang w:val="en-GB" w:eastAsia="zh-CN"/>
              </w:rPr>
            </w:pPr>
            <w:r w:rsidRPr="00ED6A89">
              <w:rPr>
                <w:rFonts w:eastAsia="SimSun"/>
                <w:sz w:val="22"/>
                <w:lang w:val="en-GB" w:eastAsia="zh-CN"/>
              </w:rPr>
              <w:t>Responders (%) (CR, PR)</w:t>
            </w:r>
          </w:p>
        </w:tc>
        <w:tc>
          <w:tcPr>
            <w:tcW w:w="2828" w:type="dxa"/>
            <w:tcBorders>
              <w:top w:val="nil"/>
              <w:left w:val="single" w:sz="4" w:space="0" w:color="auto"/>
              <w:bottom w:val="nil"/>
              <w:right w:val="nil"/>
            </w:tcBorders>
            <w:vAlign w:val="bottom"/>
          </w:tcPr>
          <w:p w14:paraId="44F65E5F"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522 (86.9%)</w:t>
            </w:r>
          </w:p>
        </w:tc>
        <w:tc>
          <w:tcPr>
            <w:tcW w:w="2693" w:type="dxa"/>
            <w:tcBorders>
              <w:top w:val="nil"/>
              <w:left w:val="nil"/>
              <w:bottom w:val="nil"/>
              <w:right w:val="single" w:sz="4" w:space="0" w:color="auto"/>
            </w:tcBorders>
            <w:vAlign w:val="bottom"/>
          </w:tcPr>
          <w:p w14:paraId="3A8F4199"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532 (88.5%)</w:t>
            </w:r>
          </w:p>
        </w:tc>
      </w:tr>
      <w:tr w:rsidR="00A82B12" w:rsidRPr="00D5102A" w14:paraId="08C7AE02" w14:textId="77777777" w:rsidTr="00726629">
        <w:trPr>
          <w:cantSplit/>
        </w:trPr>
        <w:tc>
          <w:tcPr>
            <w:tcW w:w="3557" w:type="dxa"/>
            <w:tcBorders>
              <w:top w:val="nil"/>
              <w:left w:val="single" w:sz="4" w:space="0" w:color="auto"/>
              <w:right w:val="single" w:sz="4" w:space="0" w:color="auto"/>
            </w:tcBorders>
            <w:vAlign w:val="bottom"/>
          </w:tcPr>
          <w:p w14:paraId="004055E3" w14:textId="77777777" w:rsidR="00A82B12" w:rsidRPr="00ED6A89" w:rsidRDefault="00A82B12" w:rsidP="00EB1206">
            <w:pPr>
              <w:keepLines/>
              <w:spacing w:before="50" w:after="50" w:line="240" w:lineRule="exact"/>
              <w:ind w:left="213"/>
              <w:rPr>
                <w:rFonts w:eastAsia="SimSun"/>
                <w:sz w:val="22"/>
                <w:lang w:val="en-GB" w:eastAsia="zh-CN"/>
              </w:rPr>
            </w:pPr>
            <w:r w:rsidRPr="00ED6A89">
              <w:rPr>
                <w:rFonts w:eastAsia="SimSun"/>
                <w:sz w:val="22"/>
                <w:lang w:val="en-GB" w:eastAsia="zh-CN"/>
              </w:rPr>
              <w:t>Difference in response rate (%) [95% CI]</w:t>
            </w:r>
          </w:p>
        </w:tc>
        <w:tc>
          <w:tcPr>
            <w:tcW w:w="5521" w:type="dxa"/>
            <w:gridSpan w:val="2"/>
            <w:tcBorders>
              <w:top w:val="nil"/>
              <w:left w:val="single" w:sz="4" w:space="0" w:color="auto"/>
              <w:right w:val="single" w:sz="4" w:space="0" w:color="auto"/>
            </w:tcBorders>
            <w:vAlign w:val="bottom"/>
          </w:tcPr>
          <w:p w14:paraId="3F2BA78D"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shd w:val="clear" w:color="auto" w:fill="FFFFFF"/>
                <w:lang w:val="en-US" w:eastAsia="zh-CN"/>
              </w:rPr>
              <w:t>1.7% [-2.1%, 5.5%]</w:t>
            </w:r>
          </w:p>
        </w:tc>
      </w:tr>
      <w:tr w:rsidR="00A82B12" w:rsidRPr="00D5102A" w14:paraId="2D689A7D" w14:textId="77777777" w:rsidTr="00726629">
        <w:trPr>
          <w:cantSplit/>
        </w:trPr>
        <w:tc>
          <w:tcPr>
            <w:tcW w:w="3557" w:type="dxa"/>
            <w:tcBorders>
              <w:top w:val="nil"/>
              <w:left w:val="single" w:sz="4" w:space="0" w:color="auto"/>
              <w:bottom w:val="single" w:sz="4" w:space="0" w:color="auto"/>
              <w:right w:val="single" w:sz="4" w:space="0" w:color="auto"/>
            </w:tcBorders>
            <w:vAlign w:val="bottom"/>
          </w:tcPr>
          <w:p w14:paraId="6F6B4629" w14:textId="77777777" w:rsidR="00A82B12" w:rsidRPr="00ED6A89" w:rsidRDefault="00A82B12" w:rsidP="00EB1206">
            <w:pPr>
              <w:keepLines/>
              <w:spacing w:before="50" w:after="50" w:line="240" w:lineRule="exact"/>
              <w:ind w:left="213"/>
              <w:rPr>
                <w:rFonts w:eastAsia="SimSun"/>
                <w:sz w:val="22"/>
                <w:lang w:val="en-GB" w:eastAsia="zh-CN"/>
              </w:rPr>
            </w:pPr>
            <w:r w:rsidRPr="00ED6A89">
              <w:rPr>
                <w:rFonts w:eastAsia="SimSun"/>
                <w:sz w:val="22"/>
                <w:lang w:val="en-GB" w:eastAsia="zh-CN"/>
              </w:rPr>
              <w:lastRenderedPageBreak/>
              <w:t>p-value (Cochran-Mantel-Haenszel test)</w:t>
            </w:r>
          </w:p>
        </w:tc>
        <w:tc>
          <w:tcPr>
            <w:tcW w:w="5521" w:type="dxa"/>
            <w:gridSpan w:val="2"/>
            <w:tcBorders>
              <w:top w:val="nil"/>
              <w:left w:val="single" w:sz="4" w:space="0" w:color="auto"/>
              <w:bottom w:val="single" w:sz="4" w:space="0" w:color="auto"/>
              <w:right w:val="single" w:sz="4" w:space="0" w:color="auto"/>
            </w:tcBorders>
            <w:vAlign w:val="bottom"/>
          </w:tcPr>
          <w:p w14:paraId="016F7F05"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shd w:val="clear" w:color="auto" w:fill="FFFFFF"/>
                <w:lang w:val="en-US" w:eastAsia="zh-CN"/>
              </w:rPr>
              <w:t>0.33</w:t>
            </w:r>
          </w:p>
        </w:tc>
      </w:tr>
      <w:tr w:rsidR="00A82B12" w:rsidRPr="00D5102A" w14:paraId="5076C9D8" w14:textId="77777777" w:rsidTr="00726629">
        <w:trPr>
          <w:cantSplit/>
        </w:trPr>
        <w:tc>
          <w:tcPr>
            <w:tcW w:w="3557" w:type="dxa"/>
            <w:tcBorders>
              <w:top w:val="single" w:sz="4" w:space="0" w:color="auto"/>
              <w:left w:val="single" w:sz="4" w:space="0" w:color="auto"/>
              <w:bottom w:val="nil"/>
              <w:right w:val="single" w:sz="4" w:space="0" w:color="auto"/>
            </w:tcBorders>
            <w:vAlign w:val="bottom"/>
          </w:tcPr>
          <w:p w14:paraId="20FB85AE" w14:textId="77777777" w:rsidR="00A82B12" w:rsidRPr="00ED6A89" w:rsidRDefault="00A82B12" w:rsidP="00EB1206">
            <w:pPr>
              <w:keepNext/>
              <w:keepLines/>
              <w:spacing w:before="50" w:after="50" w:line="240" w:lineRule="exact"/>
              <w:ind w:left="219"/>
              <w:rPr>
                <w:rFonts w:eastAsia="SimSun"/>
                <w:sz w:val="22"/>
                <w:lang w:val="en-GB" w:eastAsia="zh-CN"/>
              </w:rPr>
            </w:pPr>
            <w:r w:rsidRPr="00ED6A89">
              <w:rPr>
                <w:rFonts w:eastAsia="SimSun"/>
                <w:sz w:val="22"/>
                <w:lang w:val="en-GB" w:eastAsia="zh-CN"/>
              </w:rPr>
              <w:t>Complete Response (CR)</w:t>
            </w:r>
          </w:p>
        </w:tc>
        <w:tc>
          <w:tcPr>
            <w:tcW w:w="2828" w:type="dxa"/>
            <w:tcBorders>
              <w:top w:val="single" w:sz="4" w:space="0" w:color="auto"/>
              <w:left w:val="single" w:sz="4" w:space="0" w:color="auto"/>
              <w:bottom w:val="nil"/>
            </w:tcBorders>
            <w:vAlign w:val="bottom"/>
          </w:tcPr>
          <w:p w14:paraId="6C442223" w14:textId="77777777" w:rsidR="00A82B12" w:rsidRPr="00ED6A89" w:rsidRDefault="00A82B12" w:rsidP="00EB1206">
            <w:pPr>
              <w:keepNext/>
              <w:keepLines/>
              <w:spacing w:before="50" w:after="50" w:line="240" w:lineRule="exact"/>
              <w:rPr>
                <w:rFonts w:eastAsia="MS Mincho"/>
                <w:sz w:val="22"/>
                <w:lang w:val="en-US" w:eastAsia="ja-JP"/>
              </w:rPr>
            </w:pPr>
            <w:r w:rsidRPr="00ED6A89">
              <w:rPr>
                <w:rFonts w:eastAsia="SimSun"/>
                <w:sz w:val="22"/>
                <w:shd w:val="clear" w:color="auto" w:fill="FFFFFF"/>
                <w:lang w:val="en-US" w:eastAsia="zh-CN"/>
              </w:rPr>
              <w:t>143 (23.8%)</w:t>
            </w:r>
          </w:p>
        </w:tc>
        <w:tc>
          <w:tcPr>
            <w:tcW w:w="2693" w:type="dxa"/>
            <w:tcBorders>
              <w:top w:val="single" w:sz="4" w:space="0" w:color="auto"/>
              <w:bottom w:val="nil"/>
              <w:right w:val="single" w:sz="4" w:space="0" w:color="auto"/>
            </w:tcBorders>
            <w:vAlign w:val="bottom"/>
          </w:tcPr>
          <w:p w14:paraId="0CDE8A92" w14:textId="77777777" w:rsidR="00A82B12" w:rsidRPr="00ED6A89" w:rsidRDefault="00A82B12" w:rsidP="00EB1206">
            <w:pPr>
              <w:keepNext/>
              <w:keepLines/>
              <w:spacing w:before="50" w:after="50" w:line="240" w:lineRule="exact"/>
              <w:rPr>
                <w:rFonts w:eastAsia="MS Mincho"/>
                <w:sz w:val="22"/>
                <w:lang w:val="en-US" w:eastAsia="ja-JP"/>
              </w:rPr>
            </w:pPr>
            <w:r w:rsidRPr="00ED6A89">
              <w:rPr>
                <w:rFonts w:eastAsia="SimSun"/>
                <w:sz w:val="22"/>
                <w:shd w:val="clear" w:color="auto" w:fill="FFFFFF"/>
                <w:lang w:val="en-US" w:eastAsia="zh-CN"/>
              </w:rPr>
              <w:t>117 (19.5%)</w:t>
            </w:r>
          </w:p>
        </w:tc>
      </w:tr>
      <w:tr w:rsidR="00A82B12" w:rsidRPr="00D5102A" w14:paraId="354A5989" w14:textId="77777777" w:rsidTr="00616FE6">
        <w:trPr>
          <w:cantSplit/>
        </w:trPr>
        <w:tc>
          <w:tcPr>
            <w:tcW w:w="3557" w:type="dxa"/>
            <w:tcBorders>
              <w:left w:val="single" w:sz="4" w:space="0" w:color="auto"/>
              <w:bottom w:val="nil"/>
              <w:right w:val="single" w:sz="4" w:space="0" w:color="auto"/>
            </w:tcBorders>
            <w:vAlign w:val="bottom"/>
          </w:tcPr>
          <w:p w14:paraId="782A5641" w14:textId="77777777" w:rsidR="00A82B12" w:rsidRPr="00ED6A89" w:rsidRDefault="00A82B12" w:rsidP="00EB1206">
            <w:pPr>
              <w:keepNext/>
              <w:keepLines/>
              <w:spacing w:before="50" w:after="50" w:line="240" w:lineRule="exact"/>
              <w:ind w:left="216"/>
              <w:rPr>
                <w:rFonts w:eastAsia="SimSun"/>
                <w:sz w:val="22"/>
                <w:lang w:val="en-GB" w:eastAsia="zh-CN"/>
              </w:rPr>
            </w:pPr>
            <w:r w:rsidRPr="00ED6A89">
              <w:rPr>
                <w:rFonts w:eastAsia="SimSun"/>
                <w:sz w:val="22"/>
                <w:lang w:val="en-GB" w:eastAsia="zh-CN"/>
              </w:rPr>
              <w:t xml:space="preserve">     95% CI Clopper-Pearson</w:t>
            </w:r>
          </w:p>
        </w:tc>
        <w:tc>
          <w:tcPr>
            <w:tcW w:w="2828" w:type="dxa"/>
            <w:tcBorders>
              <w:left w:val="single" w:sz="4" w:space="0" w:color="auto"/>
              <w:bottom w:val="nil"/>
            </w:tcBorders>
            <w:vAlign w:val="bottom"/>
          </w:tcPr>
          <w:p w14:paraId="0B3C064F"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[20.4%, 27.4%]</w:t>
            </w:r>
          </w:p>
        </w:tc>
        <w:tc>
          <w:tcPr>
            <w:tcW w:w="2693" w:type="dxa"/>
            <w:tcBorders>
              <w:bottom w:val="nil"/>
              <w:right w:val="single" w:sz="4" w:space="0" w:color="auto"/>
            </w:tcBorders>
            <w:vAlign w:val="bottom"/>
          </w:tcPr>
          <w:p w14:paraId="18CAC092"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[16.4%, 22.9%]</w:t>
            </w:r>
          </w:p>
        </w:tc>
      </w:tr>
      <w:tr w:rsidR="00A82B12" w:rsidRPr="00D5102A" w14:paraId="6AD4F428" w14:textId="77777777" w:rsidTr="00616FE6">
        <w:trPr>
          <w:cantSplit/>
        </w:trPr>
        <w:tc>
          <w:tcPr>
            <w:tcW w:w="3557" w:type="dxa"/>
            <w:tcBorders>
              <w:left w:val="single" w:sz="4" w:space="0" w:color="auto"/>
              <w:bottom w:val="nil"/>
              <w:right w:val="single" w:sz="4" w:space="0" w:color="auto"/>
            </w:tcBorders>
            <w:vAlign w:val="bottom"/>
          </w:tcPr>
          <w:p w14:paraId="0059B4F7" w14:textId="77777777" w:rsidR="00A82B12" w:rsidRPr="00ED6A89" w:rsidRDefault="00A82B12" w:rsidP="00EB1206">
            <w:pPr>
              <w:keepNext/>
              <w:keepLines/>
              <w:spacing w:before="50" w:after="50" w:line="240" w:lineRule="exact"/>
              <w:ind w:left="219"/>
              <w:rPr>
                <w:rFonts w:eastAsia="SimSun"/>
                <w:sz w:val="22"/>
                <w:lang w:val="fr-CH" w:eastAsia="zh-CN"/>
              </w:rPr>
            </w:pPr>
            <w:r w:rsidRPr="00ED6A89">
              <w:rPr>
                <w:rFonts w:eastAsia="SimSun"/>
                <w:sz w:val="22"/>
                <w:lang w:val="fr-CH" w:eastAsia="zh-CN"/>
              </w:rPr>
              <w:t xml:space="preserve">Partial </w:t>
            </w:r>
            <w:proofErr w:type="spellStart"/>
            <w:r w:rsidRPr="00ED6A89">
              <w:rPr>
                <w:rFonts w:eastAsia="SimSun"/>
                <w:sz w:val="22"/>
                <w:lang w:val="fr-CH" w:eastAsia="zh-CN"/>
              </w:rPr>
              <w:t>Response</w:t>
            </w:r>
            <w:proofErr w:type="spellEnd"/>
            <w:r w:rsidRPr="00ED6A89">
              <w:rPr>
                <w:rFonts w:eastAsia="SimSun"/>
                <w:sz w:val="22"/>
                <w:lang w:val="fr-CH" w:eastAsia="zh-CN"/>
              </w:rPr>
              <w:t xml:space="preserve"> (PR)</w:t>
            </w:r>
          </w:p>
          <w:p w14:paraId="0C801331" w14:textId="77777777" w:rsidR="00A82B12" w:rsidRPr="00ED6A89" w:rsidRDefault="00A82B12" w:rsidP="00EB1206">
            <w:pPr>
              <w:keepNext/>
              <w:keepLines/>
              <w:spacing w:before="50" w:after="50" w:line="240" w:lineRule="exact"/>
              <w:ind w:left="216"/>
              <w:rPr>
                <w:rFonts w:eastAsia="SimSun"/>
                <w:sz w:val="22"/>
                <w:lang w:val="fr-CH" w:eastAsia="zh-CN"/>
              </w:rPr>
            </w:pPr>
            <w:r w:rsidRPr="00ED6A89">
              <w:rPr>
                <w:rFonts w:eastAsia="SimSun"/>
                <w:sz w:val="22"/>
                <w:lang w:val="fr-CH" w:eastAsia="zh-CN"/>
              </w:rPr>
              <w:t xml:space="preserve">     95% CI </w:t>
            </w:r>
            <w:proofErr w:type="spellStart"/>
            <w:r w:rsidRPr="00ED6A89">
              <w:rPr>
                <w:rFonts w:eastAsia="SimSun"/>
                <w:sz w:val="22"/>
                <w:lang w:val="fr-CH" w:eastAsia="zh-CN"/>
              </w:rPr>
              <w:t>Clopper</w:t>
            </w:r>
            <w:proofErr w:type="spellEnd"/>
            <w:r w:rsidRPr="00ED6A89">
              <w:rPr>
                <w:rFonts w:eastAsia="SimSun"/>
                <w:sz w:val="22"/>
                <w:lang w:val="fr-CH" w:eastAsia="zh-CN"/>
              </w:rPr>
              <w:t>-Pearson</w:t>
            </w:r>
          </w:p>
        </w:tc>
        <w:tc>
          <w:tcPr>
            <w:tcW w:w="2828" w:type="dxa"/>
            <w:tcBorders>
              <w:left w:val="single" w:sz="4" w:space="0" w:color="auto"/>
              <w:bottom w:val="nil"/>
            </w:tcBorders>
          </w:tcPr>
          <w:p w14:paraId="286CFFC4"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379 (63.1%)</w:t>
            </w:r>
          </w:p>
          <w:p w14:paraId="789CD68F"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[59.1%, 66.9%]</w:t>
            </w:r>
          </w:p>
        </w:tc>
        <w:tc>
          <w:tcPr>
            <w:tcW w:w="2693" w:type="dxa"/>
            <w:tcBorders>
              <w:bottom w:val="nil"/>
              <w:right w:val="single" w:sz="4" w:space="0" w:color="auto"/>
            </w:tcBorders>
          </w:tcPr>
          <w:p w14:paraId="33E03123"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415 (69.1%)</w:t>
            </w:r>
          </w:p>
          <w:p w14:paraId="3AC9CD47" w14:textId="77777777" w:rsidR="00A82B12" w:rsidRPr="00ED6A89" w:rsidRDefault="00A82B12" w:rsidP="00EB1206">
            <w:pPr>
              <w:keepNext/>
              <w:keepLines/>
              <w:spacing w:before="50" w:after="50" w:line="240" w:lineRule="exact"/>
              <w:rPr>
                <w:rFonts w:eastAsia="MS Mincho"/>
                <w:sz w:val="22"/>
                <w:lang w:val="en-US" w:eastAsia="ja-JP"/>
              </w:rPr>
            </w:pPr>
            <w:r w:rsidRPr="00ED6A89">
              <w:rPr>
                <w:rFonts w:eastAsia="SimSun"/>
                <w:sz w:val="22"/>
                <w:shd w:val="clear" w:color="auto" w:fill="FFFFFF"/>
                <w:lang w:val="en-US" w:eastAsia="zh-CN"/>
              </w:rPr>
              <w:t>[65.2%, 72.7%]</w:t>
            </w:r>
          </w:p>
        </w:tc>
      </w:tr>
      <w:tr w:rsidR="00A82B12" w:rsidRPr="00D5102A" w14:paraId="3FB725F2" w14:textId="77777777" w:rsidTr="00616FE6">
        <w:trPr>
          <w:cantSplit/>
        </w:trPr>
        <w:tc>
          <w:tcPr>
            <w:tcW w:w="3557" w:type="dxa"/>
            <w:tcBorders>
              <w:top w:val="single" w:sz="4" w:space="0" w:color="auto"/>
              <w:left w:val="single" w:sz="4" w:space="0" w:color="auto"/>
              <w:bottom w:val="nil"/>
              <w:right w:val="single" w:sz="4" w:space="0" w:color="auto"/>
            </w:tcBorders>
            <w:vAlign w:val="bottom"/>
          </w:tcPr>
          <w:p w14:paraId="06A79ACC" w14:textId="77777777" w:rsidR="00A82B12" w:rsidRPr="00ED6A89" w:rsidRDefault="00A82B12" w:rsidP="00EB1206">
            <w:pPr>
              <w:keepNext/>
              <w:keepLines/>
              <w:spacing w:before="50" w:after="50" w:line="240" w:lineRule="exact"/>
              <w:rPr>
                <w:rFonts w:eastAsia="SimSun"/>
                <w:b/>
                <w:sz w:val="22"/>
                <w:highlight w:val="yellow"/>
                <w:vertAlign w:val="superscript"/>
                <w:lang w:val="en-GB" w:eastAsia="zh-CN"/>
              </w:rPr>
            </w:pPr>
            <w:r w:rsidRPr="00ED6A89" w:rsidDel="000F0CB8">
              <w:rPr>
                <w:rFonts w:eastAsia="SimSun"/>
                <w:b/>
                <w:sz w:val="22"/>
                <w:lang w:val="en-GB" w:eastAsia="zh-CN"/>
              </w:rPr>
              <w:t>Conversion Rate from E</w:t>
            </w:r>
            <w:r w:rsidRPr="00ED6A89">
              <w:rPr>
                <w:rFonts w:eastAsia="SimSun"/>
                <w:b/>
                <w:sz w:val="22"/>
                <w:lang w:val="en-GB" w:eastAsia="zh-CN"/>
              </w:rPr>
              <w:t xml:space="preserve">nd </w:t>
            </w:r>
            <w:proofErr w:type="gramStart"/>
            <w:r w:rsidRPr="00ED6A89" w:rsidDel="000F0CB8">
              <w:rPr>
                <w:rFonts w:eastAsia="SimSun"/>
                <w:b/>
                <w:sz w:val="22"/>
                <w:lang w:val="en-GB" w:eastAsia="zh-CN"/>
              </w:rPr>
              <w:t>O</w:t>
            </w:r>
            <w:r w:rsidRPr="00ED6A89">
              <w:rPr>
                <w:rFonts w:eastAsia="SimSun"/>
                <w:b/>
                <w:sz w:val="22"/>
                <w:lang w:val="en-GB" w:eastAsia="zh-CN"/>
              </w:rPr>
              <w:t>f</w:t>
            </w:r>
            <w:proofErr w:type="gramEnd"/>
            <w:r w:rsidRPr="00ED6A89">
              <w:rPr>
                <w:rFonts w:eastAsia="SimSun"/>
                <w:b/>
                <w:sz w:val="22"/>
                <w:lang w:val="en-GB" w:eastAsia="zh-CN"/>
              </w:rPr>
              <w:t xml:space="preserve"> </w:t>
            </w:r>
            <w:r w:rsidRPr="00ED6A89" w:rsidDel="000F0CB8">
              <w:rPr>
                <w:rFonts w:eastAsia="SimSun"/>
                <w:b/>
                <w:sz w:val="22"/>
                <w:lang w:val="en-GB" w:eastAsia="zh-CN"/>
              </w:rPr>
              <w:t>I</w:t>
            </w:r>
            <w:r w:rsidRPr="00ED6A89">
              <w:rPr>
                <w:rFonts w:eastAsia="SimSun"/>
                <w:b/>
                <w:sz w:val="22"/>
                <w:lang w:val="en-GB" w:eastAsia="zh-CN"/>
              </w:rPr>
              <w:t>nduction</w:t>
            </w:r>
          </w:p>
        </w:tc>
        <w:tc>
          <w:tcPr>
            <w:tcW w:w="5521" w:type="dxa"/>
            <w:gridSpan w:val="2"/>
            <w:tcBorders>
              <w:top w:val="single" w:sz="4" w:space="0" w:color="auto"/>
              <w:left w:val="single" w:sz="4" w:space="0" w:color="auto"/>
              <w:bottom w:val="nil"/>
              <w:right w:val="single" w:sz="4" w:space="0" w:color="auto"/>
            </w:tcBorders>
            <w:vAlign w:val="bottom"/>
          </w:tcPr>
          <w:p w14:paraId="66EA25C0" w14:textId="77777777" w:rsidR="00A82B12" w:rsidRPr="00ED6A89" w:rsidRDefault="00A82B12" w:rsidP="00EB1206">
            <w:pPr>
              <w:keepNext/>
              <w:keepLines/>
              <w:spacing w:before="50" w:after="50" w:line="240" w:lineRule="exact"/>
              <w:rPr>
                <w:rFonts w:eastAsia="MS Mincho"/>
                <w:sz w:val="22"/>
                <w:lang w:val="en-US" w:eastAsia="ja-JP"/>
              </w:rPr>
            </w:pPr>
          </w:p>
        </w:tc>
      </w:tr>
      <w:tr w:rsidR="00A82B12" w:rsidRPr="00D5102A" w14:paraId="33EB1EE2" w14:textId="77777777" w:rsidTr="00616FE6">
        <w:trPr>
          <w:cantSplit/>
        </w:trPr>
        <w:tc>
          <w:tcPr>
            <w:tcW w:w="3557" w:type="dxa"/>
            <w:tcBorders>
              <w:top w:val="nil"/>
              <w:left w:val="single" w:sz="4" w:space="0" w:color="auto"/>
              <w:bottom w:val="nil"/>
              <w:right w:val="single" w:sz="4" w:space="0" w:color="auto"/>
            </w:tcBorders>
          </w:tcPr>
          <w:p w14:paraId="70377DAB"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Patients in PR at</w:t>
            </w:r>
            <w:r w:rsidRPr="00ED6A89" w:rsidDel="000F0CB8">
              <w:rPr>
                <w:rFonts w:eastAsia="SimSun"/>
                <w:sz w:val="22"/>
                <w:lang w:val="en-GB" w:eastAsia="zh-CN"/>
              </w:rPr>
              <w:t xml:space="preserve"> end of </w:t>
            </w:r>
            <w:r w:rsidRPr="00ED6A89">
              <w:rPr>
                <w:rFonts w:eastAsia="SimSun"/>
                <w:sz w:val="22"/>
                <w:lang w:val="en-GB" w:eastAsia="zh-CN"/>
              </w:rPr>
              <w:t>induction</w:t>
            </w:r>
          </w:p>
        </w:tc>
        <w:tc>
          <w:tcPr>
            <w:tcW w:w="2828" w:type="dxa"/>
            <w:tcBorders>
              <w:top w:val="nil"/>
              <w:left w:val="single" w:sz="4" w:space="0" w:color="auto"/>
              <w:bottom w:val="nil"/>
              <w:right w:val="nil"/>
            </w:tcBorders>
            <w:vAlign w:val="bottom"/>
          </w:tcPr>
          <w:p w14:paraId="1BDCF146" w14:textId="77777777" w:rsidR="00A82B12" w:rsidRPr="00ED6A89" w:rsidRDefault="00A82B12" w:rsidP="00EB1206">
            <w:pPr>
              <w:keepNext/>
              <w:keepLines/>
              <w:spacing w:before="50" w:after="50" w:line="240" w:lineRule="exact"/>
              <w:rPr>
                <w:rFonts w:eastAsia="SimSun"/>
                <w:sz w:val="22"/>
                <w:lang w:val="en-GB" w:eastAsia="zh-CN"/>
              </w:rPr>
            </w:pPr>
            <w:r w:rsidRPr="00ED6A89" w:rsidDel="000F0CB8">
              <w:rPr>
                <w:rFonts w:eastAsia="SimSun"/>
                <w:sz w:val="22"/>
                <w:lang w:val="en-GB" w:eastAsia="zh-CN"/>
              </w:rPr>
              <w:t>222</w:t>
            </w:r>
          </w:p>
        </w:tc>
        <w:tc>
          <w:tcPr>
            <w:tcW w:w="2693" w:type="dxa"/>
            <w:tcBorders>
              <w:top w:val="nil"/>
              <w:left w:val="nil"/>
              <w:bottom w:val="nil"/>
              <w:right w:val="single" w:sz="4" w:space="0" w:color="auto"/>
            </w:tcBorders>
            <w:vAlign w:val="bottom"/>
          </w:tcPr>
          <w:p w14:paraId="0620D07E" w14:textId="77777777" w:rsidR="00A82B12" w:rsidRPr="00ED6A89" w:rsidRDefault="00A82B12" w:rsidP="00EB1206">
            <w:pPr>
              <w:keepNext/>
              <w:keepLines/>
              <w:spacing w:before="50" w:after="50" w:line="240" w:lineRule="exact"/>
              <w:rPr>
                <w:rFonts w:eastAsia="SimSun"/>
                <w:sz w:val="22"/>
                <w:lang w:val="en-GB" w:eastAsia="zh-CN"/>
              </w:rPr>
            </w:pPr>
            <w:r w:rsidRPr="00ED6A89" w:rsidDel="000F0CB8">
              <w:rPr>
                <w:rFonts w:eastAsia="SimSun"/>
                <w:sz w:val="22"/>
                <w:lang w:val="en-GB" w:eastAsia="zh-CN"/>
              </w:rPr>
              <w:t>271</w:t>
            </w:r>
          </w:p>
        </w:tc>
      </w:tr>
      <w:tr w:rsidR="00A82B12" w:rsidRPr="00D5102A" w14:paraId="33E2F596" w14:textId="77777777" w:rsidTr="00616FE6">
        <w:trPr>
          <w:cantSplit/>
        </w:trPr>
        <w:tc>
          <w:tcPr>
            <w:tcW w:w="3557" w:type="dxa"/>
            <w:tcBorders>
              <w:top w:val="nil"/>
              <w:left w:val="single" w:sz="4" w:space="0" w:color="auto"/>
              <w:bottom w:val="nil"/>
              <w:right w:val="single" w:sz="4" w:space="0" w:color="auto"/>
            </w:tcBorders>
          </w:tcPr>
          <w:p w14:paraId="5E0C84EA" w14:textId="77777777" w:rsidR="00A82B12" w:rsidRPr="00ED6A89" w:rsidRDefault="00A82B12" w:rsidP="00EB1206">
            <w:pPr>
              <w:keepNext/>
              <w:keepLines/>
              <w:spacing w:before="50" w:after="50" w:line="240" w:lineRule="exact"/>
              <w:ind w:left="213"/>
              <w:rPr>
                <w:rFonts w:eastAsia="SimSun"/>
                <w:sz w:val="22"/>
                <w:lang w:val="en-GB" w:eastAsia="zh-CN"/>
              </w:rPr>
            </w:pPr>
            <w:r w:rsidRPr="00ED6A89">
              <w:rPr>
                <w:rFonts w:eastAsia="SimSun"/>
                <w:sz w:val="22"/>
                <w:lang w:val="en-GB" w:eastAsia="zh-CN"/>
              </w:rPr>
              <w:t xml:space="preserve">Conversion from </w:t>
            </w:r>
            <w:r w:rsidRPr="00ED6A89" w:rsidDel="000F0CB8">
              <w:rPr>
                <w:rFonts w:eastAsia="SimSun"/>
                <w:sz w:val="22"/>
                <w:lang w:val="en-GB" w:eastAsia="zh-CN"/>
              </w:rPr>
              <w:t>PR to CR</w:t>
            </w:r>
          </w:p>
        </w:tc>
        <w:tc>
          <w:tcPr>
            <w:tcW w:w="2828" w:type="dxa"/>
            <w:tcBorders>
              <w:top w:val="nil"/>
              <w:left w:val="single" w:sz="4" w:space="0" w:color="auto"/>
              <w:bottom w:val="nil"/>
              <w:right w:val="nil"/>
            </w:tcBorders>
            <w:vAlign w:val="bottom"/>
          </w:tcPr>
          <w:p w14:paraId="2153E36B" w14:textId="77777777" w:rsidR="00A82B12" w:rsidRPr="00ED6A89" w:rsidRDefault="00A82B12" w:rsidP="00EB1206">
            <w:pPr>
              <w:keepNext/>
              <w:keepLines/>
              <w:spacing w:before="50" w:after="50" w:line="240" w:lineRule="exact"/>
              <w:rPr>
                <w:rFonts w:eastAsia="SimSun"/>
                <w:sz w:val="22"/>
                <w:lang w:val="en-GB" w:eastAsia="zh-CN"/>
              </w:rPr>
            </w:pPr>
            <w:r w:rsidRPr="00ED6A89" w:rsidDel="000F0CB8">
              <w:rPr>
                <w:rFonts w:eastAsia="SimSun"/>
                <w:sz w:val="22"/>
                <w:lang w:val="en-GB" w:eastAsia="zh-CN"/>
              </w:rPr>
              <w:t>97 (43.7%)</w:t>
            </w:r>
          </w:p>
        </w:tc>
        <w:tc>
          <w:tcPr>
            <w:tcW w:w="2693" w:type="dxa"/>
            <w:tcBorders>
              <w:top w:val="nil"/>
              <w:left w:val="nil"/>
              <w:bottom w:val="nil"/>
              <w:right w:val="single" w:sz="4" w:space="0" w:color="auto"/>
            </w:tcBorders>
            <w:vAlign w:val="bottom"/>
          </w:tcPr>
          <w:p w14:paraId="2A48549E" w14:textId="77777777" w:rsidR="00A82B12" w:rsidRPr="00ED6A89" w:rsidRDefault="00A82B12" w:rsidP="00EB1206">
            <w:pPr>
              <w:keepNext/>
              <w:keepLines/>
              <w:spacing w:before="50" w:after="50" w:line="240" w:lineRule="exact"/>
              <w:rPr>
                <w:rFonts w:eastAsia="SimSun"/>
                <w:sz w:val="22"/>
                <w:lang w:val="en-GB" w:eastAsia="zh-CN"/>
              </w:rPr>
            </w:pPr>
            <w:r w:rsidRPr="00ED6A89" w:rsidDel="000F0CB8">
              <w:rPr>
                <w:rFonts w:eastAsia="SimSun"/>
                <w:sz w:val="22"/>
                <w:lang w:val="en-GB" w:eastAsia="zh-CN"/>
              </w:rPr>
              <w:t>134 (49.4%)</w:t>
            </w:r>
          </w:p>
        </w:tc>
      </w:tr>
      <w:tr w:rsidR="00A82B12" w:rsidRPr="00D5102A" w14:paraId="20849132" w14:textId="77777777" w:rsidTr="00616FE6">
        <w:trPr>
          <w:cantSplit/>
        </w:trPr>
        <w:tc>
          <w:tcPr>
            <w:tcW w:w="3557" w:type="dxa"/>
            <w:tcBorders>
              <w:top w:val="nil"/>
              <w:left w:val="single" w:sz="4" w:space="0" w:color="auto"/>
              <w:bottom w:val="nil"/>
              <w:right w:val="single" w:sz="4" w:space="0" w:color="auto"/>
            </w:tcBorders>
            <w:vAlign w:val="bottom"/>
          </w:tcPr>
          <w:p w14:paraId="24F43A36" w14:textId="77777777" w:rsidR="00A82B12" w:rsidRPr="00ED6A89" w:rsidRDefault="00A82B12" w:rsidP="00EB1206">
            <w:pPr>
              <w:keepLines/>
              <w:spacing w:before="50" w:after="50" w:line="240" w:lineRule="exact"/>
              <w:ind w:left="213"/>
              <w:rPr>
                <w:rFonts w:eastAsia="SimSun"/>
                <w:sz w:val="22"/>
                <w:lang w:val="en-GB" w:eastAsia="zh-CN"/>
              </w:rPr>
            </w:pPr>
            <w:r w:rsidRPr="00ED6A89">
              <w:rPr>
                <w:rFonts w:eastAsia="SimSun"/>
                <w:sz w:val="22"/>
                <w:lang w:val="en-GB" w:eastAsia="zh-CN"/>
              </w:rPr>
              <w:t>Difference in rate (%) [95% CI]</w:t>
            </w:r>
          </w:p>
        </w:tc>
        <w:tc>
          <w:tcPr>
            <w:tcW w:w="5521" w:type="dxa"/>
            <w:gridSpan w:val="2"/>
            <w:tcBorders>
              <w:top w:val="nil"/>
              <w:left w:val="single" w:sz="4" w:space="0" w:color="auto"/>
              <w:bottom w:val="nil"/>
              <w:right w:val="single" w:sz="4" w:space="0" w:color="auto"/>
            </w:tcBorders>
            <w:vAlign w:val="bottom"/>
          </w:tcPr>
          <w:p w14:paraId="4869DE5E"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5.7% [-3.1, 14.6%]</w:t>
            </w:r>
          </w:p>
        </w:tc>
      </w:tr>
      <w:tr w:rsidR="00A82B12" w:rsidRPr="00D5102A" w14:paraId="3664C491" w14:textId="77777777" w:rsidTr="00616FE6">
        <w:trPr>
          <w:cantSplit/>
        </w:trPr>
        <w:tc>
          <w:tcPr>
            <w:tcW w:w="3557" w:type="dxa"/>
            <w:tcBorders>
              <w:top w:val="single" w:sz="4" w:space="0" w:color="auto"/>
              <w:left w:val="single" w:sz="4" w:space="0" w:color="auto"/>
              <w:bottom w:val="nil"/>
              <w:right w:val="single" w:sz="4" w:space="0" w:color="auto"/>
            </w:tcBorders>
            <w:vAlign w:val="bottom"/>
          </w:tcPr>
          <w:p w14:paraId="18C2E4DD" w14:textId="77777777" w:rsidR="00A82B12" w:rsidRPr="00ED6A89" w:rsidRDefault="00A82B12" w:rsidP="00EB1206">
            <w:pPr>
              <w:keepNext/>
              <w:keepLines/>
              <w:spacing w:before="50" w:after="50" w:line="240" w:lineRule="exact"/>
              <w:rPr>
                <w:rFonts w:eastAsia="SimSun"/>
                <w:b/>
                <w:sz w:val="22"/>
                <w:highlight w:val="yellow"/>
                <w:vertAlign w:val="superscript"/>
                <w:lang w:val="en-GB" w:eastAsia="zh-CN"/>
              </w:rPr>
            </w:pPr>
            <w:r w:rsidRPr="00ED6A89">
              <w:rPr>
                <w:rFonts w:eastAsia="SimSun"/>
                <w:b/>
                <w:sz w:val="22"/>
                <w:lang w:val="en-GB" w:eastAsia="zh-CN"/>
              </w:rPr>
              <w:t>Overall Response Rate at End of Maintenance</w:t>
            </w:r>
            <w:r w:rsidRPr="00ED6A89">
              <w:rPr>
                <w:rFonts w:eastAsia="SimSun"/>
                <w:b/>
                <w:sz w:val="22"/>
                <w:vertAlign w:val="superscript"/>
                <w:lang w:val="en-GB" w:eastAsia="zh-CN"/>
              </w:rPr>
              <w:t xml:space="preserve"> </w:t>
            </w:r>
          </w:p>
        </w:tc>
        <w:tc>
          <w:tcPr>
            <w:tcW w:w="5521" w:type="dxa"/>
            <w:gridSpan w:val="2"/>
            <w:tcBorders>
              <w:top w:val="single" w:sz="4" w:space="0" w:color="auto"/>
              <w:left w:val="single" w:sz="4" w:space="0" w:color="auto"/>
              <w:bottom w:val="nil"/>
              <w:right w:val="single" w:sz="4" w:space="0" w:color="auto"/>
            </w:tcBorders>
            <w:vAlign w:val="bottom"/>
          </w:tcPr>
          <w:p w14:paraId="07D2A085" w14:textId="77777777" w:rsidR="00A82B12" w:rsidRPr="00ED6A89" w:rsidRDefault="00A82B12" w:rsidP="00EB1206">
            <w:pPr>
              <w:keepNext/>
              <w:keepLines/>
              <w:spacing w:before="50" w:after="50" w:line="240" w:lineRule="exact"/>
              <w:rPr>
                <w:rFonts w:eastAsia="MS Mincho"/>
                <w:sz w:val="22"/>
                <w:lang w:val="en-US" w:eastAsia="ja-JP"/>
              </w:rPr>
            </w:pPr>
          </w:p>
        </w:tc>
      </w:tr>
      <w:tr w:rsidR="00A82B12" w:rsidRPr="00D5102A" w14:paraId="2EAE5328" w14:textId="77777777" w:rsidTr="00616FE6">
        <w:trPr>
          <w:cantSplit/>
        </w:trPr>
        <w:tc>
          <w:tcPr>
            <w:tcW w:w="3557" w:type="dxa"/>
            <w:tcBorders>
              <w:top w:val="nil"/>
              <w:left w:val="single" w:sz="4" w:space="0" w:color="auto"/>
              <w:bottom w:val="nil"/>
              <w:right w:val="single" w:sz="4" w:space="0" w:color="auto"/>
            </w:tcBorders>
          </w:tcPr>
          <w:p w14:paraId="52D5B5A2"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Patients assessed at end of maintenance</w:t>
            </w:r>
          </w:p>
        </w:tc>
        <w:tc>
          <w:tcPr>
            <w:tcW w:w="2828" w:type="dxa"/>
            <w:tcBorders>
              <w:top w:val="nil"/>
              <w:left w:val="single" w:sz="4" w:space="0" w:color="auto"/>
              <w:bottom w:val="nil"/>
              <w:right w:val="nil"/>
            </w:tcBorders>
            <w:vAlign w:val="bottom"/>
          </w:tcPr>
          <w:p w14:paraId="6BA5E236"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533</w:t>
            </w:r>
          </w:p>
        </w:tc>
        <w:tc>
          <w:tcPr>
            <w:tcW w:w="2693" w:type="dxa"/>
            <w:tcBorders>
              <w:top w:val="nil"/>
              <w:left w:val="nil"/>
              <w:bottom w:val="nil"/>
              <w:right w:val="single" w:sz="4" w:space="0" w:color="auto"/>
            </w:tcBorders>
            <w:vAlign w:val="bottom"/>
          </w:tcPr>
          <w:p w14:paraId="55E43411"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525</w:t>
            </w:r>
          </w:p>
        </w:tc>
      </w:tr>
      <w:tr w:rsidR="00A82B12" w:rsidRPr="00D5102A" w14:paraId="278FDADA" w14:textId="77777777" w:rsidTr="00616FE6">
        <w:trPr>
          <w:cantSplit/>
        </w:trPr>
        <w:tc>
          <w:tcPr>
            <w:tcW w:w="3557" w:type="dxa"/>
            <w:tcBorders>
              <w:top w:val="nil"/>
              <w:left w:val="single" w:sz="4" w:space="0" w:color="auto"/>
              <w:bottom w:val="nil"/>
              <w:right w:val="single" w:sz="4" w:space="0" w:color="auto"/>
            </w:tcBorders>
          </w:tcPr>
          <w:p w14:paraId="70B8FD58" w14:textId="77777777" w:rsidR="00A82B12" w:rsidRPr="00ED6A89" w:rsidRDefault="00A82B12" w:rsidP="00EB1206">
            <w:pPr>
              <w:keepNext/>
              <w:keepLines/>
              <w:spacing w:before="50" w:after="50" w:line="240" w:lineRule="exact"/>
              <w:ind w:left="213"/>
              <w:rPr>
                <w:rFonts w:eastAsia="SimSun"/>
                <w:sz w:val="22"/>
                <w:lang w:val="en-GB" w:eastAsia="zh-CN"/>
              </w:rPr>
            </w:pPr>
            <w:r w:rsidRPr="00ED6A89">
              <w:rPr>
                <w:rFonts w:eastAsia="SimSun"/>
                <w:sz w:val="22"/>
                <w:lang w:val="en-GB" w:eastAsia="zh-CN"/>
              </w:rPr>
              <w:t>Responders (%) (CR, PR)</w:t>
            </w:r>
          </w:p>
        </w:tc>
        <w:tc>
          <w:tcPr>
            <w:tcW w:w="2828" w:type="dxa"/>
            <w:tcBorders>
              <w:top w:val="nil"/>
              <w:left w:val="single" w:sz="4" w:space="0" w:color="auto"/>
              <w:bottom w:val="nil"/>
              <w:right w:val="nil"/>
            </w:tcBorders>
            <w:vAlign w:val="bottom"/>
          </w:tcPr>
          <w:p w14:paraId="03DC14AE"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341 (64.0%)</w:t>
            </w:r>
          </w:p>
        </w:tc>
        <w:tc>
          <w:tcPr>
            <w:tcW w:w="2693" w:type="dxa"/>
            <w:tcBorders>
              <w:top w:val="nil"/>
              <w:left w:val="nil"/>
              <w:bottom w:val="nil"/>
              <w:right w:val="single" w:sz="4" w:space="0" w:color="auto"/>
            </w:tcBorders>
            <w:vAlign w:val="bottom"/>
          </w:tcPr>
          <w:p w14:paraId="2D12067E"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371 (70.7%)</w:t>
            </w:r>
          </w:p>
        </w:tc>
      </w:tr>
      <w:tr w:rsidR="00A82B12" w:rsidRPr="00D5102A" w14:paraId="692CBBB8" w14:textId="77777777" w:rsidTr="00616FE6">
        <w:trPr>
          <w:cantSplit/>
        </w:trPr>
        <w:tc>
          <w:tcPr>
            <w:tcW w:w="3557" w:type="dxa"/>
            <w:tcBorders>
              <w:top w:val="nil"/>
              <w:left w:val="single" w:sz="4" w:space="0" w:color="auto"/>
              <w:bottom w:val="nil"/>
              <w:right w:val="single" w:sz="4" w:space="0" w:color="auto"/>
            </w:tcBorders>
            <w:vAlign w:val="bottom"/>
          </w:tcPr>
          <w:p w14:paraId="54CBB72F" w14:textId="77777777" w:rsidR="00A82B12" w:rsidRPr="00ED6A89" w:rsidRDefault="00A82B12" w:rsidP="00EB1206">
            <w:pPr>
              <w:keepLines/>
              <w:spacing w:before="50" w:after="50" w:line="240" w:lineRule="exact"/>
              <w:ind w:left="213"/>
              <w:rPr>
                <w:rFonts w:eastAsia="SimSun"/>
                <w:sz w:val="22"/>
                <w:lang w:val="en-GB" w:eastAsia="zh-CN"/>
              </w:rPr>
            </w:pPr>
            <w:r w:rsidRPr="00ED6A89">
              <w:rPr>
                <w:rFonts w:eastAsia="SimSun"/>
                <w:sz w:val="22"/>
                <w:lang w:val="en-GB" w:eastAsia="zh-CN"/>
              </w:rPr>
              <w:t>Difference in response rate (%) [95% CI]</w:t>
            </w:r>
          </w:p>
        </w:tc>
        <w:tc>
          <w:tcPr>
            <w:tcW w:w="5521" w:type="dxa"/>
            <w:gridSpan w:val="2"/>
            <w:tcBorders>
              <w:top w:val="nil"/>
              <w:left w:val="single" w:sz="4" w:space="0" w:color="auto"/>
              <w:bottom w:val="nil"/>
              <w:right w:val="single" w:sz="4" w:space="0" w:color="auto"/>
            </w:tcBorders>
            <w:vAlign w:val="bottom"/>
          </w:tcPr>
          <w:p w14:paraId="263F65AF"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shd w:val="clear" w:color="auto" w:fill="FFFFFF"/>
                <w:lang w:val="en-US" w:eastAsia="zh-CN"/>
              </w:rPr>
              <w:t>6.7% [1.0%, 12.4%]</w:t>
            </w:r>
          </w:p>
        </w:tc>
      </w:tr>
      <w:tr w:rsidR="00A82B12" w:rsidRPr="00D5102A" w14:paraId="3A498A3A" w14:textId="77777777" w:rsidTr="00616FE6">
        <w:trPr>
          <w:cantSplit/>
        </w:trPr>
        <w:tc>
          <w:tcPr>
            <w:tcW w:w="3557" w:type="dxa"/>
            <w:tcBorders>
              <w:top w:val="nil"/>
              <w:left w:val="single" w:sz="4" w:space="0" w:color="auto"/>
              <w:bottom w:val="nil"/>
              <w:right w:val="single" w:sz="4" w:space="0" w:color="auto"/>
            </w:tcBorders>
            <w:vAlign w:val="bottom"/>
          </w:tcPr>
          <w:p w14:paraId="742A772E" w14:textId="77777777" w:rsidR="00A82B12" w:rsidRPr="00ED6A89" w:rsidRDefault="00A82B12" w:rsidP="00EB1206">
            <w:pPr>
              <w:keepLines/>
              <w:spacing w:before="50" w:after="50" w:line="240" w:lineRule="exact"/>
              <w:ind w:left="213"/>
              <w:rPr>
                <w:rFonts w:eastAsia="SimSun"/>
                <w:sz w:val="22"/>
                <w:lang w:val="en-GB" w:eastAsia="zh-CN"/>
              </w:rPr>
            </w:pPr>
            <w:r w:rsidRPr="00ED6A89">
              <w:rPr>
                <w:rFonts w:eastAsia="SimSun"/>
                <w:sz w:val="22"/>
                <w:lang w:val="en-GB" w:eastAsia="zh-CN"/>
              </w:rPr>
              <w:t>p-value (Cochran-Mantel-Haenszel test)</w:t>
            </w:r>
          </w:p>
        </w:tc>
        <w:tc>
          <w:tcPr>
            <w:tcW w:w="5521" w:type="dxa"/>
            <w:gridSpan w:val="2"/>
            <w:tcBorders>
              <w:top w:val="nil"/>
              <w:left w:val="single" w:sz="4" w:space="0" w:color="auto"/>
              <w:right w:val="single" w:sz="4" w:space="0" w:color="auto"/>
            </w:tcBorders>
            <w:vAlign w:val="bottom"/>
          </w:tcPr>
          <w:p w14:paraId="1C2B0AC9"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shd w:val="clear" w:color="auto" w:fill="FFFFFF"/>
                <w:lang w:val="en-US" w:eastAsia="zh-CN"/>
              </w:rPr>
              <w:t>0.0197</w:t>
            </w:r>
          </w:p>
        </w:tc>
      </w:tr>
      <w:tr w:rsidR="00A82B12" w:rsidRPr="00D5102A" w14:paraId="7DBF7C63" w14:textId="77777777" w:rsidTr="00616FE6">
        <w:trPr>
          <w:cantSplit/>
        </w:trPr>
        <w:tc>
          <w:tcPr>
            <w:tcW w:w="3557" w:type="dxa"/>
            <w:tcBorders>
              <w:top w:val="nil"/>
              <w:left w:val="single" w:sz="4" w:space="0" w:color="auto"/>
              <w:bottom w:val="nil"/>
              <w:right w:val="single" w:sz="4" w:space="0" w:color="auto"/>
            </w:tcBorders>
          </w:tcPr>
          <w:p w14:paraId="3248984E"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Complete response (CR)</w:t>
            </w:r>
          </w:p>
        </w:tc>
        <w:tc>
          <w:tcPr>
            <w:tcW w:w="2828" w:type="dxa"/>
            <w:tcBorders>
              <w:top w:val="nil"/>
              <w:left w:val="single" w:sz="4" w:space="0" w:color="auto"/>
              <w:bottom w:val="nil"/>
            </w:tcBorders>
            <w:vAlign w:val="bottom"/>
          </w:tcPr>
          <w:p w14:paraId="2607BBE2"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shd w:val="clear" w:color="auto" w:fill="FFFFFF"/>
                <w:lang w:val="en-US" w:eastAsia="zh-CN"/>
              </w:rPr>
              <w:t>195 (36.6%)</w:t>
            </w:r>
          </w:p>
        </w:tc>
        <w:tc>
          <w:tcPr>
            <w:tcW w:w="2693" w:type="dxa"/>
            <w:tcBorders>
              <w:top w:val="nil"/>
              <w:bottom w:val="nil"/>
              <w:right w:val="single" w:sz="4" w:space="0" w:color="auto"/>
            </w:tcBorders>
            <w:vAlign w:val="bottom"/>
          </w:tcPr>
          <w:p w14:paraId="11BF94E3"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shd w:val="clear" w:color="auto" w:fill="FFFFFF"/>
                <w:lang w:val="en-US" w:eastAsia="zh-CN"/>
              </w:rPr>
              <w:t>205 (39.0%)</w:t>
            </w:r>
          </w:p>
        </w:tc>
      </w:tr>
      <w:tr w:rsidR="00A82B12" w:rsidRPr="00D5102A" w14:paraId="0AEB81AB" w14:textId="77777777" w:rsidTr="00616FE6">
        <w:trPr>
          <w:cantSplit/>
        </w:trPr>
        <w:tc>
          <w:tcPr>
            <w:tcW w:w="3557" w:type="dxa"/>
            <w:tcBorders>
              <w:top w:val="nil"/>
              <w:left w:val="single" w:sz="4" w:space="0" w:color="auto"/>
              <w:bottom w:val="nil"/>
              <w:right w:val="single" w:sz="4" w:space="0" w:color="auto"/>
            </w:tcBorders>
            <w:vAlign w:val="bottom"/>
          </w:tcPr>
          <w:p w14:paraId="3613DD73" w14:textId="77777777" w:rsidR="00A82B12" w:rsidRPr="00ED6A89" w:rsidRDefault="00A82B12" w:rsidP="00EB1206">
            <w:pPr>
              <w:keepNext/>
              <w:keepLines/>
              <w:spacing w:before="50" w:after="50" w:line="240" w:lineRule="exact"/>
              <w:rPr>
                <w:rFonts w:eastAsia="SimSun"/>
                <w:sz w:val="22"/>
                <w:lang w:val="en-GB" w:eastAsia="zh-CN"/>
              </w:rPr>
            </w:pPr>
            <w:r w:rsidRPr="00ED6A89">
              <w:rPr>
                <w:rFonts w:eastAsia="SimSun"/>
                <w:sz w:val="22"/>
                <w:lang w:val="en-GB" w:eastAsia="zh-CN"/>
              </w:rPr>
              <w:t xml:space="preserve">     95% CI Clopper-Pearson</w:t>
            </w:r>
          </w:p>
        </w:tc>
        <w:tc>
          <w:tcPr>
            <w:tcW w:w="2828" w:type="dxa"/>
            <w:tcBorders>
              <w:top w:val="nil"/>
              <w:left w:val="single" w:sz="4" w:space="0" w:color="auto"/>
              <w:bottom w:val="nil"/>
            </w:tcBorders>
            <w:vAlign w:val="bottom"/>
          </w:tcPr>
          <w:p w14:paraId="33234571"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[32.5%, 40.8%]</w:t>
            </w:r>
          </w:p>
        </w:tc>
        <w:tc>
          <w:tcPr>
            <w:tcW w:w="2693" w:type="dxa"/>
            <w:tcBorders>
              <w:top w:val="nil"/>
              <w:bottom w:val="nil"/>
              <w:right w:val="single" w:sz="4" w:space="0" w:color="auto"/>
            </w:tcBorders>
            <w:vAlign w:val="bottom"/>
          </w:tcPr>
          <w:p w14:paraId="6B2BD085"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[34.9%, 43.4%]</w:t>
            </w:r>
          </w:p>
        </w:tc>
      </w:tr>
      <w:tr w:rsidR="00A82B12" w:rsidRPr="00D5102A" w14:paraId="4676981D" w14:textId="77777777" w:rsidTr="00616FE6">
        <w:trPr>
          <w:cantSplit/>
        </w:trPr>
        <w:tc>
          <w:tcPr>
            <w:tcW w:w="3557" w:type="dxa"/>
            <w:tcBorders>
              <w:top w:val="nil"/>
              <w:left w:val="single" w:sz="4" w:space="0" w:color="auto"/>
              <w:bottom w:val="nil"/>
              <w:right w:val="single" w:sz="4" w:space="0" w:color="auto"/>
            </w:tcBorders>
          </w:tcPr>
          <w:p w14:paraId="07DA40A3" w14:textId="77777777" w:rsidR="00A82B12" w:rsidRPr="00ED6A89" w:rsidRDefault="00A82B12" w:rsidP="00EB1206">
            <w:pPr>
              <w:keepNext/>
              <w:keepLines/>
              <w:spacing w:before="50" w:after="50" w:line="240" w:lineRule="exact"/>
              <w:rPr>
                <w:rFonts w:eastAsia="SimSun"/>
                <w:sz w:val="22"/>
                <w:lang w:val="fr-CH" w:eastAsia="zh-CN"/>
              </w:rPr>
            </w:pPr>
            <w:r w:rsidRPr="00ED6A89">
              <w:rPr>
                <w:rFonts w:eastAsia="SimSun"/>
                <w:sz w:val="22"/>
                <w:lang w:val="fr-CH" w:eastAsia="zh-CN"/>
              </w:rPr>
              <w:t xml:space="preserve">Partial </w:t>
            </w:r>
            <w:proofErr w:type="spellStart"/>
            <w:r w:rsidRPr="00ED6A89">
              <w:rPr>
                <w:rFonts w:eastAsia="SimSun"/>
                <w:sz w:val="22"/>
                <w:lang w:val="fr-CH" w:eastAsia="zh-CN"/>
              </w:rPr>
              <w:t>response</w:t>
            </w:r>
            <w:proofErr w:type="spellEnd"/>
            <w:r w:rsidRPr="00ED6A89">
              <w:rPr>
                <w:rFonts w:eastAsia="SimSun"/>
                <w:sz w:val="22"/>
                <w:lang w:val="fr-CH" w:eastAsia="zh-CN"/>
              </w:rPr>
              <w:t xml:space="preserve"> (PR)</w:t>
            </w:r>
          </w:p>
          <w:p w14:paraId="5AEE5394" w14:textId="77777777" w:rsidR="00A82B12" w:rsidRPr="00ED6A89" w:rsidRDefault="00A82B12" w:rsidP="00EB1206">
            <w:pPr>
              <w:keepNext/>
              <w:keepLines/>
              <w:spacing w:before="50" w:after="50" w:line="240" w:lineRule="exact"/>
              <w:rPr>
                <w:rFonts w:eastAsia="SimSun"/>
                <w:sz w:val="22"/>
                <w:lang w:val="fr-CH" w:eastAsia="zh-CN"/>
              </w:rPr>
            </w:pPr>
            <w:r w:rsidRPr="00ED6A89">
              <w:rPr>
                <w:rFonts w:eastAsia="SimSun"/>
                <w:sz w:val="22"/>
                <w:lang w:val="fr-CH" w:eastAsia="zh-CN"/>
              </w:rPr>
              <w:t xml:space="preserve">     95% CI </w:t>
            </w:r>
            <w:proofErr w:type="spellStart"/>
            <w:r w:rsidRPr="00ED6A89">
              <w:rPr>
                <w:rFonts w:eastAsia="SimSun"/>
                <w:sz w:val="22"/>
                <w:lang w:val="fr-CH" w:eastAsia="zh-CN"/>
              </w:rPr>
              <w:t>Clopper</w:t>
            </w:r>
            <w:proofErr w:type="spellEnd"/>
            <w:r w:rsidRPr="00ED6A89">
              <w:rPr>
                <w:rFonts w:eastAsia="SimSun"/>
                <w:sz w:val="22"/>
                <w:lang w:val="fr-CH" w:eastAsia="zh-CN"/>
              </w:rPr>
              <w:t>-Pearson</w:t>
            </w:r>
          </w:p>
        </w:tc>
        <w:tc>
          <w:tcPr>
            <w:tcW w:w="2828" w:type="dxa"/>
            <w:tcBorders>
              <w:top w:val="nil"/>
              <w:left w:val="single" w:sz="4" w:space="0" w:color="auto"/>
              <w:bottom w:val="nil"/>
            </w:tcBorders>
          </w:tcPr>
          <w:p w14:paraId="04092E9C"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146 (27.4%)</w:t>
            </w:r>
          </w:p>
          <w:p w14:paraId="6F4DC1FA"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[23.7%, 31.4%]</w:t>
            </w:r>
          </w:p>
        </w:tc>
        <w:tc>
          <w:tcPr>
            <w:tcW w:w="2693" w:type="dxa"/>
            <w:tcBorders>
              <w:top w:val="nil"/>
              <w:bottom w:val="nil"/>
              <w:right w:val="single" w:sz="4" w:space="0" w:color="auto"/>
            </w:tcBorders>
            <w:vAlign w:val="bottom"/>
          </w:tcPr>
          <w:p w14:paraId="15179393"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166 (31.6%)</w:t>
            </w:r>
          </w:p>
          <w:p w14:paraId="44853CB4" w14:textId="77777777" w:rsidR="00A82B12" w:rsidRPr="00ED6A89" w:rsidRDefault="00A82B12" w:rsidP="00EB1206">
            <w:pPr>
              <w:keepNext/>
              <w:keepLines/>
              <w:spacing w:before="50" w:after="50" w:line="240" w:lineRule="exact"/>
              <w:rPr>
                <w:rFonts w:eastAsia="SimSun"/>
                <w:sz w:val="22"/>
                <w:shd w:val="clear" w:color="auto" w:fill="FFFFFF"/>
                <w:lang w:val="en-US" w:eastAsia="zh-CN"/>
              </w:rPr>
            </w:pPr>
            <w:r w:rsidRPr="00ED6A89">
              <w:rPr>
                <w:rFonts w:eastAsia="SimSun"/>
                <w:sz w:val="22"/>
                <w:shd w:val="clear" w:color="auto" w:fill="FFFFFF"/>
                <w:lang w:val="en-US" w:eastAsia="zh-CN"/>
              </w:rPr>
              <w:t>[27.7%, 35.8%]</w:t>
            </w:r>
          </w:p>
        </w:tc>
      </w:tr>
      <w:tr w:rsidR="00A82B12" w:rsidRPr="00D5102A" w14:paraId="7280266B" w14:textId="77777777" w:rsidTr="00616FE6">
        <w:trPr>
          <w:cantSplit/>
        </w:trPr>
        <w:tc>
          <w:tcPr>
            <w:tcW w:w="9078" w:type="dxa"/>
            <w:gridSpan w:val="3"/>
            <w:tcBorders>
              <w:top w:val="single" w:sz="4" w:space="0" w:color="auto"/>
            </w:tcBorders>
            <w:tcMar>
              <w:top w:w="58" w:type="dxa"/>
            </w:tcMar>
          </w:tcPr>
          <w:p w14:paraId="4EB65864" w14:textId="77777777" w:rsidR="00A82B12" w:rsidRPr="00ED6A89" w:rsidRDefault="00A82B12" w:rsidP="00EB1206">
            <w:pPr>
              <w:keepLines/>
              <w:ind w:left="33"/>
              <w:rPr>
                <w:rFonts w:eastAsia="SimSun"/>
                <w:sz w:val="20"/>
                <w:szCs w:val="20"/>
                <w:lang w:val="en-GB" w:eastAsia="zh-CN"/>
              </w:rPr>
            </w:pPr>
            <w:r w:rsidRPr="00ED6A89">
              <w:rPr>
                <w:rFonts w:eastAsia="SimSun"/>
                <w:sz w:val="20"/>
                <w:szCs w:val="20"/>
                <w:lang w:val="en-GB" w:eastAsia="zh-CN"/>
              </w:rPr>
              <w:t>IRC: Independent Review Committee; PFS: progression-free survival; HR: Hazard Ratio; CI: Confidence Interval, NR = Not Reached</w:t>
            </w:r>
          </w:p>
          <w:p w14:paraId="4469D596" w14:textId="77777777" w:rsidR="00A82B12" w:rsidRPr="00ED6A89" w:rsidRDefault="00A82B12" w:rsidP="00EB1206">
            <w:pPr>
              <w:keepNext/>
              <w:keepLines/>
              <w:spacing w:after="40"/>
              <w:ind w:left="28"/>
              <w:rPr>
                <w:rFonts w:eastAsia="SimSun"/>
                <w:sz w:val="20"/>
                <w:szCs w:val="20"/>
                <w:lang w:val="en-US" w:eastAsia="zh-CN"/>
              </w:rPr>
            </w:pPr>
            <w:r w:rsidRPr="00ED6A89">
              <w:rPr>
                <w:rFonts w:eastAsia="SimSun"/>
                <w:bCs/>
                <w:sz w:val="20"/>
                <w:szCs w:val="20"/>
                <w:lang w:val="en-GB" w:eastAsia="zh-CN"/>
              </w:rPr>
              <w:t>*</w:t>
            </w:r>
            <w:r w:rsidRPr="00ED6A89">
              <w:rPr>
                <w:rFonts w:eastAsia="SimSun"/>
                <w:sz w:val="20"/>
                <w:szCs w:val="20"/>
                <w:lang w:val="en-US" w:eastAsia="zh-CN"/>
              </w:rPr>
              <w:t xml:space="preserve"> Stratification factors were chemotherapy regimen, FLIPI risk group for follicular l</w:t>
            </w:r>
            <w:r>
              <w:rPr>
                <w:rFonts w:eastAsia="SimSun"/>
                <w:sz w:val="20"/>
                <w:szCs w:val="20"/>
                <w:lang w:val="en-US" w:eastAsia="zh-CN"/>
              </w:rPr>
              <w:t>ymphoma, geographic region)</w:t>
            </w:r>
          </w:p>
          <w:p w14:paraId="2B33AC7E" w14:textId="77777777" w:rsidR="00A82B12" w:rsidRPr="00ED6A89" w:rsidRDefault="00A82B12" w:rsidP="00EB1206">
            <w:pPr>
              <w:keepNext/>
              <w:keepLines/>
              <w:spacing w:after="40"/>
              <w:ind w:left="245" w:hanging="216"/>
              <w:rPr>
                <w:rFonts w:eastAsia="SimSun"/>
                <w:sz w:val="20"/>
                <w:szCs w:val="20"/>
                <w:lang w:val="en-US" w:eastAsia="zh-CN"/>
              </w:rPr>
            </w:pPr>
            <w:r w:rsidRPr="00ED6A89">
              <w:rPr>
                <w:rFonts w:eastAsia="SimSun"/>
                <w:sz w:val="20"/>
                <w:szCs w:val="20"/>
                <w:vertAlign w:val="superscript"/>
                <w:lang w:val="en-US" w:eastAsia="zh-CN"/>
              </w:rPr>
              <w:t xml:space="preserve">¶ </w:t>
            </w:r>
            <w:r w:rsidRPr="00ED6A89">
              <w:rPr>
                <w:rFonts w:eastAsia="SimSun"/>
                <w:sz w:val="20"/>
                <w:szCs w:val="20"/>
                <w:lang w:val="en-US" w:eastAsia="zh-CN"/>
              </w:rPr>
              <w:t xml:space="preserve">Data Not Yet Mature. Median was not reached at time of analysis </w:t>
            </w:r>
          </w:p>
          <w:p w14:paraId="786D1ECF" w14:textId="77777777" w:rsidR="00A82B12" w:rsidRPr="00ED6A89" w:rsidRDefault="00A82B12" w:rsidP="00EB1206">
            <w:pPr>
              <w:spacing w:after="40"/>
              <w:ind w:left="33"/>
              <w:rPr>
                <w:rFonts w:eastAsia="SimSun"/>
                <w:sz w:val="20"/>
                <w:szCs w:val="20"/>
                <w:lang w:val="en-US" w:eastAsia="zh-CN"/>
              </w:rPr>
            </w:pPr>
            <w:r w:rsidRPr="00ED6A89">
              <w:rPr>
                <w:rFonts w:eastAsia="SimSun"/>
                <w:sz w:val="20"/>
                <w:szCs w:val="20"/>
                <w:vertAlign w:val="superscript"/>
                <w:lang w:val="en-GB" w:eastAsia="zh-CN"/>
              </w:rPr>
              <w:t>‡</w:t>
            </w:r>
            <w:r w:rsidRPr="00ED6A89">
              <w:rPr>
                <w:rFonts w:eastAsia="SimSun"/>
                <w:sz w:val="20"/>
                <w:szCs w:val="20"/>
                <w:lang w:val="en-GB" w:eastAsia="zh-CN"/>
              </w:rPr>
              <w:t xml:space="preserve"> </w:t>
            </w:r>
            <w:r w:rsidRPr="00ED6A89">
              <w:rPr>
                <w:rFonts w:eastAsia="SimSun"/>
                <w:bCs/>
                <w:sz w:val="20"/>
                <w:szCs w:val="20"/>
                <w:lang w:val="en-GB" w:eastAsia="zh-CN"/>
              </w:rPr>
              <w:t>End of Induction = end of Induction phase, does not include monotherapy maintenance</w:t>
            </w:r>
            <w:r w:rsidRPr="00ED6A89">
              <w:rPr>
                <w:rFonts w:eastAsia="SimSun"/>
                <w:sz w:val="20"/>
                <w:szCs w:val="20"/>
                <w:lang w:val="en-US" w:eastAsia="zh-CN"/>
              </w:rPr>
              <w:t xml:space="preserve"> </w:t>
            </w:r>
          </w:p>
          <w:p w14:paraId="0D43DE84" w14:textId="77777777" w:rsidR="00A82B12" w:rsidRPr="00ED6A89" w:rsidRDefault="00A82B12" w:rsidP="00EB1206">
            <w:pPr>
              <w:spacing w:after="40"/>
              <w:ind w:left="33"/>
              <w:rPr>
                <w:rFonts w:eastAsia="SimSun"/>
                <w:bCs/>
                <w:sz w:val="20"/>
                <w:szCs w:val="20"/>
                <w:lang w:val="en-GB" w:eastAsia="zh-CN"/>
              </w:rPr>
            </w:pPr>
            <w:r w:rsidRPr="00ED6A89">
              <w:rPr>
                <w:rFonts w:eastAsia="SimSun"/>
                <w:bCs/>
                <w:sz w:val="20"/>
                <w:szCs w:val="20"/>
                <w:lang w:val="en-GB" w:eastAsia="zh-CN"/>
              </w:rPr>
              <w:t xml:space="preserve">**Assessed as per modified </w:t>
            </w:r>
            <w:proofErr w:type="spellStart"/>
            <w:r w:rsidRPr="00ED6A89">
              <w:rPr>
                <w:rFonts w:eastAsia="SimSun"/>
                <w:bCs/>
                <w:sz w:val="20"/>
                <w:szCs w:val="20"/>
                <w:lang w:val="en-GB" w:eastAsia="zh-CN"/>
              </w:rPr>
              <w:t>Cheson</w:t>
            </w:r>
            <w:proofErr w:type="spellEnd"/>
            <w:r w:rsidRPr="00ED6A89">
              <w:rPr>
                <w:rFonts w:eastAsia="SimSun"/>
                <w:bCs/>
                <w:sz w:val="20"/>
                <w:szCs w:val="20"/>
                <w:lang w:val="en-GB" w:eastAsia="zh-CN"/>
              </w:rPr>
              <w:t xml:space="preserve"> 2007 criteria</w:t>
            </w:r>
          </w:p>
          <w:p w14:paraId="7FBC3668" w14:textId="77777777" w:rsidR="00A82B12" w:rsidRPr="00ED6A89" w:rsidRDefault="00A82B12" w:rsidP="00EB1206">
            <w:pPr>
              <w:spacing w:after="40"/>
              <w:ind w:left="33"/>
              <w:rPr>
                <w:rFonts w:eastAsia="SimSun"/>
                <w:bCs/>
                <w:sz w:val="22"/>
                <w:lang w:val="en-GB" w:eastAsia="zh-CN"/>
              </w:rPr>
            </w:pPr>
            <w:r w:rsidRPr="00ED6A89">
              <w:rPr>
                <w:rFonts w:eastAsia="SimSun"/>
                <w:sz w:val="20"/>
                <w:szCs w:val="20"/>
                <w:vertAlign w:val="superscript"/>
                <w:lang w:val="en-US" w:eastAsia="zh-CN"/>
              </w:rPr>
              <w:t xml:space="preserve">§ </w:t>
            </w:r>
            <w:r w:rsidRPr="00ED6A89">
              <w:rPr>
                <w:rFonts w:eastAsia="SimSun"/>
                <w:bCs/>
                <w:sz w:val="20"/>
                <w:szCs w:val="20"/>
                <w:lang w:val="en-GB" w:eastAsia="zh-CN"/>
              </w:rPr>
              <w:t>Significance level at this efficacy interim analysis: 0.012</w:t>
            </w:r>
          </w:p>
        </w:tc>
      </w:tr>
    </w:tbl>
    <w:p w14:paraId="394ED3C7" w14:textId="77777777" w:rsidR="00A82B12" w:rsidRDefault="00A82B12" w:rsidP="00EB1206">
      <w:pPr>
        <w:spacing w:before="240" w:after="240"/>
        <w:rPr>
          <w:lang w:val="en-US"/>
        </w:rPr>
      </w:pPr>
      <w:r w:rsidRPr="00C32127">
        <w:rPr>
          <w:lang w:val="en-US"/>
        </w:rPr>
        <w:t>Response rates at the end of induction assessed by positron emission tomograp</w:t>
      </w:r>
      <w:r>
        <w:rPr>
          <w:lang w:val="en-US"/>
        </w:rPr>
        <w:t xml:space="preserve">hy (PET) were available for 297 of </w:t>
      </w:r>
      <w:r w:rsidRPr="00C32127">
        <w:rPr>
          <w:lang w:val="en-US"/>
        </w:rPr>
        <w:t>601 patients in the G</w:t>
      </w:r>
      <w:r>
        <w:rPr>
          <w:lang w:val="en-US"/>
        </w:rPr>
        <w:t xml:space="preserve">azyva plus chemotherapy arm and 298 of </w:t>
      </w:r>
      <w:r w:rsidRPr="00C32127">
        <w:rPr>
          <w:lang w:val="en-US"/>
        </w:rPr>
        <w:t>601 patients in the rituximab plus chemotherapy arm of the study. Complete response rates at end of induction as assessed by PET were 62.3% in the G</w:t>
      </w:r>
      <w:r>
        <w:rPr>
          <w:lang w:val="en-US"/>
        </w:rPr>
        <w:t>azyva</w:t>
      </w:r>
      <w:r w:rsidRPr="00C32127">
        <w:rPr>
          <w:lang w:val="en-US"/>
        </w:rPr>
        <w:t xml:space="preserve"> plus chemotherapy arm and 56.7% in the rituximab plus chemotherapy arm. Overall response rates were similar in the two arms, with a difference of 4.3% in </w:t>
      </w:r>
      <w:proofErr w:type="spellStart"/>
      <w:r w:rsidRPr="00C32127">
        <w:rPr>
          <w:lang w:val="en-US"/>
        </w:rPr>
        <w:t>favour</w:t>
      </w:r>
      <w:proofErr w:type="spellEnd"/>
      <w:r w:rsidRPr="00C32127">
        <w:rPr>
          <w:lang w:val="en-US"/>
        </w:rPr>
        <w:t xml:space="preserve"> of the G</w:t>
      </w:r>
      <w:r>
        <w:rPr>
          <w:lang w:val="en-US"/>
        </w:rPr>
        <w:t>azyva</w:t>
      </w:r>
      <w:r w:rsidRPr="00C32127">
        <w:rPr>
          <w:lang w:val="en-US"/>
        </w:rPr>
        <w:t xml:space="preserve"> plus chemotherapy arm (85.9% for G-chemo vs 81.5% for R-chemo).</w:t>
      </w:r>
      <w:r>
        <w:rPr>
          <w:lang w:val="en-US"/>
        </w:rPr>
        <w:t xml:space="preserve"> The differences were 4.3% (</w:t>
      </w:r>
      <w:proofErr w:type="gramStart"/>
      <w:r>
        <w:rPr>
          <w:lang w:val="en-US"/>
        </w:rPr>
        <w:t>OR,</w:t>
      </w:r>
      <w:proofErr w:type="gramEnd"/>
      <w:r>
        <w:rPr>
          <w:lang w:val="en-US"/>
        </w:rPr>
        <w:t xml:space="preserve"> 95% CI [-1.8,10.4], p=0.19) and 5.6% (CR, 95% CI [-2.5,13.6], p=0.28).</w:t>
      </w:r>
    </w:p>
    <w:p w14:paraId="201F4B57" w14:textId="77777777" w:rsidR="009155D4" w:rsidRDefault="009155D4" w:rsidP="00EB1206">
      <w:pPr>
        <w:rPr>
          <w:b/>
          <w:lang w:val="en-GB"/>
        </w:rPr>
      </w:pPr>
      <w:r>
        <w:rPr>
          <w:b/>
          <w:lang w:val="en-GB"/>
        </w:rPr>
        <w:br w:type="page"/>
      </w:r>
    </w:p>
    <w:p w14:paraId="6B9A1E79" w14:textId="77777777" w:rsidR="00A82B12" w:rsidRPr="00254841" w:rsidRDefault="00A82B12" w:rsidP="00EB1206">
      <w:pPr>
        <w:rPr>
          <w:b/>
          <w:lang w:val="en-GB"/>
        </w:rPr>
      </w:pPr>
      <w:r w:rsidRPr="00254841">
        <w:rPr>
          <w:b/>
          <w:lang w:val="en-GB"/>
        </w:rPr>
        <w:lastRenderedPageBreak/>
        <w:t>Figure 4 Kaplan-Meier estimates of INV-assessed progression-free survival in FL patients</w:t>
      </w:r>
    </w:p>
    <w:p w14:paraId="128FE7F1" w14:textId="77777777" w:rsidR="00A82B12" w:rsidRPr="00254841" w:rsidRDefault="00A82B12" w:rsidP="00EB1206">
      <w:pPr>
        <w:rPr>
          <w:lang w:val="en-GB"/>
        </w:rPr>
      </w:pPr>
      <w:r>
        <w:rPr>
          <w:noProof/>
          <w:lang w:val="en-AU"/>
        </w:rPr>
        <w:drawing>
          <wp:inline distT="0" distB="0" distL="0" distR="0" wp14:anchorId="71DC0D55" wp14:editId="79BA801C">
            <wp:extent cx="5223305" cy="3056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5645"/>
                    <a:stretch/>
                  </pic:blipFill>
                  <pic:spPr bwMode="auto">
                    <a:xfrm>
                      <a:off x="0" y="0"/>
                      <a:ext cx="5223676" cy="3057107"/>
                    </a:xfrm>
                    <a:prstGeom prst="rect">
                      <a:avLst/>
                    </a:prstGeom>
                    <a:noFill/>
                    <a:ln>
                      <a:noFill/>
                    </a:ln>
                    <a:extLst>
                      <a:ext uri="{53640926-AAD7-44D8-BBD7-CCE9431645EC}">
                        <a14:shadowObscured xmlns:a14="http://schemas.microsoft.com/office/drawing/2010/main"/>
                      </a:ext>
                    </a:extLst>
                  </pic:spPr>
                </pic:pic>
              </a:graphicData>
            </a:graphic>
          </wp:inline>
        </w:drawing>
      </w:r>
    </w:p>
    <w:p w14:paraId="35C1D641" w14:textId="77777777" w:rsidR="00A82B12" w:rsidRPr="00254841" w:rsidRDefault="00A82B12" w:rsidP="00EB1206">
      <w:pPr>
        <w:rPr>
          <w:sz w:val="20"/>
          <w:szCs w:val="20"/>
          <w:lang w:val="en-GB"/>
        </w:rPr>
      </w:pPr>
      <w:r>
        <w:rPr>
          <w:sz w:val="20"/>
          <w:szCs w:val="20"/>
          <w:lang w:val="en-GB"/>
        </w:rPr>
        <w:t>R-Chemo: r</w:t>
      </w:r>
      <w:r w:rsidRPr="00254841">
        <w:rPr>
          <w:sz w:val="20"/>
          <w:szCs w:val="20"/>
          <w:lang w:val="en-GB"/>
        </w:rPr>
        <w:t>it</w:t>
      </w:r>
      <w:r>
        <w:rPr>
          <w:sz w:val="20"/>
          <w:szCs w:val="20"/>
          <w:lang w:val="en-GB"/>
        </w:rPr>
        <w:t>uximab plus chemotherapy;</w:t>
      </w:r>
      <w:r w:rsidRPr="00254841">
        <w:rPr>
          <w:sz w:val="20"/>
          <w:szCs w:val="20"/>
          <w:lang w:val="en-GB"/>
        </w:rPr>
        <w:t xml:space="preserve"> G-</w:t>
      </w:r>
      <w:r>
        <w:rPr>
          <w:sz w:val="20"/>
          <w:szCs w:val="20"/>
          <w:lang w:val="en-GB"/>
        </w:rPr>
        <w:t>Chemo: Gazyva plus chemotherapy; HR: hazard ratio;</w:t>
      </w:r>
      <w:r w:rsidRPr="00254841">
        <w:rPr>
          <w:sz w:val="20"/>
          <w:szCs w:val="20"/>
          <w:lang w:val="en-GB"/>
        </w:rPr>
        <w:t xml:space="preserve"> CI: confidence interval</w:t>
      </w:r>
    </w:p>
    <w:p w14:paraId="68453CF3" w14:textId="77777777" w:rsidR="00A82B12" w:rsidRPr="00254841" w:rsidRDefault="00A82B12" w:rsidP="00EB1206">
      <w:pPr>
        <w:pStyle w:val="Heading6"/>
        <w:spacing w:before="240"/>
        <w:rPr>
          <w:lang w:val="en-GB"/>
        </w:rPr>
      </w:pPr>
      <w:r w:rsidRPr="00254841">
        <w:rPr>
          <w:lang w:val="en-GB"/>
        </w:rPr>
        <w:t>Results of subgroup analyses</w:t>
      </w:r>
    </w:p>
    <w:p w14:paraId="43401F1A" w14:textId="77777777" w:rsidR="00A82B12" w:rsidRPr="00254841" w:rsidRDefault="00A82B12" w:rsidP="00EB1206">
      <w:pPr>
        <w:rPr>
          <w:lang w:val="en-GB"/>
        </w:rPr>
      </w:pPr>
      <w:r w:rsidRPr="00254841">
        <w:rPr>
          <w:lang w:val="en-GB"/>
        </w:rPr>
        <w:t>Results of subgroup analyses were, in general, consistent with the results seen in the FL population, supporting the robustness of the overall result. The subgroups evaluated included IPI, FLIPI, Chemo Regimen, Bulky Disease, B Symptoms at Baseline, Ann Arbor Stage and ECOG at Baseline.</w:t>
      </w:r>
    </w:p>
    <w:p w14:paraId="0DF606B5" w14:textId="77777777" w:rsidR="00A82B12" w:rsidRPr="00151C21" w:rsidRDefault="00A82B12" w:rsidP="00EB1206">
      <w:pPr>
        <w:pStyle w:val="Heading5"/>
        <w:rPr>
          <w:lang w:val="en-US"/>
        </w:rPr>
      </w:pPr>
      <w:r w:rsidRPr="00151C21">
        <w:rPr>
          <w:lang w:val="en-US"/>
        </w:rPr>
        <w:t>Relapsed/Refractory Follicular Lymphoma</w:t>
      </w:r>
    </w:p>
    <w:p w14:paraId="326C1490" w14:textId="1B27995B" w:rsidR="00A82B12" w:rsidRDefault="00A82B12" w:rsidP="00EB1206">
      <w:pPr>
        <w:spacing w:after="240"/>
        <w:rPr>
          <w:lang w:val="en-US"/>
        </w:rPr>
      </w:pPr>
      <w:r w:rsidRPr="000B3114">
        <w:rPr>
          <w:lang w:val="en-US"/>
        </w:rPr>
        <w:t xml:space="preserve">In a phase III, open-label, </w:t>
      </w:r>
      <w:proofErr w:type="spellStart"/>
      <w:r w:rsidRPr="000B3114">
        <w:rPr>
          <w:lang w:val="en-US"/>
        </w:rPr>
        <w:t>multicent</w:t>
      </w:r>
      <w:r w:rsidR="001C5E4E">
        <w:rPr>
          <w:lang w:val="en-US"/>
        </w:rPr>
        <w:t>r</w:t>
      </w:r>
      <w:r w:rsidRPr="000B3114">
        <w:rPr>
          <w:lang w:val="en-US"/>
        </w:rPr>
        <w:t>e</w:t>
      </w:r>
      <w:proofErr w:type="spellEnd"/>
      <w:r w:rsidRPr="000B3114">
        <w:rPr>
          <w:lang w:val="en-US"/>
        </w:rPr>
        <w:t xml:space="preserve">, </w:t>
      </w:r>
      <w:proofErr w:type="spellStart"/>
      <w:r w:rsidRPr="000B3114">
        <w:rPr>
          <w:lang w:val="en-US"/>
        </w:rPr>
        <w:t>randomi</w:t>
      </w:r>
      <w:r>
        <w:rPr>
          <w:lang w:val="en-US"/>
        </w:rPr>
        <w:t>s</w:t>
      </w:r>
      <w:r w:rsidRPr="000B3114">
        <w:rPr>
          <w:lang w:val="en-US"/>
        </w:rPr>
        <w:t>ed</w:t>
      </w:r>
      <w:proofErr w:type="spellEnd"/>
      <w:r w:rsidRPr="000B3114">
        <w:rPr>
          <w:lang w:val="en-US"/>
        </w:rPr>
        <w:t xml:space="preserve"> study (GAO4753g/GADOLIN), 396 patients with i</w:t>
      </w:r>
      <w:r>
        <w:rPr>
          <w:lang w:val="en-US"/>
        </w:rPr>
        <w:t xml:space="preserve">ndolent </w:t>
      </w:r>
      <w:r w:rsidRPr="000B3114">
        <w:rPr>
          <w:lang w:val="en-US"/>
        </w:rPr>
        <w:t>NHL</w:t>
      </w:r>
      <w:r>
        <w:rPr>
          <w:lang w:val="en-US"/>
        </w:rPr>
        <w:t xml:space="preserve"> (</w:t>
      </w:r>
      <w:proofErr w:type="spellStart"/>
      <w:r>
        <w:rPr>
          <w:lang w:val="en-US"/>
        </w:rPr>
        <w:t>iNHL</w:t>
      </w:r>
      <w:proofErr w:type="spellEnd"/>
      <w:r>
        <w:rPr>
          <w:lang w:val="en-US"/>
        </w:rPr>
        <w:t>)</w:t>
      </w:r>
      <w:r w:rsidR="00547463">
        <w:rPr>
          <w:lang w:val="en-US"/>
        </w:rPr>
        <w:t>,</w:t>
      </w:r>
      <w:r w:rsidRPr="000B3114">
        <w:rPr>
          <w:lang w:val="en-US"/>
        </w:rPr>
        <w:t xml:space="preserve"> who had no response or who progressed during or up to 6 months after treatment</w:t>
      </w:r>
      <w:r w:rsidR="00C95648">
        <w:rPr>
          <w:lang w:val="en-US"/>
        </w:rPr>
        <w:t>,</w:t>
      </w:r>
      <w:r w:rsidRPr="000B3114">
        <w:rPr>
          <w:lang w:val="en-US"/>
        </w:rPr>
        <w:t xml:space="preserve"> with rituximab or a rituximab-containing regimen</w:t>
      </w:r>
      <w:r w:rsidR="00C95648">
        <w:rPr>
          <w:lang w:val="en-US"/>
        </w:rPr>
        <w:t>,</w:t>
      </w:r>
      <w:r w:rsidRPr="000B3114">
        <w:rPr>
          <w:lang w:val="en-US"/>
        </w:rPr>
        <w:t xml:space="preserve"> were evaluated. Patients were </w:t>
      </w:r>
      <w:proofErr w:type="spellStart"/>
      <w:r w:rsidRPr="000B3114">
        <w:rPr>
          <w:lang w:val="en-US"/>
        </w:rPr>
        <w:t>randomi</w:t>
      </w:r>
      <w:r>
        <w:rPr>
          <w:lang w:val="en-US"/>
        </w:rPr>
        <w:t>s</w:t>
      </w:r>
      <w:r w:rsidRPr="000B3114">
        <w:rPr>
          <w:lang w:val="en-US"/>
        </w:rPr>
        <w:t>ed</w:t>
      </w:r>
      <w:proofErr w:type="spellEnd"/>
      <w:r w:rsidRPr="000B3114">
        <w:rPr>
          <w:lang w:val="en-US"/>
        </w:rPr>
        <w:t xml:space="preserve"> 1:1 to receive either </w:t>
      </w:r>
      <w:proofErr w:type="spellStart"/>
      <w:r w:rsidRPr="000B3114">
        <w:rPr>
          <w:lang w:val="en-US"/>
        </w:rPr>
        <w:t>bendamustine</w:t>
      </w:r>
      <w:proofErr w:type="spellEnd"/>
      <w:r w:rsidRPr="000B3114">
        <w:rPr>
          <w:lang w:val="en-US"/>
        </w:rPr>
        <w:t xml:space="preserve"> (B) alone (n=202) or </w:t>
      </w:r>
      <w:r>
        <w:rPr>
          <w:lang w:val="en-US"/>
        </w:rPr>
        <w:t>Gazyva</w:t>
      </w:r>
      <w:r w:rsidRPr="000B3114">
        <w:rPr>
          <w:lang w:val="en-US"/>
        </w:rPr>
        <w:t xml:space="preserve"> in combination with </w:t>
      </w:r>
      <w:proofErr w:type="spellStart"/>
      <w:r w:rsidRPr="000B3114">
        <w:rPr>
          <w:lang w:val="en-US"/>
        </w:rPr>
        <w:t>bendamustine</w:t>
      </w:r>
      <w:proofErr w:type="spellEnd"/>
      <w:r w:rsidRPr="000B3114">
        <w:rPr>
          <w:lang w:val="en-US"/>
        </w:rPr>
        <w:t xml:space="preserve"> (G+B) (n=194) for 6 cycles, each of 28 days duration. Patients in the G+B arm who did not have disease progression [i.e. patients with a complete response (CR), partial response (PR) or stable disease (SD)] at the end of induction continued receiving </w:t>
      </w:r>
      <w:r>
        <w:rPr>
          <w:lang w:val="en-US"/>
        </w:rPr>
        <w:t>Gazyva</w:t>
      </w:r>
      <w:r w:rsidRPr="000B3114">
        <w:rPr>
          <w:lang w:val="en-US"/>
        </w:rPr>
        <w:t xml:space="preserve"> maintenance until disease progression or for up to two years (whichever occurred first).</w:t>
      </w:r>
    </w:p>
    <w:p w14:paraId="775DA4BC" w14:textId="77777777" w:rsidR="00A82B12" w:rsidRDefault="00A82B12" w:rsidP="00EB1206">
      <w:pPr>
        <w:spacing w:after="240"/>
        <w:rPr>
          <w:lang w:val="en-US"/>
        </w:rPr>
      </w:pPr>
      <w:r w:rsidRPr="000B3114">
        <w:rPr>
          <w:lang w:val="en-US"/>
        </w:rPr>
        <w:t xml:space="preserve">The demographic data and baseline characteristics were well balanced [median age was 63 years; </w:t>
      </w:r>
      <w:proofErr w:type="gramStart"/>
      <w:r w:rsidRPr="000B3114">
        <w:rPr>
          <w:lang w:val="en-US"/>
        </w:rPr>
        <w:t>the majority of</w:t>
      </w:r>
      <w:proofErr w:type="gramEnd"/>
      <w:r w:rsidRPr="000B3114">
        <w:rPr>
          <w:lang w:val="en-US"/>
        </w:rPr>
        <w:t xml:space="preserve"> patients were Caucasian (88%) and male (58%)]. The median time from initial diagnosis was 3 years and the median number of prior therapies was 2 (range 1 to 10); 44% of patients had received 1 prior therapy and 34% of patients had</w:t>
      </w:r>
      <w:r>
        <w:rPr>
          <w:lang w:val="en-US"/>
        </w:rPr>
        <w:t xml:space="preserve"> received 2 prior therapies</w:t>
      </w:r>
      <w:r w:rsidRPr="000B3114">
        <w:rPr>
          <w:lang w:val="en-US"/>
        </w:rPr>
        <w:t>.</w:t>
      </w:r>
      <w:r>
        <w:rPr>
          <w:lang w:val="en-US"/>
        </w:rPr>
        <w:t xml:space="preserve"> </w:t>
      </w:r>
      <w:proofErr w:type="gramStart"/>
      <w:r w:rsidRPr="000B3114">
        <w:rPr>
          <w:lang w:val="en-US"/>
        </w:rPr>
        <w:t>The majority of</w:t>
      </w:r>
      <w:proofErr w:type="gramEnd"/>
      <w:r w:rsidRPr="000B3114">
        <w:rPr>
          <w:lang w:val="en-US"/>
        </w:rPr>
        <w:t xml:space="preserve"> the patients had follicular lymphoma (FL) (81.1%). Of the non-follicular patients, 11.6% had marginal zone lymphoma (MZL) and 7.1% had small lymphocytic lymphoma (SLL). </w:t>
      </w:r>
    </w:p>
    <w:p w14:paraId="5E85CAFD" w14:textId="77777777" w:rsidR="00A82B12" w:rsidRDefault="00A82B12" w:rsidP="00EB1206">
      <w:pPr>
        <w:spacing w:after="240"/>
        <w:rPr>
          <w:lang w:val="en-US"/>
        </w:rPr>
      </w:pPr>
      <w:r>
        <w:rPr>
          <w:lang w:val="en-US"/>
        </w:rPr>
        <w:t>Gazyva</w:t>
      </w:r>
      <w:r w:rsidRPr="000B3114">
        <w:rPr>
          <w:lang w:val="en-US"/>
        </w:rPr>
        <w:t xml:space="preserve"> was given intravenously as a 1000 mg dose on Days 1, 8 and 15 of Cycle 1, on Day 1 of Cycles 2-6, and in patients who did not have disease progression, every 2 months for up to 2 years or until disease progression. </w:t>
      </w:r>
      <w:proofErr w:type="spellStart"/>
      <w:r w:rsidRPr="000B3114">
        <w:rPr>
          <w:lang w:val="en-US"/>
        </w:rPr>
        <w:t>Bendamustine</w:t>
      </w:r>
      <w:proofErr w:type="spellEnd"/>
      <w:r w:rsidRPr="000B3114">
        <w:rPr>
          <w:lang w:val="en-US"/>
        </w:rPr>
        <w:t xml:space="preserve"> was given intravenously on Days 1 and 2 </w:t>
      </w:r>
      <w:r w:rsidRPr="000B3114">
        <w:rPr>
          <w:lang w:val="en-US"/>
        </w:rPr>
        <w:lastRenderedPageBreak/>
        <w:t>for</w:t>
      </w:r>
      <w:r>
        <w:rPr>
          <w:lang w:val="en-US"/>
        </w:rPr>
        <w:t xml:space="preserve"> all treatment cycles (Cycles 1-</w:t>
      </w:r>
      <w:r w:rsidRPr="000B3114">
        <w:rPr>
          <w:lang w:val="en-US"/>
        </w:rPr>
        <w:t>6) at 90 mg/m</w:t>
      </w:r>
      <w:r w:rsidRPr="000B3114">
        <w:rPr>
          <w:vertAlign w:val="superscript"/>
          <w:lang w:val="en-US"/>
        </w:rPr>
        <w:t>2</w:t>
      </w:r>
      <w:r w:rsidRPr="000B3114">
        <w:rPr>
          <w:lang w:val="en-US"/>
        </w:rPr>
        <w:t xml:space="preserve">/day when given in combination with </w:t>
      </w:r>
      <w:r>
        <w:rPr>
          <w:lang w:val="en-US"/>
        </w:rPr>
        <w:t>Gazyva</w:t>
      </w:r>
      <w:r w:rsidRPr="000B3114">
        <w:rPr>
          <w:lang w:val="en-US"/>
        </w:rPr>
        <w:t xml:space="preserve"> or 120 mg/m</w:t>
      </w:r>
      <w:r w:rsidRPr="000B3114">
        <w:rPr>
          <w:vertAlign w:val="superscript"/>
          <w:lang w:val="en-US"/>
        </w:rPr>
        <w:t>2</w:t>
      </w:r>
      <w:r w:rsidRPr="000B3114">
        <w:rPr>
          <w:lang w:val="en-US"/>
        </w:rPr>
        <w:t>/day when given alone.</w:t>
      </w:r>
    </w:p>
    <w:p w14:paraId="18627810" w14:textId="7D8F7FA8" w:rsidR="00BD1599" w:rsidRDefault="00A82B12" w:rsidP="00EB1206">
      <w:pPr>
        <w:spacing w:after="240"/>
        <w:rPr>
          <w:lang w:val="en-US"/>
        </w:rPr>
      </w:pPr>
      <w:r w:rsidRPr="000B3114">
        <w:rPr>
          <w:lang w:val="en-US"/>
        </w:rPr>
        <w:t xml:space="preserve">The primary analysis demonstrated a statistically significant and clinically meaningful </w:t>
      </w:r>
      <w:r>
        <w:rPr>
          <w:lang w:val="en-US"/>
        </w:rPr>
        <w:t xml:space="preserve">52% </w:t>
      </w:r>
      <w:r w:rsidRPr="00C2153F">
        <w:rPr>
          <w:lang w:val="en-US"/>
        </w:rPr>
        <w:t>reduction in the risk of disease progression (PD) or death, based on IRC assessment, in patients with FL</w:t>
      </w:r>
      <w:r>
        <w:rPr>
          <w:lang w:val="en-US"/>
        </w:rPr>
        <w:t xml:space="preserve"> </w:t>
      </w:r>
      <w:r w:rsidRPr="00C2153F">
        <w:rPr>
          <w:lang w:val="en-US"/>
        </w:rPr>
        <w:t>receiving G+B followed by G maintenance vs B alone (stratified log-rank test p value &lt;</w:t>
      </w:r>
      <w:r w:rsidRPr="00C2153F">
        <w:rPr>
          <w:strike/>
          <w:lang w:val="en-US"/>
        </w:rPr>
        <w:t>=</w:t>
      </w:r>
      <w:r w:rsidRPr="00C2153F">
        <w:rPr>
          <w:lang w:val="en-US"/>
        </w:rPr>
        <w:t xml:space="preserve">0.0001). IRC-assessed response rates at the end of induction treatment and IRC-assessed best overall response within 12 months of start of treatment were similar in the two treatment arms. </w:t>
      </w:r>
    </w:p>
    <w:p w14:paraId="2962755D" w14:textId="593305D5" w:rsidR="00386C5C" w:rsidRPr="00BD1599" w:rsidRDefault="00386C5C" w:rsidP="00EB1206">
      <w:pPr>
        <w:spacing w:after="240"/>
        <w:rPr>
          <w:lang w:val="en-US"/>
        </w:rPr>
      </w:pPr>
      <w:proofErr w:type="gramStart"/>
      <w:r w:rsidRPr="00386C5C">
        <w:rPr>
          <w:lang w:val="en-US"/>
        </w:rPr>
        <w:t>The majority of</w:t>
      </w:r>
      <w:proofErr w:type="gramEnd"/>
      <w:r w:rsidRPr="00386C5C">
        <w:rPr>
          <w:lang w:val="en-US"/>
        </w:rPr>
        <w:t xml:space="preserve"> the patients in study GAO4753g had FL (81.1%). Efficacy results from the primary analysis in the FL population are shown in Table </w:t>
      </w:r>
      <w:r w:rsidR="005D2569">
        <w:rPr>
          <w:lang w:val="en-US"/>
        </w:rPr>
        <w:t>1</w:t>
      </w:r>
      <w:r w:rsidR="00DF242D">
        <w:rPr>
          <w:lang w:val="en-US"/>
        </w:rPr>
        <w:t>4</w:t>
      </w:r>
      <w:r w:rsidRPr="00386C5C">
        <w:rPr>
          <w:lang w:val="en-US"/>
        </w:rPr>
        <w:t xml:space="preserve"> and Figures 5 and 6. 11.6% of the patients had marginal zone lymphoma (MZL) and 7.1% had small lymphocytic lymphoma (SLL). In the non-FL population, the HR for IRC-assessed PFS was 0.94 [95% CI: 0.49, 1.90]. No definitive conclusions could be drawn on efficacy in the MZL and SLL sub-populations.</w:t>
      </w:r>
    </w:p>
    <w:p w14:paraId="3ECCD8AD" w14:textId="700E3D94" w:rsidR="00BD1599" w:rsidRDefault="00BD1599" w:rsidP="00EB1206">
      <w:pPr>
        <w:spacing w:after="240"/>
        <w:rPr>
          <w:lang w:val="en-US"/>
        </w:rPr>
      </w:pPr>
      <w:r w:rsidRPr="00BD1599">
        <w:rPr>
          <w:lang w:val="en-US"/>
        </w:rPr>
        <w:t xml:space="preserve">At final analysis, the median observation time was 45.9 months (range: 0-100.9 months) for FL patients in the B arm and 57.3 months (range: 0.4-97.6 months) for patients in the G+B arm, representing an additional 25.6 months and 35.2 months of median follow-up in B and G+B arms, respectively, since the primary analysis. Only Investigator (INV) assessed endpoints were reported at final analysis since IRC assessments did not continue. Overall, the efficacy results were consistent with what was observed in the primary analysis. The overall survival (OS) in patients with FL was stable with longer follow-up (see Figure </w:t>
      </w:r>
      <w:r w:rsidR="002A1B19">
        <w:rPr>
          <w:lang w:val="en-US"/>
        </w:rPr>
        <w:t>6</w:t>
      </w:r>
      <w:r w:rsidRPr="00BD1599">
        <w:rPr>
          <w:lang w:val="en-US"/>
        </w:rPr>
        <w:t>); the HR for risk of death was 0.71 (95%CI: 0.51, 0.98).</w:t>
      </w:r>
    </w:p>
    <w:p w14:paraId="39FBF9F0" w14:textId="1573AB0D" w:rsidR="00A82B12" w:rsidRPr="0051432E" w:rsidRDefault="00A82B12" w:rsidP="00EB1206">
      <w:pPr>
        <w:spacing w:after="120"/>
        <w:rPr>
          <w:b/>
          <w:lang w:val="en-US"/>
        </w:rPr>
      </w:pPr>
      <w:r w:rsidRPr="005A3916">
        <w:rPr>
          <w:b/>
          <w:lang w:val="en-US"/>
        </w:rPr>
        <w:t xml:space="preserve">Table </w:t>
      </w:r>
      <w:r w:rsidR="005D2569">
        <w:rPr>
          <w:b/>
          <w:lang w:val="en-US"/>
        </w:rPr>
        <w:t>1</w:t>
      </w:r>
      <w:r w:rsidR="00DF242D">
        <w:rPr>
          <w:b/>
          <w:lang w:val="en-US"/>
        </w:rPr>
        <w:t>4</w:t>
      </w:r>
      <w:r w:rsidRPr="005A3916">
        <w:rPr>
          <w:b/>
          <w:lang w:val="en-US"/>
        </w:rPr>
        <w:t xml:space="preserve"> Summary of </w:t>
      </w:r>
      <w:r w:rsidR="00BD1599">
        <w:rPr>
          <w:b/>
          <w:lang w:val="en-US"/>
        </w:rPr>
        <w:t xml:space="preserve">primary </w:t>
      </w:r>
      <w:r w:rsidRPr="005A3916">
        <w:rPr>
          <w:b/>
          <w:lang w:val="en-US"/>
        </w:rPr>
        <w:t xml:space="preserve">efficacy </w:t>
      </w:r>
      <w:r w:rsidR="00BD1599">
        <w:rPr>
          <w:b/>
          <w:lang w:val="en-US"/>
        </w:rPr>
        <w:t xml:space="preserve">analysis </w:t>
      </w:r>
      <w:r w:rsidRPr="005A3916">
        <w:rPr>
          <w:b/>
          <w:lang w:val="en-US"/>
        </w:rPr>
        <w:t xml:space="preserve">in </w:t>
      </w:r>
      <w:r w:rsidRPr="00E8637D">
        <w:rPr>
          <w:b/>
          <w:lang w:val="en-US"/>
        </w:rPr>
        <w:t>FL</w:t>
      </w:r>
      <w:r w:rsidRPr="005A3916">
        <w:rPr>
          <w:b/>
          <w:lang w:val="en-US"/>
        </w:rPr>
        <w:t xml:space="preserve"> patients from GAO4753g (GADOLIN) study</w:t>
      </w:r>
    </w:p>
    <w:tbl>
      <w:tblPr>
        <w:tblW w:w="9147" w:type="dxa"/>
        <w:jc w:val="right"/>
        <w:tblCellMar>
          <w:left w:w="57" w:type="dxa"/>
          <w:right w:w="57" w:type="dxa"/>
        </w:tblCellMar>
        <w:tblLook w:val="00A0" w:firstRow="1" w:lastRow="0" w:firstColumn="1" w:lastColumn="0" w:noHBand="0" w:noVBand="0"/>
      </w:tblPr>
      <w:tblGrid>
        <w:gridCol w:w="4555"/>
        <w:gridCol w:w="2388"/>
        <w:gridCol w:w="2204"/>
      </w:tblGrid>
      <w:tr w:rsidR="00A82B12" w:rsidRPr="0051432E" w14:paraId="44F22D8B" w14:textId="77777777" w:rsidTr="003D5491">
        <w:trPr>
          <w:cantSplit/>
          <w:tblHeader/>
          <w:jc w:val="right"/>
        </w:trPr>
        <w:tc>
          <w:tcPr>
            <w:tcW w:w="4555" w:type="dxa"/>
            <w:tcBorders>
              <w:top w:val="single" w:sz="4" w:space="0" w:color="auto"/>
              <w:left w:val="single" w:sz="4" w:space="0" w:color="auto"/>
              <w:bottom w:val="single" w:sz="4" w:space="0" w:color="auto"/>
              <w:right w:val="single" w:sz="4" w:space="0" w:color="auto"/>
            </w:tcBorders>
            <w:vAlign w:val="bottom"/>
          </w:tcPr>
          <w:p w14:paraId="12B04462" w14:textId="77777777" w:rsidR="00A82B12" w:rsidRPr="0051432E" w:rsidRDefault="00A82B12" w:rsidP="00EB1206">
            <w:pPr>
              <w:keepNext/>
              <w:keepLines/>
              <w:spacing w:before="50" w:after="50" w:line="240" w:lineRule="exact"/>
              <w:rPr>
                <w:rFonts w:eastAsia="SimSun"/>
                <w:sz w:val="22"/>
                <w:lang w:val="en-GB" w:eastAsia="zh-CN"/>
              </w:rPr>
            </w:pPr>
          </w:p>
        </w:tc>
        <w:tc>
          <w:tcPr>
            <w:tcW w:w="2388" w:type="dxa"/>
            <w:tcBorders>
              <w:top w:val="single" w:sz="4" w:space="0" w:color="auto"/>
              <w:left w:val="single" w:sz="4" w:space="0" w:color="auto"/>
              <w:bottom w:val="single" w:sz="4" w:space="0" w:color="auto"/>
              <w:right w:val="dashSmallGap" w:sz="4" w:space="0" w:color="auto"/>
            </w:tcBorders>
            <w:vAlign w:val="center"/>
            <w:hideMark/>
          </w:tcPr>
          <w:p w14:paraId="0F3C0F10" w14:textId="77777777" w:rsidR="00A82B12" w:rsidRPr="0051432E" w:rsidRDefault="00A82B12" w:rsidP="00EB1206">
            <w:pPr>
              <w:keepNext/>
              <w:keepLines/>
              <w:spacing w:before="50" w:after="50" w:line="240" w:lineRule="exact"/>
              <w:rPr>
                <w:rFonts w:eastAsia="SimSun"/>
                <w:b/>
                <w:sz w:val="22"/>
                <w:lang w:val="en-GB" w:eastAsia="zh-CN"/>
              </w:rPr>
            </w:pPr>
            <w:proofErr w:type="spellStart"/>
            <w:r w:rsidRPr="0051432E">
              <w:rPr>
                <w:rFonts w:eastAsia="SimSun"/>
                <w:b/>
                <w:sz w:val="22"/>
                <w:lang w:val="en-GB" w:eastAsia="zh-CN"/>
              </w:rPr>
              <w:t>Bendamustine</w:t>
            </w:r>
            <w:proofErr w:type="spellEnd"/>
          </w:p>
          <w:p w14:paraId="0E1A99C7" w14:textId="77777777" w:rsidR="00A82B12" w:rsidRPr="0051432E" w:rsidRDefault="00A82B12" w:rsidP="00EB1206">
            <w:pPr>
              <w:keepNext/>
              <w:keepLines/>
              <w:spacing w:before="50" w:after="50" w:line="240" w:lineRule="exact"/>
              <w:rPr>
                <w:rFonts w:eastAsia="SimSun"/>
                <w:b/>
                <w:sz w:val="22"/>
                <w:lang w:val="en-GB" w:eastAsia="zh-CN"/>
              </w:rPr>
            </w:pPr>
            <w:r w:rsidRPr="002A6A20">
              <w:rPr>
                <w:rFonts w:eastAsia="SimSun"/>
                <w:b/>
                <w:sz w:val="22"/>
                <w:lang w:val="en-GB" w:eastAsia="zh-CN"/>
              </w:rPr>
              <w:t>n</w:t>
            </w:r>
            <w:r w:rsidRPr="0051432E">
              <w:rPr>
                <w:rFonts w:eastAsia="SimSun"/>
                <w:b/>
                <w:sz w:val="22"/>
                <w:lang w:val="en-GB" w:eastAsia="zh-CN"/>
              </w:rPr>
              <w:t>=166</w:t>
            </w:r>
          </w:p>
        </w:tc>
        <w:tc>
          <w:tcPr>
            <w:tcW w:w="2204" w:type="dxa"/>
            <w:tcBorders>
              <w:top w:val="single" w:sz="4" w:space="0" w:color="auto"/>
              <w:left w:val="dashSmallGap" w:sz="4" w:space="0" w:color="auto"/>
              <w:bottom w:val="single" w:sz="4" w:space="0" w:color="auto"/>
              <w:right w:val="single" w:sz="4" w:space="0" w:color="auto"/>
            </w:tcBorders>
            <w:vAlign w:val="center"/>
            <w:hideMark/>
          </w:tcPr>
          <w:p w14:paraId="2D8A2D47" w14:textId="77777777" w:rsidR="00A82B12" w:rsidRPr="0051432E" w:rsidRDefault="00A82B12" w:rsidP="00EB1206">
            <w:pPr>
              <w:keepNext/>
              <w:keepLines/>
              <w:spacing w:before="50" w:after="50" w:line="240" w:lineRule="exact"/>
              <w:rPr>
                <w:rFonts w:eastAsia="SimSun"/>
                <w:b/>
                <w:sz w:val="22"/>
                <w:lang w:val="en-GB" w:eastAsia="zh-CN"/>
              </w:rPr>
            </w:pPr>
            <w:r w:rsidRPr="0051432E">
              <w:rPr>
                <w:rFonts w:eastAsia="SimSun"/>
                <w:b/>
                <w:sz w:val="22"/>
                <w:lang w:val="en-GB" w:eastAsia="zh-CN"/>
              </w:rPr>
              <w:t>G+B followed by G</w:t>
            </w:r>
            <w:r>
              <w:rPr>
                <w:rFonts w:eastAsia="SimSun"/>
                <w:b/>
                <w:sz w:val="22"/>
                <w:lang w:val="en-GB" w:eastAsia="zh-CN"/>
              </w:rPr>
              <w:t>azyva</w:t>
            </w:r>
            <w:r w:rsidRPr="0051432E">
              <w:rPr>
                <w:rFonts w:eastAsia="SimSun"/>
                <w:b/>
                <w:sz w:val="22"/>
                <w:lang w:val="en-GB" w:eastAsia="zh-CN"/>
              </w:rPr>
              <w:t xml:space="preserve"> maintenance</w:t>
            </w:r>
          </w:p>
          <w:p w14:paraId="28F7C94C" w14:textId="77777777" w:rsidR="00A82B12" w:rsidRPr="0051432E" w:rsidRDefault="00A82B12" w:rsidP="00EB1206">
            <w:pPr>
              <w:keepNext/>
              <w:keepLines/>
              <w:spacing w:before="50" w:after="50" w:line="240" w:lineRule="exact"/>
              <w:rPr>
                <w:rFonts w:eastAsia="SimSun"/>
                <w:b/>
                <w:sz w:val="22"/>
                <w:lang w:val="en-GB" w:eastAsia="zh-CN"/>
              </w:rPr>
            </w:pPr>
            <w:r w:rsidRPr="002A6A20">
              <w:rPr>
                <w:rFonts w:eastAsia="SimSun"/>
                <w:b/>
                <w:sz w:val="22"/>
                <w:lang w:val="en-GB" w:eastAsia="zh-CN"/>
              </w:rPr>
              <w:t>n</w:t>
            </w:r>
            <w:r w:rsidRPr="0051432E">
              <w:rPr>
                <w:rFonts w:eastAsia="SimSun"/>
                <w:b/>
                <w:sz w:val="22"/>
                <w:lang w:val="en-GB" w:eastAsia="zh-CN"/>
              </w:rPr>
              <w:t>=155</w:t>
            </w:r>
          </w:p>
        </w:tc>
      </w:tr>
      <w:tr w:rsidR="00A82B12" w:rsidRPr="0051432E" w14:paraId="796E1BB5" w14:textId="77777777" w:rsidTr="003D5491">
        <w:trPr>
          <w:cantSplit/>
          <w:jc w:val="right"/>
        </w:trPr>
        <w:tc>
          <w:tcPr>
            <w:tcW w:w="4555" w:type="dxa"/>
            <w:tcBorders>
              <w:top w:val="single" w:sz="4" w:space="0" w:color="auto"/>
              <w:left w:val="single" w:sz="4" w:space="0" w:color="auto"/>
              <w:bottom w:val="single" w:sz="4" w:space="0" w:color="auto"/>
              <w:right w:val="single" w:sz="4" w:space="0" w:color="auto"/>
            </w:tcBorders>
            <w:vAlign w:val="bottom"/>
          </w:tcPr>
          <w:p w14:paraId="19CA0B89" w14:textId="77777777" w:rsidR="00A82B12" w:rsidRPr="0051432E" w:rsidRDefault="00A82B12" w:rsidP="00EB1206">
            <w:pPr>
              <w:keepLines/>
              <w:spacing w:before="50" w:after="50" w:line="240" w:lineRule="exact"/>
              <w:rPr>
                <w:rFonts w:eastAsia="SimSun"/>
                <w:b/>
                <w:i/>
                <w:sz w:val="22"/>
                <w:lang w:val="en-GB" w:eastAsia="zh-CN"/>
              </w:rPr>
            </w:pPr>
          </w:p>
        </w:tc>
        <w:tc>
          <w:tcPr>
            <w:tcW w:w="2388" w:type="dxa"/>
            <w:tcBorders>
              <w:top w:val="single" w:sz="4" w:space="0" w:color="auto"/>
              <w:left w:val="single" w:sz="4" w:space="0" w:color="auto"/>
              <w:bottom w:val="single" w:sz="4" w:space="0" w:color="auto"/>
              <w:right w:val="single" w:sz="4" w:space="0" w:color="auto"/>
            </w:tcBorders>
            <w:vAlign w:val="center"/>
          </w:tcPr>
          <w:p w14:paraId="772938AB" w14:textId="77777777" w:rsidR="00A82B12" w:rsidRPr="0051432E" w:rsidRDefault="00A82B12" w:rsidP="00EB1206">
            <w:pPr>
              <w:keepNext/>
              <w:keepLines/>
              <w:spacing w:before="50" w:after="50" w:line="240" w:lineRule="exact"/>
              <w:rPr>
                <w:rFonts w:eastAsia="SimSun"/>
                <w:b/>
                <w:i/>
                <w:sz w:val="22"/>
                <w:lang w:val="en-GB" w:eastAsia="zh-CN"/>
              </w:rPr>
            </w:pPr>
            <w:r w:rsidRPr="0051432E">
              <w:rPr>
                <w:rFonts w:eastAsia="SimSun"/>
                <w:b/>
                <w:sz w:val="22"/>
                <w:lang w:val="en-GB" w:eastAsia="zh-CN"/>
              </w:rPr>
              <w:t>Median observation time 20 months</w:t>
            </w:r>
          </w:p>
        </w:tc>
        <w:tc>
          <w:tcPr>
            <w:tcW w:w="2204" w:type="dxa"/>
            <w:tcBorders>
              <w:top w:val="single" w:sz="4" w:space="0" w:color="auto"/>
              <w:left w:val="single" w:sz="4" w:space="0" w:color="auto"/>
              <w:bottom w:val="single" w:sz="4" w:space="0" w:color="auto"/>
              <w:right w:val="single" w:sz="4" w:space="0" w:color="auto"/>
            </w:tcBorders>
            <w:vAlign w:val="center"/>
          </w:tcPr>
          <w:p w14:paraId="036FF747" w14:textId="77777777" w:rsidR="00A82B12" w:rsidRPr="0051432E" w:rsidRDefault="00A82B12" w:rsidP="00EB1206">
            <w:pPr>
              <w:keepNext/>
              <w:keepLines/>
              <w:spacing w:before="50" w:after="50" w:line="240" w:lineRule="exact"/>
              <w:rPr>
                <w:rFonts w:eastAsia="SimSun"/>
                <w:b/>
                <w:i/>
                <w:sz w:val="22"/>
                <w:lang w:val="en-GB" w:eastAsia="zh-CN"/>
              </w:rPr>
            </w:pPr>
            <w:r w:rsidRPr="0051432E">
              <w:rPr>
                <w:rFonts w:eastAsia="SimSun"/>
                <w:b/>
                <w:sz w:val="22"/>
                <w:lang w:val="en-GB" w:eastAsia="zh-CN"/>
              </w:rPr>
              <w:t>Median observation time 22 months</w:t>
            </w:r>
          </w:p>
        </w:tc>
      </w:tr>
      <w:tr w:rsidR="00A82B12" w:rsidRPr="0051432E" w14:paraId="1E07F880" w14:textId="77777777" w:rsidTr="003D5491">
        <w:trPr>
          <w:cantSplit/>
          <w:jc w:val="right"/>
        </w:trPr>
        <w:tc>
          <w:tcPr>
            <w:tcW w:w="4555" w:type="dxa"/>
            <w:tcBorders>
              <w:top w:val="single" w:sz="4" w:space="0" w:color="auto"/>
              <w:left w:val="single" w:sz="4" w:space="0" w:color="auto"/>
              <w:bottom w:val="single" w:sz="4" w:space="0" w:color="auto"/>
              <w:right w:val="single" w:sz="4" w:space="0" w:color="auto"/>
            </w:tcBorders>
            <w:vAlign w:val="bottom"/>
            <w:hideMark/>
          </w:tcPr>
          <w:p w14:paraId="1029E272" w14:textId="77777777" w:rsidR="00A82B12" w:rsidRPr="0051432E" w:rsidRDefault="00A82B12" w:rsidP="00EB1206">
            <w:pPr>
              <w:keepLines/>
              <w:spacing w:before="50" w:after="50" w:line="240" w:lineRule="exact"/>
              <w:rPr>
                <w:rFonts w:eastAsia="SimSun"/>
                <w:b/>
                <w:i/>
                <w:sz w:val="22"/>
                <w:lang w:val="en-GB" w:eastAsia="zh-CN"/>
              </w:rPr>
            </w:pPr>
            <w:r w:rsidRPr="0051432E">
              <w:rPr>
                <w:rFonts w:eastAsia="SimSun"/>
                <w:b/>
                <w:i/>
                <w:sz w:val="22"/>
                <w:lang w:val="en-GB" w:eastAsia="zh-CN"/>
              </w:rPr>
              <w:t>Primary Endpoint in FL population</w:t>
            </w:r>
          </w:p>
        </w:tc>
        <w:tc>
          <w:tcPr>
            <w:tcW w:w="4592" w:type="dxa"/>
            <w:gridSpan w:val="2"/>
            <w:tcBorders>
              <w:top w:val="single" w:sz="4" w:space="0" w:color="auto"/>
              <w:left w:val="single" w:sz="4" w:space="0" w:color="auto"/>
              <w:bottom w:val="single" w:sz="4" w:space="0" w:color="auto"/>
              <w:right w:val="single" w:sz="4" w:space="0" w:color="auto"/>
            </w:tcBorders>
            <w:vAlign w:val="bottom"/>
          </w:tcPr>
          <w:p w14:paraId="31E0F446" w14:textId="77777777" w:rsidR="00A82B12" w:rsidRPr="0051432E" w:rsidRDefault="00A82B12" w:rsidP="00EB1206">
            <w:pPr>
              <w:keepNext/>
              <w:keepLines/>
              <w:spacing w:before="50" w:after="50" w:line="240" w:lineRule="exact"/>
              <w:rPr>
                <w:rFonts w:eastAsia="SimSun"/>
                <w:b/>
                <w:i/>
                <w:sz w:val="22"/>
                <w:lang w:val="en-GB" w:eastAsia="zh-CN"/>
              </w:rPr>
            </w:pPr>
          </w:p>
        </w:tc>
      </w:tr>
      <w:tr w:rsidR="00A82B12" w:rsidRPr="0051432E" w14:paraId="047A7473" w14:textId="77777777" w:rsidTr="003D5491">
        <w:trPr>
          <w:cantSplit/>
          <w:jc w:val="right"/>
        </w:trPr>
        <w:tc>
          <w:tcPr>
            <w:tcW w:w="4555" w:type="dxa"/>
            <w:tcBorders>
              <w:top w:val="single" w:sz="4" w:space="0" w:color="auto"/>
              <w:left w:val="single" w:sz="4" w:space="0" w:color="auto"/>
              <w:bottom w:val="nil"/>
              <w:right w:val="single" w:sz="4" w:space="0" w:color="auto"/>
            </w:tcBorders>
            <w:vAlign w:val="bottom"/>
            <w:hideMark/>
          </w:tcPr>
          <w:p w14:paraId="32D4FC86" w14:textId="77777777" w:rsidR="00A82B12" w:rsidRPr="0051432E" w:rsidRDefault="00A82B12" w:rsidP="00EB1206">
            <w:pPr>
              <w:keepLines/>
              <w:spacing w:before="50" w:after="50" w:line="240" w:lineRule="exact"/>
              <w:rPr>
                <w:rFonts w:eastAsia="SimSun"/>
                <w:b/>
                <w:sz w:val="22"/>
                <w:vertAlign w:val="superscript"/>
                <w:lang w:val="en-GB" w:eastAsia="zh-CN"/>
              </w:rPr>
            </w:pPr>
            <w:r w:rsidRPr="0051432E">
              <w:rPr>
                <w:rFonts w:eastAsia="SimSun"/>
                <w:b/>
                <w:sz w:val="22"/>
                <w:lang w:val="en-GB" w:eastAsia="zh-CN"/>
              </w:rPr>
              <w:t>IRC-assessed PFS (PFS-IRC)</w:t>
            </w:r>
            <w:r w:rsidRPr="0051432E">
              <w:rPr>
                <w:rFonts w:eastAsia="SimSun"/>
                <w:b/>
                <w:sz w:val="22"/>
                <w:vertAlign w:val="superscript"/>
                <w:lang w:val="en-GB" w:eastAsia="zh-CN"/>
              </w:rPr>
              <w:t xml:space="preserve"> </w:t>
            </w:r>
          </w:p>
        </w:tc>
        <w:tc>
          <w:tcPr>
            <w:tcW w:w="4592" w:type="dxa"/>
            <w:gridSpan w:val="2"/>
            <w:tcBorders>
              <w:top w:val="single" w:sz="4" w:space="0" w:color="auto"/>
              <w:left w:val="single" w:sz="4" w:space="0" w:color="auto"/>
              <w:bottom w:val="nil"/>
              <w:right w:val="single" w:sz="4" w:space="0" w:color="auto"/>
            </w:tcBorders>
            <w:vAlign w:val="bottom"/>
          </w:tcPr>
          <w:p w14:paraId="2FE87919" w14:textId="77777777" w:rsidR="00A82B12" w:rsidRPr="0051432E" w:rsidRDefault="00A82B12" w:rsidP="00EB1206">
            <w:pPr>
              <w:keepNext/>
              <w:keepLines/>
              <w:spacing w:before="50" w:after="50" w:line="240" w:lineRule="exact"/>
              <w:rPr>
                <w:rFonts w:eastAsia="SimSun"/>
                <w:sz w:val="22"/>
                <w:lang w:val="en-US" w:eastAsia="zh-CN"/>
              </w:rPr>
            </w:pPr>
          </w:p>
        </w:tc>
      </w:tr>
      <w:tr w:rsidR="00A82B12" w:rsidRPr="0051432E" w14:paraId="1D5E16EA"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68D21460"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 xml:space="preserve">Number (%) of patients with event </w:t>
            </w:r>
          </w:p>
        </w:tc>
        <w:tc>
          <w:tcPr>
            <w:tcW w:w="2388" w:type="dxa"/>
            <w:tcBorders>
              <w:top w:val="nil"/>
              <w:left w:val="single" w:sz="4" w:space="0" w:color="auto"/>
              <w:bottom w:val="nil"/>
              <w:right w:val="nil"/>
            </w:tcBorders>
            <w:vAlign w:val="bottom"/>
          </w:tcPr>
          <w:p w14:paraId="5E649458" w14:textId="77777777" w:rsidR="00A82B12" w:rsidRPr="0051432E" w:rsidRDefault="00A82B12" w:rsidP="00EB1206">
            <w:pPr>
              <w:keepNext/>
              <w:keepLines/>
              <w:tabs>
                <w:tab w:val="left" w:pos="1840"/>
              </w:tabs>
              <w:spacing w:before="50" w:after="50" w:line="240" w:lineRule="exact"/>
              <w:rPr>
                <w:rFonts w:eastAsia="SimSun"/>
                <w:sz w:val="22"/>
                <w:lang w:val="en-GB" w:eastAsia="zh-CN"/>
              </w:rPr>
            </w:pPr>
            <w:r w:rsidRPr="0051432E">
              <w:rPr>
                <w:rFonts w:eastAsia="SimSun"/>
                <w:sz w:val="22"/>
                <w:lang w:val="en-GB" w:eastAsia="zh-CN"/>
              </w:rPr>
              <w:t>90 (54.2%)</w:t>
            </w:r>
          </w:p>
        </w:tc>
        <w:tc>
          <w:tcPr>
            <w:tcW w:w="2204" w:type="dxa"/>
            <w:tcBorders>
              <w:top w:val="nil"/>
              <w:left w:val="nil"/>
              <w:bottom w:val="nil"/>
              <w:right w:val="single" w:sz="4" w:space="0" w:color="auto"/>
            </w:tcBorders>
            <w:vAlign w:val="bottom"/>
          </w:tcPr>
          <w:p w14:paraId="539BDC45"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54 (34.8%)</w:t>
            </w:r>
          </w:p>
        </w:tc>
      </w:tr>
      <w:tr w:rsidR="00A82B12" w:rsidRPr="0051432E" w14:paraId="3687F296"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3DA1CC4D"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 xml:space="preserve">Median duration of PFS (months) </w:t>
            </w:r>
          </w:p>
        </w:tc>
        <w:tc>
          <w:tcPr>
            <w:tcW w:w="2388" w:type="dxa"/>
            <w:tcBorders>
              <w:top w:val="nil"/>
              <w:left w:val="single" w:sz="4" w:space="0" w:color="auto"/>
              <w:bottom w:val="nil"/>
              <w:right w:val="nil"/>
            </w:tcBorders>
            <w:vAlign w:val="bottom"/>
          </w:tcPr>
          <w:p w14:paraId="03276FC8"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13.8</w:t>
            </w:r>
          </w:p>
        </w:tc>
        <w:tc>
          <w:tcPr>
            <w:tcW w:w="2204" w:type="dxa"/>
            <w:tcBorders>
              <w:top w:val="nil"/>
              <w:left w:val="nil"/>
              <w:bottom w:val="nil"/>
              <w:right w:val="single" w:sz="4" w:space="0" w:color="auto"/>
            </w:tcBorders>
            <w:vAlign w:val="bottom"/>
          </w:tcPr>
          <w:p w14:paraId="1AF7FBEA"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NR</w:t>
            </w:r>
          </w:p>
        </w:tc>
      </w:tr>
      <w:tr w:rsidR="00A82B12" w:rsidRPr="0051432E" w14:paraId="331F1706" w14:textId="77777777" w:rsidTr="003D5491">
        <w:trPr>
          <w:cantSplit/>
          <w:jc w:val="right"/>
        </w:trPr>
        <w:tc>
          <w:tcPr>
            <w:tcW w:w="4555" w:type="dxa"/>
            <w:tcBorders>
              <w:top w:val="nil"/>
              <w:left w:val="single" w:sz="4" w:space="0" w:color="auto"/>
              <w:right w:val="single" w:sz="4" w:space="0" w:color="auto"/>
            </w:tcBorders>
            <w:vAlign w:val="bottom"/>
            <w:hideMark/>
          </w:tcPr>
          <w:p w14:paraId="18724647"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2"/>
            <w:tcBorders>
              <w:top w:val="nil"/>
              <w:left w:val="single" w:sz="4" w:space="0" w:color="auto"/>
              <w:right w:val="single" w:sz="4" w:space="0" w:color="auto"/>
            </w:tcBorders>
            <w:vAlign w:val="bottom"/>
          </w:tcPr>
          <w:p w14:paraId="72FEC6D7"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0.48 [0.34, 0.68]</w:t>
            </w:r>
          </w:p>
        </w:tc>
      </w:tr>
      <w:tr w:rsidR="00A82B12" w:rsidRPr="0051432E" w14:paraId="404A33AB" w14:textId="77777777" w:rsidTr="003D5491">
        <w:trPr>
          <w:cantSplit/>
          <w:jc w:val="right"/>
        </w:trPr>
        <w:tc>
          <w:tcPr>
            <w:tcW w:w="4555" w:type="dxa"/>
            <w:tcBorders>
              <w:top w:val="nil"/>
              <w:left w:val="single" w:sz="4" w:space="0" w:color="auto"/>
              <w:bottom w:val="single" w:sz="4" w:space="0" w:color="auto"/>
              <w:right w:val="single" w:sz="4" w:space="0" w:color="auto"/>
            </w:tcBorders>
            <w:vAlign w:val="bottom"/>
            <w:hideMark/>
          </w:tcPr>
          <w:p w14:paraId="4AC310D4"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p-value (Log-Rank test, stratified*)</w:t>
            </w:r>
          </w:p>
        </w:tc>
        <w:tc>
          <w:tcPr>
            <w:tcW w:w="4592" w:type="dxa"/>
            <w:gridSpan w:val="2"/>
            <w:tcBorders>
              <w:top w:val="nil"/>
              <w:left w:val="single" w:sz="4" w:space="0" w:color="auto"/>
              <w:bottom w:val="single" w:sz="4" w:space="0" w:color="auto"/>
              <w:right w:val="single" w:sz="4" w:space="0" w:color="auto"/>
            </w:tcBorders>
            <w:vAlign w:val="bottom"/>
          </w:tcPr>
          <w:p w14:paraId="38697214"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&lt;0.0001</w:t>
            </w:r>
          </w:p>
        </w:tc>
      </w:tr>
      <w:tr w:rsidR="00A82B12" w:rsidRPr="0051432E" w14:paraId="07E61970" w14:textId="77777777" w:rsidTr="003D5491">
        <w:trPr>
          <w:cantSplit/>
          <w:jc w:val="right"/>
        </w:trPr>
        <w:tc>
          <w:tcPr>
            <w:tcW w:w="4555" w:type="dxa"/>
            <w:tcBorders>
              <w:top w:val="single" w:sz="4" w:space="0" w:color="auto"/>
              <w:left w:val="single" w:sz="4" w:space="0" w:color="auto"/>
              <w:bottom w:val="single" w:sz="4" w:space="0" w:color="auto"/>
              <w:right w:val="single" w:sz="4" w:space="0" w:color="auto"/>
            </w:tcBorders>
            <w:vAlign w:val="bottom"/>
            <w:hideMark/>
          </w:tcPr>
          <w:p w14:paraId="79AD0F1E" w14:textId="77777777" w:rsidR="00A82B12" w:rsidRPr="0051432E" w:rsidRDefault="00A82B12" w:rsidP="00EB1206">
            <w:pPr>
              <w:keepLines/>
              <w:spacing w:before="50" w:after="50" w:line="240" w:lineRule="exact"/>
              <w:rPr>
                <w:rFonts w:eastAsia="SimSun"/>
                <w:b/>
                <w:i/>
                <w:sz w:val="22"/>
                <w:lang w:val="en-GB" w:eastAsia="zh-CN"/>
              </w:rPr>
            </w:pPr>
            <w:r w:rsidRPr="0051432E">
              <w:rPr>
                <w:rFonts w:eastAsia="SimSun"/>
                <w:b/>
                <w:i/>
                <w:sz w:val="22"/>
                <w:lang w:val="en-GB" w:eastAsia="zh-CN"/>
              </w:rPr>
              <w:t>Secondary Endpoints</w:t>
            </w:r>
          </w:p>
        </w:tc>
        <w:tc>
          <w:tcPr>
            <w:tcW w:w="4592" w:type="dxa"/>
            <w:gridSpan w:val="2"/>
            <w:tcBorders>
              <w:top w:val="single" w:sz="4" w:space="0" w:color="auto"/>
              <w:left w:val="single" w:sz="4" w:space="0" w:color="auto"/>
              <w:bottom w:val="single" w:sz="4" w:space="0" w:color="auto"/>
              <w:right w:val="single" w:sz="4" w:space="0" w:color="auto"/>
            </w:tcBorders>
            <w:vAlign w:val="bottom"/>
          </w:tcPr>
          <w:p w14:paraId="7F29F698" w14:textId="77777777" w:rsidR="00A82B12" w:rsidRPr="0051432E" w:rsidRDefault="00A82B12" w:rsidP="00EB1206">
            <w:pPr>
              <w:keepNext/>
              <w:keepLines/>
              <w:spacing w:before="50" w:after="50" w:line="240" w:lineRule="exact"/>
              <w:rPr>
                <w:rFonts w:eastAsia="SimSun"/>
                <w:b/>
                <w:i/>
                <w:sz w:val="22"/>
                <w:lang w:val="en-GB" w:eastAsia="zh-CN"/>
              </w:rPr>
            </w:pPr>
          </w:p>
        </w:tc>
      </w:tr>
      <w:tr w:rsidR="00A82B12" w:rsidRPr="0051432E" w14:paraId="1180A029" w14:textId="77777777" w:rsidTr="003D5491">
        <w:trPr>
          <w:cantSplit/>
          <w:jc w:val="right"/>
        </w:trPr>
        <w:tc>
          <w:tcPr>
            <w:tcW w:w="4555" w:type="dxa"/>
            <w:tcBorders>
              <w:top w:val="single" w:sz="4" w:space="0" w:color="auto"/>
              <w:left w:val="single" w:sz="4" w:space="0" w:color="auto"/>
              <w:bottom w:val="nil"/>
              <w:right w:val="single" w:sz="4" w:space="0" w:color="auto"/>
            </w:tcBorders>
            <w:vAlign w:val="bottom"/>
            <w:hideMark/>
          </w:tcPr>
          <w:p w14:paraId="216A86AD" w14:textId="77777777" w:rsidR="00A82B12" w:rsidRPr="0051432E" w:rsidRDefault="00A82B12" w:rsidP="00EB1206">
            <w:pPr>
              <w:keepLines/>
              <w:spacing w:before="50" w:after="50" w:line="240" w:lineRule="exact"/>
              <w:rPr>
                <w:rFonts w:eastAsia="SimSun"/>
                <w:b/>
                <w:sz w:val="22"/>
                <w:vertAlign w:val="superscript"/>
                <w:lang w:val="en-GB" w:eastAsia="zh-CN"/>
              </w:rPr>
            </w:pPr>
            <w:r w:rsidRPr="0051432E">
              <w:rPr>
                <w:rFonts w:eastAsia="SimSun"/>
                <w:b/>
                <w:sz w:val="22"/>
                <w:lang w:val="en-GB" w:eastAsia="zh-CN"/>
              </w:rPr>
              <w:t>Investigator-assessed PFS (PFS-INV)</w:t>
            </w:r>
            <w:r w:rsidRPr="0051432E">
              <w:rPr>
                <w:rFonts w:eastAsia="SimSun"/>
                <w:b/>
                <w:sz w:val="22"/>
                <w:vertAlign w:val="superscript"/>
                <w:lang w:val="en-GB" w:eastAsia="zh-CN"/>
              </w:rPr>
              <w:t xml:space="preserve"> </w:t>
            </w:r>
          </w:p>
        </w:tc>
        <w:tc>
          <w:tcPr>
            <w:tcW w:w="4592" w:type="dxa"/>
            <w:gridSpan w:val="2"/>
            <w:tcBorders>
              <w:top w:val="single" w:sz="4" w:space="0" w:color="auto"/>
              <w:left w:val="single" w:sz="4" w:space="0" w:color="auto"/>
              <w:bottom w:val="nil"/>
              <w:right w:val="single" w:sz="4" w:space="0" w:color="auto"/>
            </w:tcBorders>
            <w:vAlign w:val="bottom"/>
          </w:tcPr>
          <w:p w14:paraId="0EBD5C0A" w14:textId="77777777" w:rsidR="00A82B12" w:rsidRPr="0051432E" w:rsidRDefault="00A82B12" w:rsidP="00EB1206">
            <w:pPr>
              <w:keepNext/>
              <w:keepLines/>
              <w:spacing w:before="50" w:after="50" w:line="240" w:lineRule="exact"/>
              <w:rPr>
                <w:rFonts w:eastAsia="MS Mincho"/>
                <w:sz w:val="22"/>
                <w:lang w:val="en-US" w:eastAsia="ja-JP"/>
              </w:rPr>
            </w:pPr>
          </w:p>
        </w:tc>
      </w:tr>
      <w:tr w:rsidR="00A82B12" w:rsidRPr="0051432E" w14:paraId="18A63FBA"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0E8D0509"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 xml:space="preserve">Number (%) of patients with event </w:t>
            </w:r>
          </w:p>
        </w:tc>
        <w:tc>
          <w:tcPr>
            <w:tcW w:w="2388" w:type="dxa"/>
            <w:tcBorders>
              <w:top w:val="nil"/>
              <w:left w:val="single" w:sz="4" w:space="0" w:color="auto"/>
              <w:bottom w:val="nil"/>
              <w:right w:val="nil"/>
            </w:tcBorders>
            <w:vAlign w:val="bottom"/>
          </w:tcPr>
          <w:p w14:paraId="5306F054" w14:textId="77777777" w:rsidR="00A82B12" w:rsidRPr="0051432E" w:rsidRDefault="00A82B12" w:rsidP="00EB1206">
            <w:pPr>
              <w:keepNext/>
              <w:keepLines/>
              <w:tabs>
                <w:tab w:val="left" w:pos="1840"/>
              </w:tabs>
              <w:spacing w:before="50" w:after="50" w:line="240" w:lineRule="exact"/>
              <w:rPr>
                <w:rFonts w:eastAsia="SimSun"/>
                <w:sz w:val="22"/>
                <w:lang w:val="en-GB" w:eastAsia="zh-CN"/>
              </w:rPr>
            </w:pPr>
            <w:r w:rsidRPr="0051432E">
              <w:rPr>
                <w:rFonts w:eastAsia="SimSun"/>
                <w:sz w:val="22"/>
                <w:lang w:val="en-GB" w:eastAsia="zh-CN"/>
              </w:rPr>
              <w:t>102 (61.4%)</w:t>
            </w:r>
          </w:p>
        </w:tc>
        <w:tc>
          <w:tcPr>
            <w:tcW w:w="2204" w:type="dxa"/>
            <w:tcBorders>
              <w:top w:val="nil"/>
              <w:left w:val="nil"/>
              <w:bottom w:val="nil"/>
              <w:right w:val="single" w:sz="4" w:space="0" w:color="auto"/>
            </w:tcBorders>
            <w:vAlign w:val="bottom"/>
          </w:tcPr>
          <w:p w14:paraId="4C3E99FC"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62 (40.0%)</w:t>
            </w:r>
          </w:p>
        </w:tc>
      </w:tr>
      <w:tr w:rsidR="00A82B12" w:rsidRPr="0051432E" w14:paraId="7FFF0633"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3CE77A9E"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 xml:space="preserve">Median duration of PFS (months) </w:t>
            </w:r>
          </w:p>
        </w:tc>
        <w:tc>
          <w:tcPr>
            <w:tcW w:w="2388" w:type="dxa"/>
            <w:tcBorders>
              <w:top w:val="nil"/>
              <w:left w:val="single" w:sz="4" w:space="0" w:color="auto"/>
              <w:bottom w:val="nil"/>
              <w:right w:val="nil"/>
            </w:tcBorders>
            <w:vAlign w:val="bottom"/>
          </w:tcPr>
          <w:p w14:paraId="1757D425"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13.7</w:t>
            </w:r>
          </w:p>
        </w:tc>
        <w:tc>
          <w:tcPr>
            <w:tcW w:w="2204" w:type="dxa"/>
            <w:tcBorders>
              <w:top w:val="nil"/>
              <w:left w:val="nil"/>
              <w:bottom w:val="nil"/>
              <w:right w:val="single" w:sz="4" w:space="0" w:color="auto"/>
            </w:tcBorders>
            <w:vAlign w:val="bottom"/>
          </w:tcPr>
          <w:p w14:paraId="1F7253A1"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29.2</w:t>
            </w:r>
          </w:p>
        </w:tc>
      </w:tr>
      <w:tr w:rsidR="00A82B12" w:rsidRPr="0051432E" w14:paraId="668518EA" w14:textId="77777777" w:rsidTr="003D5491">
        <w:trPr>
          <w:cantSplit/>
          <w:jc w:val="right"/>
        </w:trPr>
        <w:tc>
          <w:tcPr>
            <w:tcW w:w="4555" w:type="dxa"/>
            <w:tcBorders>
              <w:top w:val="nil"/>
              <w:left w:val="single" w:sz="4" w:space="0" w:color="auto"/>
              <w:right w:val="single" w:sz="4" w:space="0" w:color="auto"/>
            </w:tcBorders>
            <w:vAlign w:val="bottom"/>
            <w:hideMark/>
          </w:tcPr>
          <w:p w14:paraId="759DD400"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2"/>
            <w:tcBorders>
              <w:top w:val="nil"/>
              <w:left w:val="single" w:sz="4" w:space="0" w:color="auto"/>
              <w:right w:val="single" w:sz="4" w:space="0" w:color="auto"/>
            </w:tcBorders>
            <w:vAlign w:val="bottom"/>
          </w:tcPr>
          <w:p w14:paraId="42DAFF68" w14:textId="77777777" w:rsidR="00A82B12" w:rsidRPr="0051432E" w:rsidRDefault="00A82B12" w:rsidP="00EB1206">
            <w:pPr>
              <w:keepNext/>
              <w:keepLines/>
              <w:spacing w:before="240" w:after="50" w:line="240" w:lineRule="exact"/>
              <w:rPr>
                <w:rFonts w:eastAsia="SimSun"/>
                <w:sz w:val="22"/>
                <w:lang w:val="en-GB" w:eastAsia="zh-CN"/>
              </w:rPr>
            </w:pPr>
            <w:r w:rsidRPr="0051432E">
              <w:rPr>
                <w:rFonts w:eastAsia="SimSun"/>
                <w:sz w:val="22"/>
                <w:lang w:val="en-GB" w:eastAsia="zh-CN"/>
              </w:rPr>
              <w:t>0.48 [0.35, 0.67]</w:t>
            </w:r>
          </w:p>
        </w:tc>
      </w:tr>
      <w:tr w:rsidR="00A82B12" w:rsidRPr="0051432E" w14:paraId="2F6A21BD" w14:textId="77777777" w:rsidTr="003D5491">
        <w:trPr>
          <w:cantSplit/>
          <w:jc w:val="right"/>
        </w:trPr>
        <w:tc>
          <w:tcPr>
            <w:tcW w:w="4555" w:type="dxa"/>
            <w:tcBorders>
              <w:top w:val="nil"/>
              <w:left w:val="single" w:sz="4" w:space="0" w:color="auto"/>
              <w:bottom w:val="single" w:sz="4" w:space="0" w:color="auto"/>
              <w:right w:val="single" w:sz="4" w:space="0" w:color="auto"/>
            </w:tcBorders>
            <w:vAlign w:val="bottom"/>
            <w:hideMark/>
          </w:tcPr>
          <w:p w14:paraId="1B19A493"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p-value (Log-Rank test, stratified*)</w:t>
            </w:r>
          </w:p>
        </w:tc>
        <w:tc>
          <w:tcPr>
            <w:tcW w:w="4592" w:type="dxa"/>
            <w:gridSpan w:val="2"/>
            <w:tcBorders>
              <w:top w:val="nil"/>
              <w:left w:val="single" w:sz="4" w:space="0" w:color="auto"/>
              <w:bottom w:val="single" w:sz="4" w:space="0" w:color="auto"/>
              <w:right w:val="single" w:sz="4" w:space="0" w:color="auto"/>
            </w:tcBorders>
            <w:vAlign w:val="bottom"/>
          </w:tcPr>
          <w:p w14:paraId="41CB4D88"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&lt;0.0001</w:t>
            </w:r>
          </w:p>
        </w:tc>
      </w:tr>
      <w:tr w:rsidR="00A82B12" w:rsidRPr="0051432E" w14:paraId="115D16C0" w14:textId="77777777" w:rsidTr="003D5491">
        <w:trPr>
          <w:cantSplit/>
          <w:jc w:val="right"/>
        </w:trPr>
        <w:tc>
          <w:tcPr>
            <w:tcW w:w="4555" w:type="dxa"/>
            <w:tcBorders>
              <w:top w:val="single" w:sz="4" w:space="0" w:color="auto"/>
              <w:left w:val="single" w:sz="4" w:space="0" w:color="auto"/>
              <w:bottom w:val="nil"/>
              <w:right w:val="single" w:sz="4" w:space="0" w:color="auto"/>
            </w:tcBorders>
            <w:vAlign w:val="bottom"/>
            <w:hideMark/>
          </w:tcPr>
          <w:p w14:paraId="159D2681" w14:textId="77777777" w:rsidR="00A82B12" w:rsidRPr="0051432E" w:rsidRDefault="00A82B12" w:rsidP="00EB1206">
            <w:pPr>
              <w:keepNext/>
              <w:keepLines/>
              <w:spacing w:before="50" w:after="50" w:line="240" w:lineRule="exact"/>
              <w:rPr>
                <w:rFonts w:eastAsia="SimSun"/>
                <w:b/>
                <w:sz w:val="22"/>
                <w:vertAlign w:val="superscript"/>
                <w:lang w:val="en-GB" w:eastAsia="zh-CN"/>
              </w:rPr>
            </w:pPr>
            <w:r w:rsidRPr="0051432E">
              <w:rPr>
                <w:rFonts w:eastAsia="SimSun"/>
                <w:b/>
                <w:sz w:val="22"/>
                <w:lang w:val="en-GB" w:eastAsia="zh-CN"/>
              </w:rPr>
              <w:lastRenderedPageBreak/>
              <w:t>Best Overall Response (BOR) (IRC-</w:t>
            </w:r>
            <w:proofErr w:type="gramStart"/>
            <w:r w:rsidRPr="0051432E">
              <w:rPr>
                <w:rFonts w:eastAsia="SimSun"/>
                <w:b/>
                <w:sz w:val="22"/>
                <w:lang w:val="en-GB" w:eastAsia="zh-CN"/>
              </w:rPr>
              <w:t>assessed)</w:t>
            </w:r>
            <w:r w:rsidRPr="0051432E">
              <w:rPr>
                <w:rFonts w:eastAsia="SimSun"/>
                <w:sz w:val="22"/>
                <w:vertAlign w:val="superscript"/>
                <w:lang w:val="en-US" w:eastAsia="zh-CN"/>
              </w:rPr>
              <w:t>§</w:t>
            </w:r>
            <w:proofErr w:type="gramEnd"/>
          </w:p>
        </w:tc>
        <w:tc>
          <w:tcPr>
            <w:tcW w:w="4592" w:type="dxa"/>
            <w:gridSpan w:val="2"/>
            <w:tcBorders>
              <w:top w:val="single" w:sz="4" w:space="0" w:color="auto"/>
              <w:left w:val="single" w:sz="4" w:space="0" w:color="auto"/>
              <w:bottom w:val="nil"/>
              <w:right w:val="single" w:sz="4" w:space="0" w:color="auto"/>
            </w:tcBorders>
            <w:vAlign w:val="bottom"/>
          </w:tcPr>
          <w:p w14:paraId="48DAEA58" w14:textId="77777777" w:rsidR="00A82B12" w:rsidRPr="0051432E" w:rsidRDefault="00A82B12" w:rsidP="00EB1206">
            <w:pPr>
              <w:keepNext/>
              <w:keepLines/>
              <w:spacing w:before="50" w:after="50" w:line="240" w:lineRule="exact"/>
              <w:rPr>
                <w:rFonts w:eastAsia="SimSun"/>
                <w:b/>
                <w:sz w:val="22"/>
                <w:lang w:val="en-GB" w:eastAsia="zh-CN"/>
              </w:rPr>
            </w:pPr>
          </w:p>
        </w:tc>
      </w:tr>
      <w:tr w:rsidR="00A82B12" w:rsidRPr="0051432E" w14:paraId="4E260F91"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3B3E82FD" w14:textId="77777777" w:rsidR="00A82B12" w:rsidRPr="0051432E" w:rsidRDefault="00A82B12" w:rsidP="00EB1206">
            <w:pPr>
              <w:keepNext/>
              <w:keepLines/>
              <w:spacing w:before="50" w:after="50" w:line="240" w:lineRule="exact"/>
              <w:ind w:left="213"/>
              <w:rPr>
                <w:rFonts w:eastAsia="SimSun"/>
                <w:sz w:val="22"/>
                <w:lang w:val="en-GB" w:eastAsia="zh-CN"/>
              </w:rPr>
            </w:pPr>
            <w:r w:rsidRPr="0051432E">
              <w:rPr>
                <w:rFonts w:eastAsia="SimSun"/>
                <w:sz w:val="22"/>
                <w:lang w:val="en-GB" w:eastAsia="zh-CN"/>
              </w:rPr>
              <w:t>No. of patients included in the analysis</w:t>
            </w:r>
          </w:p>
        </w:tc>
        <w:tc>
          <w:tcPr>
            <w:tcW w:w="2388" w:type="dxa"/>
            <w:tcBorders>
              <w:top w:val="nil"/>
              <w:left w:val="single" w:sz="4" w:space="0" w:color="auto"/>
              <w:bottom w:val="nil"/>
              <w:right w:val="nil"/>
            </w:tcBorders>
            <w:vAlign w:val="bottom"/>
          </w:tcPr>
          <w:p w14:paraId="68340970"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161</w:t>
            </w:r>
          </w:p>
        </w:tc>
        <w:tc>
          <w:tcPr>
            <w:tcW w:w="2204" w:type="dxa"/>
            <w:tcBorders>
              <w:top w:val="nil"/>
              <w:left w:val="nil"/>
              <w:bottom w:val="nil"/>
              <w:right w:val="single" w:sz="4" w:space="0" w:color="auto"/>
            </w:tcBorders>
            <w:vAlign w:val="bottom"/>
          </w:tcPr>
          <w:p w14:paraId="2F5AEC40"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153</w:t>
            </w:r>
          </w:p>
        </w:tc>
      </w:tr>
      <w:tr w:rsidR="00A82B12" w:rsidRPr="0051432E" w14:paraId="6C77E817"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25300FFC" w14:textId="77777777" w:rsidR="00A82B12" w:rsidRPr="0051432E" w:rsidRDefault="00A82B12" w:rsidP="00EB1206">
            <w:pPr>
              <w:keepLines/>
              <w:spacing w:before="50" w:after="50" w:line="240" w:lineRule="exact"/>
              <w:ind w:left="213"/>
              <w:rPr>
                <w:rFonts w:eastAsia="SimSun"/>
                <w:sz w:val="22"/>
                <w:lang w:val="en-GB" w:eastAsia="zh-CN"/>
              </w:rPr>
            </w:pPr>
            <w:r w:rsidRPr="0051432E">
              <w:rPr>
                <w:rFonts w:eastAsia="SimSun"/>
                <w:sz w:val="22"/>
                <w:lang w:val="en-GB" w:eastAsia="zh-CN"/>
              </w:rPr>
              <w:t xml:space="preserve">Responders (%) (CR, PR) </w:t>
            </w:r>
          </w:p>
        </w:tc>
        <w:tc>
          <w:tcPr>
            <w:tcW w:w="2388" w:type="dxa"/>
            <w:tcBorders>
              <w:top w:val="nil"/>
              <w:left w:val="single" w:sz="4" w:space="0" w:color="auto"/>
              <w:bottom w:val="nil"/>
              <w:right w:val="nil"/>
            </w:tcBorders>
            <w:vAlign w:val="bottom"/>
          </w:tcPr>
          <w:p w14:paraId="3FE1F603"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124 (77.0%)</w:t>
            </w:r>
          </w:p>
        </w:tc>
        <w:tc>
          <w:tcPr>
            <w:tcW w:w="2204" w:type="dxa"/>
            <w:tcBorders>
              <w:top w:val="nil"/>
              <w:left w:val="nil"/>
              <w:bottom w:val="nil"/>
              <w:right w:val="single" w:sz="4" w:space="0" w:color="auto"/>
            </w:tcBorders>
            <w:vAlign w:val="bottom"/>
          </w:tcPr>
          <w:p w14:paraId="5AA7A528"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122 (79.7%)</w:t>
            </w:r>
          </w:p>
        </w:tc>
      </w:tr>
      <w:tr w:rsidR="00A82B12" w:rsidRPr="0051432E" w14:paraId="3F5BD597" w14:textId="77777777" w:rsidTr="003D5491">
        <w:trPr>
          <w:cantSplit/>
          <w:jc w:val="right"/>
        </w:trPr>
        <w:tc>
          <w:tcPr>
            <w:tcW w:w="4555" w:type="dxa"/>
            <w:tcBorders>
              <w:top w:val="nil"/>
              <w:left w:val="single" w:sz="4" w:space="0" w:color="auto"/>
              <w:right w:val="single" w:sz="4" w:space="0" w:color="auto"/>
            </w:tcBorders>
            <w:vAlign w:val="bottom"/>
            <w:hideMark/>
          </w:tcPr>
          <w:p w14:paraId="4F0F9E29" w14:textId="77777777" w:rsidR="00A82B12" w:rsidRPr="0051432E" w:rsidRDefault="00A82B12" w:rsidP="00EB1206">
            <w:pPr>
              <w:keepLines/>
              <w:spacing w:before="50" w:after="50" w:line="240" w:lineRule="exact"/>
              <w:ind w:left="213"/>
              <w:rPr>
                <w:rFonts w:eastAsia="SimSun"/>
                <w:sz w:val="22"/>
                <w:lang w:val="en-GB" w:eastAsia="zh-CN"/>
              </w:rPr>
            </w:pPr>
            <w:r w:rsidRPr="0051432E">
              <w:rPr>
                <w:rFonts w:eastAsia="SimSun"/>
                <w:sz w:val="22"/>
                <w:lang w:val="en-GB" w:eastAsia="zh-CN"/>
              </w:rPr>
              <w:t>Difference in response rate (%) [95% CI]</w:t>
            </w:r>
          </w:p>
        </w:tc>
        <w:tc>
          <w:tcPr>
            <w:tcW w:w="4592" w:type="dxa"/>
            <w:gridSpan w:val="2"/>
            <w:tcBorders>
              <w:top w:val="nil"/>
              <w:left w:val="single" w:sz="4" w:space="0" w:color="auto"/>
              <w:right w:val="single" w:sz="4" w:space="0" w:color="auto"/>
            </w:tcBorders>
            <w:vAlign w:val="bottom"/>
          </w:tcPr>
          <w:p w14:paraId="253362A3"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2.72 [-6.74, 12.18]</w:t>
            </w:r>
          </w:p>
        </w:tc>
      </w:tr>
      <w:tr w:rsidR="00A82B12" w:rsidRPr="0051432E" w14:paraId="08B9A1DB" w14:textId="77777777" w:rsidTr="003D5491">
        <w:trPr>
          <w:cantSplit/>
          <w:jc w:val="right"/>
        </w:trPr>
        <w:tc>
          <w:tcPr>
            <w:tcW w:w="4555" w:type="dxa"/>
            <w:tcBorders>
              <w:top w:val="nil"/>
              <w:left w:val="single" w:sz="4" w:space="0" w:color="auto"/>
              <w:bottom w:val="single" w:sz="4" w:space="0" w:color="auto"/>
              <w:right w:val="single" w:sz="4" w:space="0" w:color="auto"/>
            </w:tcBorders>
            <w:vAlign w:val="bottom"/>
            <w:hideMark/>
          </w:tcPr>
          <w:p w14:paraId="411DDB8B" w14:textId="77777777" w:rsidR="00A82B12" w:rsidRPr="0051432E" w:rsidRDefault="00A82B12" w:rsidP="00EB1206">
            <w:pPr>
              <w:keepLines/>
              <w:spacing w:before="50" w:after="50" w:line="240" w:lineRule="exact"/>
              <w:ind w:left="213"/>
              <w:rPr>
                <w:rFonts w:eastAsia="SimSun"/>
                <w:sz w:val="22"/>
                <w:lang w:val="en-GB" w:eastAsia="zh-CN"/>
              </w:rPr>
            </w:pPr>
            <w:r w:rsidRPr="0051432E">
              <w:rPr>
                <w:rFonts w:eastAsia="SimSun"/>
                <w:sz w:val="22"/>
                <w:lang w:val="en-GB" w:eastAsia="zh-CN"/>
              </w:rPr>
              <w:t>p-value (Cochran-Mantel-Haenszel test)</w:t>
            </w:r>
          </w:p>
        </w:tc>
        <w:tc>
          <w:tcPr>
            <w:tcW w:w="4592" w:type="dxa"/>
            <w:gridSpan w:val="2"/>
            <w:tcBorders>
              <w:top w:val="nil"/>
              <w:left w:val="single" w:sz="4" w:space="0" w:color="auto"/>
              <w:bottom w:val="single" w:sz="4" w:space="0" w:color="auto"/>
              <w:right w:val="single" w:sz="4" w:space="0" w:color="auto"/>
            </w:tcBorders>
            <w:vAlign w:val="bottom"/>
          </w:tcPr>
          <w:p w14:paraId="317C4D99"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0.6142</w:t>
            </w:r>
            <w:r w:rsidRPr="0051432E">
              <w:rPr>
                <w:rFonts w:eastAsia="SimSun"/>
                <w:sz w:val="22"/>
                <w:vertAlign w:val="superscript"/>
                <w:lang w:val="en-US" w:eastAsia="zh-CN"/>
              </w:rPr>
              <w:t>¶</w:t>
            </w:r>
          </w:p>
        </w:tc>
      </w:tr>
      <w:tr w:rsidR="00A82B12" w:rsidRPr="0051432E" w14:paraId="07868AFC" w14:textId="77777777" w:rsidTr="003D5491">
        <w:trPr>
          <w:cantSplit/>
          <w:trHeight w:val="122"/>
          <w:jc w:val="right"/>
        </w:trPr>
        <w:tc>
          <w:tcPr>
            <w:tcW w:w="4555" w:type="dxa"/>
            <w:tcBorders>
              <w:top w:val="single" w:sz="4" w:space="0" w:color="auto"/>
              <w:left w:val="single" w:sz="4" w:space="0" w:color="auto"/>
              <w:bottom w:val="nil"/>
              <w:right w:val="single" w:sz="4" w:space="0" w:color="auto"/>
            </w:tcBorders>
            <w:vAlign w:val="bottom"/>
            <w:hideMark/>
          </w:tcPr>
          <w:p w14:paraId="5482F5AC" w14:textId="77777777" w:rsidR="00A82B12" w:rsidRPr="0051432E" w:rsidRDefault="00A82B12" w:rsidP="00EB1206">
            <w:pPr>
              <w:keepLines/>
              <w:spacing w:before="50" w:after="50" w:line="240" w:lineRule="exact"/>
              <w:ind w:left="33"/>
              <w:rPr>
                <w:rFonts w:eastAsia="SimSun"/>
                <w:b/>
                <w:sz w:val="22"/>
                <w:lang w:val="en-GB" w:eastAsia="zh-CN"/>
              </w:rPr>
            </w:pPr>
            <w:r w:rsidRPr="0051432E">
              <w:rPr>
                <w:rFonts w:eastAsia="SimSun"/>
                <w:b/>
                <w:sz w:val="22"/>
                <w:lang w:val="en-GB" w:eastAsia="zh-CN"/>
              </w:rPr>
              <w:t>Duration of response (IRC-assessed)</w:t>
            </w:r>
          </w:p>
        </w:tc>
        <w:tc>
          <w:tcPr>
            <w:tcW w:w="4592" w:type="dxa"/>
            <w:gridSpan w:val="2"/>
            <w:tcBorders>
              <w:top w:val="single" w:sz="4" w:space="0" w:color="auto"/>
              <w:left w:val="single" w:sz="4" w:space="0" w:color="auto"/>
              <w:bottom w:val="nil"/>
              <w:right w:val="single" w:sz="4" w:space="0" w:color="auto"/>
            </w:tcBorders>
            <w:vAlign w:val="bottom"/>
          </w:tcPr>
          <w:p w14:paraId="3F179A48" w14:textId="77777777" w:rsidR="00A82B12" w:rsidRPr="0051432E" w:rsidRDefault="00A82B12" w:rsidP="00EB1206">
            <w:pPr>
              <w:kinsoku w:val="0"/>
              <w:overflowPunct w:val="0"/>
              <w:spacing w:after="120" w:line="172" w:lineRule="exact"/>
              <w:rPr>
                <w:rFonts w:eastAsia="MS Mincho"/>
                <w:sz w:val="22"/>
                <w:lang w:val="en-US" w:eastAsia="ja-JP"/>
              </w:rPr>
            </w:pPr>
          </w:p>
        </w:tc>
      </w:tr>
      <w:tr w:rsidR="00A82B12" w:rsidRPr="0051432E" w14:paraId="4492B1A4" w14:textId="77777777" w:rsidTr="003D5491">
        <w:trPr>
          <w:cantSplit/>
          <w:trHeight w:val="218"/>
          <w:jc w:val="right"/>
        </w:trPr>
        <w:tc>
          <w:tcPr>
            <w:tcW w:w="4555" w:type="dxa"/>
            <w:tcBorders>
              <w:top w:val="nil"/>
              <w:left w:val="single" w:sz="4" w:space="0" w:color="auto"/>
              <w:right w:val="single" w:sz="4" w:space="0" w:color="auto"/>
            </w:tcBorders>
            <w:vAlign w:val="bottom"/>
          </w:tcPr>
          <w:p w14:paraId="4F8E9C52"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No. of patients included in the analysis</w:t>
            </w:r>
          </w:p>
        </w:tc>
        <w:tc>
          <w:tcPr>
            <w:tcW w:w="2388" w:type="dxa"/>
            <w:tcBorders>
              <w:top w:val="nil"/>
              <w:left w:val="single" w:sz="4" w:space="0" w:color="auto"/>
              <w:right w:val="nil"/>
            </w:tcBorders>
            <w:vAlign w:val="bottom"/>
          </w:tcPr>
          <w:p w14:paraId="2D0FC72A"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127</w:t>
            </w:r>
          </w:p>
        </w:tc>
        <w:tc>
          <w:tcPr>
            <w:tcW w:w="2204" w:type="dxa"/>
            <w:tcBorders>
              <w:top w:val="nil"/>
              <w:left w:val="nil"/>
              <w:right w:val="single" w:sz="4" w:space="0" w:color="auto"/>
            </w:tcBorders>
            <w:vAlign w:val="bottom"/>
          </w:tcPr>
          <w:p w14:paraId="515853C6"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122</w:t>
            </w:r>
          </w:p>
        </w:tc>
      </w:tr>
      <w:tr w:rsidR="00A82B12" w:rsidRPr="0051432E" w14:paraId="418D4D84" w14:textId="77777777" w:rsidTr="003D5491">
        <w:trPr>
          <w:cantSplit/>
          <w:trHeight w:val="218"/>
          <w:jc w:val="right"/>
        </w:trPr>
        <w:tc>
          <w:tcPr>
            <w:tcW w:w="4555" w:type="dxa"/>
            <w:tcBorders>
              <w:top w:val="nil"/>
              <w:left w:val="single" w:sz="4" w:space="0" w:color="auto"/>
              <w:bottom w:val="single" w:sz="4" w:space="0" w:color="auto"/>
              <w:right w:val="single" w:sz="4" w:space="0" w:color="auto"/>
            </w:tcBorders>
            <w:vAlign w:val="bottom"/>
            <w:hideMark/>
          </w:tcPr>
          <w:p w14:paraId="4AB5AAD5"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No. (%) of patients with event</w:t>
            </w:r>
          </w:p>
        </w:tc>
        <w:tc>
          <w:tcPr>
            <w:tcW w:w="2388" w:type="dxa"/>
            <w:tcBorders>
              <w:top w:val="nil"/>
              <w:left w:val="single" w:sz="4" w:space="0" w:color="auto"/>
              <w:bottom w:val="single" w:sz="4" w:space="0" w:color="auto"/>
              <w:right w:val="nil"/>
            </w:tcBorders>
            <w:vAlign w:val="bottom"/>
          </w:tcPr>
          <w:p w14:paraId="36678772"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74 (58.3%)</w:t>
            </w:r>
          </w:p>
        </w:tc>
        <w:tc>
          <w:tcPr>
            <w:tcW w:w="2204" w:type="dxa"/>
            <w:tcBorders>
              <w:top w:val="nil"/>
              <w:left w:val="nil"/>
              <w:bottom w:val="single" w:sz="4" w:space="0" w:color="auto"/>
              <w:right w:val="single" w:sz="4" w:space="0" w:color="auto"/>
            </w:tcBorders>
            <w:vAlign w:val="bottom"/>
          </w:tcPr>
          <w:p w14:paraId="3CC3E0A1"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36 (29.5%)</w:t>
            </w:r>
          </w:p>
        </w:tc>
      </w:tr>
      <w:tr w:rsidR="00A82B12" w:rsidRPr="0051432E" w14:paraId="6B22FD2D" w14:textId="77777777" w:rsidTr="003D5491">
        <w:trPr>
          <w:cantSplit/>
          <w:trHeight w:val="218"/>
          <w:jc w:val="right"/>
        </w:trPr>
        <w:tc>
          <w:tcPr>
            <w:tcW w:w="4555" w:type="dxa"/>
            <w:tcBorders>
              <w:top w:val="single" w:sz="4" w:space="0" w:color="auto"/>
              <w:left w:val="single" w:sz="4" w:space="0" w:color="auto"/>
              <w:right w:val="single" w:sz="4" w:space="0" w:color="auto"/>
            </w:tcBorders>
            <w:vAlign w:val="bottom"/>
            <w:hideMark/>
          </w:tcPr>
          <w:p w14:paraId="64E3904D"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 xml:space="preserve">Median duration of response (months) </w:t>
            </w:r>
          </w:p>
        </w:tc>
        <w:tc>
          <w:tcPr>
            <w:tcW w:w="2388" w:type="dxa"/>
            <w:tcBorders>
              <w:top w:val="single" w:sz="4" w:space="0" w:color="auto"/>
              <w:left w:val="single" w:sz="4" w:space="0" w:color="auto"/>
              <w:right w:val="nil"/>
            </w:tcBorders>
            <w:vAlign w:val="bottom"/>
          </w:tcPr>
          <w:p w14:paraId="0923C187"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11.9</w:t>
            </w:r>
          </w:p>
        </w:tc>
        <w:tc>
          <w:tcPr>
            <w:tcW w:w="2204" w:type="dxa"/>
            <w:tcBorders>
              <w:top w:val="single" w:sz="4" w:space="0" w:color="auto"/>
              <w:left w:val="nil"/>
              <w:right w:val="single" w:sz="4" w:space="0" w:color="auto"/>
            </w:tcBorders>
            <w:vAlign w:val="bottom"/>
          </w:tcPr>
          <w:p w14:paraId="3BC40C91"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NR</w:t>
            </w:r>
          </w:p>
        </w:tc>
      </w:tr>
      <w:tr w:rsidR="00A82B12" w:rsidRPr="0051432E" w14:paraId="53F2E051" w14:textId="77777777" w:rsidTr="003D5491">
        <w:trPr>
          <w:cantSplit/>
          <w:trHeight w:val="218"/>
          <w:jc w:val="right"/>
        </w:trPr>
        <w:tc>
          <w:tcPr>
            <w:tcW w:w="4555" w:type="dxa"/>
            <w:tcBorders>
              <w:top w:val="nil"/>
              <w:left w:val="single" w:sz="4" w:space="0" w:color="auto"/>
              <w:bottom w:val="single" w:sz="4" w:space="0" w:color="auto"/>
              <w:right w:val="single" w:sz="4" w:space="0" w:color="auto"/>
            </w:tcBorders>
            <w:vAlign w:val="bottom"/>
            <w:hideMark/>
          </w:tcPr>
          <w:p w14:paraId="385793C5"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2"/>
            <w:tcBorders>
              <w:top w:val="nil"/>
              <w:left w:val="single" w:sz="4" w:space="0" w:color="auto"/>
              <w:bottom w:val="single" w:sz="4" w:space="0" w:color="auto"/>
              <w:right w:val="single" w:sz="4" w:space="0" w:color="auto"/>
            </w:tcBorders>
            <w:vAlign w:val="bottom"/>
          </w:tcPr>
          <w:p w14:paraId="12CCC01D"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0.36 [0.24, 0.54]</w:t>
            </w:r>
          </w:p>
        </w:tc>
      </w:tr>
      <w:tr w:rsidR="00A82B12" w:rsidRPr="0051432E" w14:paraId="718F769B" w14:textId="77777777" w:rsidTr="003D5491">
        <w:trPr>
          <w:cantSplit/>
          <w:jc w:val="right"/>
        </w:trPr>
        <w:tc>
          <w:tcPr>
            <w:tcW w:w="4555" w:type="dxa"/>
            <w:tcBorders>
              <w:top w:val="single" w:sz="4" w:space="0" w:color="auto"/>
              <w:left w:val="single" w:sz="4" w:space="0" w:color="auto"/>
              <w:bottom w:val="nil"/>
              <w:right w:val="single" w:sz="4" w:space="0" w:color="auto"/>
            </w:tcBorders>
            <w:vAlign w:val="bottom"/>
            <w:hideMark/>
          </w:tcPr>
          <w:p w14:paraId="27945DB7" w14:textId="77777777" w:rsidR="00A82B12" w:rsidRPr="0051432E" w:rsidRDefault="00A82B12" w:rsidP="00EB1206">
            <w:pPr>
              <w:keepLines/>
              <w:spacing w:before="50" w:after="50" w:line="240" w:lineRule="exact"/>
              <w:rPr>
                <w:rFonts w:eastAsia="SimSun"/>
                <w:b/>
                <w:sz w:val="22"/>
                <w:lang w:val="en-GB" w:eastAsia="zh-CN"/>
              </w:rPr>
            </w:pPr>
            <w:r w:rsidRPr="0051432E">
              <w:rPr>
                <w:rFonts w:eastAsia="SimSun"/>
                <w:b/>
                <w:sz w:val="22"/>
                <w:lang w:val="en-GB" w:eastAsia="zh-CN"/>
              </w:rPr>
              <w:t>Overall Survival</w:t>
            </w:r>
          </w:p>
        </w:tc>
        <w:tc>
          <w:tcPr>
            <w:tcW w:w="4592" w:type="dxa"/>
            <w:gridSpan w:val="2"/>
            <w:tcBorders>
              <w:top w:val="single" w:sz="4" w:space="0" w:color="auto"/>
              <w:left w:val="single" w:sz="4" w:space="0" w:color="auto"/>
              <w:bottom w:val="nil"/>
              <w:right w:val="single" w:sz="4" w:space="0" w:color="auto"/>
            </w:tcBorders>
            <w:vAlign w:val="bottom"/>
            <w:hideMark/>
          </w:tcPr>
          <w:p w14:paraId="01DC0A9A" w14:textId="77777777" w:rsidR="00A82B12" w:rsidRPr="0051432E" w:rsidRDefault="00A82B12" w:rsidP="00EB1206">
            <w:pPr>
              <w:keepNext/>
              <w:keepLines/>
              <w:spacing w:before="50" w:after="50" w:line="240" w:lineRule="exact"/>
              <w:rPr>
                <w:rFonts w:eastAsia="MS Mincho"/>
                <w:sz w:val="22"/>
                <w:lang w:val="en-US" w:eastAsia="ja-JP"/>
              </w:rPr>
            </w:pPr>
          </w:p>
        </w:tc>
      </w:tr>
      <w:tr w:rsidR="00A82B12" w:rsidRPr="0051432E" w14:paraId="489F4B23"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27C60F26"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No. (%) of patients with event</w:t>
            </w:r>
          </w:p>
        </w:tc>
        <w:tc>
          <w:tcPr>
            <w:tcW w:w="2388" w:type="dxa"/>
            <w:tcBorders>
              <w:top w:val="nil"/>
              <w:left w:val="single" w:sz="4" w:space="0" w:color="auto"/>
              <w:bottom w:val="nil"/>
              <w:right w:val="nil"/>
            </w:tcBorders>
            <w:vAlign w:val="bottom"/>
          </w:tcPr>
          <w:p w14:paraId="743FF281"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36 (21.7%)</w:t>
            </w:r>
          </w:p>
        </w:tc>
        <w:tc>
          <w:tcPr>
            <w:tcW w:w="2204" w:type="dxa"/>
            <w:tcBorders>
              <w:top w:val="nil"/>
              <w:left w:val="nil"/>
              <w:bottom w:val="nil"/>
              <w:right w:val="single" w:sz="4" w:space="0" w:color="auto"/>
            </w:tcBorders>
            <w:vAlign w:val="bottom"/>
          </w:tcPr>
          <w:p w14:paraId="54472690"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25 (16.1%)</w:t>
            </w:r>
          </w:p>
        </w:tc>
      </w:tr>
      <w:tr w:rsidR="00A82B12" w:rsidRPr="0051432E" w14:paraId="69905D56" w14:textId="77777777" w:rsidTr="003D5491">
        <w:trPr>
          <w:cantSplit/>
          <w:jc w:val="right"/>
        </w:trPr>
        <w:tc>
          <w:tcPr>
            <w:tcW w:w="4555" w:type="dxa"/>
            <w:tcBorders>
              <w:top w:val="nil"/>
              <w:left w:val="single" w:sz="4" w:space="0" w:color="auto"/>
              <w:bottom w:val="nil"/>
              <w:right w:val="single" w:sz="4" w:space="0" w:color="auto"/>
            </w:tcBorders>
            <w:vAlign w:val="bottom"/>
            <w:hideMark/>
          </w:tcPr>
          <w:p w14:paraId="22125BFA"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Median time to event (months)</w:t>
            </w:r>
          </w:p>
        </w:tc>
        <w:tc>
          <w:tcPr>
            <w:tcW w:w="2388" w:type="dxa"/>
            <w:tcBorders>
              <w:top w:val="nil"/>
              <w:left w:val="single" w:sz="4" w:space="0" w:color="auto"/>
              <w:bottom w:val="nil"/>
              <w:right w:val="nil"/>
            </w:tcBorders>
            <w:vAlign w:val="bottom"/>
            <w:hideMark/>
          </w:tcPr>
          <w:p w14:paraId="355F4CA1"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NR</w:t>
            </w:r>
            <w:r w:rsidRPr="0051432E">
              <w:rPr>
                <w:rFonts w:eastAsia="SimSun"/>
                <w:sz w:val="22"/>
                <w:vertAlign w:val="superscript"/>
                <w:lang w:val="en-US" w:eastAsia="zh-CN"/>
              </w:rPr>
              <w:t>¶</w:t>
            </w:r>
          </w:p>
        </w:tc>
        <w:tc>
          <w:tcPr>
            <w:tcW w:w="2204" w:type="dxa"/>
            <w:tcBorders>
              <w:top w:val="nil"/>
              <w:left w:val="nil"/>
              <w:bottom w:val="nil"/>
              <w:right w:val="single" w:sz="4" w:space="0" w:color="auto"/>
            </w:tcBorders>
            <w:vAlign w:val="bottom"/>
            <w:hideMark/>
          </w:tcPr>
          <w:p w14:paraId="240B88EB"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NR</w:t>
            </w:r>
            <w:r w:rsidRPr="0051432E">
              <w:rPr>
                <w:rFonts w:eastAsia="SimSun"/>
                <w:sz w:val="22"/>
                <w:vertAlign w:val="superscript"/>
                <w:lang w:val="en-US" w:eastAsia="zh-CN"/>
              </w:rPr>
              <w:t>¶</w:t>
            </w:r>
          </w:p>
        </w:tc>
      </w:tr>
      <w:tr w:rsidR="00A82B12" w:rsidRPr="0051432E" w14:paraId="694F3E39" w14:textId="77777777" w:rsidTr="003D5491">
        <w:trPr>
          <w:cantSplit/>
          <w:jc w:val="right"/>
        </w:trPr>
        <w:tc>
          <w:tcPr>
            <w:tcW w:w="4555" w:type="dxa"/>
            <w:tcBorders>
              <w:top w:val="nil"/>
              <w:left w:val="single" w:sz="4" w:space="0" w:color="auto"/>
              <w:right w:val="single" w:sz="4" w:space="0" w:color="auto"/>
            </w:tcBorders>
            <w:vAlign w:val="bottom"/>
            <w:hideMark/>
          </w:tcPr>
          <w:p w14:paraId="62598E65"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2"/>
            <w:tcBorders>
              <w:top w:val="nil"/>
              <w:left w:val="single" w:sz="4" w:space="0" w:color="auto"/>
              <w:right w:val="single" w:sz="4" w:space="0" w:color="auto"/>
            </w:tcBorders>
            <w:vAlign w:val="bottom"/>
          </w:tcPr>
          <w:p w14:paraId="20B8B6F3"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0.71 [0.43, 1.19]</w:t>
            </w:r>
            <w:r w:rsidRPr="0051432E">
              <w:rPr>
                <w:rFonts w:eastAsia="SimSun"/>
                <w:sz w:val="22"/>
                <w:vertAlign w:val="superscript"/>
                <w:lang w:val="en-US" w:eastAsia="zh-CN"/>
              </w:rPr>
              <w:t xml:space="preserve"> ¶</w:t>
            </w:r>
          </w:p>
        </w:tc>
      </w:tr>
      <w:tr w:rsidR="00A82B12" w:rsidRPr="0051432E" w14:paraId="04518511" w14:textId="77777777" w:rsidTr="003D5491">
        <w:trPr>
          <w:cantSplit/>
          <w:jc w:val="right"/>
        </w:trPr>
        <w:tc>
          <w:tcPr>
            <w:tcW w:w="4555" w:type="dxa"/>
            <w:tcBorders>
              <w:top w:val="nil"/>
              <w:left w:val="single" w:sz="4" w:space="0" w:color="auto"/>
              <w:bottom w:val="single" w:sz="4" w:space="0" w:color="auto"/>
              <w:right w:val="single" w:sz="4" w:space="0" w:color="auto"/>
            </w:tcBorders>
            <w:vAlign w:val="bottom"/>
            <w:hideMark/>
          </w:tcPr>
          <w:p w14:paraId="20130885" w14:textId="77777777" w:rsidR="00A82B12" w:rsidRPr="0051432E" w:rsidRDefault="00A82B12" w:rsidP="00EB1206">
            <w:pPr>
              <w:keepLines/>
              <w:spacing w:before="50" w:after="50" w:line="240" w:lineRule="exact"/>
              <w:ind w:left="226"/>
              <w:rPr>
                <w:rFonts w:eastAsia="SimSun"/>
                <w:sz w:val="22"/>
                <w:lang w:val="en-GB" w:eastAsia="zh-CN"/>
              </w:rPr>
            </w:pPr>
            <w:r w:rsidRPr="0051432E">
              <w:rPr>
                <w:rFonts w:eastAsia="SimSun"/>
                <w:sz w:val="22"/>
                <w:lang w:val="en-GB" w:eastAsia="zh-CN"/>
              </w:rPr>
              <w:t>p-value (Log-Rank test, stratified*)</w:t>
            </w:r>
          </w:p>
        </w:tc>
        <w:tc>
          <w:tcPr>
            <w:tcW w:w="4592" w:type="dxa"/>
            <w:gridSpan w:val="2"/>
            <w:tcBorders>
              <w:top w:val="nil"/>
              <w:left w:val="single" w:sz="4" w:space="0" w:color="auto"/>
              <w:bottom w:val="single" w:sz="4" w:space="0" w:color="auto"/>
              <w:right w:val="single" w:sz="4" w:space="0" w:color="auto"/>
            </w:tcBorders>
            <w:vAlign w:val="bottom"/>
          </w:tcPr>
          <w:p w14:paraId="153A9ACE"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0.1976</w:t>
            </w:r>
            <w:r w:rsidRPr="0051432E">
              <w:rPr>
                <w:rFonts w:eastAsia="SimSun"/>
                <w:sz w:val="22"/>
                <w:vertAlign w:val="superscript"/>
                <w:lang w:val="en-US" w:eastAsia="zh-CN"/>
              </w:rPr>
              <w:t>¶†</w:t>
            </w:r>
          </w:p>
        </w:tc>
      </w:tr>
      <w:tr w:rsidR="00A82B12" w:rsidRPr="0051432E" w14:paraId="0A0E7332" w14:textId="77777777" w:rsidTr="003D5491">
        <w:trPr>
          <w:cantSplit/>
          <w:jc w:val="right"/>
        </w:trPr>
        <w:tc>
          <w:tcPr>
            <w:tcW w:w="4555" w:type="dxa"/>
            <w:tcBorders>
              <w:top w:val="single" w:sz="4" w:space="0" w:color="auto"/>
              <w:left w:val="single" w:sz="4" w:space="0" w:color="auto"/>
              <w:bottom w:val="nil"/>
              <w:right w:val="single" w:sz="4" w:space="0" w:color="auto"/>
            </w:tcBorders>
            <w:vAlign w:val="bottom"/>
            <w:hideMark/>
          </w:tcPr>
          <w:p w14:paraId="466A8171" w14:textId="77777777" w:rsidR="00A82B12" w:rsidRPr="0051432E" w:rsidRDefault="00A82B12" w:rsidP="00EB1206">
            <w:pPr>
              <w:keepNext/>
              <w:keepLines/>
              <w:spacing w:before="50" w:after="50" w:line="240" w:lineRule="exact"/>
              <w:rPr>
                <w:rFonts w:eastAsia="SimSun"/>
                <w:b/>
                <w:sz w:val="22"/>
                <w:vertAlign w:val="superscript"/>
                <w:lang w:val="en-GB" w:eastAsia="zh-CN"/>
              </w:rPr>
            </w:pPr>
            <w:r w:rsidRPr="0051432E">
              <w:rPr>
                <w:rFonts w:eastAsia="SimSun"/>
                <w:b/>
                <w:sz w:val="22"/>
                <w:lang w:val="en-GB" w:eastAsia="zh-CN"/>
              </w:rPr>
              <w:t>Overall Response Rate at End of Induction</w:t>
            </w:r>
            <w:proofErr w:type="gramStart"/>
            <w:r w:rsidRPr="0051432E">
              <w:rPr>
                <w:rFonts w:eastAsia="SimSun"/>
                <w:sz w:val="22"/>
                <w:vertAlign w:val="superscript"/>
                <w:lang w:val="en-GB" w:eastAsia="zh-CN"/>
              </w:rPr>
              <w:t>‡</w:t>
            </w:r>
            <w:r w:rsidRPr="0051432E">
              <w:rPr>
                <w:rFonts w:eastAsia="SimSun"/>
                <w:sz w:val="22"/>
                <w:vertAlign w:val="superscript"/>
                <w:lang w:val="en-US" w:eastAsia="zh-CN"/>
              </w:rPr>
              <w:t xml:space="preserve"> </w:t>
            </w:r>
            <w:r w:rsidRPr="0051432E">
              <w:rPr>
                <w:rFonts w:eastAsia="SimSun"/>
                <w:b/>
                <w:sz w:val="22"/>
                <w:vertAlign w:val="superscript"/>
                <w:lang w:val="en-GB" w:eastAsia="zh-CN"/>
              </w:rPr>
              <w:t xml:space="preserve"> </w:t>
            </w:r>
            <w:r w:rsidRPr="0051432E">
              <w:rPr>
                <w:rFonts w:eastAsia="SimSun"/>
                <w:b/>
                <w:sz w:val="22"/>
                <w:lang w:val="en-GB" w:eastAsia="zh-CN"/>
              </w:rPr>
              <w:t>(</w:t>
            </w:r>
            <w:proofErr w:type="gramEnd"/>
            <w:r w:rsidRPr="0051432E">
              <w:rPr>
                <w:rFonts w:eastAsia="SimSun"/>
                <w:b/>
                <w:sz w:val="22"/>
                <w:lang w:val="en-GB" w:eastAsia="zh-CN"/>
              </w:rPr>
              <w:t>IRC-assessed)</w:t>
            </w:r>
          </w:p>
        </w:tc>
        <w:tc>
          <w:tcPr>
            <w:tcW w:w="4592" w:type="dxa"/>
            <w:gridSpan w:val="2"/>
            <w:tcBorders>
              <w:top w:val="single" w:sz="4" w:space="0" w:color="auto"/>
              <w:left w:val="single" w:sz="4" w:space="0" w:color="auto"/>
              <w:bottom w:val="nil"/>
              <w:right w:val="single" w:sz="4" w:space="0" w:color="auto"/>
            </w:tcBorders>
            <w:vAlign w:val="bottom"/>
          </w:tcPr>
          <w:p w14:paraId="7EF4A297" w14:textId="77777777" w:rsidR="00A82B12" w:rsidRPr="0051432E" w:rsidRDefault="00A82B12" w:rsidP="00EB1206">
            <w:pPr>
              <w:keepNext/>
              <w:keepLines/>
              <w:spacing w:before="50" w:after="50" w:line="240" w:lineRule="exact"/>
              <w:rPr>
                <w:rFonts w:eastAsia="MS Mincho"/>
                <w:sz w:val="22"/>
                <w:lang w:val="en-US" w:eastAsia="ja-JP"/>
              </w:rPr>
            </w:pPr>
          </w:p>
        </w:tc>
      </w:tr>
      <w:tr w:rsidR="00A82B12" w:rsidRPr="0051432E" w14:paraId="49AA199B" w14:textId="77777777" w:rsidTr="003D5491">
        <w:trPr>
          <w:cantSplit/>
          <w:jc w:val="right"/>
        </w:trPr>
        <w:tc>
          <w:tcPr>
            <w:tcW w:w="4555" w:type="dxa"/>
            <w:tcBorders>
              <w:top w:val="nil"/>
              <w:left w:val="single" w:sz="4" w:space="0" w:color="auto"/>
              <w:bottom w:val="nil"/>
              <w:right w:val="single" w:sz="4" w:space="0" w:color="auto"/>
            </w:tcBorders>
            <w:hideMark/>
          </w:tcPr>
          <w:p w14:paraId="6765EDD9"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Patients assessed at end of treatment</w:t>
            </w:r>
          </w:p>
        </w:tc>
        <w:tc>
          <w:tcPr>
            <w:tcW w:w="2388" w:type="dxa"/>
            <w:tcBorders>
              <w:top w:val="nil"/>
              <w:left w:val="single" w:sz="4" w:space="0" w:color="auto"/>
              <w:bottom w:val="nil"/>
              <w:right w:val="nil"/>
            </w:tcBorders>
            <w:vAlign w:val="bottom"/>
          </w:tcPr>
          <w:p w14:paraId="4C628FDF"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155</w:t>
            </w:r>
          </w:p>
        </w:tc>
        <w:tc>
          <w:tcPr>
            <w:tcW w:w="2204" w:type="dxa"/>
            <w:tcBorders>
              <w:top w:val="nil"/>
              <w:left w:val="nil"/>
              <w:bottom w:val="nil"/>
              <w:right w:val="single" w:sz="4" w:space="0" w:color="auto"/>
            </w:tcBorders>
            <w:vAlign w:val="bottom"/>
          </w:tcPr>
          <w:p w14:paraId="7C364961"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149</w:t>
            </w:r>
          </w:p>
        </w:tc>
      </w:tr>
      <w:tr w:rsidR="00A82B12" w:rsidRPr="0051432E" w14:paraId="2A36E9EF" w14:textId="77777777" w:rsidTr="003D5491">
        <w:trPr>
          <w:cantSplit/>
          <w:jc w:val="right"/>
        </w:trPr>
        <w:tc>
          <w:tcPr>
            <w:tcW w:w="4555" w:type="dxa"/>
            <w:tcBorders>
              <w:top w:val="nil"/>
              <w:left w:val="single" w:sz="4" w:space="0" w:color="auto"/>
              <w:bottom w:val="nil"/>
              <w:right w:val="single" w:sz="4" w:space="0" w:color="auto"/>
            </w:tcBorders>
            <w:hideMark/>
          </w:tcPr>
          <w:p w14:paraId="1DA52375" w14:textId="77777777" w:rsidR="00A82B12" w:rsidRPr="0051432E" w:rsidRDefault="00A82B12" w:rsidP="00EB1206">
            <w:pPr>
              <w:keepNext/>
              <w:keepLines/>
              <w:spacing w:before="50" w:after="50" w:line="240" w:lineRule="exact"/>
              <w:ind w:left="213"/>
              <w:rPr>
                <w:rFonts w:eastAsia="SimSun"/>
                <w:sz w:val="22"/>
                <w:lang w:val="en-GB" w:eastAsia="zh-CN"/>
              </w:rPr>
            </w:pPr>
            <w:r w:rsidRPr="0051432E">
              <w:rPr>
                <w:rFonts w:eastAsia="SimSun"/>
                <w:sz w:val="22"/>
                <w:lang w:val="en-GB" w:eastAsia="zh-CN"/>
              </w:rPr>
              <w:t>Responders (%) (CR, PR)</w:t>
            </w:r>
          </w:p>
        </w:tc>
        <w:tc>
          <w:tcPr>
            <w:tcW w:w="2388" w:type="dxa"/>
            <w:tcBorders>
              <w:top w:val="nil"/>
              <w:left w:val="single" w:sz="4" w:space="0" w:color="auto"/>
              <w:bottom w:val="nil"/>
              <w:right w:val="nil"/>
            </w:tcBorders>
            <w:vAlign w:val="bottom"/>
          </w:tcPr>
          <w:p w14:paraId="634DF24E"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97 (62.6%)</w:t>
            </w:r>
          </w:p>
        </w:tc>
        <w:tc>
          <w:tcPr>
            <w:tcW w:w="2204" w:type="dxa"/>
            <w:tcBorders>
              <w:top w:val="nil"/>
              <w:left w:val="nil"/>
              <w:bottom w:val="nil"/>
              <w:right w:val="single" w:sz="4" w:space="0" w:color="auto"/>
            </w:tcBorders>
            <w:vAlign w:val="bottom"/>
          </w:tcPr>
          <w:p w14:paraId="40557A05"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105 (70.5%)</w:t>
            </w:r>
          </w:p>
        </w:tc>
      </w:tr>
      <w:tr w:rsidR="00A82B12" w:rsidRPr="0051432E" w14:paraId="60F7E137" w14:textId="77777777" w:rsidTr="003D5491">
        <w:trPr>
          <w:cantSplit/>
          <w:jc w:val="right"/>
        </w:trPr>
        <w:tc>
          <w:tcPr>
            <w:tcW w:w="4555" w:type="dxa"/>
            <w:tcBorders>
              <w:top w:val="nil"/>
              <w:left w:val="single" w:sz="4" w:space="0" w:color="auto"/>
              <w:right w:val="single" w:sz="4" w:space="0" w:color="auto"/>
            </w:tcBorders>
            <w:vAlign w:val="bottom"/>
            <w:hideMark/>
          </w:tcPr>
          <w:p w14:paraId="17B940AE" w14:textId="77777777" w:rsidR="00A82B12" w:rsidRPr="0051432E" w:rsidRDefault="00A82B12" w:rsidP="00EB1206">
            <w:pPr>
              <w:keepLines/>
              <w:spacing w:before="50" w:after="50" w:line="240" w:lineRule="exact"/>
              <w:ind w:left="213"/>
              <w:rPr>
                <w:rFonts w:eastAsia="SimSun"/>
                <w:sz w:val="22"/>
                <w:lang w:val="en-GB" w:eastAsia="zh-CN"/>
              </w:rPr>
            </w:pPr>
            <w:r w:rsidRPr="0051432E">
              <w:rPr>
                <w:rFonts w:eastAsia="SimSun"/>
                <w:sz w:val="22"/>
                <w:lang w:val="en-GB" w:eastAsia="zh-CN"/>
              </w:rPr>
              <w:t>Difference in response rate (%) [95% CI]</w:t>
            </w:r>
          </w:p>
        </w:tc>
        <w:tc>
          <w:tcPr>
            <w:tcW w:w="4592" w:type="dxa"/>
            <w:gridSpan w:val="2"/>
            <w:tcBorders>
              <w:top w:val="nil"/>
              <w:left w:val="single" w:sz="4" w:space="0" w:color="auto"/>
              <w:right w:val="single" w:sz="4" w:space="0" w:color="auto"/>
            </w:tcBorders>
            <w:vAlign w:val="bottom"/>
          </w:tcPr>
          <w:p w14:paraId="38F3184C"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7.89 [-3.05, 18.83]</w:t>
            </w:r>
          </w:p>
        </w:tc>
      </w:tr>
      <w:tr w:rsidR="00A82B12" w:rsidRPr="0051432E" w14:paraId="2A13481A" w14:textId="77777777" w:rsidTr="003D5491">
        <w:trPr>
          <w:cantSplit/>
          <w:jc w:val="right"/>
        </w:trPr>
        <w:tc>
          <w:tcPr>
            <w:tcW w:w="4555" w:type="dxa"/>
            <w:tcBorders>
              <w:top w:val="nil"/>
              <w:left w:val="single" w:sz="4" w:space="0" w:color="auto"/>
              <w:bottom w:val="single" w:sz="4" w:space="0" w:color="auto"/>
              <w:right w:val="single" w:sz="4" w:space="0" w:color="auto"/>
            </w:tcBorders>
            <w:vAlign w:val="bottom"/>
            <w:hideMark/>
          </w:tcPr>
          <w:p w14:paraId="2087F15F" w14:textId="77777777" w:rsidR="00A82B12" w:rsidRPr="0051432E" w:rsidRDefault="00A82B12" w:rsidP="00EB1206">
            <w:pPr>
              <w:keepLines/>
              <w:spacing w:before="50" w:after="50" w:line="240" w:lineRule="exact"/>
              <w:ind w:left="213"/>
              <w:rPr>
                <w:rFonts w:eastAsia="SimSun"/>
                <w:sz w:val="22"/>
                <w:lang w:val="en-GB" w:eastAsia="zh-CN"/>
              </w:rPr>
            </w:pPr>
            <w:r w:rsidRPr="0051432E">
              <w:rPr>
                <w:rFonts w:eastAsia="SimSun"/>
                <w:sz w:val="22"/>
                <w:lang w:val="en-GB" w:eastAsia="zh-CN"/>
              </w:rPr>
              <w:t>p-value (Cochran-Mantel-Haenszel test)</w:t>
            </w:r>
          </w:p>
        </w:tc>
        <w:tc>
          <w:tcPr>
            <w:tcW w:w="4592" w:type="dxa"/>
            <w:gridSpan w:val="2"/>
            <w:tcBorders>
              <w:top w:val="nil"/>
              <w:left w:val="single" w:sz="4" w:space="0" w:color="auto"/>
              <w:bottom w:val="single" w:sz="4" w:space="0" w:color="auto"/>
              <w:right w:val="single" w:sz="4" w:space="0" w:color="auto"/>
            </w:tcBorders>
            <w:vAlign w:val="bottom"/>
          </w:tcPr>
          <w:p w14:paraId="1A437CB1"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0.1713</w:t>
            </w:r>
          </w:p>
        </w:tc>
      </w:tr>
      <w:tr w:rsidR="00A82B12" w:rsidRPr="0051432E" w14:paraId="4CFD6B9A" w14:textId="77777777" w:rsidTr="003D5491">
        <w:trPr>
          <w:cantSplit/>
          <w:jc w:val="right"/>
        </w:trPr>
        <w:tc>
          <w:tcPr>
            <w:tcW w:w="4555" w:type="dxa"/>
            <w:tcBorders>
              <w:top w:val="single" w:sz="4" w:space="0" w:color="auto"/>
              <w:left w:val="single" w:sz="4" w:space="0" w:color="auto"/>
              <w:bottom w:val="nil"/>
              <w:right w:val="single" w:sz="4" w:space="0" w:color="auto"/>
            </w:tcBorders>
            <w:hideMark/>
          </w:tcPr>
          <w:p w14:paraId="40C1D0F5"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Complete response (CR)</w:t>
            </w:r>
          </w:p>
        </w:tc>
        <w:tc>
          <w:tcPr>
            <w:tcW w:w="2388" w:type="dxa"/>
            <w:tcBorders>
              <w:top w:val="single" w:sz="4" w:space="0" w:color="auto"/>
              <w:left w:val="single" w:sz="4" w:space="0" w:color="auto"/>
              <w:bottom w:val="nil"/>
            </w:tcBorders>
            <w:vAlign w:val="bottom"/>
          </w:tcPr>
          <w:p w14:paraId="667A13BA"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21 (13.5%)</w:t>
            </w:r>
          </w:p>
        </w:tc>
        <w:tc>
          <w:tcPr>
            <w:tcW w:w="2204" w:type="dxa"/>
            <w:tcBorders>
              <w:top w:val="single" w:sz="4" w:space="0" w:color="auto"/>
              <w:bottom w:val="nil"/>
              <w:right w:val="single" w:sz="4" w:space="0" w:color="auto"/>
            </w:tcBorders>
            <w:vAlign w:val="bottom"/>
          </w:tcPr>
          <w:p w14:paraId="7453C6C5"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14 (9.4%)</w:t>
            </w:r>
          </w:p>
        </w:tc>
      </w:tr>
      <w:tr w:rsidR="00A82B12" w:rsidRPr="0051432E" w14:paraId="7C1102B6" w14:textId="77777777" w:rsidTr="003D5491">
        <w:trPr>
          <w:trHeight w:val="235"/>
          <w:jc w:val="right"/>
        </w:trPr>
        <w:tc>
          <w:tcPr>
            <w:tcW w:w="4555" w:type="dxa"/>
            <w:tcBorders>
              <w:top w:val="nil"/>
              <w:left w:val="single" w:sz="4" w:space="0" w:color="auto"/>
              <w:bottom w:val="nil"/>
              <w:right w:val="single" w:sz="4" w:space="0" w:color="auto"/>
            </w:tcBorders>
            <w:tcMar>
              <w:top w:w="0" w:type="dxa"/>
              <w:left w:w="108" w:type="dxa"/>
              <w:bottom w:w="0" w:type="dxa"/>
              <w:right w:w="108" w:type="dxa"/>
            </w:tcMar>
            <w:hideMark/>
          </w:tcPr>
          <w:p w14:paraId="3115CC7C"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Partial response (PR)</w:t>
            </w:r>
          </w:p>
        </w:tc>
        <w:tc>
          <w:tcPr>
            <w:tcW w:w="2388" w:type="dxa"/>
            <w:tcBorders>
              <w:top w:val="nil"/>
              <w:left w:val="single" w:sz="4" w:space="0" w:color="auto"/>
              <w:bottom w:val="nil"/>
              <w:right w:val="nil"/>
            </w:tcBorders>
            <w:tcMar>
              <w:top w:w="0" w:type="dxa"/>
              <w:left w:w="108" w:type="dxa"/>
              <w:bottom w:w="0" w:type="dxa"/>
              <w:right w:w="108" w:type="dxa"/>
            </w:tcMar>
          </w:tcPr>
          <w:p w14:paraId="2C528D36"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76 (49.0%)</w:t>
            </w:r>
          </w:p>
        </w:tc>
        <w:tc>
          <w:tcPr>
            <w:tcW w:w="2204" w:type="dxa"/>
            <w:tcBorders>
              <w:top w:val="nil"/>
              <w:left w:val="nil"/>
              <w:bottom w:val="nil"/>
              <w:right w:val="single" w:sz="4" w:space="0" w:color="auto"/>
            </w:tcBorders>
            <w:tcMar>
              <w:top w:w="0" w:type="dxa"/>
              <w:left w:w="108" w:type="dxa"/>
              <w:bottom w:w="0" w:type="dxa"/>
              <w:right w:w="108" w:type="dxa"/>
            </w:tcMar>
          </w:tcPr>
          <w:p w14:paraId="76001420"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91 (61.1%)</w:t>
            </w:r>
          </w:p>
        </w:tc>
      </w:tr>
      <w:tr w:rsidR="00A82B12" w:rsidRPr="0051432E" w14:paraId="7273B717" w14:textId="77777777" w:rsidTr="003D5491">
        <w:trPr>
          <w:trHeight w:val="273"/>
          <w:jc w:val="right"/>
        </w:trPr>
        <w:tc>
          <w:tcPr>
            <w:tcW w:w="4555" w:type="dxa"/>
            <w:tcBorders>
              <w:top w:val="nil"/>
              <w:left w:val="single" w:sz="4" w:space="0" w:color="auto"/>
              <w:bottom w:val="nil"/>
              <w:right w:val="single" w:sz="4" w:space="0" w:color="auto"/>
            </w:tcBorders>
            <w:tcMar>
              <w:top w:w="0" w:type="dxa"/>
              <w:left w:w="108" w:type="dxa"/>
              <w:bottom w:w="0" w:type="dxa"/>
              <w:right w:w="108" w:type="dxa"/>
            </w:tcMar>
            <w:hideMark/>
          </w:tcPr>
          <w:p w14:paraId="33A20052"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Stable disease (SD)</w:t>
            </w:r>
          </w:p>
        </w:tc>
        <w:tc>
          <w:tcPr>
            <w:tcW w:w="2388" w:type="dxa"/>
            <w:tcBorders>
              <w:top w:val="nil"/>
              <w:left w:val="single" w:sz="4" w:space="0" w:color="auto"/>
              <w:bottom w:val="nil"/>
              <w:right w:val="nil"/>
            </w:tcBorders>
            <w:tcMar>
              <w:top w:w="0" w:type="dxa"/>
              <w:left w:w="108" w:type="dxa"/>
              <w:bottom w:w="0" w:type="dxa"/>
              <w:right w:w="108" w:type="dxa"/>
            </w:tcMar>
          </w:tcPr>
          <w:p w14:paraId="68F31B89"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15 (9.7%)</w:t>
            </w:r>
          </w:p>
        </w:tc>
        <w:tc>
          <w:tcPr>
            <w:tcW w:w="2204" w:type="dxa"/>
            <w:tcBorders>
              <w:top w:val="nil"/>
              <w:left w:val="nil"/>
              <w:bottom w:val="nil"/>
              <w:right w:val="single" w:sz="4" w:space="0" w:color="auto"/>
            </w:tcBorders>
            <w:tcMar>
              <w:top w:w="0" w:type="dxa"/>
              <w:left w:w="108" w:type="dxa"/>
              <w:bottom w:w="0" w:type="dxa"/>
              <w:right w:w="108" w:type="dxa"/>
            </w:tcMar>
          </w:tcPr>
          <w:p w14:paraId="51743720"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12 (8.1%)</w:t>
            </w:r>
          </w:p>
        </w:tc>
      </w:tr>
      <w:tr w:rsidR="00A82B12" w:rsidRPr="0051432E" w14:paraId="5A684249" w14:textId="77777777" w:rsidTr="003D5491">
        <w:trPr>
          <w:cantSplit/>
          <w:jc w:val="right"/>
        </w:trPr>
        <w:tc>
          <w:tcPr>
            <w:tcW w:w="4555" w:type="dxa"/>
            <w:tcBorders>
              <w:top w:val="nil"/>
              <w:left w:val="single" w:sz="4" w:space="0" w:color="auto"/>
              <w:bottom w:val="nil"/>
              <w:right w:val="single" w:sz="4" w:space="0" w:color="auto"/>
            </w:tcBorders>
            <w:hideMark/>
          </w:tcPr>
          <w:p w14:paraId="5C43DFD8"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Progressive disease (PD)</w:t>
            </w:r>
          </w:p>
        </w:tc>
        <w:tc>
          <w:tcPr>
            <w:tcW w:w="2388" w:type="dxa"/>
            <w:tcBorders>
              <w:top w:val="nil"/>
              <w:left w:val="single" w:sz="4" w:space="0" w:color="auto"/>
              <w:bottom w:val="nil"/>
              <w:right w:val="nil"/>
            </w:tcBorders>
            <w:vAlign w:val="bottom"/>
          </w:tcPr>
          <w:p w14:paraId="32EF504A"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15 (9.7%)</w:t>
            </w:r>
          </w:p>
        </w:tc>
        <w:tc>
          <w:tcPr>
            <w:tcW w:w="2204" w:type="dxa"/>
            <w:tcBorders>
              <w:top w:val="nil"/>
              <w:left w:val="nil"/>
              <w:bottom w:val="nil"/>
              <w:right w:val="single" w:sz="4" w:space="0" w:color="auto"/>
            </w:tcBorders>
            <w:vAlign w:val="bottom"/>
          </w:tcPr>
          <w:p w14:paraId="21E7F329"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15 (10.1%)</w:t>
            </w:r>
          </w:p>
        </w:tc>
      </w:tr>
      <w:tr w:rsidR="00A82B12" w:rsidRPr="0051432E" w14:paraId="68200E14" w14:textId="77777777" w:rsidTr="003D5491">
        <w:trPr>
          <w:cantSplit/>
          <w:jc w:val="right"/>
        </w:trPr>
        <w:tc>
          <w:tcPr>
            <w:tcW w:w="4555" w:type="dxa"/>
            <w:tcBorders>
              <w:top w:val="nil"/>
              <w:left w:val="single" w:sz="4" w:space="0" w:color="auto"/>
              <w:right w:val="single" w:sz="4" w:space="0" w:color="auto"/>
            </w:tcBorders>
          </w:tcPr>
          <w:p w14:paraId="6CC3D4EA"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Unable to evaluate (UE)</w:t>
            </w:r>
          </w:p>
        </w:tc>
        <w:tc>
          <w:tcPr>
            <w:tcW w:w="2388" w:type="dxa"/>
            <w:tcBorders>
              <w:top w:val="nil"/>
              <w:left w:val="single" w:sz="4" w:space="0" w:color="auto"/>
              <w:right w:val="nil"/>
            </w:tcBorders>
            <w:vAlign w:val="bottom"/>
          </w:tcPr>
          <w:p w14:paraId="2FCC1284"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4 (2.6%)</w:t>
            </w:r>
          </w:p>
        </w:tc>
        <w:tc>
          <w:tcPr>
            <w:tcW w:w="2204" w:type="dxa"/>
            <w:tcBorders>
              <w:top w:val="nil"/>
              <w:left w:val="nil"/>
              <w:right w:val="single" w:sz="4" w:space="0" w:color="auto"/>
            </w:tcBorders>
            <w:vAlign w:val="bottom"/>
          </w:tcPr>
          <w:p w14:paraId="42EF0F05"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3 (2.0%)</w:t>
            </w:r>
          </w:p>
        </w:tc>
      </w:tr>
      <w:tr w:rsidR="00A82B12" w:rsidRPr="0051432E" w14:paraId="2E8637DE" w14:textId="77777777" w:rsidTr="003D5491">
        <w:trPr>
          <w:cantSplit/>
          <w:jc w:val="right"/>
        </w:trPr>
        <w:tc>
          <w:tcPr>
            <w:tcW w:w="4555" w:type="dxa"/>
            <w:tcBorders>
              <w:top w:val="nil"/>
              <w:left w:val="single" w:sz="4" w:space="0" w:color="auto"/>
              <w:bottom w:val="single" w:sz="4" w:space="0" w:color="auto"/>
              <w:right w:val="single" w:sz="4" w:space="0" w:color="auto"/>
            </w:tcBorders>
          </w:tcPr>
          <w:p w14:paraId="30C8F83F"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lang w:val="en-GB" w:eastAsia="zh-CN"/>
              </w:rPr>
              <w:t>Missing (NA)</w:t>
            </w:r>
          </w:p>
        </w:tc>
        <w:tc>
          <w:tcPr>
            <w:tcW w:w="2388" w:type="dxa"/>
            <w:tcBorders>
              <w:top w:val="nil"/>
              <w:left w:val="single" w:sz="4" w:space="0" w:color="auto"/>
              <w:bottom w:val="single" w:sz="4" w:space="0" w:color="auto"/>
              <w:right w:val="nil"/>
            </w:tcBorders>
            <w:vAlign w:val="bottom"/>
          </w:tcPr>
          <w:p w14:paraId="28E860B4"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24 (15.5%)</w:t>
            </w:r>
          </w:p>
        </w:tc>
        <w:tc>
          <w:tcPr>
            <w:tcW w:w="2204" w:type="dxa"/>
            <w:tcBorders>
              <w:top w:val="nil"/>
              <w:left w:val="nil"/>
              <w:bottom w:val="single" w:sz="4" w:space="0" w:color="auto"/>
              <w:right w:val="single" w:sz="4" w:space="0" w:color="auto"/>
            </w:tcBorders>
            <w:vAlign w:val="bottom"/>
          </w:tcPr>
          <w:p w14:paraId="75D2AEBB" w14:textId="77777777" w:rsidR="00A82B12" w:rsidRPr="0051432E" w:rsidRDefault="00A82B12" w:rsidP="00EB1206">
            <w:pPr>
              <w:keepNext/>
              <w:keepLines/>
              <w:spacing w:before="50" w:after="50" w:line="240" w:lineRule="exact"/>
              <w:rPr>
                <w:rFonts w:eastAsia="SimSun"/>
                <w:sz w:val="22"/>
                <w:lang w:val="en-GB" w:eastAsia="zh-CN"/>
              </w:rPr>
            </w:pPr>
            <w:r w:rsidRPr="0051432E">
              <w:rPr>
                <w:rFonts w:eastAsia="SimSun"/>
                <w:sz w:val="22"/>
                <w:shd w:val="clear" w:color="auto" w:fill="FFFFFF"/>
                <w:lang w:val="en-US" w:eastAsia="zh-CN"/>
              </w:rPr>
              <w:t>14 (9.4%)</w:t>
            </w:r>
          </w:p>
        </w:tc>
      </w:tr>
      <w:tr w:rsidR="00A82B12" w:rsidRPr="0051432E" w14:paraId="0809FED8" w14:textId="77777777" w:rsidTr="003D5491">
        <w:trPr>
          <w:cantSplit/>
          <w:jc w:val="right"/>
        </w:trPr>
        <w:tc>
          <w:tcPr>
            <w:tcW w:w="9147" w:type="dxa"/>
            <w:gridSpan w:val="3"/>
            <w:tcBorders>
              <w:top w:val="single" w:sz="4" w:space="0" w:color="auto"/>
            </w:tcBorders>
            <w:tcMar>
              <w:top w:w="58" w:type="dxa"/>
            </w:tcMar>
          </w:tcPr>
          <w:p w14:paraId="6E1A03E8" w14:textId="77777777" w:rsidR="00A82B12" w:rsidRPr="0051432E" w:rsidRDefault="00A82B12" w:rsidP="00EB1206">
            <w:pPr>
              <w:keepLines/>
              <w:ind w:left="33"/>
              <w:rPr>
                <w:rFonts w:eastAsia="SimSun"/>
                <w:sz w:val="20"/>
                <w:szCs w:val="20"/>
                <w:lang w:val="en-GB" w:eastAsia="zh-CN"/>
              </w:rPr>
            </w:pPr>
            <w:r w:rsidRPr="0051432E">
              <w:rPr>
                <w:rFonts w:eastAsia="SimSun"/>
                <w:sz w:val="20"/>
                <w:szCs w:val="20"/>
                <w:lang w:val="en-GB" w:eastAsia="zh-CN"/>
              </w:rPr>
              <w:t>IRC: Independent Review Committee; PFS: progression-free survival; HR: Hazard Ratio; CI: Confidence Intervals, NR = Not Reached</w:t>
            </w:r>
          </w:p>
          <w:p w14:paraId="7714C753" w14:textId="77777777" w:rsidR="00A82B12" w:rsidRPr="0051432E" w:rsidRDefault="00A82B12" w:rsidP="00EB1206">
            <w:pPr>
              <w:keepNext/>
              <w:keepLines/>
              <w:spacing w:after="40"/>
              <w:ind w:left="245" w:hanging="216"/>
              <w:rPr>
                <w:rFonts w:eastAsia="SimSun"/>
                <w:sz w:val="20"/>
                <w:szCs w:val="20"/>
                <w:lang w:val="en-US" w:eastAsia="zh-CN"/>
              </w:rPr>
            </w:pPr>
            <w:r w:rsidRPr="0051432E">
              <w:rPr>
                <w:rFonts w:eastAsia="SimSun"/>
                <w:bCs/>
                <w:sz w:val="20"/>
                <w:szCs w:val="20"/>
                <w:lang w:val="en-GB" w:eastAsia="zh-CN"/>
              </w:rPr>
              <w:t>*</w:t>
            </w:r>
            <w:r w:rsidRPr="0051432E">
              <w:rPr>
                <w:rFonts w:eastAsia="SimSun"/>
                <w:sz w:val="20"/>
                <w:szCs w:val="20"/>
                <w:lang w:val="en-US" w:eastAsia="zh-CN"/>
              </w:rPr>
              <w:t xml:space="preserve"> Stratification factors were </w:t>
            </w:r>
            <w:proofErr w:type="spellStart"/>
            <w:r w:rsidRPr="0051432E">
              <w:rPr>
                <w:rFonts w:eastAsia="SimSun"/>
                <w:sz w:val="20"/>
                <w:szCs w:val="20"/>
                <w:lang w:val="en-US" w:eastAsia="zh-CN"/>
              </w:rPr>
              <w:t>iNHL</w:t>
            </w:r>
            <w:proofErr w:type="spellEnd"/>
            <w:r w:rsidRPr="0051432E">
              <w:rPr>
                <w:rFonts w:eastAsia="SimSun"/>
                <w:sz w:val="20"/>
                <w:szCs w:val="20"/>
                <w:lang w:val="en-US" w:eastAsia="zh-CN"/>
              </w:rPr>
              <w:t xml:space="preserve"> subtype (follicular vs. non-follicular: not us</w:t>
            </w:r>
            <w:r>
              <w:rPr>
                <w:rFonts w:eastAsia="SimSun"/>
                <w:sz w:val="20"/>
                <w:szCs w:val="20"/>
                <w:lang w:val="en-US" w:eastAsia="zh-CN"/>
              </w:rPr>
              <w:t xml:space="preserve">ed in analysis of patients with </w:t>
            </w:r>
            <w:r w:rsidRPr="0051432E">
              <w:rPr>
                <w:rFonts w:eastAsia="SimSun"/>
                <w:sz w:val="20"/>
                <w:szCs w:val="20"/>
                <w:lang w:val="en-US" w:eastAsia="zh-CN"/>
              </w:rPr>
              <w:t>FL), refractory type (rituximab monotherapy vs. rituximab </w:t>
            </w:r>
            <w:r>
              <w:rPr>
                <w:rFonts w:eastAsia="SimSun"/>
                <w:sz w:val="20"/>
                <w:szCs w:val="20"/>
                <w:lang w:val="en-US" w:eastAsia="zh-CN"/>
              </w:rPr>
              <w:t>+</w:t>
            </w:r>
            <w:r w:rsidRPr="0051432E">
              <w:rPr>
                <w:rFonts w:eastAsia="SimSun"/>
                <w:sz w:val="20"/>
                <w:szCs w:val="20"/>
                <w:lang w:val="en-US" w:eastAsia="zh-CN"/>
              </w:rPr>
              <w:t> chemotherapy) and prior therapies (</w:t>
            </w:r>
            <w:r>
              <w:rPr>
                <w:rFonts w:eastAsia="SimSun"/>
                <w:sz w:val="20"/>
                <w:szCs w:val="20"/>
                <w:lang w:val="en-US" w:eastAsia="zh-CN"/>
              </w:rPr>
              <w:t>≤</w:t>
            </w:r>
            <w:r w:rsidRPr="0051432E">
              <w:rPr>
                <w:rFonts w:eastAsia="SimSun"/>
                <w:sz w:val="20"/>
                <w:szCs w:val="20"/>
                <w:lang w:val="en-US" w:eastAsia="zh-CN"/>
              </w:rPr>
              <w:t xml:space="preserve"> 2 vs. </w:t>
            </w:r>
            <w:r>
              <w:rPr>
                <w:rFonts w:eastAsia="SimSun"/>
                <w:sz w:val="20"/>
                <w:szCs w:val="20"/>
                <w:lang w:val="en-US" w:eastAsia="zh-CN"/>
              </w:rPr>
              <w:t>&gt; 2)</w:t>
            </w:r>
          </w:p>
          <w:p w14:paraId="732FB8A8" w14:textId="77777777" w:rsidR="00A82B12" w:rsidRPr="0051432E" w:rsidRDefault="00A82B12" w:rsidP="00EB1206">
            <w:pPr>
              <w:keepNext/>
              <w:keepLines/>
              <w:spacing w:after="40"/>
              <w:ind w:left="245" w:hanging="216"/>
              <w:rPr>
                <w:rFonts w:eastAsia="SimSun"/>
                <w:bCs/>
                <w:sz w:val="20"/>
                <w:szCs w:val="20"/>
                <w:lang w:val="en-GB" w:eastAsia="zh-CN"/>
              </w:rPr>
            </w:pPr>
            <w:r w:rsidRPr="0051432E">
              <w:rPr>
                <w:rFonts w:eastAsia="SimSun"/>
                <w:sz w:val="20"/>
                <w:szCs w:val="20"/>
                <w:vertAlign w:val="superscript"/>
                <w:lang w:val="en-US" w:eastAsia="zh-CN"/>
              </w:rPr>
              <w:t>§</w:t>
            </w:r>
            <w:r w:rsidRPr="0051432E">
              <w:rPr>
                <w:rFonts w:eastAsia="SimSun"/>
                <w:sz w:val="20"/>
                <w:szCs w:val="20"/>
                <w:lang w:val="en-US" w:eastAsia="zh-CN"/>
              </w:rPr>
              <w:t xml:space="preserve"> </w:t>
            </w:r>
            <w:r w:rsidRPr="0051432E">
              <w:rPr>
                <w:rFonts w:eastAsia="SimSun"/>
                <w:bCs/>
                <w:sz w:val="20"/>
                <w:szCs w:val="20"/>
                <w:lang w:val="en-GB" w:eastAsia="zh-CN"/>
              </w:rPr>
              <w:t>Best response within 12 months of start of treatment</w:t>
            </w:r>
          </w:p>
          <w:p w14:paraId="08CBE877" w14:textId="77777777" w:rsidR="00A82B12" w:rsidRPr="0051432E" w:rsidRDefault="00A82B12" w:rsidP="00EB1206">
            <w:pPr>
              <w:keepNext/>
              <w:keepLines/>
              <w:spacing w:after="40"/>
              <w:ind w:left="245" w:hanging="216"/>
              <w:rPr>
                <w:rFonts w:eastAsia="SimSun"/>
                <w:bCs/>
                <w:sz w:val="20"/>
                <w:szCs w:val="20"/>
                <w:lang w:val="en-GB" w:eastAsia="zh-CN"/>
              </w:rPr>
            </w:pPr>
            <w:r w:rsidRPr="0051432E">
              <w:rPr>
                <w:rFonts w:eastAsia="SimSun"/>
                <w:sz w:val="20"/>
                <w:szCs w:val="20"/>
                <w:vertAlign w:val="superscript"/>
                <w:lang w:val="en-US" w:eastAsia="zh-CN"/>
              </w:rPr>
              <w:t xml:space="preserve">¶ </w:t>
            </w:r>
            <w:r w:rsidRPr="0051432E">
              <w:rPr>
                <w:rFonts w:eastAsia="SimSun"/>
                <w:sz w:val="20"/>
                <w:szCs w:val="20"/>
                <w:lang w:val="en-US" w:eastAsia="zh-CN"/>
              </w:rPr>
              <w:t xml:space="preserve">Data Not Yet Mature </w:t>
            </w:r>
          </w:p>
          <w:p w14:paraId="11A1D235" w14:textId="77777777" w:rsidR="00A82B12" w:rsidRPr="0051432E" w:rsidRDefault="00A82B12" w:rsidP="00EB1206">
            <w:pPr>
              <w:spacing w:after="40"/>
              <w:ind w:left="33"/>
              <w:rPr>
                <w:rFonts w:eastAsia="SimSun"/>
                <w:sz w:val="20"/>
                <w:szCs w:val="20"/>
                <w:shd w:val="clear" w:color="auto" w:fill="FFFFFF"/>
                <w:lang w:val="en-US" w:eastAsia="zh-CN"/>
              </w:rPr>
            </w:pPr>
            <w:r w:rsidRPr="0051432E">
              <w:rPr>
                <w:rFonts w:eastAsia="SimSun"/>
                <w:sz w:val="20"/>
                <w:szCs w:val="20"/>
                <w:vertAlign w:val="superscript"/>
                <w:lang w:val="en-GB" w:eastAsia="zh-CN"/>
              </w:rPr>
              <w:t>‡</w:t>
            </w:r>
            <w:r w:rsidRPr="0051432E">
              <w:rPr>
                <w:rFonts w:eastAsia="SimSun"/>
                <w:sz w:val="20"/>
                <w:szCs w:val="20"/>
                <w:lang w:val="en-GB" w:eastAsia="zh-CN"/>
              </w:rPr>
              <w:t xml:space="preserve"> </w:t>
            </w:r>
            <w:r w:rsidRPr="0051432E">
              <w:rPr>
                <w:rFonts w:eastAsia="SimSun"/>
                <w:bCs/>
                <w:sz w:val="20"/>
                <w:szCs w:val="20"/>
                <w:lang w:val="en-GB" w:eastAsia="zh-CN"/>
              </w:rPr>
              <w:t>End of Induction = end of Induction phase, does not include monotherapy maintenance</w:t>
            </w:r>
          </w:p>
        </w:tc>
      </w:tr>
    </w:tbl>
    <w:p w14:paraId="028251CE" w14:textId="77777777" w:rsidR="00726629" w:rsidRDefault="00726629" w:rsidP="00EB1206">
      <w:pPr>
        <w:rPr>
          <w:b/>
          <w:lang w:val="en-US"/>
        </w:rPr>
      </w:pPr>
      <w:r>
        <w:rPr>
          <w:b/>
          <w:lang w:val="en-US"/>
        </w:rPr>
        <w:br w:type="page"/>
      </w:r>
    </w:p>
    <w:p w14:paraId="5C88FB30" w14:textId="77777777" w:rsidR="00A82B12" w:rsidRPr="007D6537" w:rsidRDefault="00A82B12" w:rsidP="00EB1206">
      <w:pPr>
        <w:spacing w:before="240" w:after="240"/>
        <w:rPr>
          <w:b/>
          <w:lang w:val="en-US"/>
        </w:rPr>
      </w:pPr>
      <w:r>
        <w:rPr>
          <w:b/>
          <w:lang w:val="en-US"/>
        </w:rPr>
        <w:lastRenderedPageBreak/>
        <w:t>Figure 5</w:t>
      </w:r>
      <w:r w:rsidRPr="00747FA2">
        <w:rPr>
          <w:b/>
          <w:lang w:val="en-US"/>
        </w:rPr>
        <w:t xml:space="preserve"> Kaplan-Meier curve of IRC-assessed PFS in</w:t>
      </w:r>
      <w:r>
        <w:rPr>
          <w:b/>
          <w:lang w:val="en-US"/>
        </w:rPr>
        <w:t xml:space="preserve"> </w:t>
      </w:r>
      <w:r w:rsidRPr="00E8637D">
        <w:rPr>
          <w:b/>
          <w:lang w:val="en-US"/>
        </w:rPr>
        <w:t>FL</w:t>
      </w:r>
      <w:r w:rsidRPr="00747FA2">
        <w:rPr>
          <w:b/>
          <w:lang w:val="en-US"/>
        </w:rPr>
        <w:t xml:space="preserve"> patients from GAO4753g (GADOLIN) study</w:t>
      </w:r>
    </w:p>
    <w:p w14:paraId="0E1958DA" w14:textId="7F60275D" w:rsidR="00A82B12" w:rsidRDefault="00A82B12" w:rsidP="00EB1206">
      <w:pPr>
        <w:spacing w:after="240"/>
        <w:rPr>
          <w:lang w:val="en-US"/>
        </w:rPr>
      </w:pPr>
      <w:r>
        <w:rPr>
          <w:noProof/>
          <w:lang w:val="en-AU"/>
        </w:rPr>
        <w:drawing>
          <wp:inline distT="0" distB="0" distL="0" distR="0" wp14:anchorId="52ABE2D3" wp14:editId="7612D4D6">
            <wp:extent cx="4468863" cy="3159303"/>
            <wp:effectExtent l="0" t="0" r="825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2483"/>
                    <a:stretch/>
                  </pic:blipFill>
                  <pic:spPr bwMode="auto">
                    <a:xfrm>
                      <a:off x="0" y="0"/>
                      <a:ext cx="4469180" cy="3159527"/>
                    </a:xfrm>
                    <a:prstGeom prst="rect">
                      <a:avLst/>
                    </a:prstGeom>
                    <a:noFill/>
                    <a:ln>
                      <a:noFill/>
                    </a:ln>
                    <a:extLst>
                      <a:ext uri="{53640926-AAD7-44D8-BBD7-CCE9431645EC}">
                        <a14:shadowObscured xmlns:a14="http://schemas.microsoft.com/office/drawing/2010/main"/>
                      </a:ext>
                    </a:extLst>
                  </pic:spPr>
                </pic:pic>
              </a:graphicData>
            </a:graphic>
          </wp:inline>
        </w:drawing>
      </w:r>
    </w:p>
    <w:p w14:paraId="26D32973" w14:textId="04C41583" w:rsidR="00FA440F" w:rsidRDefault="00FA440F" w:rsidP="00EB1206">
      <w:pPr>
        <w:spacing w:after="240"/>
        <w:rPr>
          <w:lang w:val="en-US"/>
        </w:rPr>
      </w:pPr>
    </w:p>
    <w:p w14:paraId="57B2B2D7" w14:textId="5F9C7A5E" w:rsidR="00FA440F" w:rsidRDefault="00FA440F" w:rsidP="00EB1206">
      <w:pPr>
        <w:spacing w:before="240"/>
        <w:rPr>
          <w:b/>
          <w:lang w:val="en-US"/>
        </w:rPr>
      </w:pPr>
      <w:r>
        <w:rPr>
          <w:b/>
          <w:lang w:val="en-US"/>
        </w:rPr>
        <w:t xml:space="preserve">Figure 6 Kaplan-Meier curve of Overall Survival in </w:t>
      </w:r>
      <w:r w:rsidRPr="00E8637D">
        <w:rPr>
          <w:b/>
          <w:lang w:val="en-US"/>
        </w:rPr>
        <w:t>FL</w:t>
      </w:r>
      <w:r w:rsidRPr="00747FA2">
        <w:rPr>
          <w:b/>
          <w:lang w:val="en-US"/>
        </w:rPr>
        <w:t xml:space="preserve"> patients</w:t>
      </w:r>
      <w:r>
        <w:rPr>
          <w:b/>
          <w:lang w:val="en-US"/>
        </w:rPr>
        <w:t xml:space="preserve"> </w:t>
      </w:r>
      <w:r w:rsidR="000942EB">
        <w:rPr>
          <w:b/>
          <w:lang w:val="en-US"/>
        </w:rPr>
        <w:t xml:space="preserve">at final analysis </w:t>
      </w:r>
      <w:r w:rsidRPr="00747FA2">
        <w:rPr>
          <w:b/>
          <w:lang w:val="en-US"/>
        </w:rPr>
        <w:t>from GAO4753g (GADOLIN) study</w:t>
      </w:r>
    </w:p>
    <w:p w14:paraId="717A0473" w14:textId="55FB8AAC" w:rsidR="00FA440F" w:rsidRDefault="005308A2" w:rsidP="00EB1206">
      <w:pPr>
        <w:spacing w:before="240" w:after="240"/>
        <w:rPr>
          <w:lang w:val="en-US"/>
        </w:rPr>
      </w:pPr>
      <w:r>
        <w:rPr>
          <w:noProof/>
          <w:lang w:val="en-AU"/>
        </w:rPr>
        <w:drawing>
          <wp:anchor distT="0" distB="0" distL="114300" distR="114300" simplePos="0" relativeHeight="251659264" behindDoc="0" locked="0" layoutInCell="1" allowOverlap="1" wp14:anchorId="654A81A2" wp14:editId="33DA3095">
            <wp:simplePos x="0" y="0"/>
            <wp:positionH relativeFrom="margin">
              <wp:align>left</wp:align>
            </wp:positionH>
            <wp:positionV relativeFrom="paragraph">
              <wp:posOffset>6426</wp:posOffset>
            </wp:positionV>
            <wp:extent cx="5181600" cy="332994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81600" cy="3329940"/>
                    </a:xfrm>
                    <a:prstGeom prst="rect">
                      <a:avLst/>
                    </a:prstGeom>
                  </pic:spPr>
                </pic:pic>
              </a:graphicData>
            </a:graphic>
            <wp14:sizeRelH relativeFrom="page">
              <wp14:pctWidth>0</wp14:pctWidth>
            </wp14:sizeRelH>
            <wp14:sizeRelV relativeFrom="page">
              <wp14:pctHeight>0</wp14:pctHeight>
            </wp14:sizeRelV>
          </wp:anchor>
        </w:drawing>
      </w:r>
    </w:p>
    <w:p w14:paraId="5846502E" w14:textId="08CC1901" w:rsidR="00FA440F" w:rsidRDefault="00FA440F" w:rsidP="00EB1206">
      <w:pPr>
        <w:spacing w:after="240"/>
        <w:rPr>
          <w:lang w:val="en-US"/>
        </w:rPr>
      </w:pPr>
    </w:p>
    <w:p w14:paraId="18E7FE8A" w14:textId="0A8B6131" w:rsidR="00FA440F" w:rsidRDefault="00FA440F" w:rsidP="00EB1206">
      <w:pPr>
        <w:spacing w:after="240"/>
        <w:rPr>
          <w:lang w:val="en-US"/>
        </w:rPr>
      </w:pPr>
    </w:p>
    <w:p w14:paraId="201C4EA6" w14:textId="5449CD7F" w:rsidR="005308A2" w:rsidRDefault="005308A2" w:rsidP="00EB1206">
      <w:pPr>
        <w:spacing w:after="240"/>
        <w:rPr>
          <w:lang w:val="en-US"/>
        </w:rPr>
      </w:pPr>
    </w:p>
    <w:p w14:paraId="2E5D6864" w14:textId="67B20A76" w:rsidR="005308A2" w:rsidRDefault="005308A2" w:rsidP="00EB1206">
      <w:pPr>
        <w:spacing w:after="240"/>
        <w:rPr>
          <w:lang w:val="en-US"/>
        </w:rPr>
      </w:pPr>
    </w:p>
    <w:p w14:paraId="34484754" w14:textId="0E9F7FC9" w:rsidR="005308A2" w:rsidRDefault="005308A2" w:rsidP="00EB1206">
      <w:pPr>
        <w:spacing w:after="240"/>
        <w:rPr>
          <w:lang w:val="en-US"/>
        </w:rPr>
      </w:pPr>
    </w:p>
    <w:p w14:paraId="17F5FB58" w14:textId="5C5CA275" w:rsidR="005308A2" w:rsidRDefault="005308A2" w:rsidP="00EB1206">
      <w:pPr>
        <w:spacing w:after="240"/>
        <w:rPr>
          <w:lang w:val="en-US"/>
        </w:rPr>
      </w:pPr>
    </w:p>
    <w:p w14:paraId="68D1536B" w14:textId="67187163" w:rsidR="005308A2" w:rsidRDefault="005308A2" w:rsidP="00EB1206">
      <w:pPr>
        <w:spacing w:after="240"/>
        <w:rPr>
          <w:lang w:val="en-US"/>
        </w:rPr>
      </w:pPr>
    </w:p>
    <w:p w14:paraId="2FC2C44C" w14:textId="77972512" w:rsidR="005308A2" w:rsidRDefault="005308A2" w:rsidP="00EB1206">
      <w:pPr>
        <w:spacing w:after="240"/>
        <w:rPr>
          <w:lang w:val="en-US"/>
        </w:rPr>
      </w:pPr>
    </w:p>
    <w:p w14:paraId="7C761653" w14:textId="14481EDD" w:rsidR="005308A2" w:rsidRDefault="005308A2" w:rsidP="00EB1206">
      <w:pPr>
        <w:spacing w:after="240"/>
        <w:rPr>
          <w:lang w:val="en-US"/>
        </w:rPr>
      </w:pPr>
    </w:p>
    <w:p w14:paraId="2DD4BFC8" w14:textId="77777777" w:rsidR="005308A2" w:rsidRDefault="005308A2" w:rsidP="00EB1206">
      <w:pPr>
        <w:spacing w:after="240"/>
        <w:rPr>
          <w:lang w:val="en-US"/>
        </w:rPr>
      </w:pPr>
    </w:p>
    <w:p w14:paraId="3F033D28" w14:textId="77777777" w:rsidR="00B85F84" w:rsidRDefault="00B85F84" w:rsidP="00EB1206">
      <w:pPr>
        <w:pStyle w:val="Paragraph"/>
      </w:pPr>
    </w:p>
    <w:p w14:paraId="00DFF4E5" w14:textId="77777777" w:rsidR="00B85F84" w:rsidRDefault="00B85F84" w:rsidP="00EB1206">
      <w:pPr>
        <w:pStyle w:val="Paragraph"/>
      </w:pPr>
    </w:p>
    <w:p w14:paraId="7D7269B3" w14:textId="4B34DE17" w:rsidR="00A82B12" w:rsidRPr="00747FA2" w:rsidRDefault="00A82B12" w:rsidP="00EB1206">
      <w:pPr>
        <w:pStyle w:val="Heading6"/>
        <w:rPr>
          <w:lang w:val="en-US"/>
        </w:rPr>
      </w:pPr>
      <w:r w:rsidRPr="00747FA2">
        <w:rPr>
          <w:lang w:val="en-US"/>
        </w:rPr>
        <w:lastRenderedPageBreak/>
        <w:t>Results of subgroup analyses</w:t>
      </w:r>
    </w:p>
    <w:p w14:paraId="294DF54F" w14:textId="77777777" w:rsidR="00A82B12" w:rsidRDefault="00A82B12" w:rsidP="00EB1206">
      <w:pPr>
        <w:rPr>
          <w:lang w:val="en-US"/>
        </w:rPr>
      </w:pPr>
      <w:r w:rsidRPr="00747FA2">
        <w:rPr>
          <w:lang w:val="en-US"/>
        </w:rPr>
        <w:t>Results of subgroup analyses were in general consistent with the results seen in the</w:t>
      </w:r>
      <w:r>
        <w:rPr>
          <w:lang w:val="en-US"/>
        </w:rPr>
        <w:t xml:space="preserve"> </w:t>
      </w:r>
      <w:r w:rsidRPr="00E8637D">
        <w:rPr>
          <w:lang w:val="en-US"/>
        </w:rPr>
        <w:t>overall FL</w:t>
      </w:r>
      <w:r>
        <w:rPr>
          <w:lang w:val="en-US"/>
        </w:rPr>
        <w:t xml:space="preserve"> </w:t>
      </w:r>
      <w:r w:rsidRPr="00747FA2">
        <w:rPr>
          <w:lang w:val="en-US"/>
        </w:rPr>
        <w:t>population, supporting the robustness of the overall result.</w:t>
      </w:r>
    </w:p>
    <w:p w14:paraId="21F0A1C8" w14:textId="77777777" w:rsidR="00F57312" w:rsidRPr="00F57312" w:rsidRDefault="00F57312" w:rsidP="00EB1206">
      <w:pPr>
        <w:pStyle w:val="Heading4"/>
      </w:pPr>
      <w:r w:rsidRPr="00F57312">
        <w:t>Short Duration Infusion Study (MO40597/GAZELLE)</w:t>
      </w:r>
    </w:p>
    <w:p w14:paraId="277B3951" w14:textId="1DA4BB87" w:rsidR="00F57312" w:rsidRPr="00F57312" w:rsidRDefault="00F57312" w:rsidP="00EB1206">
      <w:pPr>
        <w:spacing w:after="240"/>
        <w:rPr>
          <w:rFonts w:cs="Arial"/>
          <w:szCs w:val="20"/>
          <w:lang w:val="en-US" w:eastAsia="ko-KR" w:bidi="he-IL"/>
        </w:rPr>
      </w:pPr>
      <w:r w:rsidRPr="00F57312">
        <w:rPr>
          <w:rFonts w:cs="Arial"/>
          <w:szCs w:val="20"/>
          <w:lang w:val="en-US" w:eastAsia="ko-KR" w:bidi="he-IL"/>
        </w:rPr>
        <w:t xml:space="preserve">The safety of short (approximately 90 minutes) duration infusion (SDI) of obinutuzumab administered in combination with CHOP, CVP or </w:t>
      </w:r>
      <w:proofErr w:type="spellStart"/>
      <w:r w:rsidRPr="00F57312">
        <w:rPr>
          <w:rFonts w:cs="Arial"/>
          <w:szCs w:val="20"/>
          <w:lang w:val="en-US" w:eastAsia="ko-KR" w:bidi="he-IL"/>
        </w:rPr>
        <w:t>bendamustine</w:t>
      </w:r>
      <w:proofErr w:type="spellEnd"/>
      <w:r w:rsidRPr="00F57312">
        <w:rPr>
          <w:rFonts w:cs="Arial"/>
          <w:szCs w:val="20"/>
          <w:lang w:val="en-US" w:eastAsia="ko-KR" w:bidi="he-IL"/>
        </w:rPr>
        <w:t xml:space="preserve"> chemotherapy was evaluated in a </w:t>
      </w:r>
      <w:proofErr w:type="spellStart"/>
      <w:r w:rsidRPr="00F57312">
        <w:rPr>
          <w:rFonts w:cs="Arial"/>
          <w:szCs w:val="20"/>
          <w:lang w:val="en-US" w:eastAsia="ko-KR" w:bidi="he-IL"/>
        </w:rPr>
        <w:t>multicent</w:t>
      </w:r>
      <w:r w:rsidR="001C5E4E">
        <w:rPr>
          <w:rFonts w:cs="Arial"/>
          <w:szCs w:val="20"/>
          <w:lang w:val="en-US" w:eastAsia="ko-KR" w:bidi="he-IL"/>
        </w:rPr>
        <w:t>re</w:t>
      </w:r>
      <w:proofErr w:type="spellEnd"/>
      <w:r w:rsidR="00DF242D">
        <w:rPr>
          <w:rFonts w:cs="Arial"/>
          <w:szCs w:val="20"/>
          <w:lang w:val="en-US" w:eastAsia="ko-KR" w:bidi="he-IL"/>
        </w:rPr>
        <w:t>,</w:t>
      </w:r>
      <w:r w:rsidRPr="00F57312">
        <w:rPr>
          <w:rFonts w:cs="Arial"/>
          <w:szCs w:val="20"/>
          <w:lang w:val="en-US" w:eastAsia="ko-KR" w:bidi="he-IL"/>
        </w:rPr>
        <w:t xml:space="preserve"> open-label, single arm study in 113 patients with previously untreated advanced follicular lymphoma (Study MO40597/GAZELLE).</w:t>
      </w:r>
    </w:p>
    <w:p w14:paraId="3D52B317" w14:textId="53BAF233" w:rsidR="00F57312" w:rsidRPr="00F57312" w:rsidRDefault="00F57312" w:rsidP="00EB1206">
      <w:pPr>
        <w:spacing w:after="240"/>
        <w:rPr>
          <w:rFonts w:cs="Arial"/>
          <w:szCs w:val="20"/>
          <w:lang w:val="en-US" w:eastAsia="ko-KR" w:bidi="he-IL"/>
        </w:rPr>
      </w:pPr>
      <w:r w:rsidRPr="00F57312">
        <w:rPr>
          <w:rFonts w:cs="Arial"/>
          <w:szCs w:val="20"/>
          <w:lang w:val="en-US" w:eastAsia="ko-KR" w:bidi="he-IL"/>
        </w:rPr>
        <w:t xml:space="preserve">Patients received the first cycle of obinutuzumab at the standard infusion rate on Day 1, 8, and 15 of </w:t>
      </w:r>
      <w:r w:rsidR="00DF242D">
        <w:rPr>
          <w:rFonts w:cs="Arial"/>
          <w:szCs w:val="20"/>
          <w:lang w:val="en-US" w:eastAsia="ko-KR" w:bidi="he-IL"/>
        </w:rPr>
        <w:t>C</w:t>
      </w:r>
      <w:r w:rsidR="00DF242D" w:rsidRPr="00F57312">
        <w:rPr>
          <w:rFonts w:cs="Arial"/>
          <w:szCs w:val="20"/>
          <w:lang w:val="en-US" w:eastAsia="ko-KR" w:bidi="he-IL"/>
        </w:rPr>
        <w:t xml:space="preserve">ycle </w:t>
      </w:r>
      <w:r w:rsidRPr="00F57312">
        <w:rPr>
          <w:rFonts w:cs="Arial"/>
          <w:szCs w:val="20"/>
          <w:lang w:val="en-US" w:eastAsia="ko-KR" w:bidi="he-IL"/>
        </w:rPr>
        <w:t xml:space="preserve">1. </w:t>
      </w:r>
      <w:r w:rsidRPr="00F57312">
        <w:rPr>
          <w:rFonts w:cs="Arial" w:hint="eastAsia"/>
          <w:szCs w:val="20"/>
          <w:lang w:val="en-US" w:eastAsia="ko-KR" w:bidi="he-IL"/>
        </w:rPr>
        <w:t xml:space="preserve">Patients who did not experience any Grade </w:t>
      </w:r>
      <w:r w:rsidRPr="00F57312">
        <w:rPr>
          <w:rFonts w:cs="Arial"/>
          <w:szCs w:val="20"/>
          <w:lang w:val="en-US" w:eastAsia="ko-KR" w:bidi="he-IL"/>
        </w:rPr>
        <w:sym w:font="Symbol" w:char="F0B3"/>
      </w:r>
      <w:r w:rsidRPr="00F57312">
        <w:rPr>
          <w:rFonts w:cs="Arial" w:hint="eastAsia"/>
          <w:szCs w:val="20"/>
          <w:lang w:val="en-US" w:eastAsia="ko-KR" w:bidi="he-IL"/>
        </w:rPr>
        <w:t xml:space="preserve">3 IRRs during the first </w:t>
      </w:r>
      <w:r w:rsidRPr="00F57312">
        <w:rPr>
          <w:rFonts w:cs="Arial"/>
          <w:szCs w:val="20"/>
          <w:lang w:val="en-US" w:eastAsia="ko-KR" w:bidi="he-IL"/>
        </w:rPr>
        <w:t xml:space="preserve">cycle received SDI from Cycle 2 onwards. </w:t>
      </w:r>
    </w:p>
    <w:p w14:paraId="28AD4AF4" w14:textId="5A411BED" w:rsidR="00F57312" w:rsidRPr="00F57312" w:rsidRDefault="00F57312" w:rsidP="00EB1206">
      <w:pPr>
        <w:spacing w:after="240"/>
        <w:rPr>
          <w:rFonts w:cs="Arial"/>
          <w:szCs w:val="20"/>
          <w:lang w:val="en-US" w:eastAsia="ko-KR" w:bidi="he-IL"/>
        </w:rPr>
      </w:pPr>
      <w:r w:rsidRPr="00F57312">
        <w:rPr>
          <w:rFonts w:cs="Arial"/>
          <w:szCs w:val="20"/>
          <w:lang w:val="en-US" w:eastAsia="ko-KR" w:bidi="he-IL"/>
        </w:rPr>
        <w:t>The primary endpoint of the study was the proportion of patients who experienced a Grade ≥3 IRR associated with SDI during Cycle 2, among those who had previously received 3 administrations of obinutuzumab at the standard infusion rate during Cycle 1 without experiencing a Grade</w:t>
      </w:r>
      <w:r w:rsidRPr="00F57312">
        <w:rPr>
          <w:rFonts w:cs="Arial" w:hint="eastAsia"/>
          <w:szCs w:val="20"/>
          <w:lang w:val="en-US" w:eastAsia="ko-KR" w:bidi="he-IL"/>
        </w:rPr>
        <w:t xml:space="preserve"> </w:t>
      </w:r>
      <w:r w:rsidRPr="00F57312">
        <w:rPr>
          <w:rFonts w:cs="Arial"/>
          <w:szCs w:val="20"/>
          <w:lang w:val="en-US" w:eastAsia="ko-KR" w:bidi="he-IL"/>
        </w:rPr>
        <w:sym w:font="Symbol" w:char="F0B3"/>
      </w:r>
      <w:r w:rsidRPr="00F57312">
        <w:rPr>
          <w:rFonts w:cs="Arial" w:hint="eastAsia"/>
          <w:szCs w:val="20"/>
          <w:lang w:val="en-US" w:eastAsia="ko-KR" w:bidi="he-IL"/>
        </w:rPr>
        <w:t>3 IRR</w:t>
      </w:r>
      <w:r w:rsidRPr="00F57312">
        <w:rPr>
          <w:rFonts w:cs="Arial"/>
          <w:szCs w:val="20"/>
          <w:lang w:val="en-US" w:eastAsia="ko-KR" w:bidi="he-IL"/>
        </w:rPr>
        <w:t xml:space="preserve">.  </w:t>
      </w:r>
    </w:p>
    <w:p w14:paraId="1B214510" w14:textId="1B2EFEF6" w:rsidR="00F57312" w:rsidRPr="00F57312" w:rsidRDefault="00F57312" w:rsidP="00EB1206">
      <w:pPr>
        <w:spacing w:after="240"/>
        <w:rPr>
          <w:rFonts w:cs="Arial"/>
          <w:szCs w:val="20"/>
          <w:lang w:val="en-US" w:eastAsia="ko-KR" w:bidi="he-IL"/>
        </w:rPr>
      </w:pPr>
      <w:r w:rsidRPr="00F57312">
        <w:rPr>
          <w:rFonts w:cs="Arial"/>
          <w:szCs w:val="20"/>
          <w:lang w:val="en-US" w:eastAsia="ko-KR" w:bidi="he-IL"/>
        </w:rPr>
        <w:t xml:space="preserve">No </w:t>
      </w:r>
      <w:r w:rsidRPr="00F57312">
        <w:rPr>
          <w:rFonts w:cs="Arial" w:hint="eastAsia"/>
          <w:szCs w:val="20"/>
          <w:lang w:val="en-US" w:eastAsia="ko-KR" w:bidi="he-IL"/>
        </w:rPr>
        <w:t xml:space="preserve">Grade </w:t>
      </w:r>
      <w:r w:rsidRPr="00F57312">
        <w:rPr>
          <w:rFonts w:cs="Arial"/>
          <w:szCs w:val="20"/>
          <w:lang w:val="en-US" w:eastAsia="ko-KR" w:bidi="he-IL"/>
        </w:rPr>
        <w:sym w:font="Symbol" w:char="F0B3"/>
      </w:r>
      <w:r w:rsidRPr="00F57312">
        <w:rPr>
          <w:rFonts w:cs="Arial" w:hint="eastAsia"/>
          <w:szCs w:val="20"/>
          <w:lang w:val="en-US" w:eastAsia="ko-KR" w:bidi="he-IL"/>
        </w:rPr>
        <w:t>3 IRRs</w:t>
      </w:r>
      <w:r w:rsidRPr="00F57312">
        <w:rPr>
          <w:rFonts w:cs="Arial"/>
          <w:szCs w:val="20"/>
          <w:lang w:val="en-US" w:eastAsia="ko-KR" w:bidi="he-IL"/>
        </w:rPr>
        <w:t xml:space="preserve"> were observed among patients receiving SDI at Cycle 2. After Cycle 2 only one patient experienced a Grade 3 IRR (hypertension at Cycle 5)</w:t>
      </w:r>
      <w:r w:rsidR="00E773BE">
        <w:rPr>
          <w:rFonts w:cs="Arial"/>
          <w:szCs w:val="20"/>
          <w:lang w:val="en-US" w:eastAsia="ko-KR" w:bidi="he-IL"/>
        </w:rPr>
        <w:t>.</w:t>
      </w:r>
      <w:r w:rsidR="00DF242D">
        <w:rPr>
          <w:rFonts w:cs="Arial"/>
          <w:szCs w:val="20"/>
          <w:lang w:val="en-US" w:eastAsia="ko-KR" w:bidi="he-IL"/>
        </w:rPr>
        <w:t xml:space="preserve"> </w:t>
      </w:r>
      <w:r w:rsidR="00E773BE">
        <w:rPr>
          <w:rFonts w:cs="Arial"/>
          <w:szCs w:val="20"/>
          <w:lang w:val="en-US" w:eastAsia="ko-KR" w:bidi="he-IL"/>
        </w:rPr>
        <w:t>S</w:t>
      </w:r>
      <w:r w:rsidR="00DF242D">
        <w:rPr>
          <w:rFonts w:cs="Arial"/>
          <w:szCs w:val="20"/>
          <w:lang w:val="en-US" w:eastAsia="ko-KR" w:bidi="he-IL"/>
        </w:rPr>
        <w:t xml:space="preserve">ee </w:t>
      </w:r>
      <w:r w:rsidR="00DF242D">
        <w:rPr>
          <w:sz w:val="22"/>
          <w:szCs w:val="22"/>
        </w:rPr>
        <w:t>Section 4.8 Adverse Effects (Undesirable Effects)</w:t>
      </w:r>
      <w:r w:rsidRPr="00F57312">
        <w:rPr>
          <w:rFonts w:cs="Arial"/>
          <w:szCs w:val="20"/>
          <w:lang w:val="en-US" w:eastAsia="ko-KR" w:bidi="he-IL"/>
        </w:rPr>
        <w:t>.</w:t>
      </w:r>
    </w:p>
    <w:p w14:paraId="2EC8A627" w14:textId="77777777" w:rsidR="00A82B12" w:rsidRDefault="00A82B12" w:rsidP="00EB1206">
      <w:pPr>
        <w:pStyle w:val="Heading4"/>
        <w:rPr>
          <w:lang w:val="en-US"/>
        </w:rPr>
      </w:pPr>
      <w:r w:rsidRPr="00525B4D">
        <w:t>Patient Reported Outcomes</w:t>
      </w:r>
    </w:p>
    <w:p w14:paraId="629AE076" w14:textId="77777777" w:rsidR="00A82B12" w:rsidRPr="00254841" w:rsidRDefault="00A82B12" w:rsidP="00EB1206">
      <w:pPr>
        <w:pStyle w:val="Heading5"/>
        <w:spacing w:before="0"/>
        <w:rPr>
          <w:lang w:val="en-US"/>
        </w:rPr>
      </w:pPr>
      <w:r w:rsidRPr="00254841">
        <w:rPr>
          <w:lang w:val="en-US"/>
        </w:rPr>
        <w:t>Previously Untreated Follicular Lymphoma</w:t>
      </w:r>
    </w:p>
    <w:p w14:paraId="6AA1F4D8" w14:textId="77777777" w:rsidR="00A82B12" w:rsidRDefault="00A82B12" w:rsidP="00EB1206">
      <w:pPr>
        <w:rPr>
          <w:lang w:val="en-US"/>
        </w:rPr>
      </w:pPr>
      <w:r w:rsidRPr="00254841">
        <w:rPr>
          <w:rFonts w:hint="eastAsia"/>
          <w:lang w:val="en-US"/>
        </w:rPr>
        <w:t>Based on the FACT-Lym questionnaire collected during treatment and follow-up periods, both arms experienced clinically meaningful improvements in lymphoma-r</w:t>
      </w:r>
      <w:r>
        <w:rPr>
          <w:rFonts w:hint="eastAsia"/>
          <w:lang w:val="en-US"/>
        </w:rPr>
        <w:t>elated symptoms as defined by a</w:t>
      </w:r>
      <w:r>
        <w:rPr>
          <w:lang w:val="en-US"/>
        </w:rPr>
        <w:t xml:space="preserve"> ≥ </w:t>
      </w:r>
      <w:proofErr w:type="gramStart"/>
      <w:r w:rsidRPr="00254841">
        <w:rPr>
          <w:rFonts w:hint="eastAsia"/>
          <w:lang w:val="en-US"/>
        </w:rPr>
        <w:t>3 point</w:t>
      </w:r>
      <w:proofErr w:type="gramEnd"/>
      <w:r w:rsidRPr="00254841">
        <w:rPr>
          <w:rFonts w:hint="eastAsia"/>
          <w:lang w:val="en-US"/>
        </w:rPr>
        <w:t xml:space="preserve"> increase from baseline in the Lymphoma subscale, a</w:t>
      </w:r>
      <w:r>
        <w:rPr>
          <w:lang w:val="en-US"/>
        </w:rPr>
        <w:t xml:space="preserve"> ≥ </w:t>
      </w:r>
      <w:r w:rsidRPr="00254841">
        <w:rPr>
          <w:rFonts w:hint="eastAsia"/>
          <w:lang w:val="en-US"/>
        </w:rPr>
        <w:t xml:space="preserve">6 point increase from baseline in the FACT Lym TOI and a </w:t>
      </w:r>
      <w:r>
        <w:rPr>
          <w:lang w:val="en-US"/>
        </w:rPr>
        <w:t xml:space="preserve">≥ </w:t>
      </w:r>
      <w:r w:rsidRPr="00254841">
        <w:rPr>
          <w:rFonts w:hint="eastAsia"/>
          <w:lang w:val="en-US"/>
        </w:rPr>
        <w:t>7 point increase from baseline in the FACT Lym Total score. EQ-5D utility scores were similar at baseline, during treatment and follow-up. No meaningful differences we</w:t>
      </w:r>
      <w:r>
        <w:rPr>
          <w:rFonts w:hint="eastAsia"/>
          <w:lang w:val="en-US"/>
        </w:rPr>
        <w:t xml:space="preserve">re seen between the arms in </w:t>
      </w:r>
      <w:r w:rsidRPr="000278A9">
        <w:rPr>
          <w:lang w:val="en-US"/>
        </w:rPr>
        <w:t>health-related quality of life</w:t>
      </w:r>
      <w:r w:rsidRPr="000278A9">
        <w:rPr>
          <w:rFonts w:hint="eastAsia"/>
          <w:lang w:val="en-US"/>
        </w:rPr>
        <w:t xml:space="preserve"> </w:t>
      </w:r>
      <w:r>
        <w:rPr>
          <w:lang w:val="en-US"/>
        </w:rPr>
        <w:t>(</w:t>
      </w:r>
      <w:proofErr w:type="spellStart"/>
      <w:r>
        <w:rPr>
          <w:rFonts w:hint="eastAsia"/>
          <w:lang w:val="en-US"/>
        </w:rPr>
        <w:t>HRQ</w:t>
      </w:r>
      <w:r>
        <w:rPr>
          <w:lang w:val="en-US"/>
        </w:rPr>
        <w:t>o</w:t>
      </w:r>
      <w:r w:rsidRPr="00254841">
        <w:rPr>
          <w:rFonts w:hint="eastAsia"/>
          <w:lang w:val="en-US"/>
        </w:rPr>
        <w:t>L</w:t>
      </w:r>
      <w:proofErr w:type="spellEnd"/>
      <w:r>
        <w:rPr>
          <w:lang w:val="en-US"/>
        </w:rPr>
        <w:t>)</w:t>
      </w:r>
      <w:r w:rsidRPr="00254841">
        <w:rPr>
          <w:rFonts w:hint="eastAsia"/>
          <w:lang w:val="en-US"/>
        </w:rPr>
        <w:t xml:space="preserve"> o</w:t>
      </w:r>
      <w:r>
        <w:rPr>
          <w:lang w:val="en-US"/>
        </w:rPr>
        <w:t>r health status measures</w:t>
      </w:r>
      <w:r w:rsidRPr="00254841">
        <w:rPr>
          <w:lang w:val="en-US"/>
        </w:rPr>
        <w:t>.</w:t>
      </w:r>
    </w:p>
    <w:p w14:paraId="623AE479" w14:textId="77777777" w:rsidR="00A82B12" w:rsidRDefault="00A82B12" w:rsidP="00EB1206">
      <w:pPr>
        <w:pStyle w:val="Heading5"/>
        <w:rPr>
          <w:lang w:val="en-US"/>
        </w:rPr>
      </w:pPr>
      <w:r w:rsidRPr="00151C21">
        <w:rPr>
          <w:lang w:val="en-US"/>
        </w:rPr>
        <w:t>R</w:t>
      </w:r>
      <w:r>
        <w:rPr>
          <w:lang w:val="en-US"/>
        </w:rPr>
        <w:t xml:space="preserve">elapsed/refractory </w:t>
      </w:r>
      <w:r w:rsidRPr="00151C21">
        <w:rPr>
          <w:lang w:val="en-US"/>
        </w:rPr>
        <w:t>Follicular Lymphoma</w:t>
      </w:r>
    </w:p>
    <w:p w14:paraId="085BE647" w14:textId="3B6B28C5" w:rsidR="00A82B12" w:rsidRDefault="00A82B12" w:rsidP="00EB1206">
      <w:pPr>
        <w:rPr>
          <w:lang w:val="en-US"/>
        </w:rPr>
      </w:pPr>
      <w:r w:rsidRPr="00A5039D">
        <w:rPr>
          <w:lang w:val="en-US"/>
        </w:rPr>
        <w:t xml:space="preserve">Based on the FACT-Lym questionnaire and EQ-5D index scale collected during the treatment and follow-up periods, </w:t>
      </w:r>
      <w:proofErr w:type="spellStart"/>
      <w:r>
        <w:rPr>
          <w:lang w:val="en-US"/>
        </w:rPr>
        <w:t>HRQoL</w:t>
      </w:r>
      <w:proofErr w:type="spellEnd"/>
      <w:r w:rsidRPr="00A5039D">
        <w:rPr>
          <w:lang w:val="en-US"/>
        </w:rPr>
        <w:t xml:space="preserve"> was generally maintained in the pivotal study with no </w:t>
      </w:r>
      <w:r>
        <w:rPr>
          <w:lang w:val="en-US"/>
        </w:rPr>
        <w:t>meaningful</w:t>
      </w:r>
      <w:r w:rsidRPr="00A5039D">
        <w:rPr>
          <w:lang w:val="en-US"/>
        </w:rPr>
        <w:t xml:space="preserve"> difference between the arms. However, the addition of </w:t>
      </w:r>
      <w:r>
        <w:rPr>
          <w:lang w:val="en-US"/>
        </w:rPr>
        <w:t>Gazyva</w:t>
      </w:r>
      <w:r w:rsidRPr="00A5039D">
        <w:rPr>
          <w:lang w:val="en-US"/>
        </w:rPr>
        <w:t xml:space="preserve"> to </w:t>
      </w:r>
      <w:proofErr w:type="spellStart"/>
      <w:r w:rsidRPr="00A5039D">
        <w:rPr>
          <w:lang w:val="en-US"/>
        </w:rPr>
        <w:t>bendamustine</w:t>
      </w:r>
      <w:proofErr w:type="spellEnd"/>
      <w:r w:rsidRPr="00A5039D">
        <w:rPr>
          <w:lang w:val="en-US"/>
        </w:rPr>
        <w:t xml:space="preserve"> delayed the time to worsening of quality of life as measured by the FACT-Lym TOI score (</w:t>
      </w:r>
      <w:r>
        <w:rPr>
          <w:lang w:val="en-US"/>
        </w:rPr>
        <w:t>HR=0.83; 95% CI: 0.60, 1.13)</w:t>
      </w:r>
      <w:r w:rsidRPr="00A5039D">
        <w:rPr>
          <w:lang w:val="en-US"/>
        </w:rPr>
        <w:t>.</w:t>
      </w:r>
    </w:p>
    <w:p w14:paraId="1907ECF4" w14:textId="16A1608A" w:rsidR="002E624B" w:rsidRDefault="002E624B" w:rsidP="00EB1206">
      <w:pPr>
        <w:rPr>
          <w:lang w:val="en-US"/>
        </w:rPr>
      </w:pPr>
    </w:p>
    <w:p w14:paraId="46A61A44" w14:textId="7C9F384D" w:rsidR="002E624B" w:rsidRPr="00AD5A4D" w:rsidRDefault="002E624B" w:rsidP="00EB1206">
      <w:pPr>
        <w:spacing w:after="170" w:line="280" w:lineRule="exact"/>
        <w:rPr>
          <w:rFonts w:cs="Arial"/>
          <w:u w:val="single"/>
          <w:lang w:val="en-GB"/>
        </w:rPr>
      </w:pPr>
      <w:r w:rsidRPr="00AD5A4D">
        <w:rPr>
          <w:rFonts w:cs="Arial"/>
          <w:u w:val="single"/>
          <w:lang w:val="en-GB"/>
        </w:rPr>
        <w:t>Pre</w:t>
      </w:r>
      <w:r w:rsidR="00097801">
        <w:rPr>
          <w:rFonts w:cs="Arial"/>
          <w:u w:val="single"/>
          <w:lang w:val="en-GB"/>
        </w:rPr>
        <w:t>-</w:t>
      </w:r>
      <w:r w:rsidRPr="00AD5A4D">
        <w:rPr>
          <w:rFonts w:cs="Arial"/>
          <w:u w:val="single"/>
          <w:lang w:val="en-GB"/>
        </w:rPr>
        <w:t>treatment to reduce the risk of CRS induced by glofitamab</w:t>
      </w:r>
    </w:p>
    <w:p w14:paraId="480151B8" w14:textId="1D6EAB6D" w:rsidR="002E624B" w:rsidRDefault="002E624B" w:rsidP="00EB1206">
      <w:pPr>
        <w:rPr>
          <w:lang w:val="en-US"/>
        </w:rPr>
      </w:pPr>
      <w:r w:rsidRPr="00122D95">
        <w:rPr>
          <w:rFonts w:cs="Arial"/>
          <w:lang w:val="en-GB"/>
        </w:rPr>
        <w:t>G</w:t>
      </w:r>
      <w:r>
        <w:rPr>
          <w:rFonts w:cs="Arial"/>
          <w:lang w:val="en-GB"/>
        </w:rPr>
        <w:t>azyva</w:t>
      </w:r>
      <w:r w:rsidRPr="00122D95">
        <w:rPr>
          <w:rFonts w:cs="Arial"/>
          <w:lang w:val="en-GB"/>
        </w:rPr>
        <w:t xml:space="preserve"> was used as a pre</w:t>
      </w:r>
      <w:r w:rsidR="00097801">
        <w:rPr>
          <w:rFonts w:cs="Arial"/>
          <w:lang w:val="en-GB"/>
        </w:rPr>
        <w:t>-</w:t>
      </w:r>
      <w:r w:rsidRPr="00122D95">
        <w:rPr>
          <w:rFonts w:cs="Arial"/>
          <w:lang w:val="en-GB"/>
        </w:rPr>
        <w:t>treatment to reduce the risk of CRS induced by glofitamab in study N</w:t>
      </w:r>
      <w:r w:rsidR="004F414C">
        <w:rPr>
          <w:rFonts w:cs="Arial"/>
          <w:lang w:val="en-GB"/>
        </w:rPr>
        <w:t>P30179, a Phase I/II, multicent</w:t>
      </w:r>
      <w:r w:rsidRPr="00122D95">
        <w:rPr>
          <w:rFonts w:cs="Arial"/>
          <w:lang w:val="en-GB"/>
        </w:rPr>
        <w:t>r</w:t>
      </w:r>
      <w:r w:rsidR="004F414C">
        <w:rPr>
          <w:rFonts w:cs="Arial"/>
          <w:lang w:val="en-GB"/>
        </w:rPr>
        <w:t>e</w:t>
      </w:r>
      <w:r w:rsidRPr="00122D95">
        <w:rPr>
          <w:rFonts w:cs="Arial"/>
          <w:lang w:val="en-GB"/>
        </w:rPr>
        <w:t>, open-label, dose-escalation study designed to evaluate the efficacy, safety, tolerability, and pharmacokinetics of glofitamab as a single agent following pre-treatment with a fixed dose of G</w:t>
      </w:r>
      <w:r>
        <w:rPr>
          <w:rFonts w:cs="Arial"/>
          <w:lang w:val="en-GB"/>
        </w:rPr>
        <w:t>azyva</w:t>
      </w:r>
      <w:r w:rsidRPr="00122D95">
        <w:rPr>
          <w:rFonts w:cs="Arial"/>
          <w:lang w:val="en-GB"/>
        </w:rPr>
        <w:t>. All patients dosed with glofitamab monotherapy received G</w:t>
      </w:r>
      <w:r>
        <w:rPr>
          <w:rFonts w:cs="Arial"/>
          <w:lang w:val="en-GB"/>
        </w:rPr>
        <w:t>azyva by intravenous infusion 1</w:t>
      </w:r>
      <w:r w:rsidRPr="00122D95">
        <w:rPr>
          <w:rFonts w:cs="Arial"/>
          <w:lang w:val="en-GB"/>
        </w:rPr>
        <w:t>000 mg 7 days prior to the first dose glofitamab. Pre</w:t>
      </w:r>
      <w:r w:rsidR="00F63209">
        <w:rPr>
          <w:rFonts w:cs="Arial"/>
          <w:lang w:val="en-GB"/>
        </w:rPr>
        <w:t>-</w:t>
      </w:r>
      <w:r w:rsidR="00BA239C">
        <w:rPr>
          <w:rFonts w:cs="Arial"/>
          <w:lang w:val="en-GB"/>
        </w:rPr>
        <w:t>treatment with obinutuzumab 1</w:t>
      </w:r>
      <w:r w:rsidRPr="00122D95">
        <w:rPr>
          <w:rFonts w:cs="Arial"/>
          <w:lang w:val="en-GB"/>
        </w:rPr>
        <w:t>000 mg was we</w:t>
      </w:r>
      <w:r w:rsidR="004566D5">
        <w:rPr>
          <w:rFonts w:cs="Arial"/>
          <w:lang w:val="en-GB"/>
        </w:rPr>
        <w:t xml:space="preserve">ll tolerated in study NP30179. </w:t>
      </w:r>
      <w:r w:rsidR="004566D5" w:rsidRPr="009C4CE0">
        <w:rPr>
          <w:rFonts w:cs="Arial"/>
          <w:lang w:val="en-GB"/>
        </w:rPr>
        <w:t>In the overall safety population (</w:t>
      </w:r>
      <w:r w:rsidR="004566D5">
        <w:rPr>
          <w:rFonts w:cs="Arial"/>
          <w:lang w:val="en-GB"/>
        </w:rPr>
        <w:t>n</w:t>
      </w:r>
      <w:r w:rsidR="004566D5" w:rsidRPr="009C4CE0">
        <w:rPr>
          <w:rFonts w:cs="Arial"/>
          <w:lang w:val="en-GB"/>
        </w:rPr>
        <w:t xml:space="preserve"> = 424), 67.5% of patients (286/424) had B-cell counts &lt; 70 cells/µL </w:t>
      </w:r>
      <w:r w:rsidR="004566D5">
        <w:rPr>
          <w:rFonts w:cs="Arial"/>
          <w:lang w:val="en-GB"/>
        </w:rPr>
        <w:t>at study entry. Following Gazyva</w:t>
      </w:r>
      <w:r w:rsidR="004566D5" w:rsidRPr="009C4CE0">
        <w:rPr>
          <w:rFonts w:cs="Arial"/>
          <w:lang w:val="en-GB"/>
        </w:rPr>
        <w:t xml:space="preserve"> and prior to glofitamab administration, almost all patients had B-cell</w:t>
      </w:r>
      <w:r w:rsidR="004566D5">
        <w:rPr>
          <w:rFonts w:cs="Arial"/>
          <w:lang w:val="en-GB"/>
        </w:rPr>
        <w:t xml:space="preserve"> </w:t>
      </w:r>
      <w:r w:rsidR="004566D5" w:rsidRPr="009C4CE0">
        <w:rPr>
          <w:rFonts w:cs="Arial"/>
          <w:lang w:val="en-GB"/>
        </w:rPr>
        <w:t xml:space="preserve">counts &lt; 70 cells/µL (97.5% [314/322] at Cycle 1, Day 7 [C1D7], 95% </w:t>
      </w:r>
      <w:r w:rsidR="004566D5" w:rsidRPr="009C4CE0">
        <w:rPr>
          <w:rFonts w:cs="Arial"/>
          <w:lang w:val="en-GB"/>
        </w:rPr>
        <w:lastRenderedPageBreak/>
        <w:t>[40/42] at C1D8), reflecting the depletion of peripheral B cells with G</w:t>
      </w:r>
      <w:r w:rsidR="004566D5">
        <w:rPr>
          <w:rFonts w:cs="Arial"/>
          <w:lang w:val="en-GB"/>
        </w:rPr>
        <w:t xml:space="preserve">azyva. </w:t>
      </w:r>
      <w:r w:rsidRPr="00122D95">
        <w:rPr>
          <w:rFonts w:cs="Arial"/>
          <w:lang w:val="en-GB"/>
        </w:rPr>
        <w:t>No new safety concerns were identified</w:t>
      </w:r>
      <w:r>
        <w:rPr>
          <w:rFonts w:cs="Arial"/>
          <w:lang w:val="en-GB"/>
        </w:rPr>
        <w:t>.</w:t>
      </w:r>
      <w:r w:rsidR="00097801" w:rsidRPr="00097801">
        <w:rPr>
          <w:rFonts w:cs="Arial"/>
          <w:lang w:val="en-GB"/>
        </w:rPr>
        <w:t xml:space="preserve"> </w:t>
      </w:r>
      <w:r w:rsidR="00097801" w:rsidRPr="008C68FA">
        <w:rPr>
          <w:rFonts w:cs="Arial"/>
          <w:lang w:val="en-GB"/>
        </w:rPr>
        <w:t xml:space="preserve">Refer to </w:t>
      </w:r>
      <w:r w:rsidR="00097801">
        <w:rPr>
          <w:rFonts w:cs="Arial"/>
          <w:lang w:val="en-GB"/>
        </w:rPr>
        <w:t xml:space="preserve">the </w:t>
      </w:r>
      <w:r w:rsidR="00097801" w:rsidRPr="008C68FA">
        <w:rPr>
          <w:rFonts w:cs="Arial"/>
          <w:lang w:val="en-GB"/>
        </w:rPr>
        <w:t xml:space="preserve">glofitamab </w:t>
      </w:r>
      <w:r w:rsidR="00A35457">
        <w:rPr>
          <w:rFonts w:cs="Arial"/>
          <w:lang w:val="en-GB"/>
        </w:rPr>
        <w:t xml:space="preserve">Product Information </w:t>
      </w:r>
      <w:r w:rsidR="00097801" w:rsidRPr="008C68FA">
        <w:rPr>
          <w:rFonts w:cs="Arial"/>
          <w:lang w:val="en-GB"/>
        </w:rPr>
        <w:t>for more information</w:t>
      </w:r>
      <w:r w:rsidR="00097801">
        <w:rPr>
          <w:rFonts w:cs="Arial"/>
          <w:lang w:val="en-GB"/>
        </w:rPr>
        <w:t>.</w:t>
      </w:r>
    </w:p>
    <w:p w14:paraId="489DEFFC" w14:textId="77777777" w:rsidR="00A82B12" w:rsidRPr="00827D1E" w:rsidRDefault="00A82B12" w:rsidP="00EB1206">
      <w:pPr>
        <w:pStyle w:val="Heading4"/>
        <w:rPr>
          <w:lang w:val="en-US"/>
        </w:rPr>
      </w:pPr>
      <w:r w:rsidRPr="00827D1E">
        <w:rPr>
          <w:lang w:val="en-US"/>
        </w:rPr>
        <w:t>Immunogenicity</w:t>
      </w:r>
    </w:p>
    <w:p w14:paraId="6E0C673E" w14:textId="77777777" w:rsidR="00A82B12" w:rsidRDefault="00A82B12" w:rsidP="00EB1206">
      <w:pPr>
        <w:spacing w:after="240"/>
        <w:rPr>
          <w:rFonts w:cs="Arial"/>
          <w:szCs w:val="20"/>
          <w:lang w:val="en-US" w:eastAsia="ko-KR" w:bidi="he-IL"/>
        </w:rPr>
      </w:pPr>
      <w:r w:rsidRPr="00AD1A21">
        <w:rPr>
          <w:rFonts w:cs="Arial"/>
          <w:szCs w:val="20"/>
          <w:lang w:val="en-US" w:eastAsia="ko-KR" w:bidi="he-IL"/>
        </w:rPr>
        <w:t>Immunogenicity assay results are highly dependent on several factors including assay sensitivity and specificity, assay methodology, assay robustness to quantities of G</w:t>
      </w:r>
      <w:r>
        <w:rPr>
          <w:rFonts w:cs="Arial"/>
          <w:szCs w:val="20"/>
          <w:lang w:val="en-US" w:eastAsia="ko-KR" w:bidi="he-IL"/>
        </w:rPr>
        <w:t>azyva</w:t>
      </w:r>
      <w:r w:rsidRPr="00AD1A21">
        <w:rPr>
          <w:rFonts w:cs="Arial"/>
          <w:szCs w:val="20"/>
          <w:lang w:val="en-US" w:eastAsia="ko-KR" w:bidi="he-IL"/>
        </w:rPr>
        <w:t>/antibody in circulation, sample handling, timing of sample collection, concomitant medications and underlying disease. For these reasons, comparison of incidence of antibodies to G</w:t>
      </w:r>
      <w:r>
        <w:rPr>
          <w:rFonts w:cs="Arial"/>
          <w:szCs w:val="20"/>
          <w:lang w:val="en-US" w:eastAsia="ko-KR" w:bidi="he-IL"/>
        </w:rPr>
        <w:t>azyva</w:t>
      </w:r>
      <w:r w:rsidRPr="00AD1A21">
        <w:rPr>
          <w:rFonts w:cs="Arial"/>
          <w:szCs w:val="20"/>
          <w:lang w:val="en-US" w:eastAsia="ko-KR" w:bidi="he-IL"/>
        </w:rPr>
        <w:t xml:space="preserve"> with the incidence of antibodies to other products may be misleading.</w:t>
      </w:r>
    </w:p>
    <w:p w14:paraId="6CE1A769" w14:textId="77777777" w:rsidR="00A82B12" w:rsidRDefault="00A82B12" w:rsidP="00EB1206">
      <w:pPr>
        <w:spacing w:after="240"/>
        <w:rPr>
          <w:rFonts w:cs="Arial"/>
          <w:szCs w:val="20"/>
          <w:lang w:val="en-US" w:eastAsia="ko-KR" w:bidi="he-IL"/>
        </w:rPr>
      </w:pPr>
      <w:r w:rsidRPr="009C2282">
        <w:rPr>
          <w:rFonts w:cs="Arial"/>
          <w:szCs w:val="20"/>
          <w:lang w:val="en-US" w:eastAsia="ko-KR" w:bidi="he-IL"/>
        </w:rPr>
        <w:t>Patients in the pivotal</w:t>
      </w:r>
      <w:r>
        <w:rPr>
          <w:rFonts w:cs="Arial"/>
          <w:szCs w:val="20"/>
          <w:lang w:val="en-US" w:eastAsia="ko-KR" w:bidi="he-IL"/>
        </w:rPr>
        <w:t xml:space="preserve"> CLL</w:t>
      </w:r>
      <w:r w:rsidRPr="009C2282">
        <w:rPr>
          <w:rFonts w:cs="Arial"/>
          <w:szCs w:val="20"/>
          <w:lang w:val="en-US" w:eastAsia="ko-KR" w:bidi="he-IL"/>
        </w:rPr>
        <w:t xml:space="preserve"> trial, BO21004/CLL11, were tested at multiple time-points </w:t>
      </w:r>
      <w:r>
        <w:rPr>
          <w:rFonts w:cs="Arial"/>
          <w:szCs w:val="20"/>
          <w:lang w:val="en-US" w:eastAsia="ko-KR" w:bidi="he-IL"/>
        </w:rPr>
        <w:t xml:space="preserve">for </w:t>
      </w:r>
      <w:proofErr w:type="spellStart"/>
      <w:r>
        <w:rPr>
          <w:rFonts w:cs="Arial"/>
          <w:szCs w:val="20"/>
          <w:lang w:val="en-US" w:eastAsia="ko-KR" w:bidi="he-IL"/>
        </w:rPr>
        <w:t xml:space="preserve">anti </w:t>
      </w:r>
      <w:r w:rsidRPr="009C2282">
        <w:rPr>
          <w:rFonts w:cs="Arial"/>
          <w:szCs w:val="20"/>
          <w:lang w:val="en-US" w:eastAsia="ko-KR" w:bidi="he-IL"/>
        </w:rPr>
        <w:t>therapeutic</w:t>
      </w:r>
      <w:proofErr w:type="spellEnd"/>
      <w:r w:rsidRPr="009C2282">
        <w:rPr>
          <w:rFonts w:cs="Arial"/>
          <w:szCs w:val="20"/>
          <w:lang w:val="en-US" w:eastAsia="ko-KR" w:bidi="he-IL"/>
        </w:rPr>
        <w:t xml:space="preserve"> antibodies (ATA) to </w:t>
      </w:r>
      <w:r>
        <w:rPr>
          <w:lang w:val="en-US"/>
        </w:rPr>
        <w:t>Gazyva</w:t>
      </w:r>
      <w:r>
        <w:rPr>
          <w:rFonts w:cs="Arial"/>
          <w:szCs w:val="20"/>
          <w:lang w:val="en-US" w:eastAsia="ko-KR" w:bidi="he-IL"/>
        </w:rPr>
        <w:t xml:space="preserve">. In </w:t>
      </w:r>
      <w:r>
        <w:rPr>
          <w:lang w:val="en-US"/>
        </w:rPr>
        <w:t>Gazyva</w:t>
      </w:r>
      <w:r>
        <w:rPr>
          <w:rFonts w:cs="Arial"/>
          <w:szCs w:val="20"/>
          <w:lang w:val="en-US" w:eastAsia="ko-KR" w:bidi="he-IL"/>
        </w:rPr>
        <w:t xml:space="preserve"> treated patients, 8 out of 140 in </w:t>
      </w:r>
      <w:r w:rsidRPr="009C2282">
        <w:rPr>
          <w:rFonts w:cs="Arial"/>
          <w:szCs w:val="20"/>
          <w:lang w:val="en-US" w:eastAsia="ko-KR" w:bidi="he-IL"/>
        </w:rPr>
        <w:t xml:space="preserve">the </w:t>
      </w:r>
      <w:proofErr w:type="spellStart"/>
      <w:r w:rsidRPr="009C2282">
        <w:rPr>
          <w:rFonts w:cs="Arial"/>
          <w:szCs w:val="20"/>
          <w:lang w:val="en-US" w:eastAsia="ko-KR" w:bidi="he-IL"/>
        </w:rPr>
        <w:t>randomi</w:t>
      </w:r>
      <w:r>
        <w:rPr>
          <w:rFonts w:cs="Arial"/>
          <w:szCs w:val="20"/>
          <w:lang w:val="en-US" w:eastAsia="ko-KR" w:bidi="he-IL"/>
        </w:rPr>
        <w:t>s</w:t>
      </w:r>
      <w:r w:rsidRPr="009C2282">
        <w:rPr>
          <w:rFonts w:cs="Arial"/>
          <w:szCs w:val="20"/>
          <w:lang w:val="en-US" w:eastAsia="ko-KR" w:bidi="he-IL"/>
        </w:rPr>
        <w:t>ed</w:t>
      </w:r>
      <w:proofErr w:type="spellEnd"/>
      <w:r w:rsidRPr="009C2282">
        <w:rPr>
          <w:rFonts w:cs="Arial"/>
          <w:szCs w:val="20"/>
          <w:lang w:val="en-US" w:eastAsia="ko-KR" w:bidi="he-IL"/>
        </w:rPr>
        <w:t xml:space="preserve"> phase </w:t>
      </w:r>
      <w:r>
        <w:rPr>
          <w:rFonts w:cs="Arial"/>
          <w:szCs w:val="20"/>
          <w:lang w:val="en-US" w:eastAsia="ko-KR" w:bidi="he-IL"/>
        </w:rPr>
        <w:t xml:space="preserve">and 2 out 6 in the run-in phase </w:t>
      </w:r>
      <w:r w:rsidRPr="009C2282">
        <w:rPr>
          <w:rFonts w:cs="Arial"/>
          <w:szCs w:val="20"/>
          <w:lang w:val="en-US" w:eastAsia="ko-KR" w:bidi="he-IL"/>
        </w:rPr>
        <w:t>tested positive for ATA at 12 months of fol</w:t>
      </w:r>
      <w:r>
        <w:rPr>
          <w:rFonts w:cs="Arial"/>
          <w:szCs w:val="20"/>
          <w:lang w:val="en-US" w:eastAsia="ko-KR" w:bidi="he-IL"/>
        </w:rPr>
        <w:t xml:space="preserve">low-up. Of these patients, none </w:t>
      </w:r>
      <w:r w:rsidRPr="009C2282">
        <w:rPr>
          <w:rFonts w:cs="Arial"/>
          <w:szCs w:val="20"/>
          <w:lang w:val="en-US" w:eastAsia="ko-KR" w:bidi="he-IL"/>
        </w:rPr>
        <w:t>experienced either anaphylactic or hyper</w:t>
      </w:r>
      <w:r>
        <w:rPr>
          <w:rFonts w:cs="Arial"/>
          <w:szCs w:val="20"/>
          <w:lang w:val="en-US" w:eastAsia="ko-KR" w:bidi="he-IL"/>
        </w:rPr>
        <w:t xml:space="preserve">sensitivity reactions that were </w:t>
      </w:r>
      <w:r w:rsidRPr="009C2282">
        <w:rPr>
          <w:rFonts w:cs="Arial"/>
          <w:szCs w:val="20"/>
          <w:lang w:val="en-US" w:eastAsia="ko-KR" w:bidi="he-IL"/>
        </w:rPr>
        <w:t>considered related to ATA, nor was clinical response affected.</w:t>
      </w:r>
    </w:p>
    <w:p w14:paraId="27E06AF2" w14:textId="64F8DD2A" w:rsidR="00A82B12" w:rsidRPr="009C2282" w:rsidRDefault="0058386C" w:rsidP="00EB1206">
      <w:pPr>
        <w:spacing w:after="240"/>
        <w:rPr>
          <w:rFonts w:cs="Arial"/>
          <w:szCs w:val="20"/>
          <w:lang w:val="en-US" w:eastAsia="ko-KR" w:bidi="he-IL"/>
        </w:rPr>
      </w:pPr>
      <w:r w:rsidRPr="0058386C">
        <w:rPr>
          <w:rFonts w:cs="Arial"/>
          <w:szCs w:val="20"/>
          <w:lang w:val="en-US" w:eastAsia="ko-KR" w:bidi="he-IL"/>
        </w:rPr>
        <w:t>No post-baseline Human Anti-Human Antibody</w:t>
      </w:r>
      <w:r w:rsidR="00B56C79">
        <w:rPr>
          <w:rFonts w:cs="Arial"/>
          <w:szCs w:val="20"/>
          <w:lang w:val="en-US" w:eastAsia="ko-KR" w:bidi="he-IL"/>
        </w:rPr>
        <w:t xml:space="preserve"> (HAHA)</w:t>
      </w:r>
      <w:r w:rsidRPr="0058386C">
        <w:rPr>
          <w:rFonts w:cs="Arial"/>
          <w:szCs w:val="20"/>
          <w:lang w:val="en-US" w:eastAsia="ko-KR" w:bidi="he-IL"/>
        </w:rPr>
        <w:t xml:space="preserve"> were observed in patients with </w:t>
      </w:r>
      <w:proofErr w:type="spellStart"/>
      <w:r w:rsidRPr="0058386C">
        <w:rPr>
          <w:rFonts w:cs="Arial"/>
          <w:szCs w:val="20"/>
          <w:lang w:val="en-US" w:eastAsia="ko-KR" w:bidi="he-IL"/>
        </w:rPr>
        <w:t>iNHL</w:t>
      </w:r>
      <w:proofErr w:type="spellEnd"/>
      <w:r w:rsidRPr="0058386C">
        <w:rPr>
          <w:rFonts w:cs="Arial"/>
          <w:szCs w:val="20"/>
          <w:lang w:val="en-US" w:eastAsia="ko-KR" w:bidi="he-IL"/>
        </w:rPr>
        <w:t xml:space="preserve"> treated in study GAO4753g/GADOLIN. In study BO21223/GALLIUM, 1/565 patient (0.2% of patients with a post-baseline assessment) developed HAHA at induction completion. While the clinical significance of HAHA is not known, a potential correlation between HAHA and clinical course cannot be ruled out</w:t>
      </w:r>
      <w:r w:rsidR="00A82B12" w:rsidRPr="00646B7A">
        <w:rPr>
          <w:rFonts w:cs="Arial"/>
          <w:szCs w:val="20"/>
          <w:lang w:val="en-US" w:eastAsia="ko-KR" w:bidi="he-IL"/>
        </w:rPr>
        <w:t>.</w:t>
      </w:r>
    </w:p>
    <w:p w14:paraId="67738CDE" w14:textId="77777777" w:rsidR="00D52399" w:rsidRDefault="00902EBE" w:rsidP="00EB1206">
      <w:pPr>
        <w:pStyle w:val="Heading2"/>
      </w:pPr>
      <w:r>
        <w:t>5.2</w:t>
      </w:r>
      <w:r>
        <w:tab/>
        <w:t xml:space="preserve">PHARMACOKINETIC PROPERTIES </w:t>
      </w:r>
    </w:p>
    <w:p w14:paraId="56F02160" w14:textId="6996AEC0" w:rsidR="00C514E0" w:rsidRDefault="00C514E0" w:rsidP="00EB1206">
      <w:pPr>
        <w:pStyle w:val="TextTi12"/>
        <w:spacing w:after="0" w:line="240" w:lineRule="auto"/>
        <w:jc w:val="left"/>
        <w:rPr>
          <w:rFonts w:cs="Arial"/>
          <w:color w:val="000000"/>
        </w:rPr>
      </w:pPr>
      <w:r>
        <w:rPr>
          <w:rFonts w:cs="Arial"/>
          <w:color w:val="000000"/>
          <w:lang w:eastAsia="ko-KR" w:bidi="he-IL"/>
        </w:rPr>
        <w:t xml:space="preserve">A </w:t>
      </w:r>
      <w:r w:rsidRPr="00344815">
        <w:rPr>
          <w:rFonts w:cs="Arial"/>
          <w:color w:val="000000"/>
          <w:lang w:eastAsia="ko-KR" w:bidi="he-IL"/>
        </w:rPr>
        <w:t xml:space="preserve">population pharmacokinetic </w:t>
      </w:r>
      <w:r>
        <w:rPr>
          <w:rFonts w:cs="Arial"/>
          <w:color w:val="000000"/>
          <w:lang w:eastAsia="ko-KR" w:bidi="he-IL"/>
        </w:rPr>
        <w:t xml:space="preserve">(PK) </w:t>
      </w:r>
      <w:r w:rsidRPr="00344815">
        <w:rPr>
          <w:rFonts w:cs="Arial"/>
          <w:color w:val="000000"/>
          <w:lang w:eastAsia="ko-KR" w:bidi="he-IL"/>
        </w:rPr>
        <w:t>model was deve</w:t>
      </w:r>
      <w:r>
        <w:rPr>
          <w:rFonts w:cs="Arial"/>
          <w:color w:val="000000"/>
          <w:lang w:eastAsia="ko-KR" w:bidi="he-IL"/>
        </w:rPr>
        <w:t xml:space="preserve">loped to </w:t>
      </w:r>
      <w:proofErr w:type="spellStart"/>
      <w:r>
        <w:rPr>
          <w:rFonts w:cs="Arial"/>
          <w:color w:val="000000"/>
          <w:lang w:eastAsia="ko-KR" w:bidi="he-IL"/>
        </w:rPr>
        <w:t>analyse</w:t>
      </w:r>
      <w:proofErr w:type="spellEnd"/>
      <w:r>
        <w:rPr>
          <w:rFonts w:cs="Arial"/>
          <w:color w:val="000000"/>
          <w:lang w:eastAsia="ko-KR" w:bidi="he-IL"/>
        </w:rPr>
        <w:t xml:space="preserve"> the PK data in 469 patients with indolent non-Hodgkin lymphoma (</w:t>
      </w:r>
      <w:proofErr w:type="spellStart"/>
      <w:r>
        <w:rPr>
          <w:rFonts w:cs="Arial"/>
          <w:color w:val="000000"/>
          <w:lang w:eastAsia="ko-KR" w:bidi="he-IL"/>
        </w:rPr>
        <w:t>iNHL</w:t>
      </w:r>
      <w:proofErr w:type="spellEnd"/>
      <w:r>
        <w:rPr>
          <w:rFonts w:cs="Arial"/>
          <w:color w:val="000000"/>
          <w:lang w:eastAsia="ko-KR" w:bidi="he-IL"/>
        </w:rPr>
        <w:t xml:space="preserve">), 342 patients with chronic lymphocytic </w:t>
      </w:r>
      <w:proofErr w:type="spellStart"/>
      <w:r>
        <w:rPr>
          <w:rFonts w:cs="Arial"/>
          <w:color w:val="000000"/>
          <w:lang w:eastAsia="ko-KR" w:bidi="he-IL"/>
        </w:rPr>
        <w:t>leukaemia</w:t>
      </w:r>
      <w:proofErr w:type="spellEnd"/>
      <w:r>
        <w:rPr>
          <w:rFonts w:cs="Arial"/>
          <w:color w:val="000000"/>
          <w:lang w:eastAsia="ko-KR" w:bidi="he-IL"/>
        </w:rPr>
        <w:t xml:space="preserve"> (</w:t>
      </w:r>
      <w:r w:rsidRPr="00344815">
        <w:rPr>
          <w:rFonts w:cs="Arial"/>
          <w:color w:val="000000"/>
          <w:lang w:eastAsia="ko-KR" w:bidi="he-IL"/>
        </w:rPr>
        <w:t>CLL</w:t>
      </w:r>
      <w:r>
        <w:rPr>
          <w:rFonts w:cs="Arial"/>
          <w:color w:val="000000"/>
          <w:lang w:eastAsia="ko-KR" w:bidi="he-IL"/>
        </w:rPr>
        <w:t xml:space="preserve">), and 130 patients with diffuse large B-cell lymphoma who </w:t>
      </w:r>
      <w:r w:rsidRPr="00344815">
        <w:rPr>
          <w:rFonts w:cs="Arial"/>
          <w:color w:val="000000"/>
          <w:lang w:eastAsia="ko-KR" w:bidi="he-IL"/>
        </w:rPr>
        <w:t xml:space="preserve">received </w:t>
      </w:r>
      <w:r>
        <w:t>Gazyva</w:t>
      </w:r>
      <w:r w:rsidDel="007D6537">
        <w:rPr>
          <w:rFonts w:cs="Arial"/>
          <w:color w:val="000000"/>
          <w:lang w:eastAsia="ko-KR" w:bidi="he-IL"/>
        </w:rPr>
        <w:t xml:space="preserve"> </w:t>
      </w:r>
      <w:r>
        <w:rPr>
          <w:rFonts w:cs="Arial"/>
          <w:color w:val="000000"/>
          <w:lang w:eastAsia="ko-KR" w:bidi="he-IL"/>
        </w:rPr>
        <w:t>in phase I, p</w:t>
      </w:r>
      <w:r w:rsidRPr="00344815">
        <w:rPr>
          <w:rFonts w:cs="Arial"/>
          <w:color w:val="000000"/>
          <w:lang w:eastAsia="ko-KR" w:bidi="he-IL"/>
        </w:rPr>
        <w:t>ha</w:t>
      </w:r>
      <w:r>
        <w:rPr>
          <w:rFonts w:cs="Arial"/>
          <w:color w:val="000000"/>
          <w:lang w:eastAsia="ko-KR" w:bidi="he-IL"/>
        </w:rPr>
        <w:t xml:space="preserve">se II and phase III studies. </w:t>
      </w:r>
      <w:r>
        <w:rPr>
          <w:rFonts w:cs="Arial"/>
          <w:color w:val="000000"/>
        </w:rPr>
        <w:t xml:space="preserve">From the population PK model, after the Cycle 6 Day 1 infusion in CLL patients, the </w:t>
      </w:r>
      <w:proofErr w:type="spellStart"/>
      <w:r>
        <w:rPr>
          <w:rFonts w:cs="Arial"/>
          <w:color w:val="000000"/>
        </w:rPr>
        <w:t>C</w:t>
      </w:r>
      <w:r w:rsidRPr="006435B1">
        <w:rPr>
          <w:rFonts w:cs="Arial"/>
          <w:color w:val="000000"/>
          <w:vertAlign w:val="subscript"/>
        </w:rPr>
        <w:t>max</w:t>
      </w:r>
      <w:proofErr w:type="spellEnd"/>
      <w:r>
        <w:rPr>
          <w:rFonts w:cs="Arial"/>
          <w:color w:val="000000"/>
        </w:rPr>
        <w:t xml:space="preserve"> value was 465.7 </w:t>
      </w:r>
      <w:r>
        <w:rPr>
          <w:color w:val="000000"/>
        </w:rPr>
        <w:t>µ</w:t>
      </w:r>
      <w:r>
        <w:rPr>
          <w:rFonts w:cs="Arial"/>
          <w:color w:val="000000"/>
        </w:rPr>
        <w:t>g/mL and AUC</w:t>
      </w:r>
      <w:r w:rsidRPr="006435B1">
        <w:rPr>
          <w:rFonts w:cs="Arial"/>
          <w:color w:val="000000"/>
          <w:vertAlign w:val="subscript"/>
        </w:rPr>
        <w:t>(T)</w:t>
      </w:r>
      <w:r>
        <w:rPr>
          <w:rFonts w:cs="Arial"/>
          <w:color w:val="000000"/>
        </w:rPr>
        <w:t xml:space="preserve"> value was 8,961 </w:t>
      </w:r>
      <w:r>
        <w:rPr>
          <w:color w:val="000000"/>
        </w:rPr>
        <w:t>µ</w:t>
      </w:r>
      <w:r>
        <w:rPr>
          <w:rFonts w:cs="Arial"/>
          <w:color w:val="000000"/>
        </w:rPr>
        <w:t>g*d/</w:t>
      </w:r>
      <w:proofErr w:type="spellStart"/>
      <w:r>
        <w:rPr>
          <w:rFonts w:cs="Arial"/>
          <w:color w:val="000000"/>
        </w:rPr>
        <w:t>mL.</w:t>
      </w:r>
      <w:proofErr w:type="spellEnd"/>
      <w:r>
        <w:rPr>
          <w:rFonts w:cs="Arial"/>
          <w:color w:val="000000"/>
        </w:rPr>
        <w:t xml:space="preserve"> In </w:t>
      </w:r>
      <w:proofErr w:type="spellStart"/>
      <w:r>
        <w:rPr>
          <w:rFonts w:cs="Arial"/>
          <w:color w:val="000000"/>
        </w:rPr>
        <w:t>iNHL</w:t>
      </w:r>
      <w:proofErr w:type="spellEnd"/>
      <w:r>
        <w:rPr>
          <w:rFonts w:cs="Arial"/>
          <w:color w:val="000000"/>
        </w:rPr>
        <w:t xml:space="preserve"> patients the estimated median </w:t>
      </w:r>
      <w:proofErr w:type="spellStart"/>
      <w:r>
        <w:rPr>
          <w:rFonts w:cs="Arial"/>
          <w:color w:val="000000"/>
        </w:rPr>
        <w:t>C</w:t>
      </w:r>
      <w:r w:rsidRPr="006435B1">
        <w:rPr>
          <w:rFonts w:cs="Arial"/>
          <w:color w:val="000000"/>
          <w:vertAlign w:val="subscript"/>
        </w:rPr>
        <w:t>max</w:t>
      </w:r>
      <w:proofErr w:type="spellEnd"/>
      <w:r>
        <w:rPr>
          <w:rFonts w:cs="Arial"/>
          <w:color w:val="000000"/>
        </w:rPr>
        <w:t xml:space="preserve"> value was 539.3 </w:t>
      </w:r>
      <w:r>
        <w:rPr>
          <w:color w:val="000000"/>
        </w:rPr>
        <w:t>µ</w:t>
      </w:r>
      <w:r>
        <w:rPr>
          <w:rFonts w:cs="Arial"/>
          <w:color w:val="000000"/>
        </w:rPr>
        <w:t>g/mL and AUC</w:t>
      </w:r>
      <w:r w:rsidRPr="006435B1">
        <w:rPr>
          <w:rFonts w:cs="Arial"/>
          <w:color w:val="000000"/>
          <w:vertAlign w:val="subscript"/>
        </w:rPr>
        <w:t>(T)</w:t>
      </w:r>
      <w:r>
        <w:rPr>
          <w:rFonts w:cs="Arial"/>
          <w:color w:val="000000"/>
        </w:rPr>
        <w:t xml:space="preserve"> value was 10,956 </w:t>
      </w:r>
      <w:r>
        <w:rPr>
          <w:color w:val="000000"/>
        </w:rPr>
        <w:t>µ</w:t>
      </w:r>
      <w:r>
        <w:rPr>
          <w:rFonts w:cs="Arial"/>
          <w:color w:val="000000"/>
        </w:rPr>
        <w:t>g*d/</w:t>
      </w:r>
      <w:proofErr w:type="spellStart"/>
      <w:r>
        <w:rPr>
          <w:rFonts w:cs="Arial"/>
          <w:color w:val="000000"/>
        </w:rPr>
        <w:t>mL.</w:t>
      </w:r>
      <w:proofErr w:type="spellEnd"/>
    </w:p>
    <w:p w14:paraId="553D3BF6" w14:textId="77777777" w:rsidR="00D52399" w:rsidRDefault="00615052" w:rsidP="00EB1206">
      <w:pPr>
        <w:pStyle w:val="Heading3"/>
      </w:pPr>
      <w:r>
        <w:t>Absorption</w:t>
      </w:r>
    </w:p>
    <w:p w14:paraId="29322F46" w14:textId="77777777" w:rsidR="00C514E0" w:rsidRDefault="00C514E0" w:rsidP="00EB1206">
      <w:pPr>
        <w:pStyle w:val="TextTi12"/>
        <w:spacing w:after="0" w:line="240" w:lineRule="auto"/>
        <w:jc w:val="left"/>
        <w:rPr>
          <w:rFonts w:cs="Arial"/>
          <w:color w:val="000000"/>
        </w:rPr>
      </w:pPr>
      <w:r w:rsidRPr="00B9782C">
        <w:t>Obinutuzumab</w:t>
      </w:r>
      <w:r w:rsidRPr="000A0780">
        <w:rPr>
          <w:rFonts w:cs="Arial"/>
          <w:color w:val="000000"/>
        </w:rPr>
        <w:t xml:space="preserve"> is administered </w:t>
      </w:r>
      <w:r>
        <w:rPr>
          <w:rFonts w:cs="Arial"/>
          <w:color w:val="000000"/>
        </w:rPr>
        <w:t xml:space="preserve">intravenously. </w:t>
      </w:r>
      <w:r w:rsidRPr="000A0780">
        <w:rPr>
          <w:rFonts w:cs="Arial"/>
          <w:color w:val="000000"/>
        </w:rPr>
        <w:t>There have been no clinical studies performed with other routes of administration.</w:t>
      </w:r>
      <w:r>
        <w:rPr>
          <w:rFonts w:cs="Arial"/>
          <w:color w:val="000000"/>
        </w:rPr>
        <w:t xml:space="preserve"> </w:t>
      </w:r>
    </w:p>
    <w:p w14:paraId="054C6148" w14:textId="77777777" w:rsidR="00D52399" w:rsidRDefault="00615052" w:rsidP="00EB1206">
      <w:pPr>
        <w:pStyle w:val="Heading3"/>
      </w:pPr>
      <w:r>
        <w:t>Distribution</w:t>
      </w:r>
    </w:p>
    <w:p w14:paraId="5E3CBA41" w14:textId="77777777" w:rsidR="00C514E0" w:rsidRDefault="00C514E0" w:rsidP="00EB1206">
      <w:pPr>
        <w:pStyle w:val="TextTi12"/>
        <w:spacing w:after="0" w:line="240" w:lineRule="auto"/>
        <w:jc w:val="left"/>
        <w:rPr>
          <w:rFonts w:cs="Arial"/>
          <w:color w:val="000000"/>
          <w:lang w:eastAsia="ko-KR" w:bidi="he-IL"/>
        </w:rPr>
      </w:pPr>
      <w:r w:rsidRPr="00153F8E">
        <w:rPr>
          <w:rFonts w:cs="Arial"/>
          <w:color w:val="000000"/>
          <w:lang w:eastAsia="ko-KR" w:bidi="he-IL"/>
        </w:rPr>
        <w:t>Following intravenous administration, the volume</w:t>
      </w:r>
      <w:r>
        <w:rPr>
          <w:rFonts w:cs="Arial"/>
          <w:color w:val="000000"/>
          <w:lang w:eastAsia="ko-KR" w:bidi="he-IL"/>
        </w:rPr>
        <w:t xml:space="preserve"> of distribution of the central compartment </w:t>
      </w:r>
      <w:r w:rsidRPr="00153F8E">
        <w:rPr>
          <w:rFonts w:cs="Arial"/>
          <w:color w:val="000000"/>
          <w:lang w:eastAsia="ko-KR" w:bidi="he-IL"/>
        </w:rPr>
        <w:t>(2.7</w:t>
      </w:r>
      <w:r>
        <w:rPr>
          <w:rFonts w:cs="Arial"/>
          <w:color w:val="000000"/>
          <w:lang w:eastAsia="ko-KR" w:bidi="he-IL"/>
        </w:rPr>
        <w:t>2</w:t>
      </w:r>
      <w:r w:rsidRPr="00153F8E">
        <w:rPr>
          <w:rFonts w:cs="Arial"/>
          <w:color w:val="000000"/>
          <w:lang w:eastAsia="ko-KR" w:bidi="he-IL"/>
        </w:rPr>
        <w:t xml:space="preserve"> L), approximates serum volum</w:t>
      </w:r>
      <w:r>
        <w:rPr>
          <w:rFonts w:cs="Arial"/>
          <w:color w:val="000000"/>
          <w:lang w:eastAsia="ko-KR" w:bidi="he-IL"/>
        </w:rPr>
        <w:t xml:space="preserve">e, which indicates distribution </w:t>
      </w:r>
      <w:r w:rsidRPr="00153F8E">
        <w:rPr>
          <w:rFonts w:cs="Arial"/>
          <w:color w:val="000000"/>
          <w:lang w:eastAsia="ko-KR" w:bidi="he-IL"/>
        </w:rPr>
        <w:t>is largely restricted to plasma and interstitial fluid.</w:t>
      </w:r>
    </w:p>
    <w:p w14:paraId="5AC24B2B" w14:textId="77777777" w:rsidR="00BA0878" w:rsidRDefault="00C514E0" w:rsidP="00EB1206">
      <w:pPr>
        <w:pStyle w:val="Heading3"/>
      </w:pPr>
      <w:r>
        <w:t>Metabolism</w:t>
      </w:r>
    </w:p>
    <w:p w14:paraId="6ACA9E9D" w14:textId="77777777" w:rsidR="00C514E0" w:rsidRDefault="00C514E0" w:rsidP="00EB1206">
      <w:pPr>
        <w:pStyle w:val="TextTi12"/>
        <w:spacing w:after="0" w:line="240" w:lineRule="auto"/>
        <w:jc w:val="left"/>
        <w:rPr>
          <w:rFonts w:cs="Arial"/>
          <w:color w:val="000000"/>
        </w:rPr>
      </w:pPr>
      <w:r w:rsidRPr="000A0780">
        <w:rPr>
          <w:rFonts w:cs="Arial"/>
          <w:color w:val="000000"/>
        </w:rPr>
        <w:t xml:space="preserve">The metabolism of </w:t>
      </w:r>
      <w:r w:rsidRPr="00B9782C">
        <w:t>obinutuzumab</w:t>
      </w:r>
      <w:r w:rsidRPr="000A0780">
        <w:rPr>
          <w:rFonts w:cs="Arial"/>
          <w:color w:val="000000"/>
          <w:szCs w:val="16"/>
        </w:rPr>
        <w:t xml:space="preserve"> </w:t>
      </w:r>
      <w:r w:rsidRPr="000A0780">
        <w:rPr>
          <w:rFonts w:cs="Arial"/>
          <w:color w:val="000000"/>
        </w:rPr>
        <w:t>has not been directly studied. Antibodies are mostly cleared by catabolism.</w:t>
      </w:r>
    </w:p>
    <w:p w14:paraId="7A33DFBF" w14:textId="77777777" w:rsidR="00BA0878" w:rsidRDefault="00BA0878" w:rsidP="00EB1206">
      <w:pPr>
        <w:pStyle w:val="Heading3"/>
      </w:pPr>
      <w:r w:rsidRPr="00BA0878">
        <w:t>Excretion</w:t>
      </w:r>
    </w:p>
    <w:p w14:paraId="331BA630" w14:textId="77777777" w:rsidR="00C514E0" w:rsidRDefault="00C514E0" w:rsidP="00EB1206">
      <w:pPr>
        <w:pStyle w:val="TextTi12"/>
        <w:spacing w:line="280" w:lineRule="exact"/>
        <w:jc w:val="left"/>
        <w:rPr>
          <w:rFonts w:cs="Arial"/>
          <w:color w:val="000000"/>
          <w:lang w:eastAsia="ko-KR" w:bidi="he-IL"/>
        </w:rPr>
      </w:pPr>
      <w:r w:rsidRPr="00153F8E">
        <w:rPr>
          <w:rFonts w:cs="Arial"/>
          <w:color w:val="000000"/>
          <w:lang w:eastAsia="ko-KR" w:bidi="he-IL"/>
        </w:rPr>
        <w:t xml:space="preserve">The clearance of </w:t>
      </w:r>
      <w:r w:rsidRPr="00B9782C">
        <w:t>obinutuzumab</w:t>
      </w:r>
      <w:r w:rsidRPr="00153F8E">
        <w:rPr>
          <w:rFonts w:cs="Arial"/>
          <w:color w:val="000000"/>
          <w:lang w:eastAsia="ko-KR" w:bidi="he-IL"/>
        </w:rPr>
        <w:t xml:space="preserve"> </w:t>
      </w:r>
      <w:r>
        <w:rPr>
          <w:rFonts w:cs="Arial"/>
          <w:color w:val="000000"/>
          <w:lang w:eastAsia="ko-KR" w:bidi="he-IL"/>
        </w:rPr>
        <w:t xml:space="preserve">was approximately 0.11 L/day in CLL patients and 0.08 L/day in </w:t>
      </w:r>
      <w:proofErr w:type="spellStart"/>
      <w:r>
        <w:rPr>
          <w:rFonts w:cs="Arial"/>
          <w:color w:val="000000"/>
          <w:lang w:eastAsia="ko-KR" w:bidi="he-IL"/>
        </w:rPr>
        <w:t>iNHL</w:t>
      </w:r>
      <w:proofErr w:type="spellEnd"/>
      <w:r>
        <w:rPr>
          <w:rFonts w:cs="Arial"/>
          <w:color w:val="000000"/>
          <w:lang w:eastAsia="ko-KR" w:bidi="he-IL"/>
        </w:rPr>
        <w:t xml:space="preserve"> patients with a median elimination t</w:t>
      </w:r>
      <w:r w:rsidRPr="00153F8E">
        <w:rPr>
          <w:rFonts w:cs="Arial"/>
          <w:color w:val="000000"/>
          <w:lang w:eastAsia="ko-KR" w:bidi="he-IL"/>
        </w:rPr>
        <w:t xml:space="preserve">½ </w:t>
      </w:r>
      <w:r>
        <w:rPr>
          <w:rFonts w:cs="Arial"/>
          <w:color w:val="000000"/>
          <w:lang w:eastAsia="ko-KR" w:bidi="he-IL"/>
        </w:rPr>
        <w:t xml:space="preserve">26.4 days in CLL patients and 36.8 days in </w:t>
      </w:r>
      <w:proofErr w:type="spellStart"/>
      <w:r>
        <w:rPr>
          <w:rFonts w:cs="Arial"/>
          <w:color w:val="000000"/>
          <w:lang w:eastAsia="ko-KR" w:bidi="he-IL"/>
        </w:rPr>
        <w:t>iNHL</w:t>
      </w:r>
      <w:proofErr w:type="spellEnd"/>
      <w:r>
        <w:rPr>
          <w:rFonts w:cs="Arial"/>
          <w:color w:val="000000"/>
          <w:lang w:eastAsia="ko-KR" w:bidi="he-IL"/>
        </w:rPr>
        <w:t xml:space="preserve"> patients.</w:t>
      </w:r>
    </w:p>
    <w:p w14:paraId="46C34665" w14:textId="5CA41BBC" w:rsidR="00C514E0" w:rsidRPr="00153F8E" w:rsidRDefault="00C514E0" w:rsidP="00EB1206">
      <w:pPr>
        <w:pStyle w:val="TextTi12"/>
        <w:spacing w:line="280" w:lineRule="exact"/>
        <w:jc w:val="left"/>
        <w:rPr>
          <w:rFonts w:cs="Arial"/>
          <w:color w:val="000000"/>
          <w:lang w:eastAsia="ko-KR" w:bidi="he-IL"/>
        </w:rPr>
      </w:pPr>
      <w:r w:rsidRPr="00B9782C">
        <w:rPr>
          <w:rFonts w:cs="Arial"/>
          <w:color w:val="000000"/>
          <w:lang w:eastAsia="ko-KR" w:bidi="he-IL"/>
        </w:rPr>
        <w:t>Obinutuzumab</w:t>
      </w:r>
      <w:r>
        <w:rPr>
          <w:rFonts w:cs="Arial"/>
          <w:color w:val="000000"/>
          <w:lang w:eastAsia="ko-KR" w:bidi="he-IL"/>
        </w:rPr>
        <w:t xml:space="preserve"> </w:t>
      </w:r>
      <w:r w:rsidRPr="00153F8E">
        <w:rPr>
          <w:rFonts w:cs="Arial"/>
          <w:color w:val="000000"/>
          <w:lang w:eastAsia="ko-KR" w:bidi="he-IL"/>
        </w:rPr>
        <w:t xml:space="preserve">elimination comprises </w:t>
      </w:r>
      <w:r>
        <w:rPr>
          <w:rFonts w:cs="Arial"/>
          <w:color w:val="000000"/>
          <w:lang w:eastAsia="ko-KR" w:bidi="he-IL"/>
        </w:rPr>
        <w:t xml:space="preserve">two parallel pathways </w:t>
      </w:r>
      <w:r w:rsidRPr="00153F8E">
        <w:rPr>
          <w:rFonts w:cs="Arial"/>
          <w:color w:val="000000"/>
          <w:lang w:eastAsia="ko-KR" w:bidi="he-IL"/>
        </w:rPr>
        <w:t>whi</w:t>
      </w:r>
      <w:r>
        <w:rPr>
          <w:rFonts w:cs="Arial"/>
          <w:color w:val="000000"/>
          <w:lang w:eastAsia="ko-KR" w:bidi="he-IL"/>
        </w:rPr>
        <w:t xml:space="preserve">ch describe clearance, a linear </w:t>
      </w:r>
      <w:r w:rsidRPr="00153F8E">
        <w:rPr>
          <w:rFonts w:cs="Arial"/>
          <w:color w:val="000000"/>
          <w:lang w:eastAsia="ko-KR" w:bidi="he-IL"/>
        </w:rPr>
        <w:t>clearance pat</w:t>
      </w:r>
      <w:r>
        <w:rPr>
          <w:rFonts w:cs="Arial"/>
          <w:color w:val="000000"/>
          <w:lang w:eastAsia="ko-KR" w:bidi="he-IL"/>
        </w:rPr>
        <w:t xml:space="preserve">hway and a non-linear clearance </w:t>
      </w:r>
      <w:r w:rsidRPr="00153F8E">
        <w:rPr>
          <w:rFonts w:cs="Arial"/>
          <w:color w:val="000000"/>
          <w:lang w:eastAsia="ko-KR" w:bidi="he-IL"/>
        </w:rPr>
        <w:t>pathway which</w:t>
      </w:r>
      <w:r>
        <w:rPr>
          <w:rFonts w:cs="Arial"/>
          <w:color w:val="000000"/>
          <w:lang w:eastAsia="ko-KR" w:bidi="he-IL"/>
        </w:rPr>
        <w:t xml:space="preserve"> changes as a function of </w:t>
      </w:r>
      <w:r>
        <w:rPr>
          <w:rFonts w:cs="Arial"/>
          <w:color w:val="000000"/>
          <w:lang w:eastAsia="ko-KR" w:bidi="he-IL"/>
        </w:rPr>
        <w:lastRenderedPageBreak/>
        <w:t xml:space="preserve">time. </w:t>
      </w:r>
      <w:r w:rsidRPr="00153F8E">
        <w:rPr>
          <w:rFonts w:cs="Arial"/>
          <w:color w:val="000000"/>
          <w:lang w:eastAsia="ko-KR" w:bidi="he-IL"/>
        </w:rPr>
        <w:t>Duri</w:t>
      </w:r>
      <w:r>
        <w:rPr>
          <w:rFonts w:cs="Arial"/>
          <w:color w:val="000000"/>
          <w:lang w:eastAsia="ko-KR" w:bidi="he-IL"/>
        </w:rPr>
        <w:t xml:space="preserve">ng initial treatment, </w:t>
      </w:r>
      <w:r w:rsidRPr="00153F8E">
        <w:rPr>
          <w:rFonts w:cs="Arial"/>
          <w:color w:val="000000"/>
          <w:lang w:eastAsia="ko-KR" w:bidi="he-IL"/>
        </w:rPr>
        <w:t>the non-linear time-varyin</w:t>
      </w:r>
      <w:r>
        <w:rPr>
          <w:rFonts w:cs="Arial"/>
          <w:color w:val="000000"/>
          <w:lang w:eastAsia="ko-KR" w:bidi="he-IL"/>
        </w:rPr>
        <w:t xml:space="preserve">g clearance pathway is dominant and is consequently the </w:t>
      </w:r>
      <w:r w:rsidRPr="00153F8E">
        <w:rPr>
          <w:rFonts w:cs="Arial"/>
          <w:color w:val="000000"/>
          <w:lang w:eastAsia="ko-KR" w:bidi="he-IL"/>
        </w:rPr>
        <w:t>major clearance pathway. As treatment</w:t>
      </w:r>
      <w:r>
        <w:rPr>
          <w:rFonts w:cs="Arial"/>
          <w:color w:val="000000"/>
          <w:lang w:eastAsia="ko-KR" w:bidi="he-IL"/>
        </w:rPr>
        <w:t xml:space="preserve"> continues, the impact of this pathway </w:t>
      </w:r>
      <w:proofErr w:type="gramStart"/>
      <w:r w:rsidRPr="00153F8E">
        <w:rPr>
          <w:rFonts w:cs="Arial"/>
          <w:color w:val="000000"/>
          <w:lang w:eastAsia="ko-KR" w:bidi="he-IL"/>
        </w:rPr>
        <w:t>diminishes</w:t>
      </w:r>
      <w:proofErr w:type="gramEnd"/>
      <w:r w:rsidRPr="00153F8E">
        <w:rPr>
          <w:rFonts w:cs="Arial"/>
          <w:color w:val="000000"/>
          <w:lang w:eastAsia="ko-KR" w:bidi="he-IL"/>
        </w:rPr>
        <w:t xml:space="preserve"> and the linear clearance pathway pred</w:t>
      </w:r>
      <w:r>
        <w:rPr>
          <w:rFonts w:cs="Arial"/>
          <w:color w:val="000000"/>
          <w:lang w:eastAsia="ko-KR" w:bidi="he-IL"/>
        </w:rPr>
        <w:t xml:space="preserve">ominates. This is indicative of </w:t>
      </w:r>
      <w:r w:rsidRPr="00153F8E">
        <w:rPr>
          <w:rFonts w:cs="Arial"/>
          <w:color w:val="000000"/>
          <w:lang w:eastAsia="ko-KR" w:bidi="he-IL"/>
        </w:rPr>
        <w:t>target mediated drug disposition (TMDD),</w:t>
      </w:r>
      <w:r>
        <w:rPr>
          <w:rFonts w:cs="Arial"/>
          <w:color w:val="000000"/>
          <w:lang w:eastAsia="ko-KR" w:bidi="he-IL"/>
        </w:rPr>
        <w:t xml:space="preserve"> where the initial abundance of </w:t>
      </w:r>
      <w:r w:rsidRPr="00153F8E">
        <w:rPr>
          <w:rFonts w:cs="Arial"/>
          <w:color w:val="000000"/>
          <w:lang w:eastAsia="ko-KR" w:bidi="he-IL"/>
        </w:rPr>
        <w:t>CD20 c</w:t>
      </w:r>
      <w:r>
        <w:rPr>
          <w:rFonts w:cs="Arial"/>
          <w:color w:val="000000"/>
          <w:lang w:eastAsia="ko-KR" w:bidi="he-IL"/>
        </w:rPr>
        <w:t xml:space="preserve">ells causes </w:t>
      </w:r>
      <w:r w:rsidRPr="00153F8E">
        <w:rPr>
          <w:rFonts w:cs="Arial"/>
          <w:color w:val="000000"/>
          <w:lang w:eastAsia="ko-KR" w:bidi="he-IL"/>
        </w:rPr>
        <w:t xml:space="preserve">rapid </w:t>
      </w:r>
      <w:r>
        <w:rPr>
          <w:rFonts w:cs="Arial"/>
          <w:color w:val="000000"/>
          <w:lang w:eastAsia="ko-KR" w:bidi="he-IL"/>
        </w:rPr>
        <w:t xml:space="preserve">removal </w:t>
      </w:r>
      <w:r w:rsidRPr="00153F8E">
        <w:rPr>
          <w:rFonts w:cs="Arial"/>
          <w:color w:val="000000"/>
          <w:lang w:eastAsia="ko-KR" w:bidi="he-IL"/>
        </w:rPr>
        <w:t xml:space="preserve">of </w:t>
      </w:r>
      <w:r w:rsidRPr="00B9782C">
        <w:rPr>
          <w:rFonts w:cs="Arial"/>
          <w:color w:val="000000"/>
          <w:lang w:eastAsia="ko-KR" w:bidi="he-IL"/>
        </w:rPr>
        <w:t>obinutuzumab</w:t>
      </w:r>
      <w:r>
        <w:rPr>
          <w:rFonts w:cs="Arial"/>
          <w:color w:val="000000"/>
          <w:lang w:eastAsia="ko-KR" w:bidi="he-IL"/>
        </w:rPr>
        <w:t xml:space="preserve"> from the circulation. However, once the majority of CD20 cells are bound with </w:t>
      </w:r>
      <w:r w:rsidRPr="00B9782C">
        <w:rPr>
          <w:rFonts w:cs="Arial"/>
          <w:color w:val="000000"/>
          <w:lang w:eastAsia="ko-KR" w:bidi="he-IL"/>
        </w:rPr>
        <w:t>obinutuzumab</w:t>
      </w:r>
      <w:r w:rsidRPr="00153F8E">
        <w:rPr>
          <w:rFonts w:cs="Arial"/>
          <w:color w:val="000000"/>
          <w:lang w:eastAsia="ko-KR" w:bidi="he-IL"/>
        </w:rPr>
        <w:t xml:space="preserve">, </w:t>
      </w:r>
      <w:r>
        <w:rPr>
          <w:rFonts w:cs="Arial"/>
          <w:color w:val="000000"/>
          <w:lang w:eastAsia="ko-KR" w:bidi="he-IL"/>
        </w:rPr>
        <w:t xml:space="preserve">the impact of TMDD on </w:t>
      </w:r>
      <w:r w:rsidRPr="00153F8E">
        <w:rPr>
          <w:rFonts w:cs="Arial"/>
          <w:color w:val="000000"/>
          <w:lang w:eastAsia="ko-KR" w:bidi="he-IL"/>
        </w:rPr>
        <w:t>PK</w:t>
      </w:r>
      <w:r>
        <w:rPr>
          <w:rFonts w:cs="Arial"/>
          <w:color w:val="000000"/>
          <w:lang w:eastAsia="ko-KR" w:bidi="he-IL"/>
        </w:rPr>
        <w:t xml:space="preserve"> is </w:t>
      </w:r>
      <w:proofErr w:type="spellStart"/>
      <w:r>
        <w:rPr>
          <w:rFonts w:cs="Arial"/>
          <w:color w:val="000000"/>
          <w:lang w:eastAsia="ko-KR" w:bidi="he-IL"/>
        </w:rPr>
        <w:t>minimised</w:t>
      </w:r>
      <w:proofErr w:type="spellEnd"/>
      <w:r w:rsidRPr="00153F8E">
        <w:rPr>
          <w:rFonts w:cs="Arial"/>
          <w:color w:val="000000"/>
          <w:lang w:eastAsia="ko-KR" w:bidi="he-IL"/>
        </w:rPr>
        <w:t>.</w:t>
      </w:r>
    </w:p>
    <w:p w14:paraId="4C706B0E" w14:textId="77777777" w:rsidR="00C514E0" w:rsidRPr="00C514E0" w:rsidRDefault="00C514E0" w:rsidP="00EB1206">
      <w:pPr>
        <w:pStyle w:val="Heading3"/>
      </w:pPr>
      <w:r w:rsidRPr="00C514E0">
        <w:t>Pharmacokinetics in special populations</w:t>
      </w:r>
    </w:p>
    <w:p w14:paraId="0FC7D42D" w14:textId="0BE40855" w:rsidR="00C514E0" w:rsidRDefault="00C514E0" w:rsidP="00EB1206">
      <w:r w:rsidRPr="00F01FAA">
        <w:rPr>
          <w:rFonts w:cs="Arial"/>
        </w:rPr>
        <w:t xml:space="preserve">In the population </w:t>
      </w:r>
      <w:r>
        <w:rPr>
          <w:rFonts w:cs="Arial"/>
        </w:rPr>
        <w:t>PK</w:t>
      </w:r>
      <w:r w:rsidRPr="00F01FAA">
        <w:rPr>
          <w:rFonts w:cs="Arial"/>
        </w:rPr>
        <w:t xml:space="preserve"> </w:t>
      </w:r>
      <w:r w:rsidRPr="00C2153F">
        <w:rPr>
          <w:rFonts w:cs="Arial"/>
        </w:rPr>
        <w:t>analyses,</w:t>
      </w:r>
      <w:r w:rsidRPr="00F01FAA">
        <w:rPr>
          <w:rFonts w:cs="Arial"/>
        </w:rPr>
        <w:t xml:space="preserve"> gende</w:t>
      </w:r>
      <w:r>
        <w:rPr>
          <w:rFonts w:cs="Arial"/>
        </w:rPr>
        <w:t>r was found to be a covariate which explains some of</w:t>
      </w:r>
      <w:r w:rsidRPr="00F01FAA">
        <w:rPr>
          <w:rFonts w:cs="Arial"/>
        </w:rPr>
        <w:t xml:space="preserve"> the inter-patient variabi</w:t>
      </w:r>
      <w:r>
        <w:rPr>
          <w:rFonts w:cs="Arial"/>
        </w:rPr>
        <w:t>lity, with a</w:t>
      </w:r>
      <w:r w:rsidR="00AD5A4D">
        <w:rPr>
          <w:rFonts w:cs="Arial"/>
        </w:rPr>
        <w:t>n</w:t>
      </w:r>
      <w:r>
        <w:rPr>
          <w:rFonts w:cs="Arial"/>
        </w:rPr>
        <w:t xml:space="preserve"> 18% greater steady state clearance (</w:t>
      </w:r>
      <w:proofErr w:type="spellStart"/>
      <w:r>
        <w:rPr>
          <w:rFonts w:cs="Arial"/>
        </w:rPr>
        <w:t>CLss</w:t>
      </w:r>
      <w:proofErr w:type="spellEnd"/>
      <w:r>
        <w:rPr>
          <w:rFonts w:cs="Arial"/>
        </w:rPr>
        <w:t xml:space="preserve">) and </w:t>
      </w:r>
      <w:r w:rsidRPr="00F01FAA">
        <w:rPr>
          <w:rFonts w:cs="Arial"/>
        </w:rPr>
        <w:t>a 1</w:t>
      </w:r>
      <w:r>
        <w:rPr>
          <w:rFonts w:cs="Arial"/>
        </w:rPr>
        <w:t>9</w:t>
      </w:r>
      <w:r w:rsidRPr="00F01FAA">
        <w:rPr>
          <w:rFonts w:cs="Arial"/>
        </w:rPr>
        <w:t>% greater volu</w:t>
      </w:r>
      <w:r>
        <w:rPr>
          <w:rFonts w:cs="Arial"/>
        </w:rPr>
        <w:t xml:space="preserve">me of distribution (V) in males. However, </w:t>
      </w:r>
      <w:r w:rsidRPr="00F01FAA">
        <w:rPr>
          <w:rFonts w:cs="Arial"/>
        </w:rPr>
        <w:t>results from the populati</w:t>
      </w:r>
      <w:r>
        <w:rPr>
          <w:rFonts w:cs="Arial"/>
        </w:rPr>
        <w:t xml:space="preserve">on </w:t>
      </w:r>
      <w:r w:rsidRPr="00C2153F">
        <w:rPr>
          <w:rFonts w:cs="Arial"/>
        </w:rPr>
        <w:t>analyses have shown that the differences in exposure between genders are not clinically important</w:t>
      </w:r>
      <w:r>
        <w:rPr>
          <w:rFonts w:cs="Arial"/>
        </w:rPr>
        <w:t xml:space="preserve"> (with an estimated median AUC and </w:t>
      </w:r>
      <w:proofErr w:type="spellStart"/>
      <w:r w:rsidRPr="00F01FAA">
        <w:rPr>
          <w:rFonts w:cs="Arial"/>
        </w:rPr>
        <w:t>C</w:t>
      </w:r>
      <w:r w:rsidRPr="00F01FAA">
        <w:rPr>
          <w:rFonts w:cs="Arial"/>
          <w:vertAlign w:val="subscript"/>
        </w:rPr>
        <w:t>max</w:t>
      </w:r>
      <w:proofErr w:type="spellEnd"/>
      <w:r w:rsidRPr="00F01FAA">
        <w:rPr>
          <w:rFonts w:cs="Arial"/>
        </w:rPr>
        <w:t xml:space="preserve"> </w:t>
      </w:r>
      <w:r>
        <w:rPr>
          <w:rFonts w:cs="Arial"/>
        </w:rPr>
        <w:t xml:space="preserve">in CLL patients </w:t>
      </w:r>
      <w:r w:rsidRPr="00F01FAA">
        <w:rPr>
          <w:rFonts w:cs="Arial"/>
        </w:rPr>
        <w:t>of 11</w:t>
      </w:r>
      <w:r>
        <w:rPr>
          <w:rFonts w:cs="Arial"/>
        </w:rPr>
        <w:t>,282</w:t>
      </w:r>
      <w:r w:rsidRPr="00F01FAA">
        <w:rPr>
          <w:rFonts w:cs="Arial"/>
        </w:rPr>
        <w:t xml:space="preserve"> </w:t>
      </w:r>
      <w:proofErr w:type="spellStart"/>
      <w:r w:rsidRPr="00F01FAA">
        <w:rPr>
          <w:rFonts w:cs="Arial"/>
        </w:rPr>
        <w:t>μg</w:t>
      </w:r>
      <w:proofErr w:type="spellEnd"/>
      <w:r w:rsidRPr="00F01FAA">
        <w:rPr>
          <w:rFonts w:cs="Arial"/>
        </w:rPr>
        <w:t xml:space="preserve">*d/mL and </w:t>
      </w:r>
      <w:r>
        <w:rPr>
          <w:rFonts w:cs="Arial"/>
        </w:rPr>
        <w:t xml:space="preserve">578.9 </w:t>
      </w:r>
      <w:proofErr w:type="spellStart"/>
      <w:r>
        <w:rPr>
          <w:rFonts w:cs="Arial"/>
        </w:rPr>
        <w:t>μg</w:t>
      </w:r>
      <w:proofErr w:type="spellEnd"/>
      <w:r>
        <w:rPr>
          <w:rFonts w:cs="Arial"/>
        </w:rPr>
        <w:t xml:space="preserve">/mL in females and 8,451 </w:t>
      </w:r>
      <w:proofErr w:type="spellStart"/>
      <w:r>
        <w:rPr>
          <w:rFonts w:cs="Arial"/>
        </w:rPr>
        <w:t>μg</w:t>
      </w:r>
      <w:proofErr w:type="spellEnd"/>
      <w:r>
        <w:rPr>
          <w:rFonts w:cs="Arial"/>
        </w:rPr>
        <w:t>*d/mL and 432.5</w:t>
      </w:r>
      <w:r w:rsidRPr="00F01FAA">
        <w:rPr>
          <w:rFonts w:cs="Arial"/>
        </w:rPr>
        <w:t xml:space="preserve"> </w:t>
      </w:r>
      <w:proofErr w:type="spellStart"/>
      <w:r w:rsidRPr="00F01FAA">
        <w:rPr>
          <w:rFonts w:cs="Arial"/>
        </w:rPr>
        <w:t>μg</w:t>
      </w:r>
      <w:proofErr w:type="spellEnd"/>
      <w:r w:rsidRPr="00F01FAA">
        <w:rPr>
          <w:rFonts w:cs="Arial"/>
        </w:rPr>
        <w:t>/mL in males, respectively at Cycle 6</w:t>
      </w:r>
      <w:r>
        <w:rPr>
          <w:rFonts w:cs="Arial"/>
        </w:rPr>
        <w:t xml:space="preserve">, </w:t>
      </w:r>
      <w:r w:rsidRPr="001B7B07">
        <w:rPr>
          <w:rFonts w:cs="Arial"/>
        </w:rPr>
        <w:t xml:space="preserve">and AUC and </w:t>
      </w:r>
      <w:proofErr w:type="spellStart"/>
      <w:r w:rsidRPr="001B7B07">
        <w:rPr>
          <w:rFonts w:cs="Arial"/>
        </w:rPr>
        <w:t>C</w:t>
      </w:r>
      <w:r w:rsidRPr="001B7B07">
        <w:rPr>
          <w:rFonts w:cs="Arial"/>
          <w:vertAlign w:val="subscript"/>
        </w:rPr>
        <w:t>max</w:t>
      </w:r>
      <w:proofErr w:type="spellEnd"/>
      <w:r w:rsidRPr="001B7B07">
        <w:rPr>
          <w:rFonts w:cs="Arial"/>
        </w:rPr>
        <w:t xml:space="preserve"> in </w:t>
      </w:r>
      <w:proofErr w:type="spellStart"/>
      <w:r w:rsidRPr="001B7B07">
        <w:rPr>
          <w:rFonts w:cs="Arial"/>
        </w:rPr>
        <w:t>iNHL</w:t>
      </w:r>
      <w:proofErr w:type="spellEnd"/>
      <w:r w:rsidRPr="001B7B07">
        <w:rPr>
          <w:rFonts w:cs="Arial"/>
        </w:rPr>
        <w:t xml:space="preserve"> patients of 13</w:t>
      </w:r>
      <w:r>
        <w:rPr>
          <w:rFonts w:cs="Arial"/>
        </w:rPr>
        <w:t>,</w:t>
      </w:r>
      <w:r w:rsidRPr="001B7B07">
        <w:rPr>
          <w:rFonts w:cs="Arial"/>
        </w:rPr>
        <w:t>172 µg*d/mL and 635.7 µg/mL in females and 9</w:t>
      </w:r>
      <w:r>
        <w:rPr>
          <w:rFonts w:cs="Arial"/>
        </w:rPr>
        <w:t>,</w:t>
      </w:r>
      <w:r w:rsidRPr="001B7B07">
        <w:rPr>
          <w:rFonts w:cs="Arial"/>
        </w:rPr>
        <w:t>769 µg*d/mL and 481.3 µg/mL in males, respectively</w:t>
      </w:r>
      <w:r w:rsidRPr="00F01FAA">
        <w:rPr>
          <w:rFonts w:cs="Arial"/>
        </w:rPr>
        <w:t>), indi</w:t>
      </w:r>
      <w:r>
        <w:rPr>
          <w:rFonts w:cs="Arial"/>
        </w:rPr>
        <w:t xml:space="preserve">cating that there is no need to </w:t>
      </w:r>
      <w:r w:rsidRPr="00F01FAA">
        <w:rPr>
          <w:rFonts w:cs="Arial"/>
        </w:rPr>
        <w:t>dose adjust based on gender.</w:t>
      </w:r>
    </w:p>
    <w:p w14:paraId="00237EE5" w14:textId="77777777" w:rsidR="00C514E0" w:rsidRDefault="00C514E0" w:rsidP="00EB1206">
      <w:pPr>
        <w:pStyle w:val="Heading4"/>
      </w:pPr>
      <w:r w:rsidRPr="007122C2">
        <w:t>Elderly Patients</w:t>
      </w:r>
    </w:p>
    <w:p w14:paraId="6CC7C1AC" w14:textId="77777777" w:rsidR="00C514E0" w:rsidRDefault="00C514E0" w:rsidP="00EB1206">
      <w:pPr>
        <w:pStyle w:val="TextTi12"/>
        <w:spacing w:after="0" w:line="240" w:lineRule="auto"/>
        <w:jc w:val="left"/>
        <w:rPr>
          <w:rFonts w:cs="Arial"/>
          <w:b/>
          <w:i/>
        </w:rPr>
      </w:pPr>
      <w:r w:rsidRPr="004E11D7">
        <w:rPr>
          <w:rFonts w:cs="Arial"/>
        </w:rPr>
        <w:t>The population pharmacokinetic analysis</w:t>
      </w:r>
      <w:r>
        <w:rPr>
          <w:rFonts w:cs="Arial"/>
        </w:rPr>
        <w:t xml:space="preserve"> of </w:t>
      </w:r>
      <w:r w:rsidRPr="00B9782C">
        <w:rPr>
          <w:rFonts w:cs="Arial"/>
          <w:color w:val="000000"/>
          <w:lang w:eastAsia="ko-KR" w:bidi="he-IL"/>
        </w:rPr>
        <w:t>obinutuzumab</w:t>
      </w:r>
      <w:r>
        <w:rPr>
          <w:rFonts w:cs="Arial"/>
        </w:rPr>
        <w:t xml:space="preserve"> showed that age did </w:t>
      </w:r>
      <w:r w:rsidRPr="004E11D7">
        <w:rPr>
          <w:rFonts w:cs="Arial"/>
        </w:rPr>
        <w:t xml:space="preserve">not affect the pharmacokinetics of </w:t>
      </w:r>
      <w:r w:rsidRPr="00B9782C">
        <w:rPr>
          <w:rFonts w:cs="Arial"/>
          <w:color w:val="000000"/>
          <w:lang w:eastAsia="ko-KR" w:bidi="he-IL"/>
        </w:rPr>
        <w:t>obinutuzumab</w:t>
      </w:r>
      <w:r w:rsidRPr="004E11D7">
        <w:rPr>
          <w:rFonts w:cs="Arial"/>
        </w:rPr>
        <w:t>.</w:t>
      </w:r>
      <w:r>
        <w:rPr>
          <w:rFonts w:cs="Arial"/>
        </w:rPr>
        <w:t xml:space="preserve"> No significant difference was observed in </w:t>
      </w:r>
      <w:r w:rsidRPr="004E11D7">
        <w:rPr>
          <w:rFonts w:cs="Arial"/>
        </w:rPr>
        <w:t xml:space="preserve">the pharmacokinetics of </w:t>
      </w:r>
      <w:r w:rsidRPr="00B9782C">
        <w:rPr>
          <w:rFonts w:cs="Arial"/>
          <w:color w:val="000000"/>
          <w:lang w:eastAsia="ko-KR" w:bidi="he-IL"/>
        </w:rPr>
        <w:t>obinutuzumab</w:t>
      </w:r>
      <w:r>
        <w:rPr>
          <w:rFonts w:cs="Arial"/>
        </w:rPr>
        <w:t xml:space="preserve"> among patients &lt; 65 years (n=454), patients between 65-</w:t>
      </w:r>
      <w:r w:rsidRPr="004E11D7">
        <w:rPr>
          <w:rFonts w:cs="Arial"/>
        </w:rPr>
        <w:t>75 years (n=</w:t>
      </w:r>
      <w:r>
        <w:rPr>
          <w:rFonts w:cs="Arial"/>
        </w:rPr>
        <w:t>317</w:t>
      </w:r>
      <w:r w:rsidRPr="004E11D7">
        <w:rPr>
          <w:rFonts w:cs="Arial"/>
        </w:rPr>
        <w:t>)</w:t>
      </w:r>
      <w:r>
        <w:rPr>
          <w:rFonts w:cs="Arial"/>
        </w:rPr>
        <w:t xml:space="preserve"> and patients &gt; 75 years (n=190)</w:t>
      </w:r>
      <w:r w:rsidRPr="004E11D7">
        <w:rPr>
          <w:rFonts w:cs="Arial"/>
        </w:rPr>
        <w:t>.</w:t>
      </w:r>
      <w:r>
        <w:rPr>
          <w:rFonts w:cs="Arial"/>
          <w:b/>
          <w:i/>
        </w:rPr>
        <w:t xml:space="preserve"> </w:t>
      </w:r>
    </w:p>
    <w:p w14:paraId="465DE350" w14:textId="77777777" w:rsidR="00C514E0" w:rsidRDefault="00C514E0" w:rsidP="00EB1206">
      <w:pPr>
        <w:pStyle w:val="Heading4"/>
      </w:pPr>
      <w:r w:rsidRPr="007122C2">
        <w:t>Paediatric Patient</w:t>
      </w:r>
      <w:r>
        <w:t>s</w:t>
      </w:r>
    </w:p>
    <w:p w14:paraId="1AE657A5" w14:textId="77777777" w:rsidR="00C514E0" w:rsidRDefault="00C514E0" w:rsidP="00EB1206">
      <w:pPr>
        <w:pStyle w:val="TextTi12"/>
        <w:keepNext/>
        <w:spacing w:after="0" w:line="240" w:lineRule="auto"/>
        <w:jc w:val="left"/>
        <w:rPr>
          <w:rFonts w:cs="Arial"/>
          <w:color w:val="000000"/>
          <w:lang w:eastAsia="ko-KR" w:bidi="he-IL"/>
        </w:rPr>
      </w:pPr>
      <w:r w:rsidRPr="00AF6228">
        <w:rPr>
          <w:rFonts w:cs="Arial"/>
          <w:color w:val="000000"/>
          <w:lang w:eastAsia="ko-KR" w:bidi="he-IL"/>
        </w:rPr>
        <w:t>No studies have been conducted to investigate the pharmacokinetics of</w:t>
      </w:r>
      <w:r>
        <w:rPr>
          <w:rFonts w:cs="Arial"/>
          <w:color w:val="000000"/>
          <w:lang w:eastAsia="ko-KR" w:bidi="he-IL"/>
        </w:rPr>
        <w:t xml:space="preserve"> </w:t>
      </w:r>
      <w:r w:rsidRPr="00B9782C">
        <w:rPr>
          <w:rFonts w:cs="Arial"/>
          <w:color w:val="000000"/>
          <w:lang w:eastAsia="ko-KR" w:bidi="he-IL"/>
        </w:rPr>
        <w:t>obinutuzumab</w:t>
      </w:r>
      <w:r w:rsidRPr="00AF6228">
        <w:rPr>
          <w:rFonts w:cs="Arial"/>
          <w:color w:val="000000"/>
          <w:lang w:eastAsia="ko-KR" w:bidi="he-IL"/>
        </w:rPr>
        <w:t xml:space="preserve"> in children.</w:t>
      </w:r>
    </w:p>
    <w:p w14:paraId="11BD17C8" w14:textId="77777777" w:rsidR="00C514E0" w:rsidRDefault="00C514E0" w:rsidP="00EB1206">
      <w:pPr>
        <w:pStyle w:val="Heading4"/>
      </w:pPr>
      <w:r w:rsidRPr="007122C2">
        <w:t>Renal impairment</w:t>
      </w:r>
    </w:p>
    <w:p w14:paraId="1E460809" w14:textId="77777777" w:rsidR="00C514E0" w:rsidRDefault="00C514E0" w:rsidP="00EB1206">
      <w:pPr>
        <w:pStyle w:val="TextTi12"/>
        <w:spacing w:after="0" w:line="240" w:lineRule="auto"/>
        <w:jc w:val="left"/>
        <w:rPr>
          <w:rFonts w:cs="Arial"/>
        </w:rPr>
      </w:pPr>
      <w:r w:rsidRPr="0063106C">
        <w:rPr>
          <w:rFonts w:cs="Arial"/>
        </w:rPr>
        <w:t>The population pharmacokinetic anal</w:t>
      </w:r>
      <w:r>
        <w:rPr>
          <w:rFonts w:cs="Arial"/>
        </w:rPr>
        <w:t xml:space="preserve">ysis of </w:t>
      </w:r>
      <w:r w:rsidRPr="00B9782C">
        <w:rPr>
          <w:rFonts w:cs="Arial"/>
          <w:color w:val="000000"/>
          <w:lang w:eastAsia="ko-KR" w:bidi="he-IL"/>
        </w:rPr>
        <w:t>obinutuzumab</w:t>
      </w:r>
      <w:r>
        <w:rPr>
          <w:rFonts w:cs="Arial"/>
        </w:rPr>
        <w:t xml:space="preserve"> showed that creatinine </w:t>
      </w:r>
      <w:r w:rsidRPr="0063106C">
        <w:rPr>
          <w:rFonts w:cs="Arial"/>
        </w:rPr>
        <w:t xml:space="preserve">clearance does not affect </w:t>
      </w:r>
      <w:r>
        <w:rPr>
          <w:rFonts w:cs="Arial"/>
        </w:rPr>
        <w:t>the pharmacokinetics</w:t>
      </w:r>
      <w:r w:rsidRPr="0063106C">
        <w:rPr>
          <w:rFonts w:cs="Arial"/>
        </w:rPr>
        <w:t xml:space="preserve"> of </w:t>
      </w:r>
      <w:r w:rsidRPr="00B9782C">
        <w:rPr>
          <w:rFonts w:cs="Arial"/>
          <w:color w:val="000000"/>
          <w:lang w:eastAsia="ko-KR" w:bidi="he-IL"/>
        </w:rPr>
        <w:t>obinutuzumab</w:t>
      </w:r>
      <w:r>
        <w:rPr>
          <w:rFonts w:cs="Arial"/>
        </w:rPr>
        <w:t xml:space="preserve">. Pharmacokinetics of </w:t>
      </w:r>
      <w:r w:rsidRPr="00B9782C">
        <w:rPr>
          <w:rFonts w:cs="Arial"/>
          <w:color w:val="000000"/>
          <w:lang w:eastAsia="ko-KR" w:bidi="he-IL"/>
        </w:rPr>
        <w:t>obinutuzumab</w:t>
      </w:r>
      <w:r w:rsidRPr="0063106C">
        <w:rPr>
          <w:rFonts w:cs="Arial"/>
        </w:rPr>
        <w:t xml:space="preserve"> in patients with mild creatinin</w:t>
      </w:r>
      <w:r>
        <w:rPr>
          <w:rFonts w:cs="Arial"/>
        </w:rPr>
        <w:t>e clearance (</w:t>
      </w:r>
      <w:proofErr w:type="spellStart"/>
      <w:r>
        <w:rPr>
          <w:rFonts w:cs="Arial"/>
        </w:rPr>
        <w:t>CrCl</w:t>
      </w:r>
      <w:proofErr w:type="spellEnd"/>
      <w:r>
        <w:rPr>
          <w:rFonts w:cs="Arial"/>
        </w:rPr>
        <w:t xml:space="preserve"> 50 to 89 mL/min, n=464) or </w:t>
      </w:r>
      <w:r w:rsidRPr="0063106C">
        <w:rPr>
          <w:rFonts w:cs="Arial"/>
        </w:rPr>
        <w:t>moderate (</w:t>
      </w:r>
      <w:proofErr w:type="spellStart"/>
      <w:r w:rsidRPr="0063106C">
        <w:rPr>
          <w:rFonts w:cs="Arial"/>
        </w:rPr>
        <w:t>CrCl</w:t>
      </w:r>
      <w:proofErr w:type="spellEnd"/>
      <w:r w:rsidRPr="0063106C">
        <w:rPr>
          <w:rFonts w:cs="Arial"/>
        </w:rPr>
        <w:t xml:space="preserve"> 30 to 49 mL/min, n=</w:t>
      </w:r>
      <w:r>
        <w:rPr>
          <w:rFonts w:cs="Arial"/>
        </w:rPr>
        <w:t xml:space="preserve">106) renal impairment were </w:t>
      </w:r>
      <w:proofErr w:type="gramStart"/>
      <w:r>
        <w:rPr>
          <w:rFonts w:cs="Arial"/>
        </w:rPr>
        <w:t>similar to</w:t>
      </w:r>
      <w:proofErr w:type="gramEnd"/>
      <w:r>
        <w:rPr>
          <w:rFonts w:cs="Arial"/>
        </w:rPr>
        <w:t xml:space="preserve"> those in patients </w:t>
      </w:r>
      <w:r w:rsidRPr="0063106C">
        <w:rPr>
          <w:rFonts w:cs="Arial"/>
        </w:rPr>
        <w:t>with normal renal fun</w:t>
      </w:r>
      <w:r>
        <w:rPr>
          <w:rFonts w:cs="Arial"/>
        </w:rPr>
        <w:t>ction (</w:t>
      </w:r>
      <w:proofErr w:type="spellStart"/>
      <w:r>
        <w:rPr>
          <w:rFonts w:cs="Arial"/>
        </w:rPr>
        <w:t>CrCl</w:t>
      </w:r>
      <w:proofErr w:type="spellEnd"/>
      <w:r>
        <w:rPr>
          <w:rFonts w:cs="Arial"/>
        </w:rPr>
        <w:t xml:space="preserve"> ≥ 90 mL/min, n=383). PK data in patients with severe renal impairment </w:t>
      </w:r>
      <w:r w:rsidRPr="0063106C">
        <w:rPr>
          <w:rFonts w:cs="Arial"/>
        </w:rPr>
        <w:t>(</w:t>
      </w:r>
      <w:proofErr w:type="spellStart"/>
      <w:r w:rsidRPr="0063106C">
        <w:rPr>
          <w:rFonts w:cs="Arial"/>
        </w:rPr>
        <w:t>CrCl</w:t>
      </w:r>
      <w:proofErr w:type="spellEnd"/>
      <w:r w:rsidRPr="0063106C">
        <w:rPr>
          <w:rFonts w:cs="Arial"/>
        </w:rPr>
        <w:t xml:space="preserve"> 15-29 mL/min) is limited (n=</w:t>
      </w:r>
      <w:r>
        <w:rPr>
          <w:rFonts w:cs="Arial"/>
        </w:rPr>
        <w:t>8</w:t>
      </w:r>
      <w:r w:rsidRPr="0063106C">
        <w:rPr>
          <w:rFonts w:cs="Arial"/>
        </w:rPr>
        <w:t>), ther</w:t>
      </w:r>
      <w:r>
        <w:rPr>
          <w:rFonts w:cs="Arial"/>
        </w:rPr>
        <w:t xml:space="preserve">efore no dosage </w:t>
      </w:r>
      <w:r w:rsidRPr="0063106C">
        <w:rPr>
          <w:rFonts w:cs="Arial"/>
        </w:rPr>
        <w:t>recommendations can</w:t>
      </w:r>
      <w:r>
        <w:rPr>
          <w:rFonts w:cs="Arial"/>
        </w:rPr>
        <w:t xml:space="preserve"> </w:t>
      </w:r>
      <w:r w:rsidRPr="0063106C">
        <w:rPr>
          <w:rFonts w:cs="Arial"/>
        </w:rPr>
        <w:t>be made.</w:t>
      </w:r>
    </w:p>
    <w:p w14:paraId="7FAEF378" w14:textId="77777777" w:rsidR="00C514E0" w:rsidRDefault="00C514E0" w:rsidP="00EB1206">
      <w:pPr>
        <w:pStyle w:val="Heading4"/>
      </w:pPr>
      <w:r w:rsidRPr="007122C2">
        <w:t>Hepatic impairment</w:t>
      </w:r>
    </w:p>
    <w:p w14:paraId="75BF3741" w14:textId="77777777" w:rsidR="00C514E0" w:rsidRPr="0063106C" w:rsidRDefault="00C514E0" w:rsidP="00EB1206">
      <w:pPr>
        <w:pStyle w:val="TextTi12"/>
        <w:spacing w:after="120"/>
        <w:jc w:val="left"/>
        <w:rPr>
          <w:rFonts w:cs="Arial"/>
          <w:color w:val="000000"/>
          <w:lang w:eastAsia="ko-KR" w:bidi="he-IL"/>
        </w:rPr>
      </w:pPr>
      <w:r>
        <w:rPr>
          <w:rFonts w:cs="Arial"/>
        </w:rPr>
        <w:t xml:space="preserve">No formal PK study has been </w:t>
      </w:r>
      <w:proofErr w:type="gramStart"/>
      <w:r>
        <w:rPr>
          <w:rFonts w:cs="Arial"/>
        </w:rPr>
        <w:t>conducted</w:t>
      </w:r>
      <w:proofErr w:type="gramEnd"/>
      <w:r>
        <w:rPr>
          <w:rFonts w:cs="Arial"/>
        </w:rPr>
        <w:t xml:space="preserve"> and no population PK data was collected in patients with hepatic impairment.</w:t>
      </w:r>
      <w:r>
        <w:rPr>
          <w:rFonts w:cs="Arial"/>
          <w:i/>
          <w:color w:val="000000"/>
          <w:lang w:eastAsia="ko-KR" w:bidi="he-IL"/>
        </w:rPr>
        <w:t xml:space="preserve"> </w:t>
      </w:r>
    </w:p>
    <w:p w14:paraId="43B7B1C6" w14:textId="62A7A51C" w:rsidR="00D52399" w:rsidRDefault="00902EBE" w:rsidP="00EB1206">
      <w:pPr>
        <w:pStyle w:val="Heading2"/>
      </w:pPr>
      <w:r>
        <w:t>5.3</w:t>
      </w:r>
      <w:r>
        <w:tab/>
        <w:t>PRECLINICAL SAFETY DATA</w:t>
      </w:r>
    </w:p>
    <w:p w14:paraId="792BC7D3" w14:textId="77777777" w:rsidR="008861D1" w:rsidRDefault="00363C7F" w:rsidP="00EB1206">
      <w:pPr>
        <w:pStyle w:val="Heading3"/>
      </w:pPr>
      <w:r>
        <w:t>Genotoxi</w:t>
      </w:r>
      <w:r w:rsidR="00E773BE">
        <w:t>ci</w:t>
      </w:r>
      <w:r>
        <w:t>ty</w:t>
      </w:r>
    </w:p>
    <w:p w14:paraId="1F9DF41F" w14:textId="77777777" w:rsidR="008861D1" w:rsidRDefault="008861D1" w:rsidP="00EB1206">
      <w:pPr>
        <w:spacing w:after="120"/>
      </w:pPr>
      <w:r>
        <w:t xml:space="preserve">No studies have been performed to establish the mutagenic potential of </w:t>
      </w:r>
      <w:r>
        <w:rPr>
          <w:lang w:val="en-US"/>
        </w:rPr>
        <w:t>Gazyva</w:t>
      </w:r>
      <w:r w:rsidRPr="00F951E5">
        <w:t>.</w:t>
      </w:r>
    </w:p>
    <w:p w14:paraId="09AB1684" w14:textId="1175D011" w:rsidR="008861D1" w:rsidRDefault="00363C7F" w:rsidP="00EB1206">
      <w:pPr>
        <w:pStyle w:val="Heading3"/>
      </w:pPr>
      <w:r>
        <w:t>Carc</w:t>
      </w:r>
      <w:r w:rsidR="00E773BE">
        <w:t>i</w:t>
      </w:r>
      <w:r>
        <w:t>nogenicity</w:t>
      </w:r>
    </w:p>
    <w:p w14:paraId="038B83D9" w14:textId="77777777" w:rsidR="008861D1" w:rsidRPr="00F951E5" w:rsidRDefault="008861D1" w:rsidP="00EB1206">
      <w:pPr>
        <w:spacing w:after="120"/>
      </w:pPr>
      <w:r w:rsidRPr="00F951E5">
        <w:t>No carcinogenicity studies have been performed to establish the carci</w:t>
      </w:r>
      <w:r>
        <w:t xml:space="preserve">nogenic </w:t>
      </w:r>
      <w:r w:rsidRPr="00F951E5">
        <w:t xml:space="preserve">potential of </w:t>
      </w:r>
      <w:r>
        <w:rPr>
          <w:lang w:val="en-US"/>
        </w:rPr>
        <w:t>Gazyva</w:t>
      </w:r>
      <w:r w:rsidRPr="00F951E5">
        <w:t>.</w:t>
      </w:r>
    </w:p>
    <w:p w14:paraId="1A4DD0A9" w14:textId="77777777" w:rsidR="00D52399" w:rsidRDefault="00615052" w:rsidP="00EB1206">
      <w:pPr>
        <w:pStyle w:val="Heading1"/>
        <w:numPr>
          <w:ilvl w:val="0"/>
          <w:numId w:val="2"/>
        </w:numPr>
        <w:spacing w:before="0"/>
      </w:pPr>
      <w:r>
        <w:t>PHARMACEUTICAL PARTICULARS</w:t>
      </w:r>
    </w:p>
    <w:p w14:paraId="364A990B" w14:textId="77777777" w:rsidR="00D52399" w:rsidRDefault="00CC6729" w:rsidP="00EB1206">
      <w:pPr>
        <w:pStyle w:val="Heading2"/>
      </w:pPr>
      <w:r>
        <w:t>6.1</w:t>
      </w:r>
      <w:r>
        <w:tab/>
        <w:t>LIST OF EXCIPIENTS</w:t>
      </w:r>
    </w:p>
    <w:p w14:paraId="66DE16EE" w14:textId="77777777" w:rsidR="00013293" w:rsidRDefault="00013293" w:rsidP="00EB1206">
      <w:r>
        <w:lastRenderedPageBreak/>
        <w:t>Histidine</w:t>
      </w:r>
    </w:p>
    <w:p w14:paraId="7122A3CA" w14:textId="77777777" w:rsidR="00013293" w:rsidRDefault="00013293" w:rsidP="00EB1206">
      <w:r>
        <w:t>Histidine hydrochloride monohydrate</w:t>
      </w:r>
    </w:p>
    <w:p w14:paraId="58F27BD6" w14:textId="53D8D5A9" w:rsidR="00013293" w:rsidRDefault="00013293" w:rsidP="00EB1206">
      <w:r>
        <w:t xml:space="preserve">Trehalose </w:t>
      </w:r>
      <w:r w:rsidR="003C3AA7">
        <w:t>dihydrate</w:t>
      </w:r>
    </w:p>
    <w:p w14:paraId="69859988" w14:textId="77777777" w:rsidR="00D52399" w:rsidRDefault="00013293" w:rsidP="00EB1206">
      <w:r>
        <w:t>Poloxamer 188</w:t>
      </w:r>
    </w:p>
    <w:p w14:paraId="455FD99C" w14:textId="77777777" w:rsidR="00D52399" w:rsidRDefault="00902EBE" w:rsidP="00EB1206">
      <w:pPr>
        <w:pStyle w:val="Heading2"/>
      </w:pPr>
      <w:r>
        <w:t>6.2</w:t>
      </w:r>
      <w:r>
        <w:tab/>
        <w:t>INCOMPATIBILITIES</w:t>
      </w:r>
    </w:p>
    <w:p w14:paraId="092C2266" w14:textId="77777777" w:rsidR="00C514E0" w:rsidRDefault="00C514E0" w:rsidP="00EB1206">
      <w:pPr>
        <w:pStyle w:val="TextTi12"/>
        <w:spacing w:after="0" w:line="240" w:lineRule="auto"/>
        <w:jc w:val="left"/>
        <w:rPr>
          <w:rFonts w:cs="Arial"/>
          <w:color w:val="000000"/>
          <w:lang w:eastAsia="ko-KR" w:bidi="he-IL"/>
        </w:rPr>
      </w:pPr>
      <w:r w:rsidRPr="00507D16">
        <w:rPr>
          <w:rFonts w:cs="Arial"/>
          <w:color w:val="000000"/>
          <w:lang w:eastAsia="ko-KR" w:bidi="he-IL"/>
        </w:rPr>
        <w:t xml:space="preserve">No incompatibilities between </w:t>
      </w:r>
      <w:r>
        <w:t>Gazyva</w:t>
      </w:r>
      <w:r w:rsidRPr="00507D16">
        <w:rPr>
          <w:rFonts w:cs="Arial"/>
          <w:color w:val="000000"/>
          <w:lang w:eastAsia="ko-KR" w:bidi="he-IL"/>
        </w:rPr>
        <w:t xml:space="preserve"> and pol</w:t>
      </w:r>
      <w:r>
        <w:rPr>
          <w:rFonts w:cs="Arial"/>
          <w:color w:val="000000"/>
          <w:lang w:eastAsia="ko-KR" w:bidi="he-IL"/>
        </w:rPr>
        <w:t xml:space="preserve">yvinyl chloride, polyethylene, </w:t>
      </w:r>
      <w:r w:rsidRPr="00507D16">
        <w:rPr>
          <w:rFonts w:cs="Arial"/>
          <w:color w:val="000000"/>
          <w:lang w:eastAsia="ko-KR" w:bidi="he-IL"/>
        </w:rPr>
        <w:t>polypropylene</w:t>
      </w:r>
      <w:r>
        <w:rPr>
          <w:rFonts w:cs="Arial"/>
          <w:color w:val="000000"/>
          <w:lang w:eastAsia="ko-KR" w:bidi="he-IL"/>
        </w:rPr>
        <w:t xml:space="preserve"> or </w:t>
      </w:r>
      <w:proofErr w:type="spellStart"/>
      <w:r w:rsidRPr="00507D16">
        <w:rPr>
          <w:rFonts w:cs="Arial"/>
          <w:color w:val="000000"/>
          <w:lang w:eastAsia="ko-KR" w:bidi="he-IL"/>
        </w:rPr>
        <w:t>polyolefine</w:t>
      </w:r>
      <w:proofErr w:type="spellEnd"/>
      <w:r w:rsidRPr="00507D16">
        <w:rPr>
          <w:rFonts w:cs="Arial"/>
          <w:color w:val="000000"/>
          <w:lang w:eastAsia="ko-KR" w:bidi="he-IL"/>
        </w:rPr>
        <w:t xml:space="preserve"> bags</w:t>
      </w:r>
      <w:r>
        <w:rPr>
          <w:rFonts w:cs="Arial"/>
          <w:color w:val="000000"/>
          <w:lang w:eastAsia="ko-KR" w:bidi="he-IL"/>
        </w:rPr>
        <w:t xml:space="preserve">, </w:t>
      </w:r>
      <w:r w:rsidRPr="00507D16">
        <w:rPr>
          <w:rFonts w:cs="Arial"/>
          <w:color w:val="000000"/>
          <w:lang w:eastAsia="ko-KR" w:bidi="he-IL"/>
        </w:rPr>
        <w:t>polyvinyl</w:t>
      </w:r>
      <w:r>
        <w:rPr>
          <w:rFonts w:cs="Arial"/>
          <w:color w:val="000000"/>
          <w:lang w:eastAsia="ko-KR" w:bidi="he-IL"/>
        </w:rPr>
        <w:t xml:space="preserve"> chloride, polyurethane, or polyethylene</w:t>
      </w:r>
      <w:r w:rsidRPr="00507D16">
        <w:rPr>
          <w:rFonts w:cs="Arial"/>
          <w:color w:val="000000"/>
          <w:lang w:eastAsia="ko-KR" w:bidi="he-IL"/>
        </w:rPr>
        <w:t xml:space="preserve"> infusion sets</w:t>
      </w:r>
      <w:r>
        <w:rPr>
          <w:rFonts w:cs="Arial"/>
          <w:color w:val="000000"/>
          <w:lang w:eastAsia="ko-KR" w:bidi="he-IL"/>
        </w:rPr>
        <w:t>,</w:t>
      </w:r>
      <w:r w:rsidRPr="00507D16">
        <w:rPr>
          <w:rFonts w:cs="Arial"/>
          <w:color w:val="000000"/>
          <w:lang w:eastAsia="ko-KR" w:bidi="he-IL"/>
        </w:rPr>
        <w:t xml:space="preserve"> as well </w:t>
      </w:r>
      <w:r>
        <w:rPr>
          <w:rFonts w:cs="Arial"/>
          <w:color w:val="000000"/>
          <w:lang w:eastAsia="ko-KR" w:bidi="he-IL"/>
        </w:rPr>
        <w:t xml:space="preserve">as optional inline filters with </w:t>
      </w:r>
      <w:r w:rsidRPr="00507D16">
        <w:rPr>
          <w:rFonts w:cs="Arial"/>
          <w:color w:val="000000"/>
          <w:lang w:eastAsia="ko-KR" w:bidi="he-IL"/>
        </w:rPr>
        <w:t>product contact</w:t>
      </w:r>
      <w:r>
        <w:rPr>
          <w:rFonts w:cs="Arial"/>
          <w:color w:val="000000"/>
          <w:lang w:eastAsia="ko-KR" w:bidi="he-IL"/>
        </w:rPr>
        <w:t xml:space="preserve"> surfaces of </w:t>
      </w:r>
      <w:proofErr w:type="spellStart"/>
      <w:r>
        <w:rPr>
          <w:rFonts w:cs="Arial"/>
          <w:color w:val="000000"/>
          <w:lang w:eastAsia="ko-KR" w:bidi="he-IL"/>
        </w:rPr>
        <w:t>polyethersulfon</w:t>
      </w:r>
      <w:proofErr w:type="spellEnd"/>
      <w:r>
        <w:rPr>
          <w:rFonts w:cs="Arial"/>
          <w:color w:val="000000"/>
          <w:lang w:eastAsia="ko-KR" w:bidi="he-IL"/>
        </w:rPr>
        <w:t xml:space="preserve">, a 3-way stopcock infusion aid </w:t>
      </w:r>
      <w:r w:rsidRPr="00507D16">
        <w:rPr>
          <w:rFonts w:cs="Arial"/>
          <w:color w:val="000000"/>
          <w:lang w:eastAsia="ko-KR" w:bidi="he-IL"/>
        </w:rPr>
        <w:t>ma</w:t>
      </w:r>
      <w:r>
        <w:rPr>
          <w:rFonts w:cs="Arial"/>
          <w:color w:val="000000"/>
          <w:lang w:eastAsia="ko-KR" w:bidi="he-IL"/>
        </w:rPr>
        <w:t xml:space="preserve">de from polycarbonate, and </w:t>
      </w:r>
      <w:r w:rsidRPr="00507D16">
        <w:rPr>
          <w:rFonts w:cs="Arial"/>
          <w:color w:val="000000"/>
          <w:lang w:eastAsia="ko-KR" w:bidi="he-IL"/>
        </w:rPr>
        <w:t>cathet</w:t>
      </w:r>
      <w:r>
        <w:rPr>
          <w:rFonts w:cs="Arial"/>
          <w:color w:val="000000"/>
          <w:lang w:eastAsia="ko-KR" w:bidi="he-IL"/>
        </w:rPr>
        <w:t xml:space="preserve">ers made from </w:t>
      </w:r>
      <w:proofErr w:type="spellStart"/>
      <w:r>
        <w:rPr>
          <w:rFonts w:cs="Arial"/>
          <w:color w:val="000000"/>
          <w:lang w:eastAsia="ko-KR" w:bidi="he-IL"/>
        </w:rPr>
        <w:t>polyetherurethane</w:t>
      </w:r>
      <w:proofErr w:type="spellEnd"/>
      <w:r w:rsidRPr="00507D16">
        <w:rPr>
          <w:rFonts w:cs="Arial"/>
          <w:color w:val="000000"/>
          <w:lang w:eastAsia="ko-KR" w:bidi="he-IL"/>
        </w:rPr>
        <w:t xml:space="preserve"> have been o</w:t>
      </w:r>
      <w:r>
        <w:rPr>
          <w:rFonts w:cs="Arial"/>
          <w:color w:val="000000"/>
          <w:lang w:eastAsia="ko-KR" w:bidi="he-IL"/>
        </w:rPr>
        <w:t xml:space="preserve">bserved in concentration ranges from 0.4 mg/mL to </w:t>
      </w:r>
      <w:r w:rsidRPr="00507D16">
        <w:rPr>
          <w:rFonts w:cs="Arial"/>
          <w:color w:val="000000"/>
          <w:lang w:eastAsia="ko-KR" w:bidi="he-IL"/>
        </w:rPr>
        <w:t xml:space="preserve">20.0 mg/mL after dilution of </w:t>
      </w:r>
      <w:r>
        <w:t>Gazyva</w:t>
      </w:r>
      <w:r w:rsidRPr="00507D16">
        <w:rPr>
          <w:rFonts w:cs="Arial"/>
          <w:color w:val="000000"/>
          <w:lang w:eastAsia="ko-KR" w:bidi="he-IL"/>
        </w:rPr>
        <w:t xml:space="preserve"> with 0.9% </w:t>
      </w:r>
      <w:r>
        <w:rPr>
          <w:rFonts w:cs="Arial"/>
          <w:color w:val="000000"/>
          <w:lang w:eastAsia="ko-KR" w:bidi="he-IL"/>
        </w:rPr>
        <w:t xml:space="preserve">sodium chloride. </w:t>
      </w:r>
    </w:p>
    <w:p w14:paraId="7D3045AB" w14:textId="77777777" w:rsidR="00C514E0" w:rsidRDefault="00C514E0" w:rsidP="00EB1206">
      <w:pPr>
        <w:pStyle w:val="TextTi12"/>
        <w:spacing w:after="0" w:line="240" w:lineRule="auto"/>
        <w:jc w:val="left"/>
        <w:rPr>
          <w:rFonts w:cs="Arial"/>
          <w:color w:val="000000"/>
          <w:lang w:eastAsia="ko-KR" w:bidi="he-IL"/>
        </w:rPr>
      </w:pPr>
    </w:p>
    <w:p w14:paraId="3FEDAE2D" w14:textId="77777777" w:rsidR="00C514E0" w:rsidRPr="00507D16" w:rsidRDefault="00C514E0" w:rsidP="00EB1206">
      <w:pPr>
        <w:pStyle w:val="TextTi12"/>
        <w:spacing w:after="0" w:line="240" w:lineRule="auto"/>
        <w:jc w:val="left"/>
        <w:rPr>
          <w:rFonts w:cs="Arial"/>
          <w:color w:val="000000"/>
          <w:lang w:eastAsia="ko-KR" w:bidi="he-IL"/>
        </w:rPr>
      </w:pPr>
      <w:r>
        <w:rPr>
          <w:rFonts w:cs="Arial"/>
          <w:color w:val="000000"/>
          <w:lang w:eastAsia="ko-KR" w:bidi="he-IL"/>
        </w:rPr>
        <w:t xml:space="preserve">Diluted </w:t>
      </w:r>
      <w:r w:rsidRPr="00507D16">
        <w:rPr>
          <w:rFonts w:cs="Arial"/>
          <w:color w:val="000000"/>
          <w:lang w:eastAsia="ko-KR" w:bidi="he-IL"/>
        </w:rPr>
        <w:t xml:space="preserve">product </w:t>
      </w:r>
      <w:r>
        <w:rPr>
          <w:rFonts w:cs="Arial"/>
          <w:color w:val="000000"/>
          <w:lang w:eastAsia="ko-KR" w:bidi="he-IL"/>
        </w:rPr>
        <w:t xml:space="preserve">should not be shaken or frozen. Do not use other diluents such as dextrose (5%) </w:t>
      </w:r>
      <w:r w:rsidRPr="00507D16">
        <w:rPr>
          <w:rFonts w:cs="Arial"/>
          <w:color w:val="000000"/>
          <w:lang w:eastAsia="ko-KR" w:bidi="he-IL"/>
        </w:rPr>
        <w:t>soluti</w:t>
      </w:r>
      <w:r>
        <w:rPr>
          <w:rFonts w:cs="Arial"/>
          <w:color w:val="000000"/>
          <w:lang w:eastAsia="ko-KR" w:bidi="he-IL"/>
        </w:rPr>
        <w:t xml:space="preserve">on to dilute </w:t>
      </w:r>
      <w:r>
        <w:t>Gazyva</w:t>
      </w:r>
      <w:r w:rsidRPr="00507D16">
        <w:rPr>
          <w:rFonts w:cs="Arial"/>
          <w:color w:val="000000"/>
          <w:lang w:eastAsia="ko-KR" w:bidi="he-IL"/>
        </w:rPr>
        <w:t xml:space="preserve"> since </w:t>
      </w:r>
      <w:r>
        <w:rPr>
          <w:rFonts w:cs="Arial"/>
          <w:color w:val="000000"/>
          <w:lang w:eastAsia="ko-KR" w:bidi="he-IL"/>
        </w:rPr>
        <w:t xml:space="preserve">their </w:t>
      </w:r>
      <w:r w:rsidRPr="00507D16">
        <w:rPr>
          <w:rFonts w:cs="Arial"/>
          <w:color w:val="000000"/>
          <w:lang w:eastAsia="ko-KR" w:bidi="he-IL"/>
        </w:rPr>
        <w:t>use has not been tested.</w:t>
      </w:r>
    </w:p>
    <w:p w14:paraId="1C3FD455" w14:textId="77777777" w:rsidR="00D52399" w:rsidRDefault="00902EBE" w:rsidP="00EB1206">
      <w:pPr>
        <w:pStyle w:val="Heading2"/>
      </w:pPr>
      <w:r>
        <w:t>6.3</w:t>
      </w:r>
      <w:r>
        <w:tab/>
        <w:t>SHELF LIFE</w:t>
      </w:r>
    </w:p>
    <w:p w14:paraId="57C18E81" w14:textId="77777777" w:rsidR="008903F2" w:rsidRPr="007B2F97" w:rsidRDefault="008903F2" w:rsidP="00EB1206">
      <w:pPr>
        <w:spacing w:after="240"/>
        <w:rPr>
          <w:color w:val="auto"/>
        </w:rPr>
      </w:pPr>
      <w:r w:rsidRPr="007B2F97">
        <w:rPr>
          <w:color w:val="auto"/>
        </w:rPr>
        <w:t>In Australia, information on the shelf life can be found on the public summary of the Australian Register of Therapeutic Goods (ARTG). The expiry date can be found on the packaging.</w:t>
      </w:r>
    </w:p>
    <w:p w14:paraId="3784CB99" w14:textId="77777777" w:rsidR="007B2F97" w:rsidRDefault="007B2F97" w:rsidP="00EB1206">
      <w:r>
        <w:rPr>
          <w:lang w:val="en-US"/>
        </w:rPr>
        <w:t>Gazyva</w:t>
      </w:r>
      <w:r>
        <w:t xml:space="preserve"> does not contain any anti-microbial preservative; therefore, care must be taken to ensure the sterility of the prepared solution. Product is for single use in one patient only. Discard any residue.</w:t>
      </w:r>
    </w:p>
    <w:p w14:paraId="7C837329" w14:textId="77777777" w:rsidR="007B2F97" w:rsidRDefault="007B2F97" w:rsidP="00EB1206">
      <w:pPr>
        <w:pStyle w:val="Heading3"/>
      </w:pPr>
      <w:r>
        <w:t>Diluted solution</w:t>
      </w:r>
    </w:p>
    <w:p w14:paraId="5A719161" w14:textId="7E89DE45" w:rsidR="00B85F84" w:rsidRDefault="007B2F97" w:rsidP="00EB1206">
      <w:r>
        <w:t xml:space="preserve">Physical and chemical stability of the prepared infusion solution of </w:t>
      </w:r>
      <w:r>
        <w:rPr>
          <w:lang w:val="en-US"/>
        </w:rPr>
        <w:t>Gazyva</w:t>
      </w:r>
      <w:r>
        <w:t xml:space="preserve"> has been demonstrated for 24 hours at 2°C - 8°C followed by 24 hours at ambient temperature (≤ 30°C) followed by an infusion taking no longer than 24 hours. To reduce microbiological hazard, the prepared infusion solution should be used immediately. If storage is necessary, hold at 2°C - 8°C for not more than 24 hours.</w:t>
      </w:r>
    </w:p>
    <w:p w14:paraId="653A85D8" w14:textId="77777777" w:rsidR="00D52399" w:rsidRPr="00902EBE" w:rsidRDefault="00902EBE" w:rsidP="00EB1206">
      <w:pPr>
        <w:pStyle w:val="Heading2"/>
      </w:pPr>
      <w:r w:rsidRPr="00902EBE">
        <w:t>6.4</w:t>
      </w:r>
      <w:r w:rsidRPr="00902EBE">
        <w:tab/>
        <w:t>SPECIAL PRECAUTIONS FOR STORAGE</w:t>
      </w:r>
    </w:p>
    <w:p w14:paraId="112D9779" w14:textId="77777777" w:rsidR="00C514E0" w:rsidRDefault="00C514E0" w:rsidP="00EB1206">
      <w:pPr>
        <w:spacing w:after="240"/>
      </w:pPr>
      <w:r>
        <w:t>Store vial in a refrigerator at 2</w:t>
      </w:r>
      <w:r>
        <w:rPr>
          <w:rFonts w:ascii="Brush Script MT" w:hAnsi="Brush Script MT"/>
        </w:rPr>
        <w:t>°</w:t>
      </w:r>
      <w:r>
        <w:t>C - 8</w:t>
      </w:r>
      <w:r>
        <w:rPr>
          <w:rFonts w:ascii="Brush Script MT" w:hAnsi="Brush Script MT"/>
        </w:rPr>
        <w:t>°</w:t>
      </w:r>
      <w:r>
        <w:t xml:space="preserve">C. Keep vial in the outer carton </w:t>
      </w:r>
      <w:proofErr w:type="gramStart"/>
      <w:r>
        <w:t>in order to</w:t>
      </w:r>
      <w:proofErr w:type="gramEnd"/>
      <w:r>
        <w:t xml:space="preserve"> protect from light. Do not freeze. Do not shake. Do not use after the expiry date (EXP) shown on the pack.</w:t>
      </w:r>
    </w:p>
    <w:p w14:paraId="1D18B4EE" w14:textId="3C697EE7" w:rsidR="00D52399" w:rsidRDefault="00615052" w:rsidP="00EB1206">
      <w:r>
        <w:t>For storage conditions after dilution</w:t>
      </w:r>
      <w:r w:rsidR="00C514E0">
        <w:t xml:space="preserve"> </w:t>
      </w:r>
      <w:r>
        <w:t>of the medicine, see section 6.3</w:t>
      </w:r>
      <w:r w:rsidR="00770C11">
        <w:t xml:space="preserve"> Shelf Life</w:t>
      </w:r>
      <w:r w:rsidR="00C514E0">
        <w:t>.</w:t>
      </w:r>
    </w:p>
    <w:p w14:paraId="57E1DC3C" w14:textId="77777777" w:rsidR="00D52399" w:rsidRDefault="00902EBE" w:rsidP="00EB1206">
      <w:pPr>
        <w:pStyle w:val="Heading2"/>
      </w:pPr>
      <w:r>
        <w:t>6.5</w:t>
      </w:r>
      <w:r>
        <w:tab/>
        <w:t>NATURE AND CONTENTS OF CONTAINER</w:t>
      </w:r>
    </w:p>
    <w:p w14:paraId="0ECAD878" w14:textId="77777777" w:rsidR="00C514E0" w:rsidRPr="00C514E0" w:rsidRDefault="00D41F48" w:rsidP="00EB1206">
      <w:r>
        <w:t xml:space="preserve">Gazyva </w:t>
      </w:r>
      <w:r w:rsidRPr="00A82B12">
        <w:t>40 mL concentrate solution for infusion</w:t>
      </w:r>
      <w:r>
        <w:t xml:space="preserve"> (25mg/mL) </w:t>
      </w:r>
      <w:r w:rsidRPr="00A82B12">
        <w:t xml:space="preserve">in a sterile, preservative free, non-pyrogenic 50 mL </w:t>
      </w:r>
      <w:r>
        <w:t>vial (clear Type I glass)</w:t>
      </w:r>
      <w:r w:rsidRPr="00A82B12">
        <w:t>.</w:t>
      </w:r>
    </w:p>
    <w:p w14:paraId="16DF31F0" w14:textId="77777777" w:rsidR="00D52399" w:rsidRDefault="00902EBE" w:rsidP="00EB1206">
      <w:pPr>
        <w:pStyle w:val="Heading2"/>
      </w:pPr>
      <w:r>
        <w:t>6.6</w:t>
      </w:r>
      <w:r>
        <w:tab/>
        <w:t>SPECIAL PRECAUTIONS FOR DISPOSAL</w:t>
      </w:r>
    </w:p>
    <w:p w14:paraId="0B8B7C76" w14:textId="77777777" w:rsidR="007B2F97" w:rsidRDefault="007B2F97" w:rsidP="00EB1206">
      <w:r w:rsidRPr="008C3A62">
        <w:t>The release of medicines into the environment should be min</w:t>
      </w:r>
      <w:r>
        <w:t>imis</w:t>
      </w:r>
      <w:r w:rsidRPr="008C3A62">
        <w:t>ed. Medicines should not be disposed of via wastewater and disposal through household waste should be avoided. Unused or expired medicine should be returned to a pharmacy for disposal.</w:t>
      </w:r>
    </w:p>
    <w:p w14:paraId="01327E28" w14:textId="77777777" w:rsidR="008903F2" w:rsidRPr="007B2F97" w:rsidRDefault="00902EBE" w:rsidP="00EB1206">
      <w:pPr>
        <w:pStyle w:val="Heading2"/>
        <w:rPr>
          <w:color w:val="auto"/>
        </w:rPr>
      </w:pPr>
      <w:r w:rsidRPr="007B2F97">
        <w:rPr>
          <w:color w:val="auto"/>
        </w:rPr>
        <w:t>6.7</w:t>
      </w:r>
      <w:r w:rsidRPr="007B2F97">
        <w:rPr>
          <w:color w:val="auto"/>
        </w:rPr>
        <w:tab/>
        <w:t xml:space="preserve">PHYSIOCHEMICAL PROPERTIES </w:t>
      </w:r>
    </w:p>
    <w:p w14:paraId="091E7C5B" w14:textId="77777777" w:rsidR="009B3628" w:rsidRPr="00BA0878" w:rsidRDefault="009B3628" w:rsidP="00EB1206">
      <w:pPr>
        <w:pStyle w:val="Heading3"/>
      </w:pPr>
      <w:r w:rsidRPr="00BA0878">
        <w:t>Chemical structure</w:t>
      </w:r>
    </w:p>
    <w:p w14:paraId="71956EE5" w14:textId="77777777" w:rsidR="00013293" w:rsidRDefault="00013293" w:rsidP="00EB1206">
      <w:r>
        <w:t>Gazyva (</w:t>
      </w:r>
      <w:r w:rsidRPr="00B9782C">
        <w:t>obinutuzumab</w:t>
      </w:r>
      <w:r>
        <w:t>)</w:t>
      </w:r>
      <w:r w:rsidRPr="00A83840">
        <w:t xml:space="preserve"> is a recombinant monoclonal humani</w:t>
      </w:r>
      <w:r>
        <w:t>s</w:t>
      </w:r>
      <w:r w:rsidRPr="00A83840">
        <w:t xml:space="preserve">ed and glycoengineered Type II </w:t>
      </w:r>
      <w:r>
        <w:t>anti-</w:t>
      </w:r>
      <w:r w:rsidRPr="00A83840">
        <w:t>CD20 antibody of the IgG1 isotype</w:t>
      </w:r>
      <w:r>
        <w:t>.</w:t>
      </w:r>
      <w:r w:rsidRPr="00A83840">
        <w:t xml:space="preserve"> </w:t>
      </w:r>
    </w:p>
    <w:p w14:paraId="0CCC499C" w14:textId="77777777" w:rsidR="00013293" w:rsidRDefault="009B3628" w:rsidP="00EB1206">
      <w:pPr>
        <w:pStyle w:val="Heading3"/>
      </w:pPr>
      <w:r w:rsidRPr="00BA0878">
        <w:lastRenderedPageBreak/>
        <w:t>CAS number</w:t>
      </w:r>
    </w:p>
    <w:p w14:paraId="14308BAA" w14:textId="77777777" w:rsidR="00013293" w:rsidRPr="00013293" w:rsidRDefault="00013293" w:rsidP="00EB1206">
      <w:pPr>
        <w:spacing w:after="240"/>
        <w:rPr>
          <w:color w:val="auto"/>
        </w:rPr>
      </w:pPr>
      <w:r w:rsidRPr="00013293">
        <w:rPr>
          <w:color w:val="auto"/>
        </w:rPr>
        <w:t>CAS: 949142-50-1</w:t>
      </w:r>
    </w:p>
    <w:p w14:paraId="256AAFC2" w14:textId="77777777" w:rsidR="00D52399" w:rsidRPr="007B2F97" w:rsidRDefault="00615052" w:rsidP="00EB1206">
      <w:pPr>
        <w:pStyle w:val="Heading1"/>
        <w:numPr>
          <w:ilvl w:val="0"/>
          <w:numId w:val="2"/>
        </w:numPr>
        <w:spacing w:before="0"/>
        <w:rPr>
          <w:color w:val="auto"/>
        </w:rPr>
      </w:pPr>
      <w:r w:rsidRPr="007B2F97">
        <w:rPr>
          <w:color w:val="auto"/>
        </w:rPr>
        <w:t xml:space="preserve"> MEDICINE SCHEDULE</w:t>
      </w:r>
      <w:r w:rsidR="00594C19" w:rsidRPr="007B2F97">
        <w:rPr>
          <w:color w:val="auto"/>
        </w:rPr>
        <w:t xml:space="preserve"> (POISONS STANDARD)</w:t>
      </w:r>
    </w:p>
    <w:p w14:paraId="08E56565" w14:textId="77777777" w:rsidR="007B2F97" w:rsidRDefault="007B2F97" w:rsidP="00EB1206">
      <w:pPr>
        <w:spacing w:after="240"/>
      </w:pPr>
      <w:r w:rsidRPr="007B2F97">
        <w:rPr>
          <w:sz w:val="22"/>
          <w:szCs w:val="22"/>
        </w:rPr>
        <w:t>Schedule 4. Prescription Only Medicine.</w:t>
      </w:r>
    </w:p>
    <w:p w14:paraId="636F84D8" w14:textId="77777777" w:rsidR="00D52399" w:rsidRDefault="00615052" w:rsidP="00EB1206">
      <w:pPr>
        <w:pStyle w:val="Heading1"/>
        <w:numPr>
          <w:ilvl w:val="0"/>
          <w:numId w:val="2"/>
        </w:numPr>
        <w:spacing w:before="0"/>
      </w:pPr>
      <w:r>
        <w:t>SPONSOR</w:t>
      </w:r>
    </w:p>
    <w:p w14:paraId="4848324D" w14:textId="77777777" w:rsidR="00363C7F" w:rsidRPr="00013293" w:rsidRDefault="00363C7F" w:rsidP="00EB1206">
      <w:pPr>
        <w:rPr>
          <w:color w:val="auto"/>
          <w:lang w:val="en-GB"/>
        </w:rPr>
      </w:pPr>
      <w:r w:rsidRPr="00013293">
        <w:rPr>
          <w:color w:val="auto"/>
          <w:lang w:val="en-GB"/>
        </w:rPr>
        <w:t>Roche Products Pty Limited</w:t>
      </w:r>
    </w:p>
    <w:p w14:paraId="14BE9A07" w14:textId="77777777" w:rsidR="00363C7F" w:rsidRPr="00013293" w:rsidRDefault="00363C7F" w:rsidP="00EB1206">
      <w:pPr>
        <w:rPr>
          <w:color w:val="auto"/>
          <w:lang w:val="en-GB"/>
        </w:rPr>
      </w:pPr>
      <w:r w:rsidRPr="00013293">
        <w:rPr>
          <w:color w:val="auto"/>
          <w:lang w:val="en-GB"/>
        </w:rPr>
        <w:t>ABN 70 000 132 865</w:t>
      </w:r>
    </w:p>
    <w:p w14:paraId="6F27C127" w14:textId="77777777" w:rsidR="00363C7F" w:rsidRPr="00013293" w:rsidRDefault="00363C7F" w:rsidP="00EB1206">
      <w:pPr>
        <w:rPr>
          <w:color w:val="auto"/>
          <w:lang w:val="en-GB"/>
        </w:rPr>
      </w:pPr>
      <w:r w:rsidRPr="00013293">
        <w:rPr>
          <w:color w:val="auto"/>
          <w:lang w:val="en-GB"/>
        </w:rPr>
        <w:t xml:space="preserve">Level 8, 30 – 34 Hickson Road </w:t>
      </w:r>
    </w:p>
    <w:p w14:paraId="6329E15D" w14:textId="77777777" w:rsidR="00363C7F" w:rsidRPr="00013293" w:rsidRDefault="00363C7F" w:rsidP="00EB1206">
      <w:pPr>
        <w:rPr>
          <w:color w:val="auto"/>
          <w:lang w:val="en-GB"/>
        </w:rPr>
      </w:pPr>
      <w:r w:rsidRPr="00013293">
        <w:rPr>
          <w:color w:val="auto"/>
          <w:lang w:val="en-GB"/>
        </w:rPr>
        <w:t>Sydney NSW 2000</w:t>
      </w:r>
    </w:p>
    <w:p w14:paraId="58B791B6" w14:textId="77777777" w:rsidR="00363C7F" w:rsidRPr="00013293" w:rsidRDefault="00363C7F" w:rsidP="00EB1206">
      <w:pPr>
        <w:rPr>
          <w:color w:val="auto"/>
          <w:lang w:val="en-GB"/>
        </w:rPr>
      </w:pPr>
      <w:r w:rsidRPr="00013293">
        <w:rPr>
          <w:color w:val="auto"/>
          <w:lang w:val="en-GB"/>
        </w:rPr>
        <w:t>AUSTRALIA</w:t>
      </w:r>
    </w:p>
    <w:p w14:paraId="155DE6A9" w14:textId="77777777" w:rsidR="00363C7F" w:rsidRPr="007B2F97" w:rsidRDefault="00363C7F" w:rsidP="00EB1206">
      <w:pPr>
        <w:spacing w:before="240" w:after="240"/>
        <w:rPr>
          <w:color w:val="auto"/>
        </w:rPr>
      </w:pPr>
      <w:r w:rsidRPr="007B2F97">
        <w:rPr>
          <w:color w:val="auto"/>
          <w:lang w:val="en-GB"/>
        </w:rPr>
        <w:t>Medical enquiries: 1800 233 950</w:t>
      </w:r>
    </w:p>
    <w:p w14:paraId="4E669851" w14:textId="77777777" w:rsidR="00D52399" w:rsidRDefault="00615052" w:rsidP="00EB1206">
      <w:pPr>
        <w:pStyle w:val="Heading1"/>
        <w:numPr>
          <w:ilvl w:val="0"/>
          <w:numId w:val="2"/>
        </w:numPr>
        <w:spacing w:before="0"/>
      </w:pPr>
      <w:r>
        <w:t>DATE OF FIRST APPROVAL</w:t>
      </w:r>
    </w:p>
    <w:p w14:paraId="50EE3ABC" w14:textId="59BCCA82" w:rsidR="007B2F97" w:rsidRPr="007B2F97" w:rsidRDefault="007B2F97" w:rsidP="00EB1206">
      <w:pPr>
        <w:spacing w:after="240"/>
      </w:pPr>
      <w:r w:rsidRPr="007B2F97">
        <w:t>15 May 2014</w:t>
      </w:r>
    </w:p>
    <w:p w14:paraId="5E5019EF" w14:textId="77777777" w:rsidR="00D52399" w:rsidRDefault="00615052" w:rsidP="00EB1206">
      <w:pPr>
        <w:pStyle w:val="Heading1"/>
        <w:numPr>
          <w:ilvl w:val="0"/>
          <w:numId w:val="2"/>
        </w:numPr>
        <w:spacing w:before="0"/>
      </w:pPr>
      <w:r>
        <w:t>DATE OF REVISION OF THE TEXT</w:t>
      </w:r>
    </w:p>
    <w:p w14:paraId="41FFC548" w14:textId="6B774C22" w:rsidR="00407592" w:rsidRPr="00407592" w:rsidRDefault="008413A9" w:rsidP="00EB1206">
      <w:pPr>
        <w:rPr>
          <w:color w:val="4F81BD" w:themeColor="accent1"/>
        </w:rPr>
      </w:pPr>
      <w:r>
        <w:t>29 October 2024</w:t>
      </w:r>
    </w:p>
    <w:p w14:paraId="0C4044BC" w14:textId="77777777" w:rsidR="00D52399" w:rsidRPr="007B2F97" w:rsidRDefault="00902EBE" w:rsidP="00EB1206">
      <w:pPr>
        <w:pStyle w:val="Heading3"/>
        <w:spacing w:after="240"/>
        <w:rPr>
          <w:color w:val="auto"/>
        </w:rPr>
      </w:pPr>
      <w:r w:rsidRPr="007B2F97">
        <w:rPr>
          <w:color w:val="auto"/>
        </w:rPr>
        <w:t>Summary table of changes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14:paraId="139C472A" w14:textId="77777777" w:rsidTr="001345FD">
        <w:tc>
          <w:tcPr>
            <w:tcW w:w="1951" w:type="dxa"/>
          </w:tcPr>
          <w:p w14:paraId="18999127" w14:textId="77777777" w:rsidR="00D52399" w:rsidRDefault="00615052" w:rsidP="00EB1206">
            <w:pPr>
              <w:rPr>
                <w:b/>
              </w:rPr>
            </w:pPr>
            <w:r>
              <w:rPr>
                <w:b/>
              </w:rPr>
              <w:t>Section Changed</w:t>
            </w:r>
          </w:p>
        </w:tc>
        <w:tc>
          <w:tcPr>
            <w:tcW w:w="7291" w:type="dxa"/>
          </w:tcPr>
          <w:p w14:paraId="56624920" w14:textId="77777777" w:rsidR="00D52399" w:rsidRDefault="00615052" w:rsidP="00EB1206">
            <w:pPr>
              <w:rPr>
                <w:b/>
              </w:rPr>
            </w:pPr>
            <w:r>
              <w:rPr>
                <w:b/>
              </w:rPr>
              <w:t>Summary of new information</w:t>
            </w:r>
          </w:p>
        </w:tc>
      </w:tr>
      <w:tr w:rsidR="00C36406" w:rsidDel="000A0774" w14:paraId="194C11A8" w14:textId="77777777" w:rsidTr="00AD5A4D">
        <w:trPr>
          <w:trHeight w:val="72"/>
        </w:trPr>
        <w:tc>
          <w:tcPr>
            <w:tcW w:w="1951" w:type="dxa"/>
          </w:tcPr>
          <w:p w14:paraId="091AE3F1" w14:textId="08A47BB7" w:rsidR="00C36406" w:rsidRDefault="00C36406" w:rsidP="00EB1206">
            <w:r>
              <w:t>4.8</w:t>
            </w:r>
          </w:p>
        </w:tc>
        <w:tc>
          <w:tcPr>
            <w:tcW w:w="7291" w:type="dxa"/>
          </w:tcPr>
          <w:p w14:paraId="67A753F0" w14:textId="310F25BB" w:rsidR="00C36406" w:rsidRDefault="00C36406" w:rsidP="00EB1206">
            <w:pPr>
              <w:rPr>
                <w:color w:val="auto"/>
              </w:rPr>
            </w:pPr>
            <w:r>
              <w:rPr>
                <w:color w:val="auto"/>
              </w:rPr>
              <w:t xml:space="preserve">Addition of adverse reaction </w:t>
            </w:r>
            <w:proofErr w:type="spellStart"/>
            <w:r w:rsidRPr="00C36406">
              <w:rPr>
                <w:color w:val="auto"/>
              </w:rPr>
              <w:t>hypogammaglobulinaemia</w:t>
            </w:r>
            <w:proofErr w:type="spellEnd"/>
          </w:p>
        </w:tc>
      </w:tr>
    </w:tbl>
    <w:p w14:paraId="14EB112E" w14:textId="77777777" w:rsidR="00D52399" w:rsidRDefault="00D52399" w:rsidP="00EB1206"/>
    <w:sectPr w:rsidR="00D52399" w:rsidSect="0001682C">
      <w:headerReference w:type="default" r:id="rId15"/>
      <w:footerReference w:type="default" r:id="rId16"/>
      <w:headerReference w:type="first" r:id="rId17"/>
      <w:footerReference w:type="first" r:id="rId18"/>
      <w:pgSz w:w="11906" w:h="16838"/>
      <w:pgMar w:top="1440" w:right="1440" w:bottom="1440" w:left="1440" w:header="22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EEC3" w14:textId="77777777" w:rsidR="005A32F6" w:rsidRDefault="005A32F6">
      <w:r>
        <w:separator/>
      </w:r>
    </w:p>
  </w:endnote>
  <w:endnote w:type="continuationSeparator" w:id="0">
    <w:p w14:paraId="4F62754A" w14:textId="77777777" w:rsidR="005A32F6" w:rsidRDefault="005A32F6">
      <w:r>
        <w:continuationSeparator/>
      </w:r>
    </w:p>
  </w:endnote>
  <w:endnote w:type="continuationNotice" w:id="1">
    <w:p w14:paraId="4FFE79D1" w14:textId="77777777" w:rsidR="005A32F6" w:rsidRDefault="005A3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7EDA" w14:textId="0444D46B" w:rsidR="00DC3304" w:rsidRPr="00013293" w:rsidRDefault="00DC3304" w:rsidP="00013293">
    <w:pPr>
      <w:tabs>
        <w:tab w:val="center" w:pos="4513"/>
        <w:tab w:val="right" w:pos="9026"/>
      </w:tabs>
      <w:rPr>
        <w:sz w:val="20"/>
        <w:szCs w:val="20"/>
      </w:rPr>
    </w:pPr>
    <w:r w:rsidRPr="004144AD">
      <w:rPr>
        <w:sz w:val="20"/>
        <w:szCs w:val="20"/>
      </w:rPr>
      <w:t xml:space="preserve"> </w:t>
    </w:r>
    <w:r w:rsidR="00C36406">
      <w:rPr>
        <w:sz w:val="20"/>
        <w:szCs w:val="20"/>
      </w:rPr>
      <w:t>Gazyva2024</w:t>
    </w:r>
    <w:r w:rsidR="008413A9">
      <w:rPr>
        <w:sz w:val="20"/>
        <w:szCs w:val="20"/>
      </w:rPr>
      <w:t>1029</w:t>
    </w:r>
    <w:r w:rsidRPr="00CC6729">
      <w:rPr>
        <w:sz w:val="20"/>
        <w:szCs w:val="20"/>
      </w:rPr>
      <w:tab/>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0860F1">
      <w:rPr>
        <w:noProof/>
        <w:sz w:val="20"/>
        <w:szCs w:val="20"/>
      </w:rPr>
      <w:t>41</w:t>
    </w:r>
    <w:r w:rsidRPr="00CC672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77AD" w14:textId="69B823AA" w:rsidR="00DC3304" w:rsidRPr="00CC6729" w:rsidRDefault="00DC3304" w:rsidP="00CC6729">
    <w:pPr>
      <w:tabs>
        <w:tab w:val="center" w:pos="4513"/>
        <w:tab w:val="right" w:pos="9026"/>
      </w:tabs>
      <w:rPr>
        <w:sz w:val="20"/>
        <w:szCs w:val="20"/>
      </w:rPr>
    </w:pPr>
    <w:r>
      <w:rPr>
        <w:sz w:val="20"/>
        <w:szCs w:val="20"/>
      </w:rPr>
      <w:t>gGazyva2022053610</w:t>
    </w:r>
    <w:r w:rsidRPr="00CC6729">
      <w:rPr>
        <w:sz w:val="20"/>
        <w:szCs w:val="20"/>
      </w:rPr>
      <w:tab/>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Pr>
        <w:noProof/>
        <w:sz w:val="20"/>
        <w:szCs w:val="20"/>
      </w:rPr>
      <w:t>1</w:t>
    </w:r>
    <w:r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1AF7" w14:textId="77777777" w:rsidR="005A32F6" w:rsidRDefault="005A32F6">
      <w:r>
        <w:separator/>
      </w:r>
    </w:p>
  </w:footnote>
  <w:footnote w:type="continuationSeparator" w:id="0">
    <w:p w14:paraId="0CA03E49" w14:textId="77777777" w:rsidR="005A32F6" w:rsidRDefault="005A32F6">
      <w:r>
        <w:continuationSeparator/>
      </w:r>
    </w:p>
  </w:footnote>
  <w:footnote w:type="continuationNotice" w:id="1">
    <w:p w14:paraId="70DC52EC" w14:textId="77777777" w:rsidR="005A32F6" w:rsidRDefault="005A3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3" w:type="dxa"/>
      <w:shd w:val="clear" w:color="auto" w:fill="E4F2E0"/>
      <w:tblLook w:val="04A0" w:firstRow="1" w:lastRow="0" w:firstColumn="1" w:lastColumn="0" w:noHBand="0" w:noVBand="1"/>
    </w:tblPr>
    <w:tblGrid>
      <w:gridCol w:w="9129"/>
    </w:tblGrid>
    <w:tr w:rsidR="00EB1206" w:rsidRPr="000B2145" w14:paraId="188B7541" w14:textId="77777777" w:rsidTr="00BE101F">
      <w:trPr>
        <w:trHeight w:val="1012"/>
      </w:trPr>
      <w:tc>
        <w:tcPr>
          <w:tcW w:w="9180" w:type="dxa"/>
          <w:shd w:val="clear" w:color="auto" w:fill="E4F2E0"/>
        </w:tcPr>
        <w:p w14:paraId="217820B5" w14:textId="77777777" w:rsidR="00EB1206" w:rsidRPr="000E4791" w:rsidRDefault="00EB1206" w:rsidP="00EB1206">
          <w:pPr>
            <w:pStyle w:val="Footer"/>
            <w:rPr>
              <w:b/>
              <w:sz w:val="18"/>
              <w:szCs w:val="18"/>
            </w:rPr>
          </w:pPr>
          <w:bookmarkStart w:id="3" w:name="_Hlk109054010"/>
          <w:r w:rsidRPr="00FC2B87">
            <w:rPr>
              <w:b/>
              <w:sz w:val="18"/>
              <w:szCs w:val="18"/>
            </w:rPr>
            <w:t>AusPAR – Gazyva - obinutuzumab (</w:t>
          </w:r>
          <w:proofErr w:type="spellStart"/>
          <w:r w:rsidRPr="00FC2B87">
            <w:rPr>
              <w:b/>
              <w:sz w:val="18"/>
              <w:szCs w:val="18"/>
            </w:rPr>
            <w:t>rch</w:t>
          </w:r>
          <w:proofErr w:type="spellEnd"/>
          <w:r w:rsidRPr="00FC2B87">
            <w:rPr>
              <w:b/>
              <w:sz w:val="18"/>
              <w:szCs w:val="18"/>
            </w:rPr>
            <w:t>) - Roche Products Pty Ltd - PM-2022-03031-1-</w:t>
          </w:r>
          <w:proofErr w:type="gramStart"/>
          <w:r w:rsidRPr="00FC2B87">
            <w:rPr>
              <w:b/>
              <w:sz w:val="18"/>
              <w:szCs w:val="18"/>
            </w:rPr>
            <w:t xml:space="preserve">6 </w:t>
          </w:r>
          <w:r>
            <w:rPr>
              <w:b/>
              <w:sz w:val="18"/>
              <w:szCs w:val="18"/>
            </w:rPr>
            <w:t xml:space="preserve"> </w:t>
          </w:r>
          <w:r w:rsidRPr="00FC2B87">
            <w:rPr>
              <w:b/>
              <w:sz w:val="18"/>
              <w:szCs w:val="18"/>
            </w:rPr>
            <w:t>Date</w:t>
          </w:r>
          <w:proofErr w:type="gramEnd"/>
          <w:r w:rsidRPr="00FC2B87">
            <w:rPr>
              <w:b/>
              <w:sz w:val="18"/>
              <w:szCs w:val="18"/>
            </w:rPr>
            <w:t xml:space="preserve"> of finalisation: December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3"/>
  </w:tbl>
  <w:p w14:paraId="0F9F026E" w14:textId="77777777" w:rsidR="00EB1206" w:rsidRPr="00EB1206" w:rsidRDefault="00EB1206">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9638" w14:textId="444CD695" w:rsidR="00DC3304" w:rsidRPr="00013293" w:rsidRDefault="00DC3304" w:rsidP="00513230">
    <w:pPr>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79F0578"/>
    <w:multiLevelType w:val="hybridMultilevel"/>
    <w:tmpl w:val="15944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75312"/>
    <w:multiLevelType w:val="hybridMultilevel"/>
    <w:tmpl w:val="AF92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01E28"/>
    <w:multiLevelType w:val="hybridMultilevel"/>
    <w:tmpl w:val="1FF8BC9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E3D78"/>
    <w:multiLevelType w:val="singleLevel"/>
    <w:tmpl w:val="E43EDEE6"/>
    <w:lvl w:ilvl="0">
      <w:start w:val="1"/>
      <w:numFmt w:val="decimal"/>
      <w:pStyle w:val="TextRef"/>
      <w:lvlText w:val="%1."/>
      <w:lvlJc w:val="left"/>
      <w:pPr>
        <w:tabs>
          <w:tab w:val="num" w:pos="1080"/>
        </w:tabs>
        <w:ind w:left="1080" w:hanging="360"/>
      </w:pPr>
    </w:lvl>
  </w:abstractNum>
  <w:abstractNum w:abstractNumId="5" w15:restartNumberingAfterBreak="0">
    <w:nsid w:val="234F4CF9"/>
    <w:multiLevelType w:val="multilevel"/>
    <w:tmpl w:val="AD88C2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933334"/>
    <w:multiLevelType w:val="hybridMultilevel"/>
    <w:tmpl w:val="0642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04581"/>
    <w:multiLevelType w:val="hybridMultilevel"/>
    <w:tmpl w:val="7418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F1092"/>
    <w:multiLevelType w:val="hybridMultilevel"/>
    <w:tmpl w:val="D1B8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B8088C"/>
    <w:multiLevelType w:val="hybridMultilevel"/>
    <w:tmpl w:val="1890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4419D"/>
    <w:multiLevelType w:val="hybridMultilevel"/>
    <w:tmpl w:val="C160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0833697">
    <w:abstractNumId w:val="12"/>
  </w:num>
  <w:num w:numId="2" w16cid:durableId="1215193587">
    <w:abstractNumId w:val="5"/>
  </w:num>
  <w:num w:numId="3" w16cid:durableId="148719834">
    <w:abstractNumId w:val="0"/>
  </w:num>
  <w:num w:numId="4" w16cid:durableId="1728335397">
    <w:abstractNumId w:val="11"/>
  </w:num>
  <w:num w:numId="5" w16cid:durableId="2046981337">
    <w:abstractNumId w:val="8"/>
  </w:num>
  <w:num w:numId="6" w16cid:durableId="1614285264">
    <w:abstractNumId w:val="2"/>
  </w:num>
  <w:num w:numId="7" w16cid:durableId="1167329197">
    <w:abstractNumId w:val="1"/>
  </w:num>
  <w:num w:numId="8" w16cid:durableId="1088498265">
    <w:abstractNumId w:val="10"/>
  </w:num>
  <w:num w:numId="9" w16cid:durableId="1518732368">
    <w:abstractNumId w:val="4"/>
  </w:num>
  <w:num w:numId="10" w16cid:durableId="2101827264">
    <w:abstractNumId w:val="7"/>
  </w:num>
  <w:num w:numId="11" w16cid:durableId="485971851">
    <w:abstractNumId w:val="6"/>
  </w:num>
  <w:num w:numId="12" w16cid:durableId="1140419000">
    <w:abstractNumId w:val="3"/>
  </w:num>
  <w:num w:numId="13" w16cid:durableId="1256784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NZ" w:vendorID="64" w:dllVersion="6" w:nlCheck="1" w:checkStyle="1"/>
  <w:activeWritingStyle w:appName="MSWord" w:lang="en-AU" w:vendorID="64" w:dllVersion="6" w:nlCheck="1" w:checkStyle="1"/>
  <w:activeWritingStyle w:appName="MSWord" w:lang="en-NZ"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D1"/>
    <w:rsid w:val="000125B0"/>
    <w:rsid w:val="00013293"/>
    <w:rsid w:val="00013E52"/>
    <w:rsid w:val="0001682C"/>
    <w:rsid w:val="000168F5"/>
    <w:rsid w:val="0002580B"/>
    <w:rsid w:val="00027D9D"/>
    <w:rsid w:val="000330E5"/>
    <w:rsid w:val="00043BAA"/>
    <w:rsid w:val="00056F44"/>
    <w:rsid w:val="00063BF0"/>
    <w:rsid w:val="00065EAE"/>
    <w:rsid w:val="00066ED1"/>
    <w:rsid w:val="000708FA"/>
    <w:rsid w:val="000860F1"/>
    <w:rsid w:val="00087033"/>
    <w:rsid w:val="00090589"/>
    <w:rsid w:val="00092362"/>
    <w:rsid w:val="000928D8"/>
    <w:rsid w:val="00092C7E"/>
    <w:rsid w:val="000942EB"/>
    <w:rsid w:val="00097801"/>
    <w:rsid w:val="000A0774"/>
    <w:rsid w:val="000A0866"/>
    <w:rsid w:val="000A2159"/>
    <w:rsid w:val="000B2230"/>
    <w:rsid w:val="000B435E"/>
    <w:rsid w:val="000B5CB1"/>
    <w:rsid w:val="000C2AC9"/>
    <w:rsid w:val="000D2077"/>
    <w:rsid w:val="000D524E"/>
    <w:rsid w:val="000E2E73"/>
    <w:rsid w:val="000F4FC3"/>
    <w:rsid w:val="001035F2"/>
    <w:rsid w:val="00121795"/>
    <w:rsid w:val="001234ED"/>
    <w:rsid w:val="001305F4"/>
    <w:rsid w:val="00132045"/>
    <w:rsid w:val="00133F14"/>
    <w:rsid w:val="001345FD"/>
    <w:rsid w:val="00144EAB"/>
    <w:rsid w:val="0015487B"/>
    <w:rsid w:val="001561B3"/>
    <w:rsid w:val="00157817"/>
    <w:rsid w:val="00171FE8"/>
    <w:rsid w:val="00173C68"/>
    <w:rsid w:val="00177498"/>
    <w:rsid w:val="00180767"/>
    <w:rsid w:val="00185BF6"/>
    <w:rsid w:val="00194AEA"/>
    <w:rsid w:val="0019707D"/>
    <w:rsid w:val="001A0C8D"/>
    <w:rsid w:val="001A3849"/>
    <w:rsid w:val="001A398B"/>
    <w:rsid w:val="001A4382"/>
    <w:rsid w:val="001A6FB0"/>
    <w:rsid w:val="001C1E41"/>
    <w:rsid w:val="001C2730"/>
    <w:rsid w:val="001C5E27"/>
    <w:rsid w:val="001C5E4E"/>
    <w:rsid w:val="001C7A13"/>
    <w:rsid w:val="001D23DD"/>
    <w:rsid w:val="001D3E94"/>
    <w:rsid w:val="001F140E"/>
    <w:rsid w:val="00201DD3"/>
    <w:rsid w:val="00205A38"/>
    <w:rsid w:val="00205A77"/>
    <w:rsid w:val="002126FD"/>
    <w:rsid w:val="0021404D"/>
    <w:rsid w:val="002204E5"/>
    <w:rsid w:val="00233F9C"/>
    <w:rsid w:val="00243A35"/>
    <w:rsid w:val="00267C76"/>
    <w:rsid w:val="002733EC"/>
    <w:rsid w:val="00283E1B"/>
    <w:rsid w:val="00290308"/>
    <w:rsid w:val="0029542F"/>
    <w:rsid w:val="002A10A0"/>
    <w:rsid w:val="002A1B19"/>
    <w:rsid w:val="002A21D4"/>
    <w:rsid w:val="002A3820"/>
    <w:rsid w:val="002A5FBB"/>
    <w:rsid w:val="002A6485"/>
    <w:rsid w:val="002B2C2E"/>
    <w:rsid w:val="002C475B"/>
    <w:rsid w:val="002C7602"/>
    <w:rsid w:val="002D1BD0"/>
    <w:rsid w:val="002E0F89"/>
    <w:rsid w:val="002E3237"/>
    <w:rsid w:val="002E624B"/>
    <w:rsid w:val="002F1939"/>
    <w:rsid w:val="002F22A0"/>
    <w:rsid w:val="002F2F1C"/>
    <w:rsid w:val="00302709"/>
    <w:rsid w:val="00304F82"/>
    <w:rsid w:val="00313D55"/>
    <w:rsid w:val="00317579"/>
    <w:rsid w:val="00322774"/>
    <w:rsid w:val="003376FD"/>
    <w:rsid w:val="00342AC2"/>
    <w:rsid w:val="003454CF"/>
    <w:rsid w:val="003475E2"/>
    <w:rsid w:val="003520F4"/>
    <w:rsid w:val="003564D0"/>
    <w:rsid w:val="0036097C"/>
    <w:rsid w:val="00363C7F"/>
    <w:rsid w:val="003760C0"/>
    <w:rsid w:val="00381D6E"/>
    <w:rsid w:val="00386C5C"/>
    <w:rsid w:val="003A0971"/>
    <w:rsid w:val="003A3CEA"/>
    <w:rsid w:val="003A7B91"/>
    <w:rsid w:val="003B2EBF"/>
    <w:rsid w:val="003B77FA"/>
    <w:rsid w:val="003C37DE"/>
    <w:rsid w:val="003C3AA7"/>
    <w:rsid w:val="003C6DDF"/>
    <w:rsid w:val="003C6E1B"/>
    <w:rsid w:val="003D5491"/>
    <w:rsid w:val="003D553B"/>
    <w:rsid w:val="003F4DF6"/>
    <w:rsid w:val="003F53FB"/>
    <w:rsid w:val="003F6BA9"/>
    <w:rsid w:val="00407592"/>
    <w:rsid w:val="004144AD"/>
    <w:rsid w:val="00431DC8"/>
    <w:rsid w:val="00432B91"/>
    <w:rsid w:val="0044023E"/>
    <w:rsid w:val="004566D5"/>
    <w:rsid w:val="00465E65"/>
    <w:rsid w:val="004667E1"/>
    <w:rsid w:val="004712BE"/>
    <w:rsid w:val="00473C51"/>
    <w:rsid w:val="00486CBB"/>
    <w:rsid w:val="00494178"/>
    <w:rsid w:val="00496382"/>
    <w:rsid w:val="00497DAD"/>
    <w:rsid w:val="004A48AC"/>
    <w:rsid w:val="004B3EFD"/>
    <w:rsid w:val="004B53F0"/>
    <w:rsid w:val="004C1701"/>
    <w:rsid w:val="004D0D2F"/>
    <w:rsid w:val="004D6755"/>
    <w:rsid w:val="004E3AE7"/>
    <w:rsid w:val="004E52EC"/>
    <w:rsid w:val="004E5CBD"/>
    <w:rsid w:val="004E754C"/>
    <w:rsid w:val="004F1432"/>
    <w:rsid w:val="004F414C"/>
    <w:rsid w:val="00513230"/>
    <w:rsid w:val="00523D6D"/>
    <w:rsid w:val="0052485E"/>
    <w:rsid w:val="00526A37"/>
    <w:rsid w:val="005308A2"/>
    <w:rsid w:val="00531B41"/>
    <w:rsid w:val="00531CB1"/>
    <w:rsid w:val="00532CEF"/>
    <w:rsid w:val="00534254"/>
    <w:rsid w:val="005403FA"/>
    <w:rsid w:val="00547463"/>
    <w:rsid w:val="00547DE4"/>
    <w:rsid w:val="00556BD9"/>
    <w:rsid w:val="00562BF3"/>
    <w:rsid w:val="0056407B"/>
    <w:rsid w:val="00567CB4"/>
    <w:rsid w:val="0058141F"/>
    <w:rsid w:val="00582391"/>
    <w:rsid w:val="0058386C"/>
    <w:rsid w:val="00585103"/>
    <w:rsid w:val="005904B8"/>
    <w:rsid w:val="00594C19"/>
    <w:rsid w:val="00595634"/>
    <w:rsid w:val="005A32F6"/>
    <w:rsid w:val="005A532E"/>
    <w:rsid w:val="005A665D"/>
    <w:rsid w:val="005A6FBA"/>
    <w:rsid w:val="005B0769"/>
    <w:rsid w:val="005B2B01"/>
    <w:rsid w:val="005C471F"/>
    <w:rsid w:val="005D2569"/>
    <w:rsid w:val="005D40A8"/>
    <w:rsid w:val="00601523"/>
    <w:rsid w:val="0060398B"/>
    <w:rsid w:val="00615052"/>
    <w:rsid w:val="00616FE6"/>
    <w:rsid w:val="0062200E"/>
    <w:rsid w:val="00622761"/>
    <w:rsid w:val="00624397"/>
    <w:rsid w:val="00641AA7"/>
    <w:rsid w:val="0064329F"/>
    <w:rsid w:val="00653D4D"/>
    <w:rsid w:val="00660BAC"/>
    <w:rsid w:val="00660E78"/>
    <w:rsid w:val="00674CFD"/>
    <w:rsid w:val="00675FA8"/>
    <w:rsid w:val="00686DB5"/>
    <w:rsid w:val="006871C4"/>
    <w:rsid w:val="00690B6B"/>
    <w:rsid w:val="006945F1"/>
    <w:rsid w:val="006951AC"/>
    <w:rsid w:val="006A192A"/>
    <w:rsid w:val="006B0211"/>
    <w:rsid w:val="006B75A4"/>
    <w:rsid w:val="006C6A37"/>
    <w:rsid w:val="006C73C2"/>
    <w:rsid w:val="006E4AF6"/>
    <w:rsid w:val="006E710B"/>
    <w:rsid w:val="006F052E"/>
    <w:rsid w:val="006F3A51"/>
    <w:rsid w:val="007045C7"/>
    <w:rsid w:val="00716266"/>
    <w:rsid w:val="00722456"/>
    <w:rsid w:val="00723561"/>
    <w:rsid w:val="0072524C"/>
    <w:rsid w:val="00726629"/>
    <w:rsid w:val="00731CDE"/>
    <w:rsid w:val="007459BC"/>
    <w:rsid w:val="0074736B"/>
    <w:rsid w:val="007650D4"/>
    <w:rsid w:val="00770C11"/>
    <w:rsid w:val="00772C2C"/>
    <w:rsid w:val="0077434F"/>
    <w:rsid w:val="00780187"/>
    <w:rsid w:val="007808ED"/>
    <w:rsid w:val="00793738"/>
    <w:rsid w:val="007B2F97"/>
    <w:rsid w:val="007C40AB"/>
    <w:rsid w:val="007C4ACD"/>
    <w:rsid w:val="007C4AD7"/>
    <w:rsid w:val="007C59E3"/>
    <w:rsid w:val="008031C6"/>
    <w:rsid w:val="00811FEA"/>
    <w:rsid w:val="00815452"/>
    <w:rsid w:val="008226C7"/>
    <w:rsid w:val="00824928"/>
    <w:rsid w:val="00824DBC"/>
    <w:rsid w:val="00835E3D"/>
    <w:rsid w:val="008413A9"/>
    <w:rsid w:val="00843443"/>
    <w:rsid w:val="008578C7"/>
    <w:rsid w:val="008623FD"/>
    <w:rsid w:val="00872124"/>
    <w:rsid w:val="008746AD"/>
    <w:rsid w:val="00875E3D"/>
    <w:rsid w:val="00884DD8"/>
    <w:rsid w:val="008861D1"/>
    <w:rsid w:val="008903F2"/>
    <w:rsid w:val="008907E5"/>
    <w:rsid w:val="00894AB0"/>
    <w:rsid w:val="008955BB"/>
    <w:rsid w:val="00896696"/>
    <w:rsid w:val="008A3DA8"/>
    <w:rsid w:val="008A4BF9"/>
    <w:rsid w:val="008B31AB"/>
    <w:rsid w:val="008B555E"/>
    <w:rsid w:val="008D0E55"/>
    <w:rsid w:val="008D69D6"/>
    <w:rsid w:val="008E0E6A"/>
    <w:rsid w:val="008F10A7"/>
    <w:rsid w:val="008F2626"/>
    <w:rsid w:val="008F3947"/>
    <w:rsid w:val="00902EBE"/>
    <w:rsid w:val="009063A2"/>
    <w:rsid w:val="00914F70"/>
    <w:rsid w:val="009155D4"/>
    <w:rsid w:val="0092286F"/>
    <w:rsid w:val="00943230"/>
    <w:rsid w:val="0094611F"/>
    <w:rsid w:val="009574C4"/>
    <w:rsid w:val="00962F27"/>
    <w:rsid w:val="00963993"/>
    <w:rsid w:val="009647FE"/>
    <w:rsid w:val="00982910"/>
    <w:rsid w:val="00985B2D"/>
    <w:rsid w:val="009870E5"/>
    <w:rsid w:val="009A1408"/>
    <w:rsid w:val="009B004D"/>
    <w:rsid w:val="009B0663"/>
    <w:rsid w:val="009B3628"/>
    <w:rsid w:val="009C31AE"/>
    <w:rsid w:val="009C3D55"/>
    <w:rsid w:val="009C4949"/>
    <w:rsid w:val="009C4A91"/>
    <w:rsid w:val="009C5747"/>
    <w:rsid w:val="009D6602"/>
    <w:rsid w:val="009E43BA"/>
    <w:rsid w:val="009F369B"/>
    <w:rsid w:val="00A10001"/>
    <w:rsid w:val="00A216CC"/>
    <w:rsid w:val="00A25BB4"/>
    <w:rsid w:val="00A32621"/>
    <w:rsid w:val="00A35457"/>
    <w:rsid w:val="00A35D48"/>
    <w:rsid w:val="00A3616E"/>
    <w:rsid w:val="00A40483"/>
    <w:rsid w:val="00A42E83"/>
    <w:rsid w:val="00A536D4"/>
    <w:rsid w:val="00A6097E"/>
    <w:rsid w:val="00A63CE2"/>
    <w:rsid w:val="00A82B12"/>
    <w:rsid w:val="00A84A61"/>
    <w:rsid w:val="00A8585F"/>
    <w:rsid w:val="00AA7BC6"/>
    <w:rsid w:val="00AB343D"/>
    <w:rsid w:val="00AB5DFE"/>
    <w:rsid w:val="00AC0D55"/>
    <w:rsid w:val="00AC1572"/>
    <w:rsid w:val="00AC3A03"/>
    <w:rsid w:val="00AD4236"/>
    <w:rsid w:val="00AD5A4D"/>
    <w:rsid w:val="00AE271B"/>
    <w:rsid w:val="00AE3353"/>
    <w:rsid w:val="00AF0DD1"/>
    <w:rsid w:val="00AF2F6D"/>
    <w:rsid w:val="00B006E2"/>
    <w:rsid w:val="00B0602B"/>
    <w:rsid w:val="00B137B3"/>
    <w:rsid w:val="00B14F92"/>
    <w:rsid w:val="00B15014"/>
    <w:rsid w:val="00B15B3B"/>
    <w:rsid w:val="00B2081E"/>
    <w:rsid w:val="00B35FE2"/>
    <w:rsid w:val="00B404F3"/>
    <w:rsid w:val="00B46BFF"/>
    <w:rsid w:val="00B46FB2"/>
    <w:rsid w:val="00B504CF"/>
    <w:rsid w:val="00B528C0"/>
    <w:rsid w:val="00B542B5"/>
    <w:rsid w:val="00B56C79"/>
    <w:rsid w:val="00B85F84"/>
    <w:rsid w:val="00B90EF8"/>
    <w:rsid w:val="00B92E5D"/>
    <w:rsid w:val="00B9333E"/>
    <w:rsid w:val="00B9782C"/>
    <w:rsid w:val="00BA0878"/>
    <w:rsid w:val="00BA239C"/>
    <w:rsid w:val="00BA27B0"/>
    <w:rsid w:val="00BA32DC"/>
    <w:rsid w:val="00BA628E"/>
    <w:rsid w:val="00BB2084"/>
    <w:rsid w:val="00BB21FC"/>
    <w:rsid w:val="00BB5251"/>
    <w:rsid w:val="00BB73F8"/>
    <w:rsid w:val="00BD1599"/>
    <w:rsid w:val="00C05403"/>
    <w:rsid w:val="00C114D0"/>
    <w:rsid w:val="00C121BC"/>
    <w:rsid w:val="00C2418A"/>
    <w:rsid w:val="00C327BB"/>
    <w:rsid w:val="00C36406"/>
    <w:rsid w:val="00C4122E"/>
    <w:rsid w:val="00C422DD"/>
    <w:rsid w:val="00C514E0"/>
    <w:rsid w:val="00C517CC"/>
    <w:rsid w:val="00C60304"/>
    <w:rsid w:val="00C61E09"/>
    <w:rsid w:val="00C63E23"/>
    <w:rsid w:val="00C71414"/>
    <w:rsid w:val="00C76EA7"/>
    <w:rsid w:val="00C85658"/>
    <w:rsid w:val="00C95648"/>
    <w:rsid w:val="00CB0854"/>
    <w:rsid w:val="00CB6D43"/>
    <w:rsid w:val="00CB7FDF"/>
    <w:rsid w:val="00CC6729"/>
    <w:rsid w:val="00CC7747"/>
    <w:rsid w:val="00CE0181"/>
    <w:rsid w:val="00CE03AC"/>
    <w:rsid w:val="00CE30D3"/>
    <w:rsid w:val="00CE53F9"/>
    <w:rsid w:val="00CE5E57"/>
    <w:rsid w:val="00CF19DF"/>
    <w:rsid w:val="00CF1AAF"/>
    <w:rsid w:val="00CF1BAD"/>
    <w:rsid w:val="00CF3BFF"/>
    <w:rsid w:val="00CF504E"/>
    <w:rsid w:val="00D12777"/>
    <w:rsid w:val="00D128EC"/>
    <w:rsid w:val="00D260F2"/>
    <w:rsid w:val="00D27A03"/>
    <w:rsid w:val="00D31353"/>
    <w:rsid w:val="00D36189"/>
    <w:rsid w:val="00D41F48"/>
    <w:rsid w:val="00D42C15"/>
    <w:rsid w:val="00D470B8"/>
    <w:rsid w:val="00D52399"/>
    <w:rsid w:val="00D6168D"/>
    <w:rsid w:val="00D639C2"/>
    <w:rsid w:val="00D66E0A"/>
    <w:rsid w:val="00D66F79"/>
    <w:rsid w:val="00D73C81"/>
    <w:rsid w:val="00D74145"/>
    <w:rsid w:val="00D74E93"/>
    <w:rsid w:val="00D74F55"/>
    <w:rsid w:val="00D907B4"/>
    <w:rsid w:val="00D93D83"/>
    <w:rsid w:val="00D94F1B"/>
    <w:rsid w:val="00DA2C8D"/>
    <w:rsid w:val="00DA59E5"/>
    <w:rsid w:val="00DB009E"/>
    <w:rsid w:val="00DB0BBB"/>
    <w:rsid w:val="00DB1A6E"/>
    <w:rsid w:val="00DB2E4A"/>
    <w:rsid w:val="00DC03C8"/>
    <w:rsid w:val="00DC3304"/>
    <w:rsid w:val="00DC4CE8"/>
    <w:rsid w:val="00DC7F38"/>
    <w:rsid w:val="00DE1EAE"/>
    <w:rsid w:val="00DE6529"/>
    <w:rsid w:val="00DF242D"/>
    <w:rsid w:val="00E05DF5"/>
    <w:rsid w:val="00E076ED"/>
    <w:rsid w:val="00E11CE3"/>
    <w:rsid w:val="00E13502"/>
    <w:rsid w:val="00E21CCD"/>
    <w:rsid w:val="00E21F95"/>
    <w:rsid w:val="00E37939"/>
    <w:rsid w:val="00E40575"/>
    <w:rsid w:val="00E41C9D"/>
    <w:rsid w:val="00E430A3"/>
    <w:rsid w:val="00E45162"/>
    <w:rsid w:val="00E51C3B"/>
    <w:rsid w:val="00E559E4"/>
    <w:rsid w:val="00E76E30"/>
    <w:rsid w:val="00E773BE"/>
    <w:rsid w:val="00E7756C"/>
    <w:rsid w:val="00E77BAD"/>
    <w:rsid w:val="00E8439C"/>
    <w:rsid w:val="00E90917"/>
    <w:rsid w:val="00EB1206"/>
    <w:rsid w:val="00EC45A6"/>
    <w:rsid w:val="00EC4F6D"/>
    <w:rsid w:val="00ED30EB"/>
    <w:rsid w:val="00EE4ABC"/>
    <w:rsid w:val="00EE65D9"/>
    <w:rsid w:val="00EF538C"/>
    <w:rsid w:val="00F04BC5"/>
    <w:rsid w:val="00F07E49"/>
    <w:rsid w:val="00F12B10"/>
    <w:rsid w:val="00F12D37"/>
    <w:rsid w:val="00F4201A"/>
    <w:rsid w:val="00F477E2"/>
    <w:rsid w:val="00F57312"/>
    <w:rsid w:val="00F60A39"/>
    <w:rsid w:val="00F63209"/>
    <w:rsid w:val="00F85B83"/>
    <w:rsid w:val="00F8609D"/>
    <w:rsid w:val="00F97FEA"/>
    <w:rsid w:val="00FA440F"/>
    <w:rsid w:val="00FB0041"/>
    <w:rsid w:val="00FB7BAC"/>
    <w:rsid w:val="00FE49F7"/>
    <w:rsid w:val="00FE4D69"/>
    <w:rsid w:val="00FE5A10"/>
    <w:rsid w:val="00FF1D32"/>
    <w:rsid w:val="00FF1D6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678BFC"/>
  <w15:docId w15:val="{95E8EE93-6996-4050-8A01-C4AF7872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rsid w:val="00F97FEA"/>
    <w:p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Pr>
      <w:color w:val="auto"/>
      <w:szCs w:val="20"/>
      <w:lang w:val="en-US" w:eastAsia="ja-JP"/>
    </w:rPr>
  </w:style>
  <w:style w:type="character" w:customStyle="1" w:styleId="TextTi12Char">
    <w:name w:val="Text:Ti12 Char"/>
    <w:link w:val="TextTi12"/>
    <w:rsid w:val="00F97FEA"/>
    <w:rPr>
      <w:color w:val="auto"/>
      <w:szCs w:val="20"/>
      <w:lang w:val="en-US" w:eastAsia="ja-JP"/>
    </w:rPr>
  </w:style>
  <w:style w:type="paragraph" w:customStyle="1" w:styleId="Paragraph">
    <w:name w:val="Paragraph"/>
    <w:basedOn w:val="Normal"/>
    <w:link w:val="ParagraphChar"/>
    <w:qFormat/>
    <w:rsid w:val="00F97FEA"/>
    <w:pPr>
      <w:pBdr>
        <w:top w:val="none" w:sz="0" w:space="0" w:color="auto"/>
        <w:left w:val="none" w:sz="0" w:space="0" w:color="auto"/>
        <w:bottom w:val="none" w:sz="0" w:space="0" w:color="auto"/>
        <w:right w:val="none" w:sz="0" w:space="0" w:color="auto"/>
        <w:between w:val="none" w:sz="0" w:space="0" w:color="auto"/>
      </w:pBdr>
      <w:spacing w:after="170" w:line="280" w:lineRule="exact"/>
    </w:pPr>
    <w:rPr>
      <w:rFonts w:ascii="Arial" w:eastAsia="SimSun" w:hAnsi="Arial"/>
      <w:color w:val="auto"/>
      <w:lang w:val="en-GB" w:eastAsia="zh-CN"/>
    </w:rPr>
  </w:style>
  <w:style w:type="character" w:customStyle="1" w:styleId="ParagraphChar">
    <w:name w:val="Paragraph Char"/>
    <w:link w:val="Paragraph"/>
    <w:rsid w:val="00F97FEA"/>
    <w:rPr>
      <w:rFonts w:ascii="Arial" w:eastAsia="SimSun" w:hAnsi="Arial"/>
      <w:color w:val="auto"/>
      <w:lang w:val="en-GB" w:eastAsia="zh-CN"/>
    </w:rPr>
  </w:style>
  <w:style w:type="character" w:styleId="CommentReference">
    <w:name w:val="annotation reference"/>
    <w:basedOn w:val="DefaultParagraphFont"/>
    <w:uiPriority w:val="99"/>
    <w:semiHidden/>
    <w:unhideWhenUsed/>
    <w:rsid w:val="00F60A39"/>
    <w:rPr>
      <w:sz w:val="16"/>
      <w:szCs w:val="16"/>
    </w:rPr>
  </w:style>
  <w:style w:type="paragraph" w:styleId="CommentText">
    <w:name w:val="annotation text"/>
    <w:basedOn w:val="Normal"/>
    <w:link w:val="CommentTextChar"/>
    <w:uiPriority w:val="99"/>
    <w:unhideWhenUsed/>
    <w:rsid w:val="00F60A39"/>
    <w:rPr>
      <w:sz w:val="20"/>
      <w:szCs w:val="20"/>
    </w:rPr>
  </w:style>
  <w:style w:type="character" w:customStyle="1" w:styleId="CommentTextChar">
    <w:name w:val="Comment Text Char"/>
    <w:basedOn w:val="DefaultParagraphFont"/>
    <w:link w:val="CommentText"/>
    <w:uiPriority w:val="99"/>
    <w:rsid w:val="00F60A39"/>
    <w:rPr>
      <w:sz w:val="20"/>
      <w:szCs w:val="20"/>
    </w:rPr>
  </w:style>
  <w:style w:type="paragraph" w:styleId="CommentSubject">
    <w:name w:val="annotation subject"/>
    <w:basedOn w:val="CommentText"/>
    <w:next w:val="CommentText"/>
    <w:link w:val="CommentSubjectChar"/>
    <w:uiPriority w:val="99"/>
    <w:semiHidden/>
    <w:unhideWhenUsed/>
    <w:rsid w:val="00F60A39"/>
    <w:rPr>
      <w:b/>
      <w:bCs/>
    </w:rPr>
  </w:style>
  <w:style w:type="character" w:customStyle="1" w:styleId="CommentSubjectChar">
    <w:name w:val="Comment Subject Char"/>
    <w:basedOn w:val="CommentTextChar"/>
    <w:link w:val="CommentSubject"/>
    <w:uiPriority w:val="99"/>
    <w:semiHidden/>
    <w:rsid w:val="00F60A39"/>
    <w:rPr>
      <w:b/>
      <w:bCs/>
      <w:sz w:val="20"/>
      <w:szCs w:val="20"/>
    </w:rPr>
  </w:style>
  <w:style w:type="paragraph" w:styleId="Revision">
    <w:name w:val="Revision"/>
    <w:hidden/>
    <w:uiPriority w:val="99"/>
    <w:semiHidden/>
    <w:rsid w:val="008578C7"/>
    <w:pPr>
      <w:pBdr>
        <w:top w:val="none" w:sz="0" w:space="0" w:color="auto"/>
        <w:left w:val="none" w:sz="0" w:space="0" w:color="auto"/>
        <w:bottom w:val="none" w:sz="0" w:space="0" w:color="auto"/>
        <w:right w:val="none" w:sz="0" w:space="0" w:color="auto"/>
        <w:between w:val="none" w:sz="0" w:space="0" w:color="auto"/>
      </w:pBdr>
    </w:pPr>
  </w:style>
  <w:style w:type="paragraph" w:customStyle="1" w:styleId="TextRef">
    <w:name w:val="Text:Ref"/>
    <w:basedOn w:val="Normal"/>
    <w:rsid w:val="003F6BA9"/>
    <w:pPr>
      <w:numPr>
        <w:numId w:val="9"/>
      </w:numPr>
      <w:pBdr>
        <w:top w:val="none" w:sz="0" w:space="0" w:color="auto"/>
        <w:left w:val="none" w:sz="0" w:space="0" w:color="auto"/>
        <w:bottom w:val="none" w:sz="0" w:space="0" w:color="auto"/>
        <w:right w:val="none" w:sz="0" w:space="0" w:color="auto"/>
        <w:between w:val="none" w:sz="0" w:space="0" w:color="auto"/>
      </w:pBdr>
      <w:tabs>
        <w:tab w:val="left" w:pos="1134"/>
      </w:tabs>
      <w:spacing w:after="170"/>
    </w:pPr>
    <w:rPr>
      <w:rFonts w:ascii="Arial" w:eastAsia="SimSun" w:hAnsi="Arial"/>
      <w:color w:val="auto"/>
      <w:szCs w:val="20"/>
      <w:lang w:val="en-US" w:eastAsia="ja-JP"/>
    </w:rPr>
  </w:style>
  <w:style w:type="paragraph" w:customStyle="1" w:styleId="TabFigContd">
    <w:name w:val="TabFig Contd"/>
    <w:basedOn w:val="Normal"/>
    <w:next w:val="Paragraph"/>
    <w:rsid w:val="003F6BA9"/>
    <w:pPr>
      <w:keepNext/>
      <w:keepLines/>
      <w:pageBreakBefore/>
      <w:pBdr>
        <w:top w:val="none" w:sz="0" w:space="0" w:color="auto"/>
        <w:left w:val="none" w:sz="0" w:space="0" w:color="auto"/>
        <w:bottom w:val="none" w:sz="0" w:space="0" w:color="auto"/>
        <w:right w:val="none" w:sz="0" w:space="0" w:color="auto"/>
        <w:between w:val="none" w:sz="0" w:space="0" w:color="auto"/>
      </w:pBdr>
      <w:tabs>
        <w:tab w:val="left" w:pos="1080"/>
      </w:tabs>
      <w:spacing w:before="40" w:after="160" w:line="280" w:lineRule="exact"/>
      <w:ind w:left="1080" w:hanging="1080"/>
    </w:pPr>
    <w:rPr>
      <w:rFonts w:ascii="Arial" w:eastAsia="SimSun" w:hAnsi="Arial"/>
      <w:b/>
      <w:color w:val="auto"/>
      <w:lang w:val="en-US" w:eastAsia="zh-CN"/>
    </w:rPr>
  </w:style>
  <w:style w:type="character" w:styleId="Emphasis">
    <w:name w:val="Emphasis"/>
    <w:basedOn w:val="DefaultParagraphFont"/>
    <w:uiPriority w:val="20"/>
    <w:qFormat/>
    <w:rsid w:val="000A0774"/>
    <w:rPr>
      <w:i/>
      <w:iCs/>
    </w:rPr>
  </w:style>
  <w:style w:type="paragraph" w:customStyle="1" w:styleId="TabFigNote">
    <w:name w:val="TabFig Note"/>
    <w:basedOn w:val="Normal"/>
    <w:rsid w:val="001D3E94"/>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9"/>
    </w:pPr>
    <w:rPr>
      <w:rFonts w:ascii="Arial" w:eastAsia="SimSun" w:hAnsi="Arial"/>
      <w:color w:val="auto"/>
      <w:sz w:val="20"/>
      <w:lang w:val="en-US" w:eastAsia="zh-CN"/>
    </w:rPr>
  </w:style>
  <w:style w:type="paragraph" w:styleId="Quote">
    <w:name w:val="Quote"/>
    <w:basedOn w:val="Normal"/>
    <w:next w:val="Normal"/>
    <w:link w:val="QuoteChar"/>
    <w:uiPriority w:val="29"/>
    <w:qFormat/>
    <w:rsid w:val="00523D6D"/>
    <w:pPr>
      <w:pBdr>
        <w:top w:val="none" w:sz="0" w:space="0" w:color="auto"/>
        <w:left w:val="none" w:sz="0" w:space="0" w:color="auto"/>
        <w:bottom w:val="none" w:sz="0" w:space="0" w:color="auto"/>
        <w:right w:val="none" w:sz="0" w:space="0" w:color="auto"/>
        <w:between w:val="none" w:sz="0" w:space="0" w:color="auto"/>
      </w:pBdr>
      <w:jc w:val="both"/>
    </w:pPr>
    <w:rPr>
      <w:rFonts w:eastAsia="PMingLiU"/>
      <w:i/>
      <w:iCs/>
      <w:szCs w:val="22"/>
      <w:lang w:val="en-AU" w:eastAsia="zh-TW"/>
    </w:rPr>
  </w:style>
  <w:style w:type="character" w:customStyle="1" w:styleId="QuoteChar">
    <w:name w:val="Quote Char"/>
    <w:basedOn w:val="DefaultParagraphFont"/>
    <w:link w:val="Quote"/>
    <w:uiPriority w:val="29"/>
    <w:rsid w:val="00523D6D"/>
    <w:rPr>
      <w:rFonts w:eastAsia="PMingLiU"/>
      <w:i/>
      <w:iCs/>
      <w:szCs w:val="22"/>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3031-BD6D-4389-9A5D-B00E0C71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14191</Words>
  <Characters>82313</Characters>
  <Application>Microsoft Office Word</Application>
  <DocSecurity>0</DocSecurity>
  <Lines>1646</Lines>
  <Paragraphs>919</Paragraphs>
  <ScaleCrop>false</ScaleCrop>
  <HeadingPairs>
    <vt:vector size="2" baseType="variant">
      <vt:variant>
        <vt:lpstr>Title</vt:lpstr>
      </vt:variant>
      <vt:variant>
        <vt:i4>1</vt:i4>
      </vt:variant>
    </vt:vector>
  </HeadingPairs>
  <TitlesOfParts>
    <vt:vector size="1" baseType="lpstr">
      <vt:lpstr>Attachment Product information for Gazyva</vt:lpstr>
    </vt:vector>
  </TitlesOfParts>
  <Company>F. Hoffmann-La Roche, Ltd.</Company>
  <LinksUpToDate>false</LinksUpToDate>
  <CharactersWithSpaces>95585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Gazyva</dc:title>
  <dc:subject>prescription medicines</dc:subject>
  <dc:creator>F. Hoffmann-La Roche, Ltd.</dc:creator>
  <cp:lastModifiedBy>LACK, Janet</cp:lastModifiedBy>
  <cp:revision>3</cp:revision>
  <cp:lastPrinted>2021-04-06T06:34:00Z</cp:lastPrinted>
  <dcterms:created xsi:type="dcterms:W3CDTF">2025-02-17T22:51:00Z</dcterms:created>
  <dcterms:modified xsi:type="dcterms:W3CDTF">2025-02-17T23:28:00Z</dcterms:modified>
</cp:coreProperties>
</file>